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AB0B" w14:textId="77777777" w:rsidR="001948E5" w:rsidRPr="00097A86" w:rsidRDefault="001948E5" w:rsidP="001948E5">
      <w:r w:rsidRPr="00097A86">
        <w:object w:dxaOrig="2146" w:dyaOrig="1561" w14:anchorId="71A9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15pt;height:81.2pt" o:ole="" fillcolor="window">
            <v:imagedata r:id="rId13" o:title=""/>
          </v:shape>
          <o:OLEObject Type="Embed" ProgID="Word.Picture.8" ShapeID="_x0000_i1025" DrawAspect="Content" ObjectID="_1624711029" r:id="rId14"/>
        </w:object>
      </w:r>
    </w:p>
    <w:p w14:paraId="274EB218" w14:textId="77777777" w:rsidR="001948E5" w:rsidRPr="00097A86" w:rsidRDefault="001948E5" w:rsidP="001948E5">
      <w:pPr>
        <w:pStyle w:val="ShortT"/>
        <w:spacing w:before="240"/>
      </w:pPr>
      <w:r w:rsidRPr="00097A86">
        <w:t>National Greenhouse and Energy Reporting (Measurement) Determination</w:t>
      </w:r>
      <w:r w:rsidR="00097A86">
        <w:t> </w:t>
      </w:r>
      <w:r w:rsidRPr="00097A86">
        <w:t>2008</w:t>
      </w:r>
    </w:p>
    <w:p w14:paraId="1113082E" w14:textId="77777777" w:rsidR="001948E5" w:rsidRPr="00097A86" w:rsidRDefault="00D90552" w:rsidP="001948E5">
      <w:pPr>
        <w:pStyle w:val="MadeunderText"/>
      </w:pPr>
      <w:r w:rsidRPr="00097A86">
        <w:t xml:space="preserve">made under </w:t>
      </w:r>
      <w:r w:rsidR="00BF152D" w:rsidRPr="00097A86">
        <w:t>subsection</w:t>
      </w:r>
      <w:r w:rsidR="00097A86">
        <w:t> </w:t>
      </w:r>
      <w:r w:rsidR="00BF152D" w:rsidRPr="00097A86">
        <w:t xml:space="preserve">10(3) of </w:t>
      </w:r>
      <w:r w:rsidR="001948E5" w:rsidRPr="00097A86">
        <w:t>the</w:t>
      </w:r>
    </w:p>
    <w:p w14:paraId="222D8ECD" w14:textId="77777777" w:rsidR="001948E5" w:rsidRPr="00097A86" w:rsidRDefault="001948E5" w:rsidP="001948E5">
      <w:pPr>
        <w:pStyle w:val="CompiledMadeUnder"/>
        <w:spacing w:before="240"/>
      </w:pPr>
      <w:r w:rsidRPr="00097A86">
        <w:t>National Greenhouse and Energy Reporting Act 2007</w:t>
      </w:r>
    </w:p>
    <w:p w14:paraId="48CC09E4" w14:textId="77777777" w:rsidR="001948E5" w:rsidRPr="00097A86" w:rsidRDefault="001948E5" w:rsidP="001948E5">
      <w:pPr>
        <w:spacing w:before="1000"/>
        <w:rPr>
          <w:rFonts w:cs="Arial"/>
          <w:b/>
          <w:sz w:val="32"/>
          <w:szCs w:val="32"/>
        </w:rPr>
      </w:pPr>
      <w:r w:rsidRPr="00097A86">
        <w:rPr>
          <w:rFonts w:cs="Arial"/>
          <w:b/>
          <w:sz w:val="32"/>
          <w:szCs w:val="32"/>
        </w:rPr>
        <w:t>Compilation No.</w:t>
      </w:r>
      <w:r w:rsidR="00097A86">
        <w:rPr>
          <w:rFonts w:cs="Arial"/>
          <w:b/>
          <w:sz w:val="32"/>
          <w:szCs w:val="32"/>
        </w:rPr>
        <w:t> </w:t>
      </w:r>
      <w:r w:rsidRPr="00097A86">
        <w:rPr>
          <w:rFonts w:cs="Arial"/>
          <w:b/>
          <w:sz w:val="32"/>
          <w:szCs w:val="32"/>
        </w:rPr>
        <w:fldChar w:fldCharType="begin"/>
      </w:r>
      <w:r w:rsidRPr="00097A86">
        <w:rPr>
          <w:rFonts w:cs="Arial"/>
          <w:b/>
          <w:sz w:val="32"/>
          <w:szCs w:val="32"/>
        </w:rPr>
        <w:instrText xml:space="preserve"> DOCPROPERTY  CompilationNumber </w:instrText>
      </w:r>
      <w:r w:rsidRPr="00097A86">
        <w:rPr>
          <w:rFonts w:cs="Arial"/>
          <w:b/>
          <w:sz w:val="32"/>
          <w:szCs w:val="32"/>
        </w:rPr>
        <w:fldChar w:fldCharType="separate"/>
      </w:r>
      <w:r w:rsidR="00BC0F13">
        <w:rPr>
          <w:rFonts w:cs="Arial"/>
          <w:b/>
          <w:sz w:val="32"/>
          <w:szCs w:val="32"/>
        </w:rPr>
        <w:t>1</w:t>
      </w:r>
      <w:r w:rsidR="002C4E85">
        <w:rPr>
          <w:rFonts w:cs="Arial"/>
          <w:b/>
          <w:sz w:val="32"/>
          <w:szCs w:val="32"/>
        </w:rPr>
        <w:t>1</w:t>
      </w:r>
      <w:r w:rsidRPr="00097A86">
        <w:rPr>
          <w:rFonts w:cs="Arial"/>
          <w:b/>
          <w:sz w:val="32"/>
          <w:szCs w:val="32"/>
        </w:rPr>
        <w:fldChar w:fldCharType="end"/>
      </w:r>
    </w:p>
    <w:p w14:paraId="56A44B3D" w14:textId="77777777" w:rsidR="001948E5" w:rsidRPr="00097A86" w:rsidRDefault="001948E5" w:rsidP="001948E5">
      <w:pPr>
        <w:spacing w:before="480"/>
        <w:rPr>
          <w:rFonts w:cs="Arial"/>
          <w:sz w:val="24"/>
        </w:rPr>
      </w:pPr>
      <w:r w:rsidRPr="00097A86">
        <w:rPr>
          <w:rFonts w:cs="Arial"/>
          <w:b/>
          <w:sz w:val="24"/>
        </w:rPr>
        <w:t xml:space="preserve">Compilation date: </w:t>
      </w:r>
      <w:r w:rsidRPr="00097A86">
        <w:rPr>
          <w:rFonts w:cs="Arial"/>
          <w:b/>
          <w:sz w:val="24"/>
        </w:rPr>
        <w:tab/>
      </w:r>
      <w:r w:rsidRPr="00097A86">
        <w:rPr>
          <w:rFonts w:cs="Arial"/>
          <w:b/>
          <w:sz w:val="24"/>
        </w:rPr>
        <w:tab/>
      </w:r>
      <w:r w:rsidRPr="00097A86">
        <w:rPr>
          <w:rFonts w:cs="Arial"/>
          <w:b/>
          <w:sz w:val="24"/>
        </w:rPr>
        <w:tab/>
      </w:r>
      <w:r w:rsidRPr="00BC0F13">
        <w:rPr>
          <w:rFonts w:cs="Arial"/>
          <w:sz w:val="24"/>
        </w:rPr>
        <w:fldChar w:fldCharType="begin"/>
      </w:r>
      <w:r w:rsidRPr="00BC0F13">
        <w:rPr>
          <w:rFonts w:cs="Arial"/>
          <w:sz w:val="24"/>
        </w:rPr>
        <w:instrText xml:space="preserve"> DOCPROPERTY StartDate \@ "d MMMM yyyy" \*MERGEFORMAT </w:instrText>
      </w:r>
      <w:r w:rsidRPr="00BC0F13">
        <w:rPr>
          <w:rFonts w:cs="Arial"/>
          <w:sz w:val="24"/>
        </w:rPr>
        <w:fldChar w:fldCharType="separate"/>
      </w:r>
      <w:r w:rsidR="00BC0F13" w:rsidRPr="00BC0F13">
        <w:rPr>
          <w:rFonts w:cs="Arial"/>
          <w:bCs/>
          <w:sz w:val="24"/>
        </w:rPr>
        <w:t>1 July</w:t>
      </w:r>
      <w:r w:rsidR="00BC0F13" w:rsidRPr="00BC0F13">
        <w:rPr>
          <w:rFonts w:cs="Arial"/>
          <w:sz w:val="24"/>
        </w:rPr>
        <w:t xml:space="preserve"> 201</w:t>
      </w:r>
      <w:r w:rsidR="002C4E85">
        <w:rPr>
          <w:rFonts w:cs="Arial"/>
          <w:sz w:val="24"/>
        </w:rPr>
        <w:t>9</w:t>
      </w:r>
      <w:r w:rsidRPr="00BC0F13">
        <w:rPr>
          <w:rFonts w:cs="Arial"/>
          <w:sz w:val="24"/>
        </w:rPr>
        <w:fldChar w:fldCharType="end"/>
      </w:r>
    </w:p>
    <w:p w14:paraId="77E75413" w14:textId="77777777" w:rsidR="00C20CC2" w:rsidRPr="00097A86" w:rsidRDefault="00C20CC2" w:rsidP="00C20CC2">
      <w:pPr>
        <w:spacing w:before="240"/>
        <w:rPr>
          <w:rFonts w:cs="Arial"/>
          <w:sz w:val="24"/>
        </w:rPr>
      </w:pPr>
      <w:r w:rsidRPr="00097A86">
        <w:rPr>
          <w:rFonts w:cs="Arial"/>
          <w:b/>
          <w:sz w:val="24"/>
        </w:rPr>
        <w:t>Includes amendments up to:</w:t>
      </w:r>
      <w:r w:rsidRPr="00097A86">
        <w:rPr>
          <w:rFonts w:cs="Arial"/>
          <w:b/>
          <w:sz w:val="24"/>
        </w:rPr>
        <w:tab/>
      </w:r>
      <w:r w:rsidR="002C4E85" w:rsidRPr="002C4E85">
        <w:rPr>
          <w:rFonts w:cs="Arial"/>
          <w:sz w:val="24"/>
        </w:rPr>
        <w:t>F2019L00938</w:t>
      </w:r>
    </w:p>
    <w:p w14:paraId="009152D8" w14:textId="77777777" w:rsidR="001948E5" w:rsidRPr="00097A86" w:rsidRDefault="001948E5" w:rsidP="001948E5">
      <w:pPr>
        <w:spacing w:before="240"/>
        <w:rPr>
          <w:rFonts w:cs="Arial"/>
          <w:sz w:val="28"/>
          <w:szCs w:val="28"/>
        </w:rPr>
      </w:pPr>
      <w:r w:rsidRPr="00097A86">
        <w:rPr>
          <w:rFonts w:cs="Arial"/>
          <w:b/>
          <w:sz w:val="24"/>
        </w:rPr>
        <w:tab/>
      </w:r>
      <w:r w:rsidRPr="00097A86">
        <w:rPr>
          <w:rFonts w:cs="Arial"/>
          <w:b/>
          <w:sz w:val="24"/>
        </w:rPr>
        <w:tab/>
      </w:r>
      <w:r w:rsidRPr="00097A86">
        <w:rPr>
          <w:rFonts w:cs="Arial"/>
          <w:b/>
          <w:sz w:val="24"/>
        </w:rPr>
        <w:tab/>
      </w:r>
    </w:p>
    <w:p w14:paraId="6223D859" w14:textId="77777777" w:rsidR="00864399" w:rsidRPr="00097A86" w:rsidRDefault="00864399" w:rsidP="00864399">
      <w:pPr>
        <w:rPr>
          <w:b/>
          <w:szCs w:val="22"/>
        </w:rPr>
      </w:pPr>
    </w:p>
    <w:p w14:paraId="142FAACC" w14:textId="77777777" w:rsidR="001948E5" w:rsidRPr="00097A86" w:rsidRDefault="001948E5" w:rsidP="001948E5">
      <w:pPr>
        <w:pageBreakBefore/>
        <w:rPr>
          <w:rFonts w:cs="Arial"/>
          <w:b/>
          <w:sz w:val="32"/>
          <w:szCs w:val="32"/>
        </w:rPr>
      </w:pPr>
      <w:r w:rsidRPr="00097A86">
        <w:rPr>
          <w:rFonts w:cs="Arial"/>
          <w:b/>
          <w:sz w:val="32"/>
          <w:szCs w:val="32"/>
        </w:rPr>
        <w:lastRenderedPageBreak/>
        <w:t>About this compilation</w:t>
      </w:r>
    </w:p>
    <w:p w14:paraId="03B81899" w14:textId="77777777" w:rsidR="001948E5" w:rsidRPr="00097A86" w:rsidRDefault="001948E5" w:rsidP="001948E5">
      <w:pPr>
        <w:spacing w:before="240"/>
        <w:rPr>
          <w:rFonts w:cs="Arial"/>
        </w:rPr>
      </w:pPr>
      <w:r w:rsidRPr="00097A86">
        <w:rPr>
          <w:rFonts w:cs="Arial"/>
          <w:b/>
          <w:szCs w:val="22"/>
        </w:rPr>
        <w:t>This compilation</w:t>
      </w:r>
    </w:p>
    <w:p w14:paraId="489459CF" w14:textId="77777777" w:rsidR="001948E5" w:rsidRPr="00097A86" w:rsidRDefault="001948E5" w:rsidP="001948E5">
      <w:pPr>
        <w:spacing w:before="120" w:after="120"/>
        <w:rPr>
          <w:rFonts w:cs="Arial"/>
          <w:szCs w:val="22"/>
        </w:rPr>
      </w:pPr>
      <w:r w:rsidRPr="00097A86">
        <w:rPr>
          <w:rFonts w:cs="Arial"/>
          <w:szCs w:val="22"/>
        </w:rPr>
        <w:t xml:space="preserve">This is a compilation of the </w:t>
      </w:r>
      <w:r w:rsidRPr="00097A86">
        <w:rPr>
          <w:rFonts w:cs="Arial"/>
          <w:i/>
          <w:szCs w:val="22"/>
        </w:rPr>
        <w:fldChar w:fldCharType="begin"/>
      </w:r>
      <w:r w:rsidRPr="00097A86">
        <w:rPr>
          <w:rFonts w:cs="Arial"/>
          <w:i/>
          <w:szCs w:val="22"/>
        </w:rPr>
        <w:instrText xml:space="preserve"> STYLEREF  ShortT </w:instrText>
      </w:r>
      <w:r w:rsidRPr="00097A86">
        <w:rPr>
          <w:rFonts w:cs="Arial"/>
          <w:i/>
          <w:szCs w:val="22"/>
        </w:rPr>
        <w:fldChar w:fldCharType="separate"/>
      </w:r>
      <w:r w:rsidR="00497E3C">
        <w:rPr>
          <w:rFonts w:cs="Arial"/>
          <w:i/>
          <w:noProof/>
          <w:szCs w:val="22"/>
        </w:rPr>
        <w:t>National Greenhouse and Energy Reporting (Measurement) Determination 2008</w:t>
      </w:r>
      <w:r w:rsidRPr="00097A86">
        <w:rPr>
          <w:rFonts w:cs="Arial"/>
          <w:i/>
          <w:szCs w:val="22"/>
        </w:rPr>
        <w:fldChar w:fldCharType="end"/>
      </w:r>
      <w:r w:rsidRPr="00097A86">
        <w:rPr>
          <w:rFonts w:cs="Arial"/>
          <w:szCs w:val="22"/>
        </w:rPr>
        <w:t xml:space="preserve"> that shows the text of the law as amended and in force on </w:t>
      </w:r>
      <w:r w:rsidRPr="00BC0F13">
        <w:rPr>
          <w:rFonts w:cs="Arial"/>
          <w:szCs w:val="22"/>
        </w:rPr>
        <w:fldChar w:fldCharType="begin"/>
      </w:r>
      <w:r w:rsidRPr="00BC0F13">
        <w:rPr>
          <w:rFonts w:cs="Arial"/>
          <w:szCs w:val="22"/>
        </w:rPr>
        <w:instrText xml:space="preserve"> DOCPROPERTY StartDate \@ "d MMMM yyyy" </w:instrText>
      </w:r>
      <w:r w:rsidRPr="00BC0F13">
        <w:rPr>
          <w:rFonts w:cs="Arial"/>
          <w:szCs w:val="22"/>
        </w:rPr>
        <w:fldChar w:fldCharType="separate"/>
      </w:r>
      <w:r w:rsidR="00BC0F13" w:rsidRPr="00BC0F13">
        <w:rPr>
          <w:rFonts w:cs="Arial"/>
          <w:szCs w:val="22"/>
        </w:rPr>
        <w:t>1 July 201</w:t>
      </w:r>
      <w:r w:rsidR="002C4E85">
        <w:rPr>
          <w:rFonts w:cs="Arial"/>
          <w:szCs w:val="22"/>
        </w:rPr>
        <w:t>9</w:t>
      </w:r>
      <w:r w:rsidRPr="00BC0F13">
        <w:rPr>
          <w:rFonts w:cs="Arial"/>
          <w:szCs w:val="22"/>
        </w:rPr>
        <w:fldChar w:fldCharType="end"/>
      </w:r>
      <w:r w:rsidRPr="00097A86">
        <w:rPr>
          <w:rFonts w:cs="Arial"/>
          <w:szCs w:val="22"/>
        </w:rPr>
        <w:t xml:space="preserve"> (the </w:t>
      </w:r>
      <w:r w:rsidRPr="00097A86">
        <w:rPr>
          <w:rFonts w:cs="Arial"/>
          <w:b/>
          <w:i/>
          <w:szCs w:val="22"/>
        </w:rPr>
        <w:t>compilation date</w:t>
      </w:r>
      <w:r w:rsidRPr="00097A86">
        <w:rPr>
          <w:rFonts w:cs="Arial"/>
          <w:szCs w:val="22"/>
        </w:rPr>
        <w:t>).</w:t>
      </w:r>
    </w:p>
    <w:p w14:paraId="7E4624D3" w14:textId="77777777" w:rsidR="001948E5" w:rsidRPr="00097A86" w:rsidRDefault="001948E5" w:rsidP="001948E5">
      <w:pPr>
        <w:spacing w:after="120"/>
        <w:rPr>
          <w:rFonts w:cs="Arial"/>
          <w:szCs w:val="22"/>
        </w:rPr>
      </w:pPr>
      <w:r w:rsidRPr="00097A86">
        <w:rPr>
          <w:rFonts w:cs="Arial"/>
          <w:szCs w:val="22"/>
        </w:rPr>
        <w:t xml:space="preserve">The notes at the end of this compilation (the </w:t>
      </w:r>
      <w:r w:rsidRPr="00097A86">
        <w:rPr>
          <w:rFonts w:cs="Arial"/>
          <w:b/>
          <w:i/>
          <w:szCs w:val="22"/>
        </w:rPr>
        <w:t>endnotes</w:t>
      </w:r>
      <w:r w:rsidRPr="00097A86">
        <w:rPr>
          <w:rFonts w:cs="Arial"/>
          <w:szCs w:val="22"/>
        </w:rPr>
        <w:t>) include information about amending laws and the amendment history of provisions of the compiled law.</w:t>
      </w:r>
    </w:p>
    <w:p w14:paraId="63FFAF8E" w14:textId="77777777" w:rsidR="001948E5" w:rsidRPr="00097A86" w:rsidRDefault="001948E5" w:rsidP="001948E5">
      <w:pPr>
        <w:tabs>
          <w:tab w:val="left" w:pos="5640"/>
        </w:tabs>
        <w:spacing w:before="120" w:after="120"/>
        <w:rPr>
          <w:rFonts w:cs="Arial"/>
          <w:b/>
          <w:szCs w:val="22"/>
        </w:rPr>
      </w:pPr>
      <w:r w:rsidRPr="00097A86">
        <w:rPr>
          <w:rFonts w:cs="Arial"/>
          <w:b/>
          <w:szCs w:val="22"/>
        </w:rPr>
        <w:t>Uncommenced amendments</w:t>
      </w:r>
    </w:p>
    <w:p w14:paraId="62FED2FE" w14:textId="77777777" w:rsidR="001948E5" w:rsidRPr="00097A86" w:rsidRDefault="001948E5" w:rsidP="001948E5">
      <w:pPr>
        <w:spacing w:after="120"/>
        <w:rPr>
          <w:rFonts w:cs="Arial"/>
          <w:szCs w:val="22"/>
        </w:rPr>
      </w:pPr>
      <w:r w:rsidRPr="00097A8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4F15681" w14:textId="77777777" w:rsidR="001948E5" w:rsidRPr="00097A86" w:rsidRDefault="001948E5" w:rsidP="001948E5">
      <w:pPr>
        <w:spacing w:before="120" w:after="120"/>
        <w:rPr>
          <w:rFonts w:cs="Arial"/>
          <w:b/>
          <w:szCs w:val="22"/>
        </w:rPr>
      </w:pPr>
      <w:r w:rsidRPr="00097A86">
        <w:rPr>
          <w:rFonts w:cs="Arial"/>
          <w:b/>
          <w:szCs w:val="22"/>
        </w:rPr>
        <w:t>Application, saving and transitional provisions for provisions and amendments</w:t>
      </w:r>
    </w:p>
    <w:p w14:paraId="199072D9" w14:textId="77777777" w:rsidR="001948E5" w:rsidRPr="00097A86" w:rsidRDefault="001948E5" w:rsidP="001948E5">
      <w:pPr>
        <w:spacing w:after="120"/>
        <w:rPr>
          <w:rFonts w:cs="Arial"/>
          <w:szCs w:val="22"/>
        </w:rPr>
      </w:pPr>
      <w:r w:rsidRPr="00097A86">
        <w:rPr>
          <w:rFonts w:cs="Arial"/>
          <w:szCs w:val="22"/>
        </w:rPr>
        <w:t>If the operation of a provision or amendment of the compiled law is affected by an application, saving or transitional provision that is not included in this compilation, details are included in the endnotes.</w:t>
      </w:r>
    </w:p>
    <w:p w14:paraId="5592BC75" w14:textId="77777777" w:rsidR="001948E5" w:rsidRPr="00097A86" w:rsidRDefault="001948E5" w:rsidP="001948E5">
      <w:pPr>
        <w:spacing w:after="120"/>
        <w:rPr>
          <w:rFonts w:cs="Arial"/>
          <w:b/>
          <w:szCs w:val="22"/>
        </w:rPr>
      </w:pPr>
      <w:r w:rsidRPr="00097A86">
        <w:rPr>
          <w:rFonts w:cs="Arial"/>
          <w:b/>
          <w:szCs w:val="22"/>
        </w:rPr>
        <w:t>Editorial changes</w:t>
      </w:r>
    </w:p>
    <w:p w14:paraId="7954B53C" w14:textId="77777777" w:rsidR="001948E5" w:rsidRPr="00097A86" w:rsidRDefault="001948E5" w:rsidP="001948E5">
      <w:pPr>
        <w:spacing w:after="120"/>
        <w:rPr>
          <w:rFonts w:cs="Arial"/>
          <w:szCs w:val="22"/>
        </w:rPr>
      </w:pPr>
      <w:r w:rsidRPr="00097A86">
        <w:rPr>
          <w:rFonts w:cs="Arial"/>
          <w:szCs w:val="22"/>
        </w:rPr>
        <w:t>For more information about any editorial changes made in this compilation, see the endnotes.</w:t>
      </w:r>
    </w:p>
    <w:p w14:paraId="41B9ABBE" w14:textId="77777777" w:rsidR="001948E5" w:rsidRPr="00097A86" w:rsidRDefault="001948E5" w:rsidP="001948E5">
      <w:pPr>
        <w:spacing w:before="120" w:after="120"/>
        <w:rPr>
          <w:rFonts w:cs="Arial"/>
          <w:b/>
          <w:szCs w:val="22"/>
        </w:rPr>
      </w:pPr>
      <w:r w:rsidRPr="00097A86">
        <w:rPr>
          <w:rFonts w:cs="Arial"/>
          <w:b/>
          <w:szCs w:val="22"/>
        </w:rPr>
        <w:t>Modifications</w:t>
      </w:r>
    </w:p>
    <w:p w14:paraId="0AFE7610" w14:textId="77777777" w:rsidR="001948E5" w:rsidRPr="00097A86" w:rsidRDefault="001948E5" w:rsidP="001948E5">
      <w:pPr>
        <w:spacing w:after="120"/>
        <w:rPr>
          <w:rFonts w:cs="Arial"/>
          <w:szCs w:val="22"/>
        </w:rPr>
      </w:pPr>
      <w:r w:rsidRPr="00097A8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5F03F5B7" w14:textId="77777777" w:rsidR="001948E5" w:rsidRPr="00097A86" w:rsidRDefault="001948E5" w:rsidP="001948E5">
      <w:pPr>
        <w:spacing w:before="80" w:after="120"/>
        <w:rPr>
          <w:rFonts w:cs="Arial"/>
          <w:b/>
          <w:szCs w:val="22"/>
        </w:rPr>
      </w:pPr>
      <w:r w:rsidRPr="00097A86">
        <w:rPr>
          <w:rFonts w:cs="Arial"/>
          <w:b/>
          <w:szCs w:val="22"/>
        </w:rPr>
        <w:t>Self</w:t>
      </w:r>
      <w:r w:rsidR="00097A86">
        <w:rPr>
          <w:rFonts w:cs="Arial"/>
          <w:b/>
          <w:szCs w:val="22"/>
        </w:rPr>
        <w:noBreakHyphen/>
      </w:r>
      <w:r w:rsidRPr="00097A86">
        <w:rPr>
          <w:rFonts w:cs="Arial"/>
          <w:b/>
          <w:szCs w:val="22"/>
        </w:rPr>
        <w:t>repealing provisions</w:t>
      </w:r>
    </w:p>
    <w:p w14:paraId="35F64645" w14:textId="77777777" w:rsidR="001948E5" w:rsidRPr="00097A86" w:rsidRDefault="001948E5" w:rsidP="001948E5">
      <w:pPr>
        <w:spacing w:after="120"/>
        <w:rPr>
          <w:rFonts w:cs="Arial"/>
          <w:szCs w:val="22"/>
        </w:rPr>
      </w:pPr>
      <w:r w:rsidRPr="00097A86">
        <w:rPr>
          <w:rFonts w:cs="Arial"/>
          <w:szCs w:val="22"/>
        </w:rPr>
        <w:t>If a provision of the compiled law has been repealed in accordance with a provision of the law, details are included in the endnotes.</w:t>
      </w:r>
    </w:p>
    <w:p w14:paraId="43F2A846" w14:textId="77777777" w:rsidR="001948E5" w:rsidRPr="00097A86" w:rsidRDefault="001948E5" w:rsidP="001948E5">
      <w:pPr>
        <w:pStyle w:val="Header"/>
        <w:tabs>
          <w:tab w:val="clear" w:pos="4150"/>
          <w:tab w:val="clear" w:pos="8307"/>
        </w:tabs>
      </w:pPr>
      <w:r w:rsidRPr="00097A86">
        <w:rPr>
          <w:rStyle w:val="CharChapNo"/>
        </w:rPr>
        <w:t xml:space="preserve"> </w:t>
      </w:r>
      <w:r w:rsidRPr="00097A86">
        <w:rPr>
          <w:rStyle w:val="CharChapText"/>
        </w:rPr>
        <w:t xml:space="preserve"> </w:t>
      </w:r>
    </w:p>
    <w:p w14:paraId="4F2E4BC9" w14:textId="77777777" w:rsidR="001948E5" w:rsidRPr="00097A86" w:rsidRDefault="001948E5" w:rsidP="001948E5">
      <w:pPr>
        <w:pStyle w:val="Header"/>
        <w:tabs>
          <w:tab w:val="clear" w:pos="4150"/>
          <w:tab w:val="clear" w:pos="8307"/>
        </w:tabs>
      </w:pPr>
      <w:r w:rsidRPr="00097A86">
        <w:rPr>
          <w:rStyle w:val="CharPartNo"/>
        </w:rPr>
        <w:t xml:space="preserve"> </w:t>
      </w:r>
      <w:r w:rsidRPr="00097A86">
        <w:rPr>
          <w:rStyle w:val="CharPartText"/>
        </w:rPr>
        <w:t xml:space="preserve"> </w:t>
      </w:r>
    </w:p>
    <w:p w14:paraId="3E1E4D5D" w14:textId="77777777" w:rsidR="001948E5" w:rsidRPr="00097A86" w:rsidRDefault="001948E5" w:rsidP="001948E5">
      <w:pPr>
        <w:pStyle w:val="Header"/>
        <w:tabs>
          <w:tab w:val="clear" w:pos="4150"/>
          <w:tab w:val="clear" w:pos="8307"/>
        </w:tabs>
      </w:pPr>
      <w:r w:rsidRPr="00097A86">
        <w:rPr>
          <w:rStyle w:val="CharDivNo"/>
        </w:rPr>
        <w:t xml:space="preserve"> </w:t>
      </w:r>
      <w:r w:rsidRPr="00097A86">
        <w:rPr>
          <w:rStyle w:val="CharDivText"/>
        </w:rPr>
        <w:t xml:space="preserve"> </w:t>
      </w:r>
    </w:p>
    <w:p w14:paraId="2B8ABF7B" w14:textId="77777777" w:rsidR="001948E5" w:rsidRPr="00097A86" w:rsidRDefault="001948E5" w:rsidP="001948E5">
      <w:pPr>
        <w:sectPr w:rsidR="001948E5" w:rsidRPr="00097A86" w:rsidSect="0033380F">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3417" w:gutter="0"/>
          <w:cols w:space="708"/>
          <w:titlePg/>
          <w:docGrid w:linePitch="360"/>
        </w:sectPr>
      </w:pPr>
    </w:p>
    <w:p w14:paraId="04E08B3C" w14:textId="77777777" w:rsidR="00D66AC0" w:rsidRPr="00097A86" w:rsidRDefault="00D66AC0" w:rsidP="00D66AC0">
      <w:pPr>
        <w:spacing w:before="240"/>
        <w:rPr>
          <w:sz w:val="36"/>
        </w:rPr>
      </w:pPr>
      <w:r w:rsidRPr="00097A86">
        <w:rPr>
          <w:sz w:val="36"/>
        </w:rPr>
        <w:lastRenderedPageBreak/>
        <w:t>Contents</w:t>
      </w:r>
    </w:p>
    <w:p w14:paraId="354A1D18" w14:textId="77777777" w:rsidR="005168F5" w:rsidRDefault="00D22D3F">
      <w:pPr>
        <w:pStyle w:val="TOC1"/>
        <w:rPr>
          <w:rFonts w:asciiTheme="minorHAnsi" w:eastAsiaTheme="minorEastAsia" w:hAnsiTheme="minorHAnsi" w:cstheme="minorBidi"/>
          <w:b w:val="0"/>
          <w:noProof/>
          <w:kern w:val="0"/>
          <w:sz w:val="22"/>
          <w:szCs w:val="22"/>
        </w:rPr>
      </w:pPr>
      <w:r w:rsidRPr="00097A86">
        <w:fldChar w:fldCharType="begin"/>
      </w:r>
      <w:r w:rsidRPr="00097A86">
        <w:instrText xml:space="preserve"> TOC \o "1-9" </w:instrText>
      </w:r>
      <w:r w:rsidRPr="00097A86">
        <w:fldChar w:fldCharType="separate"/>
      </w:r>
      <w:r w:rsidR="005168F5">
        <w:rPr>
          <w:noProof/>
        </w:rPr>
        <w:t>Chapter 1—General</w:t>
      </w:r>
      <w:r w:rsidR="005168F5">
        <w:rPr>
          <w:noProof/>
        </w:rPr>
        <w:tab/>
      </w:r>
      <w:r w:rsidR="005168F5">
        <w:rPr>
          <w:noProof/>
        </w:rPr>
        <w:fldChar w:fldCharType="begin"/>
      </w:r>
      <w:r w:rsidR="005168F5">
        <w:rPr>
          <w:noProof/>
        </w:rPr>
        <w:instrText xml:space="preserve"> PAGEREF _Toc13233464 \h </w:instrText>
      </w:r>
      <w:r w:rsidR="005168F5">
        <w:rPr>
          <w:noProof/>
        </w:rPr>
      </w:r>
      <w:r w:rsidR="005168F5">
        <w:rPr>
          <w:noProof/>
        </w:rPr>
        <w:fldChar w:fldCharType="separate"/>
      </w:r>
      <w:r w:rsidR="00497E3C">
        <w:rPr>
          <w:noProof/>
        </w:rPr>
        <w:t>1</w:t>
      </w:r>
      <w:r w:rsidR="005168F5">
        <w:rPr>
          <w:noProof/>
        </w:rPr>
        <w:fldChar w:fldCharType="end"/>
      </w:r>
    </w:p>
    <w:p w14:paraId="774AE035" w14:textId="77777777" w:rsidR="005168F5" w:rsidRDefault="005168F5">
      <w:pPr>
        <w:pStyle w:val="TOC2"/>
        <w:rPr>
          <w:rFonts w:asciiTheme="minorHAnsi" w:eastAsiaTheme="minorEastAsia" w:hAnsiTheme="minorHAnsi" w:cstheme="minorBidi"/>
          <w:b w:val="0"/>
          <w:noProof/>
          <w:kern w:val="0"/>
          <w:sz w:val="22"/>
          <w:szCs w:val="22"/>
        </w:rPr>
      </w:pPr>
      <w:r>
        <w:rPr>
          <w:noProof/>
        </w:rPr>
        <w:t>Part 1.1—Preliminary</w:t>
      </w:r>
      <w:r>
        <w:rPr>
          <w:noProof/>
        </w:rPr>
        <w:tab/>
      </w:r>
      <w:r>
        <w:rPr>
          <w:noProof/>
        </w:rPr>
        <w:fldChar w:fldCharType="begin"/>
      </w:r>
      <w:r>
        <w:rPr>
          <w:noProof/>
        </w:rPr>
        <w:instrText xml:space="preserve"> PAGEREF _Toc13233465 \h </w:instrText>
      </w:r>
      <w:r>
        <w:rPr>
          <w:noProof/>
        </w:rPr>
      </w:r>
      <w:r>
        <w:rPr>
          <w:noProof/>
        </w:rPr>
        <w:fldChar w:fldCharType="separate"/>
      </w:r>
      <w:r w:rsidR="00497E3C">
        <w:rPr>
          <w:noProof/>
        </w:rPr>
        <w:t>1</w:t>
      </w:r>
      <w:r>
        <w:rPr>
          <w:noProof/>
        </w:rPr>
        <w:fldChar w:fldCharType="end"/>
      </w:r>
    </w:p>
    <w:p w14:paraId="0E883DD4" w14:textId="77777777" w:rsidR="005168F5" w:rsidRDefault="005168F5">
      <w:pPr>
        <w:pStyle w:val="TOC5"/>
        <w:rPr>
          <w:rFonts w:asciiTheme="minorHAnsi" w:eastAsiaTheme="minorEastAsia" w:hAnsiTheme="minorHAnsi" w:cstheme="minorBidi"/>
          <w:noProof/>
          <w:kern w:val="0"/>
          <w:sz w:val="22"/>
          <w:szCs w:val="22"/>
        </w:rPr>
      </w:pPr>
      <w:r>
        <w:rPr>
          <w:noProof/>
        </w:rPr>
        <w:t>1.1  Name of Determination</w:t>
      </w:r>
      <w:r>
        <w:rPr>
          <w:noProof/>
        </w:rPr>
        <w:tab/>
      </w:r>
      <w:r>
        <w:rPr>
          <w:noProof/>
        </w:rPr>
        <w:fldChar w:fldCharType="begin"/>
      </w:r>
      <w:r>
        <w:rPr>
          <w:noProof/>
        </w:rPr>
        <w:instrText xml:space="preserve"> PAGEREF _Toc13233466 \h </w:instrText>
      </w:r>
      <w:r>
        <w:rPr>
          <w:noProof/>
        </w:rPr>
      </w:r>
      <w:r>
        <w:rPr>
          <w:noProof/>
        </w:rPr>
        <w:fldChar w:fldCharType="separate"/>
      </w:r>
      <w:r w:rsidR="00497E3C">
        <w:rPr>
          <w:noProof/>
        </w:rPr>
        <w:t>1</w:t>
      </w:r>
      <w:r>
        <w:rPr>
          <w:noProof/>
        </w:rPr>
        <w:fldChar w:fldCharType="end"/>
      </w:r>
    </w:p>
    <w:p w14:paraId="1BB8A923" w14:textId="77777777" w:rsidR="005168F5" w:rsidRDefault="005168F5">
      <w:pPr>
        <w:pStyle w:val="TOC3"/>
        <w:rPr>
          <w:rFonts w:asciiTheme="minorHAnsi" w:eastAsiaTheme="minorEastAsia" w:hAnsiTheme="minorHAnsi" w:cstheme="minorBidi"/>
          <w:b w:val="0"/>
          <w:noProof/>
          <w:kern w:val="0"/>
          <w:szCs w:val="22"/>
        </w:rPr>
      </w:pPr>
      <w:r>
        <w:rPr>
          <w:noProof/>
        </w:rPr>
        <w:t>Division 1.1.1—Overview</w:t>
      </w:r>
      <w:r>
        <w:rPr>
          <w:noProof/>
        </w:rPr>
        <w:tab/>
      </w:r>
      <w:r>
        <w:rPr>
          <w:noProof/>
        </w:rPr>
        <w:fldChar w:fldCharType="begin"/>
      </w:r>
      <w:r>
        <w:rPr>
          <w:noProof/>
        </w:rPr>
        <w:instrText xml:space="preserve"> PAGEREF _Toc13233467 \h </w:instrText>
      </w:r>
      <w:r>
        <w:rPr>
          <w:noProof/>
        </w:rPr>
      </w:r>
      <w:r>
        <w:rPr>
          <w:noProof/>
        </w:rPr>
        <w:fldChar w:fldCharType="separate"/>
      </w:r>
      <w:r w:rsidR="00497E3C">
        <w:rPr>
          <w:noProof/>
        </w:rPr>
        <w:t>1</w:t>
      </w:r>
      <w:r>
        <w:rPr>
          <w:noProof/>
        </w:rPr>
        <w:fldChar w:fldCharType="end"/>
      </w:r>
    </w:p>
    <w:p w14:paraId="163D6342" w14:textId="77777777" w:rsidR="005168F5" w:rsidRDefault="005168F5">
      <w:pPr>
        <w:pStyle w:val="TOC5"/>
        <w:rPr>
          <w:rFonts w:asciiTheme="minorHAnsi" w:eastAsiaTheme="minorEastAsia" w:hAnsiTheme="minorHAnsi" w:cstheme="minorBidi"/>
          <w:noProof/>
          <w:kern w:val="0"/>
          <w:sz w:val="22"/>
          <w:szCs w:val="22"/>
        </w:rPr>
      </w:pPr>
      <w:r>
        <w:rPr>
          <w:noProof/>
        </w:rPr>
        <w:t>1.3  Overview—general</w:t>
      </w:r>
      <w:r>
        <w:rPr>
          <w:noProof/>
        </w:rPr>
        <w:tab/>
      </w:r>
      <w:r>
        <w:rPr>
          <w:noProof/>
        </w:rPr>
        <w:fldChar w:fldCharType="begin"/>
      </w:r>
      <w:r>
        <w:rPr>
          <w:noProof/>
        </w:rPr>
        <w:instrText xml:space="preserve"> PAGEREF _Toc13233468 \h </w:instrText>
      </w:r>
      <w:r>
        <w:rPr>
          <w:noProof/>
        </w:rPr>
      </w:r>
      <w:r>
        <w:rPr>
          <w:noProof/>
        </w:rPr>
        <w:fldChar w:fldCharType="separate"/>
      </w:r>
      <w:r w:rsidR="00497E3C">
        <w:rPr>
          <w:noProof/>
        </w:rPr>
        <w:t>1</w:t>
      </w:r>
      <w:r>
        <w:rPr>
          <w:noProof/>
        </w:rPr>
        <w:fldChar w:fldCharType="end"/>
      </w:r>
    </w:p>
    <w:p w14:paraId="4C158FA7" w14:textId="77777777" w:rsidR="005168F5" w:rsidRDefault="005168F5">
      <w:pPr>
        <w:pStyle w:val="TOC5"/>
        <w:rPr>
          <w:rFonts w:asciiTheme="minorHAnsi" w:eastAsiaTheme="minorEastAsia" w:hAnsiTheme="minorHAnsi" w:cstheme="minorBidi"/>
          <w:noProof/>
          <w:kern w:val="0"/>
          <w:sz w:val="22"/>
          <w:szCs w:val="22"/>
        </w:rPr>
      </w:pPr>
      <w:r>
        <w:rPr>
          <w:noProof/>
        </w:rPr>
        <w:t>1.4  Overview—methods for measurement</w:t>
      </w:r>
      <w:r>
        <w:rPr>
          <w:noProof/>
        </w:rPr>
        <w:tab/>
      </w:r>
      <w:r>
        <w:rPr>
          <w:noProof/>
        </w:rPr>
        <w:fldChar w:fldCharType="begin"/>
      </w:r>
      <w:r>
        <w:rPr>
          <w:noProof/>
        </w:rPr>
        <w:instrText xml:space="preserve"> PAGEREF _Toc13233469 \h </w:instrText>
      </w:r>
      <w:r>
        <w:rPr>
          <w:noProof/>
        </w:rPr>
      </w:r>
      <w:r>
        <w:rPr>
          <w:noProof/>
        </w:rPr>
        <w:fldChar w:fldCharType="separate"/>
      </w:r>
      <w:r w:rsidR="00497E3C">
        <w:rPr>
          <w:noProof/>
        </w:rPr>
        <w:t>2</w:t>
      </w:r>
      <w:r>
        <w:rPr>
          <w:noProof/>
        </w:rPr>
        <w:fldChar w:fldCharType="end"/>
      </w:r>
    </w:p>
    <w:p w14:paraId="7234C7BE" w14:textId="77777777" w:rsidR="005168F5" w:rsidRDefault="005168F5">
      <w:pPr>
        <w:pStyle w:val="TOC5"/>
        <w:rPr>
          <w:rFonts w:asciiTheme="minorHAnsi" w:eastAsiaTheme="minorEastAsia" w:hAnsiTheme="minorHAnsi" w:cstheme="minorBidi"/>
          <w:noProof/>
          <w:kern w:val="0"/>
          <w:sz w:val="22"/>
          <w:szCs w:val="22"/>
        </w:rPr>
      </w:pPr>
      <w:r>
        <w:rPr>
          <w:noProof/>
        </w:rPr>
        <w:t>1.5  Overview—energy</w:t>
      </w:r>
      <w:r>
        <w:rPr>
          <w:noProof/>
        </w:rPr>
        <w:tab/>
      </w:r>
      <w:r>
        <w:rPr>
          <w:noProof/>
        </w:rPr>
        <w:fldChar w:fldCharType="begin"/>
      </w:r>
      <w:r>
        <w:rPr>
          <w:noProof/>
        </w:rPr>
        <w:instrText xml:space="preserve"> PAGEREF _Toc13233470 \h </w:instrText>
      </w:r>
      <w:r>
        <w:rPr>
          <w:noProof/>
        </w:rPr>
      </w:r>
      <w:r>
        <w:rPr>
          <w:noProof/>
        </w:rPr>
        <w:fldChar w:fldCharType="separate"/>
      </w:r>
      <w:r w:rsidR="00497E3C">
        <w:rPr>
          <w:noProof/>
        </w:rPr>
        <w:t>2</w:t>
      </w:r>
      <w:r>
        <w:rPr>
          <w:noProof/>
        </w:rPr>
        <w:fldChar w:fldCharType="end"/>
      </w:r>
    </w:p>
    <w:p w14:paraId="6DDFA833" w14:textId="77777777" w:rsidR="005168F5" w:rsidRDefault="005168F5">
      <w:pPr>
        <w:pStyle w:val="TOC5"/>
        <w:rPr>
          <w:rFonts w:asciiTheme="minorHAnsi" w:eastAsiaTheme="minorEastAsia" w:hAnsiTheme="minorHAnsi" w:cstheme="minorBidi"/>
          <w:noProof/>
          <w:kern w:val="0"/>
          <w:sz w:val="22"/>
          <w:szCs w:val="22"/>
        </w:rPr>
      </w:pPr>
      <w:r>
        <w:rPr>
          <w:noProof/>
        </w:rPr>
        <w:t>1.6  Overview—scope 2 emissions</w:t>
      </w:r>
      <w:r>
        <w:rPr>
          <w:noProof/>
        </w:rPr>
        <w:tab/>
      </w:r>
      <w:r>
        <w:rPr>
          <w:noProof/>
        </w:rPr>
        <w:fldChar w:fldCharType="begin"/>
      </w:r>
      <w:r>
        <w:rPr>
          <w:noProof/>
        </w:rPr>
        <w:instrText xml:space="preserve"> PAGEREF _Toc13233471 \h </w:instrText>
      </w:r>
      <w:r>
        <w:rPr>
          <w:noProof/>
        </w:rPr>
      </w:r>
      <w:r>
        <w:rPr>
          <w:noProof/>
        </w:rPr>
        <w:fldChar w:fldCharType="separate"/>
      </w:r>
      <w:r w:rsidR="00497E3C">
        <w:rPr>
          <w:noProof/>
        </w:rPr>
        <w:t>2</w:t>
      </w:r>
      <w:r>
        <w:rPr>
          <w:noProof/>
        </w:rPr>
        <w:fldChar w:fldCharType="end"/>
      </w:r>
    </w:p>
    <w:p w14:paraId="3844A730" w14:textId="77777777" w:rsidR="005168F5" w:rsidRDefault="005168F5">
      <w:pPr>
        <w:pStyle w:val="TOC5"/>
        <w:rPr>
          <w:rFonts w:asciiTheme="minorHAnsi" w:eastAsiaTheme="minorEastAsia" w:hAnsiTheme="minorHAnsi" w:cstheme="minorBidi"/>
          <w:noProof/>
          <w:kern w:val="0"/>
          <w:sz w:val="22"/>
          <w:szCs w:val="22"/>
        </w:rPr>
      </w:pPr>
      <w:r>
        <w:rPr>
          <w:noProof/>
        </w:rPr>
        <w:t>1.7  Overview—assessment of uncertainty</w:t>
      </w:r>
      <w:r>
        <w:rPr>
          <w:noProof/>
        </w:rPr>
        <w:tab/>
      </w:r>
      <w:r>
        <w:rPr>
          <w:noProof/>
        </w:rPr>
        <w:fldChar w:fldCharType="begin"/>
      </w:r>
      <w:r>
        <w:rPr>
          <w:noProof/>
        </w:rPr>
        <w:instrText xml:space="preserve"> PAGEREF _Toc13233472 \h </w:instrText>
      </w:r>
      <w:r>
        <w:rPr>
          <w:noProof/>
        </w:rPr>
      </w:r>
      <w:r>
        <w:rPr>
          <w:noProof/>
        </w:rPr>
        <w:fldChar w:fldCharType="separate"/>
      </w:r>
      <w:r w:rsidR="00497E3C">
        <w:rPr>
          <w:noProof/>
        </w:rPr>
        <w:t>2</w:t>
      </w:r>
      <w:r>
        <w:rPr>
          <w:noProof/>
        </w:rPr>
        <w:fldChar w:fldCharType="end"/>
      </w:r>
    </w:p>
    <w:p w14:paraId="3CCE9D40" w14:textId="77777777" w:rsidR="005168F5" w:rsidRDefault="005168F5">
      <w:pPr>
        <w:pStyle w:val="TOC3"/>
        <w:rPr>
          <w:rFonts w:asciiTheme="minorHAnsi" w:eastAsiaTheme="minorEastAsia" w:hAnsiTheme="minorHAnsi" w:cstheme="minorBidi"/>
          <w:b w:val="0"/>
          <w:noProof/>
          <w:kern w:val="0"/>
          <w:szCs w:val="22"/>
        </w:rPr>
      </w:pPr>
      <w:r>
        <w:rPr>
          <w:noProof/>
        </w:rPr>
        <w:t>Division 1.1.2—Definitions and interpretation</w:t>
      </w:r>
      <w:r>
        <w:rPr>
          <w:noProof/>
        </w:rPr>
        <w:tab/>
      </w:r>
      <w:r>
        <w:rPr>
          <w:noProof/>
        </w:rPr>
        <w:fldChar w:fldCharType="begin"/>
      </w:r>
      <w:r>
        <w:rPr>
          <w:noProof/>
        </w:rPr>
        <w:instrText xml:space="preserve"> PAGEREF _Toc13233473 \h </w:instrText>
      </w:r>
      <w:r>
        <w:rPr>
          <w:noProof/>
        </w:rPr>
      </w:r>
      <w:r>
        <w:rPr>
          <w:noProof/>
        </w:rPr>
        <w:fldChar w:fldCharType="separate"/>
      </w:r>
      <w:r w:rsidR="00497E3C">
        <w:rPr>
          <w:noProof/>
        </w:rPr>
        <w:t>3</w:t>
      </w:r>
      <w:r>
        <w:rPr>
          <w:noProof/>
        </w:rPr>
        <w:fldChar w:fldCharType="end"/>
      </w:r>
    </w:p>
    <w:p w14:paraId="5D737EA8" w14:textId="77777777" w:rsidR="005168F5" w:rsidRDefault="005168F5">
      <w:pPr>
        <w:pStyle w:val="TOC5"/>
        <w:rPr>
          <w:rFonts w:asciiTheme="minorHAnsi" w:eastAsiaTheme="minorEastAsia" w:hAnsiTheme="minorHAnsi" w:cstheme="minorBidi"/>
          <w:noProof/>
          <w:kern w:val="0"/>
          <w:sz w:val="22"/>
          <w:szCs w:val="22"/>
        </w:rPr>
      </w:pPr>
      <w:r>
        <w:rPr>
          <w:noProof/>
        </w:rPr>
        <w:t>1.8  Definitions</w:t>
      </w:r>
      <w:r>
        <w:rPr>
          <w:noProof/>
        </w:rPr>
        <w:tab/>
      </w:r>
      <w:r>
        <w:rPr>
          <w:noProof/>
        </w:rPr>
        <w:fldChar w:fldCharType="begin"/>
      </w:r>
      <w:r>
        <w:rPr>
          <w:noProof/>
        </w:rPr>
        <w:instrText xml:space="preserve"> PAGEREF _Toc13233474 \h </w:instrText>
      </w:r>
      <w:r>
        <w:rPr>
          <w:noProof/>
        </w:rPr>
      </w:r>
      <w:r>
        <w:rPr>
          <w:noProof/>
        </w:rPr>
        <w:fldChar w:fldCharType="separate"/>
      </w:r>
      <w:r w:rsidR="00497E3C">
        <w:rPr>
          <w:noProof/>
        </w:rPr>
        <w:t>3</w:t>
      </w:r>
      <w:r>
        <w:rPr>
          <w:noProof/>
        </w:rPr>
        <w:fldChar w:fldCharType="end"/>
      </w:r>
    </w:p>
    <w:p w14:paraId="32CEEE24" w14:textId="77777777" w:rsidR="005168F5" w:rsidRDefault="005168F5">
      <w:pPr>
        <w:pStyle w:val="TOC5"/>
        <w:rPr>
          <w:rFonts w:asciiTheme="minorHAnsi" w:eastAsiaTheme="minorEastAsia" w:hAnsiTheme="minorHAnsi" w:cstheme="minorBidi"/>
          <w:noProof/>
          <w:kern w:val="0"/>
          <w:sz w:val="22"/>
          <w:szCs w:val="22"/>
        </w:rPr>
      </w:pPr>
      <w:r>
        <w:rPr>
          <w:noProof/>
        </w:rPr>
        <w:t>1.9  Interpretation</w:t>
      </w:r>
      <w:r>
        <w:rPr>
          <w:noProof/>
        </w:rPr>
        <w:tab/>
      </w:r>
      <w:r>
        <w:rPr>
          <w:noProof/>
        </w:rPr>
        <w:fldChar w:fldCharType="begin"/>
      </w:r>
      <w:r>
        <w:rPr>
          <w:noProof/>
        </w:rPr>
        <w:instrText xml:space="preserve"> PAGEREF _Toc13233475 \h </w:instrText>
      </w:r>
      <w:r>
        <w:rPr>
          <w:noProof/>
        </w:rPr>
      </w:r>
      <w:r>
        <w:rPr>
          <w:noProof/>
        </w:rPr>
        <w:fldChar w:fldCharType="separate"/>
      </w:r>
      <w:r w:rsidR="00497E3C">
        <w:rPr>
          <w:noProof/>
        </w:rPr>
        <w:t>14</w:t>
      </w:r>
      <w:r>
        <w:rPr>
          <w:noProof/>
        </w:rPr>
        <w:fldChar w:fldCharType="end"/>
      </w:r>
    </w:p>
    <w:p w14:paraId="47929F43" w14:textId="77777777" w:rsidR="005168F5" w:rsidRDefault="005168F5">
      <w:pPr>
        <w:pStyle w:val="TOC5"/>
        <w:rPr>
          <w:rFonts w:asciiTheme="minorHAnsi" w:eastAsiaTheme="minorEastAsia" w:hAnsiTheme="minorHAnsi" w:cstheme="minorBidi"/>
          <w:noProof/>
          <w:kern w:val="0"/>
          <w:sz w:val="22"/>
          <w:szCs w:val="22"/>
        </w:rPr>
      </w:pPr>
      <w:r>
        <w:rPr>
          <w:noProof/>
        </w:rPr>
        <w:t xml:space="preserve">1.9A  Meaning of </w:t>
      </w:r>
      <w:r w:rsidRPr="00F869F2">
        <w:rPr>
          <w:i/>
          <w:noProof/>
        </w:rPr>
        <w:t>separate instance of a source</w:t>
      </w:r>
      <w:r>
        <w:rPr>
          <w:noProof/>
        </w:rPr>
        <w:tab/>
      </w:r>
      <w:r>
        <w:rPr>
          <w:noProof/>
        </w:rPr>
        <w:fldChar w:fldCharType="begin"/>
      </w:r>
      <w:r>
        <w:rPr>
          <w:noProof/>
        </w:rPr>
        <w:instrText xml:space="preserve"> PAGEREF _Toc13233476 \h </w:instrText>
      </w:r>
      <w:r>
        <w:rPr>
          <w:noProof/>
        </w:rPr>
      </w:r>
      <w:r>
        <w:rPr>
          <w:noProof/>
        </w:rPr>
        <w:fldChar w:fldCharType="separate"/>
      </w:r>
      <w:r w:rsidR="00497E3C">
        <w:rPr>
          <w:noProof/>
        </w:rPr>
        <w:t>14</w:t>
      </w:r>
      <w:r>
        <w:rPr>
          <w:noProof/>
        </w:rPr>
        <w:fldChar w:fldCharType="end"/>
      </w:r>
    </w:p>
    <w:p w14:paraId="5EF4B26B" w14:textId="77777777" w:rsidR="005168F5" w:rsidRDefault="005168F5">
      <w:pPr>
        <w:pStyle w:val="TOC5"/>
        <w:rPr>
          <w:rFonts w:asciiTheme="minorHAnsi" w:eastAsiaTheme="minorEastAsia" w:hAnsiTheme="minorHAnsi" w:cstheme="minorBidi"/>
          <w:noProof/>
          <w:kern w:val="0"/>
          <w:sz w:val="22"/>
          <w:szCs w:val="22"/>
        </w:rPr>
      </w:pPr>
      <w:r>
        <w:rPr>
          <w:noProof/>
        </w:rPr>
        <w:t xml:space="preserve">1.9B  Meaning of </w:t>
      </w:r>
      <w:r w:rsidRPr="00F869F2">
        <w:rPr>
          <w:i/>
          <w:noProof/>
        </w:rPr>
        <w:t>separate occurrence of a source</w:t>
      </w:r>
      <w:r>
        <w:rPr>
          <w:noProof/>
        </w:rPr>
        <w:tab/>
      </w:r>
      <w:r>
        <w:rPr>
          <w:noProof/>
        </w:rPr>
        <w:fldChar w:fldCharType="begin"/>
      </w:r>
      <w:r>
        <w:rPr>
          <w:noProof/>
        </w:rPr>
        <w:instrText xml:space="preserve"> PAGEREF _Toc13233477 \h </w:instrText>
      </w:r>
      <w:r>
        <w:rPr>
          <w:noProof/>
        </w:rPr>
      </w:r>
      <w:r>
        <w:rPr>
          <w:noProof/>
        </w:rPr>
        <w:fldChar w:fldCharType="separate"/>
      </w:r>
      <w:r w:rsidR="00497E3C">
        <w:rPr>
          <w:noProof/>
        </w:rPr>
        <w:t>14</w:t>
      </w:r>
      <w:r>
        <w:rPr>
          <w:noProof/>
        </w:rPr>
        <w:fldChar w:fldCharType="end"/>
      </w:r>
    </w:p>
    <w:p w14:paraId="6C6D8DFB" w14:textId="77777777" w:rsidR="005168F5" w:rsidRDefault="005168F5">
      <w:pPr>
        <w:pStyle w:val="TOC5"/>
        <w:rPr>
          <w:rFonts w:asciiTheme="minorHAnsi" w:eastAsiaTheme="minorEastAsia" w:hAnsiTheme="minorHAnsi" w:cstheme="minorBidi"/>
          <w:noProof/>
          <w:kern w:val="0"/>
          <w:sz w:val="22"/>
          <w:szCs w:val="22"/>
        </w:rPr>
      </w:pPr>
      <w:r>
        <w:rPr>
          <w:noProof/>
        </w:rPr>
        <w:t xml:space="preserve">1.10  Meaning of </w:t>
      </w:r>
      <w:r w:rsidRPr="00F869F2">
        <w:rPr>
          <w:i/>
          <w:noProof/>
        </w:rPr>
        <w:t>source</w:t>
      </w:r>
      <w:r>
        <w:rPr>
          <w:noProof/>
        </w:rPr>
        <w:tab/>
      </w:r>
      <w:r>
        <w:rPr>
          <w:noProof/>
        </w:rPr>
        <w:fldChar w:fldCharType="begin"/>
      </w:r>
      <w:r>
        <w:rPr>
          <w:noProof/>
        </w:rPr>
        <w:instrText xml:space="preserve"> PAGEREF _Toc13233478 \h </w:instrText>
      </w:r>
      <w:r>
        <w:rPr>
          <w:noProof/>
        </w:rPr>
      </w:r>
      <w:r>
        <w:rPr>
          <w:noProof/>
        </w:rPr>
        <w:fldChar w:fldCharType="separate"/>
      </w:r>
      <w:r w:rsidR="00497E3C">
        <w:rPr>
          <w:noProof/>
        </w:rPr>
        <w:t>14</w:t>
      </w:r>
      <w:r>
        <w:rPr>
          <w:noProof/>
        </w:rPr>
        <w:fldChar w:fldCharType="end"/>
      </w:r>
    </w:p>
    <w:p w14:paraId="41ECD197" w14:textId="77777777" w:rsidR="005168F5" w:rsidRDefault="005168F5">
      <w:pPr>
        <w:pStyle w:val="TOC2"/>
        <w:rPr>
          <w:rFonts w:asciiTheme="minorHAnsi" w:eastAsiaTheme="minorEastAsia" w:hAnsiTheme="minorHAnsi" w:cstheme="minorBidi"/>
          <w:b w:val="0"/>
          <w:noProof/>
          <w:kern w:val="0"/>
          <w:sz w:val="22"/>
          <w:szCs w:val="22"/>
        </w:rPr>
      </w:pPr>
      <w:r>
        <w:rPr>
          <w:noProof/>
        </w:rPr>
        <w:t>Part 1.2—General</w:t>
      </w:r>
      <w:r>
        <w:rPr>
          <w:noProof/>
        </w:rPr>
        <w:tab/>
      </w:r>
      <w:r>
        <w:rPr>
          <w:noProof/>
        </w:rPr>
        <w:fldChar w:fldCharType="begin"/>
      </w:r>
      <w:r>
        <w:rPr>
          <w:noProof/>
        </w:rPr>
        <w:instrText xml:space="preserve"> PAGEREF _Toc13233479 \h </w:instrText>
      </w:r>
      <w:r>
        <w:rPr>
          <w:noProof/>
        </w:rPr>
      </w:r>
      <w:r>
        <w:rPr>
          <w:noProof/>
        </w:rPr>
        <w:fldChar w:fldCharType="separate"/>
      </w:r>
      <w:r w:rsidR="00497E3C">
        <w:rPr>
          <w:noProof/>
        </w:rPr>
        <w:t>17</w:t>
      </w:r>
      <w:r>
        <w:rPr>
          <w:noProof/>
        </w:rPr>
        <w:fldChar w:fldCharType="end"/>
      </w:r>
    </w:p>
    <w:p w14:paraId="35316DFD" w14:textId="77777777" w:rsidR="005168F5" w:rsidRDefault="005168F5">
      <w:pPr>
        <w:pStyle w:val="TOC5"/>
        <w:rPr>
          <w:rFonts w:asciiTheme="minorHAnsi" w:eastAsiaTheme="minorEastAsia" w:hAnsiTheme="minorHAnsi" w:cstheme="minorBidi"/>
          <w:noProof/>
          <w:kern w:val="0"/>
          <w:sz w:val="22"/>
          <w:szCs w:val="22"/>
        </w:rPr>
      </w:pPr>
      <w:r>
        <w:rPr>
          <w:noProof/>
        </w:rPr>
        <w:t>1.11  Purpose of Part</w:t>
      </w:r>
      <w:r>
        <w:rPr>
          <w:noProof/>
        </w:rPr>
        <w:tab/>
      </w:r>
      <w:r>
        <w:rPr>
          <w:noProof/>
        </w:rPr>
        <w:fldChar w:fldCharType="begin"/>
      </w:r>
      <w:r>
        <w:rPr>
          <w:noProof/>
        </w:rPr>
        <w:instrText xml:space="preserve"> PAGEREF _Toc13233480 \h </w:instrText>
      </w:r>
      <w:r>
        <w:rPr>
          <w:noProof/>
        </w:rPr>
      </w:r>
      <w:r>
        <w:rPr>
          <w:noProof/>
        </w:rPr>
        <w:fldChar w:fldCharType="separate"/>
      </w:r>
      <w:r w:rsidR="00497E3C">
        <w:rPr>
          <w:noProof/>
        </w:rPr>
        <w:t>17</w:t>
      </w:r>
      <w:r>
        <w:rPr>
          <w:noProof/>
        </w:rPr>
        <w:fldChar w:fldCharType="end"/>
      </w:r>
    </w:p>
    <w:p w14:paraId="44555E79" w14:textId="77777777" w:rsidR="005168F5" w:rsidRDefault="005168F5">
      <w:pPr>
        <w:pStyle w:val="TOC3"/>
        <w:rPr>
          <w:rFonts w:asciiTheme="minorHAnsi" w:eastAsiaTheme="minorEastAsia" w:hAnsiTheme="minorHAnsi" w:cstheme="minorBidi"/>
          <w:b w:val="0"/>
          <w:noProof/>
          <w:kern w:val="0"/>
          <w:szCs w:val="22"/>
        </w:rPr>
      </w:pPr>
      <w:r>
        <w:rPr>
          <w:noProof/>
        </w:rPr>
        <w:t>Division 1.2.1—Measurement and standards</w:t>
      </w:r>
      <w:r>
        <w:rPr>
          <w:noProof/>
        </w:rPr>
        <w:tab/>
      </w:r>
      <w:r>
        <w:rPr>
          <w:noProof/>
        </w:rPr>
        <w:fldChar w:fldCharType="begin"/>
      </w:r>
      <w:r>
        <w:rPr>
          <w:noProof/>
        </w:rPr>
        <w:instrText xml:space="preserve"> PAGEREF _Toc13233481 \h </w:instrText>
      </w:r>
      <w:r>
        <w:rPr>
          <w:noProof/>
        </w:rPr>
      </w:r>
      <w:r>
        <w:rPr>
          <w:noProof/>
        </w:rPr>
        <w:fldChar w:fldCharType="separate"/>
      </w:r>
      <w:r w:rsidR="00497E3C">
        <w:rPr>
          <w:noProof/>
        </w:rPr>
        <w:t>17</w:t>
      </w:r>
      <w:r>
        <w:rPr>
          <w:noProof/>
        </w:rPr>
        <w:fldChar w:fldCharType="end"/>
      </w:r>
    </w:p>
    <w:p w14:paraId="1A162073" w14:textId="77777777" w:rsidR="005168F5" w:rsidRDefault="005168F5">
      <w:pPr>
        <w:pStyle w:val="TOC5"/>
        <w:rPr>
          <w:rFonts w:asciiTheme="minorHAnsi" w:eastAsiaTheme="minorEastAsia" w:hAnsiTheme="minorHAnsi" w:cstheme="minorBidi"/>
          <w:noProof/>
          <w:kern w:val="0"/>
          <w:sz w:val="22"/>
          <w:szCs w:val="22"/>
        </w:rPr>
      </w:pPr>
      <w:r>
        <w:rPr>
          <w:noProof/>
        </w:rPr>
        <w:t>1.12  Measurement of emissions and energy</w:t>
      </w:r>
      <w:r>
        <w:rPr>
          <w:noProof/>
        </w:rPr>
        <w:tab/>
      </w:r>
      <w:r>
        <w:rPr>
          <w:noProof/>
        </w:rPr>
        <w:fldChar w:fldCharType="begin"/>
      </w:r>
      <w:r>
        <w:rPr>
          <w:noProof/>
        </w:rPr>
        <w:instrText xml:space="preserve"> PAGEREF _Toc13233482 \h </w:instrText>
      </w:r>
      <w:r>
        <w:rPr>
          <w:noProof/>
        </w:rPr>
      </w:r>
      <w:r>
        <w:rPr>
          <w:noProof/>
        </w:rPr>
        <w:fldChar w:fldCharType="separate"/>
      </w:r>
      <w:r w:rsidR="00497E3C">
        <w:rPr>
          <w:noProof/>
        </w:rPr>
        <w:t>17</w:t>
      </w:r>
      <w:r>
        <w:rPr>
          <w:noProof/>
        </w:rPr>
        <w:fldChar w:fldCharType="end"/>
      </w:r>
    </w:p>
    <w:p w14:paraId="5DE7A31C" w14:textId="77777777" w:rsidR="005168F5" w:rsidRDefault="005168F5">
      <w:pPr>
        <w:pStyle w:val="TOC5"/>
        <w:rPr>
          <w:rFonts w:asciiTheme="minorHAnsi" w:eastAsiaTheme="minorEastAsia" w:hAnsiTheme="minorHAnsi" w:cstheme="minorBidi"/>
          <w:noProof/>
          <w:kern w:val="0"/>
          <w:sz w:val="22"/>
          <w:szCs w:val="22"/>
        </w:rPr>
      </w:pPr>
      <w:r>
        <w:rPr>
          <w:noProof/>
        </w:rPr>
        <w:t>1.13  General principles for measuring emissions and energy</w:t>
      </w:r>
      <w:r>
        <w:rPr>
          <w:noProof/>
        </w:rPr>
        <w:tab/>
      </w:r>
      <w:r>
        <w:rPr>
          <w:noProof/>
        </w:rPr>
        <w:fldChar w:fldCharType="begin"/>
      </w:r>
      <w:r>
        <w:rPr>
          <w:noProof/>
        </w:rPr>
        <w:instrText xml:space="preserve"> PAGEREF _Toc13233483 \h </w:instrText>
      </w:r>
      <w:r>
        <w:rPr>
          <w:noProof/>
        </w:rPr>
      </w:r>
      <w:r>
        <w:rPr>
          <w:noProof/>
        </w:rPr>
        <w:fldChar w:fldCharType="separate"/>
      </w:r>
      <w:r w:rsidR="00497E3C">
        <w:rPr>
          <w:noProof/>
        </w:rPr>
        <w:t>17</w:t>
      </w:r>
      <w:r>
        <w:rPr>
          <w:noProof/>
        </w:rPr>
        <w:fldChar w:fldCharType="end"/>
      </w:r>
    </w:p>
    <w:p w14:paraId="1A694004" w14:textId="77777777" w:rsidR="005168F5" w:rsidRDefault="005168F5">
      <w:pPr>
        <w:pStyle w:val="TOC5"/>
        <w:rPr>
          <w:rFonts w:asciiTheme="minorHAnsi" w:eastAsiaTheme="minorEastAsia" w:hAnsiTheme="minorHAnsi" w:cstheme="minorBidi"/>
          <w:noProof/>
          <w:kern w:val="0"/>
          <w:sz w:val="22"/>
          <w:szCs w:val="22"/>
        </w:rPr>
      </w:pPr>
      <w:r>
        <w:rPr>
          <w:noProof/>
        </w:rPr>
        <w:t>1.14  Assessment of uncertainty</w:t>
      </w:r>
      <w:r>
        <w:rPr>
          <w:noProof/>
        </w:rPr>
        <w:tab/>
      </w:r>
      <w:r>
        <w:rPr>
          <w:noProof/>
        </w:rPr>
        <w:fldChar w:fldCharType="begin"/>
      </w:r>
      <w:r>
        <w:rPr>
          <w:noProof/>
        </w:rPr>
        <w:instrText xml:space="preserve"> PAGEREF _Toc13233484 \h </w:instrText>
      </w:r>
      <w:r>
        <w:rPr>
          <w:noProof/>
        </w:rPr>
      </w:r>
      <w:r>
        <w:rPr>
          <w:noProof/>
        </w:rPr>
        <w:fldChar w:fldCharType="separate"/>
      </w:r>
      <w:r w:rsidR="00497E3C">
        <w:rPr>
          <w:noProof/>
        </w:rPr>
        <w:t>17</w:t>
      </w:r>
      <w:r>
        <w:rPr>
          <w:noProof/>
        </w:rPr>
        <w:fldChar w:fldCharType="end"/>
      </w:r>
    </w:p>
    <w:p w14:paraId="52C9A0EF" w14:textId="77777777" w:rsidR="005168F5" w:rsidRDefault="005168F5">
      <w:pPr>
        <w:pStyle w:val="TOC5"/>
        <w:rPr>
          <w:rFonts w:asciiTheme="minorHAnsi" w:eastAsiaTheme="minorEastAsia" w:hAnsiTheme="minorHAnsi" w:cstheme="minorBidi"/>
          <w:noProof/>
          <w:kern w:val="0"/>
          <w:sz w:val="22"/>
          <w:szCs w:val="22"/>
        </w:rPr>
      </w:pPr>
      <w:r>
        <w:rPr>
          <w:noProof/>
        </w:rPr>
        <w:t>1.15  Units of measurement</w:t>
      </w:r>
      <w:r>
        <w:rPr>
          <w:noProof/>
        </w:rPr>
        <w:tab/>
      </w:r>
      <w:r>
        <w:rPr>
          <w:noProof/>
        </w:rPr>
        <w:fldChar w:fldCharType="begin"/>
      </w:r>
      <w:r>
        <w:rPr>
          <w:noProof/>
        </w:rPr>
        <w:instrText xml:space="preserve"> PAGEREF _Toc13233485 \h </w:instrText>
      </w:r>
      <w:r>
        <w:rPr>
          <w:noProof/>
        </w:rPr>
      </w:r>
      <w:r>
        <w:rPr>
          <w:noProof/>
        </w:rPr>
        <w:fldChar w:fldCharType="separate"/>
      </w:r>
      <w:r w:rsidR="00497E3C">
        <w:rPr>
          <w:noProof/>
        </w:rPr>
        <w:t>18</w:t>
      </w:r>
      <w:r>
        <w:rPr>
          <w:noProof/>
        </w:rPr>
        <w:fldChar w:fldCharType="end"/>
      </w:r>
    </w:p>
    <w:p w14:paraId="1C2FD59B" w14:textId="77777777" w:rsidR="005168F5" w:rsidRDefault="005168F5">
      <w:pPr>
        <w:pStyle w:val="TOC5"/>
        <w:rPr>
          <w:rFonts w:asciiTheme="minorHAnsi" w:eastAsiaTheme="minorEastAsia" w:hAnsiTheme="minorHAnsi" w:cstheme="minorBidi"/>
          <w:noProof/>
          <w:kern w:val="0"/>
          <w:sz w:val="22"/>
          <w:szCs w:val="22"/>
        </w:rPr>
      </w:pPr>
      <w:r>
        <w:rPr>
          <w:noProof/>
        </w:rPr>
        <w:t>1.16  Rounding of amounts</w:t>
      </w:r>
      <w:r>
        <w:rPr>
          <w:noProof/>
        </w:rPr>
        <w:tab/>
      </w:r>
      <w:r>
        <w:rPr>
          <w:noProof/>
        </w:rPr>
        <w:fldChar w:fldCharType="begin"/>
      </w:r>
      <w:r>
        <w:rPr>
          <w:noProof/>
        </w:rPr>
        <w:instrText xml:space="preserve"> PAGEREF _Toc13233486 \h </w:instrText>
      </w:r>
      <w:r>
        <w:rPr>
          <w:noProof/>
        </w:rPr>
      </w:r>
      <w:r>
        <w:rPr>
          <w:noProof/>
        </w:rPr>
        <w:fldChar w:fldCharType="separate"/>
      </w:r>
      <w:r w:rsidR="00497E3C">
        <w:rPr>
          <w:noProof/>
        </w:rPr>
        <w:t>18</w:t>
      </w:r>
      <w:r>
        <w:rPr>
          <w:noProof/>
        </w:rPr>
        <w:fldChar w:fldCharType="end"/>
      </w:r>
    </w:p>
    <w:p w14:paraId="72225A8C" w14:textId="77777777" w:rsidR="005168F5" w:rsidRDefault="005168F5">
      <w:pPr>
        <w:pStyle w:val="TOC5"/>
        <w:rPr>
          <w:rFonts w:asciiTheme="minorHAnsi" w:eastAsiaTheme="minorEastAsia" w:hAnsiTheme="minorHAnsi" w:cstheme="minorBidi"/>
          <w:noProof/>
          <w:kern w:val="0"/>
          <w:sz w:val="22"/>
          <w:szCs w:val="22"/>
        </w:rPr>
      </w:pPr>
      <w:r>
        <w:rPr>
          <w:noProof/>
        </w:rPr>
        <w:t>1.17  Status of standards</w:t>
      </w:r>
      <w:r>
        <w:rPr>
          <w:noProof/>
        </w:rPr>
        <w:tab/>
      </w:r>
      <w:r>
        <w:rPr>
          <w:noProof/>
        </w:rPr>
        <w:fldChar w:fldCharType="begin"/>
      </w:r>
      <w:r>
        <w:rPr>
          <w:noProof/>
        </w:rPr>
        <w:instrText xml:space="preserve"> PAGEREF _Toc13233487 \h </w:instrText>
      </w:r>
      <w:r>
        <w:rPr>
          <w:noProof/>
        </w:rPr>
      </w:r>
      <w:r>
        <w:rPr>
          <w:noProof/>
        </w:rPr>
        <w:fldChar w:fldCharType="separate"/>
      </w:r>
      <w:r w:rsidR="00497E3C">
        <w:rPr>
          <w:noProof/>
        </w:rPr>
        <w:t>18</w:t>
      </w:r>
      <w:r>
        <w:rPr>
          <w:noProof/>
        </w:rPr>
        <w:fldChar w:fldCharType="end"/>
      </w:r>
    </w:p>
    <w:p w14:paraId="2AF89264" w14:textId="77777777" w:rsidR="005168F5" w:rsidRDefault="005168F5">
      <w:pPr>
        <w:pStyle w:val="TOC3"/>
        <w:rPr>
          <w:rFonts w:asciiTheme="minorHAnsi" w:eastAsiaTheme="minorEastAsia" w:hAnsiTheme="minorHAnsi" w:cstheme="minorBidi"/>
          <w:b w:val="0"/>
          <w:noProof/>
          <w:kern w:val="0"/>
          <w:szCs w:val="22"/>
        </w:rPr>
      </w:pPr>
      <w:r>
        <w:rPr>
          <w:noProof/>
        </w:rPr>
        <w:t>Division 1.2.2—Methods</w:t>
      </w:r>
      <w:r>
        <w:rPr>
          <w:noProof/>
        </w:rPr>
        <w:tab/>
      </w:r>
      <w:r>
        <w:rPr>
          <w:noProof/>
        </w:rPr>
        <w:fldChar w:fldCharType="begin"/>
      </w:r>
      <w:r>
        <w:rPr>
          <w:noProof/>
        </w:rPr>
        <w:instrText xml:space="preserve"> PAGEREF _Toc13233488 \h </w:instrText>
      </w:r>
      <w:r>
        <w:rPr>
          <w:noProof/>
        </w:rPr>
      </w:r>
      <w:r>
        <w:rPr>
          <w:noProof/>
        </w:rPr>
        <w:fldChar w:fldCharType="separate"/>
      </w:r>
      <w:r w:rsidR="00497E3C">
        <w:rPr>
          <w:noProof/>
        </w:rPr>
        <w:t>19</w:t>
      </w:r>
      <w:r>
        <w:rPr>
          <w:noProof/>
        </w:rPr>
        <w:fldChar w:fldCharType="end"/>
      </w:r>
    </w:p>
    <w:p w14:paraId="1D14BE9A" w14:textId="77777777" w:rsidR="005168F5" w:rsidRDefault="005168F5">
      <w:pPr>
        <w:pStyle w:val="TOC5"/>
        <w:rPr>
          <w:rFonts w:asciiTheme="minorHAnsi" w:eastAsiaTheme="minorEastAsia" w:hAnsiTheme="minorHAnsi" w:cstheme="minorBidi"/>
          <w:noProof/>
          <w:kern w:val="0"/>
          <w:sz w:val="22"/>
          <w:szCs w:val="22"/>
        </w:rPr>
      </w:pPr>
      <w:r>
        <w:rPr>
          <w:noProof/>
        </w:rPr>
        <w:t>1.18  Method to be used for a separate occurrence of a source</w:t>
      </w:r>
      <w:r>
        <w:rPr>
          <w:noProof/>
        </w:rPr>
        <w:tab/>
      </w:r>
      <w:r>
        <w:rPr>
          <w:noProof/>
        </w:rPr>
        <w:fldChar w:fldCharType="begin"/>
      </w:r>
      <w:r>
        <w:rPr>
          <w:noProof/>
        </w:rPr>
        <w:instrText xml:space="preserve"> PAGEREF _Toc13233489 \h </w:instrText>
      </w:r>
      <w:r>
        <w:rPr>
          <w:noProof/>
        </w:rPr>
      </w:r>
      <w:r>
        <w:rPr>
          <w:noProof/>
        </w:rPr>
        <w:fldChar w:fldCharType="separate"/>
      </w:r>
      <w:r w:rsidR="00497E3C">
        <w:rPr>
          <w:noProof/>
        </w:rPr>
        <w:t>19</w:t>
      </w:r>
      <w:r>
        <w:rPr>
          <w:noProof/>
        </w:rPr>
        <w:fldChar w:fldCharType="end"/>
      </w:r>
    </w:p>
    <w:p w14:paraId="3FE0DD3B" w14:textId="77777777" w:rsidR="005168F5" w:rsidRDefault="005168F5">
      <w:pPr>
        <w:pStyle w:val="TOC5"/>
        <w:rPr>
          <w:rFonts w:asciiTheme="minorHAnsi" w:eastAsiaTheme="minorEastAsia" w:hAnsiTheme="minorHAnsi" w:cstheme="minorBidi"/>
          <w:noProof/>
          <w:kern w:val="0"/>
          <w:sz w:val="22"/>
          <w:szCs w:val="22"/>
        </w:rPr>
      </w:pPr>
      <w:r>
        <w:rPr>
          <w:noProof/>
        </w:rPr>
        <w:t>1.18A  Conditions—persons preparing report must use same method</w:t>
      </w:r>
      <w:r>
        <w:rPr>
          <w:noProof/>
        </w:rPr>
        <w:tab/>
      </w:r>
      <w:r>
        <w:rPr>
          <w:noProof/>
        </w:rPr>
        <w:fldChar w:fldCharType="begin"/>
      </w:r>
      <w:r>
        <w:rPr>
          <w:noProof/>
        </w:rPr>
        <w:instrText xml:space="preserve"> PAGEREF _Toc13233490 \h </w:instrText>
      </w:r>
      <w:r>
        <w:rPr>
          <w:noProof/>
        </w:rPr>
      </w:r>
      <w:r>
        <w:rPr>
          <w:noProof/>
        </w:rPr>
        <w:fldChar w:fldCharType="separate"/>
      </w:r>
      <w:r w:rsidR="00497E3C">
        <w:rPr>
          <w:noProof/>
        </w:rPr>
        <w:t>20</w:t>
      </w:r>
      <w:r>
        <w:rPr>
          <w:noProof/>
        </w:rPr>
        <w:fldChar w:fldCharType="end"/>
      </w:r>
    </w:p>
    <w:p w14:paraId="3093FE9F" w14:textId="77777777" w:rsidR="005168F5" w:rsidRDefault="005168F5">
      <w:pPr>
        <w:pStyle w:val="TOC5"/>
        <w:rPr>
          <w:rFonts w:asciiTheme="minorHAnsi" w:eastAsiaTheme="minorEastAsia" w:hAnsiTheme="minorHAnsi" w:cstheme="minorBidi"/>
          <w:noProof/>
          <w:kern w:val="0"/>
          <w:sz w:val="22"/>
          <w:szCs w:val="22"/>
        </w:rPr>
      </w:pPr>
      <w:r>
        <w:rPr>
          <w:noProof/>
        </w:rPr>
        <w:t>1.19  Temporary unavailability of method</w:t>
      </w:r>
      <w:r>
        <w:rPr>
          <w:noProof/>
        </w:rPr>
        <w:tab/>
      </w:r>
      <w:r>
        <w:rPr>
          <w:noProof/>
        </w:rPr>
        <w:fldChar w:fldCharType="begin"/>
      </w:r>
      <w:r>
        <w:rPr>
          <w:noProof/>
        </w:rPr>
        <w:instrText xml:space="preserve"> PAGEREF _Toc13233491 \h </w:instrText>
      </w:r>
      <w:r>
        <w:rPr>
          <w:noProof/>
        </w:rPr>
      </w:r>
      <w:r>
        <w:rPr>
          <w:noProof/>
        </w:rPr>
        <w:fldChar w:fldCharType="separate"/>
      </w:r>
      <w:r w:rsidR="00497E3C">
        <w:rPr>
          <w:noProof/>
        </w:rPr>
        <w:t>21</w:t>
      </w:r>
      <w:r>
        <w:rPr>
          <w:noProof/>
        </w:rPr>
        <w:fldChar w:fldCharType="end"/>
      </w:r>
    </w:p>
    <w:p w14:paraId="389BD99A" w14:textId="77777777" w:rsidR="005168F5" w:rsidRDefault="005168F5">
      <w:pPr>
        <w:pStyle w:val="TOC3"/>
        <w:rPr>
          <w:rFonts w:asciiTheme="minorHAnsi" w:eastAsiaTheme="minorEastAsia" w:hAnsiTheme="minorHAnsi" w:cstheme="minorBidi"/>
          <w:b w:val="0"/>
          <w:noProof/>
          <w:kern w:val="0"/>
          <w:szCs w:val="22"/>
        </w:rPr>
      </w:pPr>
      <w:r>
        <w:rPr>
          <w:noProof/>
        </w:rPr>
        <w:t>Division 1.2.3—Requirements in relation to carbon capture and storage</w:t>
      </w:r>
      <w:r>
        <w:rPr>
          <w:noProof/>
        </w:rPr>
        <w:tab/>
      </w:r>
      <w:r>
        <w:rPr>
          <w:noProof/>
        </w:rPr>
        <w:fldChar w:fldCharType="begin"/>
      </w:r>
      <w:r>
        <w:rPr>
          <w:noProof/>
        </w:rPr>
        <w:instrText xml:space="preserve"> PAGEREF _Toc13233492 \h </w:instrText>
      </w:r>
      <w:r>
        <w:rPr>
          <w:noProof/>
        </w:rPr>
      </w:r>
      <w:r>
        <w:rPr>
          <w:noProof/>
        </w:rPr>
        <w:fldChar w:fldCharType="separate"/>
      </w:r>
      <w:r w:rsidR="00497E3C">
        <w:rPr>
          <w:noProof/>
        </w:rPr>
        <w:t>22</w:t>
      </w:r>
      <w:r>
        <w:rPr>
          <w:noProof/>
        </w:rPr>
        <w:fldChar w:fldCharType="end"/>
      </w:r>
    </w:p>
    <w:p w14:paraId="4DF7B97E" w14:textId="77777777" w:rsidR="005168F5" w:rsidRDefault="005168F5">
      <w:pPr>
        <w:pStyle w:val="TOC5"/>
        <w:rPr>
          <w:rFonts w:asciiTheme="minorHAnsi" w:eastAsiaTheme="minorEastAsia" w:hAnsiTheme="minorHAnsi" w:cstheme="minorBidi"/>
          <w:noProof/>
          <w:kern w:val="0"/>
          <w:sz w:val="22"/>
          <w:szCs w:val="22"/>
        </w:rPr>
      </w:pPr>
      <w:r>
        <w:rPr>
          <w:noProof/>
        </w:rPr>
        <w:t xml:space="preserve">1.19A  Meaning of </w:t>
      </w:r>
      <w:r w:rsidRPr="00F869F2">
        <w:rPr>
          <w:i/>
          <w:noProof/>
        </w:rPr>
        <w:t>captured for permanent storage</w:t>
      </w:r>
      <w:r>
        <w:rPr>
          <w:noProof/>
        </w:rPr>
        <w:tab/>
      </w:r>
      <w:r>
        <w:rPr>
          <w:noProof/>
        </w:rPr>
        <w:fldChar w:fldCharType="begin"/>
      </w:r>
      <w:r>
        <w:rPr>
          <w:noProof/>
        </w:rPr>
        <w:instrText xml:space="preserve"> PAGEREF _Toc13233493 \h </w:instrText>
      </w:r>
      <w:r>
        <w:rPr>
          <w:noProof/>
        </w:rPr>
      </w:r>
      <w:r>
        <w:rPr>
          <w:noProof/>
        </w:rPr>
        <w:fldChar w:fldCharType="separate"/>
      </w:r>
      <w:r w:rsidR="00497E3C">
        <w:rPr>
          <w:noProof/>
        </w:rPr>
        <w:t>22</w:t>
      </w:r>
      <w:r>
        <w:rPr>
          <w:noProof/>
        </w:rPr>
        <w:fldChar w:fldCharType="end"/>
      </w:r>
    </w:p>
    <w:p w14:paraId="3393FABB" w14:textId="77777777" w:rsidR="005168F5" w:rsidRDefault="005168F5">
      <w:pPr>
        <w:pStyle w:val="TOC5"/>
        <w:rPr>
          <w:rFonts w:asciiTheme="minorHAnsi" w:eastAsiaTheme="minorEastAsia" w:hAnsiTheme="minorHAnsi" w:cstheme="minorBidi"/>
          <w:noProof/>
          <w:kern w:val="0"/>
          <w:sz w:val="22"/>
          <w:szCs w:val="22"/>
        </w:rPr>
      </w:pPr>
      <w:r>
        <w:rPr>
          <w:noProof/>
        </w:rPr>
        <w:t>1.19B  Deducting greenhouse gas that is captured for permanent storage</w:t>
      </w:r>
      <w:r>
        <w:rPr>
          <w:noProof/>
        </w:rPr>
        <w:tab/>
      </w:r>
      <w:r>
        <w:rPr>
          <w:noProof/>
        </w:rPr>
        <w:fldChar w:fldCharType="begin"/>
      </w:r>
      <w:r>
        <w:rPr>
          <w:noProof/>
        </w:rPr>
        <w:instrText xml:space="preserve"> PAGEREF _Toc13233494 \h </w:instrText>
      </w:r>
      <w:r>
        <w:rPr>
          <w:noProof/>
        </w:rPr>
      </w:r>
      <w:r>
        <w:rPr>
          <w:noProof/>
        </w:rPr>
        <w:fldChar w:fldCharType="separate"/>
      </w:r>
      <w:r w:rsidR="00497E3C">
        <w:rPr>
          <w:noProof/>
        </w:rPr>
        <w:t>22</w:t>
      </w:r>
      <w:r>
        <w:rPr>
          <w:noProof/>
        </w:rPr>
        <w:fldChar w:fldCharType="end"/>
      </w:r>
    </w:p>
    <w:p w14:paraId="4F06973F" w14:textId="77777777" w:rsidR="005168F5" w:rsidRDefault="005168F5">
      <w:pPr>
        <w:pStyle w:val="TOC5"/>
        <w:rPr>
          <w:rFonts w:asciiTheme="minorHAnsi" w:eastAsiaTheme="minorEastAsia" w:hAnsiTheme="minorHAnsi" w:cstheme="minorBidi"/>
          <w:noProof/>
          <w:kern w:val="0"/>
          <w:sz w:val="22"/>
          <w:szCs w:val="22"/>
        </w:rPr>
      </w:pPr>
      <w:r>
        <w:rPr>
          <w:noProof/>
        </w:rPr>
        <w:t>1.19C  Capture from facility with multiple sources jointly generated</w:t>
      </w:r>
      <w:r>
        <w:rPr>
          <w:noProof/>
        </w:rPr>
        <w:tab/>
      </w:r>
      <w:r>
        <w:rPr>
          <w:noProof/>
        </w:rPr>
        <w:fldChar w:fldCharType="begin"/>
      </w:r>
      <w:r>
        <w:rPr>
          <w:noProof/>
        </w:rPr>
        <w:instrText xml:space="preserve"> PAGEREF _Toc13233495 \h </w:instrText>
      </w:r>
      <w:r>
        <w:rPr>
          <w:noProof/>
        </w:rPr>
      </w:r>
      <w:r>
        <w:rPr>
          <w:noProof/>
        </w:rPr>
        <w:fldChar w:fldCharType="separate"/>
      </w:r>
      <w:r w:rsidR="00497E3C">
        <w:rPr>
          <w:noProof/>
        </w:rPr>
        <w:t>23</w:t>
      </w:r>
      <w:r>
        <w:rPr>
          <w:noProof/>
        </w:rPr>
        <w:fldChar w:fldCharType="end"/>
      </w:r>
    </w:p>
    <w:p w14:paraId="4AE53862" w14:textId="77777777" w:rsidR="005168F5" w:rsidRDefault="005168F5">
      <w:pPr>
        <w:pStyle w:val="TOC5"/>
        <w:rPr>
          <w:rFonts w:asciiTheme="minorHAnsi" w:eastAsiaTheme="minorEastAsia" w:hAnsiTheme="minorHAnsi" w:cstheme="minorBidi"/>
          <w:noProof/>
          <w:kern w:val="0"/>
          <w:sz w:val="22"/>
          <w:szCs w:val="22"/>
        </w:rPr>
      </w:pPr>
      <w:r>
        <w:rPr>
          <w:noProof/>
        </w:rPr>
        <w:t>1.19D  Capture from a source where multiple fuels consumed</w:t>
      </w:r>
      <w:r>
        <w:rPr>
          <w:noProof/>
        </w:rPr>
        <w:tab/>
      </w:r>
      <w:r>
        <w:rPr>
          <w:noProof/>
        </w:rPr>
        <w:fldChar w:fldCharType="begin"/>
      </w:r>
      <w:r>
        <w:rPr>
          <w:noProof/>
        </w:rPr>
        <w:instrText xml:space="preserve"> PAGEREF _Toc13233496 \h </w:instrText>
      </w:r>
      <w:r>
        <w:rPr>
          <w:noProof/>
        </w:rPr>
      </w:r>
      <w:r>
        <w:rPr>
          <w:noProof/>
        </w:rPr>
        <w:fldChar w:fldCharType="separate"/>
      </w:r>
      <w:r w:rsidR="00497E3C">
        <w:rPr>
          <w:noProof/>
        </w:rPr>
        <w:t>23</w:t>
      </w:r>
      <w:r>
        <w:rPr>
          <w:noProof/>
        </w:rPr>
        <w:fldChar w:fldCharType="end"/>
      </w:r>
    </w:p>
    <w:p w14:paraId="56B0E20A" w14:textId="77777777" w:rsidR="005168F5" w:rsidRDefault="005168F5">
      <w:pPr>
        <w:pStyle w:val="TOC5"/>
        <w:rPr>
          <w:rFonts w:asciiTheme="minorHAnsi" w:eastAsiaTheme="minorEastAsia" w:hAnsiTheme="minorHAnsi" w:cstheme="minorBidi"/>
          <w:noProof/>
          <w:kern w:val="0"/>
          <w:sz w:val="22"/>
          <w:szCs w:val="22"/>
        </w:rPr>
      </w:pPr>
      <w:r>
        <w:rPr>
          <w:noProof/>
        </w:rPr>
        <w:t>1.19E  Measure of quantity of captured greenhouse gas</w:t>
      </w:r>
      <w:r>
        <w:rPr>
          <w:noProof/>
        </w:rPr>
        <w:tab/>
      </w:r>
      <w:r>
        <w:rPr>
          <w:noProof/>
        </w:rPr>
        <w:fldChar w:fldCharType="begin"/>
      </w:r>
      <w:r>
        <w:rPr>
          <w:noProof/>
        </w:rPr>
        <w:instrText xml:space="preserve"> PAGEREF _Toc13233497 \h </w:instrText>
      </w:r>
      <w:r>
        <w:rPr>
          <w:noProof/>
        </w:rPr>
      </w:r>
      <w:r>
        <w:rPr>
          <w:noProof/>
        </w:rPr>
        <w:fldChar w:fldCharType="separate"/>
      </w:r>
      <w:r w:rsidR="00497E3C">
        <w:rPr>
          <w:noProof/>
        </w:rPr>
        <w:t>23</w:t>
      </w:r>
      <w:r>
        <w:rPr>
          <w:noProof/>
        </w:rPr>
        <w:fldChar w:fldCharType="end"/>
      </w:r>
    </w:p>
    <w:p w14:paraId="5ADC7CB0" w14:textId="77777777" w:rsidR="005168F5" w:rsidRDefault="005168F5">
      <w:pPr>
        <w:pStyle w:val="TOC5"/>
        <w:rPr>
          <w:rFonts w:asciiTheme="minorHAnsi" w:eastAsiaTheme="minorEastAsia" w:hAnsiTheme="minorHAnsi" w:cstheme="minorBidi"/>
          <w:noProof/>
          <w:kern w:val="0"/>
          <w:sz w:val="22"/>
          <w:szCs w:val="22"/>
        </w:rPr>
      </w:pPr>
      <w:r>
        <w:rPr>
          <w:noProof/>
        </w:rPr>
        <w:t>1.19F  Volume of greenhouse gas stream—criterion A</w:t>
      </w:r>
      <w:r>
        <w:rPr>
          <w:noProof/>
        </w:rPr>
        <w:tab/>
      </w:r>
      <w:r>
        <w:rPr>
          <w:noProof/>
        </w:rPr>
        <w:fldChar w:fldCharType="begin"/>
      </w:r>
      <w:r>
        <w:rPr>
          <w:noProof/>
        </w:rPr>
        <w:instrText xml:space="preserve"> PAGEREF _Toc13233498 \h </w:instrText>
      </w:r>
      <w:r>
        <w:rPr>
          <w:noProof/>
        </w:rPr>
      </w:r>
      <w:r>
        <w:rPr>
          <w:noProof/>
        </w:rPr>
        <w:fldChar w:fldCharType="separate"/>
      </w:r>
      <w:r w:rsidR="00497E3C">
        <w:rPr>
          <w:noProof/>
        </w:rPr>
        <w:t>24</w:t>
      </w:r>
      <w:r>
        <w:rPr>
          <w:noProof/>
        </w:rPr>
        <w:fldChar w:fldCharType="end"/>
      </w:r>
    </w:p>
    <w:p w14:paraId="57A84AB8" w14:textId="77777777" w:rsidR="005168F5" w:rsidRDefault="005168F5">
      <w:pPr>
        <w:pStyle w:val="TOC5"/>
        <w:rPr>
          <w:rFonts w:asciiTheme="minorHAnsi" w:eastAsiaTheme="minorEastAsia" w:hAnsiTheme="minorHAnsi" w:cstheme="minorBidi"/>
          <w:noProof/>
          <w:kern w:val="0"/>
          <w:sz w:val="22"/>
          <w:szCs w:val="22"/>
        </w:rPr>
      </w:pPr>
      <w:r>
        <w:rPr>
          <w:noProof/>
        </w:rPr>
        <w:t>1.19G  Volume of greenhouse gas stream—criterion AAA</w:t>
      </w:r>
      <w:r>
        <w:rPr>
          <w:noProof/>
        </w:rPr>
        <w:tab/>
      </w:r>
      <w:r>
        <w:rPr>
          <w:noProof/>
        </w:rPr>
        <w:fldChar w:fldCharType="begin"/>
      </w:r>
      <w:r>
        <w:rPr>
          <w:noProof/>
        </w:rPr>
        <w:instrText xml:space="preserve"> PAGEREF _Toc13233499 \h </w:instrText>
      </w:r>
      <w:r>
        <w:rPr>
          <w:noProof/>
        </w:rPr>
      </w:r>
      <w:r>
        <w:rPr>
          <w:noProof/>
        </w:rPr>
        <w:fldChar w:fldCharType="separate"/>
      </w:r>
      <w:r w:rsidR="00497E3C">
        <w:rPr>
          <w:noProof/>
        </w:rPr>
        <w:t>24</w:t>
      </w:r>
      <w:r>
        <w:rPr>
          <w:noProof/>
        </w:rPr>
        <w:fldChar w:fldCharType="end"/>
      </w:r>
    </w:p>
    <w:p w14:paraId="6E476C6D" w14:textId="77777777" w:rsidR="005168F5" w:rsidRDefault="005168F5">
      <w:pPr>
        <w:pStyle w:val="TOC5"/>
        <w:rPr>
          <w:rFonts w:asciiTheme="minorHAnsi" w:eastAsiaTheme="minorEastAsia" w:hAnsiTheme="minorHAnsi" w:cstheme="minorBidi"/>
          <w:noProof/>
          <w:kern w:val="0"/>
          <w:sz w:val="22"/>
          <w:szCs w:val="22"/>
        </w:rPr>
      </w:pPr>
      <w:r>
        <w:rPr>
          <w:noProof/>
        </w:rPr>
        <w:t>1.19GA  Volume of greenhouse gas stream—criterion BBB</w:t>
      </w:r>
      <w:r>
        <w:rPr>
          <w:noProof/>
        </w:rPr>
        <w:tab/>
      </w:r>
      <w:r>
        <w:rPr>
          <w:noProof/>
        </w:rPr>
        <w:fldChar w:fldCharType="begin"/>
      </w:r>
      <w:r>
        <w:rPr>
          <w:noProof/>
        </w:rPr>
        <w:instrText xml:space="preserve"> PAGEREF _Toc13233500 \h </w:instrText>
      </w:r>
      <w:r>
        <w:rPr>
          <w:noProof/>
        </w:rPr>
      </w:r>
      <w:r>
        <w:rPr>
          <w:noProof/>
        </w:rPr>
        <w:fldChar w:fldCharType="separate"/>
      </w:r>
      <w:r w:rsidR="00497E3C">
        <w:rPr>
          <w:noProof/>
        </w:rPr>
        <w:t>25</w:t>
      </w:r>
      <w:r>
        <w:rPr>
          <w:noProof/>
        </w:rPr>
        <w:fldChar w:fldCharType="end"/>
      </w:r>
    </w:p>
    <w:p w14:paraId="45178DE7" w14:textId="77777777" w:rsidR="005168F5" w:rsidRDefault="005168F5">
      <w:pPr>
        <w:pStyle w:val="TOC5"/>
        <w:rPr>
          <w:rFonts w:asciiTheme="minorHAnsi" w:eastAsiaTheme="minorEastAsia" w:hAnsiTheme="minorHAnsi" w:cstheme="minorBidi"/>
          <w:noProof/>
          <w:kern w:val="0"/>
          <w:sz w:val="22"/>
          <w:szCs w:val="22"/>
        </w:rPr>
      </w:pPr>
      <w:r>
        <w:rPr>
          <w:noProof/>
        </w:rPr>
        <w:t>1.19H  Volumetric measurement—compressed greenhouse gas stream</w:t>
      </w:r>
      <w:r>
        <w:rPr>
          <w:noProof/>
        </w:rPr>
        <w:tab/>
      </w:r>
      <w:r>
        <w:rPr>
          <w:noProof/>
        </w:rPr>
        <w:fldChar w:fldCharType="begin"/>
      </w:r>
      <w:r>
        <w:rPr>
          <w:noProof/>
        </w:rPr>
        <w:instrText xml:space="preserve"> PAGEREF _Toc13233501 \h </w:instrText>
      </w:r>
      <w:r>
        <w:rPr>
          <w:noProof/>
        </w:rPr>
      </w:r>
      <w:r>
        <w:rPr>
          <w:noProof/>
        </w:rPr>
        <w:fldChar w:fldCharType="separate"/>
      </w:r>
      <w:r w:rsidR="00497E3C">
        <w:rPr>
          <w:noProof/>
        </w:rPr>
        <w:t>25</w:t>
      </w:r>
      <w:r>
        <w:rPr>
          <w:noProof/>
        </w:rPr>
        <w:fldChar w:fldCharType="end"/>
      </w:r>
    </w:p>
    <w:p w14:paraId="33ABBDF2" w14:textId="77777777" w:rsidR="005168F5" w:rsidRDefault="005168F5">
      <w:pPr>
        <w:pStyle w:val="TOC5"/>
        <w:rPr>
          <w:rFonts w:asciiTheme="minorHAnsi" w:eastAsiaTheme="minorEastAsia" w:hAnsiTheme="minorHAnsi" w:cstheme="minorBidi"/>
          <w:noProof/>
          <w:kern w:val="0"/>
          <w:sz w:val="22"/>
          <w:szCs w:val="22"/>
        </w:rPr>
      </w:pPr>
      <w:r>
        <w:rPr>
          <w:noProof/>
        </w:rPr>
        <w:t>1.19I  Volumetric measurement—super</w:t>
      </w:r>
      <w:r>
        <w:rPr>
          <w:noProof/>
        </w:rPr>
        <w:noBreakHyphen/>
        <w:t>compressed greenhouse gas stream</w:t>
      </w:r>
      <w:r>
        <w:rPr>
          <w:noProof/>
        </w:rPr>
        <w:tab/>
      </w:r>
      <w:r>
        <w:rPr>
          <w:noProof/>
        </w:rPr>
        <w:fldChar w:fldCharType="begin"/>
      </w:r>
      <w:r>
        <w:rPr>
          <w:noProof/>
        </w:rPr>
        <w:instrText xml:space="preserve"> PAGEREF _Toc13233502 \h </w:instrText>
      </w:r>
      <w:r>
        <w:rPr>
          <w:noProof/>
        </w:rPr>
      </w:r>
      <w:r>
        <w:rPr>
          <w:noProof/>
        </w:rPr>
        <w:fldChar w:fldCharType="separate"/>
      </w:r>
      <w:r w:rsidR="00497E3C">
        <w:rPr>
          <w:noProof/>
        </w:rPr>
        <w:t>27</w:t>
      </w:r>
      <w:r>
        <w:rPr>
          <w:noProof/>
        </w:rPr>
        <w:fldChar w:fldCharType="end"/>
      </w:r>
    </w:p>
    <w:p w14:paraId="5EA2BD63" w14:textId="77777777" w:rsidR="005168F5" w:rsidRDefault="005168F5">
      <w:pPr>
        <w:pStyle w:val="TOC5"/>
        <w:rPr>
          <w:rFonts w:asciiTheme="minorHAnsi" w:eastAsiaTheme="minorEastAsia" w:hAnsiTheme="minorHAnsi" w:cstheme="minorBidi"/>
          <w:noProof/>
          <w:kern w:val="0"/>
          <w:sz w:val="22"/>
          <w:szCs w:val="22"/>
        </w:rPr>
      </w:pPr>
      <w:r>
        <w:rPr>
          <w:noProof/>
        </w:rPr>
        <w:t>1.19J  Gas measuring equipment—requirements</w:t>
      </w:r>
      <w:r>
        <w:rPr>
          <w:noProof/>
        </w:rPr>
        <w:tab/>
      </w:r>
      <w:r>
        <w:rPr>
          <w:noProof/>
        </w:rPr>
        <w:fldChar w:fldCharType="begin"/>
      </w:r>
      <w:r>
        <w:rPr>
          <w:noProof/>
        </w:rPr>
        <w:instrText xml:space="preserve"> PAGEREF _Toc13233503 \h </w:instrText>
      </w:r>
      <w:r>
        <w:rPr>
          <w:noProof/>
        </w:rPr>
      </w:r>
      <w:r>
        <w:rPr>
          <w:noProof/>
        </w:rPr>
        <w:fldChar w:fldCharType="separate"/>
      </w:r>
      <w:r w:rsidR="00497E3C">
        <w:rPr>
          <w:noProof/>
        </w:rPr>
        <w:t>27</w:t>
      </w:r>
      <w:r>
        <w:rPr>
          <w:noProof/>
        </w:rPr>
        <w:fldChar w:fldCharType="end"/>
      </w:r>
    </w:p>
    <w:p w14:paraId="24485BF4" w14:textId="77777777" w:rsidR="005168F5" w:rsidRDefault="005168F5">
      <w:pPr>
        <w:pStyle w:val="TOC5"/>
        <w:rPr>
          <w:rFonts w:asciiTheme="minorHAnsi" w:eastAsiaTheme="minorEastAsia" w:hAnsiTheme="minorHAnsi" w:cstheme="minorBidi"/>
          <w:noProof/>
          <w:kern w:val="0"/>
          <w:sz w:val="22"/>
          <w:szCs w:val="22"/>
        </w:rPr>
      </w:pPr>
      <w:r>
        <w:rPr>
          <w:noProof/>
        </w:rPr>
        <w:t>1.19K  Flow devices—requirements</w:t>
      </w:r>
      <w:r>
        <w:rPr>
          <w:noProof/>
        </w:rPr>
        <w:tab/>
      </w:r>
      <w:r>
        <w:rPr>
          <w:noProof/>
        </w:rPr>
        <w:fldChar w:fldCharType="begin"/>
      </w:r>
      <w:r>
        <w:rPr>
          <w:noProof/>
        </w:rPr>
        <w:instrText xml:space="preserve"> PAGEREF _Toc13233504 \h </w:instrText>
      </w:r>
      <w:r>
        <w:rPr>
          <w:noProof/>
        </w:rPr>
      </w:r>
      <w:r>
        <w:rPr>
          <w:noProof/>
        </w:rPr>
        <w:fldChar w:fldCharType="separate"/>
      </w:r>
      <w:r w:rsidR="00497E3C">
        <w:rPr>
          <w:noProof/>
        </w:rPr>
        <w:t>27</w:t>
      </w:r>
      <w:r>
        <w:rPr>
          <w:noProof/>
        </w:rPr>
        <w:fldChar w:fldCharType="end"/>
      </w:r>
    </w:p>
    <w:p w14:paraId="06FC6314" w14:textId="77777777" w:rsidR="005168F5" w:rsidRDefault="005168F5">
      <w:pPr>
        <w:pStyle w:val="TOC5"/>
        <w:rPr>
          <w:rFonts w:asciiTheme="minorHAnsi" w:eastAsiaTheme="minorEastAsia" w:hAnsiTheme="minorHAnsi" w:cstheme="minorBidi"/>
          <w:noProof/>
          <w:kern w:val="0"/>
          <w:sz w:val="22"/>
          <w:szCs w:val="22"/>
        </w:rPr>
      </w:pPr>
      <w:r>
        <w:rPr>
          <w:noProof/>
        </w:rPr>
        <w:t>1.19L  Flow computers—requirements</w:t>
      </w:r>
      <w:r>
        <w:rPr>
          <w:noProof/>
        </w:rPr>
        <w:tab/>
      </w:r>
      <w:r>
        <w:rPr>
          <w:noProof/>
        </w:rPr>
        <w:fldChar w:fldCharType="begin"/>
      </w:r>
      <w:r>
        <w:rPr>
          <w:noProof/>
        </w:rPr>
        <w:instrText xml:space="preserve"> PAGEREF _Toc13233505 \h </w:instrText>
      </w:r>
      <w:r>
        <w:rPr>
          <w:noProof/>
        </w:rPr>
      </w:r>
      <w:r>
        <w:rPr>
          <w:noProof/>
        </w:rPr>
        <w:fldChar w:fldCharType="separate"/>
      </w:r>
      <w:r w:rsidR="00497E3C">
        <w:rPr>
          <w:noProof/>
        </w:rPr>
        <w:t>28</w:t>
      </w:r>
      <w:r>
        <w:rPr>
          <w:noProof/>
        </w:rPr>
        <w:fldChar w:fldCharType="end"/>
      </w:r>
    </w:p>
    <w:p w14:paraId="1B71BC07" w14:textId="77777777" w:rsidR="005168F5" w:rsidRDefault="005168F5">
      <w:pPr>
        <w:pStyle w:val="TOC5"/>
        <w:rPr>
          <w:rFonts w:asciiTheme="minorHAnsi" w:eastAsiaTheme="minorEastAsia" w:hAnsiTheme="minorHAnsi" w:cstheme="minorBidi"/>
          <w:noProof/>
          <w:kern w:val="0"/>
          <w:sz w:val="22"/>
          <w:szCs w:val="22"/>
        </w:rPr>
      </w:pPr>
      <w:r>
        <w:rPr>
          <w:noProof/>
        </w:rPr>
        <w:t>1.19M  Gas chromatographs</w:t>
      </w:r>
      <w:r>
        <w:rPr>
          <w:noProof/>
        </w:rPr>
        <w:tab/>
      </w:r>
      <w:r>
        <w:rPr>
          <w:noProof/>
        </w:rPr>
        <w:fldChar w:fldCharType="begin"/>
      </w:r>
      <w:r>
        <w:rPr>
          <w:noProof/>
        </w:rPr>
        <w:instrText xml:space="preserve"> PAGEREF _Toc13233506 \h </w:instrText>
      </w:r>
      <w:r>
        <w:rPr>
          <w:noProof/>
        </w:rPr>
      </w:r>
      <w:r>
        <w:rPr>
          <w:noProof/>
        </w:rPr>
        <w:fldChar w:fldCharType="separate"/>
      </w:r>
      <w:r w:rsidR="00497E3C">
        <w:rPr>
          <w:noProof/>
        </w:rPr>
        <w:t>28</w:t>
      </w:r>
      <w:r>
        <w:rPr>
          <w:noProof/>
        </w:rPr>
        <w:fldChar w:fldCharType="end"/>
      </w:r>
    </w:p>
    <w:p w14:paraId="75471023" w14:textId="77777777" w:rsidR="005168F5" w:rsidRDefault="005168F5">
      <w:pPr>
        <w:pStyle w:val="TOC2"/>
        <w:rPr>
          <w:rFonts w:asciiTheme="minorHAnsi" w:eastAsiaTheme="minorEastAsia" w:hAnsiTheme="minorHAnsi" w:cstheme="minorBidi"/>
          <w:b w:val="0"/>
          <w:noProof/>
          <w:kern w:val="0"/>
          <w:sz w:val="22"/>
          <w:szCs w:val="22"/>
        </w:rPr>
      </w:pPr>
      <w:r>
        <w:rPr>
          <w:noProof/>
        </w:rPr>
        <w:lastRenderedPageBreak/>
        <w:t>Part 1.3—Method 4—Direct measurement of emissions</w:t>
      </w:r>
      <w:r>
        <w:rPr>
          <w:noProof/>
        </w:rPr>
        <w:tab/>
      </w:r>
      <w:r>
        <w:rPr>
          <w:noProof/>
        </w:rPr>
        <w:fldChar w:fldCharType="begin"/>
      </w:r>
      <w:r>
        <w:rPr>
          <w:noProof/>
        </w:rPr>
        <w:instrText xml:space="preserve"> PAGEREF _Toc13233507 \h </w:instrText>
      </w:r>
      <w:r>
        <w:rPr>
          <w:noProof/>
        </w:rPr>
      </w:r>
      <w:r>
        <w:rPr>
          <w:noProof/>
        </w:rPr>
        <w:fldChar w:fldCharType="separate"/>
      </w:r>
      <w:r w:rsidR="00497E3C">
        <w:rPr>
          <w:noProof/>
        </w:rPr>
        <w:t>29</w:t>
      </w:r>
      <w:r>
        <w:rPr>
          <w:noProof/>
        </w:rPr>
        <w:fldChar w:fldCharType="end"/>
      </w:r>
    </w:p>
    <w:p w14:paraId="42430660" w14:textId="77777777" w:rsidR="005168F5" w:rsidRDefault="005168F5">
      <w:pPr>
        <w:pStyle w:val="TOC3"/>
        <w:rPr>
          <w:rFonts w:asciiTheme="minorHAnsi" w:eastAsiaTheme="minorEastAsia" w:hAnsiTheme="minorHAnsi" w:cstheme="minorBidi"/>
          <w:b w:val="0"/>
          <w:noProof/>
          <w:kern w:val="0"/>
          <w:szCs w:val="22"/>
        </w:rPr>
      </w:pPr>
      <w:r>
        <w:rPr>
          <w:noProof/>
        </w:rPr>
        <w:t>Division 1.3.1—Preliminary</w:t>
      </w:r>
      <w:r>
        <w:rPr>
          <w:noProof/>
        </w:rPr>
        <w:tab/>
      </w:r>
      <w:r>
        <w:rPr>
          <w:noProof/>
        </w:rPr>
        <w:fldChar w:fldCharType="begin"/>
      </w:r>
      <w:r>
        <w:rPr>
          <w:noProof/>
        </w:rPr>
        <w:instrText xml:space="preserve"> PAGEREF _Toc13233508 \h </w:instrText>
      </w:r>
      <w:r>
        <w:rPr>
          <w:noProof/>
        </w:rPr>
      </w:r>
      <w:r>
        <w:rPr>
          <w:noProof/>
        </w:rPr>
        <w:fldChar w:fldCharType="separate"/>
      </w:r>
      <w:r w:rsidR="00497E3C">
        <w:rPr>
          <w:noProof/>
        </w:rPr>
        <w:t>29</w:t>
      </w:r>
      <w:r>
        <w:rPr>
          <w:noProof/>
        </w:rPr>
        <w:fldChar w:fldCharType="end"/>
      </w:r>
    </w:p>
    <w:p w14:paraId="20586DDD" w14:textId="77777777" w:rsidR="005168F5" w:rsidRDefault="005168F5">
      <w:pPr>
        <w:pStyle w:val="TOC5"/>
        <w:rPr>
          <w:rFonts w:asciiTheme="minorHAnsi" w:eastAsiaTheme="minorEastAsia" w:hAnsiTheme="minorHAnsi" w:cstheme="minorBidi"/>
          <w:noProof/>
          <w:kern w:val="0"/>
          <w:sz w:val="22"/>
          <w:szCs w:val="22"/>
        </w:rPr>
      </w:pPr>
      <w:r>
        <w:rPr>
          <w:noProof/>
        </w:rPr>
        <w:t>1.20  Overview</w:t>
      </w:r>
      <w:r>
        <w:rPr>
          <w:noProof/>
        </w:rPr>
        <w:tab/>
      </w:r>
      <w:r>
        <w:rPr>
          <w:noProof/>
        </w:rPr>
        <w:fldChar w:fldCharType="begin"/>
      </w:r>
      <w:r>
        <w:rPr>
          <w:noProof/>
        </w:rPr>
        <w:instrText xml:space="preserve"> PAGEREF _Toc13233509 \h </w:instrText>
      </w:r>
      <w:r>
        <w:rPr>
          <w:noProof/>
        </w:rPr>
      </w:r>
      <w:r>
        <w:rPr>
          <w:noProof/>
        </w:rPr>
        <w:fldChar w:fldCharType="separate"/>
      </w:r>
      <w:r w:rsidR="00497E3C">
        <w:rPr>
          <w:noProof/>
        </w:rPr>
        <w:t>29</w:t>
      </w:r>
      <w:r>
        <w:rPr>
          <w:noProof/>
        </w:rPr>
        <w:fldChar w:fldCharType="end"/>
      </w:r>
    </w:p>
    <w:p w14:paraId="7B7B7AB8" w14:textId="77777777" w:rsidR="005168F5" w:rsidRDefault="005168F5">
      <w:pPr>
        <w:pStyle w:val="TOC3"/>
        <w:rPr>
          <w:rFonts w:asciiTheme="minorHAnsi" w:eastAsiaTheme="minorEastAsia" w:hAnsiTheme="minorHAnsi" w:cstheme="minorBidi"/>
          <w:b w:val="0"/>
          <w:noProof/>
          <w:kern w:val="0"/>
          <w:szCs w:val="22"/>
        </w:rPr>
      </w:pPr>
      <w:r>
        <w:rPr>
          <w:noProof/>
        </w:rPr>
        <w:t>Division 1.3.2—Operation of method 4 (CEM)</w:t>
      </w:r>
      <w:r>
        <w:rPr>
          <w:noProof/>
        </w:rPr>
        <w:tab/>
      </w:r>
      <w:r>
        <w:rPr>
          <w:noProof/>
        </w:rPr>
        <w:fldChar w:fldCharType="begin"/>
      </w:r>
      <w:r>
        <w:rPr>
          <w:noProof/>
        </w:rPr>
        <w:instrText xml:space="preserve"> PAGEREF _Toc13233510 \h </w:instrText>
      </w:r>
      <w:r>
        <w:rPr>
          <w:noProof/>
        </w:rPr>
      </w:r>
      <w:r>
        <w:rPr>
          <w:noProof/>
        </w:rPr>
        <w:fldChar w:fldCharType="separate"/>
      </w:r>
      <w:r w:rsidR="00497E3C">
        <w:rPr>
          <w:noProof/>
        </w:rPr>
        <w:t>30</w:t>
      </w:r>
      <w:r>
        <w:rPr>
          <w:noProof/>
        </w:rPr>
        <w:fldChar w:fldCharType="end"/>
      </w:r>
    </w:p>
    <w:p w14:paraId="4B1FD0F7"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1.3.2.1—Method 4 (CEM)</w:t>
      </w:r>
      <w:r>
        <w:rPr>
          <w:noProof/>
        </w:rPr>
        <w:tab/>
      </w:r>
      <w:r>
        <w:rPr>
          <w:noProof/>
        </w:rPr>
        <w:fldChar w:fldCharType="begin"/>
      </w:r>
      <w:r>
        <w:rPr>
          <w:noProof/>
        </w:rPr>
        <w:instrText xml:space="preserve"> PAGEREF _Toc13233511 \h </w:instrText>
      </w:r>
      <w:r>
        <w:rPr>
          <w:noProof/>
        </w:rPr>
      </w:r>
      <w:r>
        <w:rPr>
          <w:noProof/>
        </w:rPr>
        <w:fldChar w:fldCharType="separate"/>
      </w:r>
      <w:r w:rsidR="00497E3C">
        <w:rPr>
          <w:noProof/>
        </w:rPr>
        <w:t>30</w:t>
      </w:r>
      <w:r>
        <w:rPr>
          <w:noProof/>
        </w:rPr>
        <w:fldChar w:fldCharType="end"/>
      </w:r>
    </w:p>
    <w:p w14:paraId="1EA071C5" w14:textId="77777777" w:rsidR="005168F5" w:rsidRDefault="005168F5">
      <w:pPr>
        <w:pStyle w:val="TOC5"/>
        <w:rPr>
          <w:rFonts w:asciiTheme="minorHAnsi" w:eastAsiaTheme="minorEastAsia" w:hAnsiTheme="minorHAnsi" w:cstheme="minorBidi"/>
          <w:noProof/>
          <w:kern w:val="0"/>
          <w:sz w:val="22"/>
          <w:szCs w:val="22"/>
        </w:rPr>
      </w:pPr>
      <w:r>
        <w:rPr>
          <w:noProof/>
        </w:rPr>
        <w:t>1.21  Method 4 (CEM)—estimation of emissions</w:t>
      </w:r>
      <w:r>
        <w:rPr>
          <w:noProof/>
        </w:rPr>
        <w:tab/>
      </w:r>
      <w:r>
        <w:rPr>
          <w:noProof/>
        </w:rPr>
        <w:fldChar w:fldCharType="begin"/>
      </w:r>
      <w:r>
        <w:rPr>
          <w:noProof/>
        </w:rPr>
        <w:instrText xml:space="preserve"> PAGEREF _Toc13233512 \h </w:instrText>
      </w:r>
      <w:r>
        <w:rPr>
          <w:noProof/>
        </w:rPr>
      </w:r>
      <w:r>
        <w:rPr>
          <w:noProof/>
        </w:rPr>
        <w:fldChar w:fldCharType="separate"/>
      </w:r>
      <w:r w:rsidR="00497E3C">
        <w:rPr>
          <w:noProof/>
        </w:rPr>
        <w:t>30</w:t>
      </w:r>
      <w:r>
        <w:rPr>
          <w:noProof/>
        </w:rPr>
        <w:fldChar w:fldCharType="end"/>
      </w:r>
    </w:p>
    <w:p w14:paraId="0C394479" w14:textId="77777777" w:rsidR="005168F5" w:rsidRDefault="005168F5">
      <w:pPr>
        <w:pStyle w:val="TOC5"/>
        <w:rPr>
          <w:rFonts w:asciiTheme="minorHAnsi" w:eastAsiaTheme="minorEastAsia" w:hAnsiTheme="minorHAnsi" w:cstheme="minorBidi"/>
          <w:noProof/>
          <w:kern w:val="0"/>
          <w:sz w:val="22"/>
          <w:szCs w:val="22"/>
        </w:rPr>
      </w:pPr>
      <w:r>
        <w:rPr>
          <w:noProof/>
        </w:rPr>
        <w:t>1.21A  Emissions from a source where multiple fuels consumed</w:t>
      </w:r>
      <w:r>
        <w:rPr>
          <w:noProof/>
        </w:rPr>
        <w:tab/>
      </w:r>
      <w:r>
        <w:rPr>
          <w:noProof/>
        </w:rPr>
        <w:fldChar w:fldCharType="begin"/>
      </w:r>
      <w:r>
        <w:rPr>
          <w:noProof/>
        </w:rPr>
        <w:instrText xml:space="preserve"> PAGEREF _Toc13233513 \h </w:instrText>
      </w:r>
      <w:r>
        <w:rPr>
          <w:noProof/>
        </w:rPr>
      </w:r>
      <w:r>
        <w:rPr>
          <w:noProof/>
        </w:rPr>
        <w:fldChar w:fldCharType="separate"/>
      </w:r>
      <w:r w:rsidR="00497E3C">
        <w:rPr>
          <w:noProof/>
        </w:rPr>
        <w:t>31</w:t>
      </w:r>
      <w:r>
        <w:rPr>
          <w:noProof/>
        </w:rPr>
        <w:fldChar w:fldCharType="end"/>
      </w:r>
    </w:p>
    <w:p w14:paraId="0C04886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1.3.2.2—Method 4 (CEM)—use of equipment</w:t>
      </w:r>
      <w:r>
        <w:rPr>
          <w:noProof/>
        </w:rPr>
        <w:tab/>
      </w:r>
      <w:r>
        <w:rPr>
          <w:noProof/>
        </w:rPr>
        <w:fldChar w:fldCharType="begin"/>
      </w:r>
      <w:r>
        <w:rPr>
          <w:noProof/>
        </w:rPr>
        <w:instrText xml:space="preserve"> PAGEREF _Toc13233514 \h </w:instrText>
      </w:r>
      <w:r>
        <w:rPr>
          <w:noProof/>
        </w:rPr>
      </w:r>
      <w:r>
        <w:rPr>
          <w:noProof/>
        </w:rPr>
        <w:fldChar w:fldCharType="separate"/>
      </w:r>
      <w:r w:rsidR="00497E3C">
        <w:rPr>
          <w:noProof/>
        </w:rPr>
        <w:t>31</w:t>
      </w:r>
      <w:r>
        <w:rPr>
          <w:noProof/>
        </w:rPr>
        <w:fldChar w:fldCharType="end"/>
      </w:r>
    </w:p>
    <w:p w14:paraId="24F0FACF" w14:textId="77777777" w:rsidR="005168F5" w:rsidRDefault="005168F5">
      <w:pPr>
        <w:pStyle w:val="TOC5"/>
        <w:rPr>
          <w:rFonts w:asciiTheme="minorHAnsi" w:eastAsiaTheme="minorEastAsia" w:hAnsiTheme="minorHAnsi" w:cstheme="minorBidi"/>
          <w:noProof/>
          <w:kern w:val="0"/>
          <w:sz w:val="22"/>
          <w:szCs w:val="22"/>
        </w:rPr>
      </w:pPr>
      <w:r>
        <w:rPr>
          <w:noProof/>
        </w:rPr>
        <w:t>1.22  Overview</w:t>
      </w:r>
      <w:r>
        <w:rPr>
          <w:noProof/>
        </w:rPr>
        <w:tab/>
      </w:r>
      <w:r>
        <w:rPr>
          <w:noProof/>
        </w:rPr>
        <w:fldChar w:fldCharType="begin"/>
      </w:r>
      <w:r>
        <w:rPr>
          <w:noProof/>
        </w:rPr>
        <w:instrText xml:space="preserve"> PAGEREF _Toc13233515 \h </w:instrText>
      </w:r>
      <w:r>
        <w:rPr>
          <w:noProof/>
        </w:rPr>
      </w:r>
      <w:r>
        <w:rPr>
          <w:noProof/>
        </w:rPr>
        <w:fldChar w:fldCharType="separate"/>
      </w:r>
      <w:r w:rsidR="00497E3C">
        <w:rPr>
          <w:noProof/>
        </w:rPr>
        <w:t>31</w:t>
      </w:r>
      <w:r>
        <w:rPr>
          <w:noProof/>
        </w:rPr>
        <w:fldChar w:fldCharType="end"/>
      </w:r>
    </w:p>
    <w:p w14:paraId="4BD29D8E" w14:textId="77777777" w:rsidR="005168F5" w:rsidRDefault="005168F5">
      <w:pPr>
        <w:pStyle w:val="TOC5"/>
        <w:rPr>
          <w:rFonts w:asciiTheme="minorHAnsi" w:eastAsiaTheme="minorEastAsia" w:hAnsiTheme="minorHAnsi" w:cstheme="minorBidi"/>
          <w:noProof/>
          <w:kern w:val="0"/>
          <w:sz w:val="22"/>
          <w:szCs w:val="22"/>
        </w:rPr>
      </w:pPr>
      <w:r>
        <w:rPr>
          <w:noProof/>
        </w:rPr>
        <w:t>1.23  Selection of sampling positions for CEM equipment</w:t>
      </w:r>
      <w:r>
        <w:rPr>
          <w:noProof/>
        </w:rPr>
        <w:tab/>
      </w:r>
      <w:r>
        <w:rPr>
          <w:noProof/>
        </w:rPr>
        <w:fldChar w:fldCharType="begin"/>
      </w:r>
      <w:r>
        <w:rPr>
          <w:noProof/>
        </w:rPr>
        <w:instrText xml:space="preserve"> PAGEREF _Toc13233516 \h </w:instrText>
      </w:r>
      <w:r>
        <w:rPr>
          <w:noProof/>
        </w:rPr>
      </w:r>
      <w:r>
        <w:rPr>
          <w:noProof/>
        </w:rPr>
        <w:fldChar w:fldCharType="separate"/>
      </w:r>
      <w:r w:rsidR="00497E3C">
        <w:rPr>
          <w:noProof/>
        </w:rPr>
        <w:t>31</w:t>
      </w:r>
      <w:r>
        <w:rPr>
          <w:noProof/>
        </w:rPr>
        <w:fldChar w:fldCharType="end"/>
      </w:r>
    </w:p>
    <w:p w14:paraId="69F33FED" w14:textId="77777777" w:rsidR="005168F5" w:rsidRDefault="005168F5">
      <w:pPr>
        <w:pStyle w:val="TOC5"/>
        <w:rPr>
          <w:rFonts w:asciiTheme="minorHAnsi" w:eastAsiaTheme="minorEastAsia" w:hAnsiTheme="minorHAnsi" w:cstheme="minorBidi"/>
          <w:noProof/>
          <w:kern w:val="0"/>
          <w:sz w:val="22"/>
          <w:szCs w:val="22"/>
        </w:rPr>
      </w:pPr>
      <w:r>
        <w:rPr>
          <w:noProof/>
        </w:rPr>
        <w:t>1.24  Measurement of flow rates by CEM</w:t>
      </w:r>
      <w:r>
        <w:rPr>
          <w:noProof/>
        </w:rPr>
        <w:tab/>
      </w:r>
      <w:r>
        <w:rPr>
          <w:noProof/>
        </w:rPr>
        <w:fldChar w:fldCharType="begin"/>
      </w:r>
      <w:r>
        <w:rPr>
          <w:noProof/>
        </w:rPr>
        <w:instrText xml:space="preserve"> PAGEREF _Toc13233517 \h </w:instrText>
      </w:r>
      <w:r>
        <w:rPr>
          <w:noProof/>
        </w:rPr>
      </w:r>
      <w:r>
        <w:rPr>
          <w:noProof/>
        </w:rPr>
        <w:fldChar w:fldCharType="separate"/>
      </w:r>
      <w:r w:rsidR="00497E3C">
        <w:rPr>
          <w:noProof/>
        </w:rPr>
        <w:t>31</w:t>
      </w:r>
      <w:r>
        <w:rPr>
          <w:noProof/>
        </w:rPr>
        <w:fldChar w:fldCharType="end"/>
      </w:r>
    </w:p>
    <w:p w14:paraId="33E86427" w14:textId="77777777" w:rsidR="005168F5" w:rsidRDefault="005168F5">
      <w:pPr>
        <w:pStyle w:val="TOC5"/>
        <w:rPr>
          <w:rFonts w:asciiTheme="minorHAnsi" w:eastAsiaTheme="minorEastAsia" w:hAnsiTheme="minorHAnsi" w:cstheme="minorBidi"/>
          <w:noProof/>
          <w:kern w:val="0"/>
          <w:sz w:val="22"/>
          <w:szCs w:val="22"/>
        </w:rPr>
      </w:pPr>
      <w:r>
        <w:rPr>
          <w:noProof/>
        </w:rPr>
        <w:t>1.25  Measurement of gas concentrations by CEM</w:t>
      </w:r>
      <w:r>
        <w:rPr>
          <w:noProof/>
        </w:rPr>
        <w:tab/>
      </w:r>
      <w:r>
        <w:rPr>
          <w:noProof/>
        </w:rPr>
        <w:fldChar w:fldCharType="begin"/>
      </w:r>
      <w:r>
        <w:rPr>
          <w:noProof/>
        </w:rPr>
        <w:instrText xml:space="preserve"> PAGEREF _Toc13233518 \h </w:instrText>
      </w:r>
      <w:r>
        <w:rPr>
          <w:noProof/>
        </w:rPr>
      </w:r>
      <w:r>
        <w:rPr>
          <w:noProof/>
        </w:rPr>
        <w:fldChar w:fldCharType="separate"/>
      </w:r>
      <w:r w:rsidR="00497E3C">
        <w:rPr>
          <w:noProof/>
        </w:rPr>
        <w:t>32</w:t>
      </w:r>
      <w:r>
        <w:rPr>
          <w:noProof/>
        </w:rPr>
        <w:fldChar w:fldCharType="end"/>
      </w:r>
    </w:p>
    <w:p w14:paraId="75570C13" w14:textId="77777777" w:rsidR="005168F5" w:rsidRDefault="005168F5">
      <w:pPr>
        <w:pStyle w:val="TOC5"/>
        <w:rPr>
          <w:rFonts w:asciiTheme="minorHAnsi" w:eastAsiaTheme="minorEastAsia" w:hAnsiTheme="minorHAnsi" w:cstheme="minorBidi"/>
          <w:noProof/>
          <w:kern w:val="0"/>
          <w:sz w:val="22"/>
          <w:szCs w:val="22"/>
        </w:rPr>
      </w:pPr>
      <w:r>
        <w:rPr>
          <w:noProof/>
        </w:rPr>
        <w:t>1.26  Frequency of measurement by CEM</w:t>
      </w:r>
      <w:r>
        <w:rPr>
          <w:noProof/>
        </w:rPr>
        <w:tab/>
      </w:r>
      <w:r>
        <w:rPr>
          <w:noProof/>
        </w:rPr>
        <w:fldChar w:fldCharType="begin"/>
      </w:r>
      <w:r>
        <w:rPr>
          <w:noProof/>
        </w:rPr>
        <w:instrText xml:space="preserve"> PAGEREF _Toc13233519 \h </w:instrText>
      </w:r>
      <w:r>
        <w:rPr>
          <w:noProof/>
        </w:rPr>
      </w:r>
      <w:r>
        <w:rPr>
          <w:noProof/>
        </w:rPr>
        <w:fldChar w:fldCharType="separate"/>
      </w:r>
      <w:r w:rsidR="00497E3C">
        <w:rPr>
          <w:noProof/>
        </w:rPr>
        <w:t>32</w:t>
      </w:r>
      <w:r>
        <w:rPr>
          <w:noProof/>
        </w:rPr>
        <w:fldChar w:fldCharType="end"/>
      </w:r>
    </w:p>
    <w:p w14:paraId="277721ED" w14:textId="77777777" w:rsidR="005168F5" w:rsidRDefault="005168F5">
      <w:pPr>
        <w:pStyle w:val="TOC3"/>
        <w:rPr>
          <w:rFonts w:asciiTheme="minorHAnsi" w:eastAsiaTheme="minorEastAsia" w:hAnsiTheme="minorHAnsi" w:cstheme="minorBidi"/>
          <w:b w:val="0"/>
          <w:noProof/>
          <w:kern w:val="0"/>
          <w:szCs w:val="22"/>
        </w:rPr>
      </w:pPr>
      <w:r>
        <w:rPr>
          <w:noProof/>
        </w:rPr>
        <w:t>Division 1.3.3—Operation of method 4 (PEM)</w:t>
      </w:r>
      <w:r>
        <w:rPr>
          <w:noProof/>
        </w:rPr>
        <w:tab/>
      </w:r>
      <w:r>
        <w:rPr>
          <w:noProof/>
        </w:rPr>
        <w:fldChar w:fldCharType="begin"/>
      </w:r>
      <w:r>
        <w:rPr>
          <w:noProof/>
        </w:rPr>
        <w:instrText xml:space="preserve"> PAGEREF _Toc13233520 \h </w:instrText>
      </w:r>
      <w:r>
        <w:rPr>
          <w:noProof/>
        </w:rPr>
      </w:r>
      <w:r>
        <w:rPr>
          <w:noProof/>
        </w:rPr>
        <w:fldChar w:fldCharType="separate"/>
      </w:r>
      <w:r w:rsidR="00497E3C">
        <w:rPr>
          <w:noProof/>
        </w:rPr>
        <w:t>33</w:t>
      </w:r>
      <w:r>
        <w:rPr>
          <w:noProof/>
        </w:rPr>
        <w:fldChar w:fldCharType="end"/>
      </w:r>
    </w:p>
    <w:p w14:paraId="205D3FA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1.3.3.1—Method 4 (PEM)</w:t>
      </w:r>
      <w:r>
        <w:rPr>
          <w:noProof/>
        </w:rPr>
        <w:tab/>
      </w:r>
      <w:r>
        <w:rPr>
          <w:noProof/>
        </w:rPr>
        <w:fldChar w:fldCharType="begin"/>
      </w:r>
      <w:r>
        <w:rPr>
          <w:noProof/>
        </w:rPr>
        <w:instrText xml:space="preserve"> PAGEREF _Toc13233521 \h </w:instrText>
      </w:r>
      <w:r>
        <w:rPr>
          <w:noProof/>
        </w:rPr>
      </w:r>
      <w:r>
        <w:rPr>
          <w:noProof/>
        </w:rPr>
        <w:fldChar w:fldCharType="separate"/>
      </w:r>
      <w:r w:rsidR="00497E3C">
        <w:rPr>
          <w:noProof/>
        </w:rPr>
        <w:t>33</w:t>
      </w:r>
      <w:r>
        <w:rPr>
          <w:noProof/>
        </w:rPr>
        <w:fldChar w:fldCharType="end"/>
      </w:r>
    </w:p>
    <w:p w14:paraId="346029EF" w14:textId="77777777" w:rsidR="005168F5" w:rsidRDefault="005168F5">
      <w:pPr>
        <w:pStyle w:val="TOC5"/>
        <w:rPr>
          <w:rFonts w:asciiTheme="minorHAnsi" w:eastAsiaTheme="minorEastAsia" w:hAnsiTheme="minorHAnsi" w:cstheme="minorBidi"/>
          <w:noProof/>
          <w:kern w:val="0"/>
          <w:sz w:val="22"/>
          <w:szCs w:val="22"/>
        </w:rPr>
      </w:pPr>
      <w:r>
        <w:rPr>
          <w:noProof/>
        </w:rPr>
        <w:t>1.27  Method 4 (PEM)—estimation of emissions</w:t>
      </w:r>
      <w:r>
        <w:rPr>
          <w:noProof/>
        </w:rPr>
        <w:tab/>
      </w:r>
      <w:r>
        <w:rPr>
          <w:noProof/>
        </w:rPr>
        <w:fldChar w:fldCharType="begin"/>
      </w:r>
      <w:r>
        <w:rPr>
          <w:noProof/>
        </w:rPr>
        <w:instrText xml:space="preserve"> PAGEREF _Toc13233522 \h </w:instrText>
      </w:r>
      <w:r>
        <w:rPr>
          <w:noProof/>
        </w:rPr>
      </w:r>
      <w:r>
        <w:rPr>
          <w:noProof/>
        </w:rPr>
        <w:fldChar w:fldCharType="separate"/>
      </w:r>
      <w:r w:rsidR="00497E3C">
        <w:rPr>
          <w:noProof/>
        </w:rPr>
        <w:t>33</w:t>
      </w:r>
      <w:r>
        <w:rPr>
          <w:noProof/>
        </w:rPr>
        <w:fldChar w:fldCharType="end"/>
      </w:r>
    </w:p>
    <w:p w14:paraId="6835931C" w14:textId="77777777" w:rsidR="005168F5" w:rsidRDefault="005168F5">
      <w:pPr>
        <w:pStyle w:val="TOC5"/>
        <w:rPr>
          <w:rFonts w:asciiTheme="minorHAnsi" w:eastAsiaTheme="minorEastAsia" w:hAnsiTheme="minorHAnsi" w:cstheme="minorBidi"/>
          <w:noProof/>
          <w:kern w:val="0"/>
          <w:sz w:val="22"/>
          <w:szCs w:val="22"/>
        </w:rPr>
      </w:pPr>
      <w:r>
        <w:rPr>
          <w:noProof/>
        </w:rPr>
        <w:t>1.27A  Emissions from a source where multiple fuels consumed</w:t>
      </w:r>
      <w:r>
        <w:rPr>
          <w:noProof/>
        </w:rPr>
        <w:tab/>
      </w:r>
      <w:r>
        <w:rPr>
          <w:noProof/>
        </w:rPr>
        <w:fldChar w:fldCharType="begin"/>
      </w:r>
      <w:r>
        <w:rPr>
          <w:noProof/>
        </w:rPr>
        <w:instrText xml:space="preserve"> PAGEREF _Toc13233523 \h </w:instrText>
      </w:r>
      <w:r>
        <w:rPr>
          <w:noProof/>
        </w:rPr>
      </w:r>
      <w:r>
        <w:rPr>
          <w:noProof/>
        </w:rPr>
        <w:fldChar w:fldCharType="separate"/>
      </w:r>
      <w:r w:rsidR="00497E3C">
        <w:rPr>
          <w:noProof/>
        </w:rPr>
        <w:t>33</w:t>
      </w:r>
      <w:r>
        <w:rPr>
          <w:noProof/>
        </w:rPr>
        <w:fldChar w:fldCharType="end"/>
      </w:r>
    </w:p>
    <w:p w14:paraId="6A59787A" w14:textId="77777777" w:rsidR="005168F5" w:rsidRDefault="005168F5">
      <w:pPr>
        <w:pStyle w:val="TOC5"/>
        <w:rPr>
          <w:rFonts w:asciiTheme="minorHAnsi" w:eastAsiaTheme="minorEastAsia" w:hAnsiTheme="minorHAnsi" w:cstheme="minorBidi"/>
          <w:noProof/>
          <w:kern w:val="0"/>
          <w:sz w:val="22"/>
          <w:szCs w:val="22"/>
        </w:rPr>
      </w:pPr>
      <w:r>
        <w:rPr>
          <w:noProof/>
        </w:rPr>
        <w:t>1.28  Calculation of emission factors</w:t>
      </w:r>
      <w:r>
        <w:rPr>
          <w:noProof/>
        </w:rPr>
        <w:tab/>
      </w:r>
      <w:r>
        <w:rPr>
          <w:noProof/>
        </w:rPr>
        <w:fldChar w:fldCharType="begin"/>
      </w:r>
      <w:r>
        <w:rPr>
          <w:noProof/>
        </w:rPr>
        <w:instrText xml:space="preserve"> PAGEREF _Toc13233524 \h </w:instrText>
      </w:r>
      <w:r>
        <w:rPr>
          <w:noProof/>
        </w:rPr>
      </w:r>
      <w:r>
        <w:rPr>
          <w:noProof/>
        </w:rPr>
        <w:fldChar w:fldCharType="separate"/>
      </w:r>
      <w:r w:rsidR="00497E3C">
        <w:rPr>
          <w:noProof/>
        </w:rPr>
        <w:t>33</w:t>
      </w:r>
      <w:r>
        <w:rPr>
          <w:noProof/>
        </w:rPr>
        <w:fldChar w:fldCharType="end"/>
      </w:r>
    </w:p>
    <w:p w14:paraId="056FE25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1.3.3.2—Method 4 (PEM)—use of equipment</w:t>
      </w:r>
      <w:r>
        <w:rPr>
          <w:noProof/>
        </w:rPr>
        <w:tab/>
      </w:r>
      <w:r>
        <w:rPr>
          <w:noProof/>
        </w:rPr>
        <w:fldChar w:fldCharType="begin"/>
      </w:r>
      <w:r>
        <w:rPr>
          <w:noProof/>
        </w:rPr>
        <w:instrText xml:space="preserve"> PAGEREF _Toc13233525 \h </w:instrText>
      </w:r>
      <w:r>
        <w:rPr>
          <w:noProof/>
        </w:rPr>
      </w:r>
      <w:r>
        <w:rPr>
          <w:noProof/>
        </w:rPr>
        <w:fldChar w:fldCharType="separate"/>
      </w:r>
      <w:r w:rsidR="00497E3C">
        <w:rPr>
          <w:noProof/>
        </w:rPr>
        <w:t>34</w:t>
      </w:r>
      <w:r>
        <w:rPr>
          <w:noProof/>
        </w:rPr>
        <w:fldChar w:fldCharType="end"/>
      </w:r>
    </w:p>
    <w:p w14:paraId="304A4340" w14:textId="77777777" w:rsidR="005168F5" w:rsidRDefault="005168F5">
      <w:pPr>
        <w:pStyle w:val="TOC5"/>
        <w:rPr>
          <w:rFonts w:asciiTheme="minorHAnsi" w:eastAsiaTheme="minorEastAsia" w:hAnsiTheme="minorHAnsi" w:cstheme="minorBidi"/>
          <w:noProof/>
          <w:kern w:val="0"/>
          <w:sz w:val="22"/>
          <w:szCs w:val="22"/>
        </w:rPr>
      </w:pPr>
      <w:r>
        <w:rPr>
          <w:noProof/>
        </w:rPr>
        <w:t>1.29  Overview</w:t>
      </w:r>
      <w:r>
        <w:rPr>
          <w:noProof/>
        </w:rPr>
        <w:tab/>
      </w:r>
      <w:r>
        <w:rPr>
          <w:noProof/>
        </w:rPr>
        <w:fldChar w:fldCharType="begin"/>
      </w:r>
      <w:r>
        <w:rPr>
          <w:noProof/>
        </w:rPr>
        <w:instrText xml:space="preserve"> PAGEREF _Toc13233526 \h </w:instrText>
      </w:r>
      <w:r>
        <w:rPr>
          <w:noProof/>
        </w:rPr>
      </w:r>
      <w:r>
        <w:rPr>
          <w:noProof/>
        </w:rPr>
        <w:fldChar w:fldCharType="separate"/>
      </w:r>
      <w:r w:rsidR="00497E3C">
        <w:rPr>
          <w:noProof/>
        </w:rPr>
        <w:t>34</w:t>
      </w:r>
      <w:r>
        <w:rPr>
          <w:noProof/>
        </w:rPr>
        <w:fldChar w:fldCharType="end"/>
      </w:r>
    </w:p>
    <w:p w14:paraId="2C02B176" w14:textId="77777777" w:rsidR="005168F5" w:rsidRDefault="005168F5">
      <w:pPr>
        <w:pStyle w:val="TOC5"/>
        <w:rPr>
          <w:rFonts w:asciiTheme="minorHAnsi" w:eastAsiaTheme="minorEastAsia" w:hAnsiTheme="minorHAnsi" w:cstheme="minorBidi"/>
          <w:noProof/>
          <w:kern w:val="0"/>
          <w:sz w:val="22"/>
          <w:szCs w:val="22"/>
        </w:rPr>
      </w:pPr>
      <w:r>
        <w:rPr>
          <w:noProof/>
        </w:rPr>
        <w:t>1.30  Selection of sampling positions for PEM equipment</w:t>
      </w:r>
      <w:r>
        <w:rPr>
          <w:noProof/>
        </w:rPr>
        <w:tab/>
      </w:r>
      <w:r>
        <w:rPr>
          <w:noProof/>
        </w:rPr>
        <w:fldChar w:fldCharType="begin"/>
      </w:r>
      <w:r>
        <w:rPr>
          <w:noProof/>
        </w:rPr>
        <w:instrText xml:space="preserve"> PAGEREF _Toc13233527 \h </w:instrText>
      </w:r>
      <w:r>
        <w:rPr>
          <w:noProof/>
        </w:rPr>
      </w:r>
      <w:r>
        <w:rPr>
          <w:noProof/>
        </w:rPr>
        <w:fldChar w:fldCharType="separate"/>
      </w:r>
      <w:r w:rsidR="00497E3C">
        <w:rPr>
          <w:noProof/>
        </w:rPr>
        <w:t>34</w:t>
      </w:r>
      <w:r>
        <w:rPr>
          <w:noProof/>
        </w:rPr>
        <w:fldChar w:fldCharType="end"/>
      </w:r>
    </w:p>
    <w:p w14:paraId="7E5ED315" w14:textId="77777777" w:rsidR="005168F5" w:rsidRDefault="005168F5">
      <w:pPr>
        <w:pStyle w:val="TOC5"/>
        <w:rPr>
          <w:rFonts w:asciiTheme="minorHAnsi" w:eastAsiaTheme="minorEastAsia" w:hAnsiTheme="minorHAnsi" w:cstheme="minorBidi"/>
          <w:noProof/>
          <w:kern w:val="0"/>
          <w:sz w:val="22"/>
          <w:szCs w:val="22"/>
        </w:rPr>
      </w:pPr>
      <w:r>
        <w:rPr>
          <w:noProof/>
        </w:rPr>
        <w:t>1.31  Measurement of flow rates by PEM equipment</w:t>
      </w:r>
      <w:r>
        <w:rPr>
          <w:noProof/>
        </w:rPr>
        <w:tab/>
      </w:r>
      <w:r>
        <w:rPr>
          <w:noProof/>
        </w:rPr>
        <w:fldChar w:fldCharType="begin"/>
      </w:r>
      <w:r>
        <w:rPr>
          <w:noProof/>
        </w:rPr>
        <w:instrText xml:space="preserve"> PAGEREF _Toc13233528 \h </w:instrText>
      </w:r>
      <w:r>
        <w:rPr>
          <w:noProof/>
        </w:rPr>
      </w:r>
      <w:r>
        <w:rPr>
          <w:noProof/>
        </w:rPr>
        <w:fldChar w:fldCharType="separate"/>
      </w:r>
      <w:r w:rsidR="00497E3C">
        <w:rPr>
          <w:noProof/>
        </w:rPr>
        <w:t>34</w:t>
      </w:r>
      <w:r>
        <w:rPr>
          <w:noProof/>
        </w:rPr>
        <w:fldChar w:fldCharType="end"/>
      </w:r>
    </w:p>
    <w:p w14:paraId="16D4B6F4" w14:textId="77777777" w:rsidR="005168F5" w:rsidRDefault="005168F5">
      <w:pPr>
        <w:pStyle w:val="TOC5"/>
        <w:rPr>
          <w:rFonts w:asciiTheme="minorHAnsi" w:eastAsiaTheme="minorEastAsia" w:hAnsiTheme="minorHAnsi" w:cstheme="minorBidi"/>
          <w:noProof/>
          <w:kern w:val="0"/>
          <w:sz w:val="22"/>
          <w:szCs w:val="22"/>
        </w:rPr>
      </w:pPr>
      <w:r>
        <w:rPr>
          <w:noProof/>
        </w:rPr>
        <w:t>1.32  Measurement of gas concentrations by PEM</w:t>
      </w:r>
      <w:r>
        <w:rPr>
          <w:noProof/>
        </w:rPr>
        <w:tab/>
      </w:r>
      <w:r>
        <w:rPr>
          <w:noProof/>
        </w:rPr>
        <w:fldChar w:fldCharType="begin"/>
      </w:r>
      <w:r>
        <w:rPr>
          <w:noProof/>
        </w:rPr>
        <w:instrText xml:space="preserve"> PAGEREF _Toc13233529 \h </w:instrText>
      </w:r>
      <w:r>
        <w:rPr>
          <w:noProof/>
        </w:rPr>
      </w:r>
      <w:r>
        <w:rPr>
          <w:noProof/>
        </w:rPr>
        <w:fldChar w:fldCharType="separate"/>
      </w:r>
      <w:r w:rsidR="00497E3C">
        <w:rPr>
          <w:noProof/>
        </w:rPr>
        <w:t>35</w:t>
      </w:r>
      <w:r>
        <w:rPr>
          <w:noProof/>
        </w:rPr>
        <w:fldChar w:fldCharType="end"/>
      </w:r>
    </w:p>
    <w:p w14:paraId="797B7EE3" w14:textId="77777777" w:rsidR="005168F5" w:rsidRDefault="005168F5">
      <w:pPr>
        <w:pStyle w:val="TOC5"/>
        <w:rPr>
          <w:rFonts w:asciiTheme="minorHAnsi" w:eastAsiaTheme="minorEastAsia" w:hAnsiTheme="minorHAnsi" w:cstheme="minorBidi"/>
          <w:noProof/>
          <w:kern w:val="0"/>
          <w:sz w:val="22"/>
          <w:szCs w:val="22"/>
        </w:rPr>
      </w:pPr>
      <w:r>
        <w:rPr>
          <w:noProof/>
        </w:rPr>
        <w:t>1.33  Representative data for PEM</w:t>
      </w:r>
      <w:r>
        <w:rPr>
          <w:noProof/>
        </w:rPr>
        <w:tab/>
      </w:r>
      <w:r>
        <w:rPr>
          <w:noProof/>
        </w:rPr>
        <w:fldChar w:fldCharType="begin"/>
      </w:r>
      <w:r>
        <w:rPr>
          <w:noProof/>
        </w:rPr>
        <w:instrText xml:space="preserve"> PAGEREF _Toc13233530 \h </w:instrText>
      </w:r>
      <w:r>
        <w:rPr>
          <w:noProof/>
        </w:rPr>
      </w:r>
      <w:r>
        <w:rPr>
          <w:noProof/>
        </w:rPr>
        <w:fldChar w:fldCharType="separate"/>
      </w:r>
      <w:r w:rsidR="00497E3C">
        <w:rPr>
          <w:noProof/>
        </w:rPr>
        <w:t>35</w:t>
      </w:r>
      <w:r>
        <w:rPr>
          <w:noProof/>
        </w:rPr>
        <w:fldChar w:fldCharType="end"/>
      </w:r>
    </w:p>
    <w:p w14:paraId="11BFB8EA" w14:textId="77777777" w:rsidR="005168F5" w:rsidRDefault="005168F5">
      <w:pPr>
        <w:pStyle w:val="TOC3"/>
        <w:rPr>
          <w:rFonts w:asciiTheme="minorHAnsi" w:eastAsiaTheme="minorEastAsia" w:hAnsiTheme="minorHAnsi" w:cstheme="minorBidi"/>
          <w:b w:val="0"/>
          <w:noProof/>
          <w:kern w:val="0"/>
          <w:szCs w:val="22"/>
        </w:rPr>
      </w:pPr>
      <w:r>
        <w:rPr>
          <w:noProof/>
        </w:rPr>
        <w:t>Division 1.3.4—Performance characteristics of equipment</w:t>
      </w:r>
      <w:r>
        <w:rPr>
          <w:noProof/>
        </w:rPr>
        <w:tab/>
      </w:r>
      <w:r>
        <w:rPr>
          <w:noProof/>
        </w:rPr>
        <w:fldChar w:fldCharType="begin"/>
      </w:r>
      <w:r>
        <w:rPr>
          <w:noProof/>
        </w:rPr>
        <w:instrText xml:space="preserve"> PAGEREF _Toc13233531 \h </w:instrText>
      </w:r>
      <w:r>
        <w:rPr>
          <w:noProof/>
        </w:rPr>
      </w:r>
      <w:r>
        <w:rPr>
          <w:noProof/>
        </w:rPr>
        <w:fldChar w:fldCharType="separate"/>
      </w:r>
      <w:r w:rsidR="00497E3C">
        <w:rPr>
          <w:noProof/>
        </w:rPr>
        <w:t>36</w:t>
      </w:r>
      <w:r>
        <w:rPr>
          <w:noProof/>
        </w:rPr>
        <w:fldChar w:fldCharType="end"/>
      </w:r>
    </w:p>
    <w:p w14:paraId="03259299" w14:textId="77777777" w:rsidR="005168F5" w:rsidRDefault="005168F5">
      <w:pPr>
        <w:pStyle w:val="TOC5"/>
        <w:rPr>
          <w:rFonts w:asciiTheme="minorHAnsi" w:eastAsiaTheme="minorEastAsia" w:hAnsiTheme="minorHAnsi" w:cstheme="minorBidi"/>
          <w:noProof/>
          <w:kern w:val="0"/>
          <w:sz w:val="22"/>
          <w:szCs w:val="22"/>
        </w:rPr>
      </w:pPr>
      <w:r>
        <w:rPr>
          <w:noProof/>
        </w:rPr>
        <w:t>1.34  Performance characteristics of CEM or PEM equipment</w:t>
      </w:r>
      <w:r>
        <w:rPr>
          <w:noProof/>
        </w:rPr>
        <w:tab/>
      </w:r>
      <w:r>
        <w:rPr>
          <w:noProof/>
        </w:rPr>
        <w:fldChar w:fldCharType="begin"/>
      </w:r>
      <w:r>
        <w:rPr>
          <w:noProof/>
        </w:rPr>
        <w:instrText xml:space="preserve"> PAGEREF _Toc13233532 \h </w:instrText>
      </w:r>
      <w:r>
        <w:rPr>
          <w:noProof/>
        </w:rPr>
      </w:r>
      <w:r>
        <w:rPr>
          <w:noProof/>
        </w:rPr>
        <w:fldChar w:fldCharType="separate"/>
      </w:r>
      <w:r w:rsidR="00497E3C">
        <w:rPr>
          <w:noProof/>
        </w:rPr>
        <w:t>36</w:t>
      </w:r>
      <w:r>
        <w:rPr>
          <w:noProof/>
        </w:rPr>
        <w:fldChar w:fldCharType="end"/>
      </w:r>
    </w:p>
    <w:p w14:paraId="5375A3CA" w14:textId="77777777" w:rsidR="005168F5" w:rsidRDefault="005168F5">
      <w:pPr>
        <w:pStyle w:val="TOC1"/>
        <w:rPr>
          <w:rFonts w:asciiTheme="minorHAnsi" w:eastAsiaTheme="minorEastAsia" w:hAnsiTheme="minorHAnsi" w:cstheme="minorBidi"/>
          <w:b w:val="0"/>
          <w:noProof/>
          <w:kern w:val="0"/>
          <w:sz w:val="22"/>
          <w:szCs w:val="22"/>
        </w:rPr>
      </w:pPr>
      <w:r>
        <w:rPr>
          <w:noProof/>
        </w:rPr>
        <w:t>Chapter 2—Fuel combustion</w:t>
      </w:r>
      <w:r>
        <w:rPr>
          <w:noProof/>
        </w:rPr>
        <w:tab/>
      </w:r>
      <w:r>
        <w:rPr>
          <w:noProof/>
        </w:rPr>
        <w:fldChar w:fldCharType="begin"/>
      </w:r>
      <w:r>
        <w:rPr>
          <w:noProof/>
        </w:rPr>
        <w:instrText xml:space="preserve"> PAGEREF _Toc13233533 \h </w:instrText>
      </w:r>
      <w:r>
        <w:rPr>
          <w:noProof/>
        </w:rPr>
      </w:r>
      <w:r>
        <w:rPr>
          <w:noProof/>
        </w:rPr>
        <w:fldChar w:fldCharType="separate"/>
      </w:r>
      <w:r w:rsidR="00497E3C">
        <w:rPr>
          <w:noProof/>
        </w:rPr>
        <w:t>37</w:t>
      </w:r>
      <w:r>
        <w:rPr>
          <w:noProof/>
        </w:rPr>
        <w:fldChar w:fldCharType="end"/>
      </w:r>
    </w:p>
    <w:p w14:paraId="63195CAB" w14:textId="77777777" w:rsidR="005168F5" w:rsidRDefault="005168F5">
      <w:pPr>
        <w:pStyle w:val="TOC2"/>
        <w:rPr>
          <w:rFonts w:asciiTheme="minorHAnsi" w:eastAsiaTheme="minorEastAsia" w:hAnsiTheme="minorHAnsi" w:cstheme="minorBidi"/>
          <w:b w:val="0"/>
          <w:noProof/>
          <w:kern w:val="0"/>
          <w:sz w:val="22"/>
          <w:szCs w:val="22"/>
        </w:rPr>
      </w:pPr>
      <w:r>
        <w:rPr>
          <w:noProof/>
        </w:rPr>
        <w:t>Part 2.1—Preliminary</w:t>
      </w:r>
      <w:r>
        <w:rPr>
          <w:noProof/>
        </w:rPr>
        <w:tab/>
      </w:r>
      <w:r>
        <w:rPr>
          <w:noProof/>
        </w:rPr>
        <w:fldChar w:fldCharType="begin"/>
      </w:r>
      <w:r>
        <w:rPr>
          <w:noProof/>
        </w:rPr>
        <w:instrText xml:space="preserve"> PAGEREF _Toc13233534 \h </w:instrText>
      </w:r>
      <w:r>
        <w:rPr>
          <w:noProof/>
        </w:rPr>
      </w:r>
      <w:r>
        <w:rPr>
          <w:noProof/>
        </w:rPr>
        <w:fldChar w:fldCharType="separate"/>
      </w:r>
      <w:r w:rsidR="00497E3C">
        <w:rPr>
          <w:noProof/>
        </w:rPr>
        <w:t>37</w:t>
      </w:r>
      <w:r>
        <w:rPr>
          <w:noProof/>
        </w:rPr>
        <w:fldChar w:fldCharType="end"/>
      </w:r>
    </w:p>
    <w:p w14:paraId="5F04E642" w14:textId="77777777" w:rsidR="005168F5" w:rsidRDefault="005168F5">
      <w:pPr>
        <w:pStyle w:val="TOC5"/>
        <w:rPr>
          <w:rFonts w:asciiTheme="minorHAnsi" w:eastAsiaTheme="minorEastAsia" w:hAnsiTheme="minorHAnsi" w:cstheme="minorBidi"/>
          <w:noProof/>
          <w:kern w:val="0"/>
          <w:sz w:val="22"/>
          <w:szCs w:val="22"/>
        </w:rPr>
      </w:pPr>
      <w:r>
        <w:rPr>
          <w:noProof/>
        </w:rPr>
        <w:t>2.1  Outline of Chapter</w:t>
      </w:r>
      <w:r>
        <w:rPr>
          <w:noProof/>
        </w:rPr>
        <w:tab/>
      </w:r>
      <w:r>
        <w:rPr>
          <w:noProof/>
        </w:rPr>
        <w:fldChar w:fldCharType="begin"/>
      </w:r>
      <w:r>
        <w:rPr>
          <w:noProof/>
        </w:rPr>
        <w:instrText xml:space="preserve"> PAGEREF _Toc13233535 \h </w:instrText>
      </w:r>
      <w:r>
        <w:rPr>
          <w:noProof/>
        </w:rPr>
      </w:r>
      <w:r>
        <w:rPr>
          <w:noProof/>
        </w:rPr>
        <w:fldChar w:fldCharType="separate"/>
      </w:r>
      <w:r w:rsidR="00497E3C">
        <w:rPr>
          <w:noProof/>
        </w:rPr>
        <w:t>37</w:t>
      </w:r>
      <w:r>
        <w:rPr>
          <w:noProof/>
        </w:rPr>
        <w:fldChar w:fldCharType="end"/>
      </w:r>
    </w:p>
    <w:p w14:paraId="5A025F85" w14:textId="77777777" w:rsidR="005168F5" w:rsidRDefault="005168F5">
      <w:pPr>
        <w:pStyle w:val="TOC2"/>
        <w:rPr>
          <w:rFonts w:asciiTheme="minorHAnsi" w:eastAsiaTheme="minorEastAsia" w:hAnsiTheme="minorHAnsi" w:cstheme="minorBidi"/>
          <w:b w:val="0"/>
          <w:noProof/>
          <w:kern w:val="0"/>
          <w:sz w:val="22"/>
          <w:szCs w:val="22"/>
        </w:rPr>
      </w:pPr>
      <w:r>
        <w:rPr>
          <w:noProof/>
        </w:rPr>
        <w:t>Part 2.2—Emissions released from the combustion of solid fuels</w:t>
      </w:r>
      <w:r>
        <w:rPr>
          <w:noProof/>
        </w:rPr>
        <w:tab/>
      </w:r>
      <w:r>
        <w:rPr>
          <w:noProof/>
        </w:rPr>
        <w:fldChar w:fldCharType="begin"/>
      </w:r>
      <w:r>
        <w:rPr>
          <w:noProof/>
        </w:rPr>
        <w:instrText xml:space="preserve"> PAGEREF _Toc13233536 \h </w:instrText>
      </w:r>
      <w:r>
        <w:rPr>
          <w:noProof/>
        </w:rPr>
      </w:r>
      <w:r>
        <w:rPr>
          <w:noProof/>
        </w:rPr>
        <w:fldChar w:fldCharType="separate"/>
      </w:r>
      <w:r w:rsidR="00497E3C">
        <w:rPr>
          <w:noProof/>
        </w:rPr>
        <w:t>38</w:t>
      </w:r>
      <w:r>
        <w:rPr>
          <w:noProof/>
        </w:rPr>
        <w:fldChar w:fldCharType="end"/>
      </w:r>
    </w:p>
    <w:p w14:paraId="28176096" w14:textId="77777777" w:rsidR="005168F5" w:rsidRDefault="005168F5">
      <w:pPr>
        <w:pStyle w:val="TOC3"/>
        <w:rPr>
          <w:rFonts w:asciiTheme="minorHAnsi" w:eastAsiaTheme="minorEastAsia" w:hAnsiTheme="minorHAnsi" w:cstheme="minorBidi"/>
          <w:b w:val="0"/>
          <w:noProof/>
          <w:kern w:val="0"/>
          <w:szCs w:val="22"/>
        </w:rPr>
      </w:pPr>
      <w:r>
        <w:rPr>
          <w:noProof/>
        </w:rPr>
        <w:t>Division 2.2.1—Preliminary</w:t>
      </w:r>
      <w:r>
        <w:rPr>
          <w:noProof/>
        </w:rPr>
        <w:tab/>
      </w:r>
      <w:r>
        <w:rPr>
          <w:noProof/>
        </w:rPr>
        <w:fldChar w:fldCharType="begin"/>
      </w:r>
      <w:r>
        <w:rPr>
          <w:noProof/>
        </w:rPr>
        <w:instrText xml:space="preserve"> PAGEREF _Toc13233537 \h </w:instrText>
      </w:r>
      <w:r>
        <w:rPr>
          <w:noProof/>
        </w:rPr>
      </w:r>
      <w:r>
        <w:rPr>
          <w:noProof/>
        </w:rPr>
        <w:fldChar w:fldCharType="separate"/>
      </w:r>
      <w:r w:rsidR="00497E3C">
        <w:rPr>
          <w:noProof/>
        </w:rPr>
        <w:t>38</w:t>
      </w:r>
      <w:r>
        <w:rPr>
          <w:noProof/>
        </w:rPr>
        <w:fldChar w:fldCharType="end"/>
      </w:r>
    </w:p>
    <w:p w14:paraId="23E12A38" w14:textId="77777777" w:rsidR="005168F5" w:rsidRDefault="005168F5">
      <w:pPr>
        <w:pStyle w:val="TOC5"/>
        <w:rPr>
          <w:rFonts w:asciiTheme="minorHAnsi" w:eastAsiaTheme="minorEastAsia" w:hAnsiTheme="minorHAnsi" w:cstheme="minorBidi"/>
          <w:noProof/>
          <w:kern w:val="0"/>
          <w:sz w:val="22"/>
          <w:szCs w:val="22"/>
        </w:rPr>
      </w:pPr>
      <w:r>
        <w:rPr>
          <w:noProof/>
        </w:rPr>
        <w:t>2.2  Application</w:t>
      </w:r>
      <w:r>
        <w:rPr>
          <w:noProof/>
        </w:rPr>
        <w:tab/>
      </w:r>
      <w:r>
        <w:rPr>
          <w:noProof/>
        </w:rPr>
        <w:fldChar w:fldCharType="begin"/>
      </w:r>
      <w:r>
        <w:rPr>
          <w:noProof/>
        </w:rPr>
        <w:instrText xml:space="preserve"> PAGEREF _Toc13233538 \h </w:instrText>
      </w:r>
      <w:r>
        <w:rPr>
          <w:noProof/>
        </w:rPr>
      </w:r>
      <w:r>
        <w:rPr>
          <w:noProof/>
        </w:rPr>
        <w:fldChar w:fldCharType="separate"/>
      </w:r>
      <w:r w:rsidR="00497E3C">
        <w:rPr>
          <w:noProof/>
        </w:rPr>
        <w:t>38</w:t>
      </w:r>
      <w:r>
        <w:rPr>
          <w:noProof/>
        </w:rPr>
        <w:fldChar w:fldCharType="end"/>
      </w:r>
    </w:p>
    <w:p w14:paraId="101D6403" w14:textId="77777777" w:rsidR="005168F5" w:rsidRDefault="005168F5">
      <w:pPr>
        <w:pStyle w:val="TOC5"/>
        <w:rPr>
          <w:rFonts w:asciiTheme="minorHAnsi" w:eastAsiaTheme="minorEastAsia" w:hAnsiTheme="minorHAnsi" w:cstheme="minorBidi"/>
          <w:noProof/>
          <w:kern w:val="0"/>
          <w:sz w:val="22"/>
          <w:szCs w:val="22"/>
        </w:rPr>
      </w:pPr>
      <w:r>
        <w:rPr>
          <w:noProof/>
        </w:rPr>
        <w:t>2.3  Available methods for estimating emissions of carbon dioxide, methane and nitrous oxide</w:t>
      </w:r>
      <w:r>
        <w:rPr>
          <w:noProof/>
        </w:rPr>
        <w:tab/>
      </w:r>
      <w:r>
        <w:rPr>
          <w:noProof/>
        </w:rPr>
        <w:fldChar w:fldCharType="begin"/>
      </w:r>
      <w:r>
        <w:rPr>
          <w:noProof/>
        </w:rPr>
        <w:instrText xml:space="preserve"> PAGEREF _Toc13233539 \h </w:instrText>
      </w:r>
      <w:r>
        <w:rPr>
          <w:noProof/>
        </w:rPr>
      </w:r>
      <w:r>
        <w:rPr>
          <w:noProof/>
        </w:rPr>
        <w:fldChar w:fldCharType="separate"/>
      </w:r>
      <w:r w:rsidR="00497E3C">
        <w:rPr>
          <w:noProof/>
        </w:rPr>
        <w:t>38</w:t>
      </w:r>
      <w:r>
        <w:rPr>
          <w:noProof/>
        </w:rPr>
        <w:fldChar w:fldCharType="end"/>
      </w:r>
    </w:p>
    <w:p w14:paraId="52928D5F" w14:textId="77777777" w:rsidR="005168F5" w:rsidRDefault="005168F5">
      <w:pPr>
        <w:pStyle w:val="TOC3"/>
        <w:rPr>
          <w:rFonts w:asciiTheme="minorHAnsi" w:eastAsiaTheme="minorEastAsia" w:hAnsiTheme="minorHAnsi" w:cstheme="minorBidi"/>
          <w:b w:val="0"/>
          <w:noProof/>
          <w:kern w:val="0"/>
          <w:szCs w:val="22"/>
        </w:rPr>
      </w:pPr>
      <w:r>
        <w:rPr>
          <w:noProof/>
        </w:rPr>
        <w:t>Division 2.2.2—Method 1—emissions of carbon dioxide, methane and nitrous oxide from solid fuels</w:t>
      </w:r>
      <w:r>
        <w:rPr>
          <w:noProof/>
        </w:rPr>
        <w:tab/>
      </w:r>
      <w:r>
        <w:rPr>
          <w:noProof/>
        </w:rPr>
        <w:fldChar w:fldCharType="begin"/>
      </w:r>
      <w:r>
        <w:rPr>
          <w:noProof/>
        </w:rPr>
        <w:instrText xml:space="preserve"> PAGEREF _Toc13233540 \h </w:instrText>
      </w:r>
      <w:r>
        <w:rPr>
          <w:noProof/>
        </w:rPr>
      </w:r>
      <w:r>
        <w:rPr>
          <w:noProof/>
        </w:rPr>
        <w:fldChar w:fldCharType="separate"/>
      </w:r>
      <w:r w:rsidR="00497E3C">
        <w:rPr>
          <w:noProof/>
        </w:rPr>
        <w:t>39</w:t>
      </w:r>
      <w:r>
        <w:rPr>
          <w:noProof/>
        </w:rPr>
        <w:fldChar w:fldCharType="end"/>
      </w:r>
    </w:p>
    <w:p w14:paraId="5B465DE3" w14:textId="77777777" w:rsidR="005168F5" w:rsidRDefault="005168F5">
      <w:pPr>
        <w:pStyle w:val="TOC5"/>
        <w:rPr>
          <w:rFonts w:asciiTheme="minorHAnsi" w:eastAsiaTheme="minorEastAsia" w:hAnsiTheme="minorHAnsi" w:cstheme="minorBidi"/>
          <w:noProof/>
          <w:kern w:val="0"/>
          <w:sz w:val="22"/>
          <w:szCs w:val="22"/>
        </w:rPr>
      </w:pPr>
      <w:r>
        <w:rPr>
          <w:noProof/>
        </w:rPr>
        <w:t>2.4  Method 1—solid fuels</w:t>
      </w:r>
      <w:r>
        <w:rPr>
          <w:noProof/>
        </w:rPr>
        <w:tab/>
      </w:r>
      <w:r>
        <w:rPr>
          <w:noProof/>
        </w:rPr>
        <w:fldChar w:fldCharType="begin"/>
      </w:r>
      <w:r>
        <w:rPr>
          <w:noProof/>
        </w:rPr>
        <w:instrText xml:space="preserve"> PAGEREF _Toc13233541 \h </w:instrText>
      </w:r>
      <w:r>
        <w:rPr>
          <w:noProof/>
        </w:rPr>
      </w:r>
      <w:r>
        <w:rPr>
          <w:noProof/>
        </w:rPr>
        <w:fldChar w:fldCharType="separate"/>
      </w:r>
      <w:r w:rsidR="00497E3C">
        <w:rPr>
          <w:noProof/>
        </w:rPr>
        <w:t>39</w:t>
      </w:r>
      <w:r>
        <w:rPr>
          <w:noProof/>
        </w:rPr>
        <w:fldChar w:fldCharType="end"/>
      </w:r>
    </w:p>
    <w:p w14:paraId="358CA847" w14:textId="77777777" w:rsidR="005168F5" w:rsidRDefault="005168F5">
      <w:pPr>
        <w:pStyle w:val="TOC3"/>
        <w:rPr>
          <w:rFonts w:asciiTheme="minorHAnsi" w:eastAsiaTheme="minorEastAsia" w:hAnsiTheme="minorHAnsi" w:cstheme="minorBidi"/>
          <w:b w:val="0"/>
          <w:noProof/>
          <w:kern w:val="0"/>
          <w:szCs w:val="22"/>
        </w:rPr>
      </w:pPr>
      <w:r>
        <w:rPr>
          <w:noProof/>
        </w:rPr>
        <w:t>Division 2.2.3—Method 2—emissions from solid fuels</w:t>
      </w:r>
      <w:r>
        <w:rPr>
          <w:noProof/>
        </w:rPr>
        <w:tab/>
      </w:r>
      <w:r>
        <w:rPr>
          <w:noProof/>
        </w:rPr>
        <w:fldChar w:fldCharType="begin"/>
      </w:r>
      <w:r>
        <w:rPr>
          <w:noProof/>
        </w:rPr>
        <w:instrText xml:space="preserve"> PAGEREF _Toc13233542 \h </w:instrText>
      </w:r>
      <w:r>
        <w:rPr>
          <w:noProof/>
        </w:rPr>
      </w:r>
      <w:r>
        <w:rPr>
          <w:noProof/>
        </w:rPr>
        <w:fldChar w:fldCharType="separate"/>
      </w:r>
      <w:r w:rsidR="00497E3C">
        <w:rPr>
          <w:noProof/>
        </w:rPr>
        <w:t>40</w:t>
      </w:r>
      <w:r>
        <w:rPr>
          <w:noProof/>
        </w:rPr>
        <w:fldChar w:fldCharType="end"/>
      </w:r>
    </w:p>
    <w:p w14:paraId="70208B5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2.2.3.1—Method 2—estimating carbon dioxide using default oxidation factor</w:t>
      </w:r>
      <w:r>
        <w:rPr>
          <w:noProof/>
        </w:rPr>
        <w:tab/>
      </w:r>
      <w:r>
        <w:rPr>
          <w:noProof/>
        </w:rPr>
        <w:fldChar w:fldCharType="begin"/>
      </w:r>
      <w:r>
        <w:rPr>
          <w:noProof/>
        </w:rPr>
        <w:instrText xml:space="preserve"> PAGEREF _Toc13233543 \h </w:instrText>
      </w:r>
      <w:r>
        <w:rPr>
          <w:noProof/>
        </w:rPr>
      </w:r>
      <w:r>
        <w:rPr>
          <w:noProof/>
        </w:rPr>
        <w:fldChar w:fldCharType="separate"/>
      </w:r>
      <w:r w:rsidR="00497E3C">
        <w:rPr>
          <w:noProof/>
        </w:rPr>
        <w:t>40</w:t>
      </w:r>
      <w:r>
        <w:rPr>
          <w:noProof/>
        </w:rPr>
        <w:fldChar w:fldCharType="end"/>
      </w:r>
    </w:p>
    <w:p w14:paraId="2B8DDFB2" w14:textId="77777777" w:rsidR="005168F5" w:rsidRDefault="005168F5">
      <w:pPr>
        <w:pStyle w:val="TOC5"/>
        <w:rPr>
          <w:rFonts w:asciiTheme="minorHAnsi" w:eastAsiaTheme="minorEastAsia" w:hAnsiTheme="minorHAnsi" w:cstheme="minorBidi"/>
          <w:noProof/>
          <w:kern w:val="0"/>
          <w:sz w:val="22"/>
          <w:szCs w:val="22"/>
        </w:rPr>
      </w:pPr>
      <w:r>
        <w:rPr>
          <w:noProof/>
        </w:rPr>
        <w:t>2.5  Method 2—estimating carbon dioxide using oxidation factor</w:t>
      </w:r>
      <w:r>
        <w:rPr>
          <w:noProof/>
        </w:rPr>
        <w:tab/>
      </w:r>
      <w:r>
        <w:rPr>
          <w:noProof/>
        </w:rPr>
        <w:fldChar w:fldCharType="begin"/>
      </w:r>
      <w:r>
        <w:rPr>
          <w:noProof/>
        </w:rPr>
        <w:instrText xml:space="preserve"> PAGEREF _Toc13233544 \h </w:instrText>
      </w:r>
      <w:r>
        <w:rPr>
          <w:noProof/>
        </w:rPr>
      </w:r>
      <w:r>
        <w:rPr>
          <w:noProof/>
        </w:rPr>
        <w:fldChar w:fldCharType="separate"/>
      </w:r>
      <w:r w:rsidR="00497E3C">
        <w:rPr>
          <w:noProof/>
        </w:rPr>
        <w:t>40</w:t>
      </w:r>
      <w:r>
        <w:rPr>
          <w:noProof/>
        </w:rPr>
        <w:fldChar w:fldCharType="end"/>
      </w:r>
    </w:p>
    <w:p w14:paraId="7CCB82E8"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2.2.3.2—Method 2—estimating carbon dioxide using an estimated oxidation factor</w:t>
      </w:r>
      <w:r>
        <w:rPr>
          <w:noProof/>
        </w:rPr>
        <w:tab/>
      </w:r>
      <w:r>
        <w:rPr>
          <w:noProof/>
        </w:rPr>
        <w:fldChar w:fldCharType="begin"/>
      </w:r>
      <w:r>
        <w:rPr>
          <w:noProof/>
        </w:rPr>
        <w:instrText xml:space="preserve"> PAGEREF _Toc13233545 \h </w:instrText>
      </w:r>
      <w:r>
        <w:rPr>
          <w:noProof/>
        </w:rPr>
      </w:r>
      <w:r>
        <w:rPr>
          <w:noProof/>
        </w:rPr>
        <w:fldChar w:fldCharType="separate"/>
      </w:r>
      <w:r w:rsidR="00497E3C">
        <w:rPr>
          <w:noProof/>
        </w:rPr>
        <w:t>41</w:t>
      </w:r>
      <w:r>
        <w:rPr>
          <w:noProof/>
        </w:rPr>
        <w:fldChar w:fldCharType="end"/>
      </w:r>
    </w:p>
    <w:p w14:paraId="2669F6EB"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2.6  Method 2—estimating carbon dioxide using an estimated oxidation factor</w:t>
      </w:r>
      <w:r>
        <w:rPr>
          <w:noProof/>
        </w:rPr>
        <w:tab/>
      </w:r>
      <w:r>
        <w:rPr>
          <w:noProof/>
        </w:rPr>
        <w:fldChar w:fldCharType="begin"/>
      </w:r>
      <w:r>
        <w:rPr>
          <w:noProof/>
        </w:rPr>
        <w:instrText xml:space="preserve"> PAGEREF _Toc13233546 \h </w:instrText>
      </w:r>
      <w:r>
        <w:rPr>
          <w:noProof/>
        </w:rPr>
      </w:r>
      <w:r>
        <w:rPr>
          <w:noProof/>
        </w:rPr>
        <w:fldChar w:fldCharType="separate"/>
      </w:r>
      <w:r w:rsidR="00497E3C">
        <w:rPr>
          <w:noProof/>
        </w:rPr>
        <w:t>41</w:t>
      </w:r>
      <w:r>
        <w:rPr>
          <w:noProof/>
        </w:rPr>
        <w:fldChar w:fldCharType="end"/>
      </w:r>
    </w:p>
    <w:p w14:paraId="4A3259EE"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2.2.3.3—Sampling and analysis for method 2 under sections 2.5 and 2.6</w:t>
      </w:r>
      <w:r>
        <w:rPr>
          <w:noProof/>
        </w:rPr>
        <w:tab/>
      </w:r>
      <w:r>
        <w:rPr>
          <w:noProof/>
        </w:rPr>
        <w:fldChar w:fldCharType="begin"/>
      </w:r>
      <w:r>
        <w:rPr>
          <w:noProof/>
        </w:rPr>
        <w:instrText xml:space="preserve"> PAGEREF _Toc13233547 \h </w:instrText>
      </w:r>
      <w:r>
        <w:rPr>
          <w:noProof/>
        </w:rPr>
      </w:r>
      <w:r>
        <w:rPr>
          <w:noProof/>
        </w:rPr>
        <w:fldChar w:fldCharType="separate"/>
      </w:r>
      <w:r w:rsidR="00497E3C">
        <w:rPr>
          <w:noProof/>
        </w:rPr>
        <w:t>43</w:t>
      </w:r>
      <w:r>
        <w:rPr>
          <w:noProof/>
        </w:rPr>
        <w:fldChar w:fldCharType="end"/>
      </w:r>
    </w:p>
    <w:p w14:paraId="08B0E105" w14:textId="77777777" w:rsidR="005168F5" w:rsidRDefault="005168F5">
      <w:pPr>
        <w:pStyle w:val="TOC5"/>
        <w:rPr>
          <w:rFonts w:asciiTheme="minorHAnsi" w:eastAsiaTheme="minorEastAsia" w:hAnsiTheme="minorHAnsi" w:cstheme="minorBidi"/>
          <w:noProof/>
          <w:kern w:val="0"/>
          <w:sz w:val="22"/>
          <w:szCs w:val="22"/>
        </w:rPr>
      </w:pPr>
      <w:r>
        <w:rPr>
          <w:noProof/>
        </w:rPr>
        <w:t>2.7  General requirements for sampling solid fuels</w:t>
      </w:r>
      <w:r>
        <w:rPr>
          <w:noProof/>
        </w:rPr>
        <w:tab/>
      </w:r>
      <w:r>
        <w:rPr>
          <w:noProof/>
        </w:rPr>
        <w:fldChar w:fldCharType="begin"/>
      </w:r>
      <w:r>
        <w:rPr>
          <w:noProof/>
        </w:rPr>
        <w:instrText xml:space="preserve"> PAGEREF _Toc13233548 \h </w:instrText>
      </w:r>
      <w:r>
        <w:rPr>
          <w:noProof/>
        </w:rPr>
      </w:r>
      <w:r>
        <w:rPr>
          <w:noProof/>
        </w:rPr>
        <w:fldChar w:fldCharType="separate"/>
      </w:r>
      <w:r w:rsidR="00497E3C">
        <w:rPr>
          <w:noProof/>
        </w:rPr>
        <w:t>43</w:t>
      </w:r>
      <w:r>
        <w:rPr>
          <w:noProof/>
        </w:rPr>
        <w:fldChar w:fldCharType="end"/>
      </w:r>
    </w:p>
    <w:p w14:paraId="04B54354" w14:textId="77777777" w:rsidR="005168F5" w:rsidRDefault="005168F5">
      <w:pPr>
        <w:pStyle w:val="TOC5"/>
        <w:rPr>
          <w:rFonts w:asciiTheme="minorHAnsi" w:eastAsiaTheme="minorEastAsia" w:hAnsiTheme="minorHAnsi" w:cstheme="minorBidi"/>
          <w:noProof/>
          <w:kern w:val="0"/>
          <w:sz w:val="22"/>
          <w:szCs w:val="22"/>
        </w:rPr>
      </w:pPr>
      <w:r>
        <w:rPr>
          <w:noProof/>
        </w:rPr>
        <w:t>2.8  General requirements for analysis of solid fuels</w:t>
      </w:r>
      <w:r>
        <w:rPr>
          <w:noProof/>
        </w:rPr>
        <w:tab/>
      </w:r>
      <w:r>
        <w:rPr>
          <w:noProof/>
        </w:rPr>
        <w:fldChar w:fldCharType="begin"/>
      </w:r>
      <w:r>
        <w:rPr>
          <w:noProof/>
        </w:rPr>
        <w:instrText xml:space="preserve"> PAGEREF _Toc13233549 \h </w:instrText>
      </w:r>
      <w:r>
        <w:rPr>
          <w:noProof/>
        </w:rPr>
      </w:r>
      <w:r>
        <w:rPr>
          <w:noProof/>
        </w:rPr>
        <w:fldChar w:fldCharType="separate"/>
      </w:r>
      <w:r w:rsidR="00497E3C">
        <w:rPr>
          <w:noProof/>
        </w:rPr>
        <w:t>43</w:t>
      </w:r>
      <w:r>
        <w:rPr>
          <w:noProof/>
        </w:rPr>
        <w:fldChar w:fldCharType="end"/>
      </w:r>
    </w:p>
    <w:p w14:paraId="38E49E12" w14:textId="77777777" w:rsidR="005168F5" w:rsidRDefault="005168F5">
      <w:pPr>
        <w:pStyle w:val="TOC5"/>
        <w:rPr>
          <w:rFonts w:asciiTheme="minorHAnsi" w:eastAsiaTheme="minorEastAsia" w:hAnsiTheme="minorHAnsi" w:cstheme="minorBidi"/>
          <w:noProof/>
          <w:kern w:val="0"/>
          <w:sz w:val="22"/>
          <w:szCs w:val="22"/>
        </w:rPr>
      </w:pPr>
      <w:r>
        <w:rPr>
          <w:noProof/>
        </w:rPr>
        <w:t>2.9  Requirements for analysis of furnace ash and fly ash</w:t>
      </w:r>
      <w:r>
        <w:rPr>
          <w:noProof/>
        </w:rPr>
        <w:tab/>
      </w:r>
      <w:r>
        <w:rPr>
          <w:noProof/>
        </w:rPr>
        <w:fldChar w:fldCharType="begin"/>
      </w:r>
      <w:r>
        <w:rPr>
          <w:noProof/>
        </w:rPr>
        <w:instrText xml:space="preserve"> PAGEREF _Toc13233550 \h </w:instrText>
      </w:r>
      <w:r>
        <w:rPr>
          <w:noProof/>
        </w:rPr>
      </w:r>
      <w:r>
        <w:rPr>
          <w:noProof/>
        </w:rPr>
        <w:fldChar w:fldCharType="separate"/>
      </w:r>
      <w:r w:rsidR="00497E3C">
        <w:rPr>
          <w:noProof/>
        </w:rPr>
        <w:t>44</w:t>
      </w:r>
      <w:r>
        <w:rPr>
          <w:noProof/>
        </w:rPr>
        <w:fldChar w:fldCharType="end"/>
      </w:r>
    </w:p>
    <w:p w14:paraId="3590E6FD" w14:textId="77777777" w:rsidR="005168F5" w:rsidRDefault="005168F5">
      <w:pPr>
        <w:pStyle w:val="TOC5"/>
        <w:rPr>
          <w:rFonts w:asciiTheme="minorHAnsi" w:eastAsiaTheme="minorEastAsia" w:hAnsiTheme="minorHAnsi" w:cstheme="minorBidi"/>
          <w:noProof/>
          <w:kern w:val="0"/>
          <w:sz w:val="22"/>
          <w:szCs w:val="22"/>
        </w:rPr>
      </w:pPr>
      <w:r>
        <w:rPr>
          <w:noProof/>
        </w:rPr>
        <w:t>2.10  Requirements for sampling for carbon in furnace ash</w:t>
      </w:r>
      <w:r>
        <w:rPr>
          <w:noProof/>
        </w:rPr>
        <w:tab/>
      </w:r>
      <w:r>
        <w:rPr>
          <w:noProof/>
        </w:rPr>
        <w:fldChar w:fldCharType="begin"/>
      </w:r>
      <w:r>
        <w:rPr>
          <w:noProof/>
        </w:rPr>
        <w:instrText xml:space="preserve"> PAGEREF _Toc13233551 \h </w:instrText>
      </w:r>
      <w:r>
        <w:rPr>
          <w:noProof/>
        </w:rPr>
      </w:r>
      <w:r>
        <w:rPr>
          <w:noProof/>
        </w:rPr>
        <w:fldChar w:fldCharType="separate"/>
      </w:r>
      <w:r w:rsidR="00497E3C">
        <w:rPr>
          <w:noProof/>
        </w:rPr>
        <w:t>44</w:t>
      </w:r>
      <w:r>
        <w:rPr>
          <w:noProof/>
        </w:rPr>
        <w:fldChar w:fldCharType="end"/>
      </w:r>
    </w:p>
    <w:p w14:paraId="12FA5892" w14:textId="77777777" w:rsidR="005168F5" w:rsidRDefault="005168F5">
      <w:pPr>
        <w:pStyle w:val="TOC5"/>
        <w:rPr>
          <w:rFonts w:asciiTheme="minorHAnsi" w:eastAsiaTheme="minorEastAsia" w:hAnsiTheme="minorHAnsi" w:cstheme="minorBidi"/>
          <w:noProof/>
          <w:kern w:val="0"/>
          <w:sz w:val="22"/>
          <w:szCs w:val="22"/>
        </w:rPr>
      </w:pPr>
      <w:r>
        <w:rPr>
          <w:noProof/>
        </w:rPr>
        <w:t>2.11  Sampling for carbon in fly ash</w:t>
      </w:r>
      <w:r>
        <w:rPr>
          <w:noProof/>
        </w:rPr>
        <w:tab/>
      </w:r>
      <w:r>
        <w:rPr>
          <w:noProof/>
        </w:rPr>
        <w:fldChar w:fldCharType="begin"/>
      </w:r>
      <w:r>
        <w:rPr>
          <w:noProof/>
        </w:rPr>
        <w:instrText xml:space="preserve"> PAGEREF _Toc13233552 \h </w:instrText>
      </w:r>
      <w:r>
        <w:rPr>
          <w:noProof/>
        </w:rPr>
      </w:r>
      <w:r>
        <w:rPr>
          <w:noProof/>
        </w:rPr>
        <w:fldChar w:fldCharType="separate"/>
      </w:r>
      <w:r w:rsidR="00497E3C">
        <w:rPr>
          <w:noProof/>
        </w:rPr>
        <w:t>44</w:t>
      </w:r>
      <w:r>
        <w:rPr>
          <w:noProof/>
        </w:rPr>
        <w:fldChar w:fldCharType="end"/>
      </w:r>
    </w:p>
    <w:p w14:paraId="292498A8" w14:textId="77777777" w:rsidR="005168F5" w:rsidRDefault="005168F5">
      <w:pPr>
        <w:pStyle w:val="TOC3"/>
        <w:rPr>
          <w:rFonts w:asciiTheme="minorHAnsi" w:eastAsiaTheme="minorEastAsia" w:hAnsiTheme="minorHAnsi" w:cstheme="minorBidi"/>
          <w:b w:val="0"/>
          <w:noProof/>
          <w:kern w:val="0"/>
          <w:szCs w:val="22"/>
        </w:rPr>
      </w:pPr>
      <w:r>
        <w:rPr>
          <w:noProof/>
        </w:rPr>
        <w:t>Division 2.2.4—Method 3—Solid fuels</w:t>
      </w:r>
      <w:r>
        <w:rPr>
          <w:noProof/>
        </w:rPr>
        <w:tab/>
      </w:r>
      <w:r>
        <w:rPr>
          <w:noProof/>
        </w:rPr>
        <w:fldChar w:fldCharType="begin"/>
      </w:r>
      <w:r>
        <w:rPr>
          <w:noProof/>
        </w:rPr>
        <w:instrText xml:space="preserve"> PAGEREF _Toc13233553 \h </w:instrText>
      </w:r>
      <w:r>
        <w:rPr>
          <w:noProof/>
        </w:rPr>
      </w:r>
      <w:r>
        <w:rPr>
          <w:noProof/>
        </w:rPr>
        <w:fldChar w:fldCharType="separate"/>
      </w:r>
      <w:r w:rsidR="00497E3C">
        <w:rPr>
          <w:noProof/>
        </w:rPr>
        <w:t>46</w:t>
      </w:r>
      <w:r>
        <w:rPr>
          <w:noProof/>
        </w:rPr>
        <w:fldChar w:fldCharType="end"/>
      </w:r>
    </w:p>
    <w:p w14:paraId="7C0120AC" w14:textId="77777777" w:rsidR="005168F5" w:rsidRDefault="005168F5">
      <w:pPr>
        <w:pStyle w:val="TOC5"/>
        <w:rPr>
          <w:rFonts w:asciiTheme="minorHAnsi" w:eastAsiaTheme="minorEastAsia" w:hAnsiTheme="minorHAnsi" w:cstheme="minorBidi"/>
          <w:noProof/>
          <w:kern w:val="0"/>
          <w:sz w:val="22"/>
          <w:szCs w:val="22"/>
        </w:rPr>
      </w:pPr>
      <w:r>
        <w:rPr>
          <w:noProof/>
        </w:rPr>
        <w:t>2.12  Method 3—solid fuels using oxidation factor or an estimated oxidation factor</w:t>
      </w:r>
      <w:r>
        <w:rPr>
          <w:noProof/>
        </w:rPr>
        <w:tab/>
      </w:r>
      <w:r>
        <w:rPr>
          <w:noProof/>
        </w:rPr>
        <w:fldChar w:fldCharType="begin"/>
      </w:r>
      <w:r>
        <w:rPr>
          <w:noProof/>
        </w:rPr>
        <w:instrText xml:space="preserve"> PAGEREF _Toc13233554 \h </w:instrText>
      </w:r>
      <w:r>
        <w:rPr>
          <w:noProof/>
        </w:rPr>
      </w:r>
      <w:r>
        <w:rPr>
          <w:noProof/>
        </w:rPr>
        <w:fldChar w:fldCharType="separate"/>
      </w:r>
      <w:r w:rsidR="00497E3C">
        <w:rPr>
          <w:noProof/>
        </w:rPr>
        <w:t>46</w:t>
      </w:r>
      <w:r>
        <w:rPr>
          <w:noProof/>
        </w:rPr>
        <w:fldChar w:fldCharType="end"/>
      </w:r>
    </w:p>
    <w:p w14:paraId="524F56CD" w14:textId="77777777" w:rsidR="005168F5" w:rsidRDefault="005168F5">
      <w:pPr>
        <w:pStyle w:val="TOC3"/>
        <w:rPr>
          <w:rFonts w:asciiTheme="minorHAnsi" w:eastAsiaTheme="minorEastAsia" w:hAnsiTheme="minorHAnsi" w:cstheme="minorBidi"/>
          <w:b w:val="0"/>
          <w:noProof/>
          <w:kern w:val="0"/>
          <w:szCs w:val="22"/>
        </w:rPr>
      </w:pPr>
      <w:r>
        <w:rPr>
          <w:noProof/>
        </w:rPr>
        <w:t>Division 2.2.5—Measurement of consumption of solid fuels</w:t>
      </w:r>
      <w:r>
        <w:rPr>
          <w:noProof/>
        </w:rPr>
        <w:tab/>
      </w:r>
      <w:r>
        <w:rPr>
          <w:noProof/>
        </w:rPr>
        <w:fldChar w:fldCharType="begin"/>
      </w:r>
      <w:r>
        <w:rPr>
          <w:noProof/>
        </w:rPr>
        <w:instrText xml:space="preserve"> PAGEREF _Toc13233555 \h </w:instrText>
      </w:r>
      <w:r>
        <w:rPr>
          <w:noProof/>
        </w:rPr>
      </w:r>
      <w:r>
        <w:rPr>
          <w:noProof/>
        </w:rPr>
        <w:fldChar w:fldCharType="separate"/>
      </w:r>
      <w:r w:rsidR="00497E3C">
        <w:rPr>
          <w:noProof/>
        </w:rPr>
        <w:t>48</w:t>
      </w:r>
      <w:r>
        <w:rPr>
          <w:noProof/>
        </w:rPr>
        <w:fldChar w:fldCharType="end"/>
      </w:r>
    </w:p>
    <w:p w14:paraId="48C1DB1A" w14:textId="77777777" w:rsidR="005168F5" w:rsidRDefault="005168F5">
      <w:pPr>
        <w:pStyle w:val="TOC5"/>
        <w:rPr>
          <w:rFonts w:asciiTheme="minorHAnsi" w:eastAsiaTheme="minorEastAsia" w:hAnsiTheme="minorHAnsi" w:cstheme="minorBidi"/>
          <w:noProof/>
          <w:kern w:val="0"/>
          <w:sz w:val="22"/>
          <w:szCs w:val="22"/>
        </w:rPr>
      </w:pPr>
      <w:r>
        <w:rPr>
          <w:noProof/>
        </w:rPr>
        <w:t>2.13  Purpose of Division</w:t>
      </w:r>
      <w:r>
        <w:rPr>
          <w:noProof/>
        </w:rPr>
        <w:tab/>
      </w:r>
      <w:r>
        <w:rPr>
          <w:noProof/>
        </w:rPr>
        <w:fldChar w:fldCharType="begin"/>
      </w:r>
      <w:r>
        <w:rPr>
          <w:noProof/>
        </w:rPr>
        <w:instrText xml:space="preserve"> PAGEREF _Toc13233556 \h </w:instrText>
      </w:r>
      <w:r>
        <w:rPr>
          <w:noProof/>
        </w:rPr>
      </w:r>
      <w:r>
        <w:rPr>
          <w:noProof/>
        </w:rPr>
        <w:fldChar w:fldCharType="separate"/>
      </w:r>
      <w:r w:rsidR="00497E3C">
        <w:rPr>
          <w:noProof/>
        </w:rPr>
        <w:t>48</w:t>
      </w:r>
      <w:r>
        <w:rPr>
          <w:noProof/>
        </w:rPr>
        <w:fldChar w:fldCharType="end"/>
      </w:r>
    </w:p>
    <w:p w14:paraId="4FFF4C1C" w14:textId="77777777" w:rsidR="005168F5" w:rsidRDefault="005168F5">
      <w:pPr>
        <w:pStyle w:val="TOC5"/>
        <w:rPr>
          <w:rFonts w:asciiTheme="minorHAnsi" w:eastAsiaTheme="minorEastAsia" w:hAnsiTheme="minorHAnsi" w:cstheme="minorBidi"/>
          <w:noProof/>
          <w:kern w:val="0"/>
          <w:sz w:val="22"/>
          <w:szCs w:val="22"/>
        </w:rPr>
      </w:pPr>
      <w:r>
        <w:rPr>
          <w:noProof/>
        </w:rPr>
        <w:t>2.14  Criteria for measurement</w:t>
      </w:r>
      <w:r>
        <w:rPr>
          <w:noProof/>
        </w:rPr>
        <w:tab/>
      </w:r>
      <w:r>
        <w:rPr>
          <w:noProof/>
        </w:rPr>
        <w:fldChar w:fldCharType="begin"/>
      </w:r>
      <w:r>
        <w:rPr>
          <w:noProof/>
        </w:rPr>
        <w:instrText xml:space="preserve"> PAGEREF _Toc13233557 \h </w:instrText>
      </w:r>
      <w:r>
        <w:rPr>
          <w:noProof/>
        </w:rPr>
      </w:r>
      <w:r>
        <w:rPr>
          <w:noProof/>
        </w:rPr>
        <w:fldChar w:fldCharType="separate"/>
      </w:r>
      <w:r w:rsidR="00497E3C">
        <w:rPr>
          <w:noProof/>
        </w:rPr>
        <w:t>48</w:t>
      </w:r>
      <w:r>
        <w:rPr>
          <w:noProof/>
        </w:rPr>
        <w:fldChar w:fldCharType="end"/>
      </w:r>
    </w:p>
    <w:p w14:paraId="1017BBF2" w14:textId="77777777" w:rsidR="005168F5" w:rsidRDefault="005168F5">
      <w:pPr>
        <w:pStyle w:val="TOC5"/>
        <w:rPr>
          <w:rFonts w:asciiTheme="minorHAnsi" w:eastAsiaTheme="minorEastAsia" w:hAnsiTheme="minorHAnsi" w:cstheme="minorBidi"/>
          <w:noProof/>
          <w:kern w:val="0"/>
          <w:sz w:val="22"/>
          <w:szCs w:val="22"/>
        </w:rPr>
      </w:pPr>
      <w:r>
        <w:rPr>
          <w:noProof/>
        </w:rPr>
        <w:t>2.15  Indirect measurement at point of consumption—criterion AA</w:t>
      </w:r>
      <w:r>
        <w:rPr>
          <w:noProof/>
        </w:rPr>
        <w:tab/>
      </w:r>
      <w:r>
        <w:rPr>
          <w:noProof/>
        </w:rPr>
        <w:fldChar w:fldCharType="begin"/>
      </w:r>
      <w:r>
        <w:rPr>
          <w:noProof/>
        </w:rPr>
        <w:instrText xml:space="preserve"> PAGEREF _Toc13233558 \h </w:instrText>
      </w:r>
      <w:r>
        <w:rPr>
          <w:noProof/>
        </w:rPr>
      </w:r>
      <w:r>
        <w:rPr>
          <w:noProof/>
        </w:rPr>
        <w:fldChar w:fldCharType="separate"/>
      </w:r>
      <w:r w:rsidR="00497E3C">
        <w:rPr>
          <w:noProof/>
        </w:rPr>
        <w:t>48</w:t>
      </w:r>
      <w:r>
        <w:rPr>
          <w:noProof/>
        </w:rPr>
        <w:fldChar w:fldCharType="end"/>
      </w:r>
    </w:p>
    <w:p w14:paraId="7991EA5C" w14:textId="77777777" w:rsidR="005168F5" w:rsidRDefault="005168F5">
      <w:pPr>
        <w:pStyle w:val="TOC5"/>
        <w:rPr>
          <w:rFonts w:asciiTheme="minorHAnsi" w:eastAsiaTheme="minorEastAsia" w:hAnsiTheme="minorHAnsi" w:cstheme="minorBidi"/>
          <w:noProof/>
          <w:kern w:val="0"/>
          <w:sz w:val="22"/>
          <w:szCs w:val="22"/>
        </w:rPr>
      </w:pPr>
      <w:r>
        <w:rPr>
          <w:noProof/>
        </w:rPr>
        <w:t>2.16  Direct measurement at point of consumption—criterion AAA</w:t>
      </w:r>
      <w:r>
        <w:rPr>
          <w:noProof/>
        </w:rPr>
        <w:tab/>
      </w:r>
      <w:r>
        <w:rPr>
          <w:noProof/>
        </w:rPr>
        <w:fldChar w:fldCharType="begin"/>
      </w:r>
      <w:r>
        <w:rPr>
          <w:noProof/>
        </w:rPr>
        <w:instrText xml:space="preserve"> PAGEREF _Toc13233559 \h </w:instrText>
      </w:r>
      <w:r>
        <w:rPr>
          <w:noProof/>
        </w:rPr>
      </w:r>
      <w:r>
        <w:rPr>
          <w:noProof/>
        </w:rPr>
        <w:fldChar w:fldCharType="separate"/>
      </w:r>
      <w:r w:rsidR="00497E3C">
        <w:rPr>
          <w:noProof/>
        </w:rPr>
        <w:t>51</w:t>
      </w:r>
      <w:r>
        <w:rPr>
          <w:noProof/>
        </w:rPr>
        <w:fldChar w:fldCharType="end"/>
      </w:r>
    </w:p>
    <w:p w14:paraId="6DD8B525" w14:textId="77777777" w:rsidR="005168F5" w:rsidRDefault="005168F5">
      <w:pPr>
        <w:pStyle w:val="TOC5"/>
        <w:rPr>
          <w:rFonts w:asciiTheme="minorHAnsi" w:eastAsiaTheme="minorEastAsia" w:hAnsiTheme="minorHAnsi" w:cstheme="minorBidi"/>
          <w:noProof/>
          <w:kern w:val="0"/>
          <w:sz w:val="22"/>
          <w:szCs w:val="22"/>
        </w:rPr>
      </w:pPr>
      <w:r>
        <w:rPr>
          <w:noProof/>
        </w:rPr>
        <w:t>2.17  Simplified consumption measurements—criterion BBB</w:t>
      </w:r>
      <w:r>
        <w:rPr>
          <w:noProof/>
        </w:rPr>
        <w:tab/>
      </w:r>
      <w:r>
        <w:rPr>
          <w:noProof/>
        </w:rPr>
        <w:fldChar w:fldCharType="begin"/>
      </w:r>
      <w:r>
        <w:rPr>
          <w:noProof/>
        </w:rPr>
        <w:instrText xml:space="preserve"> PAGEREF _Toc13233560 \h </w:instrText>
      </w:r>
      <w:r>
        <w:rPr>
          <w:noProof/>
        </w:rPr>
      </w:r>
      <w:r>
        <w:rPr>
          <w:noProof/>
        </w:rPr>
        <w:fldChar w:fldCharType="separate"/>
      </w:r>
      <w:r w:rsidR="00497E3C">
        <w:rPr>
          <w:noProof/>
        </w:rPr>
        <w:t>51</w:t>
      </w:r>
      <w:r>
        <w:rPr>
          <w:noProof/>
        </w:rPr>
        <w:fldChar w:fldCharType="end"/>
      </w:r>
    </w:p>
    <w:p w14:paraId="2DAA31AC" w14:textId="77777777" w:rsidR="005168F5" w:rsidRDefault="005168F5">
      <w:pPr>
        <w:pStyle w:val="TOC2"/>
        <w:rPr>
          <w:rFonts w:asciiTheme="minorHAnsi" w:eastAsiaTheme="minorEastAsia" w:hAnsiTheme="minorHAnsi" w:cstheme="minorBidi"/>
          <w:b w:val="0"/>
          <w:noProof/>
          <w:kern w:val="0"/>
          <w:sz w:val="22"/>
          <w:szCs w:val="22"/>
        </w:rPr>
      </w:pPr>
      <w:r>
        <w:rPr>
          <w:noProof/>
        </w:rPr>
        <w:t>Part 2.3—Emissions released from the combustion of gaseous fuels</w:t>
      </w:r>
      <w:r>
        <w:rPr>
          <w:noProof/>
        </w:rPr>
        <w:tab/>
      </w:r>
      <w:r>
        <w:rPr>
          <w:noProof/>
        </w:rPr>
        <w:fldChar w:fldCharType="begin"/>
      </w:r>
      <w:r>
        <w:rPr>
          <w:noProof/>
        </w:rPr>
        <w:instrText xml:space="preserve"> PAGEREF _Toc13233561 \h </w:instrText>
      </w:r>
      <w:r>
        <w:rPr>
          <w:noProof/>
        </w:rPr>
      </w:r>
      <w:r>
        <w:rPr>
          <w:noProof/>
        </w:rPr>
        <w:fldChar w:fldCharType="separate"/>
      </w:r>
      <w:r w:rsidR="00497E3C">
        <w:rPr>
          <w:noProof/>
        </w:rPr>
        <w:t>52</w:t>
      </w:r>
      <w:r>
        <w:rPr>
          <w:noProof/>
        </w:rPr>
        <w:fldChar w:fldCharType="end"/>
      </w:r>
    </w:p>
    <w:p w14:paraId="7540563E" w14:textId="77777777" w:rsidR="005168F5" w:rsidRDefault="005168F5">
      <w:pPr>
        <w:pStyle w:val="TOC3"/>
        <w:rPr>
          <w:rFonts w:asciiTheme="minorHAnsi" w:eastAsiaTheme="minorEastAsia" w:hAnsiTheme="minorHAnsi" w:cstheme="minorBidi"/>
          <w:b w:val="0"/>
          <w:noProof/>
          <w:kern w:val="0"/>
          <w:szCs w:val="22"/>
        </w:rPr>
      </w:pPr>
      <w:r>
        <w:rPr>
          <w:noProof/>
        </w:rPr>
        <w:t>Division 2.3.1—Preliminary</w:t>
      </w:r>
      <w:r>
        <w:rPr>
          <w:noProof/>
        </w:rPr>
        <w:tab/>
      </w:r>
      <w:r>
        <w:rPr>
          <w:noProof/>
        </w:rPr>
        <w:fldChar w:fldCharType="begin"/>
      </w:r>
      <w:r>
        <w:rPr>
          <w:noProof/>
        </w:rPr>
        <w:instrText xml:space="preserve"> PAGEREF _Toc13233562 \h </w:instrText>
      </w:r>
      <w:r>
        <w:rPr>
          <w:noProof/>
        </w:rPr>
      </w:r>
      <w:r>
        <w:rPr>
          <w:noProof/>
        </w:rPr>
        <w:fldChar w:fldCharType="separate"/>
      </w:r>
      <w:r w:rsidR="00497E3C">
        <w:rPr>
          <w:noProof/>
        </w:rPr>
        <w:t>52</w:t>
      </w:r>
      <w:r>
        <w:rPr>
          <w:noProof/>
        </w:rPr>
        <w:fldChar w:fldCharType="end"/>
      </w:r>
    </w:p>
    <w:p w14:paraId="403982A8" w14:textId="77777777" w:rsidR="005168F5" w:rsidRDefault="005168F5">
      <w:pPr>
        <w:pStyle w:val="TOC5"/>
        <w:rPr>
          <w:rFonts w:asciiTheme="minorHAnsi" w:eastAsiaTheme="minorEastAsia" w:hAnsiTheme="minorHAnsi" w:cstheme="minorBidi"/>
          <w:noProof/>
          <w:kern w:val="0"/>
          <w:sz w:val="22"/>
          <w:szCs w:val="22"/>
        </w:rPr>
      </w:pPr>
      <w:r>
        <w:rPr>
          <w:noProof/>
        </w:rPr>
        <w:t>2.18  Application</w:t>
      </w:r>
      <w:r>
        <w:rPr>
          <w:noProof/>
        </w:rPr>
        <w:tab/>
      </w:r>
      <w:r>
        <w:rPr>
          <w:noProof/>
        </w:rPr>
        <w:fldChar w:fldCharType="begin"/>
      </w:r>
      <w:r>
        <w:rPr>
          <w:noProof/>
        </w:rPr>
        <w:instrText xml:space="preserve"> PAGEREF _Toc13233563 \h </w:instrText>
      </w:r>
      <w:r>
        <w:rPr>
          <w:noProof/>
        </w:rPr>
      </w:r>
      <w:r>
        <w:rPr>
          <w:noProof/>
        </w:rPr>
        <w:fldChar w:fldCharType="separate"/>
      </w:r>
      <w:r w:rsidR="00497E3C">
        <w:rPr>
          <w:noProof/>
        </w:rPr>
        <w:t>52</w:t>
      </w:r>
      <w:r>
        <w:rPr>
          <w:noProof/>
        </w:rPr>
        <w:fldChar w:fldCharType="end"/>
      </w:r>
    </w:p>
    <w:p w14:paraId="795643DD" w14:textId="77777777" w:rsidR="005168F5" w:rsidRDefault="005168F5">
      <w:pPr>
        <w:pStyle w:val="TOC5"/>
        <w:rPr>
          <w:rFonts w:asciiTheme="minorHAnsi" w:eastAsiaTheme="minorEastAsia" w:hAnsiTheme="minorHAnsi" w:cstheme="minorBidi"/>
          <w:noProof/>
          <w:kern w:val="0"/>
          <w:sz w:val="22"/>
          <w:szCs w:val="22"/>
        </w:rPr>
      </w:pPr>
      <w:r>
        <w:rPr>
          <w:noProof/>
        </w:rPr>
        <w:t>2.19  Available methods</w:t>
      </w:r>
      <w:r>
        <w:rPr>
          <w:noProof/>
        </w:rPr>
        <w:tab/>
      </w:r>
      <w:r>
        <w:rPr>
          <w:noProof/>
        </w:rPr>
        <w:fldChar w:fldCharType="begin"/>
      </w:r>
      <w:r>
        <w:rPr>
          <w:noProof/>
        </w:rPr>
        <w:instrText xml:space="preserve"> PAGEREF _Toc13233564 \h </w:instrText>
      </w:r>
      <w:r>
        <w:rPr>
          <w:noProof/>
        </w:rPr>
      </w:r>
      <w:r>
        <w:rPr>
          <w:noProof/>
        </w:rPr>
        <w:fldChar w:fldCharType="separate"/>
      </w:r>
      <w:r w:rsidR="00497E3C">
        <w:rPr>
          <w:noProof/>
        </w:rPr>
        <w:t>52</w:t>
      </w:r>
      <w:r>
        <w:rPr>
          <w:noProof/>
        </w:rPr>
        <w:fldChar w:fldCharType="end"/>
      </w:r>
    </w:p>
    <w:p w14:paraId="7D767782" w14:textId="77777777" w:rsidR="005168F5" w:rsidRDefault="005168F5">
      <w:pPr>
        <w:pStyle w:val="TOC3"/>
        <w:rPr>
          <w:rFonts w:asciiTheme="minorHAnsi" w:eastAsiaTheme="minorEastAsia" w:hAnsiTheme="minorHAnsi" w:cstheme="minorBidi"/>
          <w:b w:val="0"/>
          <w:noProof/>
          <w:kern w:val="0"/>
          <w:szCs w:val="22"/>
        </w:rPr>
      </w:pPr>
      <w:r>
        <w:rPr>
          <w:noProof/>
        </w:rPr>
        <w:t>Division 2.3.2—Method 1—emissions of carbon dioxide, methane and nitrous oxide</w:t>
      </w:r>
      <w:r>
        <w:rPr>
          <w:noProof/>
        </w:rPr>
        <w:tab/>
      </w:r>
      <w:r>
        <w:rPr>
          <w:noProof/>
        </w:rPr>
        <w:fldChar w:fldCharType="begin"/>
      </w:r>
      <w:r>
        <w:rPr>
          <w:noProof/>
        </w:rPr>
        <w:instrText xml:space="preserve"> PAGEREF _Toc13233565 \h </w:instrText>
      </w:r>
      <w:r>
        <w:rPr>
          <w:noProof/>
        </w:rPr>
      </w:r>
      <w:r>
        <w:rPr>
          <w:noProof/>
        </w:rPr>
        <w:fldChar w:fldCharType="separate"/>
      </w:r>
      <w:r w:rsidR="00497E3C">
        <w:rPr>
          <w:noProof/>
        </w:rPr>
        <w:t>53</w:t>
      </w:r>
      <w:r>
        <w:rPr>
          <w:noProof/>
        </w:rPr>
        <w:fldChar w:fldCharType="end"/>
      </w:r>
    </w:p>
    <w:p w14:paraId="44D3AABD" w14:textId="77777777" w:rsidR="005168F5" w:rsidRDefault="005168F5">
      <w:pPr>
        <w:pStyle w:val="TOC5"/>
        <w:rPr>
          <w:rFonts w:asciiTheme="minorHAnsi" w:eastAsiaTheme="minorEastAsia" w:hAnsiTheme="minorHAnsi" w:cstheme="minorBidi"/>
          <w:noProof/>
          <w:kern w:val="0"/>
          <w:sz w:val="22"/>
          <w:szCs w:val="22"/>
        </w:rPr>
      </w:pPr>
      <w:r>
        <w:rPr>
          <w:noProof/>
        </w:rPr>
        <w:t>2.20  Method 1—emissions of carbon dioxide, methane and nitrous oxide</w:t>
      </w:r>
      <w:r>
        <w:rPr>
          <w:noProof/>
        </w:rPr>
        <w:tab/>
      </w:r>
      <w:r>
        <w:rPr>
          <w:noProof/>
        </w:rPr>
        <w:fldChar w:fldCharType="begin"/>
      </w:r>
      <w:r>
        <w:rPr>
          <w:noProof/>
        </w:rPr>
        <w:instrText xml:space="preserve"> PAGEREF _Toc13233566 \h </w:instrText>
      </w:r>
      <w:r>
        <w:rPr>
          <w:noProof/>
        </w:rPr>
      </w:r>
      <w:r>
        <w:rPr>
          <w:noProof/>
        </w:rPr>
        <w:fldChar w:fldCharType="separate"/>
      </w:r>
      <w:r w:rsidR="00497E3C">
        <w:rPr>
          <w:noProof/>
        </w:rPr>
        <w:t>53</w:t>
      </w:r>
      <w:r>
        <w:rPr>
          <w:noProof/>
        </w:rPr>
        <w:fldChar w:fldCharType="end"/>
      </w:r>
    </w:p>
    <w:p w14:paraId="0749FFE3" w14:textId="77777777" w:rsidR="005168F5" w:rsidRDefault="005168F5">
      <w:pPr>
        <w:pStyle w:val="TOC3"/>
        <w:rPr>
          <w:rFonts w:asciiTheme="minorHAnsi" w:eastAsiaTheme="minorEastAsia" w:hAnsiTheme="minorHAnsi" w:cstheme="minorBidi"/>
          <w:b w:val="0"/>
          <w:noProof/>
          <w:kern w:val="0"/>
          <w:szCs w:val="22"/>
        </w:rPr>
      </w:pPr>
      <w:r>
        <w:rPr>
          <w:noProof/>
        </w:rPr>
        <w:t>Division 2.3.3—Method 2—emissions of carbon dioxide from the combustion of gaseous fuels</w:t>
      </w:r>
      <w:r>
        <w:rPr>
          <w:noProof/>
        </w:rPr>
        <w:tab/>
      </w:r>
      <w:r>
        <w:rPr>
          <w:noProof/>
        </w:rPr>
        <w:fldChar w:fldCharType="begin"/>
      </w:r>
      <w:r>
        <w:rPr>
          <w:noProof/>
        </w:rPr>
        <w:instrText xml:space="preserve"> PAGEREF _Toc13233567 \h </w:instrText>
      </w:r>
      <w:r>
        <w:rPr>
          <w:noProof/>
        </w:rPr>
      </w:r>
      <w:r>
        <w:rPr>
          <w:noProof/>
        </w:rPr>
        <w:fldChar w:fldCharType="separate"/>
      </w:r>
      <w:r w:rsidR="00497E3C">
        <w:rPr>
          <w:noProof/>
        </w:rPr>
        <w:t>54</w:t>
      </w:r>
      <w:r>
        <w:rPr>
          <w:noProof/>
        </w:rPr>
        <w:fldChar w:fldCharType="end"/>
      </w:r>
    </w:p>
    <w:p w14:paraId="3CEA582B"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2.3.3.1—Method 2—emissions of carbon dioxide from the combustion of gaseous fuels</w:t>
      </w:r>
      <w:r>
        <w:rPr>
          <w:noProof/>
        </w:rPr>
        <w:tab/>
      </w:r>
      <w:r>
        <w:rPr>
          <w:noProof/>
        </w:rPr>
        <w:fldChar w:fldCharType="begin"/>
      </w:r>
      <w:r>
        <w:rPr>
          <w:noProof/>
        </w:rPr>
        <w:instrText xml:space="preserve"> PAGEREF _Toc13233568 \h </w:instrText>
      </w:r>
      <w:r>
        <w:rPr>
          <w:noProof/>
        </w:rPr>
      </w:r>
      <w:r>
        <w:rPr>
          <w:noProof/>
        </w:rPr>
        <w:fldChar w:fldCharType="separate"/>
      </w:r>
      <w:r w:rsidR="00497E3C">
        <w:rPr>
          <w:noProof/>
        </w:rPr>
        <w:t>54</w:t>
      </w:r>
      <w:r>
        <w:rPr>
          <w:noProof/>
        </w:rPr>
        <w:fldChar w:fldCharType="end"/>
      </w:r>
    </w:p>
    <w:p w14:paraId="05454603" w14:textId="77777777" w:rsidR="005168F5" w:rsidRDefault="005168F5">
      <w:pPr>
        <w:pStyle w:val="TOC5"/>
        <w:rPr>
          <w:rFonts w:asciiTheme="minorHAnsi" w:eastAsiaTheme="minorEastAsia" w:hAnsiTheme="minorHAnsi" w:cstheme="minorBidi"/>
          <w:noProof/>
          <w:kern w:val="0"/>
          <w:sz w:val="22"/>
          <w:szCs w:val="22"/>
        </w:rPr>
      </w:pPr>
      <w:r>
        <w:rPr>
          <w:noProof/>
        </w:rPr>
        <w:t>2.21  Method 2—emissions of carbon dioxide from the combustion of gaseous fuels</w:t>
      </w:r>
      <w:r>
        <w:rPr>
          <w:noProof/>
        </w:rPr>
        <w:tab/>
      </w:r>
      <w:r>
        <w:rPr>
          <w:noProof/>
        </w:rPr>
        <w:fldChar w:fldCharType="begin"/>
      </w:r>
      <w:r>
        <w:rPr>
          <w:noProof/>
        </w:rPr>
        <w:instrText xml:space="preserve"> PAGEREF _Toc13233569 \h </w:instrText>
      </w:r>
      <w:r>
        <w:rPr>
          <w:noProof/>
        </w:rPr>
      </w:r>
      <w:r>
        <w:rPr>
          <w:noProof/>
        </w:rPr>
        <w:fldChar w:fldCharType="separate"/>
      </w:r>
      <w:r w:rsidR="00497E3C">
        <w:rPr>
          <w:noProof/>
        </w:rPr>
        <w:t>54</w:t>
      </w:r>
      <w:r>
        <w:rPr>
          <w:noProof/>
        </w:rPr>
        <w:fldChar w:fldCharType="end"/>
      </w:r>
    </w:p>
    <w:p w14:paraId="4D9B9324" w14:textId="77777777" w:rsidR="005168F5" w:rsidRDefault="005168F5">
      <w:pPr>
        <w:pStyle w:val="TOC5"/>
        <w:rPr>
          <w:rFonts w:asciiTheme="minorHAnsi" w:eastAsiaTheme="minorEastAsia" w:hAnsiTheme="minorHAnsi" w:cstheme="minorBidi"/>
          <w:noProof/>
          <w:kern w:val="0"/>
          <w:sz w:val="22"/>
          <w:szCs w:val="22"/>
        </w:rPr>
      </w:pPr>
      <w:r>
        <w:rPr>
          <w:noProof/>
        </w:rPr>
        <w:t>2.22  Calculation of emission factors from combustion of gaseous fuel</w:t>
      </w:r>
      <w:r>
        <w:rPr>
          <w:noProof/>
        </w:rPr>
        <w:tab/>
      </w:r>
      <w:r>
        <w:rPr>
          <w:noProof/>
        </w:rPr>
        <w:fldChar w:fldCharType="begin"/>
      </w:r>
      <w:r>
        <w:rPr>
          <w:noProof/>
        </w:rPr>
        <w:instrText xml:space="preserve"> PAGEREF _Toc13233570 \h </w:instrText>
      </w:r>
      <w:r>
        <w:rPr>
          <w:noProof/>
        </w:rPr>
      </w:r>
      <w:r>
        <w:rPr>
          <w:noProof/>
        </w:rPr>
        <w:fldChar w:fldCharType="separate"/>
      </w:r>
      <w:r w:rsidR="00497E3C">
        <w:rPr>
          <w:noProof/>
        </w:rPr>
        <w:t>54</w:t>
      </w:r>
      <w:r>
        <w:rPr>
          <w:noProof/>
        </w:rPr>
        <w:fldChar w:fldCharType="end"/>
      </w:r>
    </w:p>
    <w:p w14:paraId="6468B2CE"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2.3.3.2—Sampling and analysis</w:t>
      </w:r>
      <w:r>
        <w:rPr>
          <w:noProof/>
        </w:rPr>
        <w:tab/>
      </w:r>
      <w:r>
        <w:rPr>
          <w:noProof/>
        </w:rPr>
        <w:fldChar w:fldCharType="begin"/>
      </w:r>
      <w:r>
        <w:rPr>
          <w:noProof/>
        </w:rPr>
        <w:instrText xml:space="preserve"> PAGEREF _Toc13233571 \h </w:instrText>
      </w:r>
      <w:r>
        <w:rPr>
          <w:noProof/>
        </w:rPr>
      </w:r>
      <w:r>
        <w:rPr>
          <w:noProof/>
        </w:rPr>
        <w:fldChar w:fldCharType="separate"/>
      </w:r>
      <w:r w:rsidR="00497E3C">
        <w:rPr>
          <w:noProof/>
        </w:rPr>
        <w:t>56</w:t>
      </w:r>
      <w:r>
        <w:rPr>
          <w:noProof/>
        </w:rPr>
        <w:fldChar w:fldCharType="end"/>
      </w:r>
    </w:p>
    <w:p w14:paraId="1FA063CD" w14:textId="77777777" w:rsidR="005168F5" w:rsidRDefault="005168F5">
      <w:pPr>
        <w:pStyle w:val="TOC5"/>
        <w:rPr>
          <w:rFonts w:asciiTheme="minorHAnsi" w:eastAsiaTheme="minorEastAsia" w:hAnsiTheme="minorHAnsi" w:cstheme="minorBidi"/>
          <w:noProof/>
          <w:kern w:val="0"/>
          <w:sz w:val="22"/>
          <w:szCs w:val="22"/>
        </w:rPr>
      </w:pPr>
      <w:r>
        <w:rPr>
          <w:noProof/>
        </w:rPr>
        <w:t>2.23  General requirements for sampling under method 2</w:t>
      </w:r>
      <w:r>
        <w:rPr>
          <w:noProof/>
        </w:rPr>
        <w:tab/>
      </w:r>
      <w:r>
        <w:rPr>
          <w:noProof/>
        </w:rPr>
        <w:fldChar w:fldCharType="begin"/>
      </w:r>
      <w:r>
        <w:rPr>
          <w:noProof/>
        </w:rPr>
        <w:instrText xml:space="preserve"> PAGEREF _Toc13233572 \h </w:instrText>
      </w:r>
      <w:r>
        <w:rPr>
          <w:noProof/>
        </w:rPr>
      </w:r>
      <w:r>
        <w:rPr>
          <w:noProof/>
        </w:rPr>
        <w:fldChar w:fldCharType="separate"/>
      </w:r>
      <w:r w:rsidR="00497E3C">
        <w:rPr>
          <w:noProof/>
        </w:rPr>
        <w:t>56</w:t>
      </w:r>
      <w:r>
        <w:rPr>
          <w:noProof/>
        </w:rPr>
        <w:fldChar w:fldCharType="end"/>
      </w:r>
    </w:p>
    <w:p w14:paraId="67217694" w14:textId="77777777" w:rsidR="005168F5" w:rsidRDefault="005168F5">
      <w:pPr>
        <w:pStyle w:val="TOC5"/>
        <w:rPr>
          <w:rFonts w:asciiTheme="minorHAnsi" w:eastAsiaTheme="minorEastAsia" w:hAnsiTheme="minorHAnsi" w:cstheme="minorBidi"/>
          <w:noProof/>
          <w:kern w:val="0"/>
          <w:sz w:val="22"/>
          <w:szCs w:val="22"/>
        </w:rPr>
      </w:pPr>
      <w:r>
        <w:rPr>
          <w:noProof/>
        </w:rPr>
        <w:t>2.24  Standards for analysing samples of gaseous fuels</w:t>
      </w:r>
      <w:r>
        <w:rPr>
          <w:noProof/>
        </w:rPr>
        <w:tab/>
      </w:r>
      <w:r>
        <w:rPr>
          <w:noProof/>
        </w:rPr>
        <w:fldChar w:fldCharType="begin"/>
      </w:r>
      <w:r>
        <w:rPr>
          <w:noProof/>
        </w:rPr>
        <w:instrText xml:space="preserve"> PAGEREF _Toc13233573 \h </w:instrText>
      </w:r>
      <w:r>
        <w:rPr>
          <w:noProof/>
        </w:rPr>
      </w:r>
      <w:r>
        <w:rPr>
          <w:noProof/>
        </w:rPr>
        <w:fldChar w:fldCharType="separate"/>
      </w:r>
      <w:r w:rsidR="00497E3C">
        <w:rPr>
          <w:noProof/>
        </w:rPr>
        <w:t>57</w:t>
      </w:r>
      <w:r>
        <w:rPr>
          <w:noProof/>
        </w:rPr>
        <w:fldChar w:fldCharType="end"/>
      </w:r>
    </w:p>
    <w:p w14:paraId="09CEF412" w14:textId="77777777" w:rsidR="005168F5" w:rsidRDefault="005168F5">
      <w:pPr>
        <w:pStyle w:val="TOC5"/>
        <w:rPr>
          <w:rFonts w:asciiTheme="minorHAnsi" w:eastAsiaTheme="minorEastAsia" w:hAnsiTheme="minorHAnsi" w:cstheme="minorBidi"/>
          <w:noProof/>
          <w:kern w:val="0"/>
          <w:sz w:val="22"/>
          <w:szCs w:val="22"/>
        </w:rPr>
      </w:pPr>
      <w:r>
        <w:rPr>
          <w:noProof/>
        </w:rPr>
        <w:t>2.25  Frequency of analysis</w:t>
      </w:r>
      <w:r>
        <w:rPr>
          <w:noProof/>
        </w:rPr>
        <w:tab/>
      </w:r>
      <w:r>
        <w:rPr>
          <w:noProof/>
        </w:rPr>
        <w:fldChar w:fldCharType="begin"/>
      </w:r>
      <w:r>
        <w:rPr>
          <w:noProof/>
        </w:rPr>
        <w:instrText xml:space="preserve"> PAGEREF _Toc13233574 \h </w:instrText>
      </w:r>
      <w:r>
        <w:rPr>
          <w:noProof/>
        </w:rPr>
      </w:r>
      <w:r>
        <w:rPr>
          <w:noProof/>
        </w:rPr>
        <w:fldChar w:fldCharType="separate"/>
      </w:r>
      <w:r w:rsidR="00497E3C">
        <w:rPr>
          <w:noProof/>
        </w:rPr>
        <w:t>60</w:t>
      </w:r>
      <w:r>
        <w:rPr>
          <w:noProof/>
        </w:rPr>
        <w:fldChar w:fldCharType="end"/>
      </w:r>
    </w:p>
    <w:p w14:paraId="63760405" w14:textId="77777777" w:rsidR="005168F5" w:rsidRDefault="005168F5">
      <w:pPr>
        <w:pStyle w:val="TOC3"/>
        <w:rPr>
          <w:rFonts w:asciiTheme="minorHAnsi" w:eastAsiaTheme="minorEastAsia" w:hAnsiTheme="minorHAnsi" w:cstheme="minorBidi"/>
          <w:b w:val="0"/>
          <w:noProof/>
          <w:kern w:val="0"/>
          <w:szCs w:val="22"/>
        </w:rPr>
      </w:pPr>
      <w:r>
        <w:rPr>
          <w:noProof/>
        </w:rPr>
        <w:t>Division 2.3.4—Method 3—emissions of carbon dioxide released from the combustion of gaseous fuels</w:t>
      </w:r>
      <w:r>
        <w:rPr>
          <w:noProof/>
        </w:rPr>
        <w:tab/>
      </w:r>
      <w:r>
        <w:rPr>
          <w:noProof/>
        </w:rPr>
        <w:fldChar w:fldCharType="begin"/>
      </w:r>
      <w:r>
        <w:rPr>
          <w:noProof/>
        </w:rPr>
        <w:instrText xml:space="preserve"> PAGEREF _Toc13233575 \h </w:instrText>
      </w:r>
      <w:r>
        <w:rPr>
          <w:noProof/>
        </w:rPr>
      </w:r>
      <w:r>
        <w:rPr>
          <w:noProof/>
        </w:rPr>
        <w:fldChar w:fldCharType="separate"/>
      </w:r>
      <w:r w:rsidR="00497E3C">
        <w:rPr>
          <w:noProof/>
        </w:rPr>
        <w:t>62</w:t>
      </w:r>
      <w:r>
        <w:rPr>
          <w:noProof/>
        </w:rPr>
        <w:fldChar w:fldCharType="end"/>
      </w:r>
    </w:p>
    <w:p w14:paraId="41851779" w14:textId="77777777" w:rsidR="005168F5" w:rsidRDefault="005168F5">
      <w:pPr>
        <w:pStyle w:val="TOC5"/>
        <w:rPr>
          <w:rFonts w:asciiTheme="minorHAnsi" w:eastAsiaTheme="minorEastAsia" w:hAnsiTheme="minorHAnsi" w:cstheme="minorBidi"/>
          <w:noProof/>
          <w:kern w:val="0"/>
          <w:sz w:val="22"/>
          <w:szCs w:val="22"/>
        </w:rPr>
      </w:pPr>
      <w:r>
        <w:rPr>
          <w:noProof/>
        </w:rPr>
        <w:t>2.26  Method 3—emissions of carbon dioxide from the combustion of gaseous fuels</w:t>
      </w:r>
      <w:r>
        <w:rPr>
          <w:noProof/>
        </w:rPr>
        <w:tab/>
      </w:r>
      <w:r>
        <w:rPr>
          <w:noProof/>
        </w:rPr>
        <w:fldChar w:fldCharType="begin"/>
      </w:r>
      <w:r>
        <w:rPr>
          <w:noProof/>
        </w:rPr>
        <w:instrText xml:space="preserve"> PAGEREF _Toc13233576 \h </w:instrText>
      </w:r>
      <w:r>
        <w:rPr>
          <w:noProof/>
        </w:rPr>
      </w:r>
      <w:r>
        <w:rPr>
          <w:noProof/>
        </w:rPr>
        <w:fldChar w:fldCharType="separate"/>
      </w:r>
      <w:r w:rsidR="00497E3C">
        <w:rPr>
          <w:noProof/>
        </w:rPr>
        <w:t>62</w:t>
      </w:r>
      <w:r>
        <w:rPr>
          <w:noProof/>
        </w:rPr>
        <w:fldChar w:fldCharType="end"/>
      </w:r>
    </w:p>
    <w:p w14:paraId="29E246C3" w14:textId="77777777" w:rsidR="005168F5" w:rsidRDefault="005168F5">
      <w:pPr>
        <w:pStyle w:val="TOC3"/>
        <w:rPr>
          <w:rFonts w:asciiTheme="minorHAnsi" w:eastAsiaTheme="minorEastAsia" w:hAnsiTheme="minorHAnsi" w:cstheme="minorBidi"/>
          <w:b w:val="0"/>
          <w:noProof/>
          <w:kern w:val="0"/>
          <w:szCs w:val="22"/>
        </w:rPr>
      </w:pPr>
      <w:r>
        <w:rPr>
          <w:noProof/>
        </w:rPr>
        <w:t>Division 2.3.5—Method 2—emissions of methane from the combustion of gaseous fuels</w:t>
      </w:r>
      <w:r>
        <w:rPr>
          <w:noProof/>
        </w:rPr>
        <w:tab/>
      </w:r>
      <w:r>
        <w:rPr>
          <w:noProof/>
        </w:rPr>
        <w:fldChar w:fldCharType="begin"/>
      </w:r>
      <w:r>
        <w:rPr>
          <w:noProof/>
        </w:rPr>
        <w:instrText xml:space="preserve"> PAGEREF _Toc13233577 \h </w:instrText>
      </w:r>
      <w:r>
        <w:rPr>
          <w:noProof/>
        </w:rPr>
      </w:r>
      <w:r>
        <w:rPr>
          <w:noProof/>
        </w:rPr>
        <w:fldChar w:fldCharType="separate"/>
      </w:r>
      <w:r w:rsidR="00497E3C">
        <w:rPr>
          <w:noProof/>
        </w:rPr>
        <w:t>64</w:t>
      </w:r>
      <w:r>
        <w:rPr>
          <w:noProof/>
        </w:rPr>
        <w:fldChar w:fldCharType="end"/>
      </w:r>
    </w:p>
    <w:p w14:paraId="68C17D74" w14:textId="77777777" w:rsidR="005168F5" w:rsidRDefault="005168F5">
      <w:pPr>
        <w:pStyle w:val="TOC5"/>
        <w:rPr>
          <w:rFonts w:asciiTheme="minorHAnsi" w:eastAsiaTheme="minorEastAsia" w:hAnsiTheme="minorHAnsi" w:cstheme="minorBidi"/>
          <w:noProof/>
          <w:kern w:val="0"/>
          <w:sz w:val="22"/>
          <w:szCs w:val="22"/>
        </w:rPr>
      </w:pPr>
      <w:r>
        <w:rPr>
          <w:noProof/>
        </w:rPr>
        <w:t>2.27  Method 2—emissions of methane from the combustion of gaseous fuels</w:t>
      </w:r>
      <w:r>
        <w:rPr>
          <w:noProof/>
        </w:rPr>
        <w:tab/>
      </w:r>
      <w:r>
        <w:rPr>
          <w:noProof/>
        </w:rPr>
        <w:fldChar w:fldCharType="begin"/>
      </w:r>
      <w:r>
        <w:rPr>
          <w:noProof/>
        </w:rPr>
        <w:instrText xml:space="preserve"> PAGEREF _Toc13233578 \h </w:instrText>
      </w:r>
      <w:r>
        <w:rPr>
          <w:noProof/>
        </w:rPr>
      </w:r>
      <w:r>
        <w:rPr>
          <w:noProof/>
        </w:rPr>
        <w:fldChar w:fldCharType="separate"/>
      </w:r>
      <w:r w:rsidR="00497E3C">
        <w:rPr>
          <w:noProof/>
        </w:rPr>
        <w:t>64</w:t>
      </w:r>
      <w:r>
        <w:rPr>
          <w:noProof/>
        </w:rPr>
        <w:fldChar w:fldCharType="end"/>
      </w:r>
    </w:p>
    <w:p w14:paraId="61F6CA71" w14:textId="77777777" w:rsidR="005168F5" w:rsidRDefault="005168F5">
      <w:pPr>
        <w:pStyle w:val="TOC3"/>
        <w:rPr>
          <w:rFonts w:asciiTheme="minorHAnsi" w:eastAsiaTheme="minorEastAsia" w:hAnsiTheme="minorHAnsi" w:cstheme="minorBidi"/>
          <w:b w:val="0"/>
          <w:noProof/>
          <w:kern w:val="0"/>
          <w:szCs w:val="22"/>
        </w:rPr>
      </w:pPr>
      <w:r>
        <w:rPr>
          <w:noProof/>
        </w:rPr>
        <w:t>Division 2.3.6—Measurement of quantity of gaseous fuels</w:t>
      </w:r>
      <w:r>
        <w:rPr>
          <w:noProof/>
        </w:rPr>
        <w:tab/>
      </w:r>
      <w:r>
        <w:rPr>
          <w:noProof/>
        </w:rPr>
        <w:fldChar w:fldCharType="begin"/>
      </w:r>
      <w:r>
        <w:rPr>
          <w:noProof/>
        </w:rPr>
        <w:instrText xml:space="preserve"> PAGEREF _Toc13233579 \h </w:instrText>
      </w:r>
      <w:r>
        <w:rPr>
          <w:noProof/>
        </w:rPr>
      </w:r>
      <w:r>
        <w:rPr>
          <w:noProof/>
        </w:rPr>
        <w:fldChar w:fldCharType="separate"/>
      </w:r>
      <w:r w:rsidR="00497E3C">
        <w:rPr>
          <w:noProof/>
        </w:rPr>
        <w:t>65</w:t>
      </w:r>
      <w:r>
        <w:rPr>
          <w:noProof/>
        </w:rPr>
        <w:fldChar w:fldCharType="end"/>
      </w:r>
    </w:p>
    <w:p w14:paraId="53C14231" w14:textId="77777777" w:rsidR="005168F5" w:rsidRDefault="005168F5">
      <w:pPr>
        <w:pStyle w:val="TOC5"/>
        <w:rPr>
          <w:rFonts w:asciiTheme="minorHAnsi" w:eastAsiaTheme="minorEastAsia" w:hAnsiTheme="minorHAnsi" w:cstheme="minorBidi"/>
          <w:noProof/>
          <w:kern w:val="0"/>
          <w:sz w:val="22"/>
          <w:szCs w:val="22"/>
        </w:rPr>
      </w:pPr>
      <w:r>
        <w:rPr>
          <w:noProof/>
        </w:rPr>
        <w:t>2.28  Purpose of Division</w:t>
      </w:r>
      <w:r>
        <w:rPr>
          <w:noProof/>
        </w:rPr>
        <w:tab/>
      </w:r>
      <w:r>
        <w:rPr>
          <w:noProof/>
        </w:rPr>
        <w:fldChar w:fldCharType="begin"/>
      </w:r>
      <w:r>
        <w:rPr>
          <w:noProof/>
        </w:rPr>
        <w:instrText xml:space="preserve"> PAGEREF _Toc13233580 \h </w:instrText>
      </w:r>
      <w:r>
        <w:rPr>
          <w:noProof/>
        </w:rPr>
      </w:r>
      <w:r>
        <w:rPr>
          <w:noProof/>
        </w:rPr>
        <w:fldChar w:fldCharType="separate"/>
      </w:r>
      <w:r w:rsidR="00497E3C">
        <w:rPr>
          <w:noProof/>
        </w:rPr>
        <w:t>65</w:t>
      </w:r>
      <w:r>
        <w:rPr>
          <w:noProof/>
        </w:rPr>
        <w:fldChar w:fldCharType="end"/>
      </w:r>
    </w:p>
    <w:p w14:paraId="38153648" w14:textId="77777777" w:rsidR="005168F5" w:rsidRDefault="005168F5">
      <w:pPr>
        <w:pStyle w:val="TOC5"/>
        <w:rPr>
          <w:rFonts w:asciiTheme="minorHAnsi" w:eastAsiaTheme="minorEastAsia" w:hAnsiTheme="minorHAnsi" w:cstheme="minorBidi"/>
          <w:noProof/>
          <w:kern w:val="0"/>
          <w:sz w:val="22"/>
          <w:szCs w:val="22"/>
        </w:rPr>
      </w:pPr>
      <w:r>
        <w:rPr>
          <w:noProof/>
        </w:rPr>
        <w:t>2.29  Criteria for measurement</w:t>
      </w:r>
      <w:r>
        <w:rPr>
          <w:noProof/>
        </w:rPr>
        <w:tab/>
      </w:r>
      <w:r>
        <w:rPr>
          <w:noProof/>
        </w:rPr>
        <w:fldChar w:fldCharType="begin"/>
      </w:r>
      <w:r>
        <w:rPr>
          <w:noProof/>
        </w:rPr>
        <w:instrText xml:space="preserve"> PAGEREF _Toc13233581 \h </w:instrText>
      </w:r>
      <w:r>
        <w:rPr>
          <w:noProof/>
        </w:rPr>
      </w:r>
      <w:r>
        <w:rPr>
          <w:noProof/>
        </w:rPr>
        <w:fldChar w:fldCharType="separate"/>
      </w:r>
      <w:r w:rsidR="00497E3C">
        <w:rPr>
          <w:noProof/>
        </w:rPr>
        <w:t>65</w:t>
      </w:r>
      <w:r>
        <w:rPr>
          <w:noProof/>
        </w:rPr>
        <w:fldChar w:fldCharType="end"/>
      </w:r>
    </w:p>
    <w:p w14:paraId="20D031E3" w14:textId="77777777" w:rsidR="005168F5" w:rsidRDefault="005168F5">
      <w:pPr>
        <w:pStyle w:val="TOC5"/>
        <w:rPr>
          <w:rFonts w:asciiTheme="minorHAnsi" w:eastAsiaTheme="minorEastAsia" w:hAnsiTheme="minorHAnsi" w:cstheme="minorBidi"/>
          <w:noProof/>
          <w:kern w:val="0"/>
          <w:sz w:val="22"/>
          <w:szCs w:val="22"/>
        </w:rPr>
      </w:pPr>
      <w:r>
        <w:rPr>
          <w:noProof/>
        </w:rPr>
        <w:t>2.30  Indirect measurement—criterion AA</w:t>
      </w:r>
      <w:r>
        <w:rPr>
          <w:noProof/>
        </w:rPr>
        <w:tab/>
      </w:r>
      <w:r>
        <w:rPr>
          <w:noProof/>
        </w:rPr>
        <w:fldChar w:fldCharType="begin"/>
      </w:r>
      <w:r>
        <w:rPr>
          <w:noProof/>
        </w:rPr>
        <w:instrText xml:space="preserve"> PAGEREF _Toc13233582 \h </w:instrText>
      </w:r>
      <w:r>
        <w:rPr>
          <w:noProof/>
        </w:rPr>
      </w:r>
      <w:r>
        <w:rPr>
          <w:noProof/>
        </w:rPr>
        <w:fldChar w:fldCharType="separate"/>
      </w:r>
      <w:r w:rsidR="00497E3C">
        <w:rPr>
          <w:noProof/>
        </w:rPr>
        <w:t>65</w:t>
      </w:r>
      <w:r>
        <w:rPr>
          <w:noProof/>
        </w:rPr>
        <w:fldChar w:fldCharType="end"/>
      </w:r>
    </w:p>
    <w:p w14:paraId="6E16A11C" w14:textId="77777777" w:rsidR="005168F5" w:rsidRDefault="005168F5">
      <w:pPr>
        <w:pStyle w:val="TOC5"/>
        <w:rPr>
          <w:rFonts w:asciiTheme="minorHAnsi" w:eastAsiaTheme="minorEastAsia" w:hAnsiTheme="minorHAnsi" w:cstheme="minorBidi"/>
          <w:noProof/>
          <w:kern w:val="0"/>
          <w:sz w:val="22"/>
          <w:szCs w:val="22"/>
        </w:rPr>
      </w:pPr>
      <w:r>
        <w:rPr>
          <w:noProof/>
        </w:rPr>
        <w:t>2.31  Direct measurement—criterion AAA</w:t>
      </w:r>
      <w:r>
        <w:rPr>
          <w:noProof/>
        </w:rPr>
        <w:tab/>
      </w:r>
      <w:r>
        <w:rPr>
          <w:noProof/>
        </w:rPr>
        <w:fldChar w:fldCharType="begin"/>
      </w:r>
      <w:r>
        <w:rPr>
          <w:noProof/>
        </w:rPr>
        <w:instrText xml:space="preserve"> PAGEREF _Toc13233583 \h </w:instrText>
      </w:r>
      <w:r>
        <w:rPr>
          <w:noProof/>
        </w:rPr>
      </w:r>
      <w:r>
        <w:rPr>
          <w:noProof/>
        </w:rPr>
        <w:fldChar w:fldCharType="separate"/>
      </w:r>
      <w:r w:rsidR="00497E3C">
        <w:rPr>
          <w:noProof/>
        </w:rPr>
        <w:t>65</w:t>
      </w:r>
      <w:r>
        <w:rPr>
          <w:noProof/>
        </w:rPr>
        <w:fldChar w:fldCharType="end"/>
      </w:r>
    </w:p>
    <w:p w14:paraId="752FB298" w14:textId="77777777" w:rsidR="005168F5" w:rsidRDefault="005168F5">
      <w:pPr>
        <w:pStyle w:val="TOC5"/>
        <w:rPr>
          <w:rFonts w:asciiTheme="minorHAnsi" w:eastAsiaTheme="minorEastAsia" w:hAnsiTheme="minorHAnsi" w:cstheme="minorBidi"/>
          <w:noProof/>
          <w:kern w:val="0"/>
          <w:sz w:val="22"/>
          <w:szCs w:val="22"/>
        </w:rPr>
      </w:pPr>
      <w:r>
        <w:rPr>
          <w:noProof/>
        </w:rPr>
        <w:t>2.32  Volumetric measurement—all natural gases</w:t>
      </w:r>
      <w:r>
        <w:rPr>
          <w:noProof/>
        </w:rPr>
        <w:tab/>
      </w:r>
      <w:r>
        <w:rPr>
          <w:noProof/>
        </w:rPr>
        <w:fldChar w:fldCharType="begin"/>
      </w:r>
      <w:r>
        <w:rPr>
          <w:noProof/>
        </w:rPr>
        <w:instrText xml:space="preserve"> PAGEREF _Toc13233584 \h </w:instrText>
      </w:r>
      <w:r>
        <w:rPr>
          <w:noProof/>
        </w:rPr>
      </w:r>
      <w:r>
        <w:rPr>
          <w:noProof/>
        </w:rPr>
        <w:fldChar w:fldCharType="separate"/>
      </w:r>
      <w:r w:rsidR="00497E3C">
        <w:rPr>
          <w:noProof/>
        </w:rPr>
        <w:t>67</w:t>
      </w:r>
      <w:r>
        <w:rPr>
          <w:noProof/>
        </w:rPr>
        <w:fldChar w:fldCharType="end"/>
      </w:r>
    </w:p>
    <w:p w14:paraId="41E36223" w14:textId="77777777" w:rsidR="005168F5" w:rsidRDefault="005168F5">
      <w:pPr>
        <w:pStyle w:val="TOC5"/>
        <w:rPr>
          <w:rFonts w:asciiTheme="minorHAnsi" w:eastAsiaTheme="minorEastAsia" w:hAnsiTheme="minorHAnsi" w:cstheme="minorBidi"/>
          <w:noProof/>
          <w:kern w:val="0"/>
          <w:sz w:val="22"/>
          <w:szCs w:val="22"/>
        </w:rPr>
      </w:pPr>
      <w:r>
        <w:rPr>
          <w:noProof/>
        </w:rPr>
        <w:t>2.33  Volumetric measurement—super</w:t>
      </w:r>
      <w:r>
        <w:rPr>
          <w:noProof/>
        </w:rPr>
        <w:noBreakHyphen/>
        <w:t>compressed gases</w:t>
      </w:r>
      <w:r>
        <w:rPr>
          <w:noProof/>
        </w:rPr>
        <w:tab/>
      </w:r>
      <w:r>
        <w:rPr>
          <w:noProof/>
        </w:rPr>
        <w:fldChar w:fldCharType="begin"/>
      </w:r>
      <w:r>
        <w:rPr>
          <w:noProof/>
        </w:rPr>
        <w:instrText xml:space="preserve"> PAGEREF _Toc13233585 \h </w:instrText>
      </w:r>
      <w:r>
        <w:rPr>
          <w:noProof/>
        </w:rPr>
      </w:r>
      <w:r>
        <w:rPr>
          <w:noProof/>
        </w:rPr>
        <w:fldChar w:fldCharType="separate"/>
      </w:r>
      <w:r w:rsidR="00497E3C">
        <w:rPr>
          <w:noProof/>
        </w:rPr>
        <w:t>68</w:t>
      </w:r>
      <w:r>
        <w:rPr>
          <w:noProof/>
        </w:rPr>
        <w:fldChar w:fldCharType="end"/>
      </w:r>
    </w:p>
    <w:p w14:paraId="4B38A85D"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2.34  Gas measuring equipment—requirements</w:t>
      </w:r>
      <w:r>
        <w:rPr>
          <w:noProof/>
        </w:rPr>
        <w:tab/>
      </w:r>
      <w:r>
        <w:rPr>
          <w:noProof/>
        </w:rPr>
        <w:fldChar w:fldCharType="begin"/>
      </w:r>
      <w:r>
        <w:rPr>
          <w:noProof/>
        </w:rPr>
        <w:instrText xml:space="preserve"> PAGEREF _Toc13233586 \h </w:instrText>
      </w:r>
      <w:r>
        <w:rPr>
          <w:noProof/>
        </w:rPr>
      </w:r>
      <w:r>
        <w:rPr>
          <w:noProof/>
        </w:rPr>
        <w:fldChar w:fldCharType="separate"/>
      </w:r>
      <w:r w:rsidR="00497E3C">
        <w:rPr>
          <w:noProof/>
        </w:rPr>
        <w:t>68</w:t>
      </w:r>
      <w:r>
        <w:rPr>
          <w:noProof/>
        </w:rPr>
        <w:fldChar w:fldCharType="end"/>
      </w:r>
    </w:p>
    <w:p w14:paraId="579FD4D8" w14:textId="77777777" w:rsidR="005168F5" w:rsidRDefault="005168F5">
      <w:pPr>
        <w:pStyle w:val="TOC5"/>
        <w:rPr>
          <w:rFonts w:asciiTheme="minorHAnsi" w:eastAsiaTheme="minorEastAsia" w:hAnsiTheme="minorHAnsi" w:cstheme="minorBidi"/>
          <w:noProof/>
          <w:kern w:val="0"/>
          <w:sz w:val="22"/>
          <w:szCs w:val="22"/>
        </w:rPr>
      </w:pPr>
      <w:r>
        <w:rPr>
          <w:noProof/>
        </w:rPr>
        <w:t>2.35  Flow devices—requirements</w:t>
      </w:r>
      <w:r>
        <w:rPr>
          <w:noProof/>
        </w:rPr>
        <w:tab/>
      </w:r>
      <w:r>
        <w:rPr>
          <w:noProof/>
        </w:rPr>
        <w:fldChar w:fldCharType="begin"/>
      </w:r>
      <w:r>
        <w:rPr>
          <w:noProof/>
        </w:rPr>
        <w:instrText xml:space="preserve"> PAGEREF _Toc13233587 \h </w:instrText>
      </w:r>
      <w:r>
        <w:rPr>
          <w:noProof/>
        </w:rPr>
      </w:r>
      <w:r>
        <w:rPr>
          <w:noProof/>
        </w:rPr>
        <w:fldChar w:fldCharType="separate"/>
      </w:r>
      <w:r w:rsidR="00497E3C">
        <w:rPr>
          <w:noProof/>
        </w:rPr>
        <w:t>68</w:t>
      </w:r>
      <w:r>
        <w:rPr>
          <w:noProof/>
        </w:rPr>
        <w:fldChar w:fldCharType="end"/>
      </w:r>
    </w:p>
    <w:p w14:paraId="29B5533D" w14:textId="77777777" w:rsidR="005168F5" w:rsidRDefault="005168F5">
      <w:pPr>
        <w:pStyle w:val="TOC5"/>
        <w:rPr>
          <w:rFonts w:asciiTheme="minorHAnsi" w:eastAsiaTheme="minorEastAsia" w:hAnsiTheme="minorHAnsi" w:cstheme="minorBidi"/>
          <w:noProof/>
          <w:kern w:val="0"/>
          <w:sz w:val="22"/>
          <w:szCs w:val="22"/>
        </w:rPr>
      </w:pPr>
      <w:r>
        <w:rPr>
          <w:noProof/>
        </w:rPr>
        <w:t>2.36  Flow computers—requirements</w:t>
      </w:r>
      <w:r>
        <w:rPr>
          <w:noProof/>
        </w:rPr>
        <w:tab/>
      </w:r>
      <w:r>
        <w:rPr>
          <w:noProof/>
        </w:rPr>
        <w:fldChar w:fldCharType="begin"/>
      </w:r>
      <w:r>
        <w:rPr>
          <w:noProof/>
        </w:rPr>
        <w:instrText xml:space="preserve"> PAGEREF _Toc13233588 \h </w:instrText>
      </w:r>
      <w:r>
        <w:rPr>
          <w:noProof/>
        </w:rPr>
      </w:r>
      <w:r>
        <w:rPr>
          <w:noProof/>
        </w:rPr>
        <w:fldChar w:fldCharType="separate"/>
      </w:r>
      <w:r w:rsidR="00497E3C">
        <w:rPr>
          <w:noProof/>
        </w:rPr>
        <w:t>69</w:t>
      </w:r>
      <w:r>
        <w:rPr>
          <w:noProof/>
        </w:rPr>
        <w:fldChar w:fldCharType="end"/>
      </w:r>
    </w:p>
    <w:p w14:paraId="2C470CCD" w14:textId="77777777" w:rsidR="005168F5" w:rsidRDefault="005168F5">
      <w:pPr>
        <w:pStyle w:val="TOC5"/>
        <w:rPr>
          <w:rFonts w:asciiTheme="minorHAnsi" w:eastAsiaTheme="minorEastAsia" w:hAnsiTheme="minorHAnsi" w:cstheme="minorBidi"/>
          <w:noProof/>
          <w:kern w:val="0"/>
          <w:sz w:val="22"/>
          <w:szCs w:val="22"/>
        </w:rPr>
      </w:pPr>
      <w:r>
        <w:rPr>
          <w:noProof/>
        </w:rPr>
        <w:t>2.37  Gas chromatographs—requirements</w:t>
      </w:r>
      <w:r>
        <w:rPr>
          <w:noProof/>
        </w:rPr>
        <w:tab/>
      </w:r>
      <w:r>
        <w:rPr>
          <w:noProof/>
        </w:rPr>
        <w:fldChar w:fldCharType="begin"/>
      </w:r>
      <w:r>
        <w:rPr>
          <w:noProof/>
        </w:rPr>
        <w:instrText xml:space="preserve"> PAGEREF _Toc13233589 \h </w:instrText>
      </w:r>
      <w:r>
        <w:rPr>
          <w:noProof/>
        </w:rPr>
      </w:r>
      <w:r>
        <w:rPr>
          <w:noProof/>
        </w:rPr>
        <w:fldChar w:fldCharType="separate"/>
      </w:r>
      <w:r w:rsidR="00497E3C">
        <w:rPr>
          <w:noProof/>
        </w:rPr>
        <w:t>70</w:t>
      </w:r>
      <w:r>
        <w:rPr>
          <w:noProof/>
        </w:rPr>
        <w:fldChar w:fldCharType="end"/>
      </w:r>
    </w:p>
    <w:p w14:paraId="3CC2CC72" w14:textId="77777777" w:rsidR="005168F5" w:rsidRDefault="005168F5">
      <w:pPr>
        <w:pStyle w:val="TOC5"/>
        <w:rPr>
          <w:rFonts w:asciiTheme="minorHAnsi" w:eastAsiaTheme="minorEastAsia" w:hAnsiTheme="minorHAnsi" w:cstheme="minorBidi"/>
          <w:noProof/>
          <w:kern w:val="0"/>
          <w:sz w:val="22"/>
          <w:szCs w:val="22"/>
        </w:rPr>
      </w:pPr>
      <w:r>
        <w:rPr>
          <w:noProof/>
        </w:rPr>
        <w:t>2.38  Simplified consumption measurements—criterion BBB</w:t>
      </w:r>
      <w:r>
        <w:rPr>
          <w:noProof/>
        </w:rPr>
        <w:tab/>
      </w:r>
      <w:r>
        <w:rPr>
          <w:noProof/>
        </w:rPr>
        <w:fldChar w:fldCharType="begin"/>
      </w:r>
      <w:r>
        <w:rPr>
          <w:noProof/>
        </w:rPr>
        <w:instrText xml:space="preserve"> PAGEREF _Toc13233590 \h </w:instrText>
      </w:r>
      <w:r>
        <w:rPr>
          <w:noProof/>
        </w:rPr>
      </w:r>
      <w:r>
        <w:rPr>
          <w:noProof/>
        </w:rPr>
        <w:fldChar w:fldCharType="separate"/>
      </w:r>
      <w:r w:rsidR="00497E3C">
        <w:rPr>
          <w:noProof/>
        </w:rPr>
        <w:t>70</w:t>
      </w:r>
      <w:r>
        <w:rPr>
          <w:noProof/>
        </w:rPr>
        <w:fldChar w:fldCharType="end"/>
      </w:r>
    </w:p>
    <w:p w14:paraId="1829FF31" w14:textId="77777777" w:rsidR="005168F5" w:rsidRDefault="005168F5">
      <w:pPr>
        <w:pStyle w:val="TOC2"/>
        <w:rPr>
          <w:rFonts w:asciiTheme="minorHAnsi" w:eastAsiaTheme="minorEastAsia" w:hAnsiTheme="minorHAnsi" w:cstheme="minorBidi"/>
          <w:b w:val="0"/>
          <w:noProof/>
          <w:kern w:val="0"/>
          <w:sz w:val="22"/>
          <w:szCs w:val="22"/>
        </w:rPr>
      </w:pPr>
      <w:r>
        <w:rPr>
          <w:noProof/>
        </w:rPr>
        <w:t>Part 2.4—Emissions released from the combustion of liquid fuels</w:t>
      </w:r>
      <w:r>
        <w:rPr>
          <w:noProof/>
        </w:rPr>
        <w:tab/>
      </w:r>
      <w:r>
        <w:rPr>
          <w:noProof/>
        </w:rPr>
        <w:fldChar w:fldCharType="begin"/>
      </w:r>
      <w:r>
        <w:rPr>
          <w:noProof/>
        </w:rPr>
        <w:instrText xml:space="preserve"> PAGEREF _Toc13233591 \h </w:instrText>
      </w:r>
      <w:r>
        <w:rPr>
          <w:noProof/>
        </w:rPr>
      </w:r>
      <w:r>
        <w:rPr>
          <w:noProof/>
        </w:rPr>
        <w:fldChar w:fldCharType="separate"/>
      </w:r>
      <w:r w:rsidR="00497E3C">
        <w:rPr>
          <w:noProof/>
        </w:rPr>
        <w:t>71</w:t>
      </w:r>
      <w:r>
        <w:rPr>
          <w:noProof/>
        </w:rPr>
        <w:fldChar w:fldCharType="end"/>
      </w:r>
    </w:p>
    <w:p w14:paraId="1E2FC31C" w14:textId="77777777" w:rsidR="005168F5" w:rsidRDefault="005168F5">
      <w:pPr>
        <w:pStyle w:val="TOC3"/>
        <w:rPr>
          <w:rFonts w:asciiTheme="minorHAnsi" w:eastAsiaTheme="minorEastAsia" w:hAnsiTheme="minorHAnsi" w:cstheme="minorBidi"/>
          <w:b w:val="0"/>
          <w:noProof/>
          <w:kern w:val="0"/>
          <w:szCs w:val="22"/>
        </w:rPr>
      </w:pPr>
      <w:r>
        <w:rPr>
          <w:noProof/>
        </w:rPr>
        <w:t>Division 2.4.1—Preliminary</w:t>
      </w:r>
      <w:r>
        <w:rPr>
          <w:noProof/>
        </w:rPr>
        <w:tab/>
      </w:r>
      <w:r>
        <w:rPr>
          <w:noProof/>
        </w:rPr>
        <w:fldChar w:fldCharType="begin"/>
      </w:r>
      <w:r>
        <w:rPr>
          <w:noProof/>
        </w:rPr>
        <w:instrText xml:space="preserve"> PAGEREF _Toc13233592 \h </w:instrText>
      </w:r>
      <w:r>
        <w:rPr>
          <w:noProof/>
        </w:rPr>
      </w:r>
      <w:r>
        <w:rPr>
          <w:noProof/>
        </w:rPr>
        <w:fldChar w:fldCharType="separate"/>
      </w:r>
      <w:r w:rsidR="00497E3C">
        <w:rPr>
          <w:noProof/>
        </w:rPr>
        <w:t>71</w:t>
      </w:r>
      <w:r>
        <w:rPr>
          <w:noProof/>
        </w:rPr>
        <w:fldChar w:fldCharType="end"/>
      </w:r>
    </w:p>
    <w:p w14:paraId="295CC784" w14:textId="77777777" w:rsidR="005168F5" w:rsidRDefault="005168F5">
      <w:pPr>
        <w:pStyle w:val="TOC5"/>
        <w:rPr>
          <w:rFonts w:asciiTheme="minorHAnsi" w:eastAsiaTheme="minorEastAsia" w:hAnsiTheme="minorHAnsi" w:cstheme="minorBidi"/>
          <w:noProof/>
          <w:kern w:val="0"/>
          <w:sz w:val="22"/>
          <w:szCs w:val="22"/>
        </w:rPr>
      </w:pPr>
      <w:r>
        <w:rPr>
          <w:noProof/>
        </w:rPr>
        <w:t>2.39  Application</w:t>
      </w:r>
      <w:r>
        <w:rPr>
          <w:noProof/>
        </w:rPr>
        <w:tab/>
      </w:r>
      <w:r>
        <w:rPr>
          <w:noProof/>
        </w:rPr>
        <w:fldChar w:fldCharType="begin"/>
      </w:r>
      <w:r>
        <w:rPr>
          <w:noProof/>
        </w:rPr>
        <w:instrText xml:space="preserve"> PAGEREF _Toc13233593 \h </w:instrText>
      </w:r>
      <w:r>
        <w:rPr>
          <w:noProof/>
        </w:rPr>
      </w:r>
      <w:r>
        <w:rPr>
          <w:noProof/>
        </w:rPr>
        <w:fldChar w:fldCharType="separate"/>
      </w:r>
      <w:r w:rsidR="00497E3C">
        <w:rPr>
          <w:noProof/>
        </w:rPr>
        <w:t>71</w:t>
      </w:r>
      <w:r>
        <w:rPr>
          <w:noProof/>
        </w:rPr>
        <w:fldChar w:fldCharType="end"/>
      </w:r>
    </w:p>
    <w:p w14:paraId="675ECB39" w14:textId="77777777" w:rsidR="005168F5" w:rsidRDefault="005168F5">
      <w:pPr>
        <w:pStyle w:val="TOC5"/>
        <w:rPr>
          <w:rFonts w:asciiTheme="minorHAnsi" w:eastAsiaTheme="minorEastAsia" w:hAnsiTheme="minorHAnsi" w:cstheme="minorBidi"/>
          <w:noProof/>
          <w:kern w:val="0"/>
          <w:sz w:val="22"/>
          <w:szCs w:val="22"/>
        </w:rPr>
      </w:pPr>
      <w:r>
        <w:rPr>
          <w:noProof/>
        </w:rPr>
        <w:t xml:space="preserve">2.39A  Definition of </w:t>
      </w:r>
      <w:r w:rsidRPr="00F869F2">
        <w:rPr>
          <w:i/>
          <w:noProof/>
        </w:rPr>
        <w:t xml:space="preserve">petroleum based oils </w:t>
      </w:r>
      <w:r>
        <w:rPr>
          <w:noProof/>
        </w:rPr>
        <w:t>for Part 2.4</w:t>
      </w:r>
      <w:r>
        <w:rPr>
          <w:noProof/>
        </w:rPr>
        <w:tab/>
      </w:r>
      <w:r>
        <w:rPr>
          <w:noProof/>
        </w:rPr>
        <w:fldChar w:fldCharType="begin"/>
      </w:r>
      <w:r>
        <w:rPr>
          <w:noProof/>
        </w:rPr>
        <w:instrText xml:space="preserve"> PAGEREF _Toc13233594 \h </w:instrText>
      </w:r>
      <w:r>
        <w:rPr>
          <w:noProof/>
        </w:rPr>
      </w:r>
      <w:r>
        <w:rPr>
          <w:noProof/>
        </w:rPr>
        <w:fldChar w:fldCharType="separate"/>
      </w:r>
      <w:r w:rsidR="00497E3C">
        <w:rPr>
          <w:noProof/>
        </w:rPr>
        <w:t>71</w:t>
      </w:r>
      <w:r>
        <w:rPr>
          <w:noProof/>
        </w:rPr>
        <w:fldChar w:fldCharType="end"/>
      </w:r>
    </w:p>
    <w:p w14:paraId="3AA7335B"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2.4.1.1—Liquid fuels—other than petroleum based oils and greases</w:t>
      </w:r>
      <w:r>
        <w:rPr>
          <w:noProof/>
        </w:rPr>
        <w:tab/>
      </w:r>
      <w:r>
        <w:rPr>
          <w:noProof/>
        </w:rPr>
        <w:fldChar w:fldCharType="begin"/>
      </w:r>
      <w:r>
        <w:rPr>
          <w:noProof/>
        </w:rPr>
        <w:instrText xml:space="preserve"> PAGEREF _Toc13233595 \h </w:instrText>
      </w:r>
      <w:r>
        <w:rPr>
          <w:noProof/>
        </w:rPr>
      </w:r>
      <w:r>
        <w:rPr>
          <w:noProof/>
        </w:rPr>
        <w:fldChar w:fldCharType="separate"/>
      </w:r>
      <w:r w:rsidR="00497E3C">
        <w:rPr>
          <w:noProof/>
        </w:rPr>
        <w:t>71</w:t>
      </w:r>
      <w:r>
        <w:rPr>
          <w:noProof/>
        </w:rPr>
        <w:fldChar w:fldCharType="end"/>
      </w:r>
    </w:p>
    <w:p w14:paraId="3B6A083E" w14:textId="77777777" w:rsidR="005168F5" w:rsidRDefault="005168F5">
      <w:pPr>
        <w:pStyle w:val="TOC5"/>
        <w:rPr>
          <w:rFonts w:asciiTheme="minorHAnsi" w:eastAsiaTheme="minorEastAsia" w:hAnsiTheme="minorHAnsi" w:cstheme="minorBidi"/>
          <w:noProof/>
          <w:kern w:val="0"/>
          <w:sz w:val="22"/>
          <w:szCs w:val="22"/>
        </w:rPr>
      </w:pPr>
      <w:r>
        <w:rPr>
          <w:noProof/>
        </w:rPr>
        <w:t>2.40  Available methods</w:t>
      </w:r>
      <w:r>
        <w:rPr>
          <w:noProof/>
        </w:rPr>
        <w:tab/>
      </w:r>
      <w:r>
        <w:rPr>
          <w:noProof/>
        </w:rPr>
        <w:fldChar w:fldCharType="begin"/>
      </w:r>
      <w:r>
        <w:rPr>
          <w:noProof/>
        </w:rPr>
        <w:instrText xml:space="preserve"> PAGEREF _Toc13233596 \h </w:instrText>
      </w:r>
      <w:r>
        <w:rPr>
          <w:noProof/>
        </w:rPr>
      </w:r>
      <w:r>
        <w:rPr>
          <w:noProof/>
        </w:rPr>
        <w:fldChar w:fldCharType="separate"/>
      </w:r>
      <w:r w:rsidR="00497E3C">
        <w:rPr>
          <w:noProof/>
        </w:rPr>
        <w:t>71</w:t>
      </w:r>
      <w:r>
        <w:rPr>
          <w:noProof/>
        </w:rPr>
        <w:fldChar w:fldCharType="end"/>
      </w:r>
    </w:p>
    <w:p w14:paraId="6DCB18B9"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2.4.1.2—Liquid fuels—petroleum based oils and greases</w:t>
      </w:r>
      <w:r>
        <w:rPr>
          <w:noProof/>
        </w:rPr>
        <w:tab/>
      </w:r>
      <w:r>
        <w:rPr>
          <w:noProof/>
        </w:rPr>
        <w:fldChar w:fldCharType="begin"/>
      </w:r>
      <w:r>
        <w:rPr>
          <w:noProof/>
        </w:rPr>
        <w:instrText xml:space="preserve"> PAGEREF _Toc13233597 \h </w:instrText>
      </w:r>
      <w:r>
        <w:rPr>
          <w:noProof/>
        </w:rPr>
      </w:r>
      <w:r>
        <w:rPr>
          <w:noProof/>
        </w:rPr>
        <w:fldChar w:fldCharType="separate"/>
      </w:r>
      <w:r w:rsidR="00497E3C">
        <w:rPr>
          <w:noProof/>
        </w:rPr>
        <w:t>72</w:t>
      </w:r>
      <w:r>
        <w:rPr>
          <w:noProof/>
        </w:rPr>
        <w:fldChar w:fldCharType="end"/>
      </w:r>
    </w:p>
    <w:p w14:paraId="2380681F" w14:textId="77777777" w:rsidR="005168F5" w:rsidRDefault="005168F5">
      <w:pPr>
        <w:pStyle w:val="TOC5"/>
        <w:rPr>
          <w:rFonts w:asciiTheme="minorHAnsi" w:eastAsiaTheme="minorEastAsia" w:hAnsiTheme="minorHAnsi" w:cstheme="minorBidi"/>
          <w:noProof/>
          <w:kern w:val="0"/>
          <w:sz w:val="22"/>
          <w:szCs w:val="22"/>
        </w:rPr>
      </w:pPr>
      <w:r>
        <w:rPr>
          <w:noProof/>
        </w:rPr>
        <w:t>2.40A  Available methods</w:t>
      </w:r>
      <w:r>
        <w:rPr>
          <w:noProof/>
        </w:rPr>
        <w:tab/>
      </w:r>
      <w:r>
        <w:rPr>
          <w:noProof/>
        </w:rPr>
        <w:fldChar w:fldCharType="begin"/>
      </w:r>
      <w:r>
        <w:rPr>
          <w:noProof/>
        </w:rPr>
        <w:instrText xml:space="preserve"> PAGEREF _Toc13233598 \h </w:instrText>
      </w:r>
      <w:r>
        <w:rPr>
          <w:noProof/>
        </w:rPr>
      </w:r>
      <w:r>
        <w:rPr>
          <w:noProof/>
        </w:rPr>
        <w:fldChar w:fldCharType="separate"/>
      </w:r>
      <w:r w:rsidR="00497E3C">
        <w:rPr>
          <w:noProof/>
        </w:rPr>
        <w:t>72</w:t>
      </w:r>
      <w:r>
        <w:rPr>
          <w:noProof/>
        </w:rPr>
        <w:fldChar w:fldCharType="end"/>
      </w:r>
    </w:p>
    <w:p w14:paraId="10272AEE" w14:textId="77777777" w:rsidR="005168F5" w:rsidRDefault="005168F5">
      <w:pPr>
        <w:pStyle w:val="TOC3"/>
        <w:rPr>
          <w:rFonts w:asciiTheme="minorHAnsi" w:eastAsiaTheme="minorEastAsia" w:hAnsiTheme="minorHAnsi" w:cstheme="minorBidi"/>
          <w:b w:val="0"/>
          <w:noProof/>
          <w:kern w:val="0"/>
          <w:szCs w:val="22"/>
        </w:rPr>
      </w:pPr>
      <w:r>
        <w:rPr>
          <w:noProof/>
        </w:rPr>
        <w:t>Division 2.4.2—Method 1—emissions of carbon dioxide, methane and nitrous oxide from liquid fuels other than petroleum based oils or greases</w:t>
      </w:r>
      <w:r>
        <w:rPr>
          <w:noProof/>
        </w:rPr>
        <w:tab/>
      </w:r>
      <w:r>
        <w:rPr>
          <w:noProof/>
        </w:rPr>
        <w:fldChar w:fldCharType="begin"/>
      </w:r>
      <w:r>
        <w:rPr>
          <w:noProof/>
        </w:rPr>
        <w:instrText xml:space="preserve"> PAGEREF _Toc13233599 \h </w:instrText>
      </w:r>
      <w:r>
        <w:rPr>
          <w:noProof/>
        </w:rPr>
      </w:r>
      <w:r>
        <w:rPr>
          <w:noProof/>
        </w:rPr>
        <w:fldChar w:fldCharType="separate"/>
      </w:r>
      <w:r w:rsidR="00497E3C">
        <w:rPr>
          <w:noProof/>
        </w:rPr>
        <w:t>73</w:t>
      </w:r>
      <w:r>
        <w:rPr>
          <w:noProof/>
        </w:rPr>
        <w:fldChar w:fldCharType="end"/>
      </w:r>
    </w:p>
    <w:p w14:paraId="49A6B2BE" w14:textId="77777777" w:rsidR="005168F5" w:rsidRDefault="005168F5">
      <w:pPr>
        <w:pStyle w:val="TOC5"/>
        <w:rPr>
          <w:rFonts w:asciiTheme="minorHAnsi" w:eastAsiaTheme="minorEastAsia" w:hAnsiTheme="minorHAnsi" w:cstheme="minorBidi"/>
          <w:noProof/>
          <w:kern w:val="0"/>
          <w:sz w:val="22"/>
          <w:szCs w:val="22"/>
        </w:rPr>
      </w:pPr>
      <w:r>
        <w:rPr>
          <w:noProof/>
        </w:rPr>
        <w:t>2.41  Method 1—emissions of carbon dioxide, methane and nitrous oxide</w:t>
      </w:r>
      <w:r>
        <w:rPr>
          <w:noProof/>
        </w:rPr>
        <w:tab/>
      </w:r>
      <w:r>
        <w:rPr>
          <w:noProof/>
        </w:rPr>
        <w:fldChar w:fldCharType="begin"/>
      </w:r>
      <w:r>
        <w:rPr>
          <w:noProof/>
        </w:rPr>
        <w:instrText xml:space="preserve"> PAGEREF _Toc13233600 \h </w:instrText>
      </w:r>
      <w:r>
        <w:rPr>
          <w:noProof/>
        </w:rPr>
      </w:r>
      <w:r>
        <w:rPr>
          <w:noProof/>
        </w:rPr>
        <w:fldChar w:fldCharType="separate"/>
      </w:r>
      <w:r w:rsidR="00497E3C">
        <w:rPr>
          <w:noProof/>
        </w:rPr>
        <w:t>73</w:t>
      </w:r>
      <w:r>
        <w:rPr>
          <w:noProof/>
        </w:rPr>
        <w:fldChar w:fldCharType="end"/>
      </w:r>
    </w:p>
    <w:p w14:paraId="1B240B67" w14:textId="77777777" w:rsidR="005168F5" w:rsidRDefault="005168F5">
      <w:pPr>
        <w:pStyle w:val="TOC3"/>
        <w:rPr>
          <w:rFonts w:asciiTheme="minorHAnsi" w:eastAsiaTheme="minorEastAsia" w:hAnsiTheme="minorHAnsi" w:cstheme="minorBidi"/>
          <w:b w:val="0"/>
          <w:noProof/>
          <w:kern w:val="0"/>
          <w:szCs w:val="22"/>
        </w:rPr>
      </w:pPr>
      <w:r>
        <w:rPr>
          <w:noProof/>
        </w:rPr>
        <w:t>Division 2.4.3—Method 2—emissions of carbon dioxide from liquid fuels other than petroleum based oils or greases</w:t>
      </w:r>
      <w:r>
        <w:rPr>
          <w:noProof/>
        </w:rPr>
        <w:tab/>
      </w:r>
      <w:r>
        <w:rPr>
          <w:noProof/>
        </w:rPr>
        <w:fldChar w:fldCharType="begin"/>
      </w:r>
      <w:r>
        <w:rPr>
          <w:noProof/>
        </w:rPr>
        <w:instrText xml:space="preserve"> PAGEREF _Toc13233601 \h </w:instrText>
      </w:r>
      <w:r>
        <w:rPr>
          <w:noProof/>
        </w:rPr>
      </w:r>
      <w:r>
        <w:rPr>
          <w:noProof/>
        </w:rPr>
        <w:fldChar w:fldCharType="separate"/>
      </w:r>
      <w:r w:rsidR="00497E3C">
        <w:rPr>
          <w:noProof/>
        </w:rPr>
        <w:t>74</w:t>
      </w:r>
      <w:r>
        <w:rPr>
          <w:noProof/>
        </w:rPr>
        <w:fldChar w:fldCharType="end"/>
      </w:r>
    </w:p>
    <w:p w14:paraId="50D622DE"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2.4.3.1—Method 2—emissions of carbon dioxide from liquid fuels other than petroleum based oils or greases</w:t>
      </w:r>
      <w:r>
        <w:rPr>
          <w:noProof/>
        </w:rPr>
        <w:tab/>
      </w:r>
      <w:r>
        <w:rPr>
          <w:noProof/>
        </w:rPr>
        <w:fldChar w:fldCharType="begin"/>
      </w:r>
      <w:r>
        <w:rPr>
          <w:noProof/>
        </w:rPr>
        <w:instrText xml:space="preserve"> PAGEREF _Toc13233602 \h </w:instrText>
      </w:r>
      <w:r>
        <w:rPr>
          <w:noProof/>
        </w:rPr>
      </w:r>
      <w:r>
        <w:rPr>
          <w:noProof/>
        </w:rPr>
        <w:fldChar w:fldCharType="separate"/>
      </w:r>
      <w:r w:rsidR="00497E3C">
        <w:rPr>
          <w:noProof/>
        </w:rPr>
        <w:t>74</w:t>
      </w:r>
      <w:r>
        <w:rPr>
          <w:noProof/>
        </w:rPr>
        <w:fldChar w:fldCharType="end"/>
      </w:r>
    </w:p>
    <w:p w14:paraId="42047E2F" w14:textId="77777777" w:rsidR="005168F5" w:rsidRDefault="005168F5">
      <w:pPr>
        <w:pStyle w:val="TOC5"/>
        <w:rPr>
          <w:rFonts w:asciiTheme="minorHAnsi" w:eastAsiaTheme="minorEastAsia" w:hAnsiTheme="minorHAnsi" w:cstheme="minorBidi"/>
          <w:noProof/>
          <w:kern w:val="0"/>
          <w:sz w:val="22"/>
          <w:szCs w:val="22"/>
        </w:rPr>
      </w:pPr>
      <w:r>
        <w:rPr>
          <w:noProof/>
        </w:rPr>
        <w:t>2.42  Method 2—emissions of carbon dioxide from the combustion of liquid fuels</w:t>
      </w:r>
      <w:r>
        <w:rPr>
          <w:noProof/>
        </w:rPr>
        <w:tab/>
      </w:r>
      <w:r>
        <w:rPr>
          <w:noProof/>
        </w:rPr>
        <w:fldChar w:fldCharType="begin"/>
      </w:r>
      <w:r>
        <w:rPr>
          <w:noProof/>
        </w:rPr>
        <w:instrText xml:space="preserve"> PAGEREF _Toc13233603 \h </w:instrText>
      </w:r>
      <w:r>
        <w:rPr>
          <w:noProof/>
        </w:rPr>
      </w:r>
      <w:r>
        <w:rPr>
          <w:noProof/>
        </w:rPr>
        <w:fldChar w:fldCharType="separate"/>
      </w:r>
      <w:r w:rsidR="00497E3C">
        <w:rPr>
          <w:noProof/>
        </w:rPr>
        <w:t>74</w:t>
      </w:r>
      <w:r>
        <w:rPr>
          <w:noProof/>
        </w:rPr>
        <w:fldChar w:fldCharType="end"/>
      </w:r>
    </w:p>
    <w:p w14:paraId="41699B41" w14:textId="77777777" w:rsidR="005168F5" w:rsidRDefault="005168F5">
      <w:pPr>
        <w:pStyle w:val="TOC5"/>
        <w:rPr>
          <w:rFonts w:asciiTheme="minorHAnsi" w:eastAsiaTheme="minorEastAsia" w:hAnsiTheme="minorHAnsi" w:cstheme="minorBidi"/>
          <w:noProof/>
          <w:kern w:val="0"/>
          <w:sz w:val="22"/>
          <w:szCs w:val="22"/>
        </w:rPr>
      </w:pPr>
      <w:r>
        <w:rPr>
          <w:noProof/>
        </w:rPr>
        <w:t>2.43  Calculation of emission factors from combustion of liquid fuel</w:t>
      </w:r>
      <w:r>
        <w:rPr>
          <w:noProof/>
        </w:rPr>
        <w:tab/>
      </w:r>
      <w:r>
        <w:rPr>
          <w:noProof/>
        </w:rPr>
        <w:fldChar w:fldCharType="begin"/>
      </w:r>
      <w:r>
        <w:rPr>
          <w:noProof/>
        </w:rPr>
        <w:instrText xml:space="preserve"> PAGEREF _Toc13233604 \h </w:instrText>
      </w:r>
      <w:r>
        <w:rPr>
          <w:noProof/>
        </w:rPr>
      </w:r>
      <w:r>
        <w:rPr>
          <w:noProof/>
        </w:rPr>
        <w:fldChar w:fldCharType="separate"/>
      </w:r>
      <w:r w:rsidR="00497E3C">
        <w:rPr>
          <w:noProof/>
        </w:rPr>
        <w:t>74</w:t>
      </w:r>
      <w:r>
        <w:rPr>
          <w:noProof/>
        </w:rPr>
        <w:fldChar w:fldCharType="end"/>
      </w:r>
    </w:p>
    <w:p w14:paraId="0B75DFB6"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2.4.3.2—Sampling and analysis</w:t>
      </w:r>
      <w:r>
        <w:rPr>
          <w:noProof/>
        </w:rPr>
        <w:tab/>
      </w:r>
      <w:r>
        <w:rPr>
          <w:noProof/>
        </w:rPr>
        <w:fldChar w:fldCharType="begin"/>
      </w:r>
      <w:r>
        <w:rPr>
          <w:noProof/>
        </w:rPr>
        <w:instrText xml:space="preserve"> PAGEREF _Toc13233605 \h </w:instrText>
      </w:r>
      <w:r>
        <w:rPr>
          <w:noProof/>
        </w:rPr>
      </w:r>
      <w:r>
        <w:rPr>
          <w:noProof/>
        </w:rPr>
        <w:fldChar w:fldCharType="separate"/>
      </w:r>
      <w:r w:rsidR="00497E3C">
        <w:rPr>
          <w:noProof/>
        </w:rPr>
        <w:t>75</w:t>
      </w:r>
      <w:r>
        <w:rPr>
          <w:noProof/>
        </w:rPr>
        <w:fldChar w:fldCharType="end"/>
      </w:r>
    </w:p>
    <w:p w14:paraId="44140D74" w14:textId="77777777" w:rsidR="005168F5" w:rsidRDefault="005168F5">
      <w:pPr>
        <w:pStyle w:val="TOC5"/>
        <w:rPr>
          <w:rFonts w:asciiTheme="minorHAnsi" w:eastAsiaTheme="minorEastAsia" w:hAnsiTheme="minorHAnsi" w:cstheme="minorBidi"/>
          <w:noProof/>
          <w:kern w:val="0"/>
          <w:sz w:val="22"/>
          <w:szCs w:val="22"/>
        </w:rPr>
      </w:pPr>
      <w:r>
        <w:rPr>
          <w:noProof/>
        </w:rPr>
        <w:t>2.44  General requirements for sampling under method 2</w:t>
      </w:r>
      <w:r>
        <w:rPr>
          <w:noProof/>
        </w:rPr>
        <w:tab/>
      </w:r>
      <w:r>
        <w:rPr>
          <w:noProof/>
        </w:rPr>
        <w:fldChar w:fldCharType="begin"/>
      </w:r>
      <w:r>
        <w:rPr>
          <w:noProof/>
        </w:rPr>
        <w:instrText xml:space="preserve"> PAGEREF _Toc13233606 \h </w:instrText>
      </w:r>
      <w:r>
        <w:rPr>
          <w:noProof/>
        </w:rPr>
      </w:r>
      <w:r>
        <w:rPr>
          <w:noProof/>
        </w:rPr>
        <w:fldChar w:fldCharType="separate"/>
      </w:r>
      <w:r w:rsidR="00497E3C">
        <w:rPr>
          <w:noProof/>
        </w:rPr>
        <w:t>75</w:t>
      </w:r>
      <w:r>
        <w:rPr>
          <w:noProof/>
        </w:rPr>
        <w:fldChar w:fldCharType="end"/>
      </w:r>
    </w:p>
    <w:p w14:paraId="5054E7CB" w14:textId="77777777" w:rsidR="005168F5" w:rsidRDefault="005168F5">
      <w:pPr>
        <w:pStyle w:val="TOC5"/>
        <w:rPr>
          <w:rFonts w:asciiTheme="minorHAnsi" w:eastAsiaTheme="minorEastAsia" w:hAnsiTheme="minorHAnsi" w:cstheme="minorBidi"/>
          <w:noProof/>
          <w:kern w:val="0"/>
          <w:sz w:val="22"/>
          <w:szCs w:val="22"/>
        </w:rPr>
      </w:pPr>
      <w:r>
        <w:rPr>
          <w:noProof/>
        </w:rPr>
        <w:t>2.45  Standards for analysing samples of liquid fuels</w:t>
      </w:r>
      <w:r>
        <w:rPr>
          <w:noProof/>
        </w:rPr>
        <w:tab/>
      </w:r>
      <w:r>
        <w:rPr>
          <w:noProof/>
        </w:rPr>
        <w:fldChar w:fldCharType="begin"/>
      </w:r>
      <w:r>
        <w:rPr>
          <w:noProof/>
        </w:rPr>
        <w:instrText xml:space="preserve"> PAGEREF _Toc13233607 \h </w:instrText>
      </w:r>
      <w:r>
        <w:rPr>
          <w:noProof/>
        </w:rPr>
      </w:r>
      <w:r>
        <w:rPr>
          <w:noProof/>
        </w:rPr>
        <w:fldChar w:fldCharType="separate"/>
      </w:r>
      <w:r w:rsidR="00497E3C">
        <w:rPr>
          <w:noProof/>
        </w:rPr>
        <w:t>75</w:t>
      </w:r>
      <w:r>
        <w:rPr>
          <w:noProof/>
        </w:rPr>
        <w:fldChar w:fldCharType="end"/>
      </w:r>
    </w:p>
    <w:p w14:paraId="644D299D" w14:textId="77777777" w:rsidR="005168F5" w:rsidRDefault="005168F5">
      <w:pPr>
        <w:pStyle w:val="TOC5"/>
        <w:rPr>
          <w:rFonts w:asciiTheme="minorHAnsi" w:eastAsiaTheme="minorEastAsia" w:hAnsiTheme="minorHAnsi" w:cstheme="minorBidi"/>
          <w:noProof/>
          <w:kern w:val="0"/>
          <w:sz w:val="22"/>
          <w:szCs w:val="22"/>
        </w:rPr>
      </w:pPr>
      <w:r>
        <w:rPr>
          <w:noProof/>
        </w:rPr>
        <w:t>2.46  Frequency of analysis</w:t>
      </w:r>
      <w:r>
        <w:rPr>
          <w:noProof/>
        </w:rPr>
        <w:tab/>
      </w:r>
      <w:r>
        <w:rPr>
          <w:noProof/>
        </w:rPr>
        <w:fldChar w:fldCharType="begin"/>
      </w:r>
      <w:r>
        <w:rPr>
          <w:noProof/>
        </w:rPr>
        <w:instrText xml:space="preserve"> PAGEREF _Toc13233608 \h </w:instrText>
      </w:r>
      <w:r>
        <w:rPr>
          <w:noProof/>
        </w:rPr>
      </w:r>
      <w:r>
        <w:rPr>
          <w:noProof/>
        </w:rPr>
        <w:fldChar w:fldCharType="separate"/>
      </w:r>
      <w:r w:rsidR="00497E3C">
        <w:rPr>
          <w:noProof/>
        </w:rPr>
        <w:t>77</w:t>
      </w:r>
      <w:r>
        <w:rPr>
          <w:noProof/>
        </w:rPr>
        <w:fldChar w:fldCharType="end"/>
      </w:r>
    </w:p>
    <w:p w14:paraId="7F426830" w14:textId="77777777" w:rsidR="005168F5" w:rsidRDefault="005168F5">
      <w:pPr>
        <w:pStyle w:val="TOC3"/>
        <w:rPr>
          <w:rFonts w:asciiTheme="minorHAnsi" w:eastAsiaTheme="minorEastAsia" w:hAnsiTheme="minorHAnsi" w:cstheme="minorBidi"/>
          <w:b w:val="0"/>
          <w:noProof/>
          <w:kern w:val="0"/>
          <w:szCs w:val="22"/>
        </w:rPr>
      </w:pPr>
      <w:r>
        <w:rPr>
          <w:noProof/>
        </w:rPr>
        <w:t>Division 2.4.4—Method 3—emissions of carbon dioxide from liquid fuels other than petroleum based oils or greases</w:t>
      </w:r>
      <w:r>
        <w:rPr>
          <w:noProof/>
        </w:rPr>
        <w:tab/>
      </w:r>
      <w:r>
        <w:rPr>
          <w:noProof/>
        </w:rPr>
        <w:fldChar w:fldCharType="begin"/>
      </w:r>
      <w:r>
        <w:rPr>
          <w:noProof/>
        </w:rPr>
        <w:instrText xml:space="preserve"> PAGEREF _Toc13233609 \h </w:instrText>
      </w:r>
      <w:r>
        <w:rPr>
          <w:noProof/>
        </w:rPr>
      </w:r>
      <w:r>
        <w:rPr>
          <w:noProof/>
        </w:rPr>
        <w:fldChar w:fldCharType="separate"/>
      </w:r>
      <w:r w:rsidR="00497E3C">
        <w:rPr>
          <w:noProof/>
        </w:rPr>
        <w:t>78</w:t>
      </w:r>
      <w:r>
        <w:rPr>
          <w:noProof/>
        </w:rPr>
        <w:fldChar w:fldCharType="end"/>
      </w:r>
    </w:p>
    <w:p w14:paraId="31A3F8D1" w14:textId="77777777" w:rsidR="005168F5" w:rsidRDefault="005168F5">
      <w:pPr>
        <w:pStyle w:val="TOC5"/>
        <w:rPr>
          <w:rFonts w:asciiTheme="minorHAnsi" w:eastAsiaTheme="minorEastAsia" w:hAnsiTheme="minorHAnsi" w:cstheme="minorBidi"/>
          <w:noProof/>
          <w:kern w:val="0"/>
          <w:sz w:val="22"/>
          <w:szCs w:val="22"/>
        </w:rPr>
      </w:pPr>
      <w:r>
        <w:rPr>
          <w:noProof/>
        </w:rPr>
        <w:t>2.47  Method 3—emissions of carbon dioxide from the combustion of liquid fuels</w:t>
      </w:r>
      <w:r>
        <w:rPr>
          <w:noProof/>
        </w:rPr>
        <w:tab/>
      </w:r>
      <w:r>
        <w:rPr>
          <w:noProof/>
        </w:rPr>
        <w:fldChar w:fldCharType="begin"/>
      </w:r>
      <w:r>
        <w:rPr>
          <w:noProof/>
        </w:rPr>
        <w:instrText xml:space="preserve"> PAGEREF _Toc13233610 \h </w:instrText>
      </w:r>
      <w:r>
        <w:rPr>
          <w:noProof/>
        </w:rPr>
      </w:r>
      <w:r>
        <w:rPr>
          <w:noProof/>
        </w:rPr>
        <w:fldChar w:fldCharType="separate"/>
      </w:r>
      <w:r w:rsidR="00497E3C">
        <w:rPr>
          <w:noProof/>
        </w:rPr>
        <w:t>78</w:t>
      </w:r>
      <w:r>
        <w:rPr>
          <w:noProof/>
        </w:rPr>
        <w:fldChar w:fldCharType="end"/>
      </w:r>
    </w:p>
    <w:p w14:paraId="7A8D3BAB" w14:textId="77777777" w:rsidR="005168F5" w:rsidRDefault="005168F5">
      <w:pPr>
        <w:pStyle w:val="TOC3"/>
        <w:rPr>
          <w:rFonts w:asciiTheme="minorHAnsi" w:eastAsiaTheme="minorEastAsia" w:hAnsiTheme="minorHAnsi" w:cstheme="minorBidi"/>
          <w:b w:val="0"/>
          <w:noProof/>
          <w:kern w:val="0"/>
          <w:szCs w:val="22"/>
        </w:rPr>
      </w:pPr>
      <w:r>
        <w:rPr>
          <w:noProof/>
        </w:rPr>
        <w:t>Division 2.4.5—Method 2—emissions of methane and nitrous oxide from liquid fuels other than petroleum based oils or greases</w:t>
      </w:r>
      <w:r>
        <w:rPr>
          <w:noProof/>
        </w:rPr>
        <w:tab/>
      </w:r>
      <w:r>
        <w:rPr>
          <w:noProof/>
        </w:rPr>
        <w:fldChar w:fldCharType="begin"/>
      </w:r>
      <w:r>
        <w:rPr>
          <w:noProof/>
        </w:rPr>
        <w:instrText xml:space="preserve"> PAGEREF _Toc13233611 \h </w:instrText>
      </w:r>
      <w:r>
        <w:rPr>
          <w:noProof/>
        </w:rPr>
      </w:r>
      <w:r>
        <w:rPr>
          <w:noProof/>
        </w:rPr>
        <w:fldChar w:fldCharType="separate"/>
      </w:r>
      <w:r w:rsidR="00497E3C">
        <w:rPr>
          <w:noProof/>
        </w:rPr>
        <w:t>81</w:t>
      </w:r>
      <w:r>
        <w:rPr>
          <w:noProof/>
        </w:rPr>
        <w:fldChar w:fldCharType="end"/>
      </w:r>
    </w:p>
    <w:p w14:paraId="173715D8" w14:textId="77777777" w:rsidR="005168F5" w:rsidRDefault="005168F5">
      <w:pPr>
        <w:pStyle w:val="TOC5"/>
        <w:rPr>
          <w:rFonts w:asciiTheme="minorHAnsi" w:eastAsiaTheme="minorEastAsia" w:hAnsiTheme="minorHAnsi" w:cstheme="minorBidi"/>
          <w:noProof/>
          <w:kern w:val="0"/>
          <w:sz w:val="22"/>
          <w:szCs w:val="22"/>
        </w:rPr>
      </w:pPr>
      <w:r>
        <w:rPr>
          <w:noProof/>
        </w:rPr>
        <w:t>2.48  Method 2—emissions of methane and nitrous oxide from the combustion of liquid fuels</w:t>
      </w:r>
      <w:r>
        <w:rPr>
          <w:noProof/>
        </w:rPr>
        <w:tab/>
      </w:r>
      <w:r>
        <w:rPr>
          <w:noProof/>
        </w:rPr>
        <w:fldChar w:fldCharType="begin"/>
      </w:r>
      <w:r>
        <w:rPr>
          <w:noProof/>
        </w:rPr>
        <w:instrText xml:space="preserve"> PAGEREF _Toc13233612 \h </w:instrText>
      </w:r>
      <w:r>
        <w:rPr>
          <w:noProof/>
        </w:rPr>
      </w:r>
      <w:r>
        <w:rPr>
          <w:noProof/>
        </w:rPr>
        <w:fldChar w:fldCharType="separate"/>
      </w:r>
      <w:r w:rsidR="00497E3C">
        <w:rPr>
          <w:noProof/>
        </w:rPr>
        <w:t>81</w:t>
      </w:r>
      <w:r>
        <w:rPr>
          <w:noProof/>
        </w:rPr>
        <w:fldChar w:fldCharType="end"/>
      </w:r>
    </w:p>
    <w:p w14:paraId="374DC9B9" w14:textId="77777777" w:rsidR="005168F5" w:rsidRDefault="005168F5">
      <w:pPr>
        <w:pStyle w:val="TOC3"/>
        <w:rPr>
          <w:rFonts w:asciiTheme="minorHAnsi" w:eastAsiaTheme="minorEastAsia" w:hAnsiTheme="minorHAnsi" w:cstheme="minorBidi"/>
          <w:b w:val="0"/>
          <w:noProof/>
          <w:kern w:val="0"/>
          <w:szCs w:val="22"/>
        </w:rPr>
      </w:pPr>
      <w:r>
        <w:rPr>
          <w:noProof/>
        </w:rPr>
        <w:t>Division 2.4.5A—Methods for estimating emissions of carbon dioxide from petroleum based oils or greases</w:t>
      </w:r>
      <w:r>
        <w:rPr>
          <w:noProof/>
        </w:rPr>
        <w:tab/>
      </w:r>
      <w:r>
        <w:rPr>
          <w:noProof/>
        </w:rPr>
        <w:fldChar w:fldCharType="begin"/>
      </w:r>
      <w:r>
        <w:rPr>
          <w:noProof/>
        </w:rPr>
        <w:instrText xml:space="preserve"> PAGEREF _Toc13233613 \h </w:instrText>
      </w:r>
      <w:r>
        <w:rPr>
          <w:noProof/>
        </w:rPr>
      </w:r>
      <w:r>
        <w:rPr>
          <w:noProof/>
        </w:rPr>
        <w:fldChar w:fldCharType="separate"/>
      </w:r>
      <w:r w:rsidR="00497E3C">
        <w:rPr>
          <w:noProof/>
        </w:rPr>
        <w:t>82</w:t>
      </w:r>
      <w:r>
        <w:rPr>
          <w:noProof/>
        </w:rPr>
        <w:fldChar w:fldCharType="end"/>
      </w:r>
    </w:p>
    <w:p w14:paraId="3E409845" w14:textId="77777777" w:rsidR="005168F5" w:rsidRDefault="005168F5">
      <w:pPr>
        <w:pStyle w:val="TOC5"/>
        <w:rPr>
          <w:rFonts w:asciiTheme="minorHAnsi" w:eastAsiaTheme="minorEastAsia" w:hAnsiTheme="minorHAnsi" w:cstheme="minorBidi"/>
          <w:noProof/>
          <w:kern w:val="0"/>
          <w:sz w:val="22"/>
          <w:szCs w:val="22"/>
        </w:rPr>
      </w:pPr>
      <w:r>
        <w:rPr>
          <w:noProof/>
        </w:rPr>
        <w:t>2.48A  Method 1—estimating emissions of carbon dioxide using an estimated oxidation factor</w:t>
      </w:r>
      <w:r>
        <w:rPr>
          <w:noProof/>
        </w:rPr>
        <w:tab/>
      </w:r>
      <w:r>
        <w:rPr>
          <w:noProof/>
        </w:rPr>
        <w:fldChar w:fldCharType="begin"/>
      </w:r>
      <w:r>
        <w:rPr>
          <w:noProof/>
        </w:rPr>
        <w:instrText xml:space="preserve"> PAGEREF _Toc13233614 \h </w:instrText>
      </w:r>
      <w:r>
        <w:rPr>
          <w:noProof/>
        </w:rPr>
      </w:r>
      <w:r>
        <w:rPr>
          <w:noProof/>
        </w:rPr>
        <w:fldChar w:fldCharType="separate"/>
      </w:r>
      <w:r w:rsidR="00497E3C">
        <w:rPr>
          <w:noProof/>
        </w:rPr>
        <w:t>82</w:t>
      </w:r>
      <w:r>
        <w:rPr>
          <w:noProof/>
        </w:rPr>
        <w:fldChar w:fldCharType="end"/>
      </w:r>
    </w:p>
    <w:p w14:paraId="4F1E75A5" w14:textId="77777777" w:rsidR="005168F5" w:rsidRDefault="005168F5">
      <w:pPr>
        <w:pStyle w:val="TOC5"/>
        <w:rPr>
          <w:rFonts w:asciiTheme="minorHAnsi" w:eastAsiaTheme="minorEastAsia" w:hAnsiTheme="minorHAnsi" w:cstheme="minorBidi"/>
          <w:noProof/>
          <w:kern w:val="0"/>
          <w:sz w:val="22"/>
          <w:szCs w:val="22"/>
        </w:rPr>
      </w:pPr>
      <w:r>
        <w:rPr>
          <w:noProof/>
        </w:rPr>
        <w:t>2.48B  Method 2—estimating emissions of carbon dioxide using an estimated oxidation factor</w:t>
      </w:r>
      <w:r>
        <w:rPr>
          <w:noProof/>
        </w:rPr>
        <w:tab/>
      </w:r>
      <w:r>
        <w:rPr>
          <w:noProof/>
        </w:rPr>
        <w:fldChar w:fldCharType="begin"/>
      </w:r>
      <w:r>
        <w:rPr>
          <w:noProof/>
        </w:rPr>
        <w:instrText xml:space="preserve"> PAGEREF _Toc13233615 \h </w:instrText>
      </w:r>
      <w:r>
        <w:rPr>
          <w:noProof/>
        </w:rPr>
      </w:r>
      <w:r>
        <w:rPr>
          <w:noProof/>
        </w:rPr>
        <w:fldChar w:fldCharType="separate"/>
      </w:r>
      <w:r w:rsidR="00497E3C">
        <w:rPr>
          <w:noProof/>
        </w:rPr>
        <w:t>83</w:t>
      </w:r>
      <w:r>
        <w:rPr>
          <w:noProof/>
        </w:rPr>
        <w:fldChar w:fldCharType="end"/>
      </w:r>
    </w:p>
    <w:p w14:paraId="5E9407F7" w14:textId="77777777" w:rsidR="005168F5" w:rsidRDefault="005168F5">
      <w:pPr>
        <w:pStyle w:val="TOC5"/>
        <w:rPr>
          <w:rFonts w:asciiTheme="minorHAnsi" w:eastAsiaTheme="minorEastAsia" w:hAnsiTheme="minorHAnsi" w:cstheme="minorBidi"/>
          <w:noProof/>
          <w:kern w:val="0"/>
          <w:sz w:val="22"/>
          <w:szCs w:val="22"/>
        </w:rPr>
      </w:pPr>
      <w:r>
        <w:rPr>
          <w:noProof/>
        </w:rPr>
        <w:t>2.48C  Method 3—estimating emissions of carbon dioxide using an estimated oxidation factor</w:t>
      </w:r>
      <w:r>
        <w:rPr>
          <w:noProof/>
        </w:rPr>
        <w:tab/>
      </w:r>
      <w:r>
        <w:rPr>
          <w:noProof/>
        </w:rPr>
        <w:fldChar w:fldCharType="begin"/>
      </w:r>
      <w:r>
        <w:rPr>
          <w:noProof/>
        </w:rPr>
        <w:instrText xml:space="preserve"> PAGEREF _Toc13233616 \h </w:instrText>
      </w:r>
      <w:r>
        <w:rPr>
          <w:noProof/>
        </w:rPr>
      </w:r>
      <w:r>
        <w:rPr>
          <w:noProof/>
        </w:rPr>
        <w:fldChar w:fldCharType="separate"/>
      </w:r>
      <w:r w:rsidR="00497E3C">
        <w:rPr>
          <w:noProof/>
        </w:rPr>
        <w:t>83</w:t>
      </w:r>
      <w:r>
        <w:rPr>
          <w:noProof/>
        </w:rPr>
        <w:fldChar w:fldCharType="end"/>
      </w:r>
    </w:p>
    <w:p w14:paraId="70028471" w14:textId="77777777" w:rsidR="005168F5" w:rsidRDefault="005168F5">
      <w:pPr>
        <w:pStyle w:val="TOC3"/>
        <w:rPr>
          <w:rFonts w:asciiTheme="minorHAnsi" w:eastAsiaTheme="minorEastAsia" w:hAnsiTheme="minorHAnsi" w:cstheme="minorBidi"/>
          <w:b w:val="0"/>
          <w:noProof/>
          <w:kern w:val="0"/>
          <w:szCs w:val="22"/>
        </w:rPr>
      </w:pPr>
      <w:r>
        <w:rPr>
          <w:noProof/>
        </w:rPr>
        <w:t>Division 2.4.6—Measurement of quantity of liquid fuels</w:t>
      </w:r>
      <w:r>
        <w:rPr>
          <w:noProof/>
        </w:rPr>
        <w:tab/>
      </w:r>
      <w:r>
        <w:rPr>
          <w:noProof/>
        </w:rPr>
        <w:fldChar w:fldCharType="begin"/>
      </w:r>
      <w:r>
        <w:rPr>
          <w:noProof/>
        </w:rPr>
        <w:instrText xml:space="preserve"> PAGEREF _Toc13233617 \h </w:instrText>
      </w:r>
      <w:r>
        <w:rPr>
          <w:noProof/>
        </w:rPr>
      </w:r>
      <w:r>
        <w:rPr>
          <w:noProof/>
        </w:rPr>
        <w:fldChar w:fldCharType="separate"/>
      </w:r>
      <w:r w:rsidR="00497E3C">
        <w:rPr>
          <w:noProof/>
        </w:rPr>
        <w:t>84</w:t>
      </w:r>
      <w:r>
        <w:rPr>
          <w:noProof/>
        </w:rPr>
        <w:fldChar w:fldCharType="end"/>
      </w:r>
    </w:p>
    <w:p w14:paraId="2B9FCA9A" w14:textId="77777777" w:rsidR="005168F5" w:rsidRDefault="005168F5">
      <w:pPr>
        <w:pStyle w:val="TOC5"/>
        <w:rPr>
          <w:rFonts w:asciiTheme="minorHAnsi" w:eastAsiaTheme="minorEastAsia" w:hAnsiTheme="minorHAnsi" w:cstheme="minorBidi"/>
          <w:noProof/>
          <w:kern w:val="0"/>
          <w:sz w:val="22"/>
          <w:szCs w:val="22"/>
        </w:rPr>
      </w:pPr>
      <w:r>
        <w:rPr>
          <w:noProof/>
        </w:rPr>
        <w:t>2.49  Purpose of Division</w:t>
      </w:r>
      <w:r>
        <w:rPr>
          <w:noProof/>
        </w:rPr>
        <w:tab/>
      </w:r>
      <w:r>
        <w:rPr>
          <w:noProof/>
        </w:rPr>
        <w:fldChar w:fldCharType="begin"/>
      </w:r>
      <w:r>
        <w:rPr>
          <w:noProof/>
        </w:rPr>
        <w:instrText xml:space="preserve"> PAGEREF _Toc13233618 \h </w:instrText>
      </w:r>
      <w:r>
        <w:rPr>
          <w:noProof/>
        </w:rPr>
      </w:r>
      <w:r>
        <w:rPr>
          <w:noProof/>
        </w:rPr>
        <w:fldChar w:fldCharType="separate"/>
      </w:r>
      <w:r w:rsidR="00497E3C">
        <w:rPr>
          <w:noProof/>
        </w:rPr>
        <w:t>84</w:t>
      </w:r>
      <w:r>
        <w:rPr>
          <w:noProof/>
        </w:rPr>
        <w:fldChar w:fldCharType="end"/>
      </w:r>
    </w:p>
    <w:p w14:paraId="2C2C50FC" w14:textId="77777777" w:rsidR="005168F5" w:rsidRDefault="005168F5">
      <w:pPr>
        <w:pStyle w:val="TOC5"/>
        <w:rPr>
          <w:rFonts w:asciiTheme="minorHAnsi" w:eastAsiaTheme="minorEastAsia" w:hAnsiTheme="minorHAnsi" w:cstheme="minorBidi"/>
          <w:noProof/>
          <w:kern w:val="0"/>
          <w:sz w:val="22"/>
          <w:szCs w:val="22"/>
        </w:rPr>
      </w:pPr>
      <w:r>
        <w:rPr>
          <w:noProof/>
        </w:rPr>
        <w:t>2.50  Criteria for measurement</w:t>
      </w:r>
      <w:r>
        <w:rPr>
          <w:noProof/>
        </w:rPr>
        <w:tab/>
      </w:r>
      <w:r>
        <w:rPr>
          <w:noProof/>
        </w:rPr>
        <w:fldChar w:fldCharType="begin"/>
      </w:r>
      <w:r>
        <w:rPr>
          <w:noProof/>
        </w:rPr>
        <w:instrText xml:space="preserve"> PAGEREF _Toc13233619 \h </w:instrText>
      </w:r>
      <w:r>
        <w:rPr>
          <w:noProof/>
        </w:rPr>
      </w:r>
      <w:r>
        <w:rPr>
          <w:noProof/>
        </w:rPr>
        <w:fldChar w:fldCharType="separate"/>
      </w:r>
      <w:r w:rsidR="00497E3C">
        <w:rPr>
          <w:noProof/>
        </w:rPr>
        <w:t>84</w:t>
      </w:r>
      <w:r>
        <w:rPr>
          <w:noProof/>
        </w:rPr>
        <w:fldChar w:fldCharType="end"/>
      </w:r>
    </w:p>
    <w:p w14:paraId="3B2BA19F" w14:textId="77777777" w:rsidR="005168F5" w:rsidRDefault="005168F5">
      <w:pPr>
        <w:pStyle w:val="TOC5"/>
        <w:rPr>
          <w:rFonts w:asciiTheme="minorHAnsi" w:eastAsiaTheme="minorEastAsia" w:hAnsiTheme="minorHAnsi" w:cstheme="minorBidi"/>
          <w:noProof/>
          <w:kern w:val="0"/>
          <w:sz w:val="22"/>
          <w:szCs w:val="22"/>
        </w:rPr>
      </w:pPr>
      <w:r>
        <w:rPr>
          <w:noProof/>
        </w:rPr>
        <w:t>2.51  Indirect measurement—criterion AA</w:t>
      </w:r>
      <w:r>
        <w:rPr>
          <w:noProof/>
        </w:rPr>
        <w:tab/>
      </w:r>
      <w:r>
        <w:rPr>
          <w:noProof/>
        </w:rPr>
        <w:fldChar w:fldCharType="begin"/>
      </w:r>
      <w:r>
        <w:rPr>
          <w:noProof/>
        </w:rPr>
        <w:instrText xml:space="preserve"> PAGEREF _Toc13233620 \h </w:instrText>
      </w:r>
      <w:r>
        <w:rPr>
          <w:noProof/>
        </w:rPr>
      </w:r>
      <w:r>
        <w:rPr>
          <w:noProof/>
        </w:rPr>
        <w:fldChar w:fldCharType="separate"/>
      </w:r>
      <w:r w:rsidR="00497E3C">
        <w:rPr>
          <w:noProof/>
        </w:rPr>
        <w:t>84</w:t>
      </w:r>
      <w:r>
        <w:rPr>
          <w:noProof/>
        </w:rPr>
        <w:fldChar w:fldCharType="end"/>
      </w:r>
    </w:p>
    <w:p w14:paraId="13E434F2"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2.52  Direct measurement—criterion AAA</w:t>
      </w:r>
      <w:r>
        <w:rPr>
          <w:noProof/>
        </w:rPr>
        <w:tab/>
      </w:r>
      <w:r>
        <w:rPr>
          <w:noProof/>
        </w:rPr>
        <w:fldChar w:fldCharType="begin"/>
      </w:r>
      <w:r>
        <w:rPr>
          <w:noProof/>
        </w:rPr>
        <w:instrText xml:space="preserve"> PAGEREF _Toc13233621 \h </w:instrText>
      </w:r>
      <w:r>
        <w:rPr>
          <w:noProof/>
        </w:rPr>
      </w:r>
      <w:r>
        <w:rPr>
          <w:noProof/>
        </w:rPr>
        <w:fldChar w:fldCharType="separate"/>
      </w:r>
      <w:r w:rsidR="00497E3C">
        <w:rPr>
          <w:noProof/>
        </w:rPr>
        <w:t>84</w:t>
      </w:r>
      <w:r>
        <w:rPr>
          <w:noProof/>
        </w:rPr>
        <w:fldChar w:fldCharType="end"/>
      </w:r>
    </w:p>
    <w:p w14:paraId="34CFD5C5" w14:textId="77777777" w:rsidR="005168F5" w:rsidRDefault="005168F5">
      <w:pPr>
        <w:pStyle w:val="TOC5"/>
        <w:rPr>
          <w:rFonts w:asciiTheme="minorHAnsi" w:eastAsiaTheme="minorEastAsia" w:hAnsiTheme="minorHAnsi" w:cstheme="minorBidi"/>
          <w:noProof/>
          <w:kern w:val="0"/>
          <w:sz w:val="22"/>
          <w:szCs w:val="22"/>
        </w:rPr>
      </w:pPr>
      <w:r>
        <w:rPr>
          <w:noProof/>
        </w:rPr>
        <w:t>2.53  Simplified consumption measurements—criterion BBB</w:t>
      </w:r>
      <w:r>
        <w:rPr>
          <w:noProof/>
        </w:rPr>
        <w:tab/>
      </w:r>
      <w:r>
        <w:rPr>
          <w:noProof/>
        </w:rPr>
        <w:fldChar w:fldCharType="begin"/>
      </w:r>
      <w:r>
        <w:rPr>
          <w:noProof/>
        </w:rPr>
        <w:instrText xml:space="preserve"> PAGEREF _Toc13233622 \h </w:instrText>
      </w:r>
      <w:r>
        <w:rPr>
          <w:noProof/>
        </w:rPr>
      </w:r>
      <w:r>
        <w:rPr>
          <w:noProof/>
        </w:rPr>
        <w:fldChar w:fldCharType="separate"/>
      </w:r>
      <w:r w:rsidR="00497E3C">
        <w:rPr>
          <w:noProof/>
        </w:rPr>
        <w:t>85</w:t>
      </w:r>
      <w:r>
        <w:rPr>
          <w:noProof/>
        </w:rPr>
        <w:fldChar w:fldCharType="end"/>
      </w:r>
    </w:p>
    <w:p w14:paraId="2448C6B4" w14:textId="77777777" w:rsidR="005168F5" w:rsidRDefault="005168F5">
      <w:pPr>
        <w:pStyle w:val="TOC2"/>
        <w:rPr>
          <w:rFonts w:asciiTheme="minorHAnsi" w:eastAsiaTheme="minorEastAsia" w:hAnsiTheme="minorHAnsi" w:cstheme="minorBidi"/>
          <w:b w:val="0"/>
          <w:noProof/>
          <w:kern w:val="0"/>
          <w:sz w:val="22"/>
          <w:szCs w:val="22"/>
        </w:rPr>
      </w:pPr>
      <w:r>
        <w:rPr>
          <w:noProof/>
        </w:rPr>
        <w:t>Part 2.5—Emissions released from fuel use by certain industries</w:t>
      </w:r>
      <w:r>
        <w:rPr>
          <w:noProof/>
        </w:rPr>
        <w:tab/>
      </w:r>
      <w:r>
        <w:rPr>
          <w:noProof/>
        </w:rPr>
        <w:fldChar w:fldCharType="begin"/>
      </w:r>
      <w:r>
        <w:rPr>
          <w:noProof/>
        </w:rPr>
        <w:instrText xml:space="preserve"> PAGEREF _Toc13233623 \h </w:instrText>
      </w:r>
      <w:r>
        <w:rPr>
          <w:noProof/>
        </w:rPr>
      </w:r>
      <w:r>
        <w:rPr>
          <w:noProof/>
        </w:rPr>
        <w:fldChar w:fldCharType="separate"/>
      </w:r>
      <w:r w:rsidR="00497E3C">
        <w:rPr>
          <w:noProof/>
        </w:rPr>
        <w:t>86</w:t>
      </w:r>
      <w:r>
        <w:rPr>
          <w:noProof/>
        </w:rPr>
        <w:fldChar w:fldCharType="end"/>
      </w:r>
    </w:p>
    <w:p w14:paraId="16FB9C98" w14:textId="77777777" w:rsidR="005168F5" w:rsidRDefault="005168F5">
      <w:pPr>
        <w:pStyle w:val="TOC5"/>
        <w:rPr>
          <w:rFonts w:asciiTheme="minorHAnsi" w:eastAsiaTheme="minorEastAsia" w:hAnsiTheme="minorHAnsi" w:cstheme="minorBidi"/>
          <w:noProof/>
          <w:kern w:val="0"/>
          <w:sz w:val="22"/>
          <w:szCs w:val="22"/>
        </w:rPr>
      </w:pPr>
      <w:r>
        <w:rPr>
          <w:noProof/>
        </w:rPr>
        <w:t>2.54  Application</w:t>
      </w:r>
      <w:r>
        <w:rPr>
          <w:noProof/>
        </w:rPr>
        <w:tab/>
      </w:r>
      <w:r>
        <w:rPr>
          <w:noProof/>
        </w:rPr>
        <w:fldChar w:fldCharType="begin"/>
      </w:r>
      <w:r>
        <w:rPr>
          <w:noProof/>
        </w:rPr>
        <w:instrText xml:space="preserve"> PAGEREF _Toc13233624 \h </w:instrText>
      </w:r>
      <w:r>
        <w:rPr>
          <w:noProof/>
        </w:rPr>
      </w:r>
      <w:r>
        <w:rPr>
          <w:noProof/>
        </w:rPr>
        <w:fldChar w:fldCharType="separate"/>
      </w:r>
      <w:r w:rsidR="00497E3C">
        <w:rPr>
          <w:noProof/>
        </w:rPr>
        <w:t>86</w:t>
      </w:r>
      <w:r>
        <w:rPr>
          <w:noProof/>
        </w:rPr>
        <w:fldChar w:fldCharType="end"/>
      </w:r>
    </w:p>
    <w:p w14:paraId="4DB32558" w14:textId="77777777" w:rsidR="005168F5" w:rsidRDefault="005168F5">
      <w:pPr>
        <w:pStyle w:val="TOC3"/>
        <w:rPr>
          <w:rFonts w:asciiTheme="minorHAnsi" w:eastAsiaTheme="minorEastAsia" w:hAnsiTheme="minorHAnsi" w:cstheme="minorBidi"/>
          <w:b w:val="0"/>
          <w:noProof/>
          <w:kern w:val="0"/>
          <w:szCs w:val="22"/>
        </w:rPr>
      </w:pPr>
      <w:r>
        <w:rPr>
          <w:noProof/>
        </w:rPr>
        <w:t>Division 2.5.1—Energy—petroleum refining</w:t>
      </w:r>
      <w:r>
        <w:rPr>
          <w:noProof/>
        </w:rPr>
        <w:tab/>
      </w:r>
      <w:r>
        <w:rPr>
          <w:noProof/>
        </w:rPr>
        <w:fldChar w:fldCharType="begin"/>
      </w:r>
      <w:r>
        <w:rPr>
          <w:noProof/>
        </w:rPr>
        <w:instrText xml:space="preserve"> PAGEREF _Toc13233625 \h </w:instrText>
      </w:r>
      <w:r>
        <w:rPr>
          <w:noProof/>
        </w:rPr>
      </w:r>
      <w:r>
        <w:rPr>
          <w:noProof/>
        </w:rPr>
        <w:fldChar w:fldCharType="separate"/>
      </w:r>
      <w:r w:rsidR="00497E3C">
        <w:rPr>
          <w:noProof/>
        </w:rPr>
        <w:t>87</w:t>
      </w:r>
      <w:r>
        <w:rPr>
          <w:noProof/>
        </w:rPr>
        <w:fldChar w:fldCharType="end"/>
      </w:r>
    </w:p>
    <w:p w14:paraId="6CAC8EA9" w14:textId="77777777" w:rsidR="005168F5" w:rsidRDefault="005168F5">
      <w:pPr>
        <w:pStyle w:val="TOC5"/>
        <w:rPr>
          <w:rFonts w:asciiTheme="minorHAnsi" w:eastAsiaTheme="minorEastAsia" w:hAnsiTheme="minorHAnsi" w:cstheme="minorBidi"/>
          <w:noProof/>
          <w:kern w:val="0"/>
          <w:sz w:val="22"/>
          <w:szCs w:val="22"/>
        </w:rPr>
      </w:pPr>
      <w:r>
        <w:rPr>
          <w:noProof/>
        </w:rPr>
        <w:t>2.55  Application</w:t>
      </w:r>
      <w:r>
        <w:rPr>
          <w:noProof/>
        </w:rPr>
        <w:tab/>
      </w:r>
      <w:r>
        <w:rPr>
          <w:noProof/>
        </w:rPr>
        <w:fldChar w:fldCharType="begin"/>
      </w:r>
      <w:r>
        <w:rPr>
          <w:noProof/>
        </w:rPr>
        <w:instrText xml:space="preserve"> PAGEREF _Toc13233626 \h </w:instrText>
      </w:r>
      <w:r>
        <w:rPr>
          <w:noProof/>
        </w:rPr>
      </w:r>
      <w:r>
        <w:rPr>
          <w:noProof/>
        </w:rPr>
        <w:fldChar w:fldCharType="separate"/>
      </w:r>
      <w:r w:rsidR="00497E3C">
        <w:rPr>
          <w:noProof/>
        </w:rPr>
        <w:t>87</w:t>
      </w:r>
      <w:r>
        <w:rPr>
          <w:noProof/>
        </w:rPr>
        <w:fldChar w:fldCharType="end"/>
      </w:r>
    </w:p>
    <w:p w14:paraId="32E9E69A" w14:textId="77777777" w:rsidR="005168F5" w:rsidRDefault="005168F5">
      <w:pPr>
        <w:pStyle w:val="TOC5"/>
        <w:rPr>
          <w:rFonts w:asciiTheme="minorHAnsi" w:eastAsiaTheme="minorEastAsia" w:hAnsiTheme="minorHAnsi" w:cstheme="minorBidi"/>
          <w:noProof/>
          <w:kern w:val="0"/>
          <w:sz w:val="22"/>
          <w:szCs w:val="22"/>
        </w:rPr>
      </w:pPr>
      <w:r>
        <w:rPr>
          <w:noProof/>
        </w:rPr>
        <w:t>2.56  Methods</w:t>
      </w:r>
      <w:r>
        <w:rPr>
          <w:noProof/>
        </w:rPr>
        <w:tab/>
      </w:r>
      <w:r>
        <w:rPr>
          <w:noProof/>
        </w:rPr>
        <w:fldChar w:fldCharType="begin"/>
      </w:r>
      <w:r>
        <w:rPr>
          <w:noProof/>
        </w:rPr>
        <w:instrText xml:space="preserve"> PAGEREF _Toc13233627 \h </w:instrText>
      </w:r>
      <w:r>
        <w:rPr>
          <w:noProof/>
        </w:rPr>
      </w:r>
      <w:r>
        <w:rPr>
          <w:noProof/>
        </w:rPr>
        <w:fldChar w:fldCharType="separate"/>
      </w:r>
      <w:r w:rsidR="00497E3C">
        <w:rPr>
          <w:noProof/>
        </w:rPr>
        <w:t>87</w:t>
      </w:r>
      <w:r>
        <w:rPr>
          <w:noProof/>
        </w:rPr>
        <w:fldChar w:fldCharType="end"/>
      </w:r>
    </w:p>
    <w:p w14:paraId="52406980" w14:textId="77777777" w:rsidR="005168F5" w:rsidRDefault="005168F5">
      <w:pPr>
        <w:pStyle w:val="TOC3"/>
        <w:rPr>
          <w:rFonts w:asciiTheme="minorHAnsi" w:eastAsiaTheme="minorEastAsia" w:hAnsiTheme="minorHAnsi" w:cstheme="minorBidi"/>
          <w:b w:val="0"/>
          <w:noProof/>
          <w:kern w:val="0"/>
          <w:szCs w:val="22"/>
        </w:rPr>
      </w:pPr>
      <w:r>
        <w:rPr>
          <w:noProof/>
        </w:rPr>
        <w:t>Division 2.5.2—Energy—manufacture of solid fuels</w:t>
      </w:r>
      <w:r>
        <w:rPr>
          <w:noProof/>
        </w:rPr>
        <w:tab/>
      </w:r>
      <w:r>
        <w:rPr>
          <w:noProof/>
        </w:rPr>
        <w:fldChar w:fldCharType="begin"/>
      </w:r>
      <w:r>
        <w:rPr>
          <w:noProof/>
        </w:rPr>
        <w:instrText xml:space="preserve"> PAGEREF _Toc13233628 \h </w:instrText>
      </w:r>
      <w:r>
        <w:rPr>
          <w:noProof/>
        </w:rPr>
      </w:r>
      <w:r>
        <w:rPr>
          <w:noProof/>
        </w:rPr>
        <w:fldChar w:fldCharType="separate"/>
      </w:r>
      <w:r w:rsidR="00497E3C">
        <w:rPr>
          <w:noProof/>
        </w:rPr>
        <w:t>88</w:t>
      </w:r>
      <w:r>
        <w:rPr>
          <w:noProof/>
        </w:rPr>
        <w:fldChar w:fldCharType="end"/>
      </w:r>
    </w:p>
    <w:p w14:paraId="0C1C3F40" w14:textId="77777777" w:rsidR="005168F5" w:rsidRDefault="005168F5">
      <w:pPr>
        <w:pStyle w:val="TOC5"/>
        <w:rPr>
          <w:rFonts w:asciiTheme="minorHAnsi" w:eastAsiaTheme="minorEastAsia" w:hAnsiTheme="minorHAnsi" w:cstheme="minorBidi"/>
          <w:noProof/>
          <w:kern w:val="0"/>
          <w:sz w:val="22"/>
          <w:szCs w:val="22"/>
        </w:rPr>
      </w:pPr>
      <w:r>
        <w:rPr>
          <w:noProof/>
        </w:rPr>
        <w:t>2.57  Application</w:t>
      </w:r>
      <w:r>
        <w:rPr>
          <w:noProof/>
        </w:rPr>
        <w:tab/>
      </w:r>
      <w:r>
        <w:rPr>
          <w:noProof/>
        </w:rPr>
        <w:fldChar w:fldCharType="begin"/>
      </w:r>
      <w:r>
        <w:rPr>
          <w:noProof/>
        </w:rPr>
        <w:instrText xml:space="preserve"> PAGEREF _Toc13233629 \h </w:instrText>
      </w:r>
      <w:r>
        <w:rPr>
          <w:noProof/>
        </w:rPr>
      </w:r>
      <w:r>
        <w:rPr>
          <w:noProof/>
        </w:rPr>
        <w:fldChar w:fldCharType="separate"/>
      </w:r>
      <w:r w:rsidR="00497E3C">
        <w:rPr>
          <w:noProof/>
        </w:rPr>
        <w:t>88</w:t>
      </w:r>
      <w:r>
        <w:rPr>
          <w:noProof/>
        </w:rPr>
        <w:fldChar w:fldCharType="end"/>
      </w:r>
    </w:p>
    <w:p w14:paraId="32B3355F" w14:textId="77777777" w:rsidR="005168F5" w:rsidRDefault="005168F5">
      <w:pPr>
        <w:pStyle w:val="TOC5"/>
        <w:rPr>
          <w:rFonts w:asciiTheme="minorHAnsi" w:eastAsiaTheme="minorEastAsia" w:hAnsiTheme="minorHAnsi" w:cstheme="minorBidi"/>
          <w:noProof/>
          <w:kern w:val="0"/>
          <w:sz w:val="22"/>
          <w:szCs w:val="22"/>
        </w:rPr>
      </w:pPr>
      <w:r>
        <w:rPr>
          <w:noProof/>
        </w:rPr>
        <w:t>2.58  Methods</w:t>
      </w:r>
      <w:r>
        <w:rPr>
          <w:noProof/>
        </w:rPr>
        <w:tab/>
      </w:r>
      <w:r>
        <w:rPr>
          <w:noProof/>
        </w:rPr>
        <w:fldChar w:fldCharType="begin"/>
      </w:r>
      <w:r>
        <w:rPr>
          <w:noProof/>
        </w:rPr>
        <w:instrText xml:space="preserve"> PAGEREF _Toc13233630 \h </w:instrText>
      </w:r>
      <w:r>
        <w:rPr>
          <w:noProof/>
        </w:rPr>
      </w:r>
      <w:r>
        <w:rPr>
          <w:noProof/>
        </w:rPr>
        <w:fldChar w:fldCharType="separate"/>
      </w:r>
      <w:r w:rsidR="00497E3C">
        <w:rPr>
          <w:noProof/>
        </w:rPr>
        <w:t>88</w:t>
      </w:r>
      <w:r>
        <w:rPr>
          <w:noProof/>
        </w:rPr>
        <w:fldChar w:fldCharType="end"/>
      </w:r>
    </w:p>
    <w:p w14:paraId="20133D0E" w14:textId="77777777" w:rsidR="005168F5" w:rsidRDefault="005168F5">
      <w:pPr>
        <w:pStyle w:val="TOC3"/>
        <w:rPr>
          <w:rFonts w:asciiTheme="minorHAnsi" w:eastAsiaTheme="minorEastAsia" w:hAnsiTheme="minorHAnsi" w:cstheme="minorBidi"/>
          <w:b w:val="0"/>
          <w:noProof/>
          <w:kern w:val="0"/>
          <w:szCs w:val="22"/>
        </w:rPr>
      </w:pPr>
      <w:r>
        <w:rPr>
          <w:noProof/>
        </w:rPr>
        <w:t>Division 2.5.3—Energy—petrochemical production</w:t>
      </w:r>
      <w:r>
        <w:rPr>
          <w:noProof/>
        </w:rPr>
        <w:tab/>
      </w:r>
      <w:r>
        <w:rPr>
          <w:noProof/>
        </w:rPr>
        <w:fldChar w:fldCharType="begin"/>
      </w:r>
      <w:r>
        <w:rPr>
          <w:noProof/>
        </w:rPr>
        <w:instrText xml:space="preserve"> PAGEREF _Toc13233631 \h </w:instrText>
      </w:r>
      <w:r>
        <w:rPr>
          <w:noProof/>
        </w:rPr>
      </w:r>
      <w:r>
        <w:rPr>
          <w:noProof/>
        </w:rPr>
        <w:fldChar w:fldCharType="separate"/>
      </w:r>
      <w:r w:rsidR="00497E3C">
        <w:rPr>
          <w:noProof/>
        </w:rPr>
        <w:t>92</w:t>
      </w:r>
      <w:r>
        <w:rPr>
          <w:noProof/>
        </w:rPr>
        <w:fldChar w:fldCharType="end"/>
      </w:r>
    </w:p>
    <w:p w14:paraId="1D19F6C3" w14:textId="77777777" w:rsidR="005168F5" w:rsidRDefault="005168F5">
      <w:pPr>
        <w:pStyle w:val="TOC5"/>
        <w:rPr>
          <w:rFonts w:asciiTheme="minorHAnsi" w:eastAsiaTheme="minorEastAsia" w:hAnsiTheme="minorHAnsi" w:cstheme="minorBidi"/>
          <w:noProof/>
          <w:kern w:val="0"/>
          <w:sz w:val="22"/>
          <w:szCs w:val="22"/>
        </w:rPr>
      </w:pPr>
      <w:r>
        <w:rPr>
          <w:noProof/>
        </w:rPr>
        <w:t>2.59  Application</w:t>
      </w:r>
      <w:r>
        <w:rPr>
          <w:noProof/>
        </w:rPr>
        <w:tab/>
      </w:r>
      <w:r>
        <w:rPr>
          <w:noProof/>
        </w:rPr>
        <w:fldChar w:fldCharType="begin"/>
      </w:r>
      <w:r>
        <w:rPr>
          <w:noProof/>
        </w:rPr>
        <w:instrText xml:space="preserve"> PAGEREF _Toc13233632 \h </w:instrText>
      </w:r>
      <w:r>
        <w:rPr>
          <w:noProof/>
        </w:rPr>
      </w:r>
      <w:r>
        <w:rPr>
          <w:noProof/>
        </w:rPr>
        <w:fldChar w:fldCharType="separate"/>
      </w:r>
      <w:r w:rsidR="00497E3C">
        <w:rPr>
          <w:noProof/>
        </w:rPr>
        <w:t>92</w:t>
      </w:r>
      <w:r>
        <w:rPr>
          <w:noProof/>
        </w:rPr>
        <w:fldChar w:fldCharType="end"/>
      </w:r>
    </w:p>
    <w:p w14:paraId="081C64EB" w14:textId="77777777" w:rsidR="005168F5" w:rsidRDefault="005168F5">
      <w:pPr>
        <w:pStyle w:val="TOC5"/>
        <w:rPr>
          <w:rFonts w:asciiTheme="minorHAnsi" w:eastAsiaTheme="minorEastAsia" w:hAnsiTheme="minorHAnsi" w:cstheme="minorBidi"/>
          <w:noProof/>
          <w:kern w:val="0"/>
          <w:sz w:val="22"/>
          <w:szCs w:val="22"/>
        </w:rPr>
      </w:pPr>
      <w:r>
        <w:rPr>
          <w:noProof/>
        </w:rPr>
        <w:t>2.60  Available methods</w:t>
      </w:r>
      <w:r>
        <w:rPr>
          <w:noProof/>
        </w:rPr>
        <w:tab/>
      </w:r>
      <w:r>
        <w:rPr>
          <w:noProof/>
        </w:rPr>
        <w:fldChar w:fldCharType="begin"/>
      </w:r>
      <w:r>
        <w:rPr>
          <w:noProof/>
        </w:rPr>
        <w:instrText xml:space="preserve"> PAGEREF _Toc13233633 \h </w:instrText>
      </w:r>
      <w:r>
        <w:rPr>
          <w:noProof/>
        </w:rPr>
      </w:r>
      <w:r>
        <w:rPr>
          <w:noProof/>
        </w:rPr>
        <w:fldChar w:fldCharType="separate"/>
      </w:r>
      <w:r w:rsidR="00497E3C">
        <w:rPr>
          <w:noProof/>
        </w:rPr>
        <w:t>92</w:t>
      </w:r>
      <w:r>
        <w:rPr>
          <w:noProof/>
        </w:rPr>
        <w:fldChar w:fldCharType="end"/>
      </w:r>
    </w:p>
    <w:p w14:paraId="44584930" w14:textId="77777777" w:rsidR="005168F5" w:rsidRDefault="005168F5">
      <w:pPr>
        <w:pStyle w:val="TOC5"/>
        <w:rPr>
          <w:rFonts w:asciiTheme="minorHAnsi" w:eastAsiaTheme="minorEastAsia" w:hAnsiTheme="minorHAnsi" w:cstheme="minorBidi"/>
          <w:noProof/>
          <w:kern w:val="0"/>
          <w:sz w:val="22"/>
          <w:szCs w:val="22"/>
        </w:rPr>
      </w:pPr>
      <w:r>
        <w:rPr>
          <w:noProof/>
        </w:rPr>
        <w:t>2.61  Method 1—petrochemical production</w:t>
      </w:r>
      <w:r>
        <w:rPr>
          <w:noProof/>
        </w:rPr>
        <w:tab/>
      </w:r>
      <w:r>
        <w:rPr>
          <w:noProof/>
        </w:rPr>
        <w:fldChar w:fldCharType="begin"/>
      </w:r>
      <w:r>
        <w:rPr>
          <w:noProof/>
        </w:rPr>
        <w:instrText xml:space="preserve"> PAGEREF _Toc13233634 \h </w:instrText>
      </w:r>
      <w:r>
        <w:rPr>
          <w:noProof/>
        </w:rPr>
      </w:r>
      <w:r>
        <w:rPr>
          <w:noProof/>
        </w:rPr>
        <w:fldChar w:fldCharType="separate"/>
      </w:r>
      <w:r w:rsidR="00497E3C">
        <w:rPr>
          <w:noProof/>
        </w:rPr>
        <w:t>92</w:t>
      </w:r>
      <w:r>
        <w:rPr>
          <w:noProof/>
        </w:rPr>
        <w:fldChar w:fldCharType="end"/>
      </w:r>
    </w:p>
    <w:p w14:paraId="09FC8AA9" w14:textId="77777777" w:rsidR="005168F5" w:rsidRDefault="005168F5">
      <w:pPr>
        <w:pStyle w:val="TOC5"/>
        <w:rPr>
          <w:rFonts w:asciiTheme="minorHAnsi" w:eastAsiaTheme="minorEastAsia" w:hAnsiTheme="minorHAnsi" w:cstheme="minorBidi"/>
          <w:noProof/>
          <w:kern w:val="0"/>
          <w:sz w:val="22"/>
          <w:szCs w:val="22"/>
        </w:rPr>
      </w:pPr>
      <w:r>
        <w:rPr>
          <w:noProof/>
        </w:rPr>
        <w:t>2.62  Method 2—petrochemical production</w:t>
      </w:r>
      <w:r>
        <w:rPr>
          <w:noProof/>
        </w:rPr>
        <w:tab/>
      </w:r>
      <w:r>
        <w:rPr>
          <w:noProof/>
        </w:rPr>
        <w:fldChar w:fldCharType="begin"/>
      </w:r>
      <w:r>
        <w:rPr>
          <w:noProof/>
        </w:rPr>
        <w:instrText xml:space="preserve"> PAGEREF _Toc13233635 \h </w:instrText>
      </w:r>
      <w:r>
        <w:rPr>
          <w:noProof/>
        </w:rPr>
      </w:r>
      <w:r>
        <w:rPr>
          <w:noProof/>
        </w:rPr>
        <w:fldChar w:fldCharType="separate"/>
      </w:r>
      <w:r w:rsidR="00497E3C">
        <w:rPr>
          <w:noProof/>
        </w:rPr>
        <w:t>94</w:t>
      </w:r>
      <w:r>
        <w:rPr>
          <w:noProof/>
        </w:rPr>
        <w:fldChar w:fldCharType="end"/>
      </w:r>
    </w:p>
    <w:p w14:paraId="38602F2A" w14:textId="77777777" w:rsidR="005168F5" w:rsidRDefault="005168F5">
      <w:pPr>
        <w:pStyle w:val="TOC5"/>
        <w:rPr>
          <w:rFonts w:asciiTheme="minorHAnsi" w:eastAsiaTheme="minorEastAsia" w:hAnsiTheme="minorHAnsi" w:cstheme="minorBidi"/>
          <w:noProof/>
          <w:kern w:val="0"/>
          <w:sz w:val="22"/>
          <w:szCs w:val="22"/>
        </w:rPr>
      </w:pPr>
      <w:r>
        <w:rPr>
          <w:noProof/>
        </w:rPr>
        <w:t>2.63  Method 3—petrochemical production</w:t>
      </w:r>
      <w:r>
        <w:rPr>
          <w:noProof/>
        </w:rPr>
        <w:tab/>
      </w:r>
      <w:r>
        <w:rPr>
          <w:noProof/>
        </w:rPr>
        <w:fldChar w:fldCharType="begin"/>
      </w:r>
      <w:r>
        <w:rPr>
          <w:noProof/>
        </w:rPr>
        <w:instrText xml:space="preserve"> PAGEREF _Toc13233636 \h </w:instrText>
      </w:r>
      <w:r>
        <w:rPr>
          <w:noProof/>
        </w:rPr>
      </w:r>
      <w:r>
        <w:rPr>
          <w:noProof/>
        </w:rPr>
        <w:fldChar w:fldCharType="separate"/>
      </w:r>
      <w:r w:rsidR="00497E3C">
        <w:rPr>
          <w:noProof/>
        </w:rPr>
        <w:t>95</w:t>
      </w:r>
      <w:r>
        <w:rPr>
          <w:noProof/>
        </w:rPr>
        <w:fldChar w:fldCharType="end"/>
      </w:r>
    </w:p>
    <w:p w14:paraId="5CFE39D2" w14:textId="77777777" w:rsidR="005168F5" w:rsidRDefault="005168F5">
      <w:pPr>
        <w:pStyle w:val="TOC2"/>
        <w:rPr>
          <w:rFonts w:asciiTheme="minorHAnsi" w:eastAsiaTheme="minorEastAsia" w:hAnsiTheme="minorHAnsi" w:cstheme="minorBidi"/>
          <w:b w:val="0"/>
          <w:noProof/>
          <w:kern w:val="0"/>
          <w:sz w:val="22"/>
          <w:szCs w:val="22"/>
        </w:rPr>
      </w:pPr>
      <w:r>
        <w:rPr>
          <w:noProof/>
        </w:rPr>
        <w:t>Part 2.6—Blended fuels</w:t>
      </w:r>
      <w:r>
        <w:rPr>
          <w:noProof/>
        </w:rPr>
        <w:tab/>
      </w:r>
      <w:r>
        <w:rPr>
          <w:noProof/>
        </w:rPr>
        <w:fldChar w:fldCharType="begin"/>
      </w:r>
      <w:r>
        <w:rPr>
          <w:noProof/>
        </w:rPr>
        <w:instrText xml:space="preserve"> PAGEREF _Toc13233637 \h </w:instrText>
      </w:r>
      <w:r>
        <w:rPr>
          <w:noProof/>
        </w:rPr>
      </w:r>
      <w:r>
        <w:rPr>
          <w:noProof/>
        </w:rPr>
        <w:fldChar w:fldCharType="separate"/>
      </w:r>
      <w:r w:rsidR="00497E3C">
        <w:rPr>
          <w:noProof/>
        </w:rPr>
        <w:t>96</w:t>
      </w:r>
      <w:r>
        <w:rPr>
          <w:noProof/>
        </w:rPr>
        <w:fldChar w:fldCharType="end"/>
      </w:r>
    </w:p>
    <w:p w14:paraId="1FFD05C8" w14:textId="77777777" w:rsidR="005168F5" w:rsidRDefault="005168F5">
      <w:pPr>
        <w:pStyle w:val="TOC5"/>
        <w:rPr>
          <w:rFonts w:asciiTheme="minorHAnsi" w:eastAsiaTheme="minorEastAsia" w:hAnsiTheme="minorHAnsi" w:cstheme="minorBidi"/>
          <w:noProof/>
          <w:kern w:val="0"/>
          <w:sz w:val="22"/>
          <w:szCs w:val="22"/>
        </w:rPr>
      </w:pPr>
      <w:r>
        <w:rPr>
          <w:noProof/>
        </w:rPr>
        <w:t>2.64  Purpose</w:t>
      </w:r>
      <w:r>
        <w:rPr>
          <w:noProof/>
        </w:rPr>
        <w:tab/>
      </w:r>
      <w:r>
        <w:rPr>
          <w:noProof/>
        </w:rPr>
        <w:fldChar w:fldCharType="begin"/>
      </w:r>
      <w:r>
        <w:rPr>
          <w:noProof/>
        </w:rPr>
        <w:instrText xml:space="preserve"> PAGEREF _Toc13233638 \h </w:instrText>
      </w:r>
      <w:r>
        <w:rPr>
          <w:noProof/>
        </w:rPr>
      </w:r>
      <w:r>
        <w:rPr>
          <w:noProof/>
        </w:rPr>
        <w:fldChar w:fldCharType="separate"/>
      </w:r>
      <w:r w:rsidR="00497E3C">
        <w:rPr>
          <w:noProof/>
        </w:rPr>
        <w:t>96</w:t>
      </w:r>
      <w:r>
        <w:rPr>
          <w:noProof/>
        </w:rPr>
        <w:fldChar w:fldCharType="end"/>
      </w:r>
    </w:p>
    <w:p w14:paraId="48D390FD" w14:textId="77777777" w:rsidR="005168F5" w:rsidRDefault="005168F5">
      <w:pPr>
        <w:pStyle w:val="TOC5"/>
        <w:rPr>
          <w:rFonts w:asciiTheme="minorHAnsi" w:eastAsiaTheme="minorEastAsia" w:hAnsiTheme="minorHAnsi" w:cstheme="minorBidi"/>
          <w:noProof/>
          <w:kern w:val="0"/>
          <w:sz w:val="22"/>
          <w:szCs w:val="22"/>
        </w:rPr>
      </w:pPr>
      <w:r>
        <w:rPr>
          <w:noProof/>
        </w:rPr>
        <w:t>2.65  Application</w:t>
      </w:r>
      <w:r>
        <w:rPr>
          <w:noProof/>
        </w:rPr>
        <w:tab/>
      </w:r>
      <w:r>
        <w:rPr>
          <w:noProof/>
        </w:rPr>
        <w:fldChar w:fldCharType="begin"/>
      </w:r>
      <w:r>
        <w:rPr>
          <w:noProof/>
        </w:rPr>
        <w:instrText xml:space="preserve"> PAGEREF _Toc13233639 \h </w:instrText>
      </w:r>
      <w:r>
        <w:rPr>
          <w:noProof/>
        </w:rPr>
      </w:r>
      <w:r>
        <w:rPr>
          <w:noProof/>
        </w:rPr>
        <w:fldChar w:fldCharType="separate"/>
      </w:r>
      <w:r w:rsidR="00497E3C">
        <w:rPr>
          <w:noProof/>
        </w:rPr>
        <w:t>96</w:t>
      </w:r>
      <w:r>
        <w:rPr>
          <w:noProof/>
        </w:rPr>
        <w:fldChar w:fldCharType="end"/>
      </w:r>
    </w:p>
    <w:p w14:paraId="776E10C0" w14:textId="77777777" w:rsidR="005168F5" w:rsidRDefault="005168F5">
      <w:pPr>
        <w:pStyle w:val="TOC5"/>
        <w:rPr>
          <w:rFonts w:asciiTheme="minorHAnsi" w:eastAsiaTheme="minorEastAsia" w:hAnsiTheme="minorHAnsi" w:cstheme="minorBidi"/>
          <w:noProof/>
          <w:kern w:val="0"/>
          <w:sz w:val="22"/>
          <w:szCs w:val="22"/>
        </w:rPr>
      </w:pPr>
      <w:r>
        <w:rPr>
          <w:noProof/>
        </w:rPr>
        <w:t>2.66  Blended solid fuels</w:t>
      </w:r>
      <w:r>
        <w:rPr>
          <w:noProof/>
        </w:rPr>
        <w:tab/>
      </w:r>
      <w:r>
        <w:rPr>
          <w:noProof/>
        </w:rPr>
        <w:fldChar w:fldCharType="begin"/>
      </w:r>
      <w:r>
        <w:rPr>
          <w:noProof/>
        </w:rPr>
        <w:instrText xml:space="preserve"> PAGEREF _Toc13233640 \h </w:instrText>
      </w:r>
      <w:r>
        <w:rPr>
          <w:noProof/>
        </w:rPr>
      </w:r>
      <w:r>
        <w:rPr>
          <w:noProof/>
        </w:rPr>
        <w:fldChar w:fldCharType="separate"/>
      </w:r>
      <w:r w:rsidR="00497E3C">
        <w:rPr>
          <w:noProof/>
        </w:rPr>
        <w:t>96</w:t>
      </w:r>
      <w:r>
        <w:rPr>
          <w:noProof/>
        </w:rPr>
        <w:fldChar w:fldCharType="end"/>
      </w:r>
    </w:p>
    <w:p w14:paraId="54858398" w14:textId="77777777" w:rsidR="005168F5" w:rsidRDefault="005168F5">
      <w:pPr>
        <w:pStyle w:val="TOC5"/>
        <w:rPr>
          <w:rFonts w:asciiTheme="minorHAnsi" w:eastAsiaTheme="minorEastAsia" w:hAnsiTheme="minorHAnsi" w:cstheme="minorBidi"/>
          <w:noProof/>
          <w:kern w:val="0"/>
          <w:sz w:val="22"/>
          <w:szCs w:val="22"/>
        </w:rPr>
      </w:pPr>
      <w:r>
        <w:rPr>
          <w:noProof/>
        </w:rPr>
        <w:t>2.67  Blended liquid fuels</w:t>
      </w:r>
      <w:r>
        <w:rPr>
          <w:noProof/>
        </w:rPr>
        <w:tab/>
      </w:r>
      <w:r>
        <w:rPr>
          <w:noProof/>
        </w:rPr>
        <w:fldChar w:fldCharType="begin"/>
      </w:r>
      <w:r>
        <w:rPr>
          <w:noProof/>
        </w:rPr>
        <w:instrText xml:space="preserve"> PAGEREF _Toc13233641 \h </w:instrText>
      </w:r>
      <w:r>
        <w:rPr>
          <w:noProof/>
        </w:rPr>
      </w:r>
      <w:r>
        <w:rPr>
          <w:noProof/>
        </w:rPr>
        <w:fldChar w:fldCharType="separate"/>
      </w:r>
      <w:r w:rsidR="00497E3C">
        <w:rPr>
          <w:noProof/>
        </w:rPr>
        <w:t>96</w:t>
      </w:r>
      <w:r>
        <w:rPr>
          <w:noProof/>
        </w:rPr>
        <w:fldChar w:fldCharType="end"/>
      </w:r>
    </w:p>
    <w:p w14:paraId="21164326" w14:textId="77777777" w:rsidR="005168F5" w:rsidRDefault="005168F5">
      <w:pPr>
        <w:pStyle w:val="TOC2"/>
        <w:rPr>
          <w:rFonts w:asciiTheme="minorHAnsi" w:eastAsiaTheme="minorEastAsia" w:hAnsiTheme="minorHAnsi" w:cstheme="minorBidi"/>
          <w:b w:val="0"/>
          <w:noProof/>
          <w:kern w:val="0"/>
          <w:sz w:val="22"/>
          <w:szCs w:val="22"/>
        </w:rPr>
      </w:pPr>
      <w:r>
        <w:rPr>
          <w:noProof/>
        </w:rPr>
        <w:t>Part 2.7—Estimation of energy for certain purposes</w:t>
      </w:r>
      <w:r>
        <w:rPr>
          <w:noProof/>
        </w:rPr>
        <w:tab/>
      </w:r>
      <w:r>
        <w:rPr>
          <w:noProof/>
        </w:rPr>
        <w:fldChar w:fldCharType="begin"/>
      </w:r>
      <w:r>
        <w:rPr>
          <w:noProof/>
        </w:rPr>
        <w:instrText xml:space="preserve"> PAGEREF _Toc13233642 \h </w:instrText>
      </w:r>
      <w:r>
        <w:rPr>
          <w:noProof/>
        </w:rPr>
      </w:r>
      <w:r>
        <w:rPr>
          <w:noProof/>
        </w:rPr>
        <w:fldChar w:fldCharType="separate"/>
      </w:r>
      <w:r w:rsidR="00497E3C">
        <w:rPr>
          <w:noProof/>
        </w:rPr>
        <w:t>97</w:t>
      </w:r>
      <w:r>
        <w:rPr>
          <w:noProof/>
        </w:rPr>
        <w:fldChar w:fldCharType="end"/>
      </w:r>
    </w:p>
    <w:p w14:paraId="6E1AD5FA" w14:textId="77777777" w:rsidR="005168F5" w:rsidRDefault="005168F5">
      <w:pPr>
        <w:pStyle w:val="TOC5"/>
        <w:rPr>
          <w:rFonts w:asciiTheme="minorHAnsi" w:eastAsiaTheme="minorEastAsia" w:hAnsiTheme="minorHAnsi" w:cstheme="minorBidi"/>
          <w:noProof/>
          <w:kern w:val="0"/>
          <w:sz w:val="22"/>
          <w:szCs w:val="22"/>
        </w:rPr>
      </w:pPr>
      <w:r>
        <w:rPr>
          <w:noProof/>
        </w:rPr>
        <w:t>2.68  Amount of energy consumed without combustion</w:t>
      </w:r>
      <w:r>
        <w:rPr>
          <w:noProof/>
        </w:rPr>
        <w:tab/>
      </w:r>
      <w:r>
        <w:rPr>
          <w:noProof/>
        </w:rPr>
        <w:fldChar w:fldCharType="begin"/>
      </w:r>
      <w:r>
        <w:rPr>
          <w:noProof/>
        </w:rPr>
        <w:instrText xml:space="preserve"> PAGEREF _Toc13233643 \h </w:instrText>
      </w:r>
      <w:r>
        <w:rPr>
          <w:noProof/>
        </w:rPr>
      </w:r>
      <w:r>
        <w:rPr>
          <w:noProof/>
        </w:rPr>
        <w:fldChar w:fldCharType="separate"/>
      </w:r>
      <w:r w:rsidR="00497E3C">
        <w:rPr>
          <w:noProof/>
        </w:rPr>
        <w:t>97</w:t>
      </w:r>
      <w:r>
        <w:rPr>
          <w:noProof/>
        </w:rPr>
        <w:fldChar w:fldCharType="end"/>
      </w:r>
    </w:p>
    <w:p w14:paraId="168FDB79" w14:textId="77777777" w:rsidR="005168F5" w:rsidRDefault="005168F5">
      <w:pPr>
        <w:pStyle w:val="TOC5"/>
        <w:rPr>
          <w:rFonts w:asciiTheme="minorHAnsi" w:eastAsiaTheme="minorEastAsia" w:hAnsiTheme="minorHAnsi" w:cstheme="minorBidi"/>
          <w:noProof/>
          <w:kern w:val="0"/>
          <w:sz w:val="22"/>
          <w:szCs w:val="22"/>
        </w:rPr>
      </w:pPr>
      <w:r>
        <w:rPr>
          <w:noProof/>
        </w:rPr>
        <w:t>2.69  Apportionment of fuel consumed as carbon reductant or feedstock and energy</w:t>
      </w:r>
      <w:r>
        <w:rPr>
          <w:noProof/>
        </w:rPr>
        <w:tab/>
      </w:r>
      <w:r>
        <w:rPr>
          <w:noProof/>
        </w:rPr>
        <w:fldChar w:fldCharType="begin"/>
      </w:r>
      <w:r>
        <w:rPr>
          <w:noProof/>
        </w:rPr>
        <w:instrText xml:space="preserve"> PAGEREF _Toc13233644 \h </w:instrText>
      </w:r>
      <w:r>
        <w:rPr>
          <w:noProof/>
        </w:rPr>
      </w:r>
      <w:r>
        <w:rPr>
          <w:noProof/>
        </w:rPr>
        <w:fldChar w:fldCharType="separate"/>
      </w:r>
      <w:r w:rsidR="00497E3C">
        <w:rPr>
          <w:noProof/>
        </w:rPr>
        <w:t>97</w:t>
      </w:r>
      <w:r>
        <w:rPr>
          <w:noProof/>
        </w:rPr>
        <w:fldChar w:fldCharType="end"/>
      </w:r>
    </w:p>
    <w:p w14:paraId="27E369FB" w14:textId="77777777" w:rsidR="005168F5" w:rsidRDefault="005168F5">
      <w:pPr>
        <w:pStyle w:val="TOC5"/>
        <w:rPr>
          <w:rFonts w:asciiTheme="minorHAnsi" w:eastAsiaTheme="minorEastAsia" w:hAnsiTheme="minorHAnsi" w:cstheme="minorBidi"/>
          <w:noProof/>
          <w:kern w:val="0"/>
          <w:sz w:val="22"/>
          <w:szCs w:val="22"/>
        </w:rPr>
      </w:pPr>
      <w:r>
        <w:rPr>
          <w:noProof/>
        </w:rPr>
        <w:t>2.70  Amount of energy consumed in a cogeneration process</w:t>
      </w:r>
      <w:r>
        <w:rPr>
          <w:noProof/>
        </w:rPr>
        <w:tab/>
      </w:r>
      <w:r>
        <w:rPr>
          <w:noProof/>
        </w:rPr>
        <w:fldChar w:fldCharType="begin"/>
      </w:r>
      <w:r>
        <w:rPr>
          <w:noProof/>
        </w:rPr>
        <w:instrText xml:space="preserve"> PAGEREF _Toc13233645 \h </w:instrText>
      </w:r>
      <w:r>
        <w:rPr>
          <w:noProof/>
        </w:rPr>
      </w:r>
      <w:r>
        <w:rPr>
          <w:noProof/>
        </w:rPr>
        <w:fldChar w:fldCharType="separate"/>
      </w:r>
      <w:r w:rsidR="00497E3C">
        <w:rPr>
          <w:noProof/>
        </w:rPr>
        <w:t>98</w:t>
      </w:r>
      <w:r>
        <w:rPr>
          <w:noProof/>
        </w:rPr>
        <w:fldChar w:fldCharType="end"/>
      </w:r>
    </w:p>
    <w:p w14:paraId="5A657E6D" w14:textId="77777777" w:rsidR="005168F5" w:rsidRDefault="005168F5">
      <w:pPr>
        <w:pStyle w:val="TOC5"/>
        <w:rPr>
          <w:rFonts w:asciiTheme="minorHAnsi" w:eastAsiaTheme="minorEastAsia" w:hAnsiTheme="minorHAnsi" w:cstheme="minorBidi"/>
          <w:noProof/>
          <w:kern w:val="0"/>
          <w:sz w:val="22"/>
          <w:szCs w:val="22"/>
        </w:rPr>
      </w:pPr>
      <w:r>
        <w:rPr>
          <w:noProof/>
        </w:rPr>
        <w:t>2.71  Apportionment of energy consumed for electricity, transport and for stationary energy</w:t>
      </w:r>
      <w:r>
        <w:rPr>
          <w:noProof/>
        </w:rPr>
        <w:tab/>
      </w:r>
      <w:r>
        <w:rPr>
          <w:noProof/>
        </w:rPr>
        <w:fldChar w:fldCharType="begin"/>
      </w:r>
      <w:r>
        <w:rPr>
          <w:noProof/>
        </w:rPr>
        <w:instrText xml:space="preserve"> PAGEREF _Toc13233646 \h </w:instrText>
      </w:r>
      <w:r>
        <w:rPr>
          <w:noProof/>
        </w:rPr>
      </w:r>
      <w:r>
        <w:rPr>
          <w:noProof/>
        </w:rPr>
        <w:fldChar w:fldCharType="separate"/>
      </w:r>
      <w:r w:rsidR="00497E3C">
        <w:rPr>
          <w:noProof/>
        </w:rPr>
        <w:t>98</w:t>
      </w:r>
      <w:r>
        <w:rPr>
          <w:noProof/>
        </w:rPr>
        <w:fldChar w:fldCharType="end"/>
      </w:r>
    </w:p>
    <w:p w14:paraId="02AFF6F0" w14:textId="77777777" w:rsidR="005168F5" w:rsidRDefault="005168F5">
      <w:pPr>
        <w:pStyle w:val="TOC1"/>
        <w:rPr>
          <w:rFonts w:asciiTheme="minorHAnsi" w:eastAsiaTheme="minorEastAsia" w:hAnsiTheme="minorHAnsi" w:cstheme="minorBidi"/>
          <w:b w:val="0"/>
          <w:noProof/>
          <w:kern w:val="0"/>
          <w:sz w:val="22"/>
          <w:szCs w:val="22"/>
        </w:rPr>
      </w:pPr>
      <w:r>
        <w:rPr>
          <w:noProof/>
        </w:rPr>
        <w:t>Chapter 3—Fugitive emissions</w:t>
      </w:r>
      <w:r>
        <w:rPr>
          <w:noProof/>
        </w:rPr>
        <w:tab/>
      </w:r>
      <w:r>
        <w:rPr>
          <w:noProof/>
        </w:rPr>
        <w:fldChar w:fldCharType="begin"/>
      </w:r>
      <w:r>
        <w:rPr>
          <w:noProof/>
        </w:rPr>
        <w:instrText xml:space="preserve"> PAGEREF _Toc13233647 \h </w:instrText>
      </w:r>
      <w:r>
        <w:rPr>
          <w:noProof/>
        </w:rPr>
      </w:r>
      <w:r>
        <w:rPr>
          <w:noProof/>
        </w:rPr>
        <w:fldChar w:fldCharType="separate"/>
      </w:r>
      <w:r w:rsidR="00497E3C">
        <w:rPr>
          <w:noProof/>
        </w:rPr>
        <w:t>99</w:t>
      </w:r>
      <w:r>
        <w:rPr>
          <w:noProof/>
        </w:rPr>
        <w:fldChar w:fldCharType="end"/>
      </w:r>
    </w:p>
    <w:p w14:paraId="33A118C6" w14:textId="77777777" w:rsidR="005168F5" w:rsidRDefault="005168F5">
      <w:pPr>
        <w:pStyle w:val="TOC2"/>
        <w:rPr>
          <w:rFonts w:asciiTheme="minorHAnsi" w:eastAsiaTheme="minorEastAsia" w:hAnsiTheme="minorHAnsi" w:cstheme="minorBidi"/>
          <w:b w:val="0"/>
          <w:noProof/>
          <w:kern w:val="0"/>
          <w:sz w:val="22"/>
          <w:szCs w:val="22"/>
        </w:rPr>
      </w:pPr>
      <w:r>
        <w:rPr>
          <w:noProof/>
        </w:rPr>
        <w:t>Part 3.1—Preliminary</w:t>
      </w:r>
      <w:r>
        <w:rPr>
          <w:noProof/>
        </w:rPr>
        <w:tab/>
      </w:r>
      <w:r>
        <w:rPr>
          <w:noProof/>
        </w:rPr>
        <w:fldChar w:fldCharType="begin"/>
      </w:r>
      <w:r>
        <w:rPr>
          <w:noProof/>
        </w:rPr>
        <w:instrText xml:space="preserve"> PAGEREF _Toc13233648 \h </w:instrText>
      </w:r>
      <w:r>
        <w:rPr>
          <w:noProof/>
        </w:rPr>
      </w:r>
      <w:r>
        <w:rPr>
          <w:noProof/>
        </w:rPr>
        <w:fldChar w:fldCharType="separate"/>
      </w:r>
      <w:r w:rsidR="00497E3C">
        <w:rPr>
          <w:noProof/>
        </w:rPr>
        <w:t>99</w:t>
      </w:r>
      <w:r>
        <w:rPr>
          <w:noProof/>
        </w:rPr>
        <w:fldChar w:fldCharType="end"/>
      </w:r>
    </w:p>
    <w:p w14:paraId="464037A0" w14:textId="77777777" w:rsidR="005168F5" w:rsidRDefault="005168F5">
      <w:pPr>
        <w:pStyle w:val="TOC5"/>
        <w:rPr>
          <w:rFonts w:asciiTheme="minorHAnsi" w:eastAsiaTheme="minorEastAsia" w:hAnsiTheme="minorHAnsi" w:cstheme="minorBidi"/>
          <w:noProof/>
          <w:kern w:val="0"/>
          <w:sz w:val="22"/>
          <w:szCs w:val="22"/>
        </w:rPr>
      </w:pPr>
      <w:r>
        <w:rPr>
          <w:noProof/>
        </w:rPr>
        <w:t>3.1  Outline of Chapter</w:t>
      </w:r>
      <w:r>
        <w:rPr>
          <w:noProof/>
        </w:rPr>
        <w:tab/>
      </w:r>
      <w:r>
        <w:rPr>
          <w:noProof/>
        </w:rPr>
        <w:fldChar w:fldCharType="begin"/>
      </w:r>
      <w:r>
        <w:rPr>
          <w:noProof/>
        </w:rPr>
        <w:instrText xml:space="preserve"> PAGEREF _Toc13233649 \h </w:instrText>
      </w:r>
      <w:r>
        <w:rPr>
          <w:noProof/>
        </w:rPr>
      </w:r>
      <w:r>
        <w:rPr>
          <w:noProof/>
        </w:rPr>
        <w:fldChar w:fldCharType="separate"/>
      </w:r>
      <w:r w:rsidR="00497E3C">
        <w:rPr>
          <w:noProof/>
        </w:rPr>
        <w:t>99</w:t>
      </w:r>
      <w:r>
        <w:rPr>
          <w:noProof/>
        </w:rPr>
        <w:fldChar w:fldCharType="end"/>
      </w:r>
    </w:p>
    <w:p w14:paraId="28A2E1D9" w14:textId="77777777" w:rsidR="005168F5" w:rsidRDefault="005168F5">
      <w:pPr>
        <w:pStyle w:val="TOC2"/>
        <w:rPr>
          <w:rFonts w:asciiTheme="minorHAnsi" w:eastAsiaTheme="minorEastAsia" w:hAnsiTheme="minorHAnsi" w:cstheme="minorBidi"/>
          <w:b w:val="0"/>
          <w:noProof/>
          <w:kern w:val="0"/>
          <w:sz w:val="22"/>
          <w:szCs w:val="22"/>
        </w:rPr>
      </w:pPr>
      <w:r>
        <w:rPr>
          <w:noProof/>
        </w:rPr>
        <w:t>Part 3.2—Coal mining—fugitive emissions</w:t>
      </w:r>
      <w:r>
        <w:rPr>
          <w:noProof/>
        </w:rPr>
        <w:tab/>
      </w:r>
      <w:r>
        <w:rPr>
          <w:noProof/>
        </w:rPr>
        <w:fldChar w:fldCharType="begin"/>
      </w:r>
      <w:r>
        <w:rPr>
          <w:noProof/>
        </w:rPr>
        <w:instrText xml:space="preserve"> PAGEREF _Toc13233650 \h </w:instrText>
      </w:r>
      <w:r>
        <w:rPr>
          <w:noProof/>
        </w:rPr>
      </w:r>
      <w:r>
        <w:rPr>
          <w:noProof/>
        </w:rPr>
        <w:fldChar w:fldCharType="separate"/>
      </w:r>
      <w:r w:rsidR="00497E3C">
        <w:rPr>
          <w:noProof/>
        </w:rPr>
        <w:t>100</w:t>
      </w:r>
      <w:r>
        <w:rPr>
          <w:noProof/>
        </w:rPr>
        <w:fldChar w:fldCharType="end"/>
      </w:r>
    </w:p>
    <w:p w14:paraId="0BBF0AD1" w14:textId="77777777" w:rsidR="005168F5" w:rsidRDefault="005168F5">
      <w:pPr>
        <w:pStyle w:val="TOC3"/>
        <w:rPr>
          <w:rFonts w:asciiTheme="minorHAnsi" w:eastAsiaTheme="minorEastAsia" w:hAnsiTheme="minorHAnsi" w:cstheme="minorBidi"/>
          <w:b w:val="0"/>
          <w:noProof/>
          <w:kern w:val="0"/>
          <w:szCs w:val="22"/>
        </w:rPr>
      </w:pPr>
      <w:r>
        <w:rPr>
          <w:noProof/>
        </w:rPr>
        <w:t>Division 3.2.1—Preliminary</w:t>
      </w:r>
      <w:r>
        <w:rPr>
          <w:noProof/>
        </w:rPr>
        <w:tab/>
      </w:r>
      <w:r>
        <w:rPr>
          <w:noProof/>
        </w:rPr>
        <w:fldChar w:fldCharType="begin"/>
      </w:r>
      <w:r>
        <w:rPr>
          <w:noProof/>
        </w:rPr>
        <w:instrText xml:space="preserve"> PAGEREF _Toc13233651 \h </w:instrText>
      </w:r>
      <w:r>
        <w:rPr>
          <w:noProof/>
        </w:rPr>
      </w:r>
      <w:r>
        <w:rPr>
          <w:noProof/>
        </w:rPr>
        <w:fldChar w:fldCharType="separate"/>
      </w:r>
      <w:r w:rsidR="00497E3C">
        <w:rPr>
          <w:noProof/>
        </w:rPr>
        <w:t>100</w:t>
      </w:r>
      <w:r>
        <w:rPr>
          <w:noProof/>
        </w:rPr>
        <w:fldChar w:fldCharType="end"/>
      </w:r>
    </w:p>
    <w:p w14:paraId="3B0EA441" w14:textId="77777777" w:rsidR="005168F5" w:rsidRDefault="005168F5">
      <w:pPr>
        <w:pStyle w:val="TOC5"/>
        <w:rPr>
          <w:rFonts w:asciiTheme="minorHAnsi" w:eastAsiaTheme="minorEastAsia" w:hAnsiTheme="minorHAnsi" w:cstheme="minorBidi"/>
          <w:noProof/>
          <w:kern w:val="0"/>
          <w:sz w:val="22"/>
          <w:szCs w:val="22"/>
        </w:rPr>
      </w:pPr>
      <w:r>
        <w:rPr>
          <w:noProof/>
        </w:rPr>
        <w:t>3.2  Outline of Part</w:t>
      </w:r>
      <w:r>
        <w:rPr>
          <w:noProof/>
        </w:rPr>
        <w:tab/>
      </w:r>
      <w:r>
        <w:rPr>
          <w:noProof/>
        </w:rPr>
        <w:fldChar w:fldCharType="begin"/>
      </w:r>
      <w:r>
        <w:rPr>
          <w:noProof/>
        </w:rPr>
        <w:instrText xml:space="preserve"> PAGEREF _Toc13233652 \h </w:instrText>
      </w:r>
      <w:r>
        <w:rPr>
          <w:noProof/>
        </w:rPr>
      </w:r>
      <w:r>
        <w:rPr>
          <w:noProof/>
        </w:rPr>
        <w:fldChar w:fldCharType="separate"/>
      </w:r>
      <w:r w:rsidR="00497E3C">
        <w:rPr>
          <w:noProof/>
        </w:rPr>
        <w:t>100</w:t>
      </w:r>
      <w:r>
        <w:rPr>
          <w:noProof/>
        </w:rPr>
        <w:fldChar w:fldCharType="end"/>
      </w:r>
    </w:p>
    <w:p w14:paraId="3BC03186" w14:textId="77777777" w:rsidR="005168F5" w:rsidRDefault="005168F5">
      <w:pPr>
        <w:pStyle w:val="TOC3"/>
        <w:rPr>
          <w:rFonts w:asciiTheme="minorHAnsi" w:eastAsiaTheme="minorEastAsia" w:hAnsiTheme="minorHAnsi" w:cstheme="minorBidi"/>
          <w:b w:val="0"/>
          <w:noProof/>
          <w:kern w:val="0"/>
          <w:szCs w:val="22"/>
        </w:rPr>
      </w:pPr>
      <w:r>
        <w:rPr>
          <w:noProof/>
        </w:rPr>
        <w:t>Division 3.2.2—Underground mines</w:t>
      </w:r>
      <w:r>
        <w:rPr>
          <w:noProof/>
        </w:rPr>
        <w:tab/>
      </w:r>
      <w:r>
        <w:rPr>
          <w:noProof/>
        </w:rPr>
        <w:fldChar w:fldCharType="begin"/>
      </w:r>
      <w:r>
        <w:rPr>
          <w:noProof/>
        </w:rPr>
        <w:instrText xml:space="preserve"> PAGEREF _Toc13233653 \h </w:instrText>
      </w:r>
      <w:r>
        <w:rPr>
          <w:noProof/>
        </w:rPr>
      </w:r>
      <w:r>
        <w:rPr>
          <w:noProof/>
        </w:rPr>
        <w:fldChar w:fldCharType="separate"/>
      </w:r>
      <w:r w:rsidR="00497E3C">
        <w:rPr>
          <w:noProof/>
        </w:rPr>
        <w:t>101</w:t>
      </w:r>
      <w:r>
        <w:rPr>
          <w:noProof/>
        </w:rPr>
        <w:fldChar w:fldCharType="end"/>
      </w:r>
    </w:p>
    <w:p w14:paraId="5738A856"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3.2.2.1—Preliminary</w:t>
      </w:r>
      <w:r>
        <w:rPr>
          <w:noProof/>
        </w:rPr>
        <w:tab/>
      </w:r>
      <w:r>
        <w:rPr>
          <w:noProof/>
        </w:rPr>
        <w:fldChar w:fldCharType="begin"/>
      </w:r>
      <w:r>
        <w:rPr>
          <w:noProof/>
        </w:rPr>
        <w:instrText xml:space="preserve"> PAGEREF _Toc13233654 \h </w:instrText>
      </w:r>
      <w:r>
        <w:rPr>
          <w:noProof/>
        </w:rPr>
      </w:r>
      <w:r>
        <w:rPr>
          <w:noProof/>
        </w:rPr>
        <w:fldChar w:fldCharType="separate"/>
      </w:r>
      <w:r w:rsidR="00497E3C">
        <w:rPr>
          <w:noProof/>
        </w:rPr>
        <w:t>101</w:t>
      </w:r>
      <w:r>
        <w:rPr>
          <w:noProof/>
        </w:rPr>
        <w:fldChar w:fldCharType="end"/>
      </w:r>
    </w:p>
    <w:p w14:paraId="339ED019" w14:textId="77777777" w:rsidR="005168F5" w:rsidRDefault="005168F5">
      <w:pPr>
        <w:pStyle w:val="TOC5"/>
        <w:rPr>
          <w:rFonts w:asciiTheme="minorHAnsi" w:eastAsiaTheme="minorEastAsia" w:hAnsiTheme="minorHAnsi" w:cstheme="minorBidi"/>
          <w:noProof/>
          <w:kern w:val="0"/>
          <w:sz w:val="22"/>
          <w:szCs w:val="22"/>
        </w:rPr>
      </w:pPr>
      <w:r>
        <w:rPr>
          <w:noProof/>
        </w:rPr>
        <w:t>3.3  Application</w:t>
      </w:r>
      <w:r>
        <w:rPr>
          <w:noProof/>
        </w:rPr>
        <w:tab/>
      </w:r>
      <w:r>
        <w:rPr>
          <w:noProof/>
        </w:rPr>
        <w:fldChar w:fldCharType="begin"/>
      </w:r>
      <w:r>
        <w:rPr>
          <w:noProof/>
        </w:rPr>
        <w:instrText xml:space="preserve"> PAGEREF _Toc13233655 \h </w:instrText>
      </w:r>
      <w:r>
        <w:rPr>
          <w:noProof/>
        </w:rPr>
      </w:r>
      <w:r>
        <w:rPr>
          <w:noProof/>
        </w:rPr>
        <w:fldChar w:fldCharType="separate"/>
      </w:r>
      <w:r w:rsidR="00497E3C">
        <w:rPr>
          <w:noProof/>
        </w:rPr>
        <w:t>101</w:t>
      </w:r>
      <w:r>
        <w:rPr>
          <w:noProof/>
        </w:rPr>
        <w:fldChar w:fldCharType="end"/>
      </w:r>
    </w:p>
    <w:p w14:paraId="6EA2154A" w14:textId="77777777" w:rsidR="005168F5" w:rsidRDefault="005168F5">
      <w:pPr>
        <w:pStyle w:val="TOC5"/>
        <w:rPr>
          <w:rFonts w:asciiTheme="minorHAnsi" w:eastAsiaTheme="minorEastAsia" w:hAnsiTheme="minorHAnsi" w:cstheme="minorBidi"/>
          <w:noProof/>
          <w:kern w:val="0"/>
          <w:sz w:val="22"/>
          <w:szCs w:val="22"/>
        </w:rPr>
      </w:pPr>
      <w:r>
        <w:rPr>
          <w:noProof/>
        </w:rPr>
        <w:t>3.4  Available methods</w:t>
      </w:r>
      <w:r>
        <w:rPr>
          <w:noProof/>
        </w:rPr>
        <w:tab/>
      </w:r>
      <w:r>
        <w:rPr>
          <w:noProof/>
        </w:rPr>
        <w:fldChar w:fldCharType="begin"/>
      </w:r>
      <w:r>
        <w:rPr>
          <w:noProof/>
        </w:rPr>
        <w:instrText xml:space="preserve"> PAGEREF _Toc13233656 \h </w:instrText>
      </w:r>
      <w:r>
        <w:rPr>
          <w:noProof/>
        </w:rPr>
      </w:r>
      <w:r>
        <w:rPr>
          <w:noProof/>
        </w:rPr>
        <w:fldChar w:fldCharType="separate"/>
      </w:r>
      <w:r w:rsidR="00497E3C">
        <w:rPr>
          <w:noProof/>
        </w:rPr>
        <w:t>101</w:t>
      </w:r>
      <w:r>
        <w:rPr>
          <w:noProof/>
        </w:rPr>
        <w:fldChar w:fldCharType="end"/>
      </w:r>
    </w:p>
    <w:p w14:paraId="5B17994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3.2.2.2—Fugitive emissions from extraction of coal</w:t>
      </w:r>
      <w:r>
        <w:rPr>
          <w:noProof/>
        </w:rPr>
        <w:tab/>
      </w:r>
      <w:r>
        <w:rPr>
          <w:noProof/>
        </w:rPr>
        <w:fldChar w:fldCharType="begin"/>
      </w:r>
      <w:r>
        <w:rPr>
          <w:noProof/>
        </w:rPr>
        <w:instrText xml:space="preserve"> PAGEREF _Toc13233657 \h </w:instrText>
      </w:r>
      <w:r>
        <w:rPr>
          <w:noProof/>
        </w:rPr>
      </w:r>
      <w:r>
        <w:rPr>
          <w:noProof/>
        </w:rPr>
        <w:fldChar w:fldCharType="separate"/>
      </w:r>
      <w:r w:rsidR="00497E3C">
        <w:rPr>
          <w:noProof/>
        </w:rPr>
        <w:t>102</w:t>
      </w:r>
      <w:r>
        <w:rPr>
          <w:noProof/>
        </w:rPr>
        <w:fldChar w:fldCharType="end"/>
      </w:r>
    </w:p>
    <w:p w14:paraId="33608AD1" w14:textId="77777777" w:rsidR="005168F5" w:rsidRDefault="005168F5">
      <w:pPr>
        <w:pStyle w:val="TOC5"/>
        <w:rPr>
          <w:rFonts w:asciiTheme="minorHAnsi" w:eastAsiaTheme="minorEastAsia" w:hAnsiTheme="minorHAnsi" w:cstheme="minorBidi"/>
          <w:noProof/>
          <w:kern w:val="0"/>
          <w:sz w:val="22"/>
          <w:szCs w:val="22"/>
        </w:rPr>
      </w:pPr>
      <w:r>
        <w:rPr>
          <w:noProof/>
        </w:rPr>
        <w:t>3.5  Method 1—extraction of coal</w:t>
      </w:r>
      <w:r>
        <w:rPr>
          <w:noProof/>
        </w:rPr>
        <w:tab/>
      </w:r>
      <w:r>
        <w:rPr>
          <w:noProof/>
        </w:rPr>
        <w:fldChar w:fldCharType="begin"/>
      </w:r>
      <w:r>
        <w:rPr>
          <w:noProof/>
        </w:rPr>
        <w:instrText xml:space="preserve"> PAGEREF _Toc13233658 \h </w:instrText>
      </w:r>
      <w:r>
        <w:rPr>
          <w:noProof/>
        </w:rPr>
      </w:r>
      <w:r>
        <w:rPr>
          <w:noProof/>
        </w:rPr>
        <w:fldChar w:fldCharType="separate"/>
      </w:r>
      <w:r w:rsidR="00497E3C">
        <w:rPr>
          <w:noProof/>
        </w:rPr>
        <w:t>102</w:t>
      </w:r>
      <w:r>
        <w:rPr>
          <w:noProof/>
        </w:rPr>
        <w:fldChar w:fldCharType="end"/>
      </w:r>
    </w:p>
    <w:p w14:paraId="19BA5316" w14:textId="77777777" w:rsidR="005168F5" w:rsidRDefault="005168F5">
      <w:pPr>
        <w:pStyle w:val="TOC5"/>
        <w:rPr>
          <w:rFonts w:asciiTheme="minorHAnsi" w:eastAsiaTheme="minorEastAsia" w:hAnsiTheme="minorHAnsi" w:cstheme="minorBidi"/>
          <w:noProof/>
          <w:kern w:val="0"/>
          <w:sz w:val="22"/>
          <w:szCs w:val="22"/>
        </w:rPr>
      </w:pPr>
      <w:r>
        <w:rPr>
          <w:noProof/>
        </w:rPr>
        <w:t>3.6  Method 4—extraction of coal</w:t>
      </w:r>
      <w:r>
        <w:rPr>
          <w:noProof/>
        </w:rPr>
        <w:tab/>
      </w:r>
      <w:r>
        <w:rPr>
          <w:noProof/>
        </w:rPr>
        <w:fldChar w:fldCharType="begin"/>
      </w:r>
      <w:r>
        <w:rPr>
          <w:noProof/>
        </w:rPr>
        <w:instrText xml:space="preserve"> PAGEREF _Toc13233659 \h </w:instrText>
      </w:r>
      <w:r>
        <w:rPr>
          <w:noProof/>
        </w:rPr>
      </w:r>
      <w:r>
        <w:rPr>
          <w:noProof/>
        </w:rPr>
        <w:fldChar w:fldCharType="separate"/>
      </w:r>
      <w:r w:rsidR="00497E3C">
        <w:rPr>
          <w:noProof/>
        </w:rPr>
        <w:t>102</w:t>
      </w:r>
      <w:r>
        <w:rPr>
          <w:noProof/>
        </w:rPr>
        <w:fldChar w:fldCharType="end"/>
      </w:r>
    </w:p>
    <w:p w14:paraId="1C1240B2" w14:textId="77777777" w:rsidR="005168F5" w:rsidRDefault="005168F5">
      <w:pPr>
        <w:pStyle w:val="TOC5"/>
        <w:rPr>
          <w:rFonts w:asciiTheme="minorHAnsi" w:eastAsiaTheme="minorEastAsia" w:hAnsiTheme="minorHAnsi" w:cstheme="minorBidi"/>
          <w:noProof/>
          <w:kern w:val="0"/>
          <w:sz w:val="22"/>
          <w:szCs w:val="22"/>
        </w:rPr>
      </w:pPr>
      <w:r>
        <w:rPr>
          <w:noProof/>
        </w:rPr>
        <w:t>3.7  Estimation of emissions</w:t>
      </w:r>
      <w:r>
        <w:rPr>
          <w:noProof/>
        </w:rPr>
        <w:tab/>
      </w:r>
      <w:r>
        <w:rPr>
          <w:noProof/>
        </w:rPr>
        <w:fldChar w:fldCharType="begin"/>
      </w:r>
      <w:r>
        <w:rPr>
          <w:noProof/>
        </w:rPr>
        <w:instrText xml:space="preserve"> PAGEREF _Toc13233660 \h </w:instrText>
      </w:r>
      <w:r>
        <w:rPr>
          <w:noProof/>
        </w:rPr>
      </w:r>
      <w:r>
        <w:rPr>
          <w:noProof/>
        </w:rPr>
        <w:fldChar w:fldCharType="separate"/>
      </w:r>
      <w:r w:rsidR="00497E3C">
        <w:rPr>
          <w:noProof/>
        </w:rPr>
        <w:t>103</w:t>
      </w:r>
      <w:r>
        <w:rPr>
          <w:noProof/>
        </w:rPr>
        <w:fldChar w:fldCharType="end"/>
      </w:r>
    </w:p>
    <w:p w14:paraId="0348AE01" w14:textId="77777777" w:rsidR="005168F5" w:rsidRDefault="005168F5">
      <w:pPr>
        <w:pStyle w:val="TOC5"/>
        <w:rPr>
          <w:rFonts w:asciiTheme="minorHAnsi" w:eastAsiaTheme="minorEastAsia" w:hAnsiTheme="minorHAnsi" w:cstheme="minorBidi"/>
          <w:noProof/>
          <w:kern w:val="0"/>
          <w:sz w:val="22"/>
          <w:szCs w:val="22"/>
        </w:rPr>
      </w:pPr>
      <w:r>
        <w:rPr>
          <w:noProof/>
        </w:rPr>
        <w:t>3.8  Overview—use of equipment</w:t>
      </w:r>
      <w:r>
        <w:rPr>
          <w:noProof/>
        </w:rPr>
        <w:tab/>
      </w:r>
      <w:r>
        <w:rPr>
          <w:noProof/>
        </w:rPr>
        <w:fldChar w:fldCharType="begin"/>
      </w:r>
      <w:r>
        <w:rPr>
          <w:noProof/>
        </w:rPr>
        <w:instrText xml:space="preserve"> PAGEREF _Toc13233661 \h </w:instrText>
      </w:r>
      <w:r>
        <w:rPr>
          <w:noProof/>
        </w:rPr>
      </w:r>
      <w:r>
        <w:rPr>
          <w:noProof/>
        </w:rPr>
        <w:fldChar w:fldCharType="separate"/>
      </w:r>
      <w:r w:rsidR="00497E3C">
        <w:rPr>
          <w:noProof/>
        </w:rPr>
        <w:t>104</w:t>
      </w:r>
      <w:r>
        <w:rPr>
          <w:noProof/>
        </w:rPr>
        <w:fldChar w:fldCharType="end"/>
      </w:r>
    </w:p>
    <w:p w14:paraId="16481ED4" w14:textId="77777777" w:rsidR="005168F5" w:rsidRDefault="005168F5">
      <w:pPr>
        <w:pStyle w:val="TOC5"/>
        <w:rPr>
          <w:rFonts w:asciiTheme="minorHAnsi" w:eastAsiaTheme="minorEastAsia" w:hAnsiTheme="minorHAnsi" w:cstheme="minorBidi"/>
          <w:noProof/>
          <w:kern w:val="0"/>
          <w:sz w:val="22"/>
          <w:szCs w:val="22"/>
        </w:rPr>
      </w:pPr>
      <w:r>
        <w:rPr>
          <w:noProof/>
        </w:rPr>
        <w:t>3.9  Selection of sampling positions for PEM</w:t>
      </w:r>
      <w:r>
        <w:rPr>
          <w:noProof/>
        </w:rPr>
        <w:tab/>
      </w:r>
      <w:r>
        <w:rPr>
          <w:noProof/>
        </w:rPr>
        <w:fldChar w:fldCharType="begin"/>
      </w:r>
      <w:r>
        <w:rPr>
          <w:noProof/>
        </w:rPr>
        <w:instrText xml:space="preserve"> PAGEREF _Toc13233662 \h </w:instrText>
      </w:r>
      <w:r>
        <w:rPr>
          <w:noProof/>
        </w:rPr>
      </w:r>
      <w:r>
        <w:rPr>
          <w:noProof/>
        </w:rPr>
        <w:fldChar w:fldCharType="separate"/>
      </w:r>
      <w:r w:rsidR="00497E3C">
        <w:rPr>
          <w:noProof/>
        </w:rPr>
        <w:t>104</w:t>
      </w:r>
      <w:r>
        <w:rPr>
          <w:noProof/>
        </w:rPr>
        <w:fldChar w:fldCharType="end"/>
      </w:r>
    </w:p>
    <w:p w14:paraId="67D362EA" w14:textId="77777777" w:rsidR="005168F5" w:rsidRDefault="005168F5">
      <w:pPr>
        <w:pStyle w:val="TOC5"/>
        <w:rPr>
          <w:rFonts w:asciiTheme="minorHAnsi" w:eastAsiaTheme="minorEastAsia" w:hAnsiTheme="minorHAnsi" w:cstheme="minorBidi"/>
          <w:noProof/>
          <w:kern w:val="0"/>
          <w:sz w:val="22"/>
          <w:szCs w:val="22"/>
        </w:rPr>
      </w:pPr>
      <w:r>
        <w:rPr>
          <w:noProof/>
        </w:rPr>
        <w:t>3.10  Measurement of volumetric flow rates by PEM</w:t>
      </w:r>
      <w:r>
        <w:rPr>
          <w:noProof/>
        </w:rPr>
        <w:tab/>
      </w:r>
      <w:r>
        <w:rPr>
          <w:noProof/>
        </w:rPr>
        <w:fldChar w:fldCharType="begin"/>
      </w:r>
      <w:r>
        <w:rPr>
          <w:noProof/>
        </w:rPr>
        <w:instrText xml:space="preserve"> PAGEREF _Toc13233663 \h </w:instrText>
      </w:r>
      <w:r>
        <w:rPr>
          <w:noProof/>
        </w:rPr>
      </w:r>
      <w:r>
        <w:rPr>
          <w:noProof/>
        </w:rPr>
        <w:fldChar w:fldCharType="separate"/>
      </w:r>
      <w:r w:rsidR="00497E3C">
        <w:rPr>
          <w:noProof/>
        </w:rPr>
        <w:t>104</w:t>
      </w:r>
      <w:r>
        <w:rPr>
          <w:noProof/>
        </w:rPr>
        <w:fldChar w:fldCharType="end"/>
      </w:r>
    </w:p>
    <w:p w14:paraId="338688D2"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3.11  Measurement of concentrations by PEM</w:t>
      </w:r>
      <w:r>
        <w:rPr>
          <w:noProof/>
        </w:rPr>
        <w:tab/>
      </w:r>
      <w:r>
        <w:rPr>
          <w:noProof/>
        </w:rPr>
        <w:fldChar w:fldCharType="begin"/>
      </w:r>
      <w:r>
        <w:rPr>
          <w:noProof/>
        </w:rPr>
        <w:instrText xml:space="preserve"> PAGEREF _Toc13233664 \h </w:instrText>
      </w:r>
      <w:r>
        <w:rPr>
          <w:noProof/>
        </w:rPr>
      </w:r>
      <w:r>
        <w:rPr>
          <w:noProof/>
        </w:rPr>
        <w:fldChar w:fldCharType="separate"/>
      </w:r>
      <w:r w:rsidR="00497E3C">
        <w:rPr>
          <w:noProof/>
        </w:rPr>
        <w:t>104</w:t>
      </w:r>
      <w:r>
        <w:rPr>
          <w:noProof/>
        </w:rPr>
        <w:fldChar w:fldCharType="end"/>
      </w:r>
    </w:p>
    <w:p w14:paraId="4B3BA3A6" w14:textId="77777777" w:rsidR="005168F5" w:rsidRDefault="005168F5">
      <w:pPr>
        <w:pStyle w:val="TOC5"/>
        <w:rPr>
          <w:rFonts w:asciiTheme="minorHAnsi" w:eastAsiaTheme="minorEastAsia" w:hAnsiTheme="minorHAnsi" w:cstheme="minorBidi"/>
          <w:noProof/>
          <w:kern w:val="0"/>
          <w:sz w:val="22"/>
          <w:szCs w:val="22"/>
        </w:rPr>
      </w:pPr>
      <w:r>
        <w:rPr>
          <w:noProof/>
        </w:rPr>
        <w:t>3.12  Representative data for PEM</w:t>
      </w:r>
      <w:r>
        <w:rPr>
          <w:noProof/>
        </w:rPr>
        <w:tab/>
      </w:r>
      <w:r>
        <w:rPr>
          <w:noProof/>
        </w:rPr>
        <w:fldChar w:fldCharType="begin"/>
      </w:r>
      <w:r>
        <w:rPr>
          <w:noProof/>
        </w:rPr>
        <w:instrText xml:space="preserve"> PAGEREF _Toc13233665 \h </w:instrText>
      </w:r>
      <w:r>
        <w:rPr>
          <w:noProof/>
        </w:rPr>
      </w:r>
      <w:r>
        <w:rPr>
          <w:noProof/>
        </w:rPr>
        <w:fldChar w:fldCharType="separate"/>
      </w:r>
      <w:r w:rsidR="00497E3C">
        <w:rPr>
          <w:noProof/>
        </w:rPr>
        <w:t>105</w:t>
      </w:r>
      <w:r>
        <w:rPr>
          <w:noProof/>
        </w:rPr>
        <w:fldChar w:fldCharType="end"/>
      </w:r>
    </w:p>
    <w:p w14:paraId="4A01FC75" w14:textId="77777777" w:rsidR="005168F5" w:rsidRDefault="005168F5">
      <w:pPr>
        <w:pStyle w:val="TOC5"/>
        <w:rPr>
          <w:rFonts w:asciiTheme="minorHAnsi" w:eastAsiaTheme="minorEastAsia" w:hAnsiTheme="minorHAnsi" w:cstheme="minorBidi"/>
          <w:noProof/>
          <w:kern w:val="0"/>
          <w:sz w:val="22"/>
          <w:szCs w:val="22"/>
        </w:rPr>
      </w:pPr>
      <w:r>
        <w:rPr>
          <w:noProof/>
        </w:rPr>
        <w:t>3.13  Performance characteristics of equipment</w:t>
      </w:r>
      <w:r>
        <w:rPr>
          <w:noProof/>
        </w:rPr>
        <w:tab/>
      </w:r>
      <w:r>
        <w:rPr>
          <w:noProof/>
        </w:rPr>
        <w:fldChar w:fldCharType="begin"/>
      </w:r>
      <w:r>
        <w:rPr>
          <w:noProof/>
        </w:rPr>
        <w:instrText xml:space="preserve"> PAGEREF _Toc13233666 \h </w:instrText>
      </w:r>
      <w:r>
        <w:rPr>
          <w:noProof/>
        </w:rPr>
      </w:r>
      <w:r>
        <w:rPr>
          <w:noProof/>
        </w:rPr>
        <w:fldChar w:fldCharType="separate"/>
      </w:r>
      <w:r w:rsidR="00497E3C">
        <w:rPr>
          <w:noProof/>
        </w:rPr>
        <w:t>105</w:t>
      </w:r>
      <w:r>
        <w:rPr>
          <w:noProof/>
        </w:rPr>
        <w:fldChar w:fldCharType="end"/>
      </w:r>
    </w:p>
    <w:p w14:paraId="493EF696"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3.2.2.3—Emissions released from coal mine waste gas flared</w:t>
      </w:r>
      <w:r>
        <w:rPr>
          <w:noProof/>
        </w:rPr>
        <w:tab/>
      </w:r>
      <w:r>
        <w:rPr>
          <w:noProof/>
        </w:rPr>
        <w:fldChar w:fldCharType="begin"/>
      </w:r>
      <w:r>
        <w:rPr>
          <w:noProof/>
        </w:rPr>
        <w:instrText xml:space="preserve"> PAGEREF _Toc13233667 \h </w:instrText>
      </w:r>
      <w:r>
        <w:rPr>
          <w:noProof/>
        </w:rPr>
      </w:r>
      <w:r>
        <w:rPr>
          <w:noProof/>
        </w:rPr>
        <w:fldChar w:fldCharType="separate"/>
      </w:r>
      <w:r w:rsidR="00497E3C">
        <w:rPr>
          <w:noProof/>
        </w:rPr>
        <w:t>105</w:t>
      </w:r>
      <w:r>
        <w:rPr>
          <w:noProof/>
        </w:rPr>
        <w:fldChar w:fldCharType="end"/>
      </w:r>
    </w:p>
    <w:p w14:paraId="0F86A96B" w14:textId="77777777" w:rsidR="005168F5" w:rsidRDefault="005168F5">
      <w:pPr>
        <w:pStyle w:val="TOC5"/>
        <w:rPr>
          <w:rFonts w:asciiTheme="minorHAnsi" w:eastAsiaTheme="minorEastAsia" w:hAnsiTheme="minorHAnsi" w:cstheme="minorBidi"/>
          <w:noProof/>
          <w:kern w:val="0"/>
          <w:sz w:val="22"/>
          <w:szCs w:val="22"/>
        </w:rPr>
      </w:pPr>
      <w:r>
        <w:rPr>
          <w:noProof/>
        </w:rPr>
        <w:t>3.14  Method 1—coal mine waste gas flared</w:t>
      </w:r>
      <w:r>
        <w:rPr>
          <w:noProof/>
        </w:rPr>
        <w:tab/>
      </w:r>
      <w:r>
        <w:rPr>
          <w:noProof/>
        </w:rPr>
        <w:fldChar w:fldCharType="begin"/>
      </w:r>
      <w:r>
        <w:rPr>
          <w:noProof/>
        </w:rPr>
        <w:instrText xml:space="preserve"> PAGEREF _Toc13233668 \h </w:instrText>
      </w:r>
      <w:r>
        <w:rPr>
          <w:noProof/>
        </w:rPr>
      </w:r>
      <w:r>
        <w:rPr>
          <w:noProof/>
        </w:rPr>
        <w:fldChar w:fldCharType="separate"/>
      </w:r>
      <w:r w:rsidR="00497E3C">
        <w:rPr>
          <w:noProof/>
        </w:rPr>
        <w:t>105</w:t>
      </w:r>
      <w:r>
        <w:rPr>
          <w:noProof/>
        </w:rPr>
        <w:fldChar w:fldCharType="end"/>
      </w:r>
    </w:p>
    <w:p w14:paraId="3C1E27F1" w14:textId="77777777" w:rsidR="005168F5" w:rsidRDefault="005168F5">
      <w:pPr>
        <w:pStyle w:val="TOC5"/>
        <w:rPr>
          <w:rFonts w:asciiTheme="minorHAnsi" w:eastAsiaTheme="minorEastAsia" w:hAnsiTheme="minorHAnsi" w:cstheme="minorBidi"/>
          <w:noProof/>
          <w:kern w:val="0"/>
          <w:sz w:val="22"/>
          <w:szCs w:val="22"/>
        </w:rPr>
      </w:pPr>
      <w:r>
        <w:rPr>
          <w:noProof/>
        </w:rPr>
        <w:t>3.15  Method 2—emissions of carbon dioxide from coal mine waste gas flared</w:t>
      </w:r>
      <w:r>
        <w:rPr>
          <w:noProof/>
        </w:rPr>
        <w:tab/>
      </w:r>
      <w:r>
        <w:rPr>
          <w:noProof/>
        </w:rPr>
        <w:fldChar w:fldCharType="begin"/>
      </w:r>
      <w:r>
        <w:rPr>
          <w:noProof/>
        </w:rPr>
        <w:instrText xml:space="preserve"> PAGEREF _Toc13233669 \h </w:instrText>
      </w:r>
      <w:r>
        <w:rPr>
          <w:noProof/>
        </w:rPr>
      </w:r>
      <w:r>
        <w:rPr>
          <w:noProof/>
        </w:rPr>
        <w:fldChar w:fldCharType="separate"/>
      </w:r>
      <w:r w:rsidR="00497E3C">
        <w:rPr>
          <w:noProof/>
        </w:rPr>
        <w:t>105</w:t>
      </w:r>
      <w:r>
        <w:rPr>
          <w:noProof/>
        </w:rPr>
        <w:fldChar w:fldCharType="end"/>
      </w:r>
    </w:p>
    <w:p w14:paraId="6BEF199F" w14:textId="77777777" w:rsidR="005168F5" w:rsidRDefault="005168F5">
      <w:pPr>
        <w:pStyle w:val="TOC5"/>
        <w:rPr>
          <w:rFonts w:asciiTheme="minorHAnsi" w:eastAsiaTheme="minorEastAsia" w:hAnsiTheme="minorHAnsi" w:cstheme="minorBidi"/>
          <w:noProof/>
          <w:kern w:val="0"/>
          <w:sz w:val="22"/>
          <w:szCs w:val="22"/>
        </w:rPr>
      </w:pPr>
      <w:r>
        <w:rPr>
          <w:noProof/>
        </w:rPr>
        <w:t>3.15A  Method 2—emissions of methane and nitrous oxide from coal mine waste gas flared</w:t>
      </w:r>
      <w:r>
        <w:rPr>
          <w:noProof/>
        </w:rPr>
        <w:tab/>
      </w:r>
      <w:r>
        <w:rPr>
          <w:noProof/>
        </w:rPr>
        <w:fldChar w:fldCharType="begin"/>
      </w:r>
      <w:r>
        <w:rPr>
          <w:noProof/>
        </w:rPr>
        <w:instrText xml:space="preserve"> PAGEREF _Toc13233670 \h </w:instrText>
      </w:r>
      <w:r>
        <w:rPr>
          <w:noProof/>
        </w:rPr>
      </w:r>
      <w:r>
        <w:rPr>
          <w:noProof/>
        </w:rPr>
        <w:fldChar w:fldCharType="separate"/>
      </w:r>
      <w:r w:rsidR="00497E3C">
        <w:rPr>
          <w:noProof/>
        </w:rPr>
        <w:t>106</w:t>
      </w:r>
      <w:r>
        <w:rPr>
          <w:noProof/>
        </w:rPr>
        <w:fldChar w:fldCharType="end"/>
      </w:r>
    </w:p>
    <w:p w14:paraId="4EB6D721" w14:textId="77777777" w:rsidR="005168F5" w:rsidRDefault="005168F5">
      <w:pPr>
        <w:pStyle w:val="TOC5"/>
        <w:rPr>
          <w:rFonts w:asciiTheme="minorHAnsi" w:eastAsiaTheme="minorEastAsia" w:hAnsiTheme="minorHAnsi" w:cstheme="minorBidi"/>
          <w:noProof/>
          <w:kern w:val="0"/>
          <w:sz w:val="22"/>
          <w:szCs w:val="22"/>
        </w:rPr>
      </w:pPr>
      <w:r>
        <w:rPr>
          <w:noProof/>
        </w:rPr>
        <w:t>3.16  Method 3—coal mine waste gas flared</w:t>
      </w:r>
      <w:r>
        <w:rPr>
          <w:noProof/>
        </w:rPr>
        <w:tab/>
      </w:r>
      <w:r>
        <w:rPr>
          <w:noProof/>
        </w:rPr>
        <w:fldChar w:fldCharType="begin"/>
      </w:r>
      <w:r>
        <w:rPr>
          <w:noProof/>
        </w:rPr>
        <w:instrText xml:space="preserve"> PAGEREF _Toc13233671 \h </w:instrText>
      </w:r>
      <w:r>
        <w:rPr>
          <w:noProof/>
        </w:rPr>
      </w:r>
      <w:r>
        <w:rPr>
          <w:noProof/>
        </w:rPr>
        <w:fldChar w:fldCharType="separate"/>
      </w:r>
      <w:r w:rsidR="00497E3C">
        <w:rPr>
          <w:noProof/>
        </w:rPr>
        <w:t>107</w:t>
      </w:r>
      <w:r>
        <w:rPr>
          <w:noProof/>
        </w:rPr>
        <w:fldChar w:fldCharType="end"/>
      </w:r>
    </w:p>
    <w:p w14:paraId="5767FC41"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3.2.2.4—Fugitive emissions from post</w:t>
      </w:r>
      <w:r>
        <w:rPr>
          <w:noProof/>
        </w:rPr>
        <w:noBreakHyphen/>
        <w:t>mining activities</w:t>
      </w:r>
      <w:r>
        <w:rPr>
          <w:noProof/>
        </w:rPr>
        <w:tab/>
      </w:r>
      <w:r>
        <w:rPr>
          <w:noProof/>
        </w:rPr>
        <w:fldChar w:fldCharType="begin"/>
      </w:r>
      <w:r>
        <w:rPr>
          <w:noProof/>
        </w:rPr>
        <w:instrText xml:space="preserve"> PAGEREF _Toc13233672 \h </w:instrText>
      </w:r>
      <w:r>
        <w:rPr>
          <w:noProof/>
        </w:rPr>
      </w:r>
      <w:r>
        <w:rPr>
          <w:noProof/>
        </w:rPr>
        <w:fldChar w:fldCharType="separate"/>
      </w:r>
      <w:r w:rsidR="00497E3C">
        <w:rPr>
          <w:noProof/>
        </w:rPr>
        <w:t>107</w:t>
      </w:r>
      <w:r>
        <w:rPr>
          <w:noProof/>
        </w:rPr>
        <w:fldChar w:fldCharType="end"/>
      </w:r>
    </w:p>
    <w:p w14:paraId="4B453FB3" w14:textId="77777777" w:rsidR="005168F5" w:rsidRDefault="005168F5">
      <w:pPr>
        <w:pStyle w:val="TOC5"/>
        <w:rPr>
          <w:rFonts w:asciiTheme="minorHAnsi" w:eastAsiaTheme="minorEastAsia" w:hAnsiTheme="minorHAnsi" w:cstheme="minorBidi"/>
          <w:noProof/>
          <w:kern w:val="0"/>
          <w:sz w:val="22"/>
          <w:szCs w:val="22"/>
        </w:rPr>
      </w:pPr>
      <w:r>
        <w:rPr>
          <w:noProof/>
        </w:rPr>
        <w:t>3.17  Method 1—post</w:t>
      </w:r>
      <w:r>
        <w:rPr>
          <w:noProof/>
        </w:rPr>
        <w:noBreakHyphen/>
        <w:t>mining activities related to gassy mines</w:t>
      </w:r>
      <w:r>
        <w:rPr>
          <w:noProof/>
        </w:rPr>
        <w:tab/>
      </w:r>
      <w:r>
        <w:rPr>
          <w:noProof/>
        </w:rPr>
        <w:fldChar w:fldCharType="begin"/>
      </w:r>
      <w:r>
        <w:rPr>
          <w:noProof/>
        </w:rPr>
        <w:instrText xml:space="preserve"> PAGEREF _Toc13233673 \h </w:instrText>
      </w:r>
      <w:r>
        <w:rPr>
          <w:noProof/>
        </w:rPr>
      </w:r>
      <w:r>
        <w:rPr>
          <w:noProof/>
        </w:rPr>
        <w:fldChar w:fldCharType="separate"/>
      </w:r>
      <w:r w:rsidR="00497E3C">
        <w:rPr>
          <w:noProof/>
        </w:rPr>
        <w:t>107</w:t>
      </w:r>
      <w:r>
        <w:rPr>
          <w:noProof/>
        </w:rPr>
        <w:fldChar w:fldCharType="end"/>
      </w:r>
    </w:p>
    <w:p w14:paraId="3AA99A0F" w14:textId="77777777" w:rsidR="005168F5" w:rsidRDefault="005168F5">
      <w:pPr>
        <w:pStyle w:val="TOC3"/>
        <w:rPr>
          <w:rFonts w:asciiTheme="minorHAnsi" w:eastAsiaTheme="minorEastAsia" w:hAnsiTheme="minorHAnsi" w:cstheme="minorBidi"/>
          <w:b w:val="0"/>
          <w:noProof/>
          <w:kern w:val="0"/>
          <w:szCs w:val="22"/>
        </w:rPr>
      </w:pPr>
      <w:r>
        <w:rPr>
          <w:noProof/>
        </w:rPr>
        <w:t>Division 3.2.3—Open cut mines</w:t>
      </w:r>
      <w:r>
        <w:rPr>
          <w:noProof/>
        </w:rPr>
        <w:tab/>
      </w:r>
      <w:r>
        <w:rPr>
          <w:noProof/>
        </w:rPr>
        <w:fldChar w:fldCharType="begin"/>
      </w:r>
      <w:r>
        <w:rPr>
          <w:noProof/>
        </w:rPr>
        <w:instrText xml:space="preserve"> PAGEREF _Toc13233674 \h </w:instrText>
      </w:r>
      <w:r>
        <w:rPr>
          <w:noProof/>
        </w:rPr>
      </w:r>
      <w:r>
        <w:rPr>
          <w:noProof/>
        </w:rPr>
        <w:fldChar w:fldCharType="separate"/>
      </w:r>
      <w:r w:rsidR="00497E3C">
        <w:rPr>
          <w:noProof/>
        </w:rPr>
        <w:t>108</w:t>
      </w:r>
      <w:r>
        <w:rPr>
          <w:noProof/>
        </w:rPr>
        <w:fldChar w:fldCharType="end"/>
      </w:r>
    </w:p>
    <w:p w14:paraId="1787F7BC"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3.2.3.1—Preliminary</w:t>
      </w:r>
      <w:r>
        <w:rPr>
          <w:noProof/>
        </w:rPr>
        <w:tab/>
      </w:r>
      <w:r>
        <w:rPr>
          <w:noProof/>
        </w:rPr>
        <w:fldChar w:fldCharType="begin"/>
      </w:r>
      <w:r>
        <w:rPr>
          <w:noProof/>
        </w:rPr>
        <w:instrText xml:space="preserve"> PAGEREF _Toc13233675 \h </w:instrText>
      </w:r>
      <w:r>
        <w:rPr>
          <w:noProof/>
        </w:rPr>
      </w:r>
      <w:r>
        <w:rPr>
          <w:noProof/>
        </w:rPr>
        <w:fldChar w:fldCharType="separate"/>
      </w:r>
      <w:r w:rsidR="00497E3C">
        <w:rPr>
          <w:noProof/>
        </w:rPr>
        <w:t>108</w:t>
      </w:r>
      <w:r>
        <w:rPr>
          <w:noProof/>
        </w:rPr>
        <w:fldChar w:fldCharType="end"/>
      </w:r>
    </w:p>
    <w:p w14:paraId="5637A94F" w14:textId="77777777" w:rsidR="005168F5" w:rsidRDefault="005168F5">
      <w:pPr>
        <w:pStyle w:val="TOC5"/>
        <w:rPr>
          <w:rFonts w:asciiTheme="minorHAnsi" w:eastAsiaTheme="minorEastAsia" w:hAnsiTheme="minorHAnsi" w:cstheme="minorBidi"/>
          <w:noProof/>
          <w:kern w:val="0"/>
          <w:sz w:val="22"/>
          <w:szCs w:val="22"/>
        </w:rPr>
      </w:pPr>
      <w:r>
        <w:rPr>
          <w:noProof/>
        </w:rPr>
        <w:t>3.18  Application</w:t>
      </w:r>
      <w:r>
        <w:rPr>
          <w:noProof/>
        </w:rPr>
        <w:tab/>
      </w:r>
      <w:r>
        <w:rPr>
          <w:noProof/>
        </w:rPr>
        <w:fldChar w:fldCharType="begin"/>
      </w:r>
      <w:r>
        <w:rPr>
          <w:noProof/>
        </w:rPr>
        <w:instrText xml:space="preserve"> PAGEREF _Toc13233676 \h </w:instrText>
      </w:r>
      <w:r>
        <w:rPr>
          <w:noProof/>
        </w:rPr>
      </w:r>
      <w:r>
        <w:rPr>
          <w:noProof/>
        </w:rPr>
        <w:fldChar w:fldCharType="separate"/>
      </w:r>
      <w:r w:rsidR="00497E3C">
        <w:rPr>
          <w:noProof/>
        </w:rPr>
        <w:t>108</w:t>
      </w:r>
      <w:r>
        <w:rPr>
          <w:noProof/>
        </w:rPr>
        <w:fldChar w:fldCharType="end"/>
      </w:r>
    </w:p>
    <w:p w14:paraId="30671683" w14:textId="77777777" w:rsidR="005168F5" w:rsidRDefault="005168F5">
      <w:pPr>
        <w:pStyle w:val="TOC5"/>
        <w:rPr>
          <w:rFonts w:asciiTheme="minorHAnsi" w:eastAsiaTheme="minorEastAsia" w:hAnsiTheme="minorHAnsi" w:cstheme="minorBidi"/>
          <w:noProof/>
          <w:kern w:val="0"/>
          <w:sz w:val="22"/>
          <w:szCs w:val="22"/>
        </w:rPr>
      </w:pPr>
      <w:r>
        <w:rPr>
          <w:noProof/>
        </w:rPr>
        <w:t>3.19  Available methods</w:t>
      </w:r>
      <w:r>
        <w:rPr>
          <w:noProof/>
        </w:rPr>
        <w:tab/>
      </w:r>
      <w:r>
        <w:rPr>
          <w:noProof/>
        </w:rPr>
        <w:fldChar w:fldCharType="begin"/>
      </w:r>
      <w:r>
        <w:rPr>
          <w:noProof/>
        </w:rPr>
        <w:instrText xml:space="preserve"> PAGEREF _Toc13233677 \h </w:instrText>
      </w:r>
      <w:r>
        <w:rPr>
          <w:noProof/>
        </w:rPr>
      </w:r>
      <w:r>
        <w:rPr>
          <w:noProof/>
        </w:rPr>
        <w:fldChar w:fldCharType="separate"/>
      </w:r>
      <w:r w:rsidR="00497E3C">
        <w:rPr>
          <w:noProof/>
        </w:rPr>
        <w:t>108</w:t>
      </w:r>
      <w:r>
        <w:rPr>
          <w:noProof/>
        </w:rPr>
        <w:fldChar w:fldCharType="end"/>
      </w:r>
    </w:p>
    <w:p w14:paraId="7DD77F1F"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3.2.3.2—Fugitive emissions from extraction of coal</w:t>
      </w:r>
      <w:r>
        <w:rPr>
          <w:noProof/>
        </w:rPr>
        <w:tab/>
      </w:r>
      <w:r>
        <w:rPr>
          <w:noProof/>
        </w:rPr>
        <w:fldChar w:fldCharType="begin"/>
      </w:r>
      <w:r>
        <w:rPr>
          <w:noProof/>
        </w:rPr>
        <w:instrText xml:space="preserve"> PAGEREF _Toc13233678 \h </w:instrText>
      </w:r>
      <w:r>
        <w:rPr>
          <w:noProof/>
        </w:rPr>
      </w:r>
      <w:r>
        <w:rPr>
          <w:noProof/>
        </w:rPr>
        <w:fldChar w:fldCharType="separate"/>
      </w:r>
      <w:r w:rsidR="00497E3C">
        <w:rPr>
          <w:noProof/>
        </w:rPr>
        <w:t>109</w:t>
      </w:r>
      <w:r>
        <w:rPr>
          <w:noProof/>
        </w:rPr>
        <w:fldChar w:fldCharType="end"/>
      </w:r>
    </w:p>
    <w:p w14:paraId="4F34B8CE" w14:textId="77777777" w:rsidR="005168F5" w:rsidRDefault="005168F5">
      <w:pPr>
        <w:pStyle w:val="TOC5"/>
        <w:rPr>
          <w:rFonts w:asciiTheme="minorHAnsi" w:eastAsiaTheme="minorEastAsia" w:hAnsiTheme="minorHAnsi" w:cstheme="minorBidi"/>
          <w:noProof/>
          <w:kern w:val="0"/>
          <w:sz w:val="22"/>
          <w:szCs w:val="22"/>
        </w:rPr>
      </w:pPr>
      <w:r>
        <w:rPr>
          <w:noProof/>
        </w:rPr>
        <w:t>3.20  Method 1—extraction of coal</w:t>
      </w:r>
      <w:r>
        <w:rPr>
          <w:noProof/>
        </w:rPr>
        <w:tab/>
      </w:r>
      <w:r>
        <w:rPr>
          <w:noProof/>
        </w:rPr>
        <w:fldChar w:fldCharType="begin"/>
      </w:r>
      <w:r>
        <w:rPr>
          <w:noProof/>
        </w:rPr>
        <w:instrText xml:space="preserve"> PAGEREF _Toc13233679 \h </w:instrText>
      </w:r>
      <w:r>
        <w:rPr>
          <w:noProof/>
        </w:rPr>
      </w:r>
      <w:r>
        <w:rPr>
          <w:noProof/>
        </w:rPr>
        <w:fldChar w:fldCharType="separate"/>
      </w:r>
      <w:r w:rsidR="00497E3C">
        <w:rPr>
          <w:noProof/>
        </w:rPr>
        <w:t>109</w:t>
      </w:r>
      <w:r>
        <w:rPr>
          <w:noProof/>
        </w:rPr>
        <w:fldChar w:fldCharType="end"/>
      </w:r>
    </w:p>
    <w:p w14:paraId="34A28A15" w14:textId="77777777" w:rsidR="005168F5" w:rsidRDefault="005168F5">
      <w:pPr>
        <w:pStyle w:val="TOC5"/>
        <w:rPr>
          <w:rFonts w:asciiTheme="minorHAnsi" w:eastAsiaTheme="minorEastAsia" w:hAnsiTheme="minorHAnsi" w:cstheme="minorBidi"/>
          <w:noProof/>
          <w:kern w:val="0"/>
          <w:sz w:val="22"/>
          <w:szCs w:val="22"/>
        </w:rPr>
      </w:pPr>
      <w:r>
        <w:rPr>
          <w:noProof/>
        </w:rPr>
        <w:t>3.21  Method 2—extraction of coal</w:t>
      </w:r>
      <w:r>
        <w:rPr>
          <w:noProof/>
        </w:rPr>
        <w:tab/>
      </w:r>
      <w:r>
        <w:rPr>
          <w:noProof/>
        </w:rPr>
        <w:fldChar w:fldCharType="begin"/>
      </w:r>
      <w:r>
        <w:rPr>
          <w:noProof/>
        </w:rPr>
        <w:instrText xml:space="preserve"> PAGEREF _Toc13233680 \h </w:instrText>
      </w:r>
      <w:r>
        <w:rPr>
          <w:noProof/>
        </w:rPr>
      </w:r>
      <w:r>
        <w:rPr>
          <w:noProof/>
        </w:rPr>
        <w:fldChar w:fldCharType="separate"/>
      </w:r>
      <w:r w:rsidR="00497E3C">
        <w:rPr>
          <w:noProof/>
        </w:rPr>
        <w:t>109</w:t>
      </w:r>
      <w:r>
        <w:rPr>
          <w:noProof/>
        </w:rPr>
        <w:fldChar w:fldCharType="end"/>
      </w:r>
    </w:p>
    <w:p w14:paraId="5A9819E6" w14:textId="77777777" w:rsidR="005168F5" w:rsidRDefault="005168F5">
      <w:pPr>
        <w:pStyle w:val="TOC5"/>
        <w:rPr>
          <w:rFonts w:asciiTheme="minorHAnsi" w:eastAsiaTheme="minorEastAsia" w:hAnsiTheme="minorHAnsi" w:cstheme="minorBidi"/>
          <w:noProof/>
          <w:kern w:val="0"/>
          <w:sz w:val="22"/>
          <w:szCs w:val="22"/>
        </w:rPr>
      </w:pPr>
      <w:r>
        <w:rPr>
          <w:noProof/>
        </w:rPr>
        <w:t>3.22  Total gas contained by gas bearing strata</w:t>
      </w:r>
      <w:r>
        <w:rPr>
          <w:noProof/>
        </w:rPr>
        <w:tab/>
      </w:r>
      <w:r>
        <w:rPr>
          <w:noProof/>
        </w:rPr>
        <w:fldChar w:fldCharType="begin"/>
      </w:r>
      <w:r>
        <w:rPr>
          <w:noProof/>
        </w:rPr>
        <w:instrText xml:space="preserve"> PAGEREF _Toc13233681 \h </w:instrText>
      </w:r>
      <w:r>
        <w:rPr>
          <w:noProof/>
        </w:rPr>
      </w:r>
      <w:r>
        <w:rPr>
          <w:noProof/>
        </w:rPr>
        <w:fldChar w:fldCharType="separate"/>
      </w:r>
      <w:r w:rsidR="00497E3C">
        <w:rPr>
          <w:noProof/>
        </w:rPr>
        <w:t>110</w:t>
      </w:r>
      <w:r>
        <w:rPr>
          <w:noProof/>
        </w:rPr>
        <w:fldChar w:fldCharType="end"/>
      </w:r>
    </w:p>
    <w:p w14:paraId="18267755" w14:textId="77777777" w:rsidR="005168F5" w:rsidRDefault="005168F5">
      <w:pPr>
        <w:pStyle w:val="TOC5"/>
        <w:rPr>
          <w:rFonts w:asciiTheme="minorHAnsi" w:eastAsiaTheme="minorEastAsia" w:hAnsiTheme="minorHAnsi" w:cstheme="minorBidi"/>
          <w:noProof/>
          <w:kern w:val="0"/>
          <w:sz w:val="22"/>
          <w:szCs w:val="22"/>
        </w:rPr>
      </w:pPr>
      <w:r>
        <w:rPr>
          <w:noProof/>
        </w:rPr>
        <w:t>3.23  Estimate of proportion of gas content released below pit floor</w:t>
      </w:r>
      <w:r>
        <w:rPr>
          <w:noProof/>
        </w:rPr>
        <w:tab/>
      </w:r>
      <w:r>
        <w:rPr>
          <w:noProof/>
        </w:rPr>
        <w:fldChar w:fldCharType="begin"/>
      </w:r>
      <w:r>
        <w:rPr>
          <w:noProof/>
        </w:rPr>
        <w:instrText xml:space="preserve"> PAGEREF _Toc13233682 \h </w:instrText>
      </w:r>
      <w:r>
        <w:rPr>
          <w:noProof/>
        </w:rPr>
      </w:r>
      <w:r>
        <w:rPr>
          <w:noProof/>
        </w:rPr>
        <w:fldChar w:fldCharType="separate"/>
      </w:r>
      <w:r w:rsidR="00497E3C">
        <w:rPr>
          <w:noProof/>
        </w:rPr>
        <w:t>111</w:t>
      </w:r>
      <w:r>
        <w:rPr>
          <w:noProof/>
        </w:rPr>
        <w:fldChar w:fldCharType="end"/>
      </w:r>
    </w:p>
    <w:p w14:paraId="16BCA523" w14:textId="77777777" w:rsidR="005168F5" w:rsidRDefault="005168F5">
      <w:pPr>
        <w:pStyle w:val="TOC5"/>
        <w:rPr>
          <w:rFonts w:asciiTheme="minorHAnsi" w:eastAsiaTheme="minorEastAsia" w:hAnsiTheme="minorHAnsi" w:cstheme="minorBidi"/>
          <w:noProof/>
          <w:kern w:val="0"/>
          <w:sz w:val="22"/>
          <w:szCs w:val="22"/>
        </w:rPr>
      </w:pPr>
      <w:r>
        <w:rPr>
          <w:noProof/>
        </w:rPr>
        <w:t>3.24  General requirements for sampling</w:t>
      </w:r>
      <w:r>
        <w:rPr>
          <w:noProof/>
        </w:rPr>
        <w:tab/>
      </w:r>
      <w:r>
        <w:rPr>
          <w:noProof/>
        </w:rPr>
        <w:fldChar w:fldCharType="begin"/>
      </w:r>
      <w:r>
        <w:rPr>
          <w:noProof/>
        </w:rPr>
        <w:instrText xml:space="preserve"> PAGEREF _Toc13233683 \h </w:instrText>
      </w:r>
      <w:r>
        <w:rPr>
          <w:noProof/>
        </w:rPr>
      </w:r>
      <w:r>
        <w:rPr>
          <w:noProof/>
        </w:rPr>
        <w:fldChar w:fldCharType="separate"/>
      </w:r>
      <w:r w:rsidR="00497E3C">
        <w:rPr>
          <w:noProof/>
        </w:rPr>
        <w:t>112</w:t>
      </w:r>
      <w:r>
        <w:rPr>
          <w:noProof/>
        </w:rPr>
        <w:fldChar w:fldCharType="end"/>
      </w:r>
    </w:p>
    <w:p w14:paraId="5E17FE77" w14:textId="77777777" w:rsidR="005168F5" w:rsidRDefault="005168F5">
      <w:pPr>
        <w:pStyle w:val="TOC5"/>
        <w:rPr>
          <w:rFonts w:asciiTheme="minorHAnsi" w:eastAsiaTheme="minorEastAsia" w:hAnsiTheme="minorHAnsi" w:cstheme="minorBidi"/>
          <w:noProof/>
          <w:kern w:val="0"/>
          <w:sz w:val="22"/>
          <w:szCs w:val="22"/>
        </w:rPr>
      </w:pPr>
      <w:r>
        <w:rPr>
          <w:noProof/>
        </w:rPr>
        <w:t>3.25  General requirements for analysis of gas and gas bearing strata</w:t>
      </w:r>
      <w:r>
        <w:rPr>
          <w:noProof/>
        </w:rPr>
        <w:tab/>
      </w:r>
      <w:r>
        <w:rPr>
          <w:noProof/>
        </w:rPr>
        <w:fldChar w:fldCharType="begin"/>
      </w:r>
      <w:r>
        <w:rPr>
          <w:noProof/>
        </w:rPr>
        <w:instrText xml:space="preserve"> PAGEREF _Toc13233684 \h </w:instrText>
      </w:r>
      <w:r>
        <w:rPr>
          <w:noProof/>
        </w:rPr>
      </w:r>
      <w:r>
        <w:rPr>
          <w:noProof/>
        </w:rPr>
        <w:fldChar w:fldCharType="separate"/>
      </w:r>
      <w:r w:rsidR="00497E3C">
        <w:rPr>
          <w:noProof/>
        </w:rPr>
        <w:t>112</w:t>
      </w:r>
      <w:r>
        <w:rPr>
          <w:noProof/>
        </w:rPr>
        <w:fldChar w:fldCharType="end"/>
      </w:r>
    </w:p>
    <w:p w14:paraId="5989F166" w14:textId="77777777" w:rsidR="005168F5" w:rsidRDefault="005168F5">
      <w:pPr>
        <w:pStyle w:val="TOC5"/>
        <w:rPr>
          <w:rFonts w:asciiTheme="minorHAnsi" w:eastAsiaTheme="minorEastAsia" w:hAnsiTheme="minorHAnsi" w:cstheme="minorBidi"/>
          <w:noProof/>
          <w:kern w:val="0"/>
          <w:sz w:val="22"/>
          <w:szCs w:val="22"/>
        </w:rPr>
      </w:pPr>
      <w:r>
        <w:rPr>
          <w:noProof/>
        </w:rPr>
        <w:t>3.25A  Method of working out base of the low gas zone</w:t>
      </w:r>
      <w:r>
        <w:rPr>
          <w:noProof/>
        </w:rPr>
        <w:tab/>
      </w:r>
      <w:r>
        <w:rPr>
          <w:noProof/>
        </w:rPr>
        <w:fldChar w:fldCharType="begin"/>
      </w:r>
      <w:r>
        <w:rPr>
          <w:noProof/>
        </w:rPr>
        <w:instrText xml:space="preserve"> PAGEREF _Toc13233685 \h </w:instrText>
      </w:r>
      <w:r>
        <w:rPr>
          <w:noProof/>
        </w:rPr>
      </w:r>
      <w:r>
        <w:rPr>
          <w:noProof/>
        </w:rPr>
        <w:fldChar w:fldCharType="separate"/>
      </w:r>
      <w:r w:rsidR="00497E3C">
        <w:rPr>
          <w:noProof/>
        </w:rPr>
        <w:t>112</w:t>
      </w:r>
      <w:r>
        <w:rPr>
          <w:noProof/>
        </w:rPr>
        <w:fldChar w:fldCharType="end"/>
      </w:r>
    </w:p>
    <w:p w14:paraId="1BFEAB8D" w14:textId="77777777" w:rsidR="005168F5" w:rsidRDefault="005168F5">
      <w:pPr>
        <w:pStyle w:val="TOC5"/>
        <w:rPr>
          <w:rFonts w:asciiTheme="minorHAnsi" w:eastAsiaTheme="minorEastAsia" w:hAnsiTheme="minorHAnsi" w:cstheme="minorBidi"/>
          <w:noProof/>
          <w:kern w:val="0"/>
          <w:sz w:val="22"/>
          <w:szCs w:val="22"/>
        </w:rPr>
      </w:pPr>
      <w:r>
        <w:rPr>
          <w:noProof/>
        </w:rPr>
        <w:t>3.25B  Further requirements for estimator</w:t>
      </w:r>
      <w:r>
        <w:rPr>
          <w:noProof/>
        </w:rPr>
        <w:tab/>
      </w:r>
      <w:r>
        <w:rPr>
          <w:noProof/>
        </w:rPr>
        <w:fldChar w:fldCharType="begin"/>
      </w:r>
      <w:r>
        <w:rPr>
          <w:noProof/>
        </w:rPr>
        <w:instrText xml:space="preserve"> PAGEREF _Toc13233686 \h </w:instrText>
      </w:r>
      <w:r>
        <w:rPr>
          <w:noProof/>
        </w:rPr>
      </w:r>
      <w:r>
        <w:rPr>
          <w:noProof/>
        </w:rPr>
        <w:fldChar w:fldCharType="separate"/>
      </w:r>
      <w:r w:rsidR="00497E3C">
        <w:rPr>
          <w:noProof/>
        </w:rPr>
        <w:t>113</w:t>
      </w:r>
      <w:r>
        <w:rPr>
          <w:noProof/>
        </w:rPr>
        <w:fldChar w:fldCharType="end"/>
      </w:r>
    </w:p>
    <w:p w14:paraId="1407FD5E" w14:textId="77777777" w:rsidR="005168F5" w:rsidRDefault="005168F5">
      <w:pPr>
        <w:pStyle w:val="TOC5"/>
        <w:rPr>
          <w:rFonts w:asciiTheme="minorHAnsi" w:eastAsiaTheme="minorEastAsia" w:hAnsiTheme="minorHAnsi" w:cstheme="minorBidi"/>
          <w:noProof/>
          <w:kern w:val="0"/>
          <w:sz w:val="22"/>
          <w:szCs w:val="22"/>
        </w:rPr>
      </w:pPr>
      <w:r>
        <w:rPr>
          <w:noProof/>
        </w:rPr>
        <w:t>3.25C  Default gas content for gas bearing strata in low gas zone</w:t>
      </w:r>
      <w:r>
        <w:rPr>
          <w:noProof/>
        </w:rPr>
        <w:tab/>
      </w:r>
      <w:r>
        <w:rPr>
          <w:noProof/>
        </w:rPr>
        <w:fldChar w:fldCharType="begin"/>
      </w:r>
      <w:r>
        <w:rPr>
          <w:noProof/>
        </w:rPr>
        <w:instrText xml:space="preserve"> PAGEREF _Toc13233687 \h </w:instrText>
      </w:r>
      <w:r>
        <w:rPr>
          <w:noProof/>
        </w:rPr>
      </w:r>
      <w:r>
        <w:rPr>
          <w:noProof/>
        </w:rPr>
        <w:fldChar w:fldCharType="separate"/>
      </w:r>
      <w:r w:rsidR="00497E3C">
        <w:rPr>
          <w:noProof/>
        </w:rPr>
        <w:t>114</w:t>
      </w:r>
      <w:r>
        <w:rPr>
          <w:noProof/>
        </w:rPr>
        <w:fldChar w:fldCharType="end"/>
      </w:r>
    </w:p>
    <w:p w14:paraId="118FBB05" w14:textId="77777777" w:rsidR="005168F5" w:rsidRDefault="005168F5">
      <w:pPr>
        <w:pStyle w:val="TOC5"/>
        <w:rPr>
          <w:rFonts w:asciiTheme="minorHAnsi" w:eastAsiaTheme="minorEastAsia" w:hAnsiTheme="minorHAnsi" w:cstheme="minorBidi"/>
          <w:noProof/>
          <w:kern w:val="0"/>
          <w:sz w:val="22"/>
          <w:szCs w:val="22"/>
        </w:rPr>
      </w:pPr>
      <w:r>
        <w:rPr>
          <w:noProof/>
        </w:rPr>
        <w:t>3.25D  Requirements for estimating total gas contained in gas bearing strata</w:t>
      </w:r>
      <w:r>
        <w:rPr>
          <w:noProof/>
        </w:rPr>
        <w:tab/>
      </w:r>
      <w:r>
        <w:rPr>
          <w:noProof/>
        </w:rPr>
        <w:fldChar w:fldCharType="begin"/>
      </w:r>
      <w:r>
        <w:rPr>
          <w:noProof/>
        </w:rPr>
        <w:instrText xml:space="preserve"> PAGEREF _Toc13233688 \h </w:instrText>
      </w:r>
      <w:r>
        <w:rPr>
          <w:noProof/>
        </w:rPr>
      </w:r>
      <w:r>
        <w:rPr>
          <w:noProof/>
        </w:rPr>
        <w:fldChar w:fldCharType="separate"/>
      </w:r>
      <w:r w:rsidR="00497E3C">
        <w:rPr>
          <w:noProof/>
        </w:rPr>
        <w:t>114</w:t>
      </w:r>
      <w:r>
        <w:rPr>
          <w:noProof/>
        </w:rPr>
        <w:fldChar w:fldCharType="end"/>
      </w:r>
    </w:p>
    <w:p w14:paraId="52066750" w14:textId="77777777" w:rsidR="005168F5" w:rsidRDefault="005168F5">
      <w:pPr>
        <w:pStyle w:val="TOC5"/>
        <w:rPr>
          <w:rFonts w:asciiTheme="minorHAnsi" w:eastAsiaTheme="minorEastAsia" w:hAnsiTheme="minorHAnsi" w:cstheme="minorBidi"/>
          <w:noProof/>
          <w:kern w:val="0"/>
          <w:sz w:val="22"/>
          <w:szCs w:val="22"/>
        </w:rPr>
      </w:pPr>
      <w:r>
        <w:rPr>
          <w:noProof/>
        </w:rPr>
        <w:t>3.26  Method 3—extraction of coal</w:t>
      </w:r>
      <w:r>
        <w:rPr>
          <w:noProof/>
        </w:rPr>
        <w:tab/>
      </w:r>
      <w:r>
        <w:rPr>
          <w:noProof/>
        </w:rPr>
        <w:fldChar w:fldCharType="begin"/>
      </w:r>
      <w:r>
        <w:rPr>
          <w:noProof/>
        </w:rPr>
        <w:instrText xml:space="preserve"> PAGEREF _Toc13233689 \h </w:instrText>
      </w:r>
      <w:r>
        <w:rPr>
          <w:noProof/>
        </w:rPr>
      </w:r>
      <w:r>
        <w:rPr>
          <w:noProof/>
        </w:rPr>
        <w:fldChar w:fldCharType="separate"/>
      </w:r>
      <w:r w:rsidR="00497E3C">
        <w:rPr>
          <w:noProof/>
        </w:rPr>
        <w:t>114</w:t>
      </w:r>
      <w:r>
        <w:rPr>
          <w:noProof/>
        </w:rPr>
        <w:fldChar w:fldCharType="end"/>
      </w:r>
    </w:p>
    <w:p w14:paraId="5AB64040"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3.2.3.3—Emissions released from coal mine waste gas flared</w:t>
      </w:r>
      <w:r>
        <w:rPr>
          <w:noProof/>
        </w:rPr>
        <w:tab/>
      </w:r>
      <w:r>
        <w:rPr>
          <w:noProof/>
        </w:rPr>
        <w:fldChar w:fldCharType="begin"/>
      </w:r>
      <w:r>
        <w:rPr>
          <w:noProof/>
        </w:rPr>
        <w:instrText xml:space="preserve"> PAGEREF _Toc13233690 \h </w:instrText>
      </w:r>
      <w:r>
        <w:rPr>
          <w:noProof/>
        </w:rPr>
      </w:r>
      <w:r>
        <w:rPr>
          <w:noProof/>
        </w:rPr>
        <w:fldChar w:fldCharType="separate"/>
      </w:r>
      <w:r w:rsidR="00497E3C">
        <w:rPr>
          <w:noProof/>
        </w:rPr>
        <w:t>115</w:t>
      </w:r>
      <w:r>
        <w:rPr>
          <w:noProof/>
        </w:rPr>
        <w:fldChar w:fldCharType="end"/>
      </w:r>
    </w:p>
    <w:p w14:paraId="1CCBCF70" w14:textId="77777777" w:rsidR="005168F5" w:rsidRDefault="005168F5">
      <w:pPr>
        <w:pStyle w:val="TOC5"/>
        <w:rPr>
          <w:rFonts w:asciiTheme="minorHAnsi" w:eastAsiaTheme="minorEastAsia" w:hAnsiTheme="minorHAnsi" w:cstheme="minorBidi"/>
          <w:noProof/>
          <w:kern w:val="0"/>
          <w:sz w:val="22"/>
          <w:szCs w:val="22"/>
        </w:rPr>
      </w:pPr>
      <w:r>
        <w:rPr>
          <w:noProof/>
        </w:rPr>
        <w:t>3.27  Method 1—coal mine waste gas flared</w:t>
      </w:r>
      <w:r>
        <w:rPr>
          <w:noProof/>
        </w:rPr>
        <w:tab/>
      </w:r>
      <w:r>
        <w:rPr>
          <w:noProof/>
        </w:rPr>
        <w:fldChar w:fldCharType="begin"/>
      </w:r>
      <w:r>
        <w:rPr>
          <w:noProof/>
        </w:rPr>
        <w:instrText xml:space="preserve"> PAGEREF _Toc13233691 \h </w:instrText>
      </w:r>
      <w:r>
        <w:rPr>
          <w:noProof/>
        </w:rPr>
      </w:r>
      <w:r>
        <w:rPr>
          <w:noProof/>
        </w:rPr>
        <w:fldChar w:fldCharType="separate"/>
      </w:r>
      <w:r w:rsidR="00497E3C">
        <w:rPr>
          <w:noProof/>
        </w:rPr>
        <w:t>115</w:t>
      </w:r>
      <w:r>
        <w:rPr>
          <w:noProof/>
        </w:rPr>
        <w:fldChar w:fldCharType="end"/>
      </w:r>
    </w:p>
    <w:p w14:paraId="51E1BCA6" w14:textId="77777777" w:rsidR="005168F5" w:rsidRDefault="005168F5">
      <w:pPr>
        <w:pStyle w:val="TOC5"/>
        <w:rPr>
          <w:rFonts w:asciiTheme="minorHAnsi" w:eastAsiaTheme="minorEastAsia" w:hAnsiTheme="minorHAnsi" w:cstheme="minorBidi"/>
          <w:noProof/>
          <w:kern w:val="0"/>
          <w:sz w:val="22"/>
          <w:szCs w:val="22"/>
        </w:rPr>
      </w:pPr>
      <w:r>
        <w:rPr>
          <w:noProof/>
        </w:rPr>
        <w:t>3.28  Method 2—coal mine waste gas flared</w:t>
      </w:r>
      <w:r>
        <w:rPr>
          <w:noProof/>
        </w:rPr>
        <w:tab/>
      </w:r>
      <w:r>
        <w:rPr>
          <w:noProof/>
        </w:rPr>
        <w:fldChar w:fldCharType="begin"/>
      </w:r>
      <w:r>
        <w:rPr>
          <w:noProof/>
        </w:rPr>
        <w:instrText xml:space="preserve"> PAGEREF _Toc13233692 \h </w:instrText>
      </w:r>
      <w:r>
        <w:rPr>
          <w:noProof/>
        </w:rPr>
      </w:r>
      <w:r>
        <w:rPr>
          <w:noProof/>
        </w:rPr>
        <w:fldChar w:fldCharType="separate"/>
      </w:r>
      <w:r w:rsidR="00497E3C">
        <w:rPr>
          <w:noProof/>
        </w:rPr>
        <w:t>115</w:t>
      </w:r>
      <w:r>
        <w:rPr>
          <w:noProof/>
        </w:rPr>
        <w:fldChar w:fldCharType="end"/>
      </w:r>
    </w:p>
    <w:p w14:paraId="5C0F18A6" w14:textId="77777777" w:rsidR="005168F5" w:rsidRDefault="005168F5">
      <w:pPr>
        <w:pStyle w:val="TOC5"/>
        <w:rPr>
          <w:rFonts w:asciiTheme="minorHAnsi" w:eastAsiaTheme="minorEastAsia" w:hAnsiTheme="minorHAnsi" w:cstheme="minorBidi"/>
          <w:noProof/>
          <w:kern w:val="0"/>
          <w:sz w:val="22"/>
          <w:szCs w:val="22"/>
        </w:rPr>
      </w:pPr>
      <w:r>
        <w:rPr>
          <w:noProof/>
        </w:rPr>
        <w:t>3.29  Method 3—coal mine waste gas flared</w:t>
      </w:r>
      <w:r>
        <w:rPr>
          <w:noProof/>
        </w:rPr>
        <w:tab/>
      </w:r>
      <w:r>
        <w:rPr>
          <w:noProof/>
        </w:rPr>
        <w:fldChar w:fldCharType="begin"/>
      </w:r>
      <w:r>
        <w:rPr>
          <w:noProof/>
        </w:rPr>
        <w:instrText xml:space="preserve"> PAGEREF _Toc13233693 \h </w:instrText>
      </w:r>
      <w:r>
        <w:rPr>
          <w:noProof/>
        </w:rPr>
      </w:r>
      <w:r>
        <w:rPr>
          <w:noProof/>
        </w:rPr>
        <w:fldChar w:fldCharType="separate"/>
      </w:r>
      <w:r w:rsidR="00497E3C">
        <w:rPr>
          <w:noProof/>
        </w:rPr>
        <w:t>115</w:t>
      </w:r>
      <w:r>
        <w:rPr>
          <w:noProof/>
        </w:rPr>
        <w:fldChar w:fldCharType="end"/>
      </w:r>
    </w:p>
    <w:p w14:paraId="4A318B2B" w14:textId="77777777" w:rsidR="005168F5" w:rsidRDefault="005168F5">
      <w:pPr>
        <w:pStyle w:val="TOC3"/>
        <w:rPr>
          <w:rFonts w:asciiTheme="minorHAnsi" w:eastAsiaTheme="minorEastAsia" w:hAnsiTheme="minorHAnsi" w:cstheme="minorBidi"/>
          <w:b w:val="0"/>
          <w:noProof/>
          <w:kern w:val="0"/>
          <w:szCs w:val="22"/>
        </w:rPr>
      </w:pPr>
      <w:r>
        <w:rPr>
          <w:noProof/>
        </w:rPr>
        <w:t>Division 3.2.4—Decommissioned underground mines</w:t>
      </w:r>
      <w:r>
        <w:rPr>
          <w:noProof/>
        </w:rPr>
        <w:tab/>
      </w:r>
      <w:r>
        <w:rPr>
          <w:noProof/>
        </w:rPr>
        <w:fldChar w:fldCharType="begin"/>
      </w:r>
      <w:r>
        <w:rPr>
          <w:noProof/>
        </w:rPr>
        <w:instrText xml:space="preserve"> PAGEREF _Toc13233694 \h </w:instrText>
      </w:r>
      <w:r>
        <w:rPr>
          <w:noProof/>
        </w:rPr>
      </w:r>
      <w:r>
        <w:rPr>
          <w:noProof/>
        </w:rPr>
        <w:fldChar w:fldCharType="separate"/>
      </w:r>
      <w:r w:rsidR="00497E3C">
        <w:rPr>
          <w:noProof/>
        </w:rPr>
        <w:t>116</w:t>
      </w:r>
      <w:r>
        <w:rPr>
          <w:noProof/>
        </w:rPr>
        <w:fldChar w:fldCharType="end"/>
      </w:r>
    </w:p>
    <w:p w14:paraId="69B4DBEB"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3.2.4.1—Preliminary</w:t>
      </w:r>
      <w:r>
        <w:rPr>
          <w:noProof/>
        </w:rPr>
        <w:tab/>
      </w:r>
      <w:r>
        <w:rPr>
          <w:noProof/>
        </w:rPr>
        <w:fldChar w:fldCharType="begin"/>
      </w:r>
      <w:r>
        <w:rPr>
          <w:noProof/>
        </w:rPr>
        <w:instrText xml:space="preserve"> PAGEREF _Toc13233695 \h </w:instrText>
      </w:r>
      <w:r>
        <w:rPr>
          <w:noProof/>
        </w:rPr>
      </w:r>
      <w:r>
        <w:rPr>
          <w:noProof/>
        </w:rPr>
        <w:fldChar w:fldCharType="separate"/>
      </w:r>
      <w:r w:rsidR="00497E3C">
        <w:rPr>
          <w:noProof/>
        </w:rPr>
        <w:t>116</w:t>
      </w:r>
      <w:r>
        <w:rPr>
          <w:noProof/>
        </w:rPr>
        <w:fldChar w:fldCharType="end"/>
      </w:r>
    </w:p>
    <w:p w14:paraId="5A65A468" w14:textId="77777777" w:rsidR="005168F5" w:rsidRDefault="005168F5">
      <w:pPr>
        <w:pStyle w:val="TOC5"/>
        <w:rPr>
          <w:rFonts w:asciiTheme="minorHAnsi" w:eastAsiaTheme="minorEastAsia" w:hAnsiTheme="minorHAnsi" w:cstheme="minorBidi"/>
          <w:noProof/>
          <w:kern w:val="0"/>
          <w:sz w:val="22"/>
          <w:szCs w:val="22"/>
        </w:rPr>
      </w:pPr>
      <w:r>
        <w:rPr>
          <w:noProof/>
        </w:rPr>
        <w:t>3.30  Application</w:t>
      </w:r>
      <w:r>
        <w:rPr>
          <w:noProof/>
        </w:rPr>
        <w:tab/>
      </w:r>
      <w:r>
        <w:rPr>
          <w:noProof/>
        </w:rPr>
        <w:fldChar w:fldCharType="begin"/>
      </w:r>
      <w:r>
        <w:rPr>
          <w:noProof/>
        </w:rPr>
        <w:instrText xml:space="preserve"> PAGEREF _Toc13233696 \h </w:instrText>
      </w:r>
      <w:r>
        <w:rPr>
          <w:noProof/>
        </w:rPr>
      </w:r>
      <w:r>
        <w:rPr>
          <w:noProof/>
        </w:rPr>
        <w:fldChar w:fldCharType="separate"/>
      </w:r>
      <w:r w:rsidR="00497E3C">
        <w:rPr>
          <w:noProof/>
        </w:rPr>
        <w:t>116</w:t>
      </w:r>
      <w:r>
        <w:rPr>
          <w:noProof/>
        </w:rPr>
        <w:fldChar w:fldCharType="end"/>
      </w:r>
    </w:p>
    <w:p w14:paraId="0861020D" w14:textId="77777777" w:rsidR="005168F5" w:rsidRDefault="005168F5">
      <w:pPr>
        <w:pStyle w:val="TOC5"/>
        <w:rPr>
          <w:rFonts w:asciiTheme="minorHAnsi" w:eastAsiaTheme="minorEastAsia" w:hAnsiTheme="minorHAnsi" w:cstheme="minorBidi"/>
          <w:noProof/>
          <w:kern w:val="0"/>
          <w:sz w:val="22"/>
          <w:szCs w:val="22"/>
        </w:rPr>
      </w:pPr>
      <w:r>
        <w:rPr>
          <w:noProof/>
        </w:rPr>
        <w:t>3.31  Available methods</w:t>
      </w:r>
      <w:r>
        <w:rPr>
          <w:noProof/>
        </w:rPr>
        <w:tab/>
      </w:r>
      <w:r>
        <w:rPr>
          <w:noProof/>
        </w:rPr>
        <w:fldChar w:fldCharType="begin"/>
      </w:r>
      <w:r>
        <w:rPr>
          <w:noProof/>
        </w:rPr>
        <w:instrText xml:space="preserve"> PAGEREF _Toc13233697 \h </w:instrText>
      </w:r>
      <w:r>
        <w:rPr>
          <w:noProof/>
        </w:rPr>
      </w:r>
      <w:r>
        <w:rPr>
          <w:noProof/>
        </w:rPr>
        <w:fldChar w:fldCharType="separate"/>
      </w:r>
      <w:r w:rsidR="00497E3C">
        <w:rPr>
          <w:noProof/>
        </w:rPr>
        <w:t>116</w:t>
      </w:r>
      <w:r>
        <w:rPr>
          <w:noProof/>
        </w:rPr>
        <w:fldChar w:fldCharType="end"/>
      </w:r>
    </w:p>
    <w:p w14:paraId="0C985F27"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3.2.4.2—Fugitive emissions from decommissioned underground mines</w:t>
      </w:r>
      <w:r>
        <w:rPr>
          <w:noProof/>
        </w:rPr>
        <w:tab/>
      </w:r>
      <w:r>
        <w:rPr>
          <w:noProof/>
        </w:rPr>
        <w:fldChar w:fldCharType="begin"/>
      </w:r>
      <w:r>
        <w:rPr>
          <w:noProof/>
        </w:rPr>
        <w:instrText xml:space="preserve"> PAGEREF _Toc13233698 \h </w:instrText>
      </w:r>
      <w:r>
        <w:rPr>
          <w:noProof/>
        </w:rPr>
      </w:r>
      <w:r>
        <w:rPr>
          <w:noProof/>
        </w:rPr>
        <w:fldChar w:fldCharType="separate"/>
      </w:r>
      <w:r w:rsidR="00497E3C">
        <w:rPr>
          <w:noProof/>
        </w:rPr>
        <w:t>117</w:t>
      </w:r>
      <w:r>
        <w:rPr>
          <w:noProof/>
        </w:rPr>
        <w:fldChar w:fldCharType="end"/>
      </w:r>
    </w:p>
    <w:p w14:paraId="4C871802" w14:textId="77777777" w:rsidR="005168F5" w:rsidRDefault="005168F5">
      <w:pPr>
        <w:pStyle w:val="TOC5"/>
        <w:rPr>
          <w:rFonts w:asciiTheme="minorHAnsi" w:eastAsiaTheme="minorEastAsia" w:hAnsiTheme="minorHAnsi" w:cstheme="minorBidi"/>
          <w:noProof/>
          <w:kern w:val="0"/>
          <w:sz w:val="22"/>
          <w:szCs w:val="22"/>
        </w:rPr>
      </w:pPr>
      <w:r>
        <w:rPr>
          <w:noProof/>
        </w:rPr>
        <w:t>3.32  Method 1—decommissioned underground mines</w:t>
      </w:r>
      <w:r>
        <w:rPr>
          <w:noProof/>
        </w:rPr>
        <w:tab/>
      </w:r>
      <w:r>
        <w:rPr>
          <w:noProof/>
        </w:rPr>
        <w:fldChar w:fldCharType="begin"/>
      </w:r>
      <w:r>
        <w:rPr>
          <w:noProof/>
        </w:rPr>
        <w:instrText xml:space="preserve"> PAGEREF _Toc13233699 \h </w:instrText>
      </w:r>
      <w:r>
        <w:rPr>
          <w:noProof/>
        </w:rPr>
      </w:r>
      <w:r>
        <w:rPr>
          <w:noProof/>
        </w:rPr>
        <w:fldChar w:fldCharType="separate"/>
      </w:r>
      <w:r w:rsidR="00497E3C">
        <w:rPr>
          <w:noProof/>
        </w:rPr>
        <w:t>117</w:t>
      </w:r>
      <w:r>
        <w:rPr>
          <w:noProof/>
        </w:rPr>
        <w:fldChar w:fldCharType="end"/>
      </w:r>
    </w:p>
    <w:p w14:paraId="75B0F172" w14:textId="77777777" w:rsidR="005168F5" w:rsidRDefault="005168F5">
      <w:pPr>
        <w:pStyle w:val="TOC5"/>
        <w:rPr>
          <w:rFonts w:asciiTheme="minorHAnsi" w:eastAsiaTheme="minorEastAsia" w:hAnsiTheme="minorHAnsi" w:cstheme="minorBidi"/>
          <w:noProof/>
          <w:kern w:val="0"/>
          <w:sz w:val="22"/>
          <w:szCs w:val="22"/>
        </w:rPr>
      </w:pPr>
      <w:r>
        <w:rPr>
          <w:noProof/>
        </w:rPr>
        <w:t>3.33  Emission factor for decommissioned underground mines</w:t>
      </w:r>
      <w:r>
        <w:rPr>
          <w:noProof/>
        </w:rPr>
        <w:tab/>
      </w:r>
      <w:r>
        <w:rPr>
          <w:noProof/>
        </w:rPr>
        <w:fldChar w:fldCharType="begin"/>
      </w:r>
      <w:r>
        <w:rPr>
          <w:noProof/>
        </w:rPr>
        <w:instrText xml:space="preserve"> PAGEREF _Toc13233700 \h </w:instrText>
      </w:r>
      <w:r>
        <w:rPr>
          <w:noProof/>
        </w:rPr>
      </w:r>
      <w:r>
        <w:rPr>
          <w:noProof/>
        </w:rPr>
        <w:fldChar w:fldCharType="separate"/>
      </w:r>
      <w:r w:rsidR="00497E3C">
        <w:rPr>
          <w:noProof/>
        </w:rPr>
        <w:t>117</w:t>
      </w:r>
      <w:r>
        <w:rPr>
          <w:noProof/>
        </w:rPr>
        <w:fldChar w:fldCharType="end"/>
      </w:r>
    </w:p>
    <w:p w14:paraId="202B91C3" w14:textId="77777777" w:rsidR="005168F5" w:rsidRDefault="005168F5">
      <w:pPr>
        <w:pStyle w:val="TOC5"/>
        <w:rPr>
          <w:rFonts w:asciiTheme="minorHAnsi" w:eastAsiaTheme="minorEastAsia" w:hAnsiTheme="minorHAnsi" w:cstheme="minorBidi"/>
          <w:noProof/>
          <w:kern w:val="0"/>
          <w:sz w:val="22"/>
          <w:szCs w:val="22"/>
        </w:rPr>
      </w:pPr>
      <w:r>
        <w:rPr>
          <w:noProof/>
        </w:rPr>
        <w:t>3.34  Measurement of proportion of mine that is flooded</w:t>
      </w:r>
      <w:r>
        <w:rPr>
          <w:noProof/>
        </w:rPr>
        <w:tab/>
      </w:r>
      <w:r>
        <w:rPr>
          <w:noProof/>
        </w:rPr>
        <w:fldChar w:fldCharType="begin"/>
      </w:r>
      <w:r>
        <w:rPr>
          <w:noProof/>
        </w:rPr>
        <w:instrText xml:space="preserve"> PAGEREF _Toc13233701 \h </w:instrText>
      </w:r>
      <w:r>
        <w:rPr>
          <w:noProof/>
        </w:rPr>
      </w:r>
      <w:r>
        <w:rPr>
          <w:noProof/>
        </w:rPr>
        <w:fldChar w:fldCharType="separate"/>
      </w:r>
      <w:r w:rsidR="00497E3C">
        <w:rPr>
          <w:noProof/>
        </w:rPr>
        <w:t>118</w:t>
      </w:r>
      <w:r>
        <w:rPr>
          <w:noProof/>
        </w:rPr>
        <w:fldChar w:fldCharType="end"/>
      </w:r>
    </w:p>
    <w:p w14:paraId="42839652" w14:textId="77777777" w:rsidR="005168F5" w:rsidRDefault="005168F5">
      <w:pPr>
        <w:pStyle w:val="TOC5"/>
        <w:rPr>
          <w:rFonts w:asciiTheme="minorHAnsi" w:eastAsiaTheme="minorEastAsia" w:hAnsiTheme="minorHAnsi" w:cstheme="minorBidi"/>
          <w:noProof/>
          <w:kern w:val="0"/>
          <w:sz w:val="22"/>
          <w:szCs w:val="22"/>
        </w:rPr>
      </w:pPr>
      <w:r>
        <w:rPr>
          <w:noProof/>
        </w:rPr>
        <w:t>3.35  Water flow into mine</w:t>
      </w:r>
      <w:r>
        <w:rPr>
          <w:noProof/>
        </w:rPr>
        <w:tab/>
      </w:r>
      <w:r>
        <w:rPr>
          <w:noProof/>
        </w:rPr>
        <w:fldChar w:fldCharType="begin"/>
      </w:r>
      <w:r>
        <w:rPr>
          <w:noProof/>
        </w:rPr>
        <w:instrText xml:space="preserve"> PAGEREF _Toc13233702 \h </w:instrText>
      </w:r>
      <w:r>
        <w:rPr>
          <w:noProof/>
        </w:rPr>
      </w:r>
      <w:r>
        <w:rPr>
          <w:noProof/>
        </w:rPr>
        <w:fldChar w:fldCharType="separate"/>
      </w:r>
      <w:r w:rsidR="00497E3C">
        <w:rPr>
          <w:noProof/>
        </w:rPr>
        <w:t>118</w:t>
      </w:r>
      <w:r>
        <w:rPr>
          <w:noProof/>
        </w:rPr>
        <w:fldChar w:fldCharType="end"/>
      </w:r>
    </w:p>
    <w:p w14:paraId="4D2A8F45" w14:textId="77777777" w:rsidR="005168F5" w:rsidRDefault="005168F5">
      <w:pPr>
        <w:pStyle w:val="TOC5"/>
        <w:rPr>
          <w:rFonts w:asciiTheme="minorHAnsi" w:eastAsiaTheme="minorEastAsia" w:hAnsiTheme="minorHAnsi" w:cstheme="minorBidi"/>
          <w:noProof/>
          <w:kern w:val="0"/>
          <w:sz w:val="22"/>
          <w:szCs w:val="22"/>
        </w:rPr>
      </w:pPr>
      <w:r>
        <w:rPr>
          <w:noProof/>
        </w:rPr>
        <w:t>3.36  Size of mine void volume</w:t>
      </w:r>
      <w:r>
        <w:rPr>
          <w:noProof/>
        </w:rPr>
        <w:tab/>
      </w:r>
      <w:r>
        <w:rPr>
          <w:noProof/>
        </w:rPr>
        <w:fldChar w:fldCharType="begin"/>
      </w:r>
      <w:r>
        <w:rPr>
          <w:noProof/>
        </w:rPr>
        <w:instrText xml:space="preserve"> PAGEREF _Toc13233703 \h </w:instrText>
      </w:r>
      <w:r>
        <w:rPr>
          <w:noProof/>
        </w:rPr>
      </w:r>
      <w:r>
        <w:rPr>
          <w:noProof/>
        </w:rPr>
        <w:fldChar w:fldCharType="separate"/>
      </w:r>
      <w:r w:rsidR="00497E3C">
        <w:rPr>
          <w:noProof/>
        </w:rPr>
        <w:t>118</w:t>
      </w:r>
      <w:r>
        <w:rPr>
          <w:noProof/>
        </w:rPr>
        <w:fldChar w:fldCharType="end"/>
      </w:r>
    </w:p>
    <w:p w14:paraId="74C72ED8" w14:textId="77777777" w:rsidR="005168F5" w:rsidRDefault="005168F5">
      <w:pPr>
        <w:pStyle w:val="TOC5"/>
        <w:rPr>
          <w:rFonts w:asciiTheme="minorHAnsi" w:eastAsiaTheme="minorEastAsia" w:hAnsiTheme="minorHAnsi" w:cstheme="minorBidi"/>
          <w:noProof/>
          <w:kern w:val="0"/>
          <w:sz w:val="22"/>
          <w:szCs w:val="22"/>
        </w:rPr>
      </w:pPr>
      <w:r>
        <w:rPr>
          <w:noProof/>
        </w:rPr>
        <w:t>3.37  Method 4—decommissioned underground mines</w:t>
      </w:r>
      <w:r>
        <w:rPr>
          <w:noProof/>
        </w:rPr>
        <w:tab/>
      </w:r>
      <w:r>
        <w:rPr>
          <w:noProof/>
        </w:rPr>
        <w:fldChar w:fldCharType="begin"/>
      </w:r>
      <w:r>
        <w:rPr>
          <w:noProof/>
        </w:rPr>
        <w:instrText xml:space="preserve"> PAGEREF _Toc13233704 \h </w:instrText>
      </w:r>
      <w:r>
        <w:rPr>
          <w:noProof/>
        </w:rPr>
      </w:r>
      <w:r>
        <w:rPr>
          <w:noProof/>
        </w:rPr>
        <w:fldChar w:fldCharType="separate"/>
      </w:r>
      <w:r w:rsidR="00497E3C">
        <w:rPr>
          <w:noProof/>
        </w:rPr>
        <w:t>119</w:t>
      </w:r>
      <w:r>
        <w:rPr>
          <w:noProof/>
        </w:rPr>
        <w:fldChar w:fldCharType="end"/>
      </w:r>
    </w:p>
    <w:p w14:paraId="185CFA1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3.2.4.3—Fugitive emissions from coal mine waste gas flared</w:t>
      </w:r>
      <w:r>
        <w:rPr>
          <w:noProof/>
        </w:rPr>
        <w:tab/>
      </w:r>
      <w:r>
        <w:rPr>
          <w:noProof/>
        </w:rPr>
        <w:fldChar w:fldCharType="begin"/>
      </w:r>
      <w:r>
        <w:rPr>
          <w:noProof/>
        </w:rPr>
        <w:instrText xml:space="preserve"> PAGEREF _Toc13233705 \h </w:instrText>
      </w:r>
      <w:r>
        <w:rPr>
          <w:noProof/>
        </w:rPr>
      </w:r>
      <w:r>
        <w:rPr>
          <w:noProof/>
        </w:rPr>
        <w:fldChar w:fldCharType="separate"/>
      </w:r>
      <w:r w:rsidR="00497E3C">
        <w:rPr>
          <w:noProof/>
        </w:rPr>
        <w:t>119</w:t>
      </w:r>
      <w:r>
        <w:rPr>
          <w:noProof/>
        </w:rPr>
        <w:fldChar w:fldCharType="end"/>
      </w:r>
    </w:p>
    <w:p w14:paraId="41F26A11" w14:textId="77777777" w:rsidR="005168F5" w:rsidRDefault="005168F5">
      <w:pPr>
        <w:pStyle w:val="TOC5"/>
        <w:rPr>
          <w:rFonts w:asciiTheme="minorHAnsi" w:eastAsiaTheme="minorEastAsia" w:hAnsiTheme="minorHAnsi" w:cstheme="minorBidi"/>
          <w:noProof/>
          <w:kern w:val="0"/>
          <w:sz w:val="22"/>
          <w:szCs w:val="22"/>
        </w:rPr>
      </w:pPr>
      <w:r>
        <w:rPr>
          <w:noProof/>
        </w:rPr>
        <w:t>3.38  Method 1—coal mine waste gas flared</w:t>
      </w:r>
      <w:r>
        <w:rPr>
          <w:noProof/>
        </w:rPr>
        <w:tab/>
      </w:r>
      <w:r>
        <w:rPr>
          <w:noProof/>
        </w:rPr>
        <w:fldChar w:fldCharType="begin"/>
      </w:r>
      <w:r>
        <w:rPr>
          <w:noProof/>
        </w:rPr>
        <w:instrText xml:space="preserve"> PAGEREF _Toc13233706 \h </w:instrText>
      </w:r>
      <w:r>
        <w:rPr>
          <w:noProof/>
        </w:rPr>
      </w:r>
      <w:r>
        <w:rPr>
          <w:noProof/>
        </w:rPr>
        <w:fldChar w:fldCharType="separate"/>
      </w:r>
      <w:r w:rsidR="00497E3C">
        <w:rPr>
          <w:noProof/>
        </w:rPr>
        <w:t>119</w:t>
      </w:r>
      <w:r>
        <w:rPr>
          <w:noProof/>
        </w:rPr>
        <w:fldChar w:fldCharType="end"/>
      </w:r>
    </w:p>
    <w:p w14:paraId="0BDBECBD" w14:textId="77777777" w:rsidR="005168F5" w:rsidRDefault="005168F5">
      <w:pPr>
        <w:pStyle w:val="TOC5"/>
        <w:rPr>
          <w:rFonts w:asciiTheme="minorHAnsi" w:eastAsiaTheme="minorEastAsia" w:hAnsiTheme="minorHAnsi" w:cstheme="minorBidi"/>
          <w:noProof/>
          <w:kern w:val="0"/>
          <w:sz w:val="22"/>
          <w:szCs w:val="22"/>
        </w:rPr>
      </w:pPr>
      <w:r>
        <w:rPr>
          <w:noProof/>
        </w:rPr>
        <w:t>3.39  Method 2—coal mine waste gas flared</w:t>
      </w:r>
      <w:r>
        <w:rPr>
          <w:noProof/>
        </w:rPr>
        <w:tab/>
      </w:r>
      <w:r>
        <w:rPr>
          <w:noProof/>
        </w:rPr>
        <w:fldChar w:fldCharType="begin"/>
      </w:r>
      <w:r>
        <w:rPr>
          <w:noProof/>
        </w:rPr>
        <w:instrText xml:space="preserve"> PAGEREF _Toc13233707 \h </w:instrText>
      </w:r>
      <w:r>
        <w:rPr>
          <w:noProof/>
        </w:rPr>
      </w:r>
      <w:r>
        <w:rPr>
          <w:noProof/>
        </w:rPr>
        <w:fldChar w:fldCharType="separate"/>
      </w:r>
      <w:r w:rsidR="00497E3C">
        <w:rPr>
          <w:noProof/>
        </w:rPr>
        <w:t>119</w:t>
      </w:r>
      <w:r>
        <w:rPr>
          <w:noProof/>
        </w:rPr>
        <w:fldChar w:fldCharType="end"/>
      </w:r>
    </w:p>
    <w:p w14:paraId="0F15CAFB"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3.40  Method 3—coal mine waste gas flared</w:t>
      </w:r>
      <w:r>
        <w:rPr>
          <w:noProof/>
        </w:rPr>
        <w:tab/>
      </w:r>
      <w:r>
        <w:rPr>
          <w:noProof/>
        </w:rPr>
        <w:fldChar w:fldCharType="begin"/>
      </w:r>
      <w:r>
        <w:rPr>
          <w:noProof/>
        </w:rPr>
        <w:instrText xml:space="preserve"> PAGEREF _Toc13233708 \h </w:instrText>
      </w:r>
      <w:r>
        <w:rPr>
          <w:noProof/>
        </w:rPr>
      </w:r>
      <w:r>
        <w:rPr>
          <w:noProof/>
        </w:rPr>
        <w:fldChar w:fldCharType="separate"/>
      </w:r>
      <w:r w:rsidR="00497E3C">
        <w:rPr>
          <w:noProof/>
        </w:rPr>
        <w:t>119</w:t>
      </w:r>
      <w:r>
        <w:rPr>
          <w:noProof/>
        </w:rPr>
        <w:fldChar w:fldCharType="end"/>
      </w:r>
    </w:p>
    <w:p w14:paraId="5218BB20" w14:textId="77777777" w:rsidR="005168F5" w:rsidRDefault="005168F5">
      <w:pPr>
        <w:pStyle w:val="TOC2"/>
        <w:rPr>
          <w:rFonts w:asciiTheme="minorHAnsi" w:eastAsiaTheme="minorEastAsia" w:hAnsiTheme="minorHAnsi" w:cstheme="minorBidi"/>
          <w:b w:val="0"/>
          <w:noProof/>
          <w:kern w:val="0"/>
          <w:sz w:val="22"/>
          <w:szCs w:val="22"/>
        </w:rPr>
      </w:pPr>
      <w:r>
        <w:rPr>
          <w:noProof/>
        </w:rPr>
        <w:t>Part 3.3—Oil and natural gas—fugitive emissions</w:t>
      </w:r>
      <w:r>
        <w:rPr>
          <w:noProof/>
        </w:rPr>
        <w:tab/>
      </w:r>
      <w:r>
        <w:rPr>
          <w:noProof/>
        </w:rPr>
        <w:fldChar w:fldCharType="begin"/>
      </w:r>
      <w:r>
        <w:rPr>
          <w:noProof/>
        </w:rPr>
        <w:instrText xml:space="preserve"> PAGEREF _Toc13233709 \h </w:instrText>
      </w:r>
      <w:r>
        <w:rPr>
          <w:noProof/>
        </w:rPr>
      </w:r>
      <w:r>
        <w:rPr>
          <w:noProof/>
        </w:rPr>
        <w:fldChar w:fldCharType="separate"/>
      </w:r>
      <w:r w:rsidR="00497E3C">
        <w:rPr>
          <w:noProof/>
        </w:rPr>
        <w:t>120</w:t>
      </w:r>
      <w:r>
        <w:rPr>
          <w:noProof/>
        </w:rPr>
        <w:fldChar w:fldCharType="end"/>
      </w:r>
    </w:p>
    <w:p w14:paraId="19CFA075" w14:textId="77777777" w:rsidR="005168F5" w:rsidRDefault="005168F5">
      <w:pPr>
        <w:pStyle w:val="TOC3"/>
        <w:rPr>
          <w:rFonts w:asciiTheme="minorHAnsi" w:eastAsiaTheme="minorEastAsia" w:hAnsiTheme="minorHAnsi" w:cstheme="minorBidi"/>
          <w:b w:val="0"/>
          <w:noProof/>
          <w:kern w:val="0"/>
          <w:szCs w:val="22"/>
        </w:rPr>
      </w:pPr>
      <w:r>
        <w:rPr>
          <w:noProof/>
        </w:rPr>
        <w:t>Division 3.3.1—Preliminary</w:t>
      </w:r>
      <w:r>
        <w:rPr>
          <w:noProof/>
        </w:rPr>
        <w:tab/>
      </w:r>
      <w:r>
        <w:rPr>
          <w:noProof/>
        </w:rPr>
        <w:fldChar w:fldCharType="begin"/>
      </w:r>
      <w:r>
        <w:rPr>
          <w:noProof/>
        </w:rPr>
        <w:instrText xml:space="preserve"> PAGEREF _Toc13233710 \h </w:instrText>
      </w:r>
      <w:r>
        <w:rPr>
          <w:noProof/>
        </w:rPr>
      </w:r>
      <w:r>
        <w:rPr>
          <w:noProof/>
        </w:rPr>
        <w:fldChar w:fldCharType="separate"/>
      </w:r>
      <w:r w:rsidR="00497E3C">
        <w:rPr>
          <w:noProof/>
        </w:rPr>
        <w:t>120</w:t>
      </w:r>
      <w:r>
        <w:rPr>
          <w:noProof/>
        </w:rPr>
        <w:fldChar w:fldCharType="end"/>
      </w:r>
    </w:p>
    <w:p w14:paraId="4D4B5636" w14:textId="77777777" w:rsidR="005168F5" w:rsidRDefault="005168F5">
      <w:pPr>
        <w:pStyle w:val="TOC5"/>
        <w:rPr>
          <w:rFonts w:asciiTheme="minorHAnsi" w:eastAsiaTheme="minorEastAsia" w:hAnsiTheme="minorHAnsi" w:cstheme="minorBidi"/>
          <w:noProof/>
          <w:kern w:val="0"/>
          <w:sz w:val="22"/>
          <w:szCs w:val="22"/>
        </w:rPr>
      </w:pPr>
      <w:r>
        <w:rPr>
          <w:noProof/>
        </w:rPr>
        <w:t xml:space="preserve">3.40A  Definition of </w:t>
      </w:r>
      <w:r w:rsidRPr="00F869F2">
        <w:rPr>
          <w:i/>
          <w:noProof/>
        </w:rPr>
        <w:t xml:space="preserve">natural gas </w:t>
      </w:r>
      <w:r>
        <w:rPr>
          <w:noProof/>
        </w:rPr>
        <w:t>for Part 3.3</w:t>
      </w:r>
      <w:r>
        <w:rPr>
          <w:noProof/>
        </w:rPr>
        <w:tab/>
      </w:r>
      <w:r>
        <w:rPr>
          <w:noProof/>
        </w:rPr>
        <w:fldChar w:fldCharType="begin"/>
      </w:r>
      <w:r>
        <w:rPr>
          <w:noProof/>
        </w:rPr>
        <w:instrText xml:space="preserve"> PAGEREF _Toc13233711 \h </w:instrText>
      </w:r>
      <w:r>
        <w:rPr>
          <w:noProof/>
        </w:rPr>
      </w:r>
      <w:r>
        <w:rPr>
          <w:noProof/>
        </w:rPr>
        <w:fldChar w:fldCharType="separate"/>
      </w:r>
      <w:r w:rsidR="00497E3C">
        <w:rPr>
          <w:noProof/>
        </w:rPr>
        <w:t>120</w:t>
      </w:r>
      <w:r>
        <w:rPr>
          <w:noProof/>
        </w:rPr>
        <w:fldChar w:fldCharType="end"/>
      </w:r>
    </w:p>
    <w:p w14:paraId="5E3727D0" w14:textId="77777777" w:rsidR="005168F5" w:rsidRDefault="005168F5">
      <w:pPr>
        <w:pStyle w:val="TOC5"/>
        <w:rPr>
          <w:rFonts w:asciiTheme="minorHAnsi" w:eastAsiaTheme="minorEastAsia" w:hAnsiTheme="minorHAnsi" w:cstheme="minorBidi"/>
          <w:noProof/>
          <w:kern w:val="0"/>
          <w:sz w:val="22"/>
          <w:szCs w:val="22"/>
        </w:rPr>
      </w:pPr>
      <w:r>
        <w:rPr>
          <w:noProof/>
        </w:rPr>
        <w:t>3.41  Outline of Part</w:t>
      </w:r>
      <w:r>
        <w:rPr>
          <w:noProof/>
        </w:rPr>
        <w:tab/>
      </w:r>
      <w:r>
        <w:rPr>
          <w:noProof/>
        </w:rPr>
        <w:fldChar w:fldCharType="begin"/>
      </w:r>
      <w:r>
        <w:rPr>
          <w:noProof/>
        </w:rPr>
        <w:instrText xml:space="preserve"> PAGEREF _Toc13233712 \h </w:instrText>
      </w:r>
      <w:r>
        <w:rPr>
          <w:noProof/>
        </w:rPr>
      </w:r>
      <w:r>
        <w:rPr>
          <w:noProof/>
        </w:rPr>
        <w:fldChar w:fldCharType="separate"/>
      </w:r>
      <w:r w:rsidR="00497E3C">
        <w:rPr>
          <w:noProof/>
        </w:rPr>
        <w:t>120</w:t>
      </w:r>
      <w:r>
        <w:rPr>
          <w:noProof/>
        </w:rPr>
        <w:fldChar w:fldCharType="end"/>
      </w:r>
    </w:p>
    <w:p w14:paraId="04FF3A5F" w14:textId="77777777" w:rsidR="005168F5" w:rsidRDefault="005168F5">
      <w:pPr>
        <w:pStyle w:val="TOC3"/>
        <w:rPr>
          <w:rFonts w:asciiTheme="minorHAnsi" w:eastAsiaTheme="minorEastAsia" w:hAnsiTheme="minorHAnsi" w:cstheme="minorBidi"/>
          <w:b w:val="0"/>
          <w:noProof/>
          <w:kern w:val="0"/>
          <w:szCs w:val="22"/>
        </w:rPr>
      </w:pPr>
      <w:r>
        <w:rPr>
          <w:noProof/>
        </w:rPr>
        <w:t>Division 3.3.2—Oil or gas exploration</w:t>
      </w:r>
      <w:r>
        <w:rPr>
          <w:noProof/>
        </w:rPr>
        <w:tab/>
      </w:r>
      <w:r>
        <w:rPr>
          <w:noProof/>
        </w:rPr>
        <w:fldChar w:fldCharType="begin"/>
      </w:r>
      <w:r>
        <w:rPr>
          <w:noProof/>
        </w:rPr>
        <w:instrText xml:space="preserve"> PAGEREF _Toc13233713 \h </w:instrText>
      </w:r>
      <w:r>
        <w:rPr>
          <w:noProof/>
        </w:rPr>
      </w:r>
      <w:r>
        <w:rPr>
          <w:noProof/>
        </w:rPr>
        <w:fldChar w:fldCharType="separate"/>
      </w:r>
      <w:r w:rsidR="00497E3C">
        <w:rPr>
          <w:noProof/>
        </w:rPr>
        <w:t>121</w:t>
      </w:r>
      <w:r>
        <w:rPr>
          <w:noProof/>
        </w:rPr>
        <w:fldChar w:fldCharType="end"/>
      </w:r>
    </w:p>
    <w:p w14:paraId="4E6EFFE4"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3.3.2.1—Preliminary</w:t>
      </w:r>
      <w:r>
        <w:rPr>
          <w:noProof/>
        </w:rPr>
        <w:tab/>
      </w:r>
      <w:r>
        <w:rPr>
          <w:noProof/>
        </w:rPr>
        <w:fldChar w:fldCharType="begin"/>
      </w:r>
      <w:r>
        <w:rPr>
          <w:noProof/>
        </w:rPr>
        <w:instrText xml:space="preserve"> PAGEREF _Toc13233714 \h </w:instrText>
      </w:r>
      <w:r>
        <w:rPr>
          <w:noProof/>
        </w:rPr>
      </w:r>
      <w:r>
        <w:rPr>
          <w:noProof/>
        </w:rPr>
        <w:fldChar w:fldCharType="separate"/>
      </w:r>
      <w:r w:rsidR="00497E3C">
        <w:rPr>
          <w:noProof/>
        </w:rPr>
        <w:t>121</w:t>
      </w:r>
      <w:r>
        <w:rPr>
          <w:noProof/>
        </w:rPr>
        <w:fldChar w:fldCharType="end"/>
      </w:r>
    </w:p>
    <w:p w14:paraId="135B9C35" w14:textId="77777777" w:rsidR="005168F5" w:rsidRDefault="005168F5">
      <w:pPr>
        <w:pStyle w:val="TOC5"/>
        <w:rPr>
          <w:rFonts w:asciiTheme="minorHAnsi" w:eastAsiaTheme="minorEastAsia" w:hAnsiTheme="minorHAnsi" w:cstheme="minorBidi"/>
          <w:noProof/>
          <w:kern w:val="0"/>
          <w:sz w:val="22"/>
          <w:szCs w:val="22"/>
        </w:rPr>
      </w:pPr>
      <w:r>
        <w:rPr>
          <w:noProof/>
        </w:rPr>
        <w:t>3.42  Application</w:t>
      </w:r>
      <w:r>
        <w:rPr>
          <w:noProof/>
        </w:rPr>
        <w:tab/>
      </w:r>
      <w:r>
        <w:rPr>
          <w:noProof/>
        </w:rPr>
        <w:fldChar w:fldCharType="begin"/>
      </w:r>
      <w:r>
        <w:rPr>
          <w:noProof/>
        </w:rPr>
        <w:instrText xml:space="preserve"> PAGEREF _Toc13233715 \h </w:instrText>
      </w:r>
      <w:r>
        <w:rPr>
          <w:noProof/>
        </w:rPr>
      </w:r>
      <w:r>
        <w:rPr>
          <w:noProof/>
        </w:rPr>
        <w:fldChar w:fldCharType="separate"/>
      </w:r>
      <w:r w:rsidR="00497E3C">
        <w:rPr>
          <w:noProof/>
        </w:rPr>
        <w:t>121</w:t>
      </w:r>
      <w:r>
        <w:rPr>
          <w:noProof/>
        </w:rPr>
        <w:fldChar w:fldCharType="end"/>
      </w:r>
    </w:p>
    <w:p w14:paraId="3C845095"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3.3.2.2—Oil or gas exploration (flared) emissions</w:t>
      </w:r>
      <w:r>
        <w:rPr>
          <w:noProof/>
        </w:rPr>
        <w:tab/>
      </w:r>
      <w:r>
        <w:rPr>
          <w:noProof/>
        </w:rPr>
        <w:fldChar w:fldCharType="begin"/>
      </w:r>
      <w:r>
        <w:rPr>
          <w:noProof/>
        </w:rPr>
        <w:instrText xml:space="preserve"> PAGEREF _Toc13233716 \h </w:instrText>
      </w:r>
      <w:r>
        <w:rPr>
          <w:noProof/>
        </w:rPr>
      </w:r>
      <w:r>
        <w:rPr>
          <w:noProof/>
        </w:rPr>
        <w:fldChar w:fldCharType="separate"/>
      </w:r>
      <w:r w:rsidR="00497E3C">
        <w:rPr>
          <w:noProof/>
        </w:rPr>
        <w:t>121</w:t>
      </w:r>
      <w:r>
        <w:rPr>
          <w:noProof/>
        </w:rPr>
        <w:fldChar w:fldCharType="end"/>
      </w:r>
    </w:p>
    <w:p w14:paraId="3B1427DD" w14:textId="77777777" w:rsidR="005168F5" w:rsidRDefault="005168F5">
      <w:pPr>
        <w:pStyle w:val="TOC5"/>
        <w:rPr>
          <w:rFonts w:asciiTheme="minorHAnsi" w:eastAsiaTheme="minorEastAsia" w:hAnsiTheme="minorHAnsi" w:cstheme="minorBidi"/>
          <w:noProof/>
          <w:kern w:val="0"/>
          <w:sz w:val="22"/>
          <w:szCs w:val="22"/>
        </w:rPr>
      </w:pPr>
      <w:r>
        <w:rPr>
          <w:noProof/>
        </w:rPr>
        <w:t>3.43  Available methods</w:t>
      </w:r>
      <w:r>
        <w:rPr>
          <w:noProof/>
        </w:rPr>
        <w:tab/>
      </w:r>
      <w:r>
        <w:rPr>
          <w:noProof/>
        </w:rPr>
        <w:fldChar w:fldCharType="begin"/>
      </w:r>
      <w:r>
        <w:rPr>
          <w:noProof/>
        </w:rPr>
        <w:instrText xml:space="preserve"> PAGEREF _Toc13233717 \h </w:instrText>
      </w:r>
      <w:r>
        <w:rPr>
          <w:noProof/>
        </w:rPr>
      </w:r>
      <w:r>
        <w:rPr>
          <w:noProof/>
        </w:rPr>
        <w:fldChar w:fldCharType="separate"/>
      </w:r>
      <w:r w:rsidR="00497E3C">
        <w:rPr>
          <w:noProof/>
        </w:rPr>
        <w:t>121</w:t>
      </w:r>
      <w:r>
        <w:rPr>
          <w:noProof/>
        </w:rPr>
        <w:fldChar w:fldCharType="end"/>
      </w:r>
    </w:p>
    <w:p w14:paraId="0F4A2AEC" w14:textId="77777777" w:rsidR="005168F5" w:rsidRDefault="005168F5">
      <w:pPr>
        <w:pStyle w:val="TOC5"/>
        <w:rPr>
          <w:rFonts w:asciiTheme="minorHAnsi" w:eastAsiaTheme="minorEastAsia" w:hAnsiTheme="minorHAnsi" w:cstheme="minorBidi"/>
          <w:noProof/>
          <w:kern w:val="0"/>
          <w:sz w:val="22"/>
          <w:szCs w:val="22"/>
        </w:rPr>
      </w:pPr>
      <w:r>
        <w:rPr>
          <w:noProof/>
        </w:rPr>
        <w:t>3.44  Method 1—oil or gas exploration</w:t>
      </w:r>
      <w:r>
        <w:rPr>
          <w:noProof/>
        </w:rPr>
        <w:tab/>
      </w:r>
      <w:r>
        <w:rPr>
          <w:noProof/>
        </w:rPr>
        <w:fldChar w:fldCharType="begin"/>
      </w:r>
      <w:r>
        <w:rPr>
          <w:noProof/>
        </w:rPr>
        <w:instrText xml:space="preserve"> PAGEREF _Toc13233718 \h </w:instrText>
      </w:r>
      <w:r>
        <w:rPr>
          <w:noProof/>
        </w:rPr>
      </w:r>
      <w:r>
        <w:rPr>
          <w:noProof/>
        </w:rPr>
        <w:fldChar w:fldCharType="separate"/>
      </w:r>
      <w:r w:rsidR="00497E3C">
        <w:rPr>
          <w:noProof/>
        </w:rPr>
        <w:t>121</w:t>
      </w:r>
      <w:r>
        <w:rPr>
          <w:noProof/>
        </w:rPr>
        <w:fldChar w:fldCharType="end"/>
      </w:r>
    </w:p>
    <w:p w14:paraId="2B5D46D9" w14:textId="77777777" w:rsidR="005168F5" w:rsidRDefault="005168F5">
      <w:pPr>
        <w:pStyle w:val="TOC5"/>
        <w:rPr>
          <w:rFonts w:asciiTheme="minorHAnsi" w:eastAsiaTheme="minorEastAsia" w:hAnsiTheme="minorHAnsi" w:cstheme="minorBidi"/>
          <w:noProof/>
          <w:kern w:val="0"/>
          <w:sz w:val="22"/>
          <w:szCs w:val="22"/>
        </w:rPr>
      </w:pPr>
      <w:r>
        <w:rPr>
          <w:noProof/>
        </w:rPr>
        <w:t>3.45  Method 2—oil or gas exploration (flared carbon dioxide emissions)</w:t>
      </w:r>
      <w:r>
        <w:rPr>
          <w:noProof/>
        </w:rPr>
        <w:tab/>
      </w:r>
      <w:r>
        <w:rPr>
          <w:noProof/>
        </w:rPr>
        <w:fldChar w:fldCharType="begin"/>
      </w:r>
      <w:r>
        <w:rPr>
          <w:noProof/>
        </w:rPr>
        <w:instrText xml:space="preserve"> PAGEREF _Toc13233719 \h </w:instrText>
      </w:r>
      <w:r>
        <w:rPr>
          <w:noProof/>
        </w:rPr>
      </w:r>
      <w:r>
        <w:rPr>
          <w:noProof/>
        </w:rPr>
        <w:fldChar w:fldCharType="separate"/>
      </w:r>
      <w:r w:rsidR="00497E3C">
        <w:rPr>
          <w:noProof/>
        </w:rPr>
        <w:t>122</w:t>
      </w:r>
      <w:r>
        <w:rPr>
          <w:noProof/>
        </w:rPr>
        <w:fldChar w:fldCharType="end"/>
      </w:r>
    </w:p>
    <w:p w14:paraId="3473C5A1" w14:textId="77777777" w:rsidR="005168F5" w:rsidRDefault="005168F5">
      <w:pPr>
        <w:pStyle w:val="TOC5"/>
        <w:rPr>
          <w:rFonts w:asciiTheme="minorHAnsi" w:eastAsiaTheme="minorEastAsia" w:hAnsiTheme="minorHAnsi" w:cstheme="minorBidi"/>
          <w:noProof/>
          <w:kern w:val="0"/>
          <w:sz w:val="22"/>
          <w:szCs w:val="22"/>
        </w:rPr>
      </w:pPr>
      <w:r>
        <w:rPr>
          <w:noProof/>
        </w:rPr>
        <w:t>3.45A  Method 2A—oil or gas exploration (flared methane or nitrous oxide emissions)</w:t>
      </w:r>
      <w:r>
        <w:rPr>
          <w:noProof/>
        </w:rPr>
        <w:tab/>
      </w:r>
      <w:r>
        <w:rPr>
          <w:noProof/>
        </w:rPr>
        <w:fldChar w:fldCharType="begin"/>
      </w:r>
      <w:r>
        <w:rPr>
          <w:noProof/>
        </w:rPr>
        <w:instrText xml:space="preserve"> PAGEREF _Toc13233720 \h </w:instrText>
      </w:r>
      <w:r>
        <w:rPr>
          <w:noProof/>
        </w:rPr>
      </w:r>
      <w:r>
        <w:rPr>
          <w:noProof/>
        </w:rPr>
        <w:fldChar w:fldCharType="separate"/>
      </w:r>
      <w:r w:rsidR="00497E3C">
        <w:rPr>
          <w:noProof/>
        </w:rPr>
        <w:t>123</w:t>
      </w:r>
      <w:r>
        <w:rPr>
          <w:noProof/>
        </w:rPr>
        <w:fldChar w:fldCharType="end"/>
      </w:r>
    </w:p>
    <w:p w14:paraId="58718050" w14:textId="77777777" w:rsidR="005168F5" w:rsidRDefault="005168F5">
      <w:pPr>
        <w:pStyle w:val="TOC5"/>
        <w:rPr>
          <w:rFonts w:asciiTheme="minorHAnsi" w:eastAsiaTheme="minorEastAsia" w:hAnsiTheme="minorHAnsi" w:cstheme="minorBidi"/>
          <w:noProof/>
          <w:kern w:val="0"/>
          <w:sz w:val="22"/>
          <w:szCs w:val="22"/>
        </w:rPr>
      </w:pPr>
      <w:r>
        <w:rPr>
          <w:noProof/>
        </w:rPr>
        <w:t>3.46  Method 3—oil or gas exploration</w:t>
      </w:r>
      <w:r>
        <w:rPr>
          <w:noProof/>
        </w:rPr>
        <w:tab/>
      </w:r>
      <w:r>
        <w:rPr>
          <w:noProof/>
        </w:rPr>
        <w:fldChar w:fldCharType="begin"/>
      </w:r>
      <w:r>
        <w:rPr>
          <w:noProof/>
        </w:rPr>
        <w:instrText xml:space="preserve"> PAGEREF _Toc13233721 \h </w:instrText>
      </w:r>
      <w:r>
        <w:rPr>
          <w:noProof/>
        </w:rPr>
      </w:r>
      <w:r>
        <w:rPr>
          <w:noProof/>
        </w:rPr>
        <w:fldChar w:fldCharType="separate"/>
      </w:r>
      <w:r w:rsidR="00497E3C">
        <w:rPr>
          <w:noProof/>
        </w:rPr>
        <w:t>123</w:t>
      </w:r>
      <w:r>
        <w:rPr>
          <w:noProof/>
        </w:rPr>
        <w:fldChar w:fldCharType="end"/>
      </w:r>
    </w:p>
    <w:p w14:paraId="15545A34"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3.3.2.3—Oil or gas exploration—fugitive emissions from system upsets, accidents and deliberate releases from process vents</w:t>
      </w:r>
      <w:r>
        <w:rPr>
          <w:noProof/>
        </w:rPr>
        <w:tab/>
      </w:r>
      <w:r>
        <w:rPr>
          <w:noProof/>
        </w:rPr>
        <w:fldChar w:fldCharType="begin"/>
      </w:r>
      <w:r>
        <w:rPr>
          <w:noProof/>
        </w:rPr>
        <w:instrText xml:space="preserve"> PAGEREF _Toc13233722 \h </w:instrText>
      </w:r>
      <w:r>
        <w:rPr>
          <w:noProof/>
        </w:rPr>
      </w:r>
      <w:r>
        <w:rPr>
          <w:noProof/>
        </w:rPr>
        <w:fldChar w:fldCharType="separate"/>
      </w:r>
      <w:r w:rsidR="00497E3C">
        <w:rPr>
          <w:noProof/>
        </w:rPr>
        <w:t>123</w:t>
      </w:r>
      <w:r>
        <w:rPr>
          <w:noProof/>
        </w:rPr>
        <w:fldChar w:fldCharType="end"/>
      </w:r>
    </w:p>
    <w:p w14:paraId="601527E6" w14:textId="77777777" w:rsidR="005168F5" w:rsidRDefault="005168F5">
      <w:pPr>
        <w:pStyle w:val="TOC5"/>
        <w:rPr>
          <w:rFonts w:asciiTheme="minorHAnsi" w:eastAsiaTheme="minorEastAsia" w:hAnsiTheme="minorHAnsi" w:cstheme="minorBidi"/>
          <w:noProof/>
          <w:kern w:val="0"/>
          <w:sz w:val="22"/>
          <w:szCs w:val="22"/>
        </w:rPr>
      </w:pPr>
      <w:r>
        <w:rPr>
          <w:noProof/>
        </w:rPr>
        <w:t>3.46A  Available methods</w:t>
      </w:r>
      <w:r>
        <w:rPr>
          <w:noProof/>
        </w:rPr>
        <w:tab/>
      </w:r>
      <w:r>
        <w:rPr>
          <w:noProof/>
        </w:rPr>
        <w:fldChar w:fldCharType="begin"/>
      </w:r>
      <w:r>
        <w:rPr>
          <w:noProof/>
        </w:rPr>
        <w:instrText xml:space="preserve"> PAGEREF _Toc13233723 \h </w:instrText>
      </w:r>
      <w:r>
        <w:rPr>
          <w:noProof/>
        </w:rPr>
      </w:r>
      <w:r>
        <w:rPr>
          <w:noProof/>
        </w:rPr>
        <w:fldChar w:fldCharType="separate"/>
      </w:r>
      <w:r w:rsidR="00497E3C">
        <w:rPr>
          <w:noProof/>
        </w:rPr>
        <w:t>123</w:t>
      </w:r>
      <w:r>
        <w:rPr>
          <w:noProof/>
        </w:rPr>
        <w:fldChar w:fldCharType="end"/>
      </w:r>
    </w:p>
    <w:p w14:paraId="26A88670" w14:textId="77777777" w:rsidR="005168F5" w:rsidRDefault="005168F5">
      <w:pPr>
        <w:pStyle w:val="TOC5"/>
        <w:rPr>
          <w:rFonts w:asciiTheme="minorHAnsi" w:eastAsiaTheme="minorEastAsia" w:hAnsiTheme="minorHAnsi" w:cstheme="minorBidi"/>
          <w:noProof/>
          <w:kern w:val="0"/>
          <w:sz w:val="22"/>
          <w:szCs w:val="22"/>
        </w:rPr>
      </w:pPr>
      <w:r>
        <w:rPr>
          <w:noProof/>
        </w:rPr>
        <w:t>3.46B  Method 4—vented emissions from well completions and well workovers</w:t>
      </w:r>
      <w:r>
        <w:rPr>
          <w:noProof/>
        </w:rPr>
        <w:tab/>
      </w:r>
      <w:r>
        <w:rPr>
          <w:noProof/>
        </w:rPr>
        <w:fldChar w:fldCharType="begin"/>
      </w:r>
      <w:r>
        <w:rPr>
          <w:noProof/>
        </w:rPr>
        <w:instrText xml:space="preserve"> PAGEREF _Toc13233724 \h </w:instrText>
      </w:r>
      <w:r>
        <w:rPr>
          <w:noProof/>
        </w:rPr>
      </w:r>
      <w:r>
        <w:rPr>
          <w:noProof/>
        </w:rPr>
        <w:fldChar w:fldCharType="separate"/>
      </w:r>
      <w:r w:rsidR="00497E3C">
        <w:rPr>
          <w:noProof/>
        </w:rPr>
        <w:t>124</w:t>
      </w:r>
      <w:r>
        <w:rPr>
          <w:noProof/>
        </w:rPr>
        <w:fldChar w:fldCharType="end"/>
      </w:r>
    </w:p>
    <w:p w14:paraId="2A3A2F09" w14:textId="77777777" w:rsidR="005168F5" w:rsidRDefault="005168F5">
      <w:pPr>
        <w:pStyle w:val="TOC3"/>
        <w:rPr>
          <w:rFonts w:asciiTheme="minorHAnsi" w:eastAsiaTheme="minorEastAsia" w:hAnsiTheme="minorHAnsi" w:cstheme="minorBidi"/>
          <w:b w:val="0"/>
          <w:noProof/>
          <w:kern w:val="0"/>
          <w:szCs w:val="22"/>
        </w:rPr>
      </w:pPr>
      <w:r>
        <w:rPr>
          <w:noProof/>
        </w:rPr>
        <w:t>Division 3.3.3—Crude oil production</w:t>
      </w:r>
      <w:r>
        <w:rPr>
          <w:noProof/>
        </w:rPr>
        <w:tab/>
      </w:r>
      <w:r>
        <w:rPr>
          <w:noProof/>
        </w:rPr>
        <w:fldChar w:fldCharType="begin"/>
      </w:r>
      <w:r>
        <w:rPr>
          <w:noProof/>
        </w:rPr>
        <w:instrText xml:space="preserve"> PAGEREF _Toc13233725 \h </w:instrText>
      </w:r>
      <w:r>
        <w:rPr>
          <w:noProof/>
        </w:rPr>
      </w:r>
      <w:r>
        <w:rPr>
          <w:noProof/>
        </w:rPr>
        <w:fldChar w:fldCharType="separate"/>
      </w:r>
      <w:r w:rsidR="00497E3C">
        <w:rPr>
          <w:noProof/>
        </w:rPr>
        <w:t>128</w:t>
      </w:r>
      <w:r>
        <w:rPr>
          <w:noProof/>
        </w:rPr>
        <w:fldChar w:fldCharType="end"/>
      </w:r>
    </w:p>
    <w:p w14:paraId="152B3687"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3.3.3.1—Preliminary</w:t>
      </w:r>
      <w:r>
        <w:rPr>
          <w:noProof/>
        </w:rPr>
        <w:tab/>
      </w:r>
      <w:r>
        <w:rPr>
          <w:noProof/>
        </w:rPr>
        <w:fldChar w:fldCharType="begin"/>
      </w:r>
      <w:r>
        <w:rPr>
          <w:noProof/>
        </w:rPr>
        <w:instrText xml:space="preserve"> PAGEREF _Toc13233726 \h </w:instrText>
      </w:r>
      <w:r>
        <w:rPr>
          <w:noProof/>
        </w:rPr>
      </w:r>
      <w:r>
        <w:rPr>
          <w:noProof/>
        </w:rPr>
        <w:fldChar w:fldCharType="separate"/>
      </w:r>
      <w:r w:rsidR="00497E3C">
        <w:rPr>
          <w:noProof/>
        </w:rPr>
        <w:t>128</w:t>
      </w:r>
      <w:r>
        <w:rPr>
          <w:noProof/>
        </w:rPr>
        <w:fldChar w:fldCharType="end"/>
      </w:r>
    </w:p>
    <w:p w14:paraId="35D78CBF" w14:textId="77777777" w:rsidR="005168F5" w:rsidRDefault="005168F5">
      <w:pPr>
        <w:pStyle w:val="TOC5"/>
        <w:rPr>
          <w:rFonts w:asciiTheme="minorHAnsi" w:eastAsiaTheme="minorEastAsia" w:hAnsiTheme="minorHAnsi" w:cstheme="minorBidi"/>
          <w:noProof/>
          <w:kern w:val="0"/>
          <w:sz w:val="22"/>
          <w:szCs w:val="22"/>
        </w:rPr>
      </w:pPr>
      <w:r>
        <w:rPr>
          <w:noProof/>
        </w:rPr>
        <w:t>3.47  Application</w:t>
      </w:r>
      <w:r>
        <w:rPr>
          <w:noProof/>
        </w:rPr>
        <w:tab/>
      </w:r>
      <w:r>
        <w:rPr>
          <w:noProof/>
        </w:rPr>
        <w:fldChar w:fldCharType="begin"/>
      </w:r>
      <w:r>
        <w:rPr>
          <w:noProof/>
        </w:rPr>
        <w:instrText xml:space="preserve"> PAGEREF _Toc13233727 \h </w:instrText>
      </w:r>
      <w:r>
        <w:rPr>
          <w:noProof/>
        </w:rPr>
      </w:r>
      <w:r>
        <w:rPr>
          <w:noProof/>
        </w:rPr>
        <w:fldChar w:fldCharType="separate"/>
      </w:r>
      <w:r w:rsidR="00497E3C">
        <w:rPr>
          <w:noProof/>
        </w:rPr>
        <w:t>128</w:t>
      </w:r>
      <w:r>
        <w:rPr>
          <w:noProof/>
        </w:rPr>
        <w:fldChar w:fldCharType="end"/>
      </w:r>
    </w:p>
    <w:p w14:paraId="293F3B9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3.3.3.2—Crude oil production (non</w:t>
      </w:r>
      <w:r>
        <w:rPr>
          <w:noProof/>
        </w:rPr>
        <w:noBreakHyphen/>
        <w:t>flared)—fugitive leak emissions of methane</w:t>
      </w:r>
      <w:r>
        <w:rPr>
          <w:noProof/>
        </w:rPr>
        <w:tab/>
      </w:r>
      <w:r>
        <w:rPr>
          <w:noProof/>
        </w:rPr>
        <w:fldChar w:fldCharType="begin"/>
      </w:r>
      <w:r>
        <w:rPr>
          <w:noProof/>
        </w:rPr>
        <w:instrText xml:space="preserve"> PAGEREF _Toc13233728 \h </w:instrText>
      </w:r>
      <w:r>
        <w:rPr>
          <w:noProof/>
        </w:rPr>
      </w:r>
      <w:r>
        <w:rPr>
          <w:noProof/>
        </w:rPr>
        <w:fldChar w:fldCharType="separate"/>
      </w:r>
      <w:r w:rsidR="00497E3C">
        <w:rPr>
          <w:noProof/>
        </w:rPr>
        <w:t>128</w:t>
      </w:r>
      <w:r>
        <w:rPr>
          <w:noProof/>
        </w:rPr>
        <w:fldChar w:fldCharType="end"/>
      </w:r>
    </w:p>
    <w:p w14:paraId="79DE4FF8" w14:textId="77777777" w:rsidR="005168F5" w:rsidRDefault="005168F5">
      <w:pPr>
        <w:pStyle w:val="TOC5"/>
        <w:rPr>
          <w:rFonts w:asciiTheme="minorHAnsi" w:eastAsiaTheme="minorEastAsia" w:hAnsiTheme="minorHAnsi" w:cstheme="minorBidi"/>
          <w:noProof/>
          <w:kern w:val="0"/>
          <w:sz w:val="22"/>
          <w:szCs w:val="22"/>
        </w:rPr>
      </w:pPr>
      <w:r>
        <w:rPr>
          <w:noProof/>
        </w:rPr>
        <w:t>3.48  Available methods</w:t>
      </w:r>
      <w:r>
        <w:rPr>
          <w:noProof/>
        </w:rPr>
        <w:tab/>
      </w:r>
      <w:r>
        <w:rPr>
          <w:noProof/>
        </w:rPr>
        <w:fldChar w:fldCharType="begin"/>
      </w:r>
      <w:r>
        <w:rPr>
          <w:noProof/>
        </w:rPr>
        <w:instrText xml:space="preserve"> PAGEREF _Toc13233729 \h </w:instrText>
      </w:r>
      <w:r>
        <w:rPr>
          <w:noProof/>
        </w:rPr>
      </w:r>
      <w:r>
        <w:rPr>
          <w:noProof/>
        </w:rPr>
        <w:fldChar w:fldCharType="separate"/>
      </w:r>
      <w:r w:rsidR="00497E3C">
        <w:rPr>
          <w:noProof/>
        </w:rPr>
        <w:t>128</w:t>
      </w:r>
      <w:r>
        <w:rPr>
          <w:noProof/>
        </w:rPr>
        <w:fldChar w:fldCharType="end"/>
      </w:r>
    </w:p>
    <w:p w14:paraId="60AED2CE" w14:textId="77777777" w:rsidR="005168F5" w:rsidRDefault="005168F5">
      <w:pPr>
        <w:pStyle w:val="TOC5"/>
        <w:rPr>
          <w:rFonts w:asciiTheme="minorHAnsi" w:eastAsiaTheme="minorEastAsia" w:hAnsiTheme="minorHAnsi" w:cstheme="minorBidi"/>
          <w:noProof/>
          <w:kern w:val="0"/>
          <w:sz w:val="22"/>
          <w:szCs w:val="22"/>
        </w:rPr>
      </w:pPr>
      <w:r>
        <w:rPr>
          <w:noProof/>
        </w:rPr>
        <w:t>3.49  Method 1—crude oil production (non</w:t>
      </w:r>
      <w:r>
        <w:rPr>
          <w:noProof/>
        </w:rPr>
        <w:noBreakHyphen/>
        <w:t>flared) emissions of methane</w:t>
      </w:r>
      <w:r>
        <w:rPr>
          <w:noProof/>
        </w:rPr>
        <w:tab/>
      </w:r>
      <w:r>
        <w:rPr>
          <w:noProof/>
        </w:rPr>
        <w:fldChar w:fldCharType="begin"/>
      </w:r>
      <w:r>
        <w:rPr>
          <w:noProof/>
        </w:rPr>
        <w:instrText xml:space="preserve"> PAGEREF _Toc13233730 \h </w:instrText>
      </w:r>
      <w:r>
        <w:rPr>
          <w:noProof/>
        </w:rPr>
      </w:r>
      <w:r>
        <w:rPr>
          <w:noProof/>
        </w:rPr>
        <w:fldChar w:fldCharType="separate"/>
      </w:r>
      <w:r w:rsidR="00497E3C">
        <w:rPr>
          <w:noProof/>
        </w:rPr>
        <w:t>129</w:t>
      </w:r>
      <w:r>
        <w:rPr>
          <w:noProof/>
        </w:rPr>
        <w:fldChar w:fldCharType="end"/>
      </w:r>
    </w:p>
    <w:p w14:paraId="2DDA1077" w14:textId="77777777" w:rsidR="005168F5" w:rsidRDefault="005168F5">
      <w:pPr>
        <w:pStyle w:val="TOC5"/>
        <w:rPr>
          <w:rFonts w:asciiTheme="minorHAnsi" w:eastAsiaTheme="minorEastAsia" w:hAnsiTheme="minorHAnsi" w:cstheme="minorBidi"/>
          <w:noProof/>
          <w:kern w:val="0"/>
          <w:sz w:val="22"/>
          <w:szCs w:val="22"/>
        </w:rPr>
      </w:pPr>
      <w:r>
        <w:rPr>
          <w:noProof/>
        </w:rPr>
        <w:t>3.50  Method 2—crude oil production (non</w:t>
      </w:r>
      <w:r>
        <w:rPr>
          <w:noProof/>
        </w:rPr>
        <w:noBreakHyphen/>
        <w:t>flared) emissions of methane</w:t>
      </w:r>
      <w:r>
        <w:rPr>
          <w:noProof/>
        </w:rPr>
        <w:tab/>
      </w:r>
      <w:r>
        <w:rPr>
          <w:noProof/>
        </w:rPr>
        <w:fldChar w:fldCharType="begin"/>
      </w:r>
      <w:r>
        <w:rPr>
          <w:noProof/>
        </w:rPr>
        <w:instrText xml:space="preserve"> PAGEREF _Toc13233731 \h </w:instrText>
      </w:r>
      <w:r>
        <w:rPr>
          <w:noProof/>
        </w:rPr>
      </w:r>
      <w:r>
        <w:rPr>
          <w:noProof/>
        </w:rPr>
        <w:fldChar w:fldCharType="separate"/>
      </w:r>
      <w:r w:rsidR="00497E3C">
        <w:rPr>
          <w:noProof/>
        </w:rPr>
        <w:t>130</w:t>
      </w:r>
      <w:r>
        <w:rPr>
          <w:noProof/>
        </w:rPr>
        <w:fldChar w:fldCharType="end"/>
      </w:r>
    </w:p>
    <w:p w14:paraId="21B660B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3.3.3.3—Crude oil production (flared)—fugitive emissions of carbon dioxide, methane and nitrous oxide</w:t>
      </w:r>
      <w:r>
        <w:rPr>
          <w:noProof/>
        </w:rPr>
        <w:tab/>
      </w:r>
      <w:r>
        <w:rPr>
          <w:noProof/>
        </w:rPr>
        <w:fldChar w:fldCharType="begin"/>
      </w:r>
      <w:r>
        <w:rPr>
          <w:noProof/>
        </w:rPr>
        <w:instrText xml:space="preserve"> PAGEREF _Toc13233732 \h </w:instrText>
      </w:r>
      <w:r>
        <w:rPr>
          <w:noProof/>
        </w:rPr>
      </w:r>
      <w:r>
        <w:rPr>
          <w:noProof/>
        </w:rPr>
        <w:fldChar w:fldCharType="separate"/>
      </w:r>
      <w:r w:rsidR="00497E3C">
        <w:rPr>
          <w:noProof/>
        </w:rPr>
        <w:t>130</w:t>
      </w:r>
      <w:r>
        <w:rPr>
          <w:noProof/>
        </w:rPr>
        <w:fldChar w:fldCharType="end"/>
      </w:r>
    </w:p>
    <w:p w14:paraId="6CA97B96" w14:textId="77777777" w:rsidR="005168F5" w:rsidRDefault="005168F5">
      <w:pPr>
        <w:pStyle w:val="TOC5"/>
        <w:rPr>
          <w:rFonts w:asciiTheme="minorHAnsi" w:eastAsiaTheme="minorEastAsia" w:hAnsiTheme="minorHAnsi" w:cstheme="minorBidi"/>
          <w:noProof/>
          <w:kern w:val="0"/>
          <w:sz w:val="22"/>
          <w:szCs w:val="22"/>
        </w:rPr>
      </w:pPr>
      <w:r>
        <w:rPr>
          <w:noProof/>
        </w:rPr>
        <w:t>3.51  Available methods</w:t>
      </w:r>
      <w:r>
        <w:rPr>
          <w:noProof/>
        </w:rPr>
        <w:tab/>
      </w:r>
      <w:r>
        <w:rPr>
          <w:noProof/>
        </w:rPr>
        <w:fldChar w:fldCharType="begin"/>
      </w:r>
      <w:r>
        <w:rPr>
          <w:noProof/>
        </w:rPr>
        <w:instrText xml:space="preserve"> PAGEREF _Toc13233733 \h </w:instrText>
      </w:r>
      <w:r>
        <w:rPr>
          <w:noProof/>
        </w:rPr>
      </w:r>
      <w:r>
        <w:rPr>
          <w:noProof/>
        </w:rPr>
        <w:fldChar w:fldCharType="separate"/>
      </w:r>
      <w:r w:rsidR="00497E3C">
        <w:rPr>
          <w:noProof/>
        </w:rPr>
        <w:t>130</w:t>
      </w:r>
      <w:r>
        <w:rPr>
          <w:noProof/>
        </w:rPr>
        <w:fldChar w:fldCharType="end"/>
      </w:r>
    </w:p>
    <w:p w14:paraId="3CF7164A" w14:textId="77777777" w:rsidR="005168F5" w:rsidRDefault="005168F5">
      <w:pPr>
        <w:pStyle w:val="TOC5"/>
        <w:rPr>
          <w:rFonts w:asciiTheme="minorHAnsi" w:eastAsiaTheme="minorEastAsia" w:hAnsiTheme="minorHAnsi" w:cstheme="minorBidi"/>
          <w:noProof/>
          <w:kern w:val="0"/>
          <w:sz w:val="22"/>
          <w:szCs w:val="22"/>
        </w:rPr>
      </w:pPr>
      <w:r>
        <w:rPr>
          <w:noProof/>
        </w:rPr>
        <w:t>3.52  Method 1—crude oil production (flared) emissions</w:t>
      </w:r>
      <w:r>
        <w:rPr>
          <w:noProof/>
        </w:rPr>
        <w:tab/>
      </w:r>
      <w:r>
        <w:rPr>
          <w:noProof/>
        </w:rPr>
        <w:fldChar w:fldCharType="begin"/>
      </w:r>
      <w:r>
        <w:rPr>
          <w:noProof/>
        </w:rPr>
        <w:instrText xml:space="preserve"> PAGEREF _Toc13233734 \h </w:instrText>
      </w:r>
      <w:r>
        <w:rPr>
          <w:noProof/>
        </w:rPr>
      </w:r>
      <w:r>
        <w:rPr>
          <w:noProof/>
        </w:rPr>
        <w:fldChar w:fldCharType="separate"/>
      </w:r>
      <w:r w:rsidR="00497E3C">
        <w:rPr>
          <w:noProof/>
        </w:rPr>
        <w:t>131</w:t>
      </w:r>
      <w:r>
        <w:rPr>
          <w:noProof/>
        </w:rPr>
        <w:fldChar w:fldCharType="end"/>
      </w:r>
    </w:p>
    <w:p w14:paraId="6E1EE4D4" w14:textId="77777777" w:rsidR="005168F5" w:rsidRDefault="005168F5">
      <w:pPr>
        <w:pStyle w:val="TOC5"/>
        <w:rPr>
          <w:rFonts w:asciiTheme="minorHAnsi" w:eastAsiaTheme="minorEastAsia" w:hAnsiTheme="minorHAnsi" w:cstheme="minorBidi"/>
          <w:noProof/>
          <w:kern w:val="0"/>
          <w:sz w:val="22"/>
          <w:szCs w:val="22"/>
        </w:rPr>
      </w:pPr>
      <w:r>
        <w:rPr>
          <w:noProof/>
        </w:rPr>
        <w:t>3.53  Method 2—crude oil production</w:t>
      </w:r>
      <w:r>
        <w:rPr>
          <w:noProof/>
        </w:rPr>
        <w:tab/>
      </w:r>
      <w:r>
        <w:rPr>
          <w:noProof/>
        </w:rPr>
        <w:fldChar w:fldCharType="begin"/>
      </w:r>
      <w:r>
        <w:rPr>
          <w:noProof/>
        </w:rPr>
        <w:instrText xml:space="preserve"> PAGEREF _Toc13233735 \h </w:instrText>
      </w:r>
      <w:r>
        <w:rPr>
          <w:noProof/>
        </w:rPr>
      </w:r>
      <w:r>
        <w:rPr>
          <w:noProof/>
        </w:rPr>
        <w:fldChar w:fldCharType="separate"/>
      </w:r>
      <w:r w:rsidR="00497E3C">
        <w:rPr>
          <w:noProof/>
        </w:rPr>
        <w:t>131</w:t>
      </w:r>
      <w:r>
        <w:rPr>
          <w:noProof/>
        </w:rPr>
        <w:fldChar w:fldCharType="end"/>
      </w:r>
    </w:p>
    <w:p w14:paraId="323D91F3" w14:textId="77777777" w:rsidR="005168F5" w:rsidRDefault="005168F5">
      <w:pPr>
        <w:pStyle w:val="TOC5"/>
        <w:rPr>
          <w:rFonts w:asciiTheme="minorHAnsi" w:eastAsiaTheme="minorEastAsia" w:hAnsiTheme="minorHAnsi" w:cstheme="minorBidi"/>
          <w:noProof/>
          <w:kern w:val="0"/>
          <w:sz w:val="22"/>
          <w:szCs w:val="22"/>
        </w:rPr>
      </w:pPr>
      <w:r>
        <w:rPr>
          <w:noProof/>
        </w:rPr>
        <w:t>3.53A  Method 2A—crude oil production (flared methane or nitrous oxide emissions)</w:t>
      </w:r>
      <w:r>
        <w:rPr>
          <w:noProof/>
        </w:rPr>
        <w:tab/>
      </w:r>
      <w:r>
        <w:rPr>
          <w:noProof/>
        </w:rPr>
        <w:fldChar w:fldCharType="begin"/>
      </w:r>
      <w:r>
        <w:rPr>
          <w:noProof/>
        </w:rPr>
        <w:instrText xml:space="preserve"> PAGEREF _Toc13233736 \h </w:instrText>
      </w:r>
      <w:r>
        <w:rPr>
          <w:noProof/>
        </w:rPr>
      </w:r>
      <w:r>
        <w:rPr>
          <w:noProof/>
        </w:rPr>
        <w:fldChar w:fldCharType="separate"/>
      </w:r>
      <w:r w:rsidR="00497E3C">
        <w:rPr>
          <w:noProof/>
        </w:rPr>
        <w:t>132</w:t>
      </w:r>
      <w:r>
        <w:rPr>
          <w:noProof/>
        </w:rPr>
        <w:fldChar w:fldCharType="end"/>
      </w:r>
    </w:p>
    <w:p w14:paraId="7F14F7B5" w14:textId="77777777" w:rsidR="005168F5" w:rsidRDefault="005168F5">
      <w:pPr>
        <w:pStyle w:val="TOC5"/>
        <w:rPr>
          <w:rFonts w:asciiTheme="minorHAnsi" w:eastAsiaTheme="minorEastAsia" w:hAnsiTheme="minorHAnsi" w:cstheme="minorBidi"/>
          <w:noProof/>
          <w:kern w:val="0"/>
          <w:sz w:val="22"/>
          <w:szCs w:val="22"/>
        </w:rPr>
      </w:pPr>
      <w:r>
        <w:rPr>
          <w:noProof/>
        </w:rPr>
        <w:t>3.54  Method 3—crude oil production</w:t>
      </w:r>
      <w:r>
        <w:rPr>
          <w:noProof/>
        </w:rPr>
        <w:tab/>
      </w:r>
      <w:r>
        <w:rPr>
          <w:noProof/>
        </w:rPr>
        <w:fldChar w:fldCharType="begin"/>
      </w:r>
      <w:r>
        <w:rPr>
          <w:noProof/>
        </w:rPr>
        <w:instrText xml:space="preserve"> PAGEREF _Toc13233737 \h </w:instrText>
      </w:r>
      <w:r>
        <w:rPr>
          <w:noProof/>
        </w:rPr>
      </w:r>
      <w:r>
        <w:rPr>
          <w:noProof/>
        </w:rPr>
        <w:fldChar w:fldCharType="separate"/>
      </w:r>
      <w:r w:rsidR="00497E3C">
        <w:rPr>
          <w:noProof/>
        </w:rPr>
        <w:t>133</w:t>
      </w:r>
      <w:r>
        <w:rPr>
          <w:noProof/>
        </w:rPr>
        <w:fldChar w:fldCharType="end"/>
      </w:r>
    </w:p>
    <w:p w14:paraId="626FD230"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3.3.3.4—Crude oil production (non</w:t>
      </w:r>
      <w:r>
        <w:rPr>
          <w:noProof/>
        </w:rPr>
        <w:noBreakHyphen/>
        <w:t>flared)—fugitive vent emissions of methane and carbon dioxide</w:t>
      </w:r>
      <w:r>
        <w:rPr>
          <w:noProof/>
        </w:rPr>
        <w:tab/>
      </w:r>
      <w:r>
        <w:rPr>
          <w:noProof/>
        </w:rPr>
        <w:fldChar w:fldCharType="begin"/>
      </w:r>
      <w:r>
        <w:rPr>
          <w:noProof/>
        </w:rPr>
        <w:instrText xml:space="preserve"> PAGEREF _Toc13233738 \h </w:instrText>
      </w:r>
      <w:r>
        <w:rPr>
          <w:noProof/>
        </w:rPr>
      </w:r>
      <w:r>
        <w:rPr>
          <w:noProof/>
        </w:rPr>
        <w:fldChar w:fldCharType="separate"/>
      </w:r>
      <w:r w:rsidR="00497E3C">
        <w:rPr>
          <w:noProof/>
        </w:rPr>
        <w:t>133</w:t>
      </w:r>
      <w:r>
        <w:rPr>
          <w:noProof/>
        </w:rPr>
        <w:fldChar w:fldCharType="end"/>
      </w:r>
    </w:p>
    <w:p w14:paraId="76DF69F4" w14:textId="77777777" w:rsidR="005168F5" w:rsidRDefault="005168F5">
      <w:pPr>
        <w:pStyle w:val="TOC5"/>
        <w:rPr>
          <w:rFonts w:asciiTheme="minorHAnsi" w:eastAsiaTheme="minorEastAsia" w:hAnsiTheme="minorHAnsi" w:cstheme="minorBidi"/>
          <w:noProof/>
          <w:kern w:val="0"/>
          <w:sz w:val="22"/>
          <w:szCs w:val="22"/>
        </w:rPr>
      </w:pPr>
      <w:r>
        <w:rPr>
          <w:noProof/>
        </w:rPr>
        <w:t>3.56A  Available methods</w:t>
      </w:r>
      <w:r>
        <w:rPr>
          <w:noProof/>
        </w:rPr>
        <w:tab/>
      </w:r>
      <w:r>
        <w:rPr>
          <w:noProof/>
        </w:rPr>
        <w:fldChar w:fldCharType="begin"/>
      </w:r>
      <w:r>
        <w:rPr>
          <w:noProof/>
        </w:rPr>
        <w:instrText xml:space="preserve"> PAGEREF _Toc13233739 \h </w:instrText>
      </w:r>
      <w:r>
        <w:rPr>
          <w:noProof/>
        </w:rPr>
      </w:r>
      <w:r>
        <w:rPr>
          <w:noProof/>
        </w:rPr>
        <w:fldChar w:fldCharType="separate"/>
      </w:r>
      <w:r w:rsidR="00497E3C">
        <w:rPr>
          <w:noProof/>
        </w:rPr>
        <w:t>133</w:t>
      </w:r>
      <w:r>
        <w:rPr>
          <w:noProof/>
        </w:rPr>
        <w:fldChar w:fldCharType="end"/>
      </w:r>
    </w:p>
    <w:p w14:paraId="73F0B2C5" w14:textId="77777777" w:rsidR="005168F5" w:rsidRDefault="005168F5">
      <w:pPr>
        <w:pStyle w:val="TOC3"/>
        <w:rPr>
          <w:rFonts w:asciiTheme="minorHAnsi" w:eastAsiaTheme="minorEastAsia" w:hAnsiTheme="minorHAnsi" w:cstheme="minorBidi"/>
          <w:b w:val="0"/>
          <w:noProof/>
          <w:kern w:val="0"/>
          <w:szCs w:val="22"/>
        </w:rPr>
      </w:pPr>
      <w:r>
        <w:rPr>
          <w:noProof/>
        </w:rPr>
        <w:t>Division 3.3.4—Crude oil transport</w:t>
      </w:r>
      <w:r>
        <w:rPr>
          <w:noProof/>
        </w:rPr>
        <w:tab/>
      </w:r>
      <w:r>
        <w:rPr>
          <w:noProof/>
        </w:rPr>
        <w:fldChar w:fldCharType="begin"/>
      </w:r>
      <w:r>
        <w:rPr>
          <w:noProof/>
        </w:rPr>
        <w:instrText xml:space="preserve"> PAGEREF _Toc13233740 \h </w:instrText>
      </w:r>
      <w:r>
        <w:rPr>
          <w:noProof/>
        </w:rPr>
      </w:r>
      <w:r>
        <w:rPr>
          <w:noProof/>
        </w:rPr>
        <w:fldChar w:fldCharType="separate"/>
      </w:r>
      <w:r w:rsidR="00497E3C">
        <w:rPr>
          <w:noProof/>
        </w:rPr>
        <w:t>134</w:t>
      </w:r>
      <w:r>
        <w:rPr>
          <w:noProof/>
        </w:rPr>
        <w:fldChar w:fldCharType="end"/>
      </w:r>
    </w:p>
    <w:p w14:paraId="74071697" w14:textId="77777777" w:rsidR="005168F5" w:rsidRDefault="005168F5">
      <w:pPr>
        <w:pStyle w:val="TOC5"/>
        <w:rPr>
          <w:rFonts w:asciiTheme="minorHAnsi" w:eastAsiaTheme="minorEastAsia" w:hAnsiTheme="minorHAnsi" w:cstheme="minorBidi"/>
          <w:noProof/>
          <w:kern w:val="0"/>
          <w:sz w:val="22"/>
          <w:szCs w:val="22"/>
        </w:rPr>
      </w:pPr>
      <w:r>
        <w:rPr>
          <w:noProof/>
        </w:rPr>
        <w:t>3.57  Application</w:t>
      </w:r>
      <w:r>
        <w:rPr>
          <w:noProof/>
        </w:rPr>
        <w:tab/>
      </w:r>
      <w:r>
        <w:rPr>
          <w:noProof/>
        </w:rPr>
        <w:fldChar w:fldCharType="begin"/>
      </w:r>
      <w:r>
        <w:rPr>
          <w:noProof/>
        </w:rPr>
        <w:instrText xml:space="preserve"> PAGEREF _Toc13233741 \h </w:instrText>
      </w:r>
      <w:r>
        <w:rPr>
          <w:noProof/>
        </w:rPr>
      </w:r>
      <w:r>
        <w:rPr>
          <w:noProof/>
        </w:rPr>
        <w:fldChar w:fldCharType="separate"/>
      </w:r>
      <w:r w:rsidR="00497E3C">
        <w:rPr>
          <w:noProof/>
        </w:rPr>
        <w:t>134</w:t>
      </w:r>
      <w:r>
        <w:rPr>
          <w:noProof/>
        </w:rPr>
        <w:fldChar w:fldCharType="end"/>
      </w:r>
    </w:p>
    <w:p w14:paraId="4EFA95C4" w14:textId="77777777" w:rsidR="005168F5" w:rsidRDefault="005168F5">
      <w:pPr>
        <w:pStyle w:val="TOC5"/>
        <w:rPr>
          <w:rFonts w:asciiTheme="minorHAnsi" w:eastAsiaTheme="minorEastAsia" w:hAnsiTheme="minorHAnsi" w:cstheme="minorBidi"/>
          <w:noProof/>
          <w:kern w:val="0"/>
          <w:sz w:val="22"/>
          <w:szCs w:val="22"/>
        </w:rPr>
      </w:pPr>
      <w:r>
        <w:rPr>
          <w:noProof/>
        </w:rPr>
        <w:t>3.58  Available methods</w:t>
      </w:r>
      <w:r>
        <w:rPr>
          <w:noProof/>
        </w:rPr>
        <w:tab/>
      </w:r>
      <w:r>
        <w:rPr>
          <w:noProof/>
        </w:rPr>
        <w:fldChar w:fldCharType="begin"/>
      </w:r>
      <w:r>
        <w:rPr>
          <w:noProof/>
        </w:rPr>
        <w:instrText xml:space="preserve"> PAGEREF _Toc13233742 \h </w:instrText>
      </w:r>
      <w:r>
        <w:rPr>
          <w:noProof/>
        </w:rPr>
      </w:r>
      <w:r>
        <w:rPr>
          <w:noProof/>
        </w:rPr>
        <w:fldChar w:fldCharType="separate"/>
      </w:r>
      <w:r w:rsidR="00497E3C">
        <w:rPr>
          <w:noProof/>
        </w:rPr>
        <w:t>134</w:t>
      </w:r>
      <w:r>
        <w:rPr>
          <w:noProof/>
        </w:rPr>
        <w:fldChar w:fldCharType="end"/>
      </w:r>
    </w:p>
    <w:p w14:paraId="7E50643B" w14:textId="77777777" w:rsidR="005168F5" w:rsidRDefault="005168F5">
      <w:pPr>
        <w:pStyle w:val="TOC5"/>
        <w:rPr>
          <w:rFonts w:asciiTheme="minorHAnsi" w:eastAsiaTheme="minorEastAsia" w:hAnsiTheme="minorHAnsi" w:cstheme="minorBidi"/>
          <w:noProof/>
          <w:kern w:val="0"/>
          <w:sz w:val="22"/>
          <w:szCs w:val="22"/>
        </w:rPr>
      </w:pPr>
      <w:r>
        <w:rPr>
          <w:noProof/>
        </w:rPr>
        <w:t>3.59  Method 1—crude oil transport</w:t>
      </w:r>
      <w:r>
        <w:rPr>
          <w:noProof/>
        </w:rPr>
        <w:tab/>
      </w:r>
      <w:r>
        <w:rPr>
          <w:noProof/>
        </w:rPr>
        <w:fldChar w:fldCharType="begin"/>
      </w:r>
      <w:r>
        <w:rPr>
          <w:noProof/>
        </w:rPr>
        <w:instrText xml:space="preserve"> PAGEREF _Toc13233743 \h </w:instrText>
      </w:r>
      <w:r>
        <w:rPr>
          <w:noProof/>
        </w:rPr>
      </w:r>
      <w:r>
        <w:rPr>
          <w:noProof/>
        </w:rPr>
        <w:fldChar w:fldCharType="separate"/>
      </w:r>
      <w:r w:rsidR="00497E3C">
        <w:rPr>
          <w:noProof/>
        </w:rPr>
        <w:t>134</w:t>
      </w:r>
      <w:r>
        <w:rPr>
          <w:noProof/>
        </w:rPr>
        <w:fldChar w:fldCharType="end"/>
      </w:r>
    </w:p>
    <w:p w14:paraId="6D221814" w14:textId="77777777" w:rsidR="005168F5" w:rsidRDefault="005168F5">
      <w:pPr>
        <w:pStyle w:val="TOC5"/>
        <w:rPr>
          <w:rFonts w:asciiTheme="minorHAnsi" w:eastAsiaTheme="minorEastAsia" w:hAnsiTheme="minorHAnsi" w:cstheme="minorBidi"/>
          <w:noProof/>
          <w:kern w:val="0"/>
          <w:sz w:val="22"/>
          <w:szCs w:val="22"/>
        </w:rPr>
      </w:pPr>
      <w:r>
        <w:rPr>
          <w:noProof/>
        </w:rPr>
        <w:t>3.60  Method 2—fugitive emissions from crude oil transport</w:t>
      </w:r>
      <w:r>
        <w:rPr>
          <w:noProof/>
        </w:rPr>
        <w:tab/>
      </w:r>
      <w:r>
        <w:rPr>
          <w:noProof/>
        </w:rPr>
        <w:fldChar w:fldCharType="begin"/>
      </w:r>
      <w:r>
        <w:rPr>
          <w:noProof/>
        </w:rPr>
        <w:instrText xml:space="preserve"> PAGEREF _Toc13233744 \h </w:instrText>
      </w:r>
      <w:r>
        <w:rPr>
          <w:noProof/>
        </w:rPr>
      </w:r>
      <w:r>
        <w:rPr>
          <w:noProof/>
        </w:rPr>
        <w:fldChar w:fldCharType="separate"/>
      </w:r>
      <w:r w:rsidR="00497E3C">
        <w:rPr>
          <w:noProof/>
        </w:rPr>
        <w:t>134</w:t>
      </w:r>
      <w:r>
        <w:rPr>
          <w:noProof/>
        </w:rPr>
        <w:fldChar w:fldCharType="end"/>
      </w:r>
    </w:p>
    <w:p w14:paraId="50029FCA" w14:textId="77777777" w:rsidR="005168F5" w:rsidRDefault="005168F5">
      <w:pPr>
        <w:pStyle w:val="TOC3"/>
        <w:rPr>
          <w:rFonts w:asciiTheme="minorHAnsi" w:eastAsiaTheme="minorEastAsia" w:hAnsiTheme="minorHAnsi" w:cstheme="minorBidi"/>
          <w:b w:val="0"/>
          <w:noProof/>
          <w:kern w:val="0"/>
          <w:szCs w:val="22"/>
        </w:rPr>
      </w:pPr>
      <w:r>
        <w:rPr>
          <w:noProof/>
        </w:rPr>
        <w:t>Division 3.3.5—Crude oil refining</w:t>
      </w:r>
      <w:r>
        <w:rPr>
          <w:noProof/>
        </w:rPr>
        <w:tab/>
      </w:r>
      <w:r>
        <w:rPr>
          <w:noProof/>
        </w:rPr>
        <w:fldChar w:fldCharType="begin"/>
      </w:r>
      <w:r>
        <w:rPr>
          <w:noProof/>
        </w:rPr>
        <w:instrText xml:space="preserve"> PAGEREF _Toc13233745 \h </w:instrText>
      </w:r>
      <w:r>
        <w:rPr>
          <w:noProof/>
        </w:rPr>
      </w:r>
      <w:r>
        <w:rPr>
          <w:noProof/>
        </w:rPr>
        <w:fldChar w:fldCharType="separate"/>
      </w:r>
      <w:r w:rsidR="00497E3C">
        <w:rPr>
          <w:noProof/>
        </w:rPr>
        <w:t>136</w:t>
      </w:r>
      <w:r>
        <w:rPr>
          <w:noProof/>
        </w:rPr>
        <w:fldChar w:fldCharType="end"/>
      </w:r>
    </w:p>
    <w:p w14:paraId="0FB8F136" w14:textId="77777777" w:rsidR="005168F5" w:rsidRDefault="005168F5">
      <w:pPr>
        <w:pStyle w:val="TOC5"/>
        <w:rPr>
          <w:rFonts w:asciiTheme="minorHAnsi" w:eastAsiaTheme="minorEastAsia" w:hAnsiTheme="minorHAnsi" w:cstheme="minorBidi"/>
          <w:noProof/>
          <w:kern w:val="0"/>
          <w:sz w:val="22"/>
          <w:szCs w:val="22"/>
        </w:rPr>
      </w:pPr>
      <w:r>
        <w:rPr>
          <w:noProof/>
        </w:rPr>
        <w:t>3.61  Application</w:t>
      </w:r>
      <w:r>
        <w:rPr>
          <w:noProof/>
        </w:rPr>
        <w:tab/>
      </w:r>
      <w:r>
        <w:rPr>
          <w:noProof/>
        </w:rPr>
        <w:fldChar w:fldCharType="begin"/>
      </w:r>
      <w:r>
        <w:rPr>
          <w:noProof/>
        </w:rPr>
        <w:instrText xml:space="preserve"> PAGEREF _Toc13233746 \h </w:instrText>
      </w:r>
      <w:r>
        <w:rPr>
          <w:noProof/>
        </w:rPr>
      </w:r>
      <w:r>
        <w:rPr>
          <w:noProof/>
        </w:rPr>
        <w:fldChar w:fldCharType="separate"/>
      </w:r>
      <w:r w:rsidR="00497E3C">
        <w:rPr>
          <w:noProof/>
        </w:rPr>
        <w:t>136</w:t>
      </w:r>
      <w:r>
        <w:rPr>
          <w:noProof/>
        </w:rPr>
        <w:fldChar w:fldCharType="end"/>
      </w:r>
    </w:p>
    <w:p w14:paraId="450A5C84" w14:textId="77777777" w:rsidR="005168F5" w:rsidRDefault="005168F5">
      <w:pPr>
        <w:pStyle w:val="TOC5"/>
        <w:rPr>
          <w:rFonts w:asciiTheme="minorHAnsi" w:eastAsiaTheme="minorEastAsia" w:hAnsiTheme="minorHAnsi" w:cstheme="minorBidi"/>
          <w:noProof/>
          <w:kern w:val="0"/>
          <w:sz w:val="22"/>
          <w:szCs w:val="22"/>
        </w:rPr>
      </w:pPr>
      <w:r>
        <w:rPr>
          <w:noProof/>
        </w:rPr>
        <w:t>3.62  Available methods</w:t>
      </w:r>
      <w:r>
        <w:rPr>
          <w:noProof/>
        </w:rPr>
        <w:tab/>
      </w:r>
      <w:r>
        <w:rPr>
          <w:noProof/>
        </w:rPr>
        <w:fldChar w:fldCharType="begin"/>
      </w:r>
      <w:r>
        <w:rPr>
          <w:noProof/>
        </w:rPr>
        <w:instrText xml:space="preserve"> PAGEREF _Toc13233747 \h </w:instrText>
      </w:r>
      <w:r>
        <w:rPr>
          <w:noProof/>
        </w:rPr>
      </w:r>
      <w:r>
        <w:rPr>
          <w:noProof/>
        </w:rPr>
        <w:fldChar w:fldCharType="separate"/>
      </w:r>
      <w:r w:rsidR="00497E3C">
        <w:rPr>
          <w:noProof/>
        </w:rPr>
        <w:t>136</w:t>
      </w:r>
      <w:r>
        <w:rPr>
          <w:noProof/>
        </w:rPr>
        <w:fldChar w:fldCharType="end"/>
      </w:r>
    </w:p>
    <w:p w14:paraId="398BFAC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3.3.5.1—Fugitive emissions from crude oil refining and from storage tanks for crude oil</w:t>
      </w:r>
      <w:r>
        <w:rPr>
          <w:noProof/>
        </w:rPr>
        <w:tab/>
      </w:r>
      <w:r>
        <w:rPr>
          <w:noProof/>
        </w:rPr>
        <w:fldChar w:fldCharType="begin"/>
      </w:r>
      <w:r>
        <w:rPr>
          <w:noProof/>
        </w:rPr>
        <w:instrText xml:space="preserve"> PAGEREF _Toc13233748 \h </w:instrText>
      </w:r>
      <w:r>
        <w:rPr>
          <w:noProof/>
        </w:rPr>
      </w:r>
      <w:r>
        <w:rPr>
          <w:noProof/>
        </w:rPr>
        <w:fldChar w:fldCharType="separate"/>
      </w:r>
      <w:r w:rsidR="00497E3C">
        <w:rPr>
          <w:noProof/>
        </w:rPr>
        <w:t>137</w:t>
      </w:r>
      <w:r>
        <w:rPr>
          <w:noProof/>
        </w:rPr>
        <w:fldChar w:fldCharType="end"/>
      </w:r>
    </w:p>
    <w:p w14:paraId="4A1FD744"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3.63  Method 1—crude oil refining and storage tanks for crude oil</w:t>
      </w:r>
      <w:r>
        <w:rPr>
          <w:noProof/>
        </w:rPr>
        <w:tab/>
      </w:r>
      <w:r>
        <w:rPr>
          <w:noProof/>
        </w:rPr>
        <w:fldChar w:fldCharType="begin"/>
      </w:r>
      <w:r>
        <w:rPr>
          <w:noProof/>
        </w:rPr>
        <w:instrText xml:space="preserve"> PAGEREF _Toc13233749 \h </w:instrText>
      </w:r>
      <w:r>
        <w:rPr>
          <w:noProof/>
        </w:rPr>
      </w:r>
      <w:r>
        <w:rPr>
          <w:noProof/>
        </w:rPr>
        <w:fldChar w:fldCharType="separate"/>
      </w:r>
      <w:r w:rsidR="00497E3C">
        <w:rPr>
          <w:noProof/>
        </w:rPr>
        <w:t>137</w:t>
      </w:r>
      <w:r>
        <w:rPr>
          <w:noProof/>
        </w:rPr>
        <w:fldChar w:fldCharType="end"/>
      </w:r>
    </w:p>
    <w:p w14:paraId="42923008" w14:textId="77777777" w:rsidR="005168F5" w:rsidRDefault="005168F5">
      <w:pPr>
        <w:pStyle w:val="TOC5"/>
        <w:rPr>
          <w:rFonts w:asciiTheme="minorHAnsi" w:eastAsiaTheme="minorEastAsia" w:hAnsiTheme="minorHAnsi" w:cstheme="minorBidi"/>
          <w:noProof/>
          <w:kern w:val="0"/>
          <w:sz w:val="22"/>
          <w:szCs w:val="22"/>
        </w:rPr>
      </w:pPr>
      <w:r>
        <w:rPr>
          <w:noProof/>
        </w:rPr>
        <w:t>3.64  Method 2—crude oil refining and storage tanks for crude oil</w:t>
      </w:r>
      <w:r>
        <w:rPr>
          <w:noProof/>
        </w:rPr>
        <w:tab/>
      </w:r>
      <w:r>
        <w:rPr>
          <w:noProof/>
        </w:rPr>
        <w:fldChar w:fldCharType="begin"/>
      </w:r>
      <w:r>
        <w:rPr>
          <w:noProof/>
        </w:rPr>
        <w:instrText xml:space="preserve"> PAGEREF _Toc13233750 \h </w:instrText>
      </w:r>
      <w:r>
        <w:rPr>
          <w:noProof/>
        </w:rPr>
      </w:r>
      <w:r>
        <w:rPr>
          <w:noProof/>
        </w:rPr>
        <w:fldChar w:fldCharType="separate"/>
      </w:r>
      <w:r w:rsidR="00497E3C">
        <w:rPr>
          <w:noProof/>
        </w:rPr>
        <w:t>137</w:t>
      </w:r>
      <w:r>
        <w:rPr>
          <w:noProof/>
        </w:rPr>
        <w:fldChar w:fldCharType="end"/>
      </w:r>
    </w:p>
    <w:p w14:paraId="7D49850F"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3.3.5.2—Fugitive emissions from deliberate releases from process vents, system upsets and accidents</w:t>
      </w:r>
      <w:r>
        <w:rPr>
          <w:noProof/>
        </w:rPr>
        <w:tab/>
      </w:r>
      <w:r>
        <w:rPr>
          <w:noProof/>
        </w:rPr>
        <w:fldChar w:fldCharType="begin"/>
      </w:r>
      <w:r>
        <w:rPr>
          <w:noProof/>
        </w:rPr>
        <w:instrText xml:space="preserve"> PAGEREF _Toc13233751 \h </w:instrText>
      </w:r>
      <w:r>
        <w:rPr>
          <w:noProof/>
        </w:rPr>
      </w:r>
      <w:r>
        <w:rPr>
          <w:noProof/>
        </w:rPr>
        <w:fldChar w:fldCharType="separate"/>
      </w:r>
      <w:r w:rsidR="00497E3C">
        <w:rPr>
          <w:noProof/>
        </w:rPr>
        <w:t>138</w:t>
      </w:r>
      <w:r>
        <w:rPr>
          <w:noProof/>
        </w:rPr>
        <w:fldChar w:fldCharType="end"/>
      </w:r>
    </w:p>
    <w:p w14:paraId="08828EB5" w14:textId="77777777" w:rsidR="005168F5" w:rsidRDefault="005168F5">
      <w:pPr>
        <w:pStyle w:val="TOC5"/>
        <w:rPr>
          <w:rFonts w:asciiTheme="minorHAnsi" w:eastAsiaTheme="minorEastAsia" w:hAnsiTheme="minorHAnsi" w:cstheme="minorBidi"/>
          <w:noProof/>
          <w:kern w:val="0"/>
          <w:sz w:val="22"/>
          <w:szCs w:val="22"/>
        </w:rPr>
      </w:pPr>
      <w:r>
        <w:rPr>
          <w:noProof/>
        </w:rPr>
        <w:t>3.65  Method 1—fugitive emissions from deliberate releases from process vents, system upsets and accidents</w:t>
      </w:r>
      <w:r>
        <w:rPr>
          <w:noProof/>
        </w:rPr>
        <w:tab/>
      </w:r>
      <w:r>
        <w:rPr>
          <w:noProof/>
        </w:rPr>
        <w:fldChar w:fldCharType="begin"/>
      </w:r>
      <w:r>
        <w:rPr>
          <w:noProof/>
        </w:rPr>
        <w:instrText xml:space="preserve"> PAGEREF _Toc13233752 \h </w:instrText>
      </w:r>
      <w:r>
        <w:rPr>
          <w:noProof/>
        </w:rPr>
      </w:r>
      <w:r>
        <w:rPr>
          <w:noProof/>
        </w:rPr>
        <w:fldChar w:fldCharType="separate"/>
      </w:r>
      <w:r w:rsidR="00497E3C">
        <w:rPr>
          <w:noProof/>
        </w:rPr>
        <w:t>138</w:t>
      </w:r>
      <w:r>
        <w:rPr>
          <w:noProof/>
        </w:rPr>
        <w:fldChar w:fldCharType="end"/>
      </w:r>
    </w:p>
    <w:p w14:paraId="13A96BC8" w14:textId="77777777" w:rsidR="005168F5" w:rsidRDefault="005168F5">
      <w:pPr>
        <w:pStyle w:val="TOC5"/>
        <w:rPr>
          <w:rFonts w:asciiTheme="minorHAnsi" w:eastAsiaTheme="minorEastAsia" w:hAnsiTheme="minorHAnsi" w:cstheme="minorBidi"/>
          <w:noProof/>
          <w:kern w:val="0"/>
          <w:sz w:val="22"/>
          <w:szCs w:val="22"/>
        </w:rPr>
      </w:pPr>
      <w:r>
        <w:rPr>
          <w:noProof/>
        </w:rPr>
        <w:t>3.66  Method 4—deliberate releases from process vents, system upsets and accidents</w:t>
      </w:r>
      <w:r>
        <w:rPr>
          <w:noProof/>
        </w:rPr>
        <w:tab/>
      </w:r>
      <w:r>
        <w:rPr>
          <w:noProof/>
        </w:rPr>
        <w:fldChar w:fldCharType="begin"/>
      </w:r>
      <w:r>
        <w:rPr>
          <w:noProof/>
        </w:rPr>
        <w:instrText xml:space="preserve"> PAGEREF _Toc13233753 \h </w:instrText>
      </w:r>
      <w:r>
        <w:rPr>
          <w:noProof/>
        </w:rPr>
      </w:r>
      <w:r>
        <w:rPr>
          <w:noProof/>
        </w:rPr>
        <w:fldChar w:fldCharType="separate"/>
      </w:r>
      <w:r w:rsidR="00497E3C">
        <w:rPr>
          <w:noProof/>
        </w:rPr>
        <w:t>138</w:t>
      </w:r>
      <w:r>
        <w:rPr>
          <w:noProof/>
        </w:rPr>
        <w:fldChar w:fldCharType="end"/>
      </w:r>
    </w:p>
    <w:p w14:paraId="659889B5"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3.3.5.3—Fugitive emissions released from gas flared from the oil refinery</w:t>
      </w:r>
      <w:r>
        <w:rPr>
          <w:noProof/>
        </w:rPr>
        <w:tab/>
      </w:r>
      <w:r>
        <w:rPr>
          <w:noProof/>
        </w:rPr>
        <w:fldChar w:fldCharType="begin"/>
      </w:r>
      <w:r>
        <w:rPr>
          <w:noProof/>
        </w:rPr>
        <w:instrText xml:space="preserve"> PAGEREF _Toc13233754 \h </w:instrText>
      </w:r>
      <w:r>
        <w:rPr>
          <w:noProof/>
        </w:rPr>
      </w:r>
      <w:r>
        <w:rPr>
          <w:noProof/>
        </w:rPr>
        <w:fldChar w:fldCharType="separate"/>
      </w:r>
      <w:r w:rsidR="00497E3C">
        <w:rPr>
          <w:noProof/>
        </w:rPr>
        <w:t>139</w:t>
      </w:r>
      <w:r>
        <w:rPr>
          <w:noProof/>
        </w:rPr>
        <w:fldChar w:fldCharType="end"/>
      </w:r>
    </w:p>
    <w:p w14:paraId="27E7CB7B" w14:textId="77777777" w:rsidR="005168F5" w:rsidRDefault="005168F5">
      <w:pPr>
        <w:pStyle w:val="TOC5"/>
        <w:rPr>
          <w:rFonts w:asciiTheme="minorHAnsi" w:eastAsiaTheme="minorEastAsia" w:hAnsiTheme="minorHAnsi" w:cstheme="minorBidi"/>
          <w:noProof/>
          <w:kern w:val="0"/>
          <w:sz w:val="22"/>
          <w:szCs w:val="22"/>
        </w:rPr>
      </w:pPr>
      <w:r>
        <w:rPr>
          <w:noProof/>
        </w:rPr>
        <w:t>3.67  Method 1—gas flared from crude oil refining</w:t>
      </w:r>
      <w:r>
        <w:rPr>
          <w:noProof/>
        </w:rPr>
        <w:tab/>
      </w:r>
      <w:r>
        <w:rPr>
          <w:noProof/>
        </w:rPr>
        <w:fldChar w:fldCharType="begin"/>
      </w:r>
      <w:r>
        <w:rPr>
          <w:noProof/>
        </w:rPr>
        <w:instrText xml:space="preserve"> PAGEREF _Toc13233755 \h </w:instrText>
      </w:r>
      <w:r>
        <w:rPr>
          <w:noProof/>
        </w:rPr>
      </w:r>
      <w:r>
        <w:rPr>
          <w:noProof/>
        </w:rPr>
        <w:fldChar w:fldCharType="separate"/>
      </w:r>
      <w:r w:rsidR="00497E3C">
        <w:rPr>
          <w:noProof/>
        </w:rPr>
        <w:t>139</w:t>
      </w:r>
      <w:r>
        <w:rPr>
          <w:noProof/>
        </w:rPr>
        <w:fldChar w:fldCharType="end"/>
      </w:r>
    </w:p>
    <w:p w14:paraId="027608A7" w14:textId="77777777" w:rsidR="005168F5" w:rsidRDefault="005168F5">
      <w:pPr>
        <w:pStyle w:val="TOC5"/>
        <w:rPr>
          <w:rFonts w:asciiTheme="minorHAnsi" w:eastAsiaTheme="minorEastAsia" w:hAnsiTheme="minorHAnsi" w:cstheme="minorBidi"/>
          <w:noProof/>
          <w:kern w:val="0"/>
          <w:sz w:val="22"/>
          <w:szCs w:val="22"/>
        </w:rPr>
      </w:pPr>
      <w:r>
        <w:rPr>
          <w:noProof/>
        </w:rPr>
        <w:t>3.68  Method 2—gas flared from crude oil refining</w:t>
      </w:r>
      <w:r>
        <w:rPr>
          <w:noProof/>
        </w:rPr>
        <w:tab/>
      </w:r>
      <w:r>
        <w:rPr>
          <w:noProof/>
        </w:rPr>
        <w:fldChar w:fldCharType="begin"/>
      </w:r>
      <w:r>
        <w:rPr>
          <w:noProof/>
        </w:rPr>
        <w:instrText xml:space="preserve"> PAGEREF _Toc13233756 \h </w:instrText>
      </w:r>
      <w:r>
        <w:rPr>
          <w:noProof/>
        </w:rPr>
      </w:r>
      <w:r>
        <w:rPr>
          <w:noProof/>
        </w:rPr>
        <w:fldChar w:fldCharType="separate"/>
      </w:r>
      <w:r w:rsidR="00497E3C">
        <w:rPr>
          <w:noProof/>
        </w:rPr>
        <w:t>139</w:t>
      </w:r>
      <w:r>
        <w:rPr>
          <w:noProof/>
        </w:rPr>
        <w:fldChar w:fldCharType="end"/>
      </w:r>
    </w:p>
    <w:p w14:paraId="05368F6A" w14:textId="77777777" w:rsidR="005168F5" w:rsidRDefault="005168F5">
      <w:pPr>
        <w:pStyle w:val="TOC5"/>
        <w:rPr>
          <w:rFonts w:asciiTheme="minorHAnsi" w:eastAsiaTheme="minorEastAsia" w:hAnsiTheme="minorHAnsi" w:cstheme="minorBidi"/>
          <w:noProof/>
          <w:kern w:val="0"/>
          <w:sz w:val="22"/>
          <w:szCs w:val="22"/>
        </w:rPr>
      </w:pPr>
      <w:r>
        <w:rPr>
          <w:noProof/>
        </w:rPr>
        <w:t>3.68A   Method 2A—crude oil refining (flared methane or nitrous oxide emissions)</w:t>
      </w:r>
      <w:r>
        <w:rPr>
          <w:noProof/>
        </w:rPr>
        <w:tab/>
      </w:r>
      <w:r>
        <w:rPr>
          <w:noProof/>
        </w:rPr>
        <w:fldChar w:fldCharType="begin"/>
      </w:r>
      <w:r>
        <w:rPr>
          <w:noProof/>
        </w:rPr>
        <w:instrText xml:space="preserve"> PAGEREF _Toc13233757 \h </w:instrText>
      </w:r>
      <w:r>
        <w:rPr>
          <w:noProof/>
        </w:rPr>
      </w:r>
      <w:r>
        <w:rPr>
          <w:noProof/>
        </w:rPr>
        <w:fldChar w:fldCharType="separate"/>
      </w:r>
      <w:r w:rsidR="00497E3C">
        <w:rPr>
          <w:noProof/>
        </w:rPr>
        <w:t>140</w:t>
      </w:r>
      <w:r>
        <w:rPr>
          <w:noProof/>
        </w:rPr>
        <w:fldChar w:fldCharType="end"/>
      </w:r>
    </w:p>
    <w:p w14:paraId="19289773" w14:textId="77777777" w:rsidR="005168F5" w:rsidRDefault="005168F5">
      <w:pPr>
        <w:pStyle w:val="TOC5"/>
        <w:rPr>
          <w:rFonts w:asciiTheme="minorHAnsi" w:eastAsiaTheme="minorEastAsia" w:hAnsiTheme="minorHAnsi" w:cstheme="minorBidi"/>
          <w:noProof/>
          <w:kern w:val="0"/>
          <w:sz w:val="22"/>
          <w:szCs w:val="22"/>
        </w:rPr>
      </w:pPr>
      <w:r>
        <w:rPr>
          <w:noProof/>
        </w:rPr>
        <w:t>3.69  Method 3—gas flared from crude oil refining</w:t>
      </w:r>
      <w:r>
        <w:rPr>
          <w:noProof/>
        </w:rPr>
        <w:tab/>
      </w:r>
      <w:r>
        <w:rPr>
          <w:noProof/>
        </w:rPr>
        <w:fldChar w:fldCharType="begin"/>
      </w:r>
      <w:r>
        <w:rPr>
          <w:noProof/>
        </w:rPr>
        <w:instrText xml:space="preserve"> PAGEREF _Toc13233758 \h </w:instrText>
      </w:r>
      <w:r>
        <w:rPr>
          <w:noProof/>
        </w:rPr>
      </w:r>
      <w:r>
        <w:rPr>
          <w:noProof/>
        </w:rPr>
        <w:fldChar w:fldCharType="separate"/>
      </w:r>
      <w:r w:rsidR="00497E3C">
        <w:rPr>
          <w:noProof/>
        </w:rPr>
        <w:t>140</w:t>
      </w:r>
      <w:r>
        <w:rPr>
          <w:noProof/>
        </w:rPr>
        <w:fldChar w:fldCharType="end"/>
      </w:r>
    </w:p>
    <w:p w14:paraId="4546DB41" w14:textId="77777777" w:rsidR="005168F5" w:rsidRDefault="005168F5">
      <w:pPr>
        <w:pStyle w:val="TOC3"/>
        <w:rPr>
          <w:rFonts w:asciiTheme="minorHAnsi" w:eastAsiaTheme="minorEastAsia" w:hAnsiTheme="minorHAnsi" w:cstheme="minorBidi"/>
          <w:b w:val="0"/>
          <w:noProof/>
          <w:kern w:val="0"/>
          <w:szCs w:val="22"/>
        </w:rPr>
      </w:pPr>
      <w:r>
        <w:rPr>
          <w:noProof/>
        </w:rPr>
        <w:t>Division 3.3.6—Natural gas production or processing, other than emissions that are vented or flared</w:t>
      </w:r>
      <w:r>
        <w:rPr>
          <w:noProof/>
        </w:rPr>
        <w:tab/>
      </w:r>
      <w:r>
        <w:rPr>
          <w:noProof/>
        </w:rPr>
        <w:fldChar w:fldCharType="begin"/>
      </w:r>
      <w:r>
        <w:rPr>
          <w:noProof/>
        </w:rPr>
        <w:instrText xml:space="preserve"> PAGEREF _Toc13233759 \h </w:instrText>
      </w:r>
      <w:r>
        <w:rPr>
          <w:noProof/>
        </w:rPr>
      </w:r>
      <w:r>
        <w:rPr>
          <w:noProof/>
        </w:rPr>
        <w:fldChar w:fldCharType="separate"/>
      </w:r>
      <w:r w:rsidR="00497E3C">
        <w:rPr>
          <w:noProof/>
        </w:rPr>
        <w:t>141</w:t>
      </w:r>
      <w:r>
        <w:rPr>
          <w:noProof/>
        </w:rPr>
        <w:fldChar w:fldCharType="end"/>
      </w:r>
    </w:p>
    <w:p w14:paraId="4A5617F4" w14:textId="77777777" w:rsidR="005168F5" w:rsidRDefault="005168F5">
      <w:pPr>
        <w:pStyle w:val="TOC5"/>
        <w:rPr>
          <w:rFonts w:asciiTheme="minorHAnsi" w:eastAsiaTheme="minorEastAsia" w:hAnsiTheme="minorHAnsi" w:cstheme="minorBidi"/>
          <w:noProof/>
          <w:kern w:val="0"/>
          <w:sz w:val="22"/>
          <w:szCs w:val="22"/>
        </w:rPr>
      </w:pPr>
      <w:r>
        <w:rPr>
          <w:noProof/>
        </w:rPr>
        <w:t>3.70  Application</w:t>
      </w:r>
      <w:r>
        <w:rPr>
          <w:noProof/>
        </w:rPr>
        <w:tab/>
      </w:r>
      <w:r>
        <w:rPr>
          <w:noProof/>
        </w:rPr>
        <w:fldChar w:fldCharType="begin"/>
      </w:r>
      <w:r>
        <w:rPr>
          <w:noProof/>
        </w:rPr>
        <w:instrText xml:space="preserve"> PAGEREF _Toc13233760 \h </w:instrText>
      </w:r>
      <w:r>
        <w:rPr>
          <w:noProof/>
        </w:rPr>
      </w:r>
      <w:r>
        <w:rPr>
          <w:noProof/>
        </w:rPr>
        <w:fldChar w:fldCharType="separate"/>
      </w:r>
      <w:r w:rsidR="00497E3C">
        <w:rPr>
          <w:noProof/>
        </w:rPr>
        <w:t>141</w:t>
      </w:r>
      <w:r>
        <w:rPr>
          <w:noProof/>
        </w:rPr>
        <w:fldChar w:fldCharType="end"/>
      </w:r>
    </w:p>
    <w:p w14:paraId="63E1CACC" w14:textId="77777777" w:rsidR="005168F5" w:rsidRDefault="005168F5">
      <w:pPr>
        <w:pStyle w:val="TOC5"/>
        <w:rPr>
          <w:rFonts w:asciiTheme="minorHAnsi" w:eastAsiaTheme="minorEastAsia" w:hAnsiTheme="minorHAnsi" w:cstheme="minorBidi"/>
          <w:noProof/>
          <w:kern w:val="0"/>
          <w:sz w:val="22"/>
          <w:szCs w:val="22"/>
        </w:rPr>
      </w:pPr>
      <w:r>
        <w:rPr>
          <w:noProof/>
        </w:rPr>
        <w:t>3.71  Available methods</w:t>
      </w:r>
      <w:r>
        <w:rPr>
          <w:noProof/>
        </w:rPr>
        <w:tab/>
      </w:r>
      <w:r>
        <w:rPr>
          <w:noProof/>
        </w:rPr>
        <w:fldChar w:fldCharType="begin"/>
      </w:r>
      <w:r>
        <w:rPr>
          <w:noProof/>
        </w:rPr>
        <w:instrText xml:space="preserve"> PAGEREF _Toc13233761 \h </w:instrText>
      </w:r>
      <w:r>
        <w:rPr>
          <w:noProof/>
        </w:rPr>
      </w:r>
      <w:r>
        <w:rPr>
          <w:noProof/>
        </w:rPr>
        <w:fldChar w:fldCharType="separate"/>
      </w:r>
      <w:r w:rsidR="00497E3C">
        <w:rPr>
          <w:noProof/>
        </w:rPr>
        <w:t>141</w:t>
      </w:r>
      <w:r>
        <w:rPr>
          <w:noProof/>
        </w:rPr>
        <w:fldChar w:fldCharType="end"/>
      </w:r>
    </w:p>
    <w:p w14:paraId="682DE82C" w14:textId="77777777" w:rsidR="005168F5" w:rsidRDefault="005168F5">
      <w:pPr>
        <w:pStyle w:val="TOC5"/>
        <w:rPr>
          <w:rFonts w:asciiTheme="minorHAnsi" w:eastAsiaTheme="minorEastAsia" w:hAnsiTheme="minorHAnsi" w:cstheme="minorBidi"/>
          <w:noProof/>
          <w:kern w:val="0"/>
          <w:sz w:val="22"/>
          <w:szCs w:val="22"/>
        </w:rPr>
      </w:pPr>
      <w:r>
        <w:rPr>
          <w:noProof/>
        </w:rPr>
        <w:t>3.72  Method 1—natural gas production and processing (other than emissions that are vented or flared)</w:t>
      </w:r>
      <w:r>
        <w:rPr>
          <w:noProof/>
        </w:rPr>
        <w:tab/>
      </w:r>
      <w:r>
        <w:rPr>
          <w:noProof/>
        </w:rPr>
        <w:fldChar w:fldCharType="begin"/>
      </w:r>
      <w:r>
        <w:rPr>
          <w:noProof/>
        </w:rPr>
        <w:instrText xml:space="preserve"> PAGEREF _Toc13233762 \h </w:instrText>
      </w:r>
      <w:r>
        <w:rPr>
          <w:noProof/>
        </w:rPr>
      </w:r>
      <w:r>
        <w:rPr>
          <w:noProof/>
        </w:rPr>
        <w:fldChar w:fldCharType="separate"/>
      </w:r>
      <w:r w:rsidR="00497E3C">
        <w:rPr>
          <w:noProof/>
        </w:rPr>
        <w:t>141</w:t>
      </w:r>
      <w:r>
        <w:rPr>
          <w:noProof/>
        </w:rPr>
        <w:fldChar w:fldCharType="end"/>
      </w:r>
    </w:p>
    <w:p w14:paraId="4430C7AF" w14:textId="77777777" w:rsidR="005168F5" w:rsidRDefault="005168F5">
      <w:pPr>
        <w:pStyle w:val="TOC5"/>
        <w:rPr>
          <w:rFonts w:asciiTheme="minorHAnsi" w:eastAsiaTheme="minorEastAsia" w:hAnsiTheme="minorHAnsi" w:cstheme="minorBidi"/>
          <w:noProof/>
          <w:kern w:val="0"/>
          <w:sz w:val="22"/>
          <w:szCs w:val="22"/>
        </w:rPr>
      </w:pPr>
      <w:r>
        <w:rPr>
          <w:noProof/>
        </w:rPr>
        <w:t>3.73  Method 2—natural gas production and processing (other than venting and flaring)</w:t>
      </w:r>
      <w:r>
        <w:rPr>
          <w:noProof/>
        </w:rPr>
        <w:tab/>
      </w:r>
      <w:r>
        <w:rPr>
          <w:noProof/>
        </w:rPr>
        <w:fldChar w:fldCharType="begin"/>
      </w:r>
      <w:r>
        <w:rPr>
          <w:noProof/>
        </w:rPr>
        <w:instrText xml:space="preserve"> PAGEREF _Toc13233763 \h </w:instrText>
      </w:r>
      <w:r>
        <w:rPr>
          <w:noProof/>
        </w:rPr>
      </w:r>
      <w:r>
        <w:rPr>
          <w:noProof/>
        </w:rPr>
        <w:fldChar w:fldCharType="separate"/>
      </w:r>
      <w:r w:rsidR="00497E3C">
        <w:rPr>
          <w:noProof/>
        </w:rPr>
        <w:t>142</w:t>
      </w:r>
      <w:r>
        <w:rPr>
          <w:noProof/>
        </w:rPr>
        <w:fldChar w:fldCharType="end"/>
      </w:r>
    </w:p>
    <w:p w14:paraId="1E696D67" w14:textId="77777777" w:rsidR="005168F5" w:rsidRDefault="005168F5">
      <w:pPr>
        <w:pStyle w:val="TOC3"/>
        <w:rPr>
          <w:rFonts w:asciiTheme="minorHAnsi" w:eastAsiaTheme="minorEastAsia" w:hAnsiTheme="minorHAnsi" w:cstheme="minorBidi"/>
          <w:b w:val="0"/>
          <w:noProof/>
          <w:kern w:val="0"/>
          <w:szCs w:val="22"/>
        </w:rPr>
      </w:pPr>
      <w:r>
        <w:rPr>
          <w:noProof/>
        </w:rPr>
        <w:t>Division 3.3.7—Natural gas transmission</w:t>
      </w:r>
      <w:r>
        <w:rPr>
          <w:noProof/>
        </w:rPr>
        <w:tab/>
      </w:r>
      <w:r>
        <w:rPr>
          <w:noProof/>
        </w:rPr>
        <w:fldChar w:fldCharType="begin"/>
      </w:r>
      <w:r>
        <w:rPr>
          <w:noProof/>
        </w:rPr>
        <w:instrText xml:space="preserve"> PAGEREF _Toc13233764 \h </w:instrText>
      </w:r>
      <w:r>
        <w:rPr>
          <w:noProof/>
        </w:rPr>
      </w:r>
      <w:r>
        <w:rPr>
          <w:noProof/>
        </w:rPr>
        <w:fldChar w:fldCharType="separate"/>
      </w:r>
      <w:r w:rsidR="00497E3C">
        <w:rPr>
          <w:noProof/>
        </w:rPr>
        <w:t>144</w:t>
      </w:r>
      <w:r>
        <w:rPr>
          <w:noProof/>
        </w:rPr>
        <w:fldChar w:fldCharType="end"/>
      </w:r>
    </w:p>
    <w:p w14:paraId="4D96C050" w14:textId="77777777" w:rsidR="005168F5" w:rsidRDefault="005168F5">
      <w:pPr>
        <w:pStyle w:val="TOC5"/>
        <w:rPr>
          <w:rFonts w:asciiTheme="minorHAnsi" w:eastAsiaTheme="minorEastAsia" w:hAnsiTheme="minorHAnsi" w:cstheme="minorBidi"/>
          <w:noProof/>
          <w:kern w:val="0"/>
          <w:sz w:val="22"/>
          <w:szCs w:val="22"/>
        </w:rPr>
      </w:pPr>
      <w:r>
        <w:rPr>
          <w:noProof/>
        </w:rPr>
        <w:t>3.74  Application</w:t>
      </w:r>
      <w:r>
        <w:rPr>
          <w:noProof/>
        </w:rPr>
        <w:tab/>
      </w:r>
      <w:r>
        <w:rPr>
          <w:noProof/>
        </w:rPr>
        <w:tab/>
      </w:r>
      <w:r>
        <w:rPr>
          <w:noProof/>
        </w:rPr>
        <w:fldChar w:fldCharType="begin"/>
      </w:r>
      <w:r>
        <w:rPr>
          <w:noProof/>
        </w:rPr>
        <w:instrText xml:space="preserve"> PAGEREF _Toc13233765 \h </w:instrText>
      </w:r>
      <w:r>
        <w:rPr>
          <w:noProof/>
        </w:rPr>
      </w:r>
      <w:r>
        <w:rPr>
          <w:noProof/>
        </w:rPr>
        <w:fldChar w:fldCharType="separate"/>
      </w:r>
      <w:r w:rsidR="00497E3C">
        <w:rPr>
          <w:noProof/>
        </w:rPr>
        <w:t>144</w:t>
      </w:r>
      <w:r>
        <w:rPr>
          <w:noProof/>
        </w:rPr>
        <w:fldChar w:fldCharType="end"/>
      </w:r>
    </w:p>
    <w:p w14:paraId="2B5CAA3C" w14:textId="77777777" w:rsidR="005168F5" w:rsidRDefault="005168F5">
      <w:pPr>
        <w:pStyle w:val="TOC5"/>
        <w:rPr>
          <w:rFonts w:asciiTheme="minorHAnsi" w:eastAsiaTheme="minorEastAsia" w:hAnsiTheme="minorHAnsi" w:cstheme="minorBidi"/>
          <w:noProof/>
          <w:kern w:val="0"/>
          <w:sz w:val="22"/>
          <w:szCs w:val="22"/>
        </w:rPr>
      </w:pPr>
      <w:r>
        <w:rPr>
          <w:noProof/>
        </w:rPr>
        <w:t>3.75  Available methods</w:t>
      </w:r>
      <w:r>
        <w:rPr>
          <w:noProof/>
        </w:rPr>
        <w:tab/>
      </w:r>
      <w:r>
        <w:rPr>
          <w:noProof/>
        </w:rPr>
        <w:fldChar w:fldCharType="begin"/>
      </w:r>
      <w:r>
        <w:rPr>
          <w:noProof/>
        </w:rPr>
        <w:instrText xml:space="preserve"> PAGEREF _Toc13233766 \h </w:instrText>
      </w:r>
      <w:r>
        <w:rPr>
          <w:noProof/>
        </w:rPr>
      </w:r>
      <w:r>
        <w:rPr>
          <w:noProof/>
        </w:rPr>
        <w:fldChar w:fldCharType="separate"/>
      </w:r>
      <w:r w:rsidR="00497E3C">
        <w:rPr>
          <w:noProof/>
        </w:rPr>
        <w:t>144</w:t>
      </w:r>
      <w:r>
        <w:rPr>
          <w:noProof/>
        </w:rPr>
        <w:fldChar w:fldCharType="end"/>
      </w:r>
    </w:p>
    <w:p w14:paraId="1CFB8C3A" w14:textId="77777777" w:rsidR="005168F5" w:rsidRDefault="005168F5">
      <w:pPr>
        <w:pStyle w:val="TOC5"/>
        <w:rPr>
          <w:rFonts w:asciiTheme="minorHAnsi" w:eastAsiaTheme="minorEastAsia" w:hAnsiTheme="minorHAnsi" w:cstheme="minorBidi"/>
          <w:noProof/>
          <w:kern w:val="0"/>
          <w:sz w:val="22"/>
          <w:szCs w:val="22"/>
        </w:rPr>
      </w:pPr>
      <w:r>
        <w:rPr>
          <w:noProof/>
        </w:rPr>
        <w:t>3.76  Method 1—natural gas transmission</w:t>
      </w:r>
      <w:r>
        <w:rPr>
          <w:noProof/>
        </w:rPr>
        <w:tab/>
      </w:r>
      <w:r>
        <w:rPr>
          <w:noProof/>
        </w:rPr>
        <w:fldChar w:fldCharType="begin"/>
      </w:r>
      <w:r>
        <w:rPr>
          <w:noProof/>
        </w:rPr>
        <w:instrText xml:space="preserve"> PAGEREF _Toc13233767 \h </w:instrText>
      </w:r>
      <w:r>
        <w:rPr>
          <w:noProof/>
        </w:rPr>
      </w:r>
      <w:r>
        <w:rPr>
          <w:noProof/>
        </w:rPr>
        <w:fldChar w:fldCharType="separate"/>
      </w:r>
      <w:r w:rsidR="00497E3C">
        <w:rPr>
          <w:noProof/>
        </w:rPr>
        <w:t>144</w:t>
      </w:r>
      <w:r>
        <w:rPr>
          <w:noProof/>
        </w:rPr>
        <w:fldChar w:fldCharType="end"/>
      </w:r>
    </w:p>
    <w:p w14:paraId="793F4B08" w14:textId="77777777" w:rsidR="005168F5" w:rsidRDefault="005168F5">
      <w:pPr>
        <w:pStyle w:val="TOC5"/>
        <w:rPr>
          <w:rFonts w:asciiTheme="minorHAnsi" w:eastAsiaTheme="minorEastAsia" w:hAnsiTheme="minorHAnsi" w:cstheme="minorBidi"/>
          <w:noProof/>
          <w:kern w:val="0"/>
          <w:sz w:val="22"/>
          <w:szCs w:val="22"/>
        </w:rPr>
      </w:pPr>
      <w:r>
        <w:rPr>
          <w:noProof/>
        </w:rPr>
        <w:t>3.77  Method 2—natural gas transmission</w:t>
      </w:r>
      <w:r>
        <w:rPr>
          <w:noProof/>
        </w:rPr>
        <w:tab/>
      </w:r>
      <w:r>
        <w:rPr>
          <w:noProof/>
        </w:rPr>
        <w:fldChar w:fldCharType="begin"/>
      </w:r>
      <w:r>
        <w:rPr>
          <w:noProof/>
        </w:rPr>
        <w:instrText xml:space="preserve"> PAGEREF _Toc13233768 \h </w:instrText>
      </w:r>
      <w:r>
        <w:rPr>
          <w:noProof/>
        </w:rPr>
      </w:r>
      <w:r>
        <w:rPr>
          <w:noProof/>
        </w:rPr>
        <w:fldChar w:fldCharType="separate"/>
      </w:r>
      <w:r w:rsidR="00497E3C">
        <w:rPr>
          <w:noProof/>
        </w:rPr>
        <w:t>144</w:t>
      </w:r>
      <w:r>
        <w:rPr>
          <w:noProof/>
        </w:rPr>
        <w:fldChar w:fldCharType="end"/>
      </w:r>
    </w:p>
    <w:p w14:paraId="0C2E7A6E" w14:textId="77777777" w:rsidR="005168F5" w:rsidRDefault="005168F5">
      <w:pPr>
        <w:pStyle w:val="TOC3"/>
        <w:rPr>
          <w:rFonts w:asciiTheme="minorHAnsi" w:eastAsiaTheme="minorEastAsia" w:hAnsiTheme="minorHAnsi" w:cstheme="minorBidi"/>
          <w:b w:val="0"/>
          <w:noProof/>
          <w:kern w:val="0"/>
          <w:szCs w:val="22"/>
        </w:rPr>
      </w:pPr>
      <w:r>
        <w:rPr>
          <w:noProof/>
        </w:rPr>
        <w:t>Division 3.3.8—Natural gas distribution</w:t>
      </w:r>
      <w:r>
        <w:rPr>
          <w:noProof/>
        </w:rPr>
        <w:tab/>
      </w:r>
      <w:r>
        <w:rPr>
          <w:noProof/>
        </w:rPr>
        <w:fldChar w:fldCharType="begin"/>
      </w:r>
      <w:r>
        <w:rPr>
          <w:noProof/>
        </w:rPr>
        <w:instrText xml:space="preserve"> PAGEREF _Toc13233769 \h </w:instrText>
      </w:r>
      <w:r>
        <w:rPr>
          <w:noProof/>
        </w:rPr>
      </w:r>
      <w:r>
        <w:rPr>
          <w:noProof/>
        </w:rPr>
        <w:fldChar w:fldCharType="separate"/>
      </w:r>
      <w:r w:rsidR="00497E3C">
        <w:rPr>
          <w:noProof/>
        </w:rPr>
        <w:t>146</w:t>
      </w:r>
      <w:r>
        <w:rPr>
          <w:noProof/>
        </w:rPr>
        <w:fldChar w:fldCharType="end"/>
      </w:r>
    </w:p>
    <w:p w14:paraId="6E1B7FA3" w14:textId="77777777" w:rsidR="005168F5" w:rsidRDefault="005168F5">
      <w:pPr>
        <w:pStyle w:val="TOC5"/>
        <w:rPr>
          <w:rFonts w:asciiTheme="minorHAnsi" w:eastAsiaTheme="minorEastAsia" w:hAnsiTheme="minorHAnsi" w:cstheme="minorBidi"/>
          <w:noProof/>
          <w:kern w:val="0"/>
          <w:sz w:val="22"/>
          <w:szCs w:val="22"/>
        </w:rPr>
      </w:pPr>
      <w:r>
        <w:rPr>
          <w:noProof/>
        </w:rPr>
        <w:t>3.78  Application</w:t>
      </w:r>
      <w:r>
        <w:rPr>
          <w:noProof/>
        </w:rPr>
        <w:tab/>
      </w:r>
      <w:r>
        <w:rPr>
          <w:noProof/>
        </w:rPr>
        <w:tab/>
      </w:r>
      <w:r>
        <w:rPr>
          <w:noProof/>
        </w:rPr>
        <w:fldChar w:fldCharType="begin"/>
      </w:r>
      <w:r>
        <w:rPr>
          <w:noProof/>
        </w:rPr>
        <w:instrText xml:space="preserve"> PAGEREF _Toc13233770 \h </w:instrText>
      </w:r>
      <w:r>
        <w:rPr>
          <w:noProof/>
        </w:rPr>
      </w:r>
      <w:r>
        <w:rPr>
          <w:noProof/>
        </w:rPr>
        <w:fldChar w:fldCharType="separate"/>
      </w:r>
      <w:r w:rsidR="00497E3C">
        <w:rPr>
          <w:noProof/>
        </w:rPr>
        <w:t>146</w:t>
      </w:r>
      <w:r>
        <w:rPr>
          <w:noProof/>
        </w:rPr>
        <w:fldChar w:fldCharType="end"/>
      </w:r>
    </w:p>
    <w:p w14:paraId="2FFC7A77" w14:textId="77777777" w:rsidR="005168F5" w:rsidRDefault="005168F5">
      <w:pPr>
        <w:pStyle w:val="TOC5"/>
        <w:rPr>
          <w:rFonts w:asciiTheme="minorHAnsi" w:eastAsiaTheme="minorEastAsia" w:hAnsiTheme="minorHAnsi" w:cstheme="minorBidi"/>
          <w:noProof/>
          <w:kern w:val="0"/>
          <w:sz w:val="22"/>
          <w:szCs w:val="22"/>
        </w:rPr>
      </w:pPr>
      <w:r>
        <w:rPr>
          <w:noProof/>
        </w:rPr>
        <w:t>3.79  Available methods</w:t>
      </w:r>
      <w:r>
        <w:rPr>
          <w:noProof/>
        </w:rPr>
        <w:tab/>
      </w:r>
      <w:r>
        <w:rPr>
          <w:noProof/>
        </w:rPr>
        <w:fldChar w:fldCharType="begin"/>
      </w:r>
      <w:r>
        <w:rPr>
          <w:noProof/>
        </w:rPr>
        <w:instrText xml:space="preserve"> PAGEREF _Toc13233771 \h </w:instrText>
      </w:r>
      <w:r>
        <w:rPr>
          <w:noProof/>
        </w:rPr>
      </w:r>
      <w:r>
        <w:rPr>
          <w:noProof/>
        </w:rPr>
        <w:fldChar w:fldCharType="separate"/>
      </w:r>
      <w:r w:rsidR="00497E3C">
        <w:rPr>
          <w:noProof/>
        </w:rPr>
        <w:t>146</w:t>
      </w:r>
      <w:r>
        <w:rPr>
          <w:noProof/>
        </w:rPr>
        <w:fldChar w:fldCharType="end"/>
      </w:r>
    </w:p>
    <w:p w14:paraId="03F2F097" w14:textId="77777777" w:rsidR="005168F5" w:rsidRDefault="005168F5">
      <w:pPr>
        <w:pStyle w:val="TOC5"/>
        <w:rPr>
          <w:rFonts w:asciiTheme="minorHAnsi" w:eastAsiaTheme="minorEastAsia" w:hAnsiTheme="minorHAnsi" w:cstheme="minorBidi"/>
          <w:noProof/>
          <w:kern w:val="0"/>
          <w:sz w:val="22"/>
          <w:szCs w:val="22"/>
        </w:rPr>
      </w:pPr>
      <w:r>
        <w:rPr>
          <w:noProof/>
        </w:rPr>
        <w:t>3.80  Method 1—natural gas distribution</w:t>
      </w:r>
      <w:r>
        <w:rPr>
          <w:noProof/>
        </w:rPr>
        <w:tab/>
      </w:r>
      <w:r>
        <w:rPr>
          <w:noProof/>
        </w:rPr>
        <w:fldChar w:fldCharType="begin"/>
      </w:r>
      <w:r>
        <w:rPr>
          <w:noProof/>
        </w:rPr>
        <w:instrText xml:space="preserve"> PAGEREF _Toc13233772 \h </w:instrText>
      </w:r>
      <w:r>
        <w:rPr>
          <w:noProof/>
        </w:rPr>
      </w:r>
      <w:r>
        <w:rPr>
          <w:noProof/>
        </w:rPr>
        <w:fldChar w:fldCharType="separate"/>
      </w:r>
      <w:r w:rsidR="00497E3C">
        <w:rPr>
          <w:noProof/>
        </w:rPr>
        <w:t>146</w:t>
      </w:r>
      <w:r>
        <w:rPr>
          <w:noProof/>
        </w:rPr>
        <w:fldChar w:fldCharType="end"/>
      </w:r>
    </w:p>
    <w:p w14:paraId="1A047DAA" w14:textId="77777777" w:rsidR="005168F5" w:rsidRDefault="005168F5">
      <w:pPr>
        <w:pStyle w:val="TOC5"/>
        <w:rPr>
          <w:rFonts w:asciiTheme="minorHAnsi" w:eastAsiaTheme="minorEastAsia" w:hAnsiTheme="minorHAnsi" w:cstheme="minorBidi"/>
          <w:noProof/>
          <w:kern w:val="0"/>
          <w:sz w:val="22"/>
          <w:szCs w:val="22"/>
        </w:rPr>
      </w:pPr>
      <w:r>
        <w:rPr>
          <w:noProof/>
        </w:rPr>
        <w:t>3.81  Method 2—natural gas distribution</w:t>
      </w:r>
      <w:r>
        <w:rPr>
          <w:noProof/>
        </w:rPr>
        <w:tab/>
      </w:r>
      <w:r>
        <w:rPr>
          <w:noProof/>
        </w:rPr>
        <w:fldChar w:fldCharType="begin"/>
      </w:r>
      <w:r>
        <w:rPr>
          <w:noProof/>
        </w:rPr>
        <w:instrText xml:space="preserve"> PAGEREF _Toc13233773 \h </w:instrText>
      </w:r>
      <w:r>
        <w:rPr>
          <w:noProof/>
        </w:rPr>
      </w:r>
      <w:r>
        <w:rPr>
          <w:noProof/>
        </w:rPr>
        <w:fldChar w:fldCharType="separate"/>
      </w:r>
      <w:r w:rsidR="00497E3C">
        <w:rPr>
          <w:noProof/>
        </w:rPr>
        <w:t>147</w:t>
      </w:r>
      <w:r>
        <w:rPr>
          <w:noProof/>
        </w:rPr>
        <w:fldChar w:fldCharType="end"/>
      </w:r>
    </w:p>
    <w:p w14:paraId="3955AE10" w14:textId="77777777" w:rsidR="005168F5" w:rsidRDefault="005168F5">
      <w:pPr>
        <w:pStyle w:val="TOC5"/>
        <w:rPr>
          <w:rFonts w:asciiTheme="minorHAnsi" w:eastAsiaTheme="minorEastAsia" w:hAnsiTheme="minorHAnsi" w:cstheme="minorBidi"/>
          <w:noProof/>
          <w:kern w:val="0"/>
          <w:sz w:val="22"/>
          <w:szCs w:val="22"/>
        </w:rPr>
      </w:pPr>
      <w:r>
        <w:rPr>
          <w:noProof/>
        </w:rPr>
        <w:t>3.81A  Method 3—natural gas distribution</w:t>
      </w:r>
      <w:r>
        <w:rPr>
          <w:noProof/>
        </w:rPr>
        <w:tab/>
      </w:r>
      <w:r>
        <w:rPr>
          <w:noProof/>
        </w:rPr>
        <w:fldChar w:fldCharType="begin"/>
      </w:r>
      <w:r>
        <w:rPr>
          <w:noProof/>
        </w:rPr>
        <w:instrText xml:space="preserve"> PAGEREF _Toc13233774 \h </w:instrText>
      </w:r>
      <w:r>
        <w:rPr>
          <w:noProof/>
        </w:rPr>
      </w:r>
      <w:r>
        <w:rPr>
          <w:noProof/>
        </w:rPr>
        <w:fldChar w:fldCharType="separate"/>
      </w:r>
      <w:r w:rsidR="00497E3C">
        <w:rPr>
          <w:noProof/>
        </w:rPr>
        <w:t>148</w:t>
      </w:r>
      <w:r>
        <w:rPr>
          <w:noProof/>
        </w:rPr>
        <w:fldChar w:fldCharType="end"/>
      </w:r>
    </w:p>
    <w:p w14:paraId="27036458" w14:textId="77777777" w:rsidR="005168F5" w:rsidRDefault="005168F5">
      <w:pPr>
        <w:pStyle w:val="TOC3"/>
        <w:rPr>
          <w:rFonts w:asciiTheme="minorHAnsi" w:eastAsiaTheme="minorEastAsia" w:hAnsiTheme="minorHAnsi" w:cstheme="minorBidi"/>
          <w:b w:val="0"/>
          <w:noProof/>
          <w:kern w:val="0"/>
          <w:szCs w:val="22"/>
        </w:rPr>
      </w:pPr>
      <w:r>
        <w:rPr>
          <w:noProof/>
        </w:rPr>
        <w:t>Division 3.3.9—Natural gas production or processing (emissions that are vented or flared)</w:t>
      </w:r>
      <w:r>
        <w:rPr>
          <w:noProof/>
        </w:rPr>
        <w:tab/>
      </w:r>
      <w:r>
        <w:rPr>
          <w:noProof/>
        </w:rPr>
        <w:fldChar w:fldCharType="begin"/>
      </w:r>
      <w:r>
        <w:rPr>
          <w:noProof/>
        </w:rPr>
        <w:instrText xml:space="preserve"> PAGEREF _Toc13233775 \h </w:instrText>
      </w:r>
      <w:r>
        <w:rPr>
          <w:noProof/>
        </w:rPr>
      </w:r>
      <w:r>
        <w:rPr>
          <w:noProof/>
        </w:rPr>
        <w:fldChar w:fldCharType="separate"/>
      </w:r>
      <w:r w:rsidR="00497E3C">
        <w:rPr>
          <w:noProof/>
        </w:rPr>
        <w:t>150</w:t>
      </w:r>
      <w:r>
        <w:rPr>
          <w:noProof/>
        </w:rPr>
        <w:fldChar w:fldCharType="end"/>
      </w:r>
    </w:p>
    <w:p w14:paraId="482D5737" w14:textId="77777777" w:rsidR="005168F5" w:rsidRDefault="005168F5">
      <w:pPr>
        <w:pStyle w:val="TOC5"/>
        <w:rPr>
          <w:rFonts w:asciiTheme="minorHAnsi" w:eastAsiaTheme="minorEastAsia" w:hAnsiTheme="minorHAnsi" w:cstheme="minorBidi"/>
          <w:noProof/>
          <w:kern w:val="0"/>
          <w:sz w:val="22"/>
          <w:szCs w:val="22"/>
        </w:rPr>
      </w:pPr>
      <w:r>
        <w:rPr>
          <w:noProof/>
        </w:rPr>
        <w:t>3.82  Application</w:t>
      </w:r>
      <w:r>
        <w:rPr>
          <w:noProof/>
        </w:rPr>
        <w:tab/>
      </w:r>
      <w:r>
        <w:rPr>
          <w:noProof/>
        </w:rPr>
        <w:fldChar w:fldCharType="begin"/>
      </w:r>
      <w:r>
        <w:rPr>
          <w:noProof/>
        </w:rPr>
        <w:instrText xml:space="preserve"> PAGEREF _Toc13233776 \h </w:instrText>
      </w:r>
      <w:r>
        <w:rPr>
          <w:noProof/>
        </w:rPr>
      </w:r>
      <w:r>
        <w:rPr>
          <w:noProof/>
        </w:rPr>
        <w:fldChar w:fldCharType="separate"/>
      </w:r>
      <w:r w:rsidR="00497E3C">
        <w:rPr>
          <w:noProof/>
        </w:rPr>
        <w:t>150</w:t>
      </w:r>
      <w:r>
        <w:rPr>
          <w:noProof/>
        </w:rPr>
        <w:fldChar w:fldCharType="end"/>
      </w:r>
    </w:p>
    <w:p w14:paraId="0E77AB41" w14:textId="77777777" w:rsidR="005168F5" w:rsidRDefault="005168F5">
      <w:pPr>
        <w:pStyle w:val="TOC5"/>
        <w:rPr>
          <w:rFonts w:asciiTheme="minorHAnsi" w:eastAsiaTheme="minorEastAsia" w:hAnsiTheme="minorHAnsi" w:cstheme="minorBidi"/>
          <w:noProof/>
          <w:kern w:val="0"/>
          <w:sz w:val="22"/>
          <w:szCs w:val="22"/>
        </w:rPr>
      </w:pPr>
      <w:r>
        <w:rPr>
          <w:noProof/>
        </w:rPr>
        <w:t>3.83  Available methods</w:t>
      </w:r>
      <w:r>
        <w:rPr>
          <w:noProof/>
        </w:rPr>
        <w:tab/>
      </w:r>
      <w:r>
        <w:rPr>
          <w:noProof/>
        </w:rPr>
        <w:fldChar w:fldCharType="begin"/>
      </w:r>
      <w:r>
        <w:rPr>
          <w:noProof/>
        </w:rPr>
        <w:instrText xml:space="preserve"> PAGEREF _Toc13233777 \h </w:instrText>
      </w:r>
      <w:r>
        <w:rPr>
          <w:noProof/>
        </w:rPr>
      </w:r>
      <w:r>
        <w:rPr>
          <w:noProof/>
        </w:rPr>
        <w:fldChar w:fldCharType="separate"/>
      </w:r>
      <w:r w:rsidR="00497E3C">
        <w:rPr>
          <w:noProof/>
        </w:rPr>
        <w:t>150</w:t>
      </w:r>
      <w:r>
        <w:rPr>
          <w:noProof/>
        </w:rPr>
        <w:fldChar w:fldCharType="end"/>
      </w:r>
    </w:p>
    <w:p w14:paraId="1FF1A106"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3.3.9.1—Fugitive emissions that result from deliberate releases from process vents, system upsets and accidents</w:t>
      </w:r>
      <w:r>
        <w:rPr>
          <w:noProof/>
        </w:rPr>
        <w:tab/>
      </w:r>
      <w:r>
        <w:rPr>
          <w:noProof/>
        </w:rPr>
        <w:fldChar w:fldCharType="begin"/>
      </w:r>
      <w:r>
        <w:rPr>
          <w:noProof/>
        </w:rPr>
        <w:instrText xml:space="preserve"> PAGEREF _Toc13233778 \h </w:instrText>
      </w:r>
      <w:r>
        <w:rPr>
          <w:noProof/>
        </w:rPr>
      </w:r>
      <w:r>
        <w:rPr>
          <w:noProof/>
        </w:rPr>
        <w:fldChar w:fldCharType="separate"/>
      </w:r>
      <w:r w:rsidR="00497E3C">
        <w:rPr>
          <w:noProof/>
        </w:rPr>
        <w:t>151</w:t>
      </w:r>
      <w:r>
        <w:rPr>
          <w:noProof/>
        </w:rPr>
        <w:fldChar w:fldCharType="end"/>
      </w:r>
    </w:p>
    <w:p w14:paraId="13BB36CD" w14:textId="77777777" w:rsidR="005168F5" w:rsidRDefault="005168F5">
      <w:pPr>
        <w:pStyle w:val="TOC5"/>
        <w:rPr>
          <w:rFonts w:asciiTheme="minorHAnsi" w:eastAsiaTheme="minorEastAsia" w:hAnsiTheme="minorHAnsi" w:cstheme="minorBidi"/>
          <w:noProof/>
          <w:kern w:val="0"/>
          <w:sz w:val="22"/>
          <w:szCs w:val="22"/>
        </w:rPr>
      </w:pPr>
      <w:r>
        <w:rPr>
          <w:noProof/>
        </w:rPr>
        <w:t>3.84  Method 1—emissions from system upsets, accidents and deliberate releases from process vents</w:t>
      </w:r>
      <w:r>
        <w:rPr>
          <w:noProof/>
        </w:rPr>
        <w:tab/>
      </w:r>
      <w:r>
        <w:rPr>
          <w:noProof/>
        </w:rPr>
        <w:fldChar w:fldCharType="begin"/>
      </w:r>
      <w:r>
        <w:rPr>
          <w:noProof/>
        </w:rPr>
        <w:instrText xml:space="preserve"> PAGEREF _Toc13233779 \h </w:instrText>
      </w:r>
      <w:r>
        <w:rPr>
          <w:noProof/>
        </w:rPr>
      </w:r>
      <w:r>
        <w:rPr>
          <w:noProof/>
        </w:rPr>
        <w:fldChar w:fldCharType="separate"/>
      </w:r>
      <w:r w:rsidR="00497E3C">
        <w:rPr>
          <w:noProof/>
        </w:rPr>
        <w:t>151</w:t>
      </w:r>
      <w:r>
        <w:rPr>
          <w:noProof/>
        </w:rPr>
        <w:fldChar w:fldCharType="end"/>
      </w:r>
    </w:p>
    <w:p w14:paraId="1032253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3.3.9.2—Emissions released from gas flared from natural gas production and processing</w:t>
      </w:r>
      <w:r>
        <w:rPr>
          <w:noProof/>
        </w:rPr>
        <w:tab/>
      </w:r>
      <w:r>
        <w:rPr>
          <w:noProof/>
        </w:rPr>
        <w:fldChar w:fldCharType="begin"/>
      </w:r>
      <w:r>
        <w:rPr>
          <w:noProof/>
        </w:rPr>
        <w:instrText xml:space="preserve"> PAGEREF _Toc13233780 \h </w:instrText>
      </w:r>
      <w:r>
        <w:rPr>
          <w:noProof/>
        </w:rPr>
      </w:r>
      <w:r>
        <w:rPr>
          <w:noProof/>
        </w:rPr>
        <w:fldChar w:fldCharType="separate"/>
      </w:r>
      <w:r w:rsidR="00497E3C">
        <w:rPr>
          <w:noProof/>
        </w:rPr>
        <w:t>151</w:t>
      </w:r>
      <w:r>
        <w:rPr>
          <w:noProof/>
        </w:rPr>
        <w:fldChar w:fldCharType="end"/>
      </w:r>
    </w:p>
    <w:p w14:paraId="6ECAD1DF" w14:textId="77777777" w:rsidR="005168F5" w:rsidRDefault="005168F5">
      <w:pPr>
        <w:pStyle w:val="TOC5"/>
        <w:rPr>
          <w:rFonts w:asciiTheme="minorHAnsi" w:eastAsiaTheme="minorEastAsia" w:hAnsiTheme="minorHAnsi" w:cstheme="minorBidi"/>
          <w:noProof/>
          <w:kern w:val="0"/>
          <w:sz w:val="22"/>
          <w:szCs w:val="22"/>
        </w:rPr>
      </w:pPr>
      <w:r>
        <w:rPr>
          <w:noProof/>
        </w:rPr>
        <w:t>3.85  Method 1—gas flared from natural gas production and processing</w:t>
      </w:r>
      <w:r>
        <w:rPr>
          <w:noProof/>
        </w:rPr>
        <w:tab/>
      </w:r>
      <w:r>
        <w:rPr>
          <w:noProof/>
        </w:rPr>
        <w:fldChar w:fldCharType="begin"/>
      </w:r>
      <w:r>
        <w:rPr>
          <w:noProof/>
        </w:rPr>
        <w:instrText xml:space="preserve"> PAGEREF _Toc13233781 \h </w:instrText>
      </w:r>
      <w:r>
        <w:rPr>
          <w:noProof/>
        </w:rPr>
      </w:r>
      <w:r>
        <w:rPr>
          <w:noProof/>
        </w:rPr>
        <w:fldChar w:fldCharType="separate"/>
      </w:r>
      <w:r w:rsidR="00497E3C">
        <w:rPr>
          <w:noProof/>
        </w:rPr>
        <w:t>151</w:t>
      </w:r>
      <w:r>
        <w:rPr>
          <w:noProof/>
        </w:rPr>
        <w:fldChar w:fldCharType="end"/>
      </w:r>
    </w:p>
    <w:p w14:paraId="75E253DD" w14:textId="77777777" w:rsidR="005168F5" w:rsidRDefault="005168F5">
      <w:pPr>
        <w:pStyle w:val="TOC5"/>
        <w:rPr>
          <w:rFonts w:asciiTheme="minorHAnsi" w:eastAsiaTheme="minorEastAsia" w:hAnsiTheme="minorHAnsi" w:cstheme="minorBidi"/>
          <w:noProof/>
          <w:kern w:val="0"/>
          <w:sz w:val="22"/>
          <w:szCs w:val="22"/>
        </w:rPr>
      </w:pPr>
      <w:r>
        <w:rPr>
          <w:noProof/>
        </w:rPr>
        <w:t>3.86  Method 2—gas flared from natural gas production and processing</w:t>
      </w:r>
      <w:r>
        <w:rPr>
          <w:noProof/>
        </w:rPr>
        <w:tab/>
      </w:r>
      <w:r>
        <w:rPr>
          <w:noProof/>
        </w:rPr>
        <w:fldChar w:fldCharType="begin"/>
      </w:r>
      <w:r>
        <w:rPr>
          <w:noProof/>
        </w:rPr>
        <w:instrText xml:space="preserve"> PAGEREF _Toc13233782 \h </w:instrText>
      </w:r>
      <w:r>
        <w:rPr>
          <w:noProof/>
        </w:rPr>
      </w:r>
      <w:r>
        <w:rPr>
          <w:noProof/>
        </w:rPr>
        <w:fldChar w:fldCharType="separate"/>
      </w:r>
      <w:r w:rsidR="00497E3C">
        <w:rPr>
          <w:noProof/>
        </w:rPr>
        <w:t>152</w:t>
      </w:r>
      <w:r>
        <w:rPr>
          <w:noProof/>
        </w:rPr>
        <w:fldChar w:fldCharType="end"/>
      </w:r>
    </w:p>
    <w:p w14:paraId="06B84F3B" w14:textId="77777777" w:rsidR="005168F5" w:rsidRDefault="005168F5">
      <w:pPr>
        <w:pStyle w:val="TOC5"/>
        <w:rPr>
          <w:rFonts w:asciiTheme="minorHAnsi" w:eastAsiaTheme="minorEastAsia" w:hAnsiTheme="minorHAnsi" w:cstheme="minorBidi"/>
          <w:noProof/>
          <w:kern w:val="0"/>
          <w:sz w:val="22"/>
          <w:szCs w:val="22"/>
        </w:rPr>
      </w:pPr>
      <w:r>
        <w:rPr>
          <w:noProof/>
        </w:rPr>
        <w:t>3.86A  Method 2A—natural gas production and processing (flared methane or nitrous oxide emissions)</w:t>
      </w:r>
      <w:r>
        <w:rPr>
          <w:noProof/>
        </w:rPr>
        <w:tab/>
      </w:r>
      <w:r>
        <w:rPr>
          <w:noProof/>
        </w:rPr>
        <w:fldChar w:fldCharType="begin"/>
      </w:r>
      <w:r>
        <w:rPr>
          <w:noProof/>
        </w:rPr>
        <w:instrText xml:space="preserve"> PAGEREF _Toc13233783 \h </w:instrText>
      </w:r>
      <w:r>
        <w:rPr>
          <w:noProof/>
        </w:rPr>
      </w:r>
      <w:r>
        <w:rPr>
          <w:noProof/>
        </w:rPr>
        <w:fldChar w:fldCharType="separate"/>
      </w:r>
      <w:r w:rsidR="00497E3C">
        <w:rPr>
          <w:noProof/>
        </w:rPr>
        <w:t>152</w:t>
      </w:r>
      <w:r>
        <w:rPr>
          <w:noProof/>
        </w:rPr>
        <w:fldChar w:fldCharType="end"/>
      </w:r>
    </w:p>
    <w:p w14:paraId="67C44D58" w14:textId="77777777" w:rsidR="005168F5" w:rsidRDefault="005168F5">
      <w:pPr>
        <w:pStyle w:val="TOC5"/>
        <w:rPr>
          <w:rFonts w:asciiTheme="minorHAnsi" w:eastAsiaTheme="minorEastAsia" w:hAnsiTheme="minorHAnsi" w:cstheme="minorBidi"/>
          <w:noProof/>
          <w:kern w:val="0"/>
          <w:sz w:val="22"/>
          <w:szCs w:val="22"/>
        </w:rPr>
      </w:pPr>
      <w:r>
        <w:rPr>
          <w:noProof/>
        </w:rPr>
        <w:t>3.87  Method 3—gas flared from natural gas production and processing</w:t>
      </w:r>
      <w:r>
        <w:rPr>
          <w:noProof/>
        </w:rPr>
        <w:tab/>
      </w:r>
      <w:r>
        <w:rPr>
          <w:noProof/>
        </w:rPr>
        <w:fldChar w:fldCharType="begin"/>
      </w:r>
      <w:r>
        <w:rPr>
          <w:noProof/>
        </w:rPr>
        <w:instrText xml:space="preserve"> PAGEREF _Toc13233784 \h </w:instrText>
      </w:r>
      <w:r>
        <w:rPr>
          <w:noProof/>
        </w:rPr>
      </w:r>
      <w:r>
        <w:rPr>
          <w:noProof/>
        </w:rPr>
        <w:fldChar w:fldCharType="separate"/>
      </w:r>
      <w:r w:rsidR="00497E3C">
        <w:rPr>
          <w:noProof/>
        </w:rPr>
        <w:t>153</w:t>
      </w:r>
      <w:r>
        <w:rPr>
          <w:noProof/>
        </w:rPr>
        <w:fldChar w:fldCharType="end"/>
      </w:r>
    </w:p>
    <w:p w14:paraId="70D80AAC" w14:textId="77777777" w:rsidR="005168F5" w:rsidRDefault="005168F5">
      <w:pPr>
        <w:pStyle w:val="TOC2"/>
        <w:rPr>
          <w:rFonts w:asciiTheme="minorHAnsi" w:eastAsiaTheme="minorEastAsia" w:hAnsiTheme="minorHAnsi" w:cstheme="minorBidi"/>
          <w:b w:val="0"/>
          <w:noProof/>
          <w:kern w:val="0"/>
          <w:sz w:val="22"/>
          <w:szCs w:val="22"/>
        </w:rPr>
      </w:pPr>
      <w:r>
        <w:rPr>
          <w:noProof/>
        </w:rPr>
        <w:lastRenderedPageBreak/>
        <w:t>Part 3.4—Carbon capture and storage—fugitive emissions</w:t>
      </w:r>
      <w:r>
        <w:rPr>
          <w:noProof/>
        </w:rPr>
        <w:tab/>
      </w:r>
      <w:r>
        <w:rPr>
          <w:noProof/>
        </w:rPr>
        <w:fldChar w:fldCharType="begin"/>
      </w:r>
      <w:r>
        <w:rPr>
          <w:noProof/>
        </w:rPr>
        <w:instrText xml:space="preserve"> PAGEREF _Toc13233785 \h </w:instrText>
      </w:r>
      <w:r>
        <w:rPr>
          <w:noProof/>
        </w:rPr>
      </w:r>
      <w:r>
        <w:rPr>
          <w:noProof/>
        </w:rPr>
        <w:fldChar w:fldCharType="separate"/>
      </w:r>
      <w:r w:rsidR="00497E3C">
        <w:rPr>
          <w:noProof/>
        </w:rPr>
        <w:t>154</w:t>
      </w:r>
      <w:r>
        <w:rPr>
          <w:noProof/>
        </w:rPr>
        <w:fldChar w:fldCharType="end"/>
      </w:r>
    </w:p>
    <w:p w14:paraId="2B1E634B" w14:textId="77777777" w:rsidR="005168F5" w:rsidRDefault="005168F5">
      <w:pPr>
        <w:pStyle w:val="TOC3"/>
        <w:rPr>
          <w:rFonts w:asciiTheme="minorHAnsi" w:eastAsiaTheme="minorEastAsia" w:hAnsiTheme="minorHAnsi" w:cstheme="minorBidi"/>
          <w:b w:val="0"/>
          <w:noProof/>
          <w:kern w:val="0"/>
          <w:szCs w:val="22"/>
        </w:rPr>
      </w:pPr>
      <w:r>
        <w:rPr>
          <w:noProof/>
        </w:rPr>
        <w:t>Division 3.4.1—Preliminary</w:t>
      </w:r>
      <w:r>
        <w:rPr>
          <w:noProof/>
        </w:rPr>
        <w:tab/>
      </w:r>
      <w:r>
        <w:rPr>
          <w:noProof/>
        </w:rPr>
        <w:fldChar w:fldCharType="begin"/>
      </w:r>
      <w:r>
        <w:rPr>
          <w:noProof/>
        </w:rPr>
        <w:instrText xml:space="preserve"> PAGEREF _Toc13233786 \h </w:instrText>
      </w:r>
      <w:r>
        <w:rPr>
          <w:noProof/>
        </w:rPr>
      </w:r>
      <w:r>
        <w:rPr>
          <w:noProof/>
        </w:rPr>
        <w:fldChar w:fldCharType="separate"/>
      </w:r>
      <w:r w:rsidR="00497E3C">
        <w:rPr>
          <w:noProof/>
        </w:rPr>
        <w:t>154</w:t>
      </w:r>
      <w:r>
        <w:rPr>
          <w:noProof/>
        </w:rPr>
        <w:fldChar w:fldCharType="end"/>
      </w:r>
    </w:p>
    <w:p w14:paraId="47D402FF" w14:textId="77777777" w:rsidR="005168F5" w:rsidRDefault="005168F5">
      <w:pPr>
        <w:pStyle w:val="TOC5"/>
        <w:rPr>
          <w:rFonts w:asciiTheme="minorHAnsi" w:eastAsiaTheme="minorEastAsia" w:hAnsiTheme="minorHAnsi" w:cstheme="minorBidi"/>
          <w:noProof/>
          <w:kern w:val="0"/>
          <w:sz w:val="22"/>
          <w:szCs w:val="22"/>
        </w:rPr>
      </w:pPr>
      <w:r>
        <w:rPr>
          <w:noProof/>
        </w:rPr>
        <w:t>3.88  Outline of Part</w:t>
      </w:r>
      <w:r>
        <w:rPr>
          <w:noProof/>
        </w:rPr>
        <w:tab/>
      </w:r>
      <w:r>
        <w:rPr>
          <w:noProof/>
        </w:rPr>
        <w:fldChar w:fldCharType="begin"/>
      </w:r>
      <w:r>
        <w:rPr>
          <w:noProof/>
        </w:rPr>
        <w:instrText xml:space="preserve"> PAGEREF _Toc13233787 \h </w:instrText>
      </w:r>
      <w:r>
        <w:rPr>
          <w:noProof/>
        </w:rPr>
      </w:r>
      <w:r>
        <w:rPr>
          <w:noProof/>
        </w:rPr>
        <w:fldChar w:fldCharType="separate"/>
      </w:r>
      <w:r w:rsidR="00497E3C">
        <w:rPr>
          <w:noProof/>
        </w:rPr>
        <w:t>154</w:t>
      </w:r>
      <w:r>
        <w:rPr>
          <w:noProof/>
        </w:rPr>
        <w:fldChar w:fldCharType="end"/>
      </w:r>
    </w:p>
    <w:p w14:paraId="2B83C6CE" w14:textId="77777777" w:rsidR="005168F5" w:rsidRDefault="005168F5">
      <w:pPr>
        <w:pStyle w:val="TOC3"/>
        <w:rPr>
          <w:rFonts w:asciiTheme="minorHAnsi" w:eastAsiaTheme="minorEastAsia" w:hAnsiTheme="minorHAnsi" w:cstheme="minorBidi"/>
          <w:b w:val="0"/>
          <w:noProof/>
          <w:kern w:val="0"/>
          <w:szCs w:val="22"/>
        </w:rPr>
      </w:pPr>
      <w:r>
        <w:rPr>
          <w:noProof/>
        </w:rPr>
        <w:t>Division 3.4.2—Transport of greenhouse gases</w:t>
      </w:r>
      <w:r>
        <w:rPr>
          <w:noProof/>
        </w:rPr>
        <w:tab/>
      </w:r>
      <w:r>
        <w:rPr>
          <w:noProof/>
        </w:rPr>
        <w:fldChar w:fldCharType="begin"/>
      </w:r>
      <w:r>
        <w:rPr>
          <w:noProof/>
        </w:rPr>
        <w:instrText xml:space="preserve"> PAGEREF _Toc13233788 \h </w:instrText>
      </w:r>
      <w:r>
        <w:rPr>
          <w:noProof/>
        </w:rPr>
      </w:r>
      <w:r>
        <w:rPr>
          <w:noProof/>
        </w:rPr>
        <w:fldChar w:fldCharType="separate"/>
      </w:r>
      <w:r w:rsidR="00497E3C">
        <w:rPr>
          <w:noProof/>
        </w:rPr>
        <w:t>155</w:t>
      </w:r>
      <w:r>
        <w:rPr>
          <w:noProof/>
        </w:rPr>
        <w:fldChar w:fldCharType="end"/>
      </w:r>
    </w:p>
    <w:p w14:paraId="796EA253"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3.4.2.1—Preliminary</w:t>
      </w:r>
      <w:r>
        <w:rPr>
          <w:noProof/>
        </w:rPr>
        <w:tab/>
      </w:r>
      <w:r>
        <w:rPr>
          <w:noProof/>
        </w:rPr>
        <w:fldChar w:fldCharType="begin"/>
      </w:r>
      <w:r>
        <w:rPr>
          <w:noProof/>
        </w:rPr>
        <w:instrText xml:space="preserve"> PAGEREF _Toc13233789 \h </w:instrText>
      </w:r>
      <w:r>
        <w:rPr>
          <w:noProof/>
        </w:rPr>
      </w:r>
      <w:r>
        <w:rPr>
          <w:noProof/>
        </w:rPr>
        <w:fldChar w:fldCharType="separate"/>
      </w:r>
      <w:r w:rsidR="00497E3C">
        <w:rPr>
          <w:noProof/>
        </w:rPr>
        <w:t>155</w:t>
      </w:r>
      <w:r>
        <w:rPr>
          <w:noProof/>
        </w:rPr>
        <w:fldChar w:fldCharType="end"/>
      </w:r>
    </w:p>
    <w:p w14:paraId="24565406" w14:textId="77777777" w:rsidR="005168F5" w:rsidRDefault="005168F5">
      <w:pPr>
        <w:pStyle w:val="TOC5"/>
        <w:rPr>
          <w:rFonts w:asciiTheme="minorHAnsi" w:eastAsiaTheme="minorEastAsia" w:hAnsiTheme="minorHAnsi" w:cstheme="minorBidi"/>
          <w:noProof/>
          <w:kern w:val="0"/>
          <w:sz w:val="22"/>
          <w:szCs w:val="22"/>
        </w:rPr>
      </w:pPr>
      <w:r>
        <w:rPr>
          <w:noProof/>
        </w:rPr>
        <w:t>3.89  Application</w:t>
      </w:r>
      <w:r>
        <w:rPr>
          <w:noProof/>
        </w:rPr>
        <w:tab/>
      </w:r>
      <w:r>
        <w:rPr>
          <w:noProof/>
        </w:rPr>
        <w:fldChar w:fldCharType="begin"/>
      </w:r>
      <w:r>
        <w:rPr>
          <w:noProof/>
        </w:rPr>
        <w:instrText xml:space="preserve"> PAGEREF _Toc13233790 \h </w:instrText>
      </w:r>
      <w:r>
        <w:rPr>
          <w:noProof/>
        </w:rPr>
      </w:r>
      <w:r>
        <w:rPr>
          <w:noProof/>
        </w:rPr>
        <w:fldChar w:fldCharType="separate"/>
      </w:r>
      <w:r w:rsidR="00497E3C">
        <w:rPr>
          <w:noProof/>
        </w:rPr>
        <w:t>155</w:t>
      </w:r>
      <w:r>
        <w:rPr>
          <w:noProof/>
        </w:rPr>
        <w:fldChar w:fldCharType="end"/>
      </w:r>
    </w:p>
    <w:p w14:paraId="1EE2260D" w14:textId="77777777" w:rsidR="005168F5" w:rsidRDefault="005168F5">
      <w:pPr>
        <w:pStyle w:val="TOC5"/>
        <w:rPr>
          <w:rFonts w:asciiTheme="minorHAnsi" w:eastAsiaTheme="minorEastAsia" w:hAnsiTheme="minorHAnsi" w:cstheme="minorBidi"/>
          <w:noProof/>
          <w:kern w:val="0"/>
          <w:sz w:val="22"/>
          <w:szCs w:val="22"/>
        </w:rPr>
      </w:pPr>
      <w:r>
        <w:rPr>
          <w:noProof/>
        </w:rPr>
        <w:t>3.90  Available methods</w:t>
      </w:r>
      <w:r>
        <w:rPr>
          <w:noProof/>
        </w:rPr>
        <w:tab/>
      </w:r>
      <w:r>
        <w:rPr>
          <w:noProof/>
        </w:rPr>
        <w:fldChar w:fldCharType="begin"/>
      </w:r>
      <w:r>
        <w:rPr>
          <w:noProof/>
        </w:rPr>
        <w:instrText xml:space="preserve"> PAGEREF _Toc13233791 \h </w:instrText>
      </w:r>
      <w:r>
        <w:rPr>
          <w:noProof/>
        </w:rPr>
      </w:r>
      <w:r>
        <w:rPr>
          <w:noProof/>
        </w:rPr>
        <w:fldChar w:fldCharType="separate"/>
      </w:r>
      <w:r w:rsidR="00497E3C">
        <w:rPr>
          <w:noProof/>
        </w:rPr>
        <w:t>155</w:t>
      </w:r>
      <w:r>
        <w:rPr>
          <w:noProof/>
        </w:rPr>
        <w:fldChar w:fldCharType="end"/>
      </w:r>
    </w:p>
    <w:p w14:paraId="64DA7937"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3.4.2.2—Emissions from transport of greenhouse gases involving transfer</w:t>
      </w:r>
      <w:r>
        <w:rPr>
          <w:noProof/>
        </w:rPr>
        <w:tab/>
      </w:r>
      <w:r>
        <w:rPr>
          <w:noProof/>
        </w:rPr>
        <w:fldChar w:fldCharType="begin"/>
      </w:r>
      <w:r>
        <w:rPr>
          <w:noProof/>
        </w:rPr>
        <w:instrText xml:space="preserve"> PAGEREF _Toc13233792 \h </w:instrText>
      </w:r>
      <w:r>
        <w:rPr>
          <w:noProof/>
        </w:rPr>
      </w:r>
      <w:r>
        <w:rPr>
          <w:noProof/>
        </w:rPr>
        <w:fldChar w:fldCharType="separate"/>
      </w:r>
      <w:r w:rsidR="00497E3C">
        <w:rPr>
          <w:noProof/>
        </w:rPr>
        <w:t>156</w:t>
      </w:r>
      <w:r>
        <w:rPr>
          <w:noProof/>
        </w:rPr>
        <w:fldChar w:fldCharType="end"/>
      </w:r>
    </w:p>
    <w:p w14:paraId="2C693189" w14:textId="77777777" w:rsidR="005168F5" w:rsidRDefault="005168F5">
      <w:pPr>
        <w:pStyle w:val="TOC5"/>
        <w:rPr>
          <w:rFonts w:asciiTheme="minorHAnsi" w:eastAsiaTheme="minorEastAsia" w:hAnsiTheme="minorHAnsi" w:cstheme="minorBidi"/>
          <w:noProof/>
          <w:kern w:val="0"/>
          <w:sz w:val="22"/>
          <w:szCs w:val="22"/>
        </w:rPr>
      </w:pPr>
      <w:r>
        <w:rPr>
          <w:noProof/>
        </w:rPr>
        <w:t>3.91  Method 1—emissions from transport of greenhouse gases involving transfer</w:t>
      </w:r>
      <w:r>
        <w:rPr>
          <w:noProof/>
        </w:rPr>
        <w:tab/>
      </w:r>
      <w:r>
        <w:rPr>
          <w:noProof/>
        </w:rPr>
        <w:fldChar w:fldCharType="begin"/>
      </w:r>
      <w:r>
        <w:rPr>
          <w:noProof/>
        </w:rPr>
        <w:instrText xml:space="preserve"> PAGEREF _Toc13233793 \h </w:instrText>
      </w:r>
      <w:r>
        <w:rPr>
          <w:noProof/>
        </w:rPr>
      </w:r>
      <w:r>
        <w:rPr>
          <w:noProof/>
        </w:rPr>
        <w:fldChar w:fldCharType="separate"/>
      </w:r>
      <w:r w:rsidR="00497E3C">
        <w:rPr>
          <w:noProof/>
        </w:rPr>
        <w:t>156</w:t>
      </w:r>
      <w:r>
        <w:rPr>
          <w:noProof/>
        </w:rPr>
        <w:fldChar w:fldCharType="end"/>
      </w:r>
    </w:p>
    <w:p w14:paraId="5A9E2697"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3.4.2.3—Emissions from transport of greenhouse gases not involving transfer</w:t>
      </w:r>
      <w:r>
        <w:rPr>
          <w:noProof/>
        </w:rPr>
        <w:tab/>
      </w:r>
      <w:r>
        <w:rPr>
          <w:noProof/>
        </w:rPr>
        <w:fldChar w:fldCharType="begin"/>
      </w:r>
      <w:r>
        <w:rPr>
          <w:noProof/>
        </w:rPr>
        <w:instrText xml:space="preserve"> PAGEREF _Toc13233794 \h </w:instrText>
      </w:r>
      <w:r>
        <w:rPr>
          <w:noProof/>
        </w:rPr>
      </w:r>
      <w:r>
        <w:rPr>
          <w:noProof/>
        </w:rPr>
        <w:fldChar w:fldCharType="separate"/>
      </w:r>
      <w:r w:rsidR="00497E3C">
        <w:rPr>
          <w:noProof/>
        </w:rPr>
        <w:t>156</w:t>
      </w:r>
      <w:r>
        <w:rPr>
          <w:noProof/>
        </w:rPr>
        <w:fldChar w:fldCharType="end"/>
      </w:r>
    </w:p>
    <w:p w14:paraId="003B5630" w14:textId="77777777" w:rsidR="005168F5" w:rsidRDefault="005168F5">
      <w:pPr>
        <w:pStyle w:val="TOC5"/>
        <w:rPr>
          <w:rFonts w:asciiTheme="minorHAnsi" w:eastAsiaTheme="minorEastAsia" w:hAnsiTheme="minorHAnsi" w:cstheme="minorBidi"/>
          <w:noProof/>
          <w:kern w:val="0"/>
          <w:sz w:val="22"/>
          <w:szCs w:val="22"/>
        </w:rPr>
      </w:pPr>
      <w:r>
        <w:rPr>
          <w:noProof/>
        </w:rPr>
        <w:t>3.92  Method 1—emissions from transport of greenhouse gases not involving transfer</w:t>
      </w:r>
      <w:r>
        <w:rPr>
          <w:noProof/>
        </w:rPr>
        <w:tab/>
      </w:r>
      <w:r>
        <w:rPr>
          <w:noProof/>
        </w:rPr>
        <w:fldChar w:fldCharType="begin"/>
      </w:r>
      <w:r>
        <w:rPr>
          <w:noProof/>
        </w:rPr>
        <w:instrText xml:space="preserve"> PAGEREF _Toc13233795 \h </w:instrText>
      </w:r>
      <w:r>
        <w:rPr>
          <w:noProof/>
        </w:rPr>
      </w:r>
      <w:r>
        <w:rPr>
          <w:noProof/>
        </w:rPr>
        <w:fldChar w:fldCharType="separate"/>
      </w:r>
      <w:r w:rsidR="00497E3C">
        <w:rPr>
          <w:noProof/>
        </w:rPr>
        <w:t>156</w:t>
      </w:r>
      <w:r>
        <w:rPr>
          <w:noProof/>
        </w:rPr>
        <w:fldChar w:fldCharType="end"/>
      </w:r>
    </w:p>
    <w:p w14:paraId="7F660F0E" w14:textId="77777777" w:rsidR="005168F5" w:rsidRDefault="005168F5">
      <w:pPr>
        <w:pStyle w:val="TOC3"/>
        <w:rPr>
          <w:rFonts w:asciiTheme="minorHAnsi" w:eastAsiaTheme="minorEastAsia" w:hAnsiTheme="minorHAnsi" w:cstheme="minorBidi"/>
          <w:b w:val="0"/>
          <w:noProof/>
          <w:kern w:val="0"/>
          <w:szCs w:val="22"/>
        </w:rPr>
      </w:pPr>
      <w:r>
        <w:rPr>
          <w:noProof/>
        </w:rPr>
        <w:t>Division 3.4.3—Injection of greenhouse gases</w:t>
      </w:r>
      <w:r>
        <w:rPr>
          <w:noProof/>
        </w:rPr>
        <w:tab/>
      </w:r>
      <w:r>
        <w:rPr>
          <w:noProof/>
        </w:rPr>
        <w:fldChar w:fldCharType="begin"/>
      </w:r>
      <w:r>
        <w:rPr>
          <w:noProof/>
        </w:rPr>
        <w:instrText xml:space="preserve"> PAGEREF _Toc13233796 \h </w:instrText>
      </w:r>
      <w:r>
        <w:rPr>
          <w:noProof/>
        </w:rPr>
      </w:r>
      <w:r>
        <w:rPr>
          <w:noProof/>
        </w:rPr>
        <w:fldChar w:fldCharType="separate"/>
      </w:r>
      <w:r w:rsidR="00497E3C">
        <w:rPr>
          <w:noProof/>
        </w:rPr>
        <w:t>158</w:t>
      </w:r>
      <w:r>
        <w:rPr>
          <w:noProof/>
        </w:rPr>
        <w:fldChar w:fldCharType="end"/>
      </w:r>
    </w:p>
    <w:p w14:paraId="095C7EF5"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3.4.3.1—Preliminary</w:t>
      </w:r>
      <w:r>
        <w:rPr>
          <w:noProof/>
        </w:rPr>
        <w:tab/>
      </w:r>
      <w:r>
        <w:rPr>
          <w:noProof/>
        </w:rPr>
        <w:fldChar w:fldCharType="begin"/>
      </w:r>
      <w:r>
        <w:rPr>
          <w:noProof/>
        </w:rPr>
        <w:instrText xml:space="preserve"> PAGEREF _Toc13233797 \h </w:instrText>
      </w:r>
      <w:r>
        <w:rPr>
          <w:noProof/>
        </w:rPr>
      </w:r>
      <w:r>
        <w:rPr>
          <w:noProof/>
        </w:rPr>
        <w:fldChar w:fldCharType="separate"/>
      </w:r>
      <w:r w:rsidR="00497E3C">
        <w:rPr>
          <w:noProof/>
        </w:rPr>
        <w:t>158</w:t>
      </w:r>
      <w:r>
        <w:rPr>
          <w:noProof/>
        </w:rPr>
        <w:fldChar w:fldCharType="end"/>
      </w:r>
    </w:p>
    <w:p w14:paraId="3C7F2A09" w14:textId="77777777" w:rsidR="005168F5" w:rsidRDefault="005168F5">
      <w:pPr>
        <w:pStyle w:val="TOC5"/>
        <w:rPr>
          <w:rFonts w:asciiTheme="minorHAnsi" w:eastAsiaTheme="minorEastAsia" w:hAnsiTheme="minorHAnsi" w:cstheme="minorBidi"/>
          <w:noProof/>
          <w:kern w:val="0"/>
          <w:sz w:val="22"/>
          <w:szCs w:val="22"/>
        </w:rPr>
      </w:pPr>
      <w:r>
        <w:rPr>
          <w:noProof/>
        </w:rPr>
        <w:t>3.93  Application</w:t>
      </w:r>
      <w:r>
        <w:rPr>
          <w:noProof/>
        </w:rPr>
        <w:tab/>
      </w:r>
      <w:r>
        <w:rPr>
          <w:noProof/>
        </w:rPr>
        <w:fldChar w:fldCharType="begin"/>
      </w:r>
      <w:r>
        <w:rPr>
          <w:noProof/>
        </w:rPr>
        <w:instrText xml:space="preserve"> PAGEREF _Toc13233798 \h </w:instrText>
      </w:r>
      <w:r>
        <w:rPr>
          <w:noProof/>
        </w:rPr>
      </w:r>
      <w:r>
        <w:rPr>
          <w:noProof/>
        </w:rPr>
        <w:fldChar w:fldCharType="separate"/>
      </w:r>
      <w:r w:rsidR="00497E3C">
        <w:rPr>
          <w:noProof/>
        </w:rPr>
        <w:t>158</w:t>
      </w:r>
      <w:r>
        <w:rPr>
          <w:noProof/>
        </w:rPr>
        <w:fldChar w:fldCharType="end"/>
      </w:r>
    </w:p>
    <w:p w14:paraId="757C7B79" w14:textId="77777777" w:rsidR="005168F5" w:rsidRDefault="005168F5">
      <w:pPr>
        <w:pStyle w:val="TOC5"/>
        <w:rPr>
          <w:rFonts w:asciiTheme="minorHAnsi" w:eastAsiaTheme="minorEastAsia" w:hAnsiTheme="minorHAnsi" w:cstheme="minorBidi"/>
          <w:noProof/>
          <w:kern w:val="0"/>
          <w:sz w:val="22"/>
          <w:szCs w:val="22"/>
        </w:rPr>
      </w:pPr>
      <w:r>
        <w:rPr>
          <w:noProof/>
        </w:rPr>
        <w:t>3.94  Available methods</w:t>
      </w:r>
      <w:r>
        <w:rPr>
          <w:noProof/>
        </w:rPr>
        <w:tab/>
      </w:r>
      <w:r>
        <w:rPr>
          <w:noProof/>
        </w:rPr>
        <w:fldChar w:fldCharType="begin"/>
      </w:r>
      <w:r>
        <w:rPr>
          <w:noProof/>
        </w:rPr>
        <w:instrText xml:space="preserve"> PAGEREF _Toc13233799 \h </w:instrText>
      </w:r>
      <w:r>
        <w:rPr>
          <w:noProof/>
        </w:rPr>
      </w:r>
      <w:r>
        <w:rPr>
          <w:noProof/>
        </w:rPr>
        <w:fldChar w:fldCharType="separate"/>
      </w:r>
      <w:r w:rsidR="00497E3C">
        <w:rPr>
          <w:noProof/>
        </w:rPr>
        <w:t>158</w:t>
      </w:r>
      <w:r>
        <w:rPr>
          <w:noProof/>
        </w:rPr>
        <w:fldChar w:fldCharType="end"/>
      </w:r>
    </w:p>
    <w:p w14:paraId="4399D9DA"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3.4.3.2—Fugitive emissions from deliberate releases from process vents, system upsets and accidents</w:t>
      </w:r>
      <w:r>
        <w:rPr>
          <w:noProof/>
        </w:rPr>
        <w:tab/>
      </w:r>
      <w:r>
        <w:rPr>
          <w:noProof/>
        </w:rPr>
        <w:fldChar w:fldCharType="begin"/>
      </w:r>
      <w:r>
        <w:rPr>
          <w:noProof/>
        </w:rPr>
        <w:instrText xml:space="preserve"> PAGEREF _Toc13233800 \h </w:instrText>
      </w:r>
      <w:r>
        <w:rPr>
          <w:noProof/>
        </w:rPr>
      </w:r>
      <w:r>
        <w:rPr>
          <w:noProof/>
        </w:rPr>
        <w:fldChar w:fldCharType="separate"/>
      </w:r>
      <w:r w:rsidR="00497E3C">
        <w:rPr>
          <w:noProof/>
        </w:rPr>
        <w:t>158</w:t>
      </w:r>
      <w:r>
        <w:rPr>
          <w:noProof/>
        </w:rPr>
        <w:fldChar w:fldCharType="end"/>
      </w:r>
    </w:p>
    <w:p w14:paraId="004754A5" w14:textId="77777777" w:rsidR="005168F5" w:rsidRDefault="005168F5">
      <w:pPr>
        <w:pStyle w:val="TOC5"/>
        <w:rPr>
          <w:rFonts w:asciiTheme="minorHAnsi" w:eastAsiaTheme="minorEastAsia" w:hAnsiTheme="minorHAnsi" w:cstheme="minorBidi"/>
          <w:noProof/>
          <w:kern w:val="0"/>
          <w:sz w:val="22"/>
          <w:szCs w:val="22"/>
        </w:rPr>
      </w:pPr>
      <w:r>
        <w:rPr>
          <w:noProof/>
        </w:rPr>
        <w:t>3.95  Method 2—fugitive emissions from deliberate releases from process vents, system upsets and accidents</w:t>
      </w:r>
      <w:r>
        <w:rPr>
          <w:noProof/>
        </w:rPr>
        <w:tab/>
      </w:r>
      <w:r>
        <w:rPr>
          <w:noProof/>
        </w:rPr>
        <w:fldChar w:fldCharType="begin"/>
      </w:r>
      <w:r>
        <w:rPr>
          <w:noProof/>
        </w:rPr>
        <w:instrText xml:space="preserve"> PAGEREF _Toc13233801 \h </w:instrText>
      </w:r>
      <w:r>
        <w:rPr>
          <w:noProof/>
        </w:rPr>
      </w:r>
      <w:r>
        <w:rPr>
          <w:noProof/>
        </w:rPr>
        <w:fldChar w:fldCharType="separate"/>
      </w:r>
      <w:r w:rsidR="00497E3C">
        <w:rPr>
          <w:noProof/>
        </w:rPr>
        <w:t>158</w:t>
      </w:r>
      <w:r>
        <w:rPr>
          <w:noProof/>
        </w:rPr>
        <w:fldChar w:fldCharType="end"/>
      </w:r>
    </w:p>
    <w:p w14:paraId="4B86E641"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3.4.3.3—Fugitive emissions from injection of greenhouse gases (other than emissions from deliberate releases from process vents, system upsets and accidents)</w:t>
      </w:r>
      <w:r>
        <w:rPr>
          <w:noProof/>
        </w:rPr>
        <w:tab/>
      </w:r>
      <w:r>
        <w:rPr>
          <w:noProof/>
        </w:rPr>
        <w:fldChar w:fldCharType="begin"/>
      </w:r>
      <w:r>
        <w:rPr>
          <w:noProof/>
        </w:rPr>
        <w:instrText xml:space="preserve"> PAGEREF _Toc13233802 \h </w:instrText>
      </w:r>
      <w:r>
        <w:rPr>
          <w:noProof/>
        </w:rPr>
      </w:r>
      <w:r>
        <w:rPr>
          <w:noProof/>
        </w:rPr>
        <w:fldChar w:fldCharType="separate"/>
      </w:r>
      <w:r w:rsidR="00497E3C">
        <w:rPr>
          <w:noProof/>
        </w:rPr>
        <w:t>159</w:t>
      </w:r>
      <w:r>
        <w:rPr>
          <w:noProof/>
        </w:rPr>
        <w:fldChar w:fldCharType="end"/>
      </w:r>
    </w:p>
    <w:p w14:paraId="113C1AD1" w14:textId="77777777" w:rsidR="005168F5" w:rsidRDefault="005168F5">
      <w:pPr>
        <w:pStyle w:val="TOC5"/>
        <w:rPr>
          <w:rFonts w:asciiTheme="minorHAnsi" w:eastAsiaTheme="minorEastAsia" w:hAnsiTheme="minorHAnsi" w:cstheme="minorBidi"/>
          <w:noProof/>
          <w:kern w:val="0"/>
          <w:sz w:val="22"/>
          <w:szCs w:val="22"/>
        </w:rPr>
      </w:pPr>
      <w:r>
        <w:rPr>
          <w:noProof/>
        </w:rPr>
        <w:t>3.96  Method 2—fugitive emissions from injection of a greenhouse gas into a geological formation (other than deliberate releases from process vents, system upsets and accidents)</w:t>
      </w:r>
      <w:r>
        <w:rPr>
          <w:noProof/>
        </w:rPr>
        <w:tab/>
      </w:r>
      <w:r>
        <w:rPr>
          <w:noProof/>
        </w:rPr>
        <w:fldChar w:fldCharType="begin"/>
      </w:r>
      <w:r>
        <w:rPr>
          <w:noProof/>
        </w:rPr>
        <w:instrText xml:space="preserve"> PAGEREF _Toc13233803 \h </w:instrText>
      </w:r>
      <w:r>
        <w:rPr>
          <w:noProof/>
        </w:rPr>
      </w:r>
      <w:r>
        <w:rPr>
          <w:noProof/>
        </w:rPr>
        <w:fldChar w:fldCharType="separate"/>
      </w:r>
      <w:r w:rsidR="00497E3C">
        <w:rPr>
          <w:noProof/>
        </w:rPr>
        <w:t>159</w:t>
      </w:r>
      <w:r>
        <w:rPr>
          <w:noProof/>
        </w:rPr>
        <w:fldChar w:fldCharType="end"/>
      </w:r>
    </w:p>
    <w:p w14:paraId="49DD8590" w14:textId="77777777" w:rsidR="005168F5" w:rsidRDefault="005168F5">
      <w:pPr>
        <w:pStyle w:val="TOC5"/>
        <w:rPr>
          <w:rFonts w:asciiTheme="minorHAnsi" w:eastAsiaTheme="minorEastAsia" w:hAnsiTheme="minorHAnsi" w:cstheme="minorBidi"/>
          <w:noProof/>
          <w:kern w:val="0"/>
          <w:sz w:val="22"/>
          <w:szCs w:val="22"/>
        </w:rPr>
      </w:pPr>
      <w:r>
        <w:rPr>
          <w:noProof/>
        </w:rPr>
        <w:t>3.97  Method 3—fugitive emissions from injection of greenhouse gases (other than deliberate releases from process vents, system upsets and accidents)</w:t>
      </w:r>
      <w:r>
        <w:rPr>
          <w:noProof/>
        </w:rPr>
        <w:tab/>
      </w:r>
      <w:r>
        <w:rPr>
          <w:noProof/>
        </w:rPr>
        <w:fldChar w:fldCharType="begin"/>
      </w:r>
      <w:r>
        <w:rPr>
          <w:noProof/>
        </w:rPr>
        <w:instrText xml:space="preserve"> PAGEREF _Toc13233804 \h </w:instrText>
      </w:r>
      <w:r>
        <w:rPr>
          <w:noProof/>
        </w:rPr>
      </w:r>
      <w:r>
        <w:rPr>
          <w:noProof/>
        </w:rPr>
        <w:fldChar w:fldCharType="separate"/>
      </w:r>
      <w:r w:rsidR="00497E3C">
        <w:rPr>
          <w:noProof/>
        </w:rPr>
        <w:t>159</w:t>
      </w:r>
      <w:r>
        <w:rPr>
          <w:noProof/>
        </w:rPr>
        <w:fldChar w:fldCharType="end"/>
      </w:r>
    </w:p>
    <w:p w14:paraId="5259C3A5" w14:textId="77777777" w:rsidR="005168F5" w:rsidRDefault="005168F5">
      <w:pPr>
        <w:pStyle w:val="TOC3"/>
        <w:rPr>
          <w:rFonts w:asciiTheme="minorHAnsi" w:eastAsiaTheme="minorEastAsia" w:hAnsiTheme="minorHAnsi" w:cstheme="minorBidi"/>
          <w:b w:val="0"/>
          <w:noProof/>
          <w:kern w:val="0"/>
          <w:szCs w:val="22"/>
        </w:rPr>
      </w:pPr>
      <w:r>
        <w:rPr>
          <w:noProof/>
        </w:rPr>
        <w:t>Division 3.4.4—Storage of greenhouse gases</w:t>
      </w:r>
      <w:r>
        <w:rPr>
          <w:noProof/>
        </w:rPr>
        <w:tab/>
      </w:r>
      <w:r>
        <w:rPr>
          <w:noProof/>
        </w:rPr>
        <w:fldChar w:fldCharType="begin"/>
      </w:r>
      <w:r>
        <w:rPr>
          <w:noProof/>
        </w:rPr>
        <w:instrText xml:space="preserve"> PAGEREF _Toc13233805 \h </w:instrText>
      </w:r>
      <w:r>
        <w:rPr>
          <w:noProof/>
        </w:rPr>
      </w:r>
      <w:r>
        <w:rPr>
          <w:noProof/>
        </w:rPr>
        <w:fldChar w:fldCharType="separate"/>
      </w:r>
      <w:r w:rsidR="00497E3C">
        <w:rPr>
          <w:noProof/>
        </w:rPr>
        <w:t>160</w:t>
      </w:r>
      <w:r>
        <w:rPr>
          <w:noProof/>
        </w:rPr>
        <w:fldChar w:fldCharType="end"/>
      </w:r>
    </w:p>
    <w:p w14:paraId="58B38514"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3.4.4.1—Preliminary</w:t>
      </w:r>
      <w:r>
        <w:rPr>
          <w:noProof/>
        </w:rPr>
        <w:tab/>
      </w:r>
      <w:r>
        <w:rPr>
          <w:noProof/>
        </w:rPr>
        <w:fldChar w:fldCharType="begin"/>
      </w:r>
      <w:r>
        <w:rPr>
          <w:noProof/>
        </w:rPr>
        <w:instrText xml:space="preserve"> PAGEREF _Toc13233806 \h </w:instrText>
      </w:r>
      <w:r>
        <w:rPr>
          <w:noProof/>
        </w:rPr>
      </w:r>
      <w:r>
        <w:rPr>
          <w:noProof/>
        </w:rPr>
        <w:fldChar w:fldCharType="separate"/>
      </w:r>
      <w:r w:rsidR="00497E3C">
        <w:rPr>
          <w:noProof/>
        </w:rPr>
        <w:t>160</w:t>
      </w:r>
      <w:r>
        <w:rPr>
          <w:noProof/>
        </w:rPr>
        <w:fldChar w:fldCharType="end"/>
      </w:r>
    </w:p>
    <w:p w14:paraId="7A053EEE" w14:textId="77777777" w:rsidR="005168F5" w:rsidRDefault="005168F5">
      <w:pPr>
        <w:pStyle w:val="TOC5"/>
        <w:rPr>
          <w:rFonts w:asciiTheme="minorHAnsi" w:eastAsiaTheme="minorEastAsia" w:hAnsiTheme="minorHAnsi" w:cstheme="minorBidi"/>
          <w:noProof/>
          <w:kern w:val="0"/>
          <w:sz w:val="22"/>
          <w:szCs w:val="22"/>
        </w:rPr>
      </w:pPr>
      <w:r>
        <w:rPr>
          <w:noProof/>
        </w:rPr>
        <w:t>3.98  Application</w:t>
      </w:r>
      <w:r>
        <w:rPr>
          <w:noProof/>
        </w:rPr>
        <w:tab/>
      </w:r>
      <w:r>
        <w:rPr>
          <w:noProof/>
        </w:rPr>
        <w:fldChar w:fldCharType="begin"/>
      </w:r>
      <w:r>
        <w:rPr>
          <w:noProof/>
        </w:rPr>
        <w:instrText xml:space="preserve"> PAGEREF _Toc13233807 \h </w:instrText>
      </w:r>
      <w:r>
        <w:rPr>
          <w:noProof/>
        </w:rPr>
      </w:r>
      <w:r>
        <w:rPr>
          <w:noProof/>
        </w:rPr>
        <w:fldChar w:fldCharType="separate"/>
      </w:r>
      <w:r w:rsidR="00497E3C">
        <w:rPr>
          <w:noProof/>
        </w:rPr>
        <w:t>160</w:t>
      </w:r>
      <w:r>
        <w:rPr>
          <w:noProof/>
        </w:rPr>
        <w:fldChar w:fldCharType="end"/>
      </w:r>
    </w:p>
    <w:p w14:paraId="364C3B87" w14:textId="77777777" w:rsidR="005168F5" w:rsidRDefault="005168F5">
      <w:pPr>
        <w:pStyle w:val="TOC5"/>
        <w:rPr>
          <w:rFonts w:asciiTheme="minorHAnsi" w:eastAsiaTheme="minorEastAsia" w:hAnsiTheme="minorHAnsi" w:cstheme="minorBidi"/>
          <w:noProof/>
          <w:kern w:val="0"/>
          <w:sz w:val="22"/>
          <w:szCs w:val="22"/>
        </w:rPr>
      </w:pPr>
      <w:r>
        <w:rPr>
          <w:noProof/>
        </w:rPr>
        <w:t>3.99  Available method</w:t>
      </w:r>
      <w:r>
        <w:rPr>
          <w:noProof/>
        </w:rPr>
        <w:tab/>
      </w:r>
      <w:r>
        <w:rPr>
          <w:noProof/>
        </w:rPr>
        <w:fldChar w:fldCharType="begin"/>
      </w:r>
      <w:r>
        <w:rPr>
          <w:noProof/>
        </w:rPr>
        <w:instrText xml:space="preserve"> PAGEREF _Toc13233808 \h </w:instrText>
      </w:r>
      <w:r>
        <w:rPr>
          <w:noProof/>
        </w:rPr>
      </w:r>
      <w:r>
        <w:rPr>
          <w:noProof/>
        </w:rPr>
        <w:fldChar w:fldCharType="separate"/>
      </w:r>
      <w:r w:rsidR="00497E3C">
        <w:rPr>
          <w:noProof/>
        </w:rPr>
        <w:t>160</w:t>
      </w:r>
      <w:r>
        <w:rPr>
          <w:noProof/>
        </w:rPr>
        <w:fldChar w:fldCharType="end"/>
      </w:r>
    </w:p>
    <w:p w14:paraId="259488AE"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3.4.4.2—Fugitive emissions from the storage of greenhouse gases</w:t>
      </w:r>
      <w:r>
        <w:rPr>
          <w:noProof/>
        </w:rPr>
        <w:tab/>
      </w:r>
      <w:r>
        <w:rPr>
          <w:noProof/>
        </w:rPr>
        <w:fldChar w:fldCharType="begin"/>
      </w:r>
      <w:r>
        <w:rPr>
          <w:noProof/>
        </w:rPr>
        <w:instrText xml:space="preserve"> PAGEREF _Toc13233809 \h </w:instrText>
      </w:r>
      <w:r>
        <w:rPr>
          <w:noProof/>
        </w:rPr>
      </w:r>
      <w:r>
        <w:rPr>
          <w:noProof/>
        </w:rPr>
        <w:fldChar w:fldCharType="separate"/>
      </w:r>
      <w:r w:rsidR="00497E3C">
        <w:rPr>
          <w:noProof/>
        </w:rPr>
        <w:t>160</w:t>
      </w:r>
      <w:r>
        <w:rPr>
          <w:noProof/>
        </w:rPr>
        <w:fldChar w:fldCharType="end"/>
      </w:r>
    </w:p>
    <w:p w14:paraId="4E4C3E7F" w14:textId="77777777" w:rsidR="005168F5" w:rsidRDefault="005168F5">
      <w:pPr>
        <w:pStyle w:val="TOC5"/>
        <w:rPr>
          <w:rFonts w:asciiTheme="minorHAnsi" w:eastAsiaTheme="minorEastAsia" w:hAnsiTheme="minorHAnsi" w:cstheme="minorBidi"/>
          <w:noProof/>
          <w:kern w:val="0"/>
          <w:sz w:val="22"/>
          <w:szCs w:val="22"/>
        </w:rPr>
      </w:pPr>
      <w:r>
        <w:rPr>
          <w:noProof/>
        </w:rPr>
        <w:t>3.100  Method 2—fugitive emissions from geological formations used for the storage of greenhouse gases</w:t>
      </w:r>
      <w:r>
        <w:rPr>
          <w:noProof/>
        </w:rPr>
        <w:tab/>
      </w:r>
      <w:r>
        <w:rPr>
          <w:noProof/>
        </w:rPr>
        <w:fldChar w:fldCharType="begin"/>
      </w:r>
      <w:r>
        <w:rPr>
          <w:noProof/>
        </w:rPr>
        <w:instrText xml:space="preserve"> PAGEREF _Toc13233810 \h </w:instrText>
      </w:r>
      <w:r>
        <w:rPr>
          <w:noProof/>
        </w:rPr>
      </w:r>
      <w:r>
        <w:rPr>
          <w:noProof/>
        </w:rPr>
        <w:fldChar w:fldCharType="separate"/>
      </w:r>
      <w:r w:rsidR="00497E3C">
        <w:rPr>
          <w:noProof/>
        </w:rPr>
        <w:t>160</w:t>
      </w:r>
      <w:r>
        <w:rPr>
          <w:noProof/>
        </w:rPr>
        <w:fldChar w:fldCharType="end"/>
      </w:r>
    </w:p>
    <w:p w14:paraId="5E066C52" w14:textId="77777777" w:rsidR="005168F5" w:rsidRDefault="005168F5">
      <w:pPr>
        <w:pStyle w:val="TOC1"/>
        <w:rPr>
          <w:rFonts w:asciiTheme="minorHAnsi" w:eastAsiaTheme="minorEastAsia" w:hAnsiTheme="minorHAnsi" w:cstheme="minorBidi"/>
          <w:b w:val="0"/>
          <w:noProof/>
          <w:kern w:val="0"/>
          <w:sz w:val="22"/>
          <w:szCs w:val="22"/>
        </w:rPr>
      </w:pPr>
      <w:r>
        <w:rPr>
          <w:noProof/>
        </w:rPr>
        <w:t>Chapter 4—Industrial processes emissions</w:t>
      </w:r>
      <w:r>
        <w:rPr>
          <w:noProof/>
        </w:rPr>
        <w:tab/>
      </w:r>
      <w:r>
        <w:rPr>
          <w:noProof/>
        </w:rPr>
        <w:fldChar w:fldCharType="begin"/>
      </w:r>
      <w:r>
        <w:rPr>
          <w:noProof/>
        </w:rPr>
        <w:instrText xml:space="preserve"> PAGEREF _Toc13233811 \h </w:instrText>
      </w:r>
      <w:r>
        <w:rPr>
          <w:noProof/>
        </w:rPr>
      </w:r>
      <w:r>
        <w:rPr>
          <w:noProof/>
        </w:rPr>
        <w:fldChar w:fldCharType="separate"/>
      </w:r>
      <w:r w:rsidR="00497E3C">
        <w:rPr>
          <w:noProof/>
        </w:rPr>
        <w:t>162</w:t>
      </w:r>
      <w:r>
        <w:rPr>
          <w:noProof/>
        </w:rPr>
        <w:fldChar w:fldCharType="end"/>
      </w:r>
    </w:p>
    <w:p w14:paraId="37766BFE" w14:textId="77777777" w:rsidR="005168F5" w:rsidRDefault="005168F5">
      <w:pPr>
        <w:pStyle w:val="TOC2"/>
        <w:rPr>
          <w:rFonts w:asciiTheme="minorHAnsi" w:eastAsiaTheme="minorEastAsia" w:hAnsiTheme="minorHAnsi" w:cstheme="minorBidi"/>
          <w:b w:val="0"/>
          <w:noProof/>
          <w:kern w:val="0"/>
          <w:sz w:val="22"/>
          <w:szCs w:val="22"/>
        </w:rPr>
      </w:pPr>
      <w:r>
        <w:rPr>
          <w:noProof/>
        </w:rPr>
        <w:t>Part 4.1—Preliminary</w:t>
      </w:r>
      <w:r>
        <w:rPr>
          <w:noProof/>
        </w:rPr>
        <w:tab/>
      </w:r>
      <w:r>
        <w:rPr>
          <w:noProof/>
        </w:rPr>
        <w:fldChar w:fldCharType="begin"/>
      </w:r>
      <w:r>
        <w:rPr>
          <w:noProof/>
        </w:rPr>
        <w:instrText xml:space="preserve"> PAGEREF _Toc13233812 \h </w:instrText>
      </w:r>
      <w:r>
        <w:rPr>
          <w:noProof/>
        </w:rPr>
      </w:r>
      <w:r>
        <w:rPr>
          <w:noProof/>
        </w:rPr>
        <w:fldChar w:fldCharType="separate"/>
      </w:r>
      <w:r w:rsidR="00497E3C">
        <w:rPr>
          <w:noProof/>
        </w:rPr>
        <w:t>162</w:t>
      </w:r>
      <w:r>
        <w:rPr>
          <w:noProof/>
        </w:rPr>
        <w:fldChar w:fldCharType="end"/>
      </w:r>
    </w:p>
    <w:p w14:paraId="5519BFD2" w14:textId="77777777" w:rsidR="005168F5" w:rsidRDefault="005168F5">
      <w:pPr>
        <w:pStyle w:val="TOC5"/>
        <w:rPr>
          <w:rFonts w:asciiTheme="minorHAnsi" w:eastAsiaTheme="minorEastAsia" w:hAnsiTheme="minorHAnsi" w:cstheme="minorBidi"/>
          <w:noProof/>
          <w:kern w:val="0"/>
          <w:sz w:val="22"/>
          <w:szCs w:val="22"/>
        </w:rPr>
      </w:pPr>
      <w:r>
        <w:rPr>
          <w:noProof/>
        </w:rPr>
        <w:t>4.1  Outline of Chapter</w:t>
      </w:r>
      <w:r>
        <w:rPr>
          <w:noProof/>
        </w:rPr>
        <w:tab/>
      </w:r>
      <w:r>
        <w:rPr>
          <w:noProof/>
        </w:rPr>
        <w:fldChar w:fldCharType="begin"/>
      </w:r>
      <w:r>
        <w:rPr>
          <w:noProof/>
        </w:rPr>
        <w:instrText xml:space="preserve"> PAGEREF _Toc13233813 \h </w:instrText>
      </w:r>
      <w:r>
        <w:rPr>
          <w:noProof/>
        </w:rPr>
      </w:r>
      <w:r>
        <w:rPr>
          <w:noProof/>
        </w:rPr>
        <w:fldChar w:fldCharType="separate"/>
      </w:r>
      <w:r w:rsidR="00497E3C">
        <w:rPr>
          <w:noProof/>
        </w:rPr>
        <w:t>162</w:t>
      </w:r>
      <w:r>
        <w:rPr>
          <w:noProof/>
        </w:rPr>
        <w:fldChar w:fldCharType="end"/>
      </w:r>
    </w:p>
    <w:p w14:paraId="57E0BF3E" w14:textId="77777777" w:rsidR="005168F5" w:rsidRDefault="005168F5">
      <w:pPr>
        <w:pStyle w:val="TOC2"/>
        <w:rPr>
          <w:rFonts w:asciiTheme="minorHAnsi" w:eastAsiaTheme="minorEastAsia" w:hAnsiTheme="minorHAnsi" w:cstheme="minorBidi"/>
          <w:b w:val="0"/>
          <w:noProof/>
          <w:kern w:val="0"/>
          <w:sz w:val="22"/>
          <w:szCs w:val="22"/>
        </w:rPr>
      </w:pPr>
      <w:r>
        <w:rPr>
          <w:noProof/>
        </w:rPr>
        <w:t>Part 4.2—Industrial processes—mineral products</w:t>
      </w:r>
      <w:r>
        <w:rPr>
          <w:noProof/>
        </w:rPr>
        <w:tab/>
      </w:r>
      <w:r>
        <w:rPr>
          <w:noProof/>
        </w:rPr>
        <w:fldChar w:fldCharType="begin"/>
      </w:r>
      <w:r>
        <w:rPr>
          <w:noProof/>
        </w:rPr>
        <w:instrText xml:space="preserve"> PAGEREF _Toc13233814 \h </w:instrText>
      </w:r>
      <w:r>
        <w:rPr>
          <w:noProof/>
        </w:rPr>
      </w:r>
      <w:r>
        <w:rPr>
          <w:noProof/>
        </w:rPr>
        <w:fldChar w:fldCharType="separate"/>
      </w:r>
      <w:r w:rsidR="00497E3C">
        <w:rPr>
          <w:noProof/>
        </w:rPr>
        <w:t>163</w:t>
      </w:r>
      <w:r>
        <w:rPr>
          <w:noProof/>
        </w:rPr>
        <w:fldChar w:fldCharType="end"/>
      </w:r>
    </w:p>
    <w:p w14:paraId="64159333" w14:textId="77777777" w:rsidR="005168F5" w:rsidRDefault="005168F5">
      <w:pPr>
        <w:pStyle w:val="TOC3"/>
        <w:rPr>
          <w:rFonts w:asciiTheme="minorHAnsi" w:eastAsiaTheme="minorEastAsia" w:hAnsiTheme="minorHAnsi" w:cstheme="minorBidi"/>
          <w:b w:val="0"/>
          <w:noProof/>
          <w:kern w:val="0"/>
          <w:szCs w:val="22"/>
        </w:rPr>
      </w:pPr>
      <w:r>
        <w:rPr>
          <w:noProof/>
        </w:rPr>
        <w:t>Division 4.2.1—Cement clinker production</w:t>
      </w:r>
      <w:r>
        <w:rPr>
          <w:noProof/>
        </w:rPr>
        <w:tab/>
      </w:r>
      <w:r>
        <w:rPr>
          <w:noProof/>
        </w:rPr>
        <w:fldChar w:fldCharType="begin"/>
      </w:r>
      <w:r>
        <w:rPr>
          <w:noProof/>
        </w:rPr>
        <w:instrText xml:space="preserve"> PAGEREF _Toc13233815 \h </w:instrText>
      </w:r>
      <w:r>
        <w:rPr>
          <w:noProof/>
        </w:rPr>
      </w:r>
      <w:r>
        <w:rPr>
          <w:noProof/>
        </w:rPr>
        <w:fldChar w:fldCharType="separate"/>
      </w:r>
      <w:r w:rsidR="00497E3C">
        <w:rPr>
          <w:noProof/>
        </w:rPr>
        <w:t>163</w:t>
      </w:r>
      <w:r>
        <w:rPr>
          <w:noProof/>
        </w:rPr>
        <w:fldChar w:fldCharType="end"/>
      </w:r>
    </w:p>
    <w:p w14:paraId="2ABCF806" w14:textId="77777777" w:rsidR="005168F5" w:rsidRDefault="005168F5">
      <w:pPr>
        <w:pStyle w:val="TOC5"/>
        <w:rPr>
          <w:rFonts w:asciiTheme="minorHAnsi" w:eastAsiaTheme="minorEastAsia" w:hAnsiTheme="minorHAnsi" w:cstheme="minorBidi"/>
          <w:noProof/>
          <w:kern w:val="0"/>
          <w:sz w:val="22"/>
          <w:szCs w:val="22"/>
        </w:rPr>
      </w:pPr>
      <w:r>
        <w:rPr>
          <w:noProof/>
        </w:rPr>
        <w:t>4.2  Application</w:t>
      </w:r>
      <w:r>
        <w:rPr>
          <w:noProof/>
        </w:rPr>
        <w:tab/>
      </w:r>
      <w:r>
        <w:rPr>
          <w:noProof/>
        </w:rPr>
        <w:fldChar w:fldCharType="begin"/>
      </w:r>
      <w:r>
        <w:rPr>
          <w:noProof/>
        </w:rPr>
        <w:instrText xml:space="preserve"> PAGEREF _Toc13233816 \h </w:instrText>
      </w:r>
      <w:r>
        <w:rPr>
          <w:noProof/>
        </w:rPr>
      </w:r>
      <w:r>
        <w:rPr>
          <w:noProof/>
        </w:rPr>
        <w:fldChar w:fldCharType="separate"/>
      </w:r>
      <w:r w:rsidR="00497E3C">
        <w:rPr>
          <w:noProof/>
        </w:rPr>
        <w:t>163</w:t>
      </w:r>
      <w:r>
        <w:rPr>
          <w:noProof/>
        </w:rPr>
        <w:fldChar w:fldCharType="end"/>
      </w:r>
    </w:p>
    <w:p w14:paraId="2E83D89F" w14:textId="77777777" w:rsidR="005168F5" w:rsidRDefault="005168F5">
      <w:pPr>
        <w:pStyle w:val="TOC5"/>
        <w:rPr>
          <w:rFonts w:asciiTheme="minorHAnsi" w:eastAsiaTheme="minorEastAsia" w:hAnsiTheme="minorHAnsi" w:cstheme="minorBidi"/>
          <w:noProof/>
          <w:kern w:val="0"/>
          <w:sz w:val="22"/>
          <w:szCs w:val="22"/>
        </w:rPr>
      </w:pPr>
      <w:r>
        <w:rPr>
          <w:noProof/>
        </w:rPr>
        <w:t>4.3  Available methods</w:t>
      </w:r>
      <w:r>
        <w:rPr>
          <w:noProof/>
        </w:rPr>
        <w:tab/>
      </w:r>
      <w:r>
        <w:rPr>
          <w:noProof/>
        </w:rPr>
        <w:fldChar w:fldCharType="begin"/>
      </w:r>
      <w:r>
        <w:rPr>
          <w:noProof/>
        </w:rPr>
        <w:instrText xml:space="preserve"> PAGEREF _Toc13233817 \h </w:instrText>
      </w:r>
      <w:r>
        <w:rPr>
          <w:noProof/>
        </w:rPr>
      </w:r>
      <w:r>
        <w:rPr>
          <w:noProof/>
        </w:rPr>
        <w:fldChar w:fldCharType="separate"/>
      </w:r>
      <w:r w:rsidR="00497E3C">
        <w:rPr>
          <w:noProof/>
        </w:rPr>
        <w:t>163</w:t>
      </w:r>
      <w:r>
        <w:rPr>
          <w:noProof/>
        </w:rPr>
        <w:fldChar w:fldCharType="end"/>
      </w:r>
    </w:p>
    <w:p w14:paraId="131A0875" w14:textId="77777777" w:rsidR="005168F5" w:rsidRDefault="005168F5">
      <w:pPr>
        <w:pStyle w:val="TOC5"/>
        <w:rPr>
          <w:rFonts w:asciiTheme="minorHAnsi" w:eastAsiaTheme="minorEastAsia" w:hAnsiTheme="minorHAnsi" w:cstheme="minorBidi"/>
          <w:noProof/>
          <w:kern w:val="0"/>
          <w:sz w:val="22"/>
          <w:szCs w:val="22"/>
        </w:rPr>
      </w:pPr>
      <w:r>
        <w:rPr>
          <w:noProof/>
        </w:rPr>
        <w:t>4.4  Method 1—cement clinker production</w:t>
      </w:r>
      <w:r>
        <w:rPr>
          <w:noProof/>
        </w:rPr>
        <w:tab/>
      </w:r>
      <w:r>
        <w:rPr>
          <w:noProof/>
        </w:rPr>
        <w:fldChar w:fldCharType="begin"/>
      </w:r>
      <w:r>
        <w:rPr>
          <w:noProof/>
        </w:rPr>
        <w:instrText xml:space="preserve"> PAGEREF _Toc13233818 \h </w:instrText>
      </w:r>
      <w:r>
        <w:rPr>
          <w:noProof/>
        </w:rPr>
      </w:r>
      <w:r>
        <w:rPr>
          <w:noProof/>
        </w:rPr>
        <w:fldChar w:fldCharType="separate"/>
      </w:r>
      <w:r w:rsidR="00497E3C">
        <w:rPr>
          <w:noProof/>
        </w:rPr>
        <w:t>163</w:t>
      </w:r>
      <w:r>
        <w:rPr>
          <w:noProof/>
        </w:rPr>
        <w:fldChar w:fldCharType="end"/>
      </w:r>
    </w:p>
    <w:p w14:paraId="68C328EC" w14:textId="77777777" w:rsidR="005168F5" w:rsidRDefault="005168F5">
      <w:pPr>
        <w:pStyle w:val="TOC5"/>
        <w:rPr>
          <w:rFonts w:asciiTheme="minorHAnsi" w:eastAsiaTheme="minorEastAsia" w:hAnsiTheme="minorHAnsi" w:cstheme="minorBidi"/>
          <w:noProof/>
          <w:kern w:val="0"/>
          <w:sz w:val="22"/>
          <w:szCs w:val="22"/>
        </w:rPr>
      </w:pPr>
      <w:r>
        <w:rPr>
          <w:noProof/>
        </w:rPr>
        <w:t>4.5  Method 2—cement clinker production</w:t>
      </w:r>
      <w:r>
        <w:rPr>
          <w:noProof/>
        </w:rPr>
        <w:tab/>
      </w:r>
      <w:r>
        <w:rPr>
          <w:noProof/>
        </w:rPr>
        <w:fldChar w:fldCharType="begin"/>
      </w:r>
      <w:r>
        <w:rPr>
          <w:noProof/>
        </w:rPr>
        <w:instrText xml:space="preserve"> PAGEREF _Toc13233819 \h </w:instrText>
      </w:r>
      <w:r>
        <w:rPr>
          <w:noProof/>
        </w:rPr>
      </w:r>
      <w:r>
        <w:rPr>
          <w:noProof/>
        </w:rPr>
        <w:fldChar w:fldCharType="separate"/>
      </w:r>
      <w:r w:rsidR="00497E3C">
        <w:rPr>
          <w:noProof/>
        </w:rPr>
        <w:t>164</w:t>
      </w:r>
      <w:r>
        <w:rPr>
          <w:noProof/>
        </w:rPr>
        <w:fldChar w:fldCharType="end"/>
      </w:r>
    </w:p>
    <w:p w14:paraId="2205DD52"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4.6  General requirements for sampling cement clinker</w:t>
      </w:r>
      <w:r>
        <w:rPr>
          <w:noProof/>
        </w:rPr>
        <w:tab/>
      </w:r>
      <w:r>
        <w:rPr>
          <w:noProof/>
        </w:rPr>
        <w:fldChar w:fldCharType="begin"/>
      </w:r>
      <w:r>
        <w:rPr>
          <w:noProof/>
        </w:rPr>
        <w:instrText xml:space="preserve"> PAGEREF _Toc13233820 \h </w:instrText>
      </w:r>
      <w:r>
        <w:rPr>
          <w:noProof/>
        </w:rPr>
      </w:r>
      <w:r>
        <w:rPr>
          <w:noProof/>
        </w:rPr>
        <w:fldChar w:fldCharType="separate"/>
      </w:r>
      <w:r w:rsidR="00497E3C">
        <w:rPr>
          <w:noProof/>
        </w:rPr>
        <w:t>165</w:t>
      </w:r>
      <w:r>
        <w:rPr>
          <w:noProof/>
        </w:rPr>
        <w:fldChar w:fldCharType="end"/>
      </w:r>
    </w:p>
    <w:p w14:paraId="560868BB" w14:textId="77777777" w:rsidR="005168F5" w:rsidRDefault="005168F5">
      <w:pPr>
        <w:pStyle w:val="TOC5"/>
        <w:rPr>
          <w:rFonts w:asciiTheme="minorHAnsi" w:eastAsiaTheme="minorEastAsia" w:hAnsiTheme="minorHAnsi" w:cstheme="minorBidi"/>
          <w:noProof/>
          <w:kern w:val="0"/>
          <w:sz w:val="22"/>
          <w:szCs w:val="22"/>
        </w:rPr>
      </w:pPr>
      <w:r>
        <w:rPr>
          <w:noProof/>
        </w:rPr>
        <w:t>4.7  General requirements for analysing cement clinker</w:t>
      </w:r>
      <w:r>
        <w:rPr>
          <w:noProof/>
        </w:rPr>
        <w:tab/>
      </w:r>
      <w:r>
        <w:rPr>
          <w:noProof/>
        </w:rPr>
        <w:fldChar w:fldCharType="begin"/>
      </w:r>
      <w:r>
        <w:rPr>
          <w:noProof/>
        </w:rPr>
        <w:instrText xml:space="preserve"> PAGEREF _Toc13233821 \h </w:instrText>
      </w:r>
      <w:r>
        <w:rPr>
          <w:noProof/>
        </w:rPr>
      </w:r>
      <w:r>
        <w:rPr>
          <w:noProof/>
        </w:rPr>
        <w:fldChar w:fldCharType="separate"/>
      </w:r>
      <w:r w:rsidR="00497E3C">
        <w:rPr>
          <w:noProof/>
        </w:rPr>
        <w:t>165</w:t>
      </w:r>
      <w:r>
        <w:rPr>
          <w:noProof/>
        </w:rPr>
        <w:fldChar w:fldCharType="end"/>
      </w:r>
    </w:p>
    <w:p w14:paraId="1BA6B4E3" w14:textId="77777777" w:rsidR="005168F5" w:rsidRDefault="005168F5">
      <w:pPr>
        <w:pStyle w:val="TOC5"/>
        <w:rPr>
          <w:rFonts w:asciiTheme="minorHAnsi" w:eastAsiaTheme="minorEastAsia" w:hAnsiTheme="minorHAnsi" w:cstheme="minorBidi"/>
          <w:noProof/>
          <w:kern w:val="0"/>
          <w:sz w:val="22"/>
          <w:szCs w:val="22"/>
        </w:rPr>
      </w:pPr>
      <w:r>
        <w:rPr>
          <w:noProof/>
        </w:rPr>
        <w:t>4.8  Method 3—cement clinker production</w:t>
      </w:r>
      <w:r>
        <w:rPr>
          <w:noProof/>
        </w:rPr>
        <w:tab/>
      </w:r>
      <w:r>
        <w:rPr>
          <w:noProof/>
        </w:rPr>
        <w:fldChar w:fldCharType="begin"/>
      </w:r>
      <w:r>
        <w:rPr>
          <w:noProof/>
        </w:rPr>
        <w:instrText xml:space="preserve"> PAGEREF _Toc13233822 \h </w:instrText>
      </w:r>
      <w:r>
        <w:rPr>
          <w:noProof/>
        </w:rPr>
      </w:r>
      <w:r>
        <w:rPr>
          <w:noProof/>
        </w:rPr>
        <w:fldChar w:fldCharType="separate"/>
      </w:r>
      <w:r w:rsidR="00497E3C">
        <w:rPr>
          <w:noProof/>
        </w:rPr>
        <w:t>165</w:t>
      </w:r>
      <w:r>
        <w:rPr>
          <w:noProof/>
        </w:rPr>
        <w:fldChar w:fldCharType="end"/>
      </w:r>
    </w:p>
    <w:p w14:paraId="657631F8" w14:textId="77777777" w:rsidR="005168F5" w:rsidRDefault="005168F5">
      <w:pPr>
        <w:pStyle w:val="TOC5"/>
        <w:rPr>
          <w:rFonts w:asciiTheme="minorHAnsi" w:eastAsiaTheme="minorEastAsia" w:hAnsiTheme="minorHAnsi" w:cstheme="minorBidi"/>
          <w:noProof/>
          <w:kern w:val="0"/>
          <w:sz w:val="22"/>
          <w:szCs w:val="22"/>
        </w:rPr>
      </w:pPr>
      <w:r>
        <w:rPr>
          <w:noProof/>
        </w:rPr>
        <w:t>4.9  General requirements for sampling carbonates</w:t>
      </w:r>
      <w:r>
        <w:rPr>
          <w:noProof/>
        </w:rPr>
        <w:tab/>
      </w:r>
      <w:r>
        <w:rPr>
          <w:noProof/>
        </w:rPr>
        <w:fldChar w:fldCharType="begin"/>
      </w:r>
      <w:r>
        <w:rPr>
          <w:noProof/>
        </w:rPr>
        <w:instrText xml:space="preserve"> PAGEREF _Toc13233823 \h </w:instrText>
      </w:r>
      <w:r>
        <w:rPr>
          <w:noProof/>
        </w:rPr>
      </w:r>
      <w:r>
        <w:rPr>
          <w:noProof/>
        </w:rPr>
        <w:fldChar w:fldCharType="separate"/>
      </w:r>
      <w:r w:rsidR="00497E3C">
        <w:rPr>
          <w:noProof/>
        </w:rPr>
        <w:t>167</w:t>
      </w:r>
      <w:r>
        <w:rPr>
          <w:noProof/>
        </w:rPr>
        <w:fldChar w:fldCharType="end"/>
      </w:r>
    </w:p>
    <w:p w14:paraId="0267D834" w14:textId="77777777" w:rsidR="005168F5" w:rsidRDefault="005168F5">
      <w:pPr>
        <w:pStyle w:val="TOC5"/>
        <w:rPr>
          <w:rFonts w:asciiTheme="minorHAnsi" w:eastAsiaTheme="minorEastAsia" w:hAnsiTheme="minorHAnsi" w:cstheme="minorBidi"/>
          <w:noProof/>
          <w:kern w:val="0"/>
          <w:sz w:val="22"/>
          <w:szCs w:val="22"/>
        </w:rPr>
      </w:pPr>
      <w:r>
        <w:rPr>
          <w:noProof/>
        </w:rPr>
        <w:t>4.10  General requirements for analysing carbonates</w:t>
      </w:r>
      <w:r>
        <w:rPr>
          <w:noProof/>
        </w:rPr>
        <w:tab/>
      </w:r>
      <w:r>
        <w:rPr>
          <w:noProof/>
        </w:rPr>
        <w:fldChar w:fldCharType="begin"/>
      </w:r>
      <w:r>
        <w:rPr>
          <w:noProof/>
        </w:rPr>
        <w:instrText xml:space="preserve"> PAGEREF _Toc13233824 \h </w:instrText>
      </w:r>
      <w:r>
        <w:rPr>
          <w:noProof/>
        </w:rPr>
      </w:r>
      <w:r>
        <w:rPr>
          <w:noProof/>
        </w:rPr>
        <w:fldChar w:fldCharType="separate"/>
      </w:r>
      <w:r w:rsidR="00497E3C">
        <w:rPr>
          <w:noProof/>
        </w:rPr>
        <w:t>167</w:t>
      </w:r>
      <w:r>
        <w:rPr>
          <w:noProof/>
        </w:rPr>
        <w:fldChar w:fldCharType="end"/>
      </w:r>
    </w:p>
    <w:p w14:paraId="64DE05F3" w14:textId="77777777" w:rsidR="005168F5" w:rsidRDefault="005168F5">
      <w:pPr>
        <w:pStyle w:val="TOC3"/>
        <w:rPr>
          <w:rFonts w:asciiTheme="minorHAnsi" w:eastAsiaTheme="minorEastAsia" w:hAnsiTheme="minorHAnsi" w:cstheme="minorBidi"/>
          <w:b w:val="0"/>
          <w:noProof/>
          <w:kern w:val="0"/>
          <w:szCs w:val="22"/>
        </w:rPr>
      </w:pPr>
      <w:r>
        <w:rPr>
          <w:noProof/>
        </w:rPr>
        <w:t>Division 4.2.2—Lime production</w:t>
      </w:r>
      <w:r>
        <w:rPr>
          <w:noProof/>
        </w:rPr>
        <w:tab/>
      </w:r>
      <w:r>
        <w:rPr>
          <w:noProof/>
        </w:rPr>
        <w:fldChar w:fldCharType="begin"/>
      </w:r>
      <w:r>
        <w:rPr>
          <w:noProof/>
        </w:rPr>
        <w:instrText xml:space="preserve"> PAGEREF _Toc13233825 \h </w:instrText>
      </w:r>
      <w:r>
        <w:rPr>
          <w:noProof/>
        </w:rPr>
      </w:r>
      <w:r>
        <w:rPr>
          <w:noProof/>
        </w:rPr>
        <w:fldChar w:fldCharType="separate"/>
      </w:r>
      <w:r w:rsidR="00497E3C">
        <w:rPr>
          <w:noProof/>
        </w:rPr>
        <w:t>168</w:t>
      </w:r>
      <w:r>
        <w:rPr>
          <w:noProof/>
        </w:rPr>
        <w:fldChar w:fldCharType="end"/>
      </w:r>
    </w:p>
    <w:p w14:paraId="34972AED" w14:textId="77777777" w:rsidR="005168F5" w:rsidRDefault="005168F5">
      <w:pPr>
        <w:pStyle w:val="TOC5"/>
        <w:rPr>
          <w:rFonts w:asciiTheme="minorHAnsi" w:eastAsiaTheme="minorEastAsia" w:hAnsiTheme="minorHAnsi" w:cstheme="minorBidi"/>
          <w:noProof/>
          <w:kern w:val="0"/>
          <w:sz w:val="22"/>
          <w:szCs w:val="22"/>
        </w:rPr>
      </w:pPr>
      <w:r>
        <w:rPr>
          <w:noProof/>
        </w:rPr>
        <w:t>4.11  Application</w:t>
      </w:r>
      <w:r>
        <w:rPr>
          <w:noProof/>
        </w:rPr>
        <w:tab/>
      </w:r>
      <w:r>
        <w:rPr>
          <w:noProof/>
        </w:rPr>
        <w:fldChar w:fldCharType="begin"/>
      </w:r>
      <w:r>
        <w:rPr>
          <w:noProof/>
        </w:rPr>
        <w:instrText xml:space="preserve"> PAGEREF _Toc13233826 \h </w:instrText>
      </w:r>
      <w:r>
        <w:rPr>
          <w:noProof/>
        </w:rPr>
      </w:r>
      <w:r>
        <w:rPr>
          <w:noProof/>
        </w:rPr>
        <w:fldChar w:fldCharType="separate"/>
      </w:r>
      <w:r w:rsidR="00497E3C">
        <w:rPr>
          <w:noProof/>
        </w:rPr>
        <w:t>168</w:t>
      </w:r>
      <w:r>
        <w:rPr>
          <w:noProof/>
        </w:rPr>
        <w:fldChar w:fldCharType="end"/>
      </w:r>
    </w:p>
    <w:p w14:paraId="265682F1" w14:textId="77777777" w:rsidR="005168F5" w:rsidRDefault="005168F5">
      <w:pPr>
        <w:pStyle w:val="TOC5"/>
        <w:rPr>
          <w:rFonts w:asciiTheme="minorHAnsi" w:eastAsiaTheme="minorEastAsia" w:hAnsiTheme="minorHAnsi" w:cstheme="minorBidi"/>
          <w:noProof/>
          <w:kern w:val="0"/>
          <w:sz w:val="22"/>
          <w:szCs w:val="22"/>
        </w:rPr>
      </w:pPr>
      <w:r>
        <w:rPr>
          <w:noProof/>
        </w:rPr>
        <w:t>4.12  Available methods</w:t>
      </w:r>
      <w:r>
        <w:rPr>
          <w:noProof/>
        </w:rPr>
        <w:tab/>
      </w:r>
      <w:r>
        <w:rPr>
          <w:noProof/>
        </w:rPr>
        <w:fldChar w:fldCharType="begin"/>
      </w:r>
      <w:r>
        <w:rPr>
          <w:noProof/>
        </w:rPr>
        <w:instrText xml:space="preserve"> PAGEREF _Toc13233827 \h </w:instrText>
      </w:r>
      <w:r>
        <w:rPr>
          <w:noProof/>
        </w:rPr>
      </w:r>
      <w:r>
        <w:rPr>
          <w:noProof/>
        </w:rPr>
        <w:fldChar w:fldCharType="separate"/>
      </w:r>
      <w:r w:rsidR="00497E3C">
        <w:rPr>
          <w:noProof/>
        </w:rPr>
        <w:t>168</w:t>
      </w:r>
      <w:r>
        <w:rPr>
          <w:noProof/>
        </w:rPr>
        <w:fldChar w:fldCharType="end"/>
      </w:r>
    </w:p>
    <w:p w14:paraId="5FEA1DE8" w14:textId="77777777" w:rsidR="005168F5" w:rsidRDefault="005168F5">
      <w:pPr>
        <w:pStyle w:val="TOC5"/>
        <w:rPr>
          <w:rFonts w:asciiTheme="minorHAnsi" w:eastAsiaTheme="minorEastAsia" w:hAnsiTheme="minorHAnsi" w:cstheme="minorBidi"/>
          <w:noProof/>
          <w:kern w:val="0"/>
          <w:sz w:val="22"/>
          <w:szCs w:val="22"/>
        </w:rPr>
      </w:pPr>
      <w:r>
        <w:rPr>
          <w:noProof/>
        </w:rPr>
        <w:t>4.13  Method 1—lime production</w:t>
      </w:r>
      <w:r>
        <w:rPr>
          <w:noProof/>
        </w:rPr>
        <w:tab/>
      </w:r>
      <w:r>
        <w:rPr>
          <w:noProof/>
        </w:rPr>
        <w:fldChar w:fldCharType="begin"/>
      </w:r>
      <w:r>
        <w:rPr>
          <w:noProof/>
        </w:rPr>
        <w:instrText xml:space="preserve"> PAGEREF _Toc13233828 \h </w:instrText>
      </w:r>
      <w:r>
        <w:rPr>
          <w:noProof/>
        </w:rPr>
      </w:r>
      <w:r>
        <w:rPr>
          <w:noProof/>
        </w:rPr>
        <w:fldChar w:fldCharType="separate"/>
      </w:r>
      <w:r w:rsidR="00497E3C">
        <w:rPr>
          <w:noProof/>
        </w:rPr>
        <w:t>168</w:t>
      </w:r>
      <w:r>
        <w:rPr>
          <w:noProof/>
        </w:rPr>
        <w:fldChar w:fldCharType="end"/>
      </w:r>
    </w:p>
    <w:p w14:paraId="338A3CA0" w14:textId="77777777" w:rsidR="005168F5" w:rsidRDefault="005168F5">
      <w:pPr>
        <w:pStyle w:val="TOC5"/>
        <w:rPr>
          <w:rFonts w:asciiTheme="minorHAnsi" w:eastAsiaTheme="minorEastAsia" w:hAnsiTheme="minorHAnsi" w:cstheme="minorBidi"/>
          <w:noProof/>
          <w:kern w:val="0"/>
          <w:sz w:val="22"/>
          <w:szCs w:val="22"/>
        </w:rPr>
      </w:pPr>
      <w:r>
        <w:rPr>
          <w:noProof/>
        </w:rPr>
        <w:t>4.14  Method 2—lime production</w:t>
      </w:r>
      <w:r>
        <w:rPr>
          <w:noProof/>
        </w:rPr>
        <w:tab/>
      </w:r>
      <w:r>
        <w:rPr>
          <w:noProof/>
        </w:rPr>
        <w:fldChar w:fldCharType="begin"/>
      </w:r>
      <w:r>
        <w:rPr>
          <w:noProof/>
        </w:rPr>
        <w:instrText xml:space="preserve"> PAGEREF _Toc13233829 \h </w:instrText>
      </w:r>
      <w:r>
        <w:rPr>
          <w:noProof/>
        </w:rPr>
      </w:r>
      <w:r>
        <w:rPr>
          <w:noProof/>
        </w:rPr>
        <w:fldChar w:fldCharType="separate"/>
      </w:r>
      <w:r w:rsidR="00497E3C">
        <w:rPr>
          <w:noProof/>
        </w:rPr>
        <w:t>169</w:t>
      </w:r>
      <w:r>
        <w:rPr>
          <w:noProof/>
        </w:rPr>
        <w:fldChar w:fldCharType="end"/>
      </w:r>
    </w:p>
    <w:p w14:paraId="59449CD1" w14:textId="77777777" w:rsidR="005168F5" w:rsidRDefault="005168F5">
      <w:pPr>
        <w:pStyle w:val="TOC5"/>
        <w:rPr>
          <w:rFonts w:asciiTheme="minorHAnsi" w:eastAsiaTheme="minorEastAsia" w:hAnsiTheme="minorHAnsi" w:cstheme="minorBidi"/>
          <w:noProof/>
          <w:kern w:val="0"/>
          <w:sz w:val="22"/>
          <w:szCs w:val="22"/>
        </w:rPr>
      </w:pPr>
      <w:r>
        <w:rPr>
          <w:noProof/>
        </w:rPr>
        <w:t>4.15  General requirements for sampling</w:t>
      </w:r>
      <w:r>
        <w:rPr>
          <w:noProof/>
        </w:rPr>
        <w:tab/>
      </w:r>
      <w:r>
        <w:rPr>
          <w:noProof/>
        </w:rPr>
        <w:fldChar w:fldCharType="begin"/>
      </w:r>
      <w:r>
        <w:rPr>
          <w:noProof/>
        </w:rPr>
        <w:instrText xml:space="preserve"> PAGEREF _Toc13233830 \h </w:instrText>
      </w:r>
      <w:r>
        <w:rPr>
          <w:noProof/>
        </w:rPr>
      </w:r>
      <w:r>
        <w:rPr>
          <w:noProof/>
        </w:rPr>
        <w:fldChar w:fldCharType="separate"/>
      </w:r>
      <w:r w:rsidR="00497E3C">
        <w:rPr>
          <w:noProof/>
        </w:rPr>
        <w:t>170</w:t>
      </w:r>
      <w:r>
        <w:rPr>
          <w:noProof/>
        </w:rPr>
        <w:fldChar w:fldCharType="end"/>
      </w:r>
    </w:p>
    <w:p w14:paraId="3840DDD6" w14:textId="77777777" w:rsidR="005168F5" w:rsidRDefault="005168F5">
      <w:pPr>
        <w:pStyle w:val="TOC5"/>
        <w:rPr>
          <w:rFonts w:asciiTheme="minorHAnsi" w:eastAsiaTheme="minorEastAsia" w:hAnsiTheme="minorHAnsi" w:cstheme="minorBidi"/>
          <w:noProof/>
          <w:kern w:val="0"/>
          <w:sz w:val="22"/>
          <w:szCs w:val="22"/>
        </w:rPr>
      </w:pPr>
      <w:r>
        <w:rPr>
          <w:noProof/>
        </w:rPr>
        <w:t>4.16  General requirements for analysis of lime</w:t>
      </w:r>
      <w:r>
        <w:rPr>
          <w:noProof/>
        </w:rPr>
        <w:tab/>
      </w:r>
      <w:r>
        <w:rPr>
          <w:noProof/>
        </w:rPr>
        <w:fldChar w:fldCharType="begin"/>
      </w:r>
      <w:r>
        <w:rPr>
          <w:noProof/>
        </w:rPr>
        <w:instrText xml:space="preserve"> PAGEREF _Toc13233831 \h </w:instrText>
      </w:r>
      <w:r>
        <w:rPr>
          <w:noProof/>
        </w:rPr>
      </w:r>
      <w:r>
        <w:rPr>
          <w:noProof/>
        </w:rPr>
        <w:fldChar w:fldCharType="separate"/>
      </w:r>
      <w:r w:rsidR="00497E3C">
        <w:rPr>
          <w:noProof/>
        </w:rPr>
        <w:t>170</w:t>
      </w:r>
      <w:r>
        <w:rPr>
          <w:noProof/>
        </w:rPr>
        <w:fldChar w:fldCharType="end"/>
      </w:r>
    </w:p>
    <w:p w14:paraId="2B8B2167" w14:textId="77777777" w:rsidR="005168F5" w:rsidRDefault="005168F5">
      <w:pPr>
        <w:pStyle w:val="TOC5"/>
        <w:rPr>
          <w:rFonts w:asciiTheme="minorHAnsi" w:eastAsiaTheme="minorEastAsia" w:hAnsiTheme="minorHAnsi" w:cstheme="minorBidi"/>
          <w:noProof/>
          <w:kern w:val="0"/>
          <w:sz w:val="22"/>
          <w:szCs w:val="22"/>
        </w:rPr>
      </w:pPr>
      <w:r>
        <w:rPr>
          <w:noProof/>
        </w:rPr>
        <w:t>4.17  Method 3—lime production</w:t>
      </w:r>
      <w:r>
        <w:rPr>
          <w:noProof/>
        </w:rPr>
        <w:tab/>
      </w:r>
      <w:r>
        <w:rPr>
          <w:noProof/>
        </w:rPr>
        <w:fldChar w:fldCharType="begin"/>
      </w:r>
      <w:r>
        <w:rPr>
          <w:noProof/>
        </w:rPr>
        <w:instrText xml:space="preserve"> PAGEREF _Toc13233832 \h </w:instrText>
      </w:r>
      <w:r>
        <w:rPr>
          <w:noProof/>
        </w:rPr>
      </w:r>
      <w:r>
        <w:rPr>
          <w:noProof/>
        </w:rPr>
        <w:fldChar w:fldCharType="separate"/>
      </w:r>
      <w:r w:rsidR="00497E3C">
        <w:rPr>
          <w:noProof/>
        </w:rPr>
        <w:t>170</w:t>
      </w:r>
      <w:r>
        <w:rPr>
          <w:noProof/>
        </w:rPr>
        <w:fldChar w:fldCharType="end"/>
      </w:r>
    </w:p>
    <w:p w14:paraId="138D2AE9" w14:textId="77777777" w:rsidR="005168F5" w:rsidRDefault="005168F5">
      <w:pPr>
        <w:pStyle w:val="TOC5"/>
        <w:rPr>
          <w:rFonts w:asciiTheme="minorHAnsi" w:eastAsiaTheme="minorEastAsia" w:hAnsiTheme="minorHAnsi" w:cstheme="minorBidi"/>
          <w:noProof/>
          <w:kern w:val="0"/>
          <w:sz w:val="22"/>
          <w:szCs w:val="22"/>
        </w:rPr>
      </w:pPr>
      <w:r>
        <w:rPr>
          <w:noProof/>
        </w:rPr>
        <w:t>4.18  General requirements for sampling</w:t>
      </w:r>
      <w:r>
        <w:rPr>
          <w:noProof/>
        </w:rPr>
        <w:tab/>
      </w:r>
      <w:r>
        <w:rPr>
          <w:noProof/>
        </w:rPr>
        <w:fldChar w:fldCharType="begin"/>
      </w:r>
      <w:r>
        <w:rPr>
          <w:noProof/>
        </w:rPr>
        <w:instrText xml:space="preserve"> PAGEREF _Toc13233833 \h </w:instrText>
      </w:r>
      <w:r>
        <w:rPr>
          <w:noProof/>
        </w:rPr>
      </w:r>
      <w:r>
        <w:rPr>
          <w:noProof/>
        </w:rPr>
        <w:fldChar w:fldCharType="separate"/>
      </w:r>
      <w:r w:rsidR="00497E3C">
        <w:rPr>
          <w:noProof/>
        </w:rPr>
        <w:t>171</w:t>
      </w:r>
      <w:r>
        <w:rPr>
          <w:noProof/>
        </w:rPr>
        <w:fldChar w:fldCharType="end"/>
      </w:r>
    </w:p>
    <w:p w14:paraId="29B3F2DB" w14:textId="77777777" w:rsidR="005168F5" w:rsidRDefault="005168F5">
      <w:pPr>
        <w:pStyle w:val="TOC5"/>
        <w:rPr>
          <w:rFonts w:asciiTheme="minorHAnsi" w:eastAsiaTheme="minorEastAsia" w:hAnsiTheme="minorHAnsi" w:cstheme="minorBidi"/>
          <w:noProof/>
          <w:kern w:val="0"/>
          <w:sz w:val="22"/>
          <w:szCs w:val="22"/>
        </w:rPr>
      </w:pPr>
      <w:r>
        <w:rPr>
          <w:noProof/>
        </w:rPr>
        <w:t>4.19  General requirements for analysis of carbonates</w:t>
      </w:r>
      <w:r>
        <w:rPr>
          <w:noProof/>
        </w:rPr>
        <w:tab/>
      </w:r>
      <w:r>
        <w:rPr>
          <w:noProof/>
        </w:rPr>
        <w:fldChar w:fldCharType="begin"/>
      </w:r>
      <w:r>
        <w:rPr>
          <w:noProof/>
        </w:rPr>
        <w:instrText xml:space="preserve"> PAGEREF _Toc13233834 \h </w:instrText>
      </w:r>
      <w:r>
        <w:rPr>
          <w:noProof/>
        </w:rPr>
      </w:r>
      <w:r>
        <w:rPr>
          <w:noProof/>
        </w:rPr>
        <w:fldChar w:fldCharType="separate"/>
      </w:r>
      <w:r w:rsidR="00497E3C">
        <w:rPr>
          <w:noProof/>
        </w:rPr>
        <w:t>172</w:t>
      </w:r>
      <w:r>
        <w:rPr>
          <w:noProof/>
        </w:rPr>
        <w:fldChar w:fldCharType="end"/>
      </w:r>
    </w:p>
    <w:p w14:paraId="77787699" w14:textId="77777777" w:rsidR="005168F5" w:rsidRDefault="005168F5">
      <w:pPr>
        <w:pStyle w:val="TOC3"/>
        <w:rPr>
          <w:rFonts w:asciiTheme="minorHAnsi" w:eastAsiaTheme="minorEastAsia" w:hAnsiTheme="minorHAnsi" w:cstheme="minorBidi"/>
          <w:b w:val="0"/>
          <w:noProof/>
          <w:kern w:val="0"/>
          <w:szCs w:val="22"/>
        </w:rPr>
      </w:pPr>
      <w:r>
        <w:rPr>
          <w:noProof/>
        </w:rPr>
        <w:t>Division 4.2.3—Use of carbonates for production of a product other than cement clinker, lime or soda ash</w:t>
      </w:r>
      <w:r>
        <w:rPr>
          <w:noProof/>
        </w:rPr>
        <w:tab/>
      </w:r>
      <w:r>
        <w:rPr>
          <w:noProof/>
        </w:rPr>
        <w:fldChar w:fldCharType="begin"/>
      </w:r>
      <w:r>
        <w:rPr>
          <w:noProof/>
        </w:rPr>
        <w:instrText xml:space="preserve"> PAGEREF _Toc13233835 \h </w:instrText>
      </w:r>
      <w:r>
        <w:rPr>
          <w:noProof/>
        </w:rPr>
      </w:r>
      <w:r>
        <w:rPr>
          <w:noProof/>
        </w:rPr>
        <w:fldChar w:fldCharType="separate"/>
      </w:r>
      <w:r w:rsidR="00497E3C">
        <w:rPr>
          <w:noProof/>
        </w:rPr>
        <w:t>173</w:t>
      </w:r>
      <w:r>
        <w:rPr>
          <w:noProof/>
        </w:rPr>
        <w:fldChar w:fldCharType="end"/>
      </w:r>
    </w:p>
    <w:p w14:paraId="636AD0E1" w14:textId="77777777" w:rsidR="005168F5" w:rsidRDefault="005168F5">
      <w:pPr>
        <w:pStyle w:val="TOC5"/>
        <w:rPr>
          <w:rFonts w:asciiTheme="minorHAnsi" w:eastAsiaTheme="minorEastAsia" w:hAnsiTheme="minorHAnsi" w:cstheme="minorBidi"/>
          <w:noProof/>
          <w:kern w:val="0"/>
          <w:sz w:val="22"/>
          <w:szCs w:val="22"/>
        </w:rPr>
      </w:pPr>
      <w:r>
        <w:rPr>
          <w:noProof/>
        </w:rPr>
        <w:t>4.20  Application</w:t>
      </w:r>
      <w:r>
        <w:rPr>
          <w:noProof/>
        </w:rPr>
        <w:tab/>
      </w:r>
      <w:r>
        <w:rPr>
          <w:noProof/>
        </w:rPr>
        <w:fldChar w:fldCharType="begin"/>
      </w:r>
      <w:r>
        <w:rPr>
          <w:noProof/>
        </w:rPr>
        <w:instrText xml:space="preserve"> PAGEREF _Toc13233836 \h </w:instrText>
      </w:r>
      <w:r>
        <w:rPr>
          <w:noProof/>
        </w:rPr>
      </w:r>
      <w:r>
        <w:rPr>
          <w:noProof/>
        </w:rPr>
        <w:fldChar w:fldCharType="separate"/>
      </w:r>
      <w:r w:rsidR="00497E3C">
        <w:rPr>
          <w:noProof/>
        </w:rPr>
        <w:t>173</w:t>
      </w:r>
      <w:r>
        <w:rPr>
          <w:noProof/>
        </w:rPr>
        <w:fldChar w:fldCharType="end"/>
      </w:r>
    </w:p>
    <w:p w14:paraId="13DC26FA" w14:textId="77777777" w:rsidR="005168F5" w:rsidRDefault="005168F5">
      <w:pPr>
        <w:pStyle w:val="TOC5"/>
        <w:rPr>
          <w:rFonts w:asciiTheme="minorHAnsi" w:eastAsiaTheme="minorEastAsia" w:hAnsiTheme="minorHAnsi" w:cstheme="minorBidi"/>
          <w:noProof/>
          <w:kern w:val="0"/>
          <w:sz w:val="22"/>
          <w:szCs w:val="22"/>
        </w:rPr>
      </w:pPr>
      <w:r>
        <w:rPr>
          <w:noProof/>
        </w:rPr>
        <w:t>4.21  Available methods</w:t>
      </w:r>
      <w:r>
        <w:rPr>
          <w:noProof/>
        </w:rPr>
        <w:tab/>
      </w:r>
      <w:r>
        <w:rPr>
          <w:noProof/>
        </w:rPr>
        <w:fldChar w:fldCharType="begin"/>
      </w:r>
      <w:r>
        <w:rPr>
          <w:noProof/>
        </w:rPr>
        <w:instrText xml:space="preserve"> PAGEREF _Toc13233837 \h </w:instrText>
      </w:r>
      <w:r>
        <w:rPr>
          <w:noProof/>
        </w:rPr>
      </w:r>
      <w:r>
        <w:rPr>
          <w:noProof/>
        </w:rPr>
        <w:fldChar w:fldCharType="separate"/>
      </w:r>
      <w:r w:rsidR="00497E3C">
        <w:rPr>
          <w:noProof/>
        </w:rPr>
        <w:t>173</w:t>
      </w:r>
      <w:r>
        <w:rPr>
          <w:noProof/>
        </w:rPr>
        <w:fldChar w:fldCharType="end"/>
      </w:r>
    </w:p>
    <w:p w14:paraId="7FCFF31F" w14:textId="77777777" w:rsidR="005168F5" w:rsidRDefault="005168F5">
      <w:pPr>
        <w:pStyle w:val="TOC5"/>
        <w:rPr>
          <w:rFonts w:asciiTheme="minorHAnsi" w:eastAsiaTheme="minorEastAsia" w:hAnsiTheme="minorHAnsi" w:cstheme="minorBidi"/>
          <w:noProof/>
          <w:kern w:val="0"/>
          <w:sz w:val="22"/>
          <w:szCs w:val="22"/>
        </w:rPr>
      </w:pPr>
      <w:r>
        <w:rPr>
          <w:noProof/>
        </w:rPr>
        <w:t>4.22  Method 1—product other than cement clinker, lime or soda ash</w:t>
      </w:r>
      <w:r>
        <w:rPr>
          <w:noProof/>
        </w:rPr>
        <w:tab/>
      </w:r>
      <w:r>
        <w:rPr>
          <w:noProof/>
        </w:rPr>
        <w:fldChar w:fldCharType="begin"/>
      </w:r>
      <w:r>
        <w:rPr>
          <w:noProof/>
        </w:rPr>
        <w:instrText xml:space="preserve"> PAGEREF _Toc13233838 \h </w:instrText>
      </w:r>
      <w:r>
        <w:rPr>
          <w:noProof/>
        </w:rPr>
      </w:r>
      <w:r>
        <w:rPr>
          <w:noProof/>
        </w:rPr>
        <w:fldChar w:fldCharType="separate"/>
      </w:r>
      <w:r w:rsidR="00497E3C">
        <w:rPr>
          <w:noProof/>
        </w:rPr>
        <w:t>174</w:t>
      </w:r>
      <w:r>
        <w:rPr>
          <w:noProof/>
        </w:rPr>
        <w:fldChar w:fldCharType="end"/>
      </w:r>
    </w:p>
    <w:p w14:paraId="67AEF634" w14:textId="77777777" w:rsidR="005168F5" w:rsidRDefault="005168F5">
      <w:pPr>
        <w:pStyle w:val="TOC5"/>
        <w:rPr>
          <w:rFonts w:asciiTheme="minorHAnsi" w:eastAsiaTheme="minorEastAsia" w:hAnsiTheme="minorHAnsi" w:cstheme="minorBidi"/>
          <w:noProof/>
          <w:kern w:val="0"/>
          <w:sz w:val="22"/>
          <w:szCs w:val="22"/>
        </w:rPr>
      </w:pPr>
      <w:r>
        <w:rPr>
          <w:noProof/>
        </w:rPr>
        <w:t>4.22A  Method 1A—product other than cement clinker, lime or soda ash for use of carbonates in clay materials</w:t>
      </w:r>
      <w:r>
        <w:rPr>
          <w:noProof/>
        </w:rPr>
        <w:tab/>
      </w:r>
      <w:r>
        <w:rPr>
          <w:noProof/>
        </w:rPr>
        <w:fldChar w:fldCharType="begin"/>
      </w:r>
      <w:r>
        <w:rPr>
          <w:noProof/>
        </w:rPr>
        <w:instrText xml:space="preserve"> PAGEREF _Toc13233839 \h </w:instrText>
      </w:r>
      <w:r>
        <w:rPr>
          <w:noProof/>
        </w:rPr>
      </w:r>
      <w:r>
        <w:rPr>
          <w:noProof/>
        </w:rPr>
        <w:fldChar w:fldCharType="separate"/>
      </w:r>
      <w:r w:rsidR="00497E3C">
        <w:rPr>
          <w:noProof/>
        </w:rPr>
        <w:t>174</w:t>
      </w:r>
      <w:r>
        <w:rPr>
          <w:noProof/>
        </w:rPr>
        <w:fldChar w:fldCharType="end"/>
      </w:r>
    </w:p>
    <w:p w14:paraId="3E28122A" w14:textId="77777777" w:rsidR="005168F5" w:rsidRDefault="005168F5">
      <w:pPr>
        <w:pStyle w:val="TOC5"/>
        <w:rPr>
          <w:rFonts w:asciiTheme="minorHAnsi" w:eastAsiaTheme="minorEastAsia" w:hAnsiTheme="minorHAnsi" w:cstheme="minorBidi"/>
          <w:noProof/>
          <w:kern w:val="0"/>
          <w:sz w:val="22"/>
          <w:szCs w:val="22"/>
        </w:rPr>
      </w:pPr>
      <w:r>
        <w:rPr>
          <w:noProof/>
        </w:rPr>
        <w:t>4.23  Method 3—product other than cement clinker, lime or soda ash</w:t>
      </w:r>
      <w:r>
        <w:rPr>
          <w:noProof/>
        </w:rPr>
        <w:tab/>
      </w:r>
      <w:r>
        <w:rPr>
          <w:noProof/>
        </w:rPr>
        <w:fldChar w:fldCharType="begin"/>
      </w:r>
      <w:r>
        <w:rPr>
          <w:noProof/>
        </w:rPr>
        <w:instrText xml:space="preserve"> PAGEREF _Toc13233840 \h </w:instrText>
      </w:r>
      <w:r>
        <w:rPr>
          <w:noProof/>
        </w:rPr>
      </w:r>
      <w:r>
        <w:rPr>
          <w:noProof/>
        </w:rPr>
        <w:fldChar w:fldCharType="separate"/>
      </w:r>
      <w:r w:rsidR="00497E3C">
        <w:rPr>
          <w:noProof/>
        </w:rPr>
        <w:t>175</w:t>
      </w:r>
      <w:r>
        <w:rPr>
          <w:noProof/>
        </w:rPr>
        <w:fldChar w:fldCharType="end"/>
      </w:r>
    </w:p>
    <w:p w14:paraId="224DB6F7" w14:textId="77777777" w:rsidR="005168F5" w:rsidRDefault="005168F5">
      <w:pPr>
        <w:pStyle w:val="TOC5"/>
        <w:rPr>
          <w:rFonts w:asciiTheme="minorHAnsi" w:eastAsiaTheme="minorEastAsia" w:hAnsiTheme="minorHAnsi" w:cstheme="minorBidi"/>
          <w:noProof/>
          <w:kern w:val="0"/>
          <w:sz w:val="22"/>
          <w:szCs w:val="22"/>
        </w:rPr>
      </w:pPr>
      <w:r>
        <w:rPr>
          <w:noProof/>
        </w:rPr>
        <w:t>4.23A  Method 3A—product other than cement clinker, lime or soda ash for use of carbonates in clay materials</w:t>
      </w:r>
      <w:r>
        <w:rPr>
          <w:noProof/>
        </w:rPr>
        <w:tab/>
      </w:r>
      <w:r>
        <w:rPr>
          <w:noProof/>
        </w:rPr>
        <w:fldChar w:fldCharType="begin"/>
      </w:r>
      <w:r>
        <w:rPr>
          <w:noProof/>
        </w:rPr>
        <w:instrText xml:space="preserve"> PAGEREF _Toc13233841 \h </w:instrText>
      </w:r>
      <w:r>
        <w:rPr>
          <w:noProof/>
        </w:rPr>
      </w:r>
      <w:r>
        <w:rPr>
          <w:noProof/>
        </w:rPr>
        <w:fldChar w:fldCharType="separate"/>
      </w:r>
      <w:r w:rsidR="00497E3C">
        <w:rPr>
          <w:noProof/>
        </w:rPr>
        <w:t>176</w:t>
      </w:r>
      <w:r>
        <w:rPr>
          <w:noProof/>
        </w:rPr>
        <w:fldChar w:fldCharType="end"/>
      </w:r>
    </w:p>
    <w:p w14:paraId="1A70F62D" w14:textId="77777777" w:rsidR="005168F5" w:rsidRDefault="005168F5">
      <w:pPr>
        <w:pStyle w:val="TOC5"/>
        <w:rPr>
          <w:rFonts w:asciiTheme="minorHAnsi" w:eastAsiaTheme="minorEastAsia" w:hAnsiTheme="minorHAnsi" w:cstheme="minorBidi"/>
          <w:noProof/>
          <w:kern w:val="0"/>
          <w:sz w:val="22"/>
          <w:szCs w:val="22"/>
        </w:rPr>
      </w:pPr>
      <w:r>
        <w:rPr>
          <w:noProof/>
        </w:rPr>
        <w:t>4.23B  General requirements for sampling clay material</w:t>
      </w:r>
      <w:r>
        <w:rPr>
          <w:noProof/>
        </w:rPr>
        <w:tab/>
      </w:r>
      <w:r>
        <w:rPr>
          <w:noProof/>
        </w:rPr>
        <w:fldChar w:fldCharType="begin"/>
      </w:r>
      <w:r>
        <w:rPr>
          <w:noProof/>
        </w:rPr>
        <w:instrText xml:space="preserve"> PAGEREF _Toc13233842 \h </w:instrText>
      </w:r>
      <w:r>
        <w:rPr>
          <w:noProof/>
        </w:rPr>
      </w:r>
      <w:r>
        <w:rPr>
          <w:noProof/>
        </w:rPr>
        <w:fldChar w:fldCharType="separate"/>
      </w:r>
      <w:r w:rsidR="00497E3C">
        <w:rPr>
          <w:noProof/>
        </w:rPr>
        <w:t>177</w:t>
      </w:r>
      <w:r>
        <w:rPr>
          <w:noProof/>
        </w:rPr>
        <w:fldChar w:fldCharType="end"/>
      </w:r>
    </w:p>
    <w:p w14:paraId="7AA0EB05" w14:textId="77777777" w:rsidR="005168F5" w:rsidRDefault="005168F5">
      <w:pPr>
        <w:pStyle w:val="TOC5"/>
        <w:rPr>
          <w:rFonts w:asciiTheme="minorHAnsi" w:eastAsiaTheme="minorEastAsia" w:hAnsiTheme="minorHAnsi" w:cstheme="minorBidi"/>
          <w:noProof/>
          <w:kern w:val="0"/>
          <w:sz w:val="22"/>
          <w:szCs w:val="22"/>
        </w:rPr>
      </w:pPr>
      <w:r>
        <w:rPr>
          <w:noProof/>
        </w:rPr>
        <w:t>4.23C  General requirements for analysing clay material</w:t>
      </w:r>
      <w:r>
        <w:rPr>
          <w:noProof/>
        </w:rPr>
        <w:tab/>
      </w:r>
      <w:r>
        <w:rPr>
          <w:noProof/>
        </w:rPr>
        <w:fldChar w:fldCharType="begin"/>
      </w:r>
      <w:r>
        <w:rPr>
          <w:noProof/>
        </w:rPr>
        <w:instrText xml:space="preserve"> PAGEREF _Toc13233843 \h </w:instrText>
      </w:r>
      <w:r>
        <w:rPr>
          <w:noProof/>
        </w:rPr>
      </w:r>
      <w:r>
        <w:rPr>
          <w:noProof/>
        </w:rPr>
        <w:fldChar w:fldCharType="separate"/>
      </w:r>
      <w:r w:rsidR="00497E3C">
        <w:rPr>
          <w:noProof/>
        </w:rPr>
        <w:t>177</w:t>
      </w:r>
      <w:r>
        <w:rPr>
          <w:noProof/>
        </w:rPr>
        <w:fldChar w:fldCharType="end"/>
      </w:r>
    </w:p>
    <w:p w14:paraId="0A651462" w14:textId="77777777" w:rsidR="005168F5" w:rsidRDefault="005168F5">
      <w:pPr>
        <w:pStyle w:val="TOC5"/>
        <w:rPr>
          <w:rFonts w:asciiTheme="minorHAnsi" w:eastAsiaTheme="minorEastAsia" w:hAnsiTheme="minorHAnsi" w:cstheme="minorBidi"/>
          <w:noProof/>
          <w:kern w:val="0"/>
          <w:sz w:val="22"/>
          <w:szCs w:val="22"/>
        </w:rPr>
      </w:pPr>
      <w:r>
        <w:rPr>
          <w:noProof/>
        </w:rPr>
        <w:t>4.24  General requirements for sampling carbonates</w:t>
      </w:r>
      <w:r>
        <w:rPr>
          <w:noProof/>
        </w:rPr>
        <w:tab/>
      </w:r>
      <w:r>
        <w:rPr>
          <w:noProof/>
        </w:rPr>
        <w:fldChar w:fldCharType="begin"/>
      </w:r>
      <w:r>
        <w:rPr>
          <w:noProof/>
        </w:rPr>
        <w:instrText xml:space="preserve"> PAGEREF _Toc13233844 \h </w:instrText>
      </w:r>
      <w:r>
        <w:rPr>
          <w:noProof/>
        </w:rPr>
      </w:r>
      <w:r>
        <w:rPr>
          <w:noProof/>
        </w:rPr>
        <w:fldChar w:fldCharType="separate"/>
      </w:r>
      <w:r w:rsidR="00497E3C">
        <w:rPr>
          <w:noProof/>
        </w:rPr>
        <w:t>177</w:t>
      </w:r>
      <w:r>
        <w:rPr>
          <w:noProof/>
        </w:rPr>
        <w:fldChar w:fldCharType="end"/>
      </w:r>
    </w:p>
    <w:p w14:paraId="62CBA6ED" w14:textId="77777777" w:rsidR="005168F5" w:rsidRDefault="005168F5">
      <w:pPr>
        <w:pStyle w:val="TOC5"/>
        <w:rPr>
          <w:rFonts w:asciiTheme="minorHAnsi" w:eastAsiaTheme="minorEastAsia" w:hAnsiTheme="minorHAnsi" w:cstheme="minorBidi"/>
          <w:noProof/>
          <w:kern w:val="0"/>
          <w:sz w:val="22"/>
          <w:szCs w:val="22"/>
        </w:rPr>
      </w:pPr>
      <w:r>
        <w:rPr>
          <w:noProof/>
        </w:rPr>
        <w:t>4.25  General requirements for analysis of carbonates</w:t>
      </w:r>
      <w:r>
        <w:rPr>
          <w:noProof/>
        </w:rPr>
        <w:tab/>
      </w:r>
      <w:r>
        <w:rPr>
          <w:noProof/>
        </w:rPr>
        <w:fldChar w:fldCharType="begin"/>
      </w:r>
      <w:r>
        <w:rPr>
          <w:noProof/>
        </w:rPr>
        <w:instrText xml:space="preserve"> PAGEREF _Toc13233845 \h </w:instrText>
      </w:r>
      <w:r>
        <w:rPr>
          <w:noProof/>
        </w:rPr>
      </w:r>
      <w:r>
        <w:rPr>
          <w:noProof/>
        </w:rPr>
        <w:fldChar w:fldCharType="separate"/>
      </w:r>
      <w:r w:rsidR="00497E3C">
        <w:rPr>
          <w:noProof/>
        </w:rPr>
        <w:t>178</w:t>
      </w:r>
      <w:r>
        <w:rPr>
          <w:noProof/>
        </w:rPr>
        <w:fldChar w:fldCharType="end"/>
      </w:r>
    </w:p>
    <w:p w14:paraId="39CFBC32" w14:textId="77777777" w:rsidR="005168F5" w:rsidRDefault="005168F5">
      <w:pPr>
        <w:pStyle w:val="TOC3"/>
        <w:rPr>
          <w:rFonts w:asciiTheme="minorHAnsi" w:eastAsiaTheme="minorEastAsia" w:hAnsiTheme="minorHAnsi" w:cstheme="minorBidi"/>
          <w:b w:val="0"/>
          <w:noProof/>
          <w:kern w:val="0"/>
          <w:szCs w:val="22"/>
        </w:rPr>
      </w:pPr>
      <w:r>
        <w:rPr>
          <w:noProof/>
        </w:rPr>
        <w:t>Division 4.2.4—Soda ash use and production</w:t>
      </w:r>
      <w:r>
        <w:rPr>
          <w:noProof/>
        </w:rPr>
        <w:tab/>
      </w:r>
      <w:r>
        <w:rPr>
          <w:noProof/>
        </w:rPr>
        <w:fldChar w:fldCharType="begin"/>
      </w:r>
      <w:r>
        <w:rPr>
          <w:noProof/>
        </w:rPr>
        <w:instrText xml:space="preserve"> PAGEREF _Toc13233846 \h </w:instrText>
      </w:r>
      <w:r>
        <w:rPr>
          <w:noProof/>
        </w:rPr>
      </w:r>
      <w:r>
        <w:rPr>
          <w:noProof/>
        </w:rPr>
        <w:fldChar w:fldCharType="separate"/>
      </w:r>
      <w:r w:rsidR="00497E3C">
        <w:rPr>
          <w:noProof/>
        </w:rPr>
        <w:t>179</w:t>
      </w:r>
      <w:r>
        <w:rPr>
          <w:noProof/>
        </w:rPr>
        <w:fldChar w:fldCharType="end"/>
      </w:r>
    </w:p>
    <w:p w14:paraId="7173ABCB" w14:textId="77777777" w:rsidR="005168F5" w:rsidRDefault="005168F5">
      <w:pPr>
        <w:pStyle w:val="TOC5"/>
        <w:rPr>
          <w:rFonts w:asciiTheme="minorHAnsi" w:eastAsiaTheme="minorEastAsia" w:hAnsiTheme="minorHAnsi" w:cstheme="minorBidi"/>
          <w:noProof/>
          <w:kern w:val="0"/>
          <w:sz w:val="22"/>
          <w:szCs w:val="22"/>
        </w:rPr>
      </w:pPr>
      <w:r>
        <w:rPr>
          <w:noProof/>
        </w:rPr>
        <w:t>4.26  Application</w:t>
      </w:r>
      <w:r>
        <w:rPr>
          <w:noProof/>
        </w:rPr>
        <w:tab/>
      </w:r>
      <w:r>
        <w:rPr>
          <w:noProof/>
        </w:rPr>
        <w:fldChar w:fldCharType="begin"/>
      </w:r>
      <w:r>
        <w:rPr>
          <w:noProof/>
        </w:rPr>
        <w:instrText xml:space="preserve"> PAGEREF _Toc13233847 \h </w:instrText>
      </w:r>
      <w:r>
        <w:rPr>
          <w:noProof/>
        </w:rPr>
      </w:r>
      <w:r>
        <w:rPr>
          <w:noProof/>
        </w:rPr>
        <w:fldChar w:fldCharType="separate"/>
      </w:r>
      <w:r w:rsidR="00497E3C">
        <w:rPr>
          <w:noProof/>
        </w:rPr>
        <w:t>179</w:t>
      </w:r>
      <w:r>
        <w:rPr>
          <w:noProof/>
        </w:rPr>
        <w:fldChar w:fldCharType="end"/>
      </w:r>
    </w:p>
    <w:p w14:paraId="7D927E95" w14:textId="77777777" w:rsidR="005168F5" w:rsidRDefault="005168F5">
      <w:pPr>
        <w:pStyle w:val="TOC5"/>
        <w:rPr>
          <w:rFonts w:asciiTheme="minorHAnsi" w:eastAsiaTheme="minorEastAsia" w:hAnsiTheme="minorHAnsi" w:cstheme="minorBidi"/>
          <w:noProof/>
          <w:kern w:val="0"/>
          <w:sz w:val="22"/>
          <w:szCs w:val="22"/>
        </w:rPr>
      </w:pPr>
      <w:r>
        <w:rPr>
          <w:noProof/>
        </w:rPr>
        <w:t>4.27  Outline of Division</w:t>
      </w:r>
      <w:r>
        <w:rPr>
          <w:noProof/>
        </w:rPr>
        <w:tab/>
      </w:r>
      <w:r>
        <w:rPr>
          <w:noProof/>
        </w:rPr>
        <w:fldChar w:fldCharType="begin"/>
      </w:r>
      <w:r>
        <w:rPr>
          <w:noProof/>
        </w:rPr>
        <w:instrText xml:space="preserve"> PAGEREF _Toc13233848 \h </w:instrText>
      </w:r>
      <w:r>
        <w:rPr>
          <w:noProof/>
        </w:rPr>
      </w:r>
      <w:r>
        <w:rPr>
          <w:noProof/>
        </w:rPr>
        <w:fldChar w:fldCharType="separate"/>
      </w:r>
      <w:r w:rsidR="00497E3C">
        <w:rPr>
          <w:noProof/>
        </w:rPr>
        <w:t>179</w:t>
      </w:r>
      <w:r>
        <w:rPr>
          <w:noProof/>
        </w:rPr>
        <w:fldChar w:fldCharType="end"/>
      </w:r>
    </w:p>
    <w:p w14:paraId="780F136F"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4.2.4.1—Soda ash use</w:t>
      </w:r>
      <w:r>
        <w:rPr>
          <w:noProof/>
        </w:rPr>
        <w:tab/>
      </w:r>
      <w:r>
        <w:rPr>
          <w:noProof/>
        </w:rPr>
        <w:fldChar w:fldCharType="begin"/>
      </w:r>
      <w:r>
        <w:rPr>
          <w:noProof/>
        </w:rPr>
        <w:instrText xml:space="preserve"> PAGEREF _Toc13233849 \h </w:instrText>
      </w:r>
      <w:r>
        <w:rPr>
          <w:noProof/>
        </w:rPr>
      </w:r>
      <w:r>
        <w:rPr>
          <w:noProof/>
        </w:rPr>
        <w:fldChar w:fldCharType="separate"/>
      </w:r>
      <w:r w:rsidR="00497E3C">
        <w:rPr>
          <w:noProof/>
        </w:rPr>
        <w:t>179</w:t>
      </w:r>
      <w:r>
        <w:rPr>
          <w:noProof/>
        </w:rPr>
        <w:fldChar w:fldCharType="end"/>
      </w:r>
    </w:p>
    <w:p w14:paraId="75698C85" w14:textId="77777777" w:rsidR="005168F5" w:rsidRDefault="005168F5">
      <w:pPr>
        <w:pStyle w:val="TOC5"/>
        <w:rPr>
          <w:rFonts w:asciiTheme="minorHAnsi" w:eastAsiaTheme="minorEastAsia" w:hAnsiTheme="minorHAnsi" w:cstheme="minorBidi"/>
          <w:noProof/>
          <w:kern w:val="0"/>
          <w:sz w:val="22"/>
          <w:szCs w:val="22"/>
        </w:rPr>
      </w:pPr>
      <w:r>
        <w:rPr>
          <w:noProof/>
        </w:rPr>
        <w:t>4.28  Available methods</w:t>
      </w:r>
      <w:r>
        <w:rPr>
          <w:noProof/>
        </w:rPr>
        <w:tab/>
      </w:r>
      <w:r>
        <w:rPr>
          <w:noProof/>
        </w:rPr>
        <w:fldChar w:fldCharType="begin"/>
      </w:r>
      <w:r>
        <w:rPr>
          <w:noProof/>
        </w:rPr>
        <w:instrText xml:space="preserve"> PAGEREF _Toc13233850 \h </w:instrText>
      </w:r>
      <w:r>
        <w:rPr>
          <w:noProof/>
        </w:rPr>
      </w:r>
      <w:r>
        <w:rPr>
          <w:noProof/>
        </w:rPr>
        <w:fldChar w:fldCharType="separate"/>
      </w:r>
      <w:r w:rsidR="00497E3C">
        <w:rPr>
          <w:noProof/>
        </w:rPr>
        <w:t>179</w:t>
      </w:r>
      <w:r>
        <w:rPr>
          <w:noProof/>
        </w:rPr>
        <w:fldChar w:fldCharType="end"/>
      </w:r>
    </w:p>
    <w:p w14:paraId="6D40CC9D" w14:textId="77777777" w:rsidR="005168F5" w:rsidRDefault="005168F5">
      <w:pPr>
        <w:pStyle w:val="TOC5"/>
        <w:rPr>
          <w:rFonts w:asciiTheme="minorHAnsi" w:eastAsiaTheme="minorEastAsia" w:hAnsiTheme="minorHAnsi" w:cstheme="minorBidi"/>
          <w:noProof/>
          <w:kern w:val="0"/>
          <w:sz w:val="22"/>
          <w:szCs w:val="22"/>
        </w:rPr>
      </w:pPr>
      <w:r>
        <w:rPr>
          <w:noProof/>
        </w:rPr>
        <w:t>4.29  Method 1—use of soda ash</w:t>
      </w:r>
      <w:r>
        <w:rPr>
          <w:noProof/>
        </w:rPr>
        <w:tab/>
      </w:r>
      <w:r>
        <w:rPr>
          <w:noProof/>
        </w:rPr>
        <w:fldChar w:fldCharType="begin"/>
      </w:r>
      <w:r>
        <w:rPr>
          <w:noProof/>
        </w:rPr>
        <w:instrText xml:space="preserve"> PAGEREF _Toc13233851 \h </w:instrText>
      </w:r>
      <w:r>
        <w:rPr>
          <w:noProof/>
        </w:rPr>
      </w:r>
      <w:r>
        <w:rPr>
          <w:noProof/>
        </w:rPr>
        <w:fldChar w:fldCharType="separate"/>
      </w:r>
      <w:r w:rsidR="00497E3C">
        <w:rPr>
          <w:noProof/>
        </w:rPr>
        <w:t>179</w:t>
      </w:r>
      <w:r>
        <w:rPr>
          <w:noProof/>
        </w:rPr>
        <w:fldChar w:fldCharType="end"/>
      </w:r>
    </w:p>
    <w:p w14:paraId="69F69E71"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4.2.4.2—Soda ash production</w:t>
      </w:r>
      <w:r>
        <w:rPr>
          <w:noProof/>
        </w:rPr>
        <w:tab/>
      </w:r>
      <w:r>
        <w:rPr>
          <w:noProof/>
        </w:rPr>
        <w:fldChar w:fldCharType="begin"/>
      </w:r>
      <w:r>
        <w:rPr>
          <w:noProof/>
        </w:rPr>
        <w:instrText xml:space="preserve"> PAGEREF _Toc13233852 \h </w:instrText>
      </w:r>
      <w:r>
        <w:rPr>
          <w:noProof/>
        </w:rPr>
      </w:r>
      <w:r>
        <w:rPr>
          <w:noProof/>
        </w:rPr>
        <w:fldChar w:fldCharType="separate"/>
      </w:r>
      <w:r w:rsidR="00497E3C">
        <w:rPr>
          <w:noProof/>
        </w:rPr>
        <w:t>180</w:t>
      </w:r>
      <w:r>
        <w:rPr>
          <w:noProof/>
        </w:rPr>
        <w:fldChar w:fldCharType="end"/>
      </w:r>
    </w:p>
    <w:p w14:paraId="3529352F" w14:textId="77777777" w:rsidR="005168F5" w:rsidRDefault="005168F5">
      <w:pPr>
        <w:pStyle w:val="TOC5"/>
        <w:rPr>
          <w:rFonts w:asciiTheme="minorHAnsi" w:eastAsiaTheme="minorEastAsia" w:hAnsiTheme="minorHAnsi" w:cstheme="minorBidi"/>
          <w:noProof/>
          <w:kern w:val="0"/>
          <w:sz w:val="22"/>
          <w:szCs w:val="22"/>
        </w:rPr>
      </w:pPr>
      <w:r>
        <w:rPr>
          <w:noProof/>
        </w:rPr>
        <w:t>4.30  Available methods</w:t>
      </w:r>
      <w:r>
        <w:rPr>
          <w:noProof/>
        </w:rPr>
        <w:tab/>
      </w:r>
      <w:r>
        <w:rPr>
          <w:noProof/>
        </w:rPr>
        <w:fldChar w:fldCharType="begin"/>
      </w:r>
      <w:r>
        <w:rPr>
          <w:noProof/>
        </w:rPr>
        <w:instrText xml:space="preserve"> PAGEREF _Toc13233853 \h </w:instrText>
      </w:r>
      <w:r>
        <w:rPr>
          <w:noProof/>
        </w:rPr>
      </w:r>
      <w:r>
        <w:rPr>
          <w:noProof/>
        </w:rPr>
        <w:fldChar w:fldCharType="separate"/>
      </w:r>
      <w:r w:rsidR="00497E3C">
        <w:rPr>
          <w:noProof/>
        </w:rPr>
        <w:t>180</w:t>
      </w:r>
      <w:r>
        <w:rPr>
          <w:noProof/>
        </w:rPr>
        <w:fldChar w:fldCharType="end"/>
      </w:r>
    </w:p>
    <w:p w14:paraId="08EA27A4" w14:textId="77777777" w:rsidR="005168F5" w:rsidRDefault="005168F5">
      <w:pPr>
        <w:pStyle w:val="TOC5"/>
        <w:rPr>
          <w:rFonts w:asciiTheme="minorHAnsi" w:eastAsiaTheme="minorEastAsia" w:hAnsiTheme="minorHAnsi" w:cstheme="minorBidi"/>
          <w:noProof/>
          <w:kern w:val="0"/>
          <w:sz w:val="22"/>
          <w:szCs w:val="22"/>
        </w:rPr>
      </w:pPr>
      <w:r>
        <w:rPr>
          <w:noProof/>
        </w:rPr>
        <w:t>4.31  Method 1—production of soda ash</w:t>
      </w:r>
      <w:r>
        <w:rPr>
          <w:noProof/>
        </w:rPr>
        <w:tab/>
      </w:r>
      <w:r>
        <w:rPr>
          <w:noProof/>
        </w:rPr>
        <w:fldChar w:fldCharType="begin"/>
      </w:r>
      <w:r>
        <w:rPr>
          <w:noProof/>
        </w:rPr>
        <w:instrText xml:space="preserve"> PAGEREF _Toc13233854 \h </w:instrText>
      </w:r>
      <w:r>
        <w:rPr>
          <w:noProof/>
        </w:rPr>
      </w:r>
      <w:r>
        <w:rPr>
          <w:noProof/>
        </w:rPr>
        <w:fldChar w:fldCharType="separate"/>
      </w:r>
      <w:r w:rsidR="00497E3C">
        <w:rPr>
          <w:noProof/>
        </w:rPr>
        <w:t>180</w:t>
      </w:r>
      <w:r>
        <w:rPr>
          <w:noProof/>
        </w:rPr>
        <w:fldChar w:fldCharType="end"/>
      </w:r>
    </w:p>
    <w:p w14:paraId="19FF70B5" w14:textId="77777777" w:rsidR="005168F5" w:rsidRDefault="005168F5">
      <w:pPr>
        <w:pStyle w:val="TOC5"/>
        <w:rPr>
          <w:rFonts w:asciiTheme="minorHAnsi" w:eastAsiaTheme="minorEastAsia" w:hAnsiTheme="minorHAnsi" w:cstheme="minorBidi"/>
          <w:noProof/>
          <w:kern w:val="0"/>
          <w:sz w:val="22"/>
          <w:szCs w:val="22"/>
        </w:rPr>
      </w:pPr>
      <w:r>
        <w:rPr>
          <w:noProof/>
        </w:rPr>
        <w:t>4.32  Method 2—production of soda ash</w:t>
      </w:r>
      <w:r>
        <w:rPr>
          <w:noProof/>
        </w:rPr>
        <w:tab/>
      </w:r>
      <w:r>
        <w:rPr>
          <w:noProof/>
        </w:rPr>
        <w:fldChar w:fldCharType="begin"/>
      </w:r>
      <w:r>
        <w:rPr>
          <w:noProof/>
        </w:rPr>
        <w:instrText xml:space="preserve"> PAGEREF _Toc13233855 \h </w:instrText>
      </w:r>
      <w:r>
        <w:rPr>
          <w:noProof/>
        </w:rPr>
      </w:r>
      <w:r>
        <w:rPr>
          <w:noProof/>
        </w:rPr>
        <w:fldChar w:fldCharType="separate"/>
      </w:r>
      <w:r w:rsidR="00497E3C">
        <w:rPr>
          <w:noProof/>
        </w:rPr>
        <w:t>182</w:t>
      </w:r>
      <w:r>
        <w:rPr>
          <w:noProof/>
        </w:rPr>
        <w:fldChar w:fldCharType="end"/>
      </w:r>
    </w:p>
    <w:p w14:paraId="77939715" w14:textId="77777777" w:rsidR="005168F5" w:rsidRDefault="005168F5">
      <w:pPr>
        <w:pStyle w:val="TOC5"/>
        <w:rPr>
          <w:rFonts w:asciiTheme="minorHAnsi" w:eastAsiaTheme="minorEastAsia" w:hAnsiTheme="minorHAnsi" w:cstheme="minorBidi"/>
          <w:noProof/>
          <w:kern w:val="0"/>
          <w:sz w:val="22"/>
          <w:szCs w:val="22"/>
        </w:rPr>
      </w:pPr>
      <w:r>
        <w:rPr>
          <w:noProof/>
        </w:rPr>
        <w:t>4.33  Method 3—production of soda ash</w:t>
      </w:r>
      <w:r>
        <w:rPr>
          <w:noProof/>
        </w:rPr>
        <w:tab/>
      </w:r>
      <w:r>
        <w:rPr>
          <w:noProof/>
        </w:rPr>
        <w:fldChar w:fldCharType="begin"/>
      </w:r>
      <w:r>
        <w:rPr>
          <w:noProof/>
        </w:rPr>
        <w:instrText xml:space="preserve"> PAGEREF _Toc13233856 \h </w:instrText>
      </w:r>
      <w:r>
        <w:rPr>
          <w:noProof/>
        </w:rPr>
      </w:r>
      <w:r>
        <w:rPr>
          <w:noProof/>
        </w:rPr>
        <w:fldChar w:fldCharType="separate"/>
      </w:r>
      <w:r w:rsidR="00497E3C">
        <w:rPr>
          <w:noProof/>
        </w:rPr>
        <w:t>184</w:t>
      </w:r>
      <w:r>
        <w:rPr>
          <w:noProof/>
        </w:rPr>
        <w:fldChar w:fldCharType="end"/>
      </w:r>
    </w:p>
    <w:p w14:paraId="7417FDD5" w14:textId="77777777" w:rsidR="005168F5" w:rsidRDefault="005168F5">
      <w:pPr>
        <w:pStyle w:val="TOC3"/>
        <w:rPr>
          <w:rFonts w:asciiTheme="minorHAnsi" w:eastAsiaTheme="minorEastAsia" w:hAnsiTheme="minorHAnsi" w:cstheme="minorBidi"/>
          <w:b w:val="0"/>
          <w:noProof/>
          <w:kern w:val="0"/>
          <w:szCs w:val="22"/>
        </w:rPr>
      </w:pPr>
      <w:r>
        <w:rPr>
          <w:noProof/>
        </w:rPr>
        <w:t>Division 4.2.5—Measurement of quantity of carbonates consumed and products derived from carbonates</w:t>
      </w:r>
      <w:r>
        <w:rPr>
          <w:noProof/>
        </w:rPr>
        <w:tab/>
      </w:r>
      <w:r>
        <w:rPr>
          <w:noProof/>
        </w:rPr>
        <w:fldChar w:fldCharType="begin"/>
      </w:r>
      <w:r>
        <w:rPr>
          <w:noProof/>
        </w:rPr>
        <w:instrText xml:space="preserve"> PAGEREF _Toc13233857 \h </w:instrText>
      </w:r>
      <w:r>
        <w:rPr>
          <w:noProof/>
        </w:rPr>
      </w:r>
      <w:r>
        <w:rPr>
          <w:noProof/>
        </w:rPr>
        <w:fldChar w:fldCharType="separate"/>
      </w:r>
      <w:r w:rsidR="00497E3C">
        <w:rPr>
          <w:noProof/>
        </w:rPr>
        <w:t>185</w:t>
      </w:r>
      <w:r>
        <w:rPr>
          <w:noProof/>
        </w:rPr>
        <w:fldChar w:fldCharType="end"/>
      </w:r>
    </w:p>
    <w:p w14:paraId="5771C24C" w14:textId="77777777" w:rsidR="005168F5" w:rsidRDefault="005168F5">
      <w:pPr>
        <w:pStyle w:val="TOC5"/>
        <w:rPr>
          <w:rFonts w:asciiTheme="minorHAnsi" w:eastAsiaTheme="minorEastAsia" w:hAnsiTheme="minorHAnsi" w:cstheme="minorBidi"/>
          <w:noProof/>
          <w:kern w:val="0"/>
          <w:sz w:val="22"/>
          <w:szCs w:val="22"/>
        </w:rPr>
      </w:pPr>
      <w:r>
        <w:rPr>
          <w:noProof/>
        </w:rPr>
        <w:t>4.34  Purpose of Division</w:t>
      </w:r>
      <w:r>
        <w:rPr>
          <w:noProof/>
        </w:rPr>
        <w:tab/>
      </w:r>
      <w:r>
        <w:rPr>
          <w:noProof/>
        </w:rPr>
        <w:fldChar w:fldCharType="begin"/>
      </w:r>
      <w:r>
        <w:rPr>
          <w:noProof/>
        </w:rPr>
        <w:instrText xml:space="preserve"> PAGEREF _Toc13233858 \h </w:instrText>
      </w:r>
      <w:r>
        <w:rPr>
          <w:noProof/>
        </w:rPr>
      </w:r>
      <w:r>
        <w:rPr>
          <w:noProof/>
        </w:rPr>
        <w:fldChar w:fldCharType="separate"/>
      </w:r>
      <w:r w:rsidR="00497E3C">
        <w:rPr>
          <w:noProof/>
        </w:rPr>
        <w:t>185</w:t>
      </w:r>
      <w:r>
        <w:rPr>
          <w:noProof/>
        </w:rPr>
        <w:fldChar w:fldCharType="end"/>
      </w:r>
    </w:p>
    <w:p w14:paraId="4237C96E" w14:textId="77777777" w:rsidR="005168F5" w:rsidRDefault="005168F5">
      <w:pPr>
        <w:pStyle w:val="TOC5"/>
        <w:rPr>
          <w:rFonts w:asciiTheme="minorHAnsi" w:eastAsiaTheme="minorEastAsia" w:hAnsiTheme="minorHAnsi" w:cstheme="minorBidi"/>
          <w:noProof/>
          <w:kern w:val="0"/>
          <w:sz w:val="22"/>
          <w:szCs w:val="22"/>
        </w:rPr>
      </w:pPr>
      <w:r>
        <w:rPr>
          <w:noProof/>
        </w:rPr>
        <w:t>4.35  Criteria for measurement</w:t>
      </w:r>
      <w:r>
        <w:rPr>
          <w:noProof/>
        </w:rPr>
        <w:tab/>
      </w:r>
      <w:r>
        <w:rPr>
          <w:noProof/>
        </w:rPr>
        <w:fldChar w:fldCharType="begin"/>
      </w:r>
      <w:r>
        <w:rPr>
          <w:noProof/>
        </w:rPr>
        <w:instrText xml:space="preserve"> PAGEREF _Toc13233859 \h </w:instrText>
      </w:r>
      <w:r>
        <w:rPr>
          <w:noProof/>
        </w:rPr>
      </w:r>
      <w:r>
        <w:rPr>
          <w:noProof/>
        </w:rPr>
        <w:fldChar w:fldCharType="separate"/>
      </w:r>
      <w:r w:rsidR="00497E3C">
        <w:rPr>
          <w:noProof/>
        </w:rPr>
        <w:t>185</w:t>
      </w:r>
      <w:r>
        <w:rPr>
          <w:noProof/>
        </w:rPr>
        <w:fldChar w:fldCharType="end"/>
      </w:r>
    </w:p>
    <w:p w14:paraId="71376969" w14:textId="77777777" w:rsidR="005168F5" w:rsidRDefault="005168F5">
      <w:pPr>
        <w:pStyle w:val="TOC5"/>
        <w:rPr>
          <w:rFonts w:asciiTheme="minorHAnsi" w:eastAsiaTheme="minorEastAsia" w:hAnsiTheme="minorHAnsi" w:cstheme="minorBidi"/>
          <w:noProof/>
          <w:kern w:val="0"/>
          <w:sz w:val="22"/>
          <w:szCs w:val="22"/>
        </w:rPr>
      </w:pPr>
      <w:r>
        <w:rPr>
          <w:noProof/>
        </w:rPr>
        <w:t>4.36  Indirect measurement at point of consumption or production—criterion AA</w:t>
      </w:r>
      <w:r>
        <w:rPr>
          <w:noProof/>
        </w:rPr>
        <w:tab/>
      </w:r>
      <w:r>
        <w:rPr>
          <w:noProof/>
        </w:rPr>
        <w:fldChar w:fldCharType="begin"/>
      </w:r>
      <w:r>
        <w:rPr>
          <w:noProof/>
        </w:rPr>
        <w:instrText xml:space="preserve"> PAGEREF _Toc13233860 \h </w:instrText>
      </w:r>
      <w:r>
        <w:rPr>
          <w:noProof/>
        </w:rPr>
      </w:r>
      <w:r>
        <w:rPr>
          <w:noProof/>
        </w:rPr>
        <w:fldChar w:fldCharType="separate"/>
      </w:r>
      <w:r w:rsidR="00497E3C">
        <w:rPr>
          <w:noProof/>
        </w:rPr>
        <w:t>186</w:t>
      </w:r>
      <w:r>
        <w:rPr>
          <w:noProof/>
        </w:rPr>
        <w:fldChar w:fldCharType="end"/>
      </w:r>
    </w:p>
    <w:p w14:paraId="75D3C2EC" w14:textId="77777777" w:rsidR="005168F5" w:rsidRDefault="005168F5">
      <w:pPr>
        <w:pStyle w:val="TOC5"/>
        <w:rPr>
          <w:rFonts w:asciiTheme="minorHAnsi" w:eastAsiaTheme="minorEastAsia" w:hAnsiTheme="minorHAnsi" w:cstheme="minorBidi"/>
          <w:noProof/>
          <w:kern w:val="0"/>
          <w:sz w:val="22"/>
          <w:szCs w:val="22"/>
        </w:rPr>
      </w:pPr>
      <w:r>
        <w:rPr>
          <w:noProof/>
        </w:rPr>
        <w:t>4.37  Direct measurement at point of consumption or production—criterion AAA</w:t>
      </w:r>
      <w:r>
        <w:rPr>
          <w:noProof/>
        </w:rPr>
        <w:tab/>
      </w:r>
      <w:r>
        <w:rPr>
          <w:noProof/>
        </w:rPr>
        <w:fldChar w:fldCharType="begin"/>
      </w:r>
      <w:r>
        <w:rPr>
          <w:noProof/>
        </w:rPr>
        <w:instrText xml:space="preserve"> PAGEREF _Toc13233861 \h </w:instrText>
      </w:r>
      <w:r>
        <w:rPr>
          <w:noProof/>
        </w:rPr>
      </w:r>
      <w:r>
        <w:rPr>
          <w:noProof/>
        </w:rPr>
        <w:fldChar w:fldCharType="separate"/>
      </w:r>
      <w:r w:rsidR="00497E3C">
        <w:rPr>
          <w:noProof/>
        </w:rPr>
        <w:t>186</w:t>
      </w:r>
      <w:r>
        <w:rPr>
          <w:noProof/>
        </w:rPr>
        <w:fldChar w:fldCharType="end"/>
      </w:r>
    </w:p>
    <w:p w14:paraId="57E9D995" w14:textId="77777777" w:rsidR="005168F5" w:rsidRDefault="005168F5">
      <w:pPr>
        <w:pStyle w:val="TOC5"/>
        <w:rPr>
          <w:rFonts w:asciiTheme="minorHAnsi" w:eastAsiaTheme="minorEastAsia" w:hAnsiTheme="minorHAnsi" w:cstheme="minorBidi"/>
          <w:noProof/>
          <w:kern w:val="0"/>
          <w:sz w:val="22"/>
          <w:szCs w:val="22"/>
        </w:rPr>
      </w:pPr>
      <w:r>
        <w:rPr>
          <w:noProof/>
        </w:rPr>
        <w:t>4.38  Acquisition or use or disposal without commercial transaction—criterion BBB</w:t>
      </w:r>
      <w:r>
        <w:rPr>
          <w:noProof/>
        </w:rPr>
        <w:tab/>
      </w:r>
      <w:r>
        <w:rPr>
          <w:noProof/>
        </w:rPr>
        <w:fldChar w:fldCharType="begin"/>
      </w:r>
      <w:r>
        <w:rPr>
          <w:noProof/>
        </w:rPr>
        <w:instrText xml:space="preserve"> PAGEREF _Toc13233862 \h </w:instrText>
      </w:r>
      <w:r>
        <w:rPr>
          <w:noProof/>
        </w:rPr>
      </w:r>
      <w:r>
        <w:rPr>
          <w:noProof/>
        </w:rPr>
        <w:fldChar w:fldCharType="separate"/>
      </w:r>
      <w:r w:rsidR="00497E3C">
        <w:rPr>
          <w:noProof/>
        </w:rPr>
        <w:t>187</w:t>
      </w:r>
      <w:r>
        <w:rPr>
          <w:noProof/>
        </w:rPr>
        <w:fldChar w:fldCharType="end"/>
      </w:r>
    </w:p>
    <w:p w14:paraId="414D2117"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4.39  Units of measurement</w:t>
      </w:r>
      <w:r>
        <w:rPr>
          <w:noProof/>
        </w:rPr>
        <w:tab/>
      </w:r>
      <w:r>
        <w:rPr>
          <w:noProof/>
        </w:rPr>
        <w:fldChar w:fldCharType="begin"/>
      </w:r>
      <w:r>
        <w:rPr>
          <w:noProof/>
        </w:rPr>
        <w:instrText xml:space="preserve"> PAGEREF _Toc13233863 \h </w:instrText>
      </w:r>
      <w:r>
        <w:rPr>
          <w:noProof/>
        </w:rPr>
      </w:r>
      <w:r>
        <w:rPr>
          <w:noProof/>
        </w:rPr>
        <w:fldChar w:fldCharType="separate"/>
      </w:r>
      <w:r w:rsidR="00497E3C">
        <w:rPr>
          <w:noProof/>
        </w:rPr>
        <w:t>187</w:t>
      </w:r>
      <w:r>
        <w:rPr>
          <w:noProof/>
        </w:rPr>
        <w:fldChar w:fldCharType="end"/>
      </w:r>
    </w:p>
    <w:p w14:paraId="46FB41C7" w14:textId="77777777" w:rsidR="005168F5" w:rsidRDefault="005168F5">
      <w:pPr>
        <w:pStyle w:val="TOC2"/>
        <w:rPr>
          <w:rFonts w:asciiTheme="minorHAnsi" w:eastAsiaTheme="minorEastAsia" w:hAnsiTheme="minorHAnsi" w:cstheme="minorBidi"/>
          <w:b w:val="0"/>
          <w:noProof/>
          <w:kern w:val="0"/>
          <w:sz w:val="22"/>
          <w:szCs w:val="22"/>
        </w:rPr>
      </w:pPr>
      <w:r>
        <w:rPr>
          <w:noProof/>
        </w:rPr>
        <w:t>Part 4.3—Industrial processes—chemical industry</w:t>
      </w:r>
      <w:r>
        <w:rPr>
          <w:noProof/>
        </w:rPr>
        <w:tab/>
      </w:r>
      <w:r>
        <w:rPr>
          <w:noProof/>
        </w:rPr>
        <w:fldChar w:fldCharType="begin"/>
      </w:r>
      <w:r>
        <w:rPr>
          <w:noProof/>
        </w:rPr>
        <w:instrText xml:space="preserve"> PAGEREF _Toc13233864 \h </w:instrText>
      </w:r>
      <w:r>
        <w:rPr>
          <w:noProof/>
        </w:rPr>
      </w:r>
      <w:r>
        <w:rPr>
          <w:noProof/>
        </w:rPr>
        <w:fldChar w:fldCharType="separate"/>
      </w:r>
      <w:r w:rsidR="00497E3C">
        <w:rPr>
          <w:noProof/>
        </w:rPr>
        <w:t>188</w:t>
      </w:r>
      <w:r>
        <w:rPr>
          <w:noProof/>
        </w:rPr>
        <w:fldChar w:fldCharType="end"/>
      </w:r>
    </w:p>
    <w:p w14:paraId="301741A4" w14:textId="77777777" w:rsidR="005168F5" w:rsidRDefault="005168F5">
      <w:pPr>
        <w:pStyle w:val="TOC3"/>
        <w:rPr>
          <w:rFonts w:asciiTheme="minorHAnsi" w:eastAsiaTheme="minorEastAsia" w:hAnsiTheme="minorHAnsi" w:cstheme="minorBidi"/>
          <w:b w:val="0"/>
          <w:noProof/>
          <w:kern w:val="0"/>
          <w:szCs w:val="22"/>
        </w:rPr>
      </w:pPr>
      <w:r>
        <w:rPr>
          <w:noProof/>
        </w:rPr>
        <w:t>Division 4.3.1—Ammonia production</w:t>
      </w:r>
      <w:r>
        <w:rPr>
          <w:noProof/>
        </w:rPr>
        <w:tab/>
      </w:r>
      <w:r>
        <w:rPr>
          <w:noProof/>
        </w:rPr>
        <w:fldChar w:fldCharType="begin"/>
      </w:r>
      <w:r>
        <w:rPr>
          <w:noProof/>
        </w:rPr>
        <w:instrText xml:space="preserve"> PAGEREF _Toc13233865 \h </w:instrText>
      </w:r>
      <w:r>
        <w:rPr>
          <w:noProof/>
        </w:rPr>
      </w:r>
      <w:r>
        <w:rPr>
          <w:noProof/>
        </w:rPr>
        <w:fldChar w:fldCharType="separate"/>
      </w:r>
      <w:r w:rsidR="00497E3C">
        <w:rPr>
          <w:noProof/>
        </w:rPr>
        <w:t>188</w:t>
      </w:r>
      <w:r>
        <w:rPr>
          <w:noProof/>
        </w:rPr>
        <w:fldChar w:fldCharType="end"/>
      </w:r>
    </w:p>
    <w:p w14:paraId="073DFBF6" w14:textId="77777777" w:rsidR="005168F5" w:rsidRDefault="005168F5">
      <w:pPr>
        <w:pStyle w:val="TOC5"/>
        <w:rPr>
          <w:rFonts w:asciiTheme="minorHAnsi" w:eastAsiaTheme="minorEastAsia" w:hAnsiTheme="minorHAnsi" w:cstheme="minorBidi"/>
          <w:noProof/>
          <w:kern w:val="0"/>
          <w:sz w:val="22"/>
          <w:szCs w:val="22"/>
        </w:rPr>
      </w:pPr>
      <w:r>
        <w:rPr>
          <w:noProof/>
        </w:rPr>
        <w:t>4.40  Application</w:t>
      </w:r>
      <w:r>
        <w:rPr>
          <w:noProof/>
        </w:rPr>
        <w:tab/>
      </w:r>
      <w:r>
        <w:rPr>
          <w:noProof/>
        </w:rPr>
        <w:fldChar w:fldCharType="begin"/>
      </w:r>
      <w:r>
        <w:rPr>
          <w:noProof/>
        </w:rPr>
        <w:instrText xml:space="preserve"> PAGEREF _Toc13233866 \h </w:instrText>
      </w:r>
      <w:r>
        <w:rPr>
          <w:noProof/>
        </w:rPr>
      </w:r>
      <w:r>
        <w:rPr>
          <w:noProof/>
        </w:rPr>
        <w:fldChar w:fldCharType="separate"/>
      </w:r>
      <w:r w:rsidR="00497E3C">
        <w:rPr>
          <w:noProof/>
        </w:rPr>
        <w:t>188</w:t>
      </w:r>
      <w:r>
        <w:rPr>
          <w:noProof/>
        </w:rPr>
        <w:fldChar w:fldCharType="end"/>
      </w:r>
    </w:p>
    <w:p w14:paraId="6FF7B580" w14:textId="77777777" w:rsidR="005168F5" w:rsidRDefault="005168F5">
      <w:pPr>
        <w:pStyle w:val="TOC5"/>
        <w:rPr>
          <w:rFonts w:asciiTheme="minorHAnsi" w:eastAsiaTheme="minorEastAsia" w:hAnsiTheme="minorHAnsi" w:cstheme="minorBidi"/>
          <w:noProof/>
          <w:kern w:val="0"/>
          <w:sz w:val="22"/>
          <w:szCs w:val="22"/>
        </w:rPr>
      </w:pPr>
      <w:r>
        <w:rPr>
          <w:noProof/>
        </w:rPr>
        <w:t>4.41  Available methods</w:t>
      </w:r>
      <w:r>
        <w:rPr>
          <w:noProof/>
        </w:rPr>
        <w:tab/>
      </w:r>
      <w:r>
        <w:rPr>
          <w:noProof/>
        </w:rPr>
        <w:fldChar w:fldCharType="begin"/>
      </w:r>
      <w:r>
        <w:rPr>
          <w:noProof/>
        </w:rPr>
        <w:instrText xml:space="preserve"> PAGEREF _Toc13233867 \h </w:instrText>
      </w:r>
      <w:r>
        <w:rPr>
          <w:noProof/>
        </w:rPr>
      </w:r>
      <w:r>
        <w:rPr>
          <w:noProof/>
        </w:rPr>
        <w:fldChar w:fldCharType="separate"/>
      </w:r>
      <w:r w:rsidR="00497E3C">
        <w:rPr>
          <w:noProof/>
        </w:rPr>
        <w:t>188</w:t>
      </w:r>
      <w:r>
        <w:rPr>
          <w:noProof/>
        </w:rPr>
        <w:fldChar w:fldCharType="end"/>
      </w:r>
    </w:p>
    <w:p w14:paraId="0CFAE4FE" w14:textId="77777777" w:rsidR="005168F5" w:rsidRDefault="005168F5">
      <w:pPr>
        <w:pStyle w:val="TOC5"/>
        <w:rPr>
          <w:rFonts w:asciiTheme="minorHAnsi" w:eastAsiaTheme="minorEastAsia" w:hAnsiTheme="minorHAnsi" w:cstheme="minorBidi"/>
          <w:noProof/>
          <w:kern w:val="0"/>
          <w:sz w:val="22"/>
          <w:szCs w:val="22"/>
        </w:rPr>
      </w:pPr>
      <w:r>
        <w:rPr>
          <w:noProof/>
        </w:rPr>
        <w:t>4.42  Method 1—ammonia production</w:t>
      </w:r>
      <w:r>
        <w:rPr>
          <w:noProof/>
        </w:rPr>
        <w:tab/>
      </w:r>
      <w:r>
        <w:rPr>
          <w:noProof/>
        </w:rPr>
        <w:fldChar w:fldCharType="begin"/>
      </w:r>
      <w:r>
        <w:rPr>
          <w:noProof/>
        </w:rPr>
        <w:instrText xml:space="preserve"> PAGEREF _Toc13233868 \h </w:instrText>
      </w:r>
      <w:r>
        <w:rPr>
          <w:noProof/>
        </w:rPr>
      </w:r>
      <w:r>
        <w:rPr>
          <w:noProof/>
        </w:rPr>
        <w:fldChar w:fldCharType="separate"/>
      </w:r>
      <w:r w:rsidR="00497E3C">
        <w:rPr>
          <w:noProof/>
        </w:rPr>
        <w:t>188</w:t>
      </w:r>
      <w:r>
        <w:rPr>
          <w:noProof/>
        </w:rPr>
        <w:fldChar w:fldCharType="end"/>
      </w:r>
    </w:p>
    <w:p w14:paraId="102F908F" w14:textId="77777777" w:rsidR="005168F5" w:rsidRDefault="005168F5">
      <w:pPr>
        <w:pStyle w:val="TOC5"/>
        <w:rPr>
          <w:rFonts w:asciiTheme="minorHAnsi" w:eastAsiaTheme="minorEastAsia" w:hAnsiTheme="minorHAnsi" w:cstheme="minorBidi"/>
          <w:noProof/>
          <w:kern w:val="0"/>
          <w:sz w:val="22"/>
          <w:szCs w:val="22"/>
        </w:rPr>
      </w:pPr>
      <w:r>
        <w:rPr>
          <w:noProof/>
        </w:rPr>
        <w:t>4.43  Method 2—ammonia production</w:t>
      </w:r>
      <w:r>
        <w:rPr>
          <w:noProof/>
        </w:rPr>
        <w:tab/>
      </w:r>
      <w:r>
        <w:rPr>
          <w:noProof/>
        </w:rPr>
        <w:fldChar w:fldCharType="begin"/>
      </w:r>
      <w:r>
        <w:rPr>
          <w:noProof/>
        </w:rPr>
        <w:instrText xml:space="preserve"> PAGEREF _Toc13233869 \h </w:instrText>
      </w:r>
      <w:r>
        <w:rPr>
          <w:noProof/>
        </w:rPr>
      </w:r>
      <w:r>
        <w:rPr>
          <w:noProof/>
        </w:rPr>
        <w:fldChar w:fldCharType="separate"/>
      </w:r>
      <w:r w:rsidR="00497E3C">
        <w:rPr>
          <w:noProof/>
        </w:rPr>
        <w:t>189</w:t>
      </w:r>
      <w:r>
        <w:rPr>
          <w:noProof/>
        </w:rPr>
        <w:fldChar w:fldCharType="end"/>
      </w:r>
    </w:p>
    <w:p w14:paraId="0BC97ED7" w14:textId="77777777" w:rsidR="005168F5" w:rsidRDefault="005168F5">
      <w:pPr>
        <w:pStyle w:val="TOC5"/>
        <w:rPr>
          <w:rFonts w:asciiTheme="minorHAnsi" w:eastAsiaTheme="minorEastAsia" w:hAnsiTheme="minorHAnsi" w:cstheme="minorBidi"/>
          <w:noProof/>
          <w:kern w:val="0"/>
          <w:sz w:val="22"/>
          <w:szCs w:val="22"/>
        </w:rPr>
      </w:pPr>
      <w:r>
        <w:rPr>
          <w:noProof/>
        </w:rPr>
        <w:t>4.44  Method 3—ammonia production</w:t>
      </w:r>
      <w:r>
        <w:rPr>
          <w:noProof/>
        </w:rPr>
        <w:tab/>
      </w:r>
      <w:r>
        <w:rPr>
          <w:noProof/>
        </w:rPr>
        <w:fldChar w:fldCharType="begin"/>
      </w:r>
      <w:r>
        <w:rPr>
          <w:noProof/>
        </w:rPr>
        <w:instrText xml:space="preserve"> PAGEREF _Toc13233870 \h </w:instrText>
      </w:r>
      <w:r>
        <w:rPr>
          <w:noProof/>
        </w:rPr>
      </w:r>
      <w:r>
        <w:rPr>
          <w:noProof/>
        </w:rPr>
        <w:fldChar w:fldCharType="separate"/>
      </w:r>
      <w:r w:rsidR="00497E3C">
        <w:rPr>
          <w:noProof/>
        </w:rPr>
        <w:t>190</w:t>
      </w:r>
      <w:r>
        <w:rPr>
          <w:noProof/>
        </w:rPr>
        <w:fldChar w:fldCharType="end"/>
      </w:r>
    </w:p>
    <w:p w14:paraId="4C13BD1F" w14:textId="77777777" w:rsidR="005168F5" w:rsidRDefault="005168F5">
      <w:pPr>
        <w:pStyle w:val="TOC3"/>
        <w:rPr>
          <w:rFonts w:asciiTheme="minorHAnsi" w:eastAsiaTheme="minorEastAsia" w:hAnsiTheme="minorHAnsi" w:cstheme="minorBidi"/>
          <w:b w:val="0"/>
          <w:noProof/>
          <w:kern w:val="0"/>
          <w:szCs w:val="22"/>
        </w:rPr>
      </w:pPr>
      <w:r>
        <w:rPr>
          <w:noProof/>
        </w:rPr>
        <w:t>Division 4.3.2—Nitric acid production</w:t>
      </w:r>
      <w:r>
        <w:rPr>
          <w:noProof/>
        </w:rPr>
        <w:tab/>
      </w:r>
      <w:r>
        <w:rPr>
          <w:noProof/>
        </w:rPr>
        <w:fldChar w:fldCharType="begin"/>
      </w:r>
      <w:r>
        <w:rPr>
          <w:noProof/>
        </w:rPr>
        <w:instrText xml:space="preserve"> PAGEREF _Toc13233871 \h </w:instrText>
      </w:r>
      <w:r>
        <w:rPr>
          <w:noProof/>
        </w:rPr>
      </w:r>
      <w:r>
        <w:rPr>
          <w:noProof/>
        </w:rPr>
        <w:fldChar w:fldCharType="separate"/>
      </w:r>
      <w:r w:rsidR="00497E3C">
        <w:rPr>
          <w:noProof/>
        </w:rPr>
        <w:t>191</w:t>
      </w:r>
      <w:r>
        <w:rPr>
          <w:noProof/>
        </w:rPr>
        <w:fldChar w:fldCharType="end"/>
      </w:r>
    </w:p>
    <w:p w14:paraId="2C4B1EE3" w14:textId="77777777" w:rsidR="005168F5" w:rsidRDefault="005168F5">
      <w:pPr>
        <w:pStyle w:val="TOC5"/>
        <w:rPr>
          <w:rFonts w:asciiTheme="minorHAnsi" w:eastAsiaTheme="minorEastAsia" w:hAnsiTheme="minorHAnsi" w:cstheme="minorBidi"/>
          <w:noProof/>
          <w:kern w:val="0"/>
          <w:sz w:val="22"/>
          <w:szCs w:val="22"/>
        </w:rPr>
      </w:pPr>
      <w:r>
        <w:rPr>
          <w:noProof/>
        </w:rPr>
        <w:t>4.45  Application</w:t>
      </w:r>
      <w:r>
        <w:rPr>
          <w:noProof/>
        </w:rPr>
        <w:tab/>
      </w:r>
      <w:r>
        <w:rPr>
          <w:noProof/>
        </w:rPr>
        <w:fldChar w:fldCharType="begin"/>
      </w:r>
      <w:r>
        <w:rPr>
          <w:noProof/>
        </w:rPr>
        <w:instrText xml:space="preserve"> PAGEREF _Toc13233872 \h </w:instrText>
      </w:r>
      <w:r>
        <w:rPr>
          <w:noProof/>
        </w:rPr>
      </w:r>
      <w:r>
        <w:rPr>
          <w:noProof/>
        </w:rPr>
        <w:fldChar w:fldCharType="separate"/>
      </w:r>
      <w:r w:rsidR="00497E3C">
        <w:rPr>
          <w:noProof/>
        </w:rPr>
        <w:t>191</w:t>
      </w:r>
      <w:r>
        <w:rPr>
          <w:noProof/>
        </w:rPr>
        <w:fldChar w:fldCharType="end"/>
      </w:r>
    </w:p>
    <w:p w14:paraId="58ECAF06" w14:textId="77777777" w:rsidR="005168F5" w:rsidRDefault="005168F5">
      <w:pPr>
        <w:pStyle w:val="TOC5"/>
        <w:rPr>
          <w:rFonts w:asciiTheme="minorHAnsi" w:eastAsiaTheme="minorEastAsia" w:hAnsiTheme="minorHAnsi" w:cstheme="minorBidi"/>
          <w:noProof/>
          <w:kern w:val="0"/>
          <w:sz w:val="22"/>
          <w:szCs w:val="22"/>
        </w:rPr>
      </w:pPr>
      <w:r>
        <w:rPr>
          <w:noProof/>
        </w:rPr>
        <w:t>4.46  Available methods</w:t>
      </w:r>
      <w:r>
        <w:rPr>
          <w:noProof/>
        </w:rPr>
        <w:tab/>
      </w:r>
      <w:r>
        <w:rPr>
          <w:noProof/>
        </w:rPr>
        <w:fldChar w:fldCharType="begin"/>
      </w:r>
      <w:r>
        <w:rPr>
          <w:noProof/>
        </w:rPr>
        <w:instrText xml:space="preserve"> PAGEREF _Toc13233873 \h </w:instrText>
      </w:r>
      <w:r>
        <w:rPr>
          <w:noProof/>
        </w:rPr>
      </w:r>
      <w:r>
        <w:rPr>
          <w:noProof/>
        </w:rPr>
        <w:fldChar w:fldCharType="separate"/>
      </w:r>
      <w:r w:rsidR="00497E3C">
        <w:rPr>
          <w:noProof/>
        </w:rPr>
        <w:t>191</w:t>
      </w:r>
      <w:r>
        <w:rPr>
          <w:noProof/>
        </w:rPr>
        <w:fldChar w:fldCharType="end"/>
      </w:r>
    </w:p>
    <w:p w14:paraId="0B035ABD" w14:textId="77777777" w:rsidR="005168F5" w:rsidRDefault="005168F5">
      <w:pPr>
        <w:pStyle w:val="TOC5"/>
        <w:rPr>
          <w:rFonts w:asciiTheme="minorHAnsi" w:eastAsiaTheme="minorEastAsia" w:hAnsiTheme="minorHAnsi" w:cstheme="minorBidi"/>
          <w:noProof/>
          <w:kern w:val="0"/>
          <w:sz w:val="22"/>
          <w:szCs w:val="22"/>
        </w:rPr>
      </w:pPr>
      <w:r>
        <w:rPr>
          <w:noProof/>
        </w:rPr>
        <w:t>4.47  Method 1—nitric acid production</w:t>
      </w:r>
      <w:r>
        <w:rPr>
          <w:noProof/>
        </w:rPr>
        <w:tab/>
      </w:r>
      <w:r>
        <w:rPr>
          <w:noProof/>
        </w:rPr>
        <w:fldChar w:fldCharType="begin"/>
      </w:r>
      <w:r>
        <w:rPr>
          <w:noProof/>
        </w:rPr>
        <w:instrText xml:space="preserve"> PAGEREF _Toc13233874 \h </w:instrText>
      </w:r>
      <w:r>
        <w:rPr>
          <w:noProof/>
        </w:rPr>
      </w:r>
      <w:r>
        <w:rPr>
          <w:noProof/>
        </w:rPr>
        <w:fldChar w:fldCharType="separate"/>
      </w:r>
      <w:r w:rsidR="00497E3C">
        <w:rPr>
          <w:noProof/>
        </w:rPr>
        <w:t>191</w:t>
      </w:r>
      <w:r>
        <w:rPr>
          <w:noProof/>
        </w:rPr>
        <w:fldChar w:fldCharType="end"/>
      </w:r>
    </w:p>
    <w:p w14:paraId="1ABCCB2C" w14:textId="77777777" w:rsidR="005168F5" w:rsidRDefault="005168F5">
      <w:pPr>
        <w:pStyle w:val="TOC5"/>
        <w:rPr>
          <w:rFonts w:asciiTheme="minorHAnsi" w:eastAsiaTheme="minorEastAsia" w:hAnsiTheme="minorHAnsi" w:cstheme="minorBidi"/>
          <w:noProof/>
          <w:kern w:val="0"/>
          <w:sz w:val="22"/>
          <w:szCs w:val="22"/>
        </w:rPr>
      </w:pPr>
      <w:r>
        <w:rPr>
          <w:noProof/>
        </w:rPr>
        <w:t>4.48  Method 2—nitric acid production</w:t>
      </w:r>
      <w:r>
        <w:rPr>
          <w:noProof/>
        </w:rPr>
        <w:tab/>
      </w:r>
      <w:r>
        <w:rPr>
          <w:noProof/>
        </w:rPr>
        <w:fldChar w:fldCharType="begin"/>
      </w:r>
      <w:r>
        <w:rPr>
          <w:noProof/>
        </w:rPr>
        <w:instrText xml:space="preserve"> PAGEREF _Toc13233875 \h </w:instrText>
      </w:r>
      <w:r>
        <w:rPr>
          <w:noProof/>
        </w:rPr>
      </w:r>
      <w:r>
        <w:rPr>
          <w:noProof/>
        </w:rPr>
        <w:fldChar w:fldCharType="separate"/>
      </w:r>
      <w:r w:rsidR="00497E3C">
        <w:rPr>
          <w:noProof/>
        </w:rPr>
        <w:t>192</w:t>
      </w:r>
      <w:r>
        <w:rPr>
          <w:noProof/>
        </w:rPr>
        <w:fldChar w:fldCharType="end"/>
      </w:r>
    </w:p>
    <w:p w14:paraId="57CB0789" w14:textId="77777777" w:rsidR="005168F5" w:rsidRDefault="005168F5">
      <w:pPr>
        <w:pStyle w:val="TOC3"/>
        <w:rPr>
          <w:rFonts w:asciiTheme="minorHAnsi" w:eastAsiaTheme="minorEastAsia" w:hAnsiTheme="minorHAnsi" w:cstheme="minorBidi"/>
          <w:b w:val="0"/>
          <w:noProof/>
          <w:kern w:val="0"/>
          <w:szCs w:val="22"/>
        </w:rPr>
      </w:pPr>
      <w:r>
        <w:rPr>
          <w:noProof/>
        </w:rPr>
        <w:t>Division 4.3.3—Adipic acid production</w:t>
      </w:r>
      <w:r>
        <w:rPr>
          <w:noProof/>
        </w:rPr>
        <w:tab/>
      </w:r>
      <w:r>
        <w:rPr>
          <w:noProof/>
        </w:rPr>
        <w:fldChar w:fldCharType="begin"/>
      </w:r>
      <w:r>
        <w:rPr>
          <w:noProof/>
        </w:rPr>
        <w:instrText xml:space="preserve"> PAGEREF _Toc13233876 \h </w:instrText>
      </w:r>
      <w:r>
        <w:rPr>
          <w:noProof/>
        </w:rPr>
      </w:r>
      <w:r>
        <w:rPr>
          <w:noProof/>
        </w:rPr>
        <w:fldChar w:fldCharType="separate"/>
      </w:r>
      <w:r w:rsidR="00497E3C">
        <w:rPr>
          <w:noProof/>
        </w:rPr>
        <w:t>193</w:t>
      </w:r>
      <w:r>
        <w:rPr>
          <w:noProof/>
        </w:rPr>
        <w:fldChar w:fldCharType="end"/>
      </w:r>
    </w:p>
    <w:p w14:paraId="22ED0796" w14:textId="77777777" w:rsidR="005168F5" w:rsidRDefault="005168F5">
      <w:pPr>
        <w:pStyle w:val="TOC5"/>
        <w:rPr>
          <w:rFonts w:asciiTheme="minorHAnsi" w:eastAsiaTheme="minorEastAsia" w:hAnsiTheme="minorHAnsi" w:cstheme="minorBidi"/>
          <w:noProof/>
          <w:kern w:val="0"/>
          <w:sz w:val="22"/>
          <w:szCs w:val="22"/>
        </w:rPr>
      </w:pPr>
      <w:r>
        <w:rPr>
          <w:noProof/>
        </w:rPr>
        <w:t>4.49  Application</w:t>
      </w:r>
      <w:r>
        <w:rPr>
          <w:noProof/>
        </w:rPr>
        <w:tab/>
      </w:r>
      <w:r>
        <w:rPr>
          <w:noProof/>
        </w:rPr>
        <w:fldChar w:fldCharType="begin"/>
      </w:r>
      <w:r>
        <w:rPr>
          <w:noProof/>
        </w:rPr>
        <w:instrText xml:space="preserve"> PAGEREF _Toc13233877 \h </w:instrText>
      </w:r>
      <w:r>
        <w:rPr>
          <w:noProof/>
        </w:rPr>
      </w:r>
      <w:r>
        <w:rPr>
          <w:noProof/>
        </w:rPr>
        <w:fldChar w:fldCharType="separate"/>
      </w:r>
      <w:r w:rsidR="00497E3C">
        <w:rPr>
          <w:noProof/>
        </w:rPr>
        <w:t>193</w:t>
      </w:r>
      <w:r>
        <w:rPr>
          <w:noProof/>
        </w:rPr>
        <w:fldChar w:fldCharType="end"/>
      </w:r>
    </w:p>
    <w:p w14:paraId="7A48BFC8" w14:textId="77777777" w:rsidR="005168F5" w:rsidRDefault="005168F5">
      <w:pPr>
        <w:pStyle w:val="TOC5"/>
        <w:rPr>
          <w:rFonts w:asciiTheme="minorHAnsi" w:eastAsiaTheme="minorEastAsia" w:hAnsiTheme="minorHAnsi" w:cstheme="minorBidi"/>
          <w:noProof/>
          <w:kern w:val="0"/>
          <w:sz w:val="22"/>
          <w:szCs w:val="22"/>
        </w:rPr>
      </w:pPr>
      <w:r>
        <w:rPr>
          <w:noProof/>
        </w:rPr>
        <w:t>4.50  Available methods</w:t>
      </w:r>
      <w:r>
        <w:rPr>
          <w:noProof/>
        </w:rPr>
        <w:tab/>
      </w:r>
      <w:r>
        <w:rPr>
          <w:noProof/>
        </w:rPr>
        <w:fldChar w:fldCharType="begin"/>
      </w:r>
      <w:r>
        <w:rPr>
          <w:noProof/>
        </w:rPr>
        <w:instrText xml:space="preserve"> PAGEREF _Toc13233878 \h </w:instrText>
      </w:r>
      <w:r>
        <w:rPr>
          <w:noProof/>
        </w:rPr>
      </w:r>
      <w:r>
        <w:rPr>
          <w:noProof/>
        </w:rPr>
        <w:fldChar w:fldCharType="separate"/>
      </w:r>
      <w:r w:rsidR="00497E3C">
        <w:rPr>
          <w:noProof/>
        </w:rPr>
        <w:t>193</w:t>
      </w:r>
      <w:r>
        <w:rPr>
          <w:noProof/>
        </w:rPr>
        <w:fldChar w:fldCharType="end"/>
      </w:r>
    </w:p>
    <w:p w14:paraId="53F267FF" w14:textId="77777777" w:rsidR="005168F5" w:rsidRDefault="005168F5">
      <w:pPr>
        <w:pStyle w:val="TOC3"/>
        <w:rPr>
          <w:rFonts w:asciiTheme="minorHAnsi" w:eastAsiaTheme="minorEastAsia" w:hAnsiTheme="minorHAnsi" w:cstheme="minorBidi"/>
          <w:b w:val="0"/>
          <w:noProof/>
          <w:kern w:val="0"/>
          <w:szCs w:val="22"/>
        </w:rPr>
      </w:pPr>
      <w:r>
        <w:rPr>
          <w:noProof/>
        </w:rPr>
        <w:t>Division 4.3.4—Carbide production</w:t>
      </w:r>
      <w:r>
        <w:rPr>
          <w:noProof/>
        </w:rPr>
        <w:tab/>
      </w:r>
      <w:r>
        <w:rPr>
          <w:noProof/>
        </w:rPr>
        <w:fldChar w:fldCharType="begin"/>
      </w:r>
      <w:r>
        <w:rPr>
          <w:noProof/>
        </w:rPr>
        <w:instrText xml:space="preserve"> PAGEREF _Toc13233879 \h </w:instrText>
      </w:r>
      <w:r>
        <w:rPr>
          <w:noProof/>
        </w:rPr>
      </w:r>
      <w:r>
        <w:rPr>
          <w:noProof/>
        </w:rPr>
        <w:fldChar w:fldCharType="separate"/>
      </w:r>
      <w:r w:rsidR="00497E3C">
        <w:rPr>
          <w:noProof/>
        </w:rPr>
        <w:t>194</w:t>
      </w:r>
      <w:r>
        <w:rPr>
          <w:noProof/>
        </w:rPr>
        <w:fldChar w:fldCharType="end"/>
      </w:r>
    </w:p>
    <w:p w14:paraId="158C83B9" w14:textId="77777777" w:rsidR="005168F5" w:rsidRDefault="005168F5">
      <w:pPr>
        <w:pStyle w:val="TOC5"/>
        <w:rPr>
          <w:rFonts w:asciiTheme="minorHAnsi" w:eastAsiaTheme="minorEastAsia" w:hAnsiTheme="minorHAnsi" w:cstheme="minorBidi"/>
          <w:noProof/>
          <w:kern w:val="0"/>
          <w:sz w:val="22"/>
          <w:szCs w:val="22"/>
        </w:rPr>
      </w:pPr>
      <w:r>
        <w:rPr>
          <w:noProof/>
        </w:rPr>
        <w:t>4.51  Application</w:t>
      </w:r>
      <w:r>
        <w:rPr>
          <w:noProof/>
        </w:rPr>
        <w:tab/>
      </w:r>
      <w:r>
        <w:rPr>
          <w:noProof/>
        </w:rPr>
        <w:fldChar w:fldCharType="begin"/>
      </w:r>
      <w:r>
        <w:rPr>
          <w:noProof/>
        </w:rPr>
        <w:instrText xml:space="preserve"> PAGEREF _Toc13233880 \h </w:instrText>
      </w:r>
      <w:r>
        <w:rPr>
          <w:noProof/>
        </w:rPr>
      </w:r>
      <w:r>
        <w:rPr>
          <w:noProof/>
        </w:rPr>
        <w:fldChar w:fldCharType="separate"/>
      </w:r>
      <w:r w:rsidR="00497E3C">
        <w:rPr>
          <w:noProof/>
        </w:rPr>
        <w:t>194</w:t>
      </w:r>
      <w:r>
        <w:rPr>
          <w:noProof/>
        </w:rPr>
        <w:fldChar w:fldCharType="end"/>
      </w:r>
    </w:p>
    <w:p w14:paraId="4AA5FAC4" w14:textId="77777777" w:rsidR="005168F5" w:rsidRDefault="005168F5">
      <w:pPr>
        <w:pStyle w:val="TOC5"/>
        <w:rPr>
          <w:rFonts w:asciiTheme="minorHAnsi" w:eastAsiaTheme="minorEastAsia" w:hAnsiTheme="minorHAnsi" w:cstheme="minorBidi"/>
          <w:noProof/>
          <w:kern w:val="0"/>
          <w:sz w:val="22"/>
          <w:szCs w:val="22"/>
        </w:rPr>
      </w:pPr>
      <w:r>
        <w:rPr>
          <w:noProof/>
        </w:rPr>
        <w:t>4.52  Available methods</w:t>
      </w:r>
      <w:r>
        <w:rPr>
          <w:noProof/>
        </w:rPr>
        <w:tab/>
      </w:r>
      <w:r>
        <w:rPr>
          <w:noProof/>
        </w:rPr>
        <w:fldChar w:fldCharType="begin"/>
      </w:r>
      <w:r>
        <w:rPr>
          <w:noProof/>
        </w:rPr>
        <w:instrText xml:space="preserve"> PAGEREF _Toc13233881 \h </w:instrText>
      </w:r>
      <w:r>
        <w:rPr>
          <w:noProof/>
        </w:rPr>
      </w:r>
      <w:r>
        <w:rPr>
          <w:noProof/>
        </w:rPr>
        <w:fldChar w:fldCharType="separate"/>
      </w:r>
      <w:r w:rsidR="00497E3C">
        <w:rPr>
          <w:noProof/>
        </w:rPr>
        <w:t>194</w:t>
      </w:r>
      <w:r>
        <w:rPr>
          <w:noProof/>
        </w:rPr>
        <w:fldChar w:fldCharType="end"/>
      </w:r>
    </w:p>
    <w:p w14:paraId="5C9211A2" w14:textId="77777777" w:rsidR="005168F5" w:rsidRDefault="005168F5">
      <w:pPr>
        <w:pStyle w:val="TOC3"/>
        <w:rPr>
          <w:rFonts w:asciiTheme="minorHAnsi" w:eastAsiaTheme="minorEastAsia" w:hAnsiTheme="minorHAnsi" w:cstheme="minorBidi"/>
          <w:b w:val="0"/>
          <w:noProof/>
          <w:kern w:val="0"/>
          <w:szCs w:val="22"/>
        </w:rPr>
      </w:pPr>
      <w:r>
        <w:rPr>
          <w:noProof/>
        </w:rPr>
        <w:t>Division 4.3.5—Chemical or mineral production, other than carbide production, using a carbon reductant or carbon anode</w:t>
      </w:r>
      <w:r>
        <w:rPr>
          <w:noProof/>
        </w:rPr>
        <w:tab/>
      </w:r>
      <w:r>
        <w:rPr>
          <w:noProof/>
        </w:rPr>
        <w:fldChar w:fldCharType="begin"/>
      </w:r>
      <w:r>
        <w:rPr>
          <w:noProof/>
        </w:rPr>
        <w:instrText xml:space="preserve"> PAGEREF _Toc13233882 \h </w:instrText>
      </w:r>
      <w:r>
        <w:rPr>
          <w:noProof/>
        </w:rPr>
      </w:r>
      <w:r>
        <w:rPr>
          <w:noProof/>
        </w:rPr>
        <w:fldChar w:fldCharType="separate"/>
      </w:r>
      <w:r w:rsidR="00497E3C">
        <w:rPr>
          <w:noProof/>
        </w:rPr>
        <w:t>195</w:t>
      </w:r>
      <w:r>
        <w:rPr>
          <w:noProof/>
        </w:rPr>
        <w:fldChar w:fldCharType="end"/>
      </w:r>
    </w:p>
    <w:p w14:paraId="6ABB6B49" w14:textId="77777777" w:rsidR="005168F5" w:rsidRDefault="005168F5">
      <w:pPr>
        <w:pStyle w:val="TOC5"/>
        <w:rPr>
          <w:rFonts w:asciiTheme="minorHAnsi" w:eastAsiaTheme="minorEastAsia" w:hAnsiTheme="minorHAnsi" w:cstheme="minorBidi"/>
          <w:noProof/>
          <w:kern w:val="0"/>
          <w:sz w:val="22"/>
          <w:szCs w:val="22"/>
        </w:rPr>
      </w:pPr>
      <w:r>
        <w:rPr>
          <w:noProof/>
        </w:rPr>
        <w:t>4.53  Application</w:t>
      </w:r>
      <w:r>
        <w:rPr>
          <w:noProof/>
        </w:rPr>
        <w:tab/>
      </w:r>
      <w:r>
        <w:rPr>
          <w:noProof/>
        </w:rPr>
        <w:fldChar w:fldCharType="begin"/>
      </w:r>
      <w:r>
        <w:rPr>
          <w:noProof/>
        </w:rPr>
        <w:instrText xml:space="preserve"> PAGEREF _Toc13233883 \h </w:instrText>
      </w:r>
      <w:r>
        <w:rPr>
          <w:noProof/>
        </w:rPr>
      </w:r>
      <w:r>
        <w:rPr>
          <w:noProof/>
        </w:rPr>
        <w:fldChar w:fldCharType="separate"/>
      </w:r>
      <w:r w:rsidR="00497E3C">
        <w:rPr>
          <w:noProof/>
        </w:rPr>
        <w:t>195</w:t>
      </w:r>
      <w:r>
        <w:rPr>
          <w:noProof/>
        </w:rPr>
        <w:fldChar w:fldCharType="end"/>
      </w:r>
    </w:p>
    <w:p w14:paraId="330FBDE4" w14:textId="77777777" w:rsidR="005168F5" w:rsidRDefault="005168F5">
      <w:pPr>
        <w:pStyle w:val="TOC5"/>
        <w:rPr>
          <w:rFonts w:asciiTheme="minorHAnsi" w:eastAsiaTheme="minorEastAsia" w:hAnsiTheme="minorHAnsi" w:cstheme="minorBidi"/>
          <w:noProof/>
          <w:kern w:val="0"/>
          <w:sz w:val="22"/>
          <w:szCs w:val="22"/>
        </w:rPr>
      </w:pPr>
      <w:r>
        <w:rPr>
          <w:noProof/>
        </w:rPr>
        <w:t>4.54  Available methods</w:t>
      </w:r>
      <w:r>
        <w:rPr>
          <w:noProof/>
        </w:rPr>
        <w:tab/>
      </w:r>
      <w:r>
        <w:rPr>
          <w:noProof/>
        </w:rPr>
        <w:fldChar w:fldCharType="begin"/>
      </w:r>
      <w:r>
        <w:rPr>
          <w:noProof/>
        </w:rPr>
        <w:instrText xml:space="preserve"> PAGEREF _Toc13233884 \h </w:instrText>
      </w:r>
      <w:r>
        <w:rPr>
          <w:noProof/>
        </w:rPr>
      </w:r>
      <w:r>
        <w:rPr>
          <w:noProof/>
        </w:rPr>
        <w:fldChar w:fldCharType="separate"/>
      </w:r>
      <w:r w:rsidR="00497E3C">
        <w:rPr>
          <w:noProof/>
        </w:rPr>
        <w:t>195</w:t>
      </w:r>
      <w:r>
        <w:rPr>
          <w:noProof/>
        </w:rPr>
        <w:fldChar w:fldCharType="end"/>
      </w:r>
    </w:p>
    <w:p w14:paraId="7DF49CA8" w14:textId="77777777" w:rsidR="005168F5" w:rsidRDefault="005168F5">
      <w:pPr>
        <w:pStyle w:val="TOC5"/>
        <w:rPr>
          <w:rFonts w:asciiTheme="minorHAnsi" w:eastAsiaTheme="minorEastAsia" w:hAnsiTheme="minorHAnsi" w:cstheme="minorBidi"/>
          <w:noProof/>
          <w:kern w:val="0"/>
          <w:sz w:val="22"/>
          <w:szCs w:val="22"/>
        </w:rPr>
      </w:pPr>
      <w:r>
        <w:rPr>
          <w:noProof/>
        </w:rPr>
        <w:t>4.55  Method 1—chemical or mineral production, other than carbide production, using a carbon reductant or carbon anode</w:t>
      </w:r>
      <w:r>
        <w:rPr>
          <w:noProof/>
        </w:rPr>
        <w:tab/>
      </w:r>
      <w:r>
        <w:rPr>
          <w:noProof/>
        </w:rPr>
        <w:fldChar w:fldCharType="begin"/>
      </w:r>
      <w:r>
        <w:rPr>
          <w:noProof/>
        </w:rPr>
        <w:instrText xml:space="preserve"> PAGEREF _Toc13233885 \h </w:instrText>
      </w:r>
      <w:r>
        <w:rPr>
          <w:noProof/>
        </w:rPr>
      </w:r>
      <w:r>
        <w:rPr>
          <w:noProof/>
        </w:rPr>
        <w:fldChar w:fldCharType="separate"/>
      </w:r>
      <w:r w:rsidR="00497E3C">
        <w:rPr>
          <w:noProof/>
        </w:rPr>
        <w:t>195</w:t>
      </w:r>
      <w:r>
        <w:rPr>
          <w:noProof/>
        </w:rPr>
        <w:fldChar w:fldCharType="end"/>
      </w:r>
    </w:p>
    <w:p w14:paraId="2C2AC827" w14:textId="77777777" w:rsidR="005168F5" w:rsidRDefault="005168F5">
      <w:pPr>
        <w:pStyle w:val="TOC5"/>
        <w:rPr>
          <w:rFonts w:asciiTheme="minorHAnsi" w:eastAsiaTheme="minorEastAsia" w:hAnsiTheme="minorHAnsi" w:cstheme="minorBidi"/>
          <w:noProof/>
          <w:kern w:val="0"/>
          <w:sz w:val="22"/>
          <w:szCs w:val="22"/>
        </w:rPr>
      </w:pPr>
      <w:r>
        <w:rPr>
          <w:noProof/>
        </w:rPr>
        <w:t>4.56  Method 2—chemical or mineral production, other than carbide production, using a carbon reductant or carbon anode</w:t>
      </w:r>
      <w:r>
        <w:rPr>
          <w:noProof/>
        </w:rPr>
        <w:tab/>
      </w:r>
      <w:r>
        <w:rPr>
          <w:noProof/>
        </w:rPr>
        <w:fldChar w:fldCharType="begin"/>
      </w:r>
      <w:r>
        <w:rPr>
          <w:noProof/>
        </w:rPr>
        <w:instrText xml:space="preserve"> PAGEREF _Toc13233886 \h </w:instrText>
      </w:r>
      <w:r>
        <w:rPr>
          <w:noProof/>
        </w:rPr>
      </w:r>
      <w:r>
        <w:rPr>
          <w:noProof/>
        </w:rPr>
        <w:fldChar w:fldCharType="separate"/>
      </w:r>
      <w:r w:rsidR="00497E3C">
        <w:rPr>
          <w:noProof/>
        </w:rPr>
        <w:t>197</w:t>
      </w:r>
      <w:r>
        <w:rPr>
          <w:noProof/>
        </w:rPr>
        <w:fldChar w:fldCharType="end"/>
      </w:r>
    </w:p>
    <w:p w14:paraId="004D4209" w14:textId="77777777" w:rsidR="005168F5" w:rsidRDefault="005168F5">
      <w:pPr>
        <w:pStyle w:val="TOC5"/>
        <w:rPr>
          <w:rFonts w:asciiTheme="minorHAnsi" w:eastAsiaTheme="minorEastAsia" w:hAnsiTheme="minorHAnsi" w:cstheme="minorBidi"/>
          <w:noProof/>
          <w:kern w:val="0"/>
          <w:sz w:val="22"/>
          <w:szCs w:val="22"/>
        </w:rPr>
      </w:pPr>
      <w:r>
        <w:rPr>
          <w:noProof/>
        </w:rPr>
        <w:t>4.57  Method 3—chemical or mineral production, other than carbide production, using a carbon reductant or carbon anode</w:t>
      </w:r>
      <w:r>
        <w:rPr>
          <w:noProof/>
        </w:rPr>
        <w:tab/>
      </w:r>
      <w:r>
        <w:rPr>
          <w:noProof/>
        </w:rPr>
        <w:fldChar w:fldCharType="begin"/>
      </w:r>
      <w:r>
        <w:rPr>
          <w:noProof/>
        </w:rPr>
        <w:instrText xml:space="preserve"> PAGEREF _Toc13233887 \h </w:instrText>
      </w:r>
      <w:r>
        <w:rPr>
          <w:noProof/>
        </w:rPr>
      </w:r>
      <w:r>
        <w:rPr>
          <w:noProof/>
        </w:rPr>
        <w:fldChar w:fldCharType="separate"/>
      </w:r>
      <w:r w:rsidR="00497E3C">
        <w:rPr>
          <w:noProof/>
        </w:rPr>
        <w:t>198</w:t>
      </w:r>
      <w:r>
        <w:rPr>
          <w:noProof/>
        </w:rPr>
        <w:fldChar w:fldCharType="end"/>
      </w:r>
    </w:p>
    <w:p w14:paraId="2EEAF9C9" w14:textId="77777777" w:rsidR="005168F5" w:rsidRDefault="005168F5">
      <w:pPr>
        <w:pStyle w:val="TOC3"/>
        <w:rPr>
          <w:rFonts w:asciiTheme="minorHAnsi" w:eastAsiaTheme="minorEastAsia" w:hAnsiTheme="minorHAnsi" w:cstheme="minorBidi"/>
          <w:b w:val="0"/>
          <w:noProof/>
          <w:kern w:val="0"/>
          <w:szCs w:val="22"/>
        </w:rPr>
      </w:pPr>
      <w:r>
        <w:rPr>
          <w:noProof/>
        </w:rPr>
        <w:t>Division 4.3.6—Sodium cyanide production</w:t>
      </w:r>
      <w:r>
        <w:rPr>
          <w:noProof/>
        </w:rPr>
        <w:tab/>
      </w:r>
      <w:r>
        <w:rPr>
          <w:noProof/>
        </w:rPr>
        <w:fldChar w:fldCharType="begin"/>
      </w:r>
      <w:r>
        <w:rPr>
          <w:noProof/>
        </w:rPr>
        <w:instrText xml:space="preserve"> PAGEREF _Toc13233888 \h </w:instrText>
      </w:r>
      <w:r>
        <w:rPr>
          <w:noProof/>
        </w:rPr>
      </w:r>
      <w:r>
        <w:rPr>
          <w:noProof/>
        </w:rPr>
        <w:fldChar w:fldCharType="separate"/>
      </w:r>
      <w:r w:rsidR="00497E3C">
        <w:rPr>
          <w:noProof/>
        </w:rPr>
        <w:t>199</w:t>
      </w:r>
      <w:r>
        <w:rPr>
          <w:noProof/>
        </w:rPr>
        <w:fldChar w:fldCharType="end"/>
      </w:r>
    </w:p>
    <w:p w14:paraId="077D5570" w14:textId="77777777" w:rsidR="005168F5" w:rsidRDefault="005168F5">
      <w:pPr>
        <w:pStyle w:val="TOC5"/>
        <w:rPr>
          <w:rFonts w:asciiTheme="minorHAnsi" w:eastAsiaTheme="minorEastAsia" w:hAnsiTheme="minorHAnsi" w:cstheme="minorBidi"/>
          <w:noProof/>
          <w:kern w:val="0"/>
          <w:sz w:val="22"/>
          <w:szCs w:val="22"/>
        </w:rPr>
      </w:pPr>
      <w:r>
        <w:rPr>
          <w:noProof/>
        </w:rPr>
        <w:t>4.58  Application</w:t>
      </w:r>
      <w:r>
        <w:rPr>
          <w:noProof/>
        </w:rPr>
        <w:tab/>
      </w:r>
      <w:r>
        <w:rPr>
          <w:noProof/>
        </w:rPr>
        <w:fldChar w:fldCharType="begin"/>
      </w:r>
      <w:r>
        <w:rPr>
          <w:noProof/>
        </w:rPr>
        <w:instrText xml:space="preserve"> PAGEREF _Toc13233889 \h </w:instrText>
      </w:r>
      <w:r>
        <w:rPr>
          <w:noProof/>
        </w:rPr>
      </w:r>
      <w:r>
        <w:rPr>
          <w:noProof/>
        </w:rPr>
        <w:fldChar w:fldCharType="separate"/>
      </w:r>
      <w:r w:rsidR="00497E3C">
        <w:rPr>
          <w:noProof/>
        </w:rPr>
        <w:t>199</w:t>
      </w:r>
      <w:r>
        <w:rPr>
          <w:noProof/>
        </w:rPr>
        <w:fldChar w:fldCharType="end"/>
      </w:r>
    </w:p>
    <w:p w14:paraId="6E435B23" w14:textId="77777777" w:rsidR="005168F5" w:rsidRDefault="005168F5">
      <w:pPr>
        <w:pStyle w:val="TOC5"/>
        <w:rPr>
          <w:rFonts w:asciiTheme="minorHAnsi" w:eastAsiaTheme="minorEastAsia" w:hAnsiTheme="minorHAnsi" w:cstheme="minorBidi"/>
          <w:noProof/>
          <w:kern w:val="0"/>
          <w:sz w:val="22"/>
          <w:szCs w:val="22"/>
        </w:rPr>
      </w:pPr>
      <w:r>
        <w:rPr>
          <w:noProof/>
        </w:rPr>
        <w:t>4.59  Available methods</w:t>
      </w:r>
      <w:r>
        <w:rPr>
          <w:noProof/>
        </w:rPr>
        <w:tab/>
      </w:r>
      <w:r>
        <w:rPr>
          <w:noProof/>
        </w:rPr>
        <w:fldChar w:fldCharType="begin"/>
      </w:r>
      <w:r>
        <w:rPr>
          <w:noProof/>
        </w:rPr>
        <w:instrText xml:space="preserve"> PAGEREF _Toc13233890 \h </w:instrText>
      </w:r>
      <w:r>
        <w:rPr>
          <w:noProof/>
        </w:rPr>
      </w:r>
      <w:r>
        <w:rPr>
          <w:noProof/>
        </w:rPr>
        <w:fldChar w:fldCharType="separate"/>
      </w:r>
      <w:r w:rsidR="00497E3C">
        <w:rPr>
          <w:noProof/>
        </w:rPr>
        <w:t>199</w:t>
      </w:r>
      <w:r>
        <w:rPr>
          <w:noProof/>
        </w:rPr>
        <w:fldChar w:fldCharType="end"/>
      </w:r>
    </w:p>
    <w:p w14:paraId="290C496C" w14:textId="77777777" w:rsidR="005168F5" w:rsidRDefault="005168F5">
      <w:pPr>
        <w:pStyle w:val="TOC2"/>
        <w:rPr>
          <w:rFonts w:asciiTheme="minorHAnsi" w:eastAsiaTheme="minorEastAsia" w:hAnsiTheme="minorHAnsi" w:cstheme="minorBidi"/>
          <w:b w:val="0"/>
          <w:noProof/>
          <w:kern w:val="0"/>
          <w:sz w:val="22"/>
          <w:szCs w:val="22"/>
        </w:rPr>
      </w:pPr>
      <w:r>
        <w:rPr>
          <w:noProof/>
        </w:rPr>
        <w:t>Part 4.4—Industrial processes—metal industry</w:t>
      </w:r>
      <w:r>
        <w:rPr>
          <w:noProof/>
        </w:rPr>
        <w:tab/>
      </w:r>
      <w:r>
        <w:rPr>
          <w:noProof/>
        </w:rPr>
        <w:fldChar w:fldCharType="begin"/>
      </w:r>
      <w:r>
        <w:rPr>
          <w:noProof/>
        </w:rPr>
        <w:instrText xml:space="preserve"> PAGEREF _Toc13233891 \h </w:instrText>
      </w:r>
      <w:r>
        <w:rPr>
          <w:noProof/>
        </w:rPr>
      </w:r>
      <w:r>
        <w:rPr>
          <w:noProof/>
        </w:rPr>
        <w:fldChar w:fldCharType="separate"/>
      </w:r>
      <w:r w:rsidR="00497E3C">
        <w:rPr>
          <w:noProof/>
        </w:rPr>
        <w:t>200</w:t>
      </w:r>
      <w:r>
        <w:rPr>
          <w:noProof/>
        </w:rPr>
        <w:fldChar w:fldCharType="end"/>
      </w:r>
    </w:p>
    <w:p w14:paraId="576989E0" w14:textId="77777777" w:rsidR="005168F5" w:rsidRDefault="005168F5">
      <w:pPr>
        <w:pStyle w:val="TOC3"/>
        <w:rPr>
          <w:rFonts w:asciiTheme="minorHAnsi" w:eastAsiaTheme="minorEastAsia" w:hAnsiTheme="minorHAnsi" w:cstheme="minorBidi"/>
          <w:b w:val="0"/>
          <w:noProof/>
          <w:kern w:val="0"/>
          <w:szCs w:val="22"/>
        </w:rPr>
      </w:pPr>
      <w:r>
        <w:rPr>
          <w:noProof/>
        </w:rPr>
        <w:t>Division 4.4.1—Iron, steel or other metal production using an integrated metalworks</w:t>
      </w:r>
      <w:r>
        <w:rPr>
          <w:noProof/>
        </w:rPr>
        <w:tab/>
      </w:r>
      <w:r>
        <w:rPr>
          <w:noProof/>
        </w:rPr>
        <w:fldChar w:fldCharType="begin"/>
      </w:r>
      <w:r>
        <w:rPr>
          <w:noProof/>
        </w:rPr>
        <w:instrText xml:space="preserve"> PAGEREF _Toc13233892 \h </w:instrText>
      </w:r>
      <w:r>
        <w:rPr>
          <w:noProof/>
        </w:rPr>
      </w:r>
      <w:r>
        <w:rPr>
          <w:noProof/>
        </w:rPr>
        <w:fldChar w:fldCharType="separate"/>
      </w:r>
      <w:r w:rsidR="00497E3C">
        <w:rPr>
          <w:noProof/>
        </w:rPr>
        <w:t>200</w:t>
      </w:r>
      <w:r>
        <w:rPr>
          <w:noProof/>
        </w:rPr>
        <w:fldChar w:fldCharType="end"/>
      </w:r>
    </w:p>
    <w:p w14:paraId="06DB47D2" w14:textId="77777777" w:rsidR="005168F5" w:rsidRDefault="005168F5">
      <w:pPr>
        <w:pStyle w:val="TOC5"/>
        <w:rPr>
          <w:rFonts w:asciiTheme="minorHAnsi" w:eastAsiaTheme="minorEastAsia" w:hAnsiTheme="minorHAnsi" w:cstheme="minorBidi"/>
          <w:noProof/>
          <w:kern w:val="0"/>
          <w:sz w:val="22"/>
          <w:szCs w:val="22"/>
        </w:rPr>
      </w:pPr>
      <w:r>
        <w:rPr>
          <w:noProof/>
        </w:rPr>
        <w:t>4.63  Application</w:t>
      </w:r>
      <w:r>
        <w:rPr>
          <w:noProof/>
        </w:rPr>
        <w:tab/>
      </w:r>
      <w:r>
        <w:rPr>
          <w:noProof/>
        </w:rPr>
        <w:fldChar w:fldCharType="begin"/>
      </w:r>
      <w:r>
        <w:rPr>
          <w:noProof/>
        </w:rPr>
        <w:instrText xml:space="preserve"> PAGEREF _Toc13233893 \h </w:instrText>
      </w:r>
      <w:r>
        <w:rPr>
          <w:noProof/>
        </w:rPr>
      </w:r>
      <w:r>
        <w:rPr>
          <w:noProof/>
        </w:rPr>
        <w:fldChar w:fldCharType="separate"/>
      </w:r>
      <w:r w:rsidR="00497E3C">
        <w:rPr>
          <w:noProof/>
        </w:rPr>
        <w:t>200</w:t>
      </w:r>
      <w:r>
        <w:rPr>
          <w:noProof/>
        </w:rPr>
        <w:fldChar w:fldCharType="end"/>
      </w:r>
    </w:p>
    <w:p w14:paraId="255EF6EB" w14:textId="77777777" w:rsidR="005168F5" w:rsidRDefault="005168F5">
      <w:pPr>
        <w:pStyle w:val="TOC5"/>
        <w:rPr>
          <w:rFonts w:asciiTheme="minorHAnsi" w:eastAsiaTheme="minorEastAsia" w:hAnsiTheme="minorHAnsi" w:cstheme="minorBidi"/>
          <w:noProof/>
          <w:kern w:val="0"/>
          <w:sz w:val="22"/>
          <w:szCs w:val="22"/>
        </w:rPr>
      </w:pPr>
      <w:r>
        <w:rPr>
          <w:noProof/>
        </w:rPr>
        <w:t>4.64  Purpose of Division</w:t>
      </w:r>
      <w:r>
        <w:rPr>
          <w:noProof/>
        </w:rPr>
        <w:tab/>
      </w:r>
      <w:r>
        <w:rPr>
          <w:noProof/>
        </w:rPr>
        <w:fldChar w:fldCharType="begin"/>
      </w:r>
      <w:r>
        <w:rPr>
          <w:noProof/>
        </w:rPr>
        <w:instrText xml:space="preserve"> PAGEREF _Toc13233894 \h </w:instrText>
      </w:r>
      <w:r>
        <w:rPr>
          <w:noProof/>
        </w:rPr>
      </w:r>
      <w:r>
        <w:rPr>
          <w:noProof/>
        </w:rPr>
        <w:fldChar w:fldCharType="separate"/>
      </w:r>
      <w:r w:rsidR="00497E3C">
        <w:rPr>
          <w:noProof/>
        </w:rPr>
        <w:t>200</w:t>
      </w:r>
      <w:r>
        <w:rPr>
          <w:noProof/>
        </w:rPr>
        <w:fldChar w:fldCharType="end"/>
      </w:r>
    </w:p>
    <w:p w14:paraId="47334E9E" w14:textId="77777777" w:rsidR="005168F5" w:rsidRDefault="005168F5">
      <w:pPr>
        <w:pStyle w:val="TOC5"/>
        <w:rPr>
          <w:rFonts w:asciiTheme="minorHAnsi" w:eastAsiaTheme="minorEastAsia" w:hAnsiTheme="minorHAnsi" w:cstheme="minorBidi"/>
          <w:noProof/>
          <w:kern w:val="0"/>
          <w:sz w:val="22"/>
          <w:szCs w:val="22"/>
        </w:rPr>
      </w:pPr>
      <w:r>
        <w:rPr>
          <w:noProof/>
        </w:rPr>
        <w:t>4.65  Available methods for production of a metal from an integrated metalworks</w:t>
      </w:r>
      <w:r>
        <w:rPr>
          <w:noProof/>
        </w:rPr>
        <w:tab/>
      </w:r>
      <w:r>
        <w:rPr>
          <w:noProof/>
        </w:rPr>
        <w:fldChar w:fldCharType="begin"/>
      </w:r>
      <w:r>
        <w:rPr>
          <w:noProof/>
        </w:rPr>
        <w:instrText xml:space="preserve"> PAGEREF _Toc13233895 \h </w:instrText>
      </w:r>
      <w:r>
        <w:rPr>
          <w:noProof/>
        </w:rPr>
      </w:r>
      <w:r>
        <w:rPr>
          <w:noProof/>
        </w:rPr>
        <w:fldChar w:fldCharType="separate"/>
      </w:r>
      <w:r w:rsidR="00497E3C">
        <w:rPr>
          <w:noProof/>
        </w:rPr>
        <w:t>200</w:t>
      </w:r>
      <w:r>
        <w:rPr>
          <w:noProof/>
        </w:rPr>
        <w:fldChar w:fldCharType="end"/>
      </w:r>
    </w:p>
    <w:p w14:paraId="165BD48C" w14:textId="77777777" w:rsidR="005168F5" w:rsidRDefault="005168F5">
      <w:pPr>
        <w:pStyle w:val="TOC5"/>
        <w:rPr>
          <w:rFonts w:asciiTheme="minorHAnsi" w:eastAsiaTheme="minorEastAsia" w:hAnsiTheme="minorHAnsi" w:cstheme="minorBidi"/>
          <w:noProof/>
          <w:kern w:val="0"/>
          <w:sz w:val="22"/>
          <w:szCs w:val="22"/>
        </w:rPr>
      </w:pPr>
      <w:r>
        <w:rPr>
          <w:noProof/>
        </w:rPr>
        <w:t>4.66  Method 1—production of a metal from an integrated metalworks</w:t>
      </w:r>
      <w:r>
        <w:rPr>
          <w:noProof/>
        </w:rPr>
        <w:tab/>
      </w:r>
      <w:r>
        <w:rPr>
          <w:noProof/>
        </w:rPr>
        <w:fldChar w:fldCharType="begin"/>
      </w:r>
      <w:r>
        <w:rPr>
          <w:noProof/>
        </w:rPr>
        <w:instrText xml:space="preserve"> PAGEREF _Toc13233896 \h </w:instrText>
      </w:r>
      <w:r>
        <w:rPr>
          <w:noProof/>
        </w:rPr>
      </w:r>
      <w:r>
        <w:rPr>
          <w:noProof/>
        </w:rPr>
        <w:fldChar w:fldCharType="separate"/>
      </w:r>
      <w:r w:rsidR="00497E3C">
        <w:rPr>
          <w:noProof/>
        </w:rPr>
        <w:t>201</w:t>
      </w:r>
      <w:r>
        <w:rPr>
          <w:noProof/>
        </w:rPr>
        <w:fldChar w:fldCharType="end"/>
      </w:r>
    </w:p>
    <w:p w14:paraId="5BF5CDD5" w14:textId="77777777" w:rsidR="005168F5" w:rsidRDefault="005168F5">
      <w:pPr>
        <w:pStyle w:val="TOC5"/>
        <w:rPr>
          <w:rFonts w:asciiTheme="minorHAnsi" w:eastAsiaTheme="minorEastAsia" w:hAnsiTheme="minorHAnsi" w:cstheme="minorBidi"/>
          <w:noProof/>
          <w:kern w:val="0"/>
          <w:sz w:val="22"/>
          <w:szCs w:val="22"/>
        </w:rPr>
      </w:pPr>
      <w:r>
        <w:rPr>
          <w:noProof/>
        </w:rPr>
        <w:t>4.67  Method 2—production of a metal from an integrated metalworks</w:t>
      </w:r>
      <w:r>
        <w:rPr>
          <w:noProof/>
        </w:rPr>
        <w:tab/>
      </w:r>
      <w:r>
        <w:rPr>
          <w:noProof/>
        </w:rPr>
        <w:fldChar w:fldCharType="begin"/>
      </w:r>
      <w:r>
        <w:rPr>
          <w:noProof/>
        </w:rPr>
        <w:instrText xml:space="preserve"> PAGEREF _Toc13233897 \h </w:instrText>
      </w:r>
      <w:r>
        <w:rPr>
          <w:noProof/>
        </w:rPr>
      </w:r>
      <w:r>
        <w:rPr>
          <w:noProof/>
        </w:rPr>
        <w:fldChar w:fldCharType="separate"/>
      </w:r>
      <w:r w:rsidR="00497E3C">
        <w:rPr>
          <w:noProof/>
        </w:rPr>
        <w:t>202</w:t>
      </w:r>
      <w:r>
        <w:rPr>
          <w:noProof/>
        </w:rPr>
        <w:fldChar w:fldCharType="end"/>
      </w:r>
    </w:p>
    <w:p w14:paraId="7FE64F73" w14:textId="77777777" w:rsidR="005168F5" w:rsidRDefault="005168F5">
      <w:pPr>
        <w:pStyle w:val="TOC5"/>
        <w:rPr>
          <w:rFonts w:asciiTheme="minorHAnsi" w:eastAsiaTheme="minorEastAsia" w:hAnsiTheme="minorHAnsi" w:cstheme="minorBidi"/>
          <w:noProof/>
          <w:kern w:val="0"/>
          <w:sz w:val="22"/>
          <w:szCs w:val="22"/>
        </w:rPr>
      </w:pPr>
      <w:r>
        <w:rPr>
          <w:noProof/>
        </w:rPr>
        <w:t>4.68  Method 3—production of a metal from an integrated metalworks</w:t>
      </w:r>
      <w:r>
        <w:rPr>
          <w:noProof/>
        </w:rPr>
        <w:tab/>
      </w:r>
      <w:r>
        <w:rPr>
          <w:noProof/>
        </w:rPr>
        <w:fldChar w:fldCharType="begin"/>
      </w:r>
      <w:r>
        <w:rPr>
          <w:noProof/>
        </w:rPr>
        <w:instrText xml:space="preserve"> PAGEREF _Toc13233898 \h </w:instrText>
      </w:r>
      <w:r>
        <w:rPr>
          <w:noProof/>
        </w:rPr>
      </w:r>
      <w:r>
        <w:rPr>
          <w:noProof/>
        </w:rPr>
        <w:fldChar w:fldCharType="separate"/>
      </w:r>
      <w:r w:rsidR="00497E3C">
        <w:rPr>
          <w:noProof/>
        </w:rPr>
        <w:t>203</w:t>
      </w:r>
      <w:r>
        <w:rPr>
          <w:noProof/>
        </w:rPr>
        <w:fldChar w:fldCharType="end"/>
      </w:r>
    </w:p>
    <w:p w14:paraId="4182DE45" w14:textId="77777777" w:rsidR="005168F5" w:rsidRDefault="005168F5">
      <w:pPr>
        <w:pStyle w:val="TOC3"/>
        <w:rPr>
          <w:rFonts w:asciiTheme="minorHAnsi" w:eastAsiaTheme="minorEastAsia" w:hAnsiTheme="minorHAnsi" w:cstheme="minorBidi"/>
          <w:b w:val="0"/>
          <w:noProof/>
          <w:kern w:val="0"/>
          <w:szCs w:val="22"/>
        </w:rPr>
      </w:pPr>
      <w:r>
        <w:rPr>
          <w:noProof/>
        </w:rPr>
        <w:t>Division 4.4.2—Ferroalloys production</w:t>
      </w:r>
      <w:r>
        <w:rPr>
          <w:noProof/>
        </w:rPr>
        <w:tab/>
      </w:r>
      <w:r>
        <w:rPr>
          <w:noProof/>
        </w:rPr>
        <w:fldChar w:fldCharType="begin"/>
      </w:r>
      <w:r>
        <w:rPr>
          <w:noProof/>
        </w:rPr>
        <w:instrText xml:space="preserve"> PAGEREF _Toc13233899 \h </w:instrText>
      </w:r>
      <w:r>
        <w:rPr>
          <w:noProof/>
        </w:rPr>
      </w:r>
      <w:r>
        <w:rPr>
          <w:noProof/>
        </w:rPr>
        <w:fldChar w:fldCharType="separate"/>
      </w:r>
      <w:r w:rsidR="00497E3C">
        <w:rPr>
          <w:noProof/>
        </w:rPr>
        <w:t>204</w:t>
      </w:r>
      <w:r>
        <w:rPr>
          <w:noProof/>
        </w:rPr>
        <w:fldChar w:fldCharType="end"/>
      </w:r>
    </w:p>
    <w:p w14:paraId="5495E1B2" w14:textId="77777777" w:rsidR="005168F5" w:rsidRDefault="005168F5">
      <w:pPr>
        <w:pStyle w:val="TOC5"/>
        <w:rPr>
          <w:rFonts w:asciiTheme="minorHAnsi" w:eastAsiaTheme="minorEastAsia" w:hAnsiTheme="minorHAnsi" w:cstheme="minorBidi"/>
          <w:noProof/>
          <w:kern w:val="0"/>
          <w:sz w:val="22"/>
          <w:szCs w:val="22"/>
        </w:rPr>
      </w:pPr>
      <w:r>
        <w:rPr>
          <w:noProof/>
        </w:rPr>
        <w:t>4.69  Application</w:t>
      </w:r>
      <w:r>
        <w:rPr>
          <w:noProof/>
        </w:rPr>
        <w:tab/>
      </w:r>
      <w:r>
        <w:rPr>
          <w:noProof/>
        </w:rPr>
        <w:fldChar w:fldCharType="begin"/>
      </w:r>
      <w:r>
        <w:rPr>
          <w:noProof/>
        </w:rPr>
        <w:instrText xml:space="preserve"> PAGEREF _Toc13233900 \h </w:instrText>
      </w:r>
      <w:r>
        <w:rPr>
          <w:noProof/>
        </w:rPr>
      </w:r>
      <w:r>
        <w:rPr>
          <w:noProof/>
        </w:rPr>
        <w:fldChar w:fldCharType="separate"/>
      </w:r>
      <w:r w:rsidR="00497E3C">
        <w:rPr>
          <w:noProof/>
        </w:rPr>
        <w:t>204</w:t>
      </w:r>
      <w:r>
        <w:rPr>
          <w:noProof/>
        </w:rPr>
        <w:fldChar w:fldCharType="end"/>
      </w:r>
    </w:p>
    <w:p w14:paraId="15004155" w14:textId="77777777" w:rsidR="005168F5" w:rsidRDefault="005168F5">
      <w:pPr>
        <w:pStyle w:val="TOC5"/>
        <w:rPr>
          <w:rFonts w:asciiTheme="minorHAnsi" w:eastAsiaTheme="minorEastAsia" w:hAnsiTheme="minorHAnsi" w:cstheme="minorBidi"/>
          <w:noProof/>
          <w:kern w:val="0"/>
          <w:sz w:val="22"/>
          <w:szCs w:val="22"/>
        </w:rPr>
      </w:pPr>
      <w:r>
        <w:rPr>
          <w:noProof/>
        </w:rPr>
        <w:t>4.70  Available methods</w:t>
      </w:r>
      <w:r>
        <w:rPr>
          <w:noProof/>
        </w:rPr>
        <w:tab/>
      </w:r>
      <w:r>
        <w:rPr>
          <w:noProof/>
        </w:rPr>
        <w:fldChar w:fldCharType="begin"/>
      </w:r>
      <w:r>
        <w:rPr>
          <w:noProof/>
        </w:rPr>
        <w:instrText xml:space="preserve"> PAGEREF _Toc13233901 \h </w:instrText>
      </w:r>
      <w:r>
        <w:rPr>
          <w:noProof/>
        </w:rPr>
      </w:r>
      <w:r>
        <w:rPr>
          <w:noProof/>
        </w:rPr>
        <w:fldChar w:fldCharType="separate"/>
      </w:r>
      <w:r w:rsidR="00497E3C">
        <w:rPr>
          <w:noProof/>
        </w:rPr>
        <w:t>204</w:t>
      </w:r>
      <w:r>
        <w:rPr>
          <w:noProof/>
        </w:rPr>
        <w:fldChar w:fldCharType="end"/>
      </w:r>
    </w:p>
    <w:p w14:paraId="45D72149" w14:textId="77777777" w:rsidR="005168F5" w:rsidRDefault="005168F5">
      <w:pPr>
        <w:pStyle w:val="TOC5"/>
        <w:rPr>
          <w:rFonts w:asciiTheme="minorHAnsi" w:eastAsiaTheme="minorEastAsia" w:hAnsiTheme="minorHAnsi" w:cstheme="minorBidi"/>
          <w:noProof/>
          <w:kern w:val="0"/>
          <w:sz w:val="22"/>
          <w:szCs w:val="22"/>
        </w:rPr>
      </w:pPr>
      <w:r>
        <w:rPr>
          <w:noProof/>
        </w:rPr>
        <w:t>4.71  Method 1—ferroalloy metal</w:t>
      </w:r>
      <w:r>
        <w:rPr>
          <w:noProof/>
        </w:rPr>
        <w:tab/>
      </w:r>
      <w:r>
        <w:rPr>
          <w:noProof/>
        </w:rPr>
        <w:fldChar w:fldCharType="begin"/>
      </w:r>
      <w:r>
        <w:rPr>
          <w:noProof/>
        </w:rPr>
        <w:instrText xml:space="preserve"> PAGEREF _Toc13233902 \h </w:instrText>
      </w:r>
      <w:r>
        <w:rPr>
          <w:noProof/>
        </w:rPr>
      </w:r>
      <w:r>
        <w:rPr>
          <w:noProof/>
        </w:rPr>
        <w:fldChar w:fldCharType="separate"/>
      </w:r>
      <w:r w:rsidR="00497E3C">
        <w:rPr>
          <w:noProof/>
        </w:rPr>
        <w:t>204</w:t>
      </w:r>
      <w:r>
        <w:rPr>
          <w:noProof/>
        </w:rPr>
        <w:fldChar w:fldCharType="end"/>
      </w:r>
    </w:p>
    <w:p w14:paraId="6924CB54" w14:textId="77777777" w:rsidR="005168F5" w:rsidRDefault="005168F5">
      <w:pPr>
        <w:pStyle w:val="TOC5"/>
        <w:rPr>
          <w:rFonts w:asciiTheme="minorHAnsi" w:eastAsiaTheme="minorEastAsia" w:hAnsiTheme="minorHAnsi" w:cstheme="minorBidi"/>
          <w:noProof/>
          <w:kern w:val="0"/>
          <w:sz w:val="22"/>
          <w:szCs w:val="22"/>
        </w:rPr>
      </w:pPr>
      <w:r>
        <w:rPr>
          <w:noProof/>
        </w:rPr>
        <w:t>4.72  Method 2—ferroalloy metal</w:t>
      </w:r>
      <w:r>
        <w:rPr>
          <w:noProof/>
        </w:rPr>
        <w:tab/>
      </w:r>
      <w:r>
        <w:rPr>
          <w:noProof/>
        </w:rPr>
        <w:fldChar w:fldCharType="begin"/>
      </w:r>
      <w:r>
        <w:rPr>
          <w:noProof/>
        </w:rPr>
        <w:instrText xml:space="preserve"> PAGEREF _Toc13233903 \h </w:instrText>
      </w:r>
      <w:r>
        <w:rPr>
          <w:noProof/>
        </w:rPr>
      </w:r>
      <w:r>
        <w:rPr>
          <w:noProof/>
        </w:rPr>
        <w:fldChar w:fldCharType="separate"/>
      </w:r>
      <w:r w:rsidR="00497E3C">
        <w:rPr>
          <w:noProof/>
        </w:rPr>
        <w:t>206</w:t>
      </w:r>
      <w:r>
        <w:rPr>
          <w:noProof/>
        </w:rPr>
        <w:fldChar w:fldCharType="end"/>
      </w:r>
    </w:p>
    <w:p w14:paraId="43993F3D"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4.73  Method 3—ferroalloy metal</w:t>
      </w:r>
      <w:r>
        <w:rPr>
          <w:noProof/>
        </w:rPr>
        <w:tab/>
      </w:r>
      <w:r>
        <w:rPr>
          <w:noProof/>
        </w:rPr>
        <w:fldChar w:fldCharType="begin"/>
      </w:r>
      <w:r>
        <w:rPr>
          <w:noProof/>
        </w:rPr>
        <w:instrText xml:space="preserve"> PAGEREF _Toc13233904 \h </w:instrText>
      </w:r>
      <w:r>
        <w:rPr>
          <w:noProof/>
        </w:rPr>
      </w:r>
      <w:r>
        <w:rPr>
          <w:noProof/>
        </w:rPr>
        <w:fldChar w:fldCharType="separate"/>
      </w:r>
      <w:r w:rsidR="00497E3C">
        <w:rPr>
          <w:noProof/>
        </w:rPr>
        <w:t>207</w:t>
      </w:r>
      <w:r>
        <w:rPr>
          <w:noProof/>
        </w:rPr>
        <w:fldChar w:fldCharType="end"/>
      </w:r>
    </w:p>
    <w:p w14:paraId="691BEC50" w14:textId="77777777" w:rsidR="005168F5" w:rsidRDefault="005168F5">
      <w:pPr>
        <w:pStyle w:val="TOC3"/>
        <w:rPr>
          <w:rFonts w:asciiTheme="minorHAnsi" w:eastAsiaTheme="minorEastAsia" w:hAnsiTheme="minorHAnsi" w:cstheme="minorBidi"/>
          <w:b w:val="0"/>
          <w:noProof/>
          <w:kern w:val="0"/>
          <w:szCs w:val="22"/>
        </w:rPr>
      </w:pPr>
      <w:r>
        <w:rPr>
          <w:noProof/>
        </w:rPr>
        <w:t>Division 4.4.3—Aluminium production (carbon dioxide emissions)</w:t>
      </w:r>
      <w:r>
        <w:rPr>
          <w:noProof/>
        </w:rPr>
        <w:tab/>
      </w:r>
      <w:r>
        <w:rPr>
          <w:noProof/>
        </w:rPr>
        <w:fldChar w:fldCharType="begin"/>
      </w:r>
      <w:r>
        <w:rPr>
          <w:noProof/>
        </w:rPr>
        <w:instrText xml:space="preserve"> PAGEREF _Toc13233905 \h </w:instrText>
      </w:r>
      <w:r>
        <w:rPr>
          <w:noProof/>
        </w:rPr>
      </w:r>
      <w:r>
        <w:rPr>
          <w:noProof/>
        </w:rPr>
        <w:fldChar w:fldCharType="separate"/>
      </w:r>
      <w:r w:rsidR="00497E3C">
        <w:rPr>
          <w:noProof/>
        </w:rPr>
        <w:t>208</w:t>
      </w:r>
      <w:r>
        <w:rPr>
          <w:noProof/>
        </w:rPr>
        <w:fldChar w:fldCharType="end"/>
      </w:r>
    </w:p>
    <w:p w14:paraId="6F459B24" w14:textId="77777777" w:rsidR="005168F5" w:rsidRDefault="005168F5">
      <w:pPr>
        <w:pStyle w:val="TOC5"/>
        <w:rPr>
          <w:rFonts w:asciiTheme="minorHAnsi" w:eastAsiaTheme="minorEastAsia" w:hAnsiTheme="minorHAnsi" w:cstheme="minorBidi"/>
          <w:noProof/>
          <w:kern w:val="0"/>
          <w:sz w:val="22"/>
          <w:szCs w:val="22"/>
        </w:rPr>
      </w:pPr>
      <w:r>
        <w:rPr>
          <w:noProof/>
        </w:rPr>
        <w:t>4.74  Application</w:t>
      </w:r>
      <w:r>
        <w:rPr>
          <w:noProof/>
        </w:rPr>
        <w:tab/>
      </w:r>
      <w:r>
        <w:rPr>
          <w:noProof/>
        </w:rPr>
        <w:fldChar w:fldCharType="begin"/>
      </w:r>
      <w:r>
        <w:rPr>
          <w:noProof/>
        </w:rPr>
        <w:instrText xml:space="preserve"> PAGEREF _Toc13233906 \h </w:instrText>
      </w:r>
      <w:r>
        <w:rPr>
          <w:noProof/>
        </w:rPr>
      </w:r>
      <w:r>
        <w:rPr>
          <w:noProof/>
        </w:rPr>
        <w:fldChar w:fldCharType="separate"/>
      </w:r>
      <w:r w:rsidR="00497E3C">
        <w:rPr>
          <w:noProof/>
        </w:rPr>
        <w:t>208</w:t>
      </w:r>
      <w:r>
        <w:rPr>
          <w:noProof/>
        </w:rPr>
        <w:fldChar w:fldCharType="end"/>
      </w:r>
    </w:p>
    <w:p w14:paraId="5C5DAB5D" w14:textId="77777777" w:rsidR="005168F5" w:rsidRDefault="005168F5">
      <w:pPr>
        <w:pStyle w:val="TOC4"/>
        <w:rPr>
          <w:rFonts w:asciiTheme="minorHAnsi" w:eastAsiaTheme="minorEastAsia" w:hAnsiTheme="minorHAnsi" w:cstheme="minorBidi"/>
          <w:b w:val="0"/>
          <w:noProof/>
          <w:kern w:val="0"/>
          <w:sz w:val="22"/>
          <w:szCs w:val="22"/>
        </w:rPr>
      </w:pPr>
      <w:r>
        <w:rPr>
          <w:noProof/>
        </w:rPr>
        <w:t>Sudivision 4.4.3.1—Aluminium—emissions from consumption of carbon anodes in aluminium production</w:t>
      </w:r>
      <w:r>
        <w:rPr>
          <w:noProof/>
        </w:rPr>
        <w:tab/>
      </w:r>
      <w:r>
        <w:rPr>
          <w:noProof/>
        </w:rPr>
        <w:fldChar w:fldCharType="begin"/>
      </w:r>
      <w:r>
        <w:rPr>
          <w:noProof/>
        </w:rPr>
        <w:instrText xml:space="preserve"> PAGEREF _Toc13233907 \h </w:instrText>
      </w:r>
      <w:r>
        <w:rPr>
          <w:noProof/>
        </w:rPr>
      </w:r>
      <w:r>
        <w:rPr>
          <w:noProof/>
        </w:rPr>
        <w:fldChar w:fldCharType="separate"/>
      </w:r>
      <w:r w:rsidR="00497E3C">
        <w:rPr>
          <w:noProof/>
        </w:rPr>
        <w:t>208</w:t>
      </w:r>
      <w:r>
        <w:rPr>
          <w:noProof/>
        </w:rPr>
        <w:fldChar w:fldCharType="end"/>
      </w:r>
    </w:p>
    <w:p w14:paraId="1083EF39" w14:textId="77777777" w:rsidR="005168F5" w:rsidRDefault="005168F5">
      <w:pPr>
        <w:pStyle w:val="TOC5"/>
        <w:rPr>
          <w:rFonts w:asciiTheme="minorHAnsi" w:eastAsiaTheme="minorEastAsia" w:hAnsiTheme="minorHAnsi" w:cstheme="minorBidi"/>
          <w:noProof/>
          <w:kern w:val="0"/>
          <w:sz w:val="22"/>
          <w:szCs w:val="22"/>
        </w:rPr>
      </w:pPr>
      <w:r>
        <w:rPr>
          <w:noProof/>
        </w:rPr>
        <w:t>4.75  Available methods</w:t>
      </w:r>
      <w:r>
        <w:rPr>
          <w:noProof/>
        </w:rPr>
        <w:tab/>
      </w:r>
      <w:r>
        <w:rPr>
          <w:noProof/>
        </w:rPr>
        <w:fldChar w:fldCharType="begin"/>
      </w:r>
      <w:r>
        <w:rPr>
          <w:noProof/>
        </w:rPr>
        <w:instrText xml:space="preserve"> PAGEREF _Toc13233908 \h </w:instrText>
      </w:r>
      <w:r>
        <w:rPr>
          <w:noProof/>
        </w:rPr>
      </w:r>
      <w:r>
        <w:rPr>
          <w:noProof/>
        </w:rPr>
        <w:fldChar w:fldCharType="separate"/>
      </w:r>
      <w:r w:rsidR="00497E3C">
        <w:rPr>
          <w:noProof/>
        </w:rPr>
        <w:t>208</w:t>
      </w:r>
      <w:r>
        <w:rPr>
          <w:noProof/>
        </w:rPr>
        <w:fldChar w:fldCharType="end"/>
      </w:r>
    </w:p>
    <w:p w14:paraId="307D086B" w14:textId="77777777" w:rsidR="005168F5" w:rsidRDefault="005168F5">
      <w:pPr>
        <w:pStyle w:val="TOC5"/>
        <w:rPr>
          <w:rFonts w:asciiTheme="minorHAnsi" w:eastAsiaTheme="minorEastAsia" w:hAnsiTheme="minorHAnsi" w:cstheme="minorBidi"/>
          <w:noProof/>
          <w:kern w:val="0"/>
          <w:sz w:val="22"/>
          <w:szCs w:val="22"/>
        </w:rPr>
      </w:pPr>
      <w:r>
        <w:rPr>
          <w:noProof/>
        </w:rPr>
        <w:t>4.76  Method 1—aluminium (carbon anode consumption)</w:t>
      </w:r>
      <w:r>
        <w:rPr>
          <w:noProof/>
        </w:rPr>
        <w:tab/>
      </w:r>
      <w:r>
        <w:rPr>
          <w:noProof/>
        </w:rPr>
        <w:fldChar w:fldCharType="begin"/>
      </w:r>
      <w:r>
        <w:rPr>
          <w:noProof/>
        </w:rPr>
        <w:instrText xml:space="preserve"> PAGEREF _Toc13233909 \h </w:instrText>
      </w:r>
      <w:r>
        <w:rPr>
          <w:noProof/>
        </w:rPr>
      </w:r>
      <w:r>
        <w:rPr>
          <w:noProof/>
        </w:rPr>
        <w:fldChar w:fldCharType="separate"/>
      </w:r>
      <w:r w:rsidR="00497E3C">
        <w:rPr>
          <w:noProof/>
        </w:rPr>
        <w:t>208</w:t>
      </w:r>
      <w:r>
        <w:rPr>
          <w:noProof/>
        </w:rPr>
        <w:fldChar w:fldCharType="end"/>
      </w:r>
    </w:p>
    <w:p w14:paraId="47B8B8E1" w14:textId="77777777" w:rsidR="005168F5" w:rsidRDefault="005168F5">
      <w:pPr>
        <w:pStyle w:val="TOC5"/>
        <w:rPr>
          <w:rFonts w:asciiTheme="minorHAnsi" w:eastAsiaTheme="minorEastAsia" w:hAnsiTheme="minorHAnsi" w:cstheme="minorBidi"/>
          <w:noProof/>
          <w:kern w:val="0"/>
          <w:sz w:val="22"/>
          <w:szCs w:val="22"/>
        </w:rPr>
      </w:pPr>
      <w:r>
        <w:rPr>
          <w:noProof/>
        </w:rPr>
        <w:t>4.77  Method 2—aluminium (carbon anode consumption)</w:t>
      </w:r>
      <w:r>
        <w:rPr>
          <w:noProof/>
        </w:rPr>
        <w:tab/>
      </w:r>
      <w:r>
        <w:rPr>
          <w:noProof/>
        </w:rPr>
        <w:fldChar w:fldCharType="begin"/>
      </w:r>
      <w:r>
        <w:rPr>
          <w:noProof/>
        </w:rPr>
        <w:instrText xml:space="preserve"> PAGEREF _Toc13233910 \h </w:instrText>
      </w:r>
      <w:r>
        <w:rPr>
          <w:noProof/>
        </w:rPr>
      </w:r>
      <w:r>
        <w:rPr>
          <w:noProof/>
        </w:rPr>
        <w:fldChar w:fldCharType="separate"/>
      </w:r>
      <w:r w:rsidR="00497E3C">
        <w:rPr>
          <w:noProof/>
        </w:rPr>
        <w:t>209</w:t>
      </w:r>
      <w:r>
        <w:rPr>
          <w:noProof/>
        </w:rPr>
        <w:fldChar w:fldCharType="end"/>
      </w:r>
    </w:p>
    <w:p w14:paraId="14995892" w14:textId="77777777" w:rsidR="005168F5" w:rsidRDefault="005168F5">
      <w:pPr>
        <w:pStyle w:val="TOC5"/>
        <w:rPr>
          <w:rFonts w:asciiTheme="minorHAnsi" w:eastAsiaTheme="minorEastAsia" w:hAnsiTheme="minorHAnsi" w:cstheme="minorBidi"/>
          <w:noProof/>
          <w:kern w:val="0"/>
          <w:sz w:val="22"/>
          <w:szCs w:val="22"/>
        </w:rPr>
      </w:pPr>
      <w:r>
        <w:rPr>
          <w:noProof/>
        </w:rPr>
        <w:t>4.78  Method 3—aluminium (carbon anode consumption)</w:t>
      </w:r>
      <w:r>
        <w:rPr>
          <w:noProof/>
        </w:rPr>
        <w:tab/>
      </w:r>
      <w:r>
        <w:rPr>
          <w:noProof/>
        </w:rPr>
        <w:fldChar w:fldCharType="begin"/>
      </w:r>
      <w:r>
        <w:rPr>
          <w:noProof/>
        </w:rPr>
        <w:instrText xml:space="preserve"> PAGEREF _Toc13233911 \h </w:instrText>
      </w:r>
      <w:r>
        <w:rPr>
          <w:noProof/>
        </w:rPr>
      </w:r>
      <w:r>
        <w:rPr>
          <w:noProof/>
        </w:rPr>
        <w:fldChar w:fldCharType="separate"/>
      </w:r>
      <w:r w:rsidR="00497E3C">
        <w:rPr>
          <w:noProof/>
        </w:rPr>
        <w:t>209</w:t>
      </w:r>
      <w:r>
        <w:rPr>
          <w:noProof/>
        </w:rPr>
        <w:fldChar w:fldCharType="end"/>
      </w:r>
    </w:p>
    <w:p w14:paraId="59E7A1CB"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4.4.3.2—Aluminium—emissions from production of baked carbon anodes in aluminium production</w:t>
      </w:r>
      <w:r>
        <w:rPr>
          <w:noProof/>
        </w:rPr>
        <w:tab/>
      </w:r>
      <w:r>
        <w:rPr>
          <w:noProof/>
        </w:rPr>
        <w:fldChar w:fldCharType="begin"/>
      </w:r>
      <w:r>
        <w:rPr>
          <w:noProof/>
        </w:rPr>
        <w:instrText xml:space="preserve"> PAGEREF _Toc13233912 \h </w:instrText>
      </w:r>
      <w:r>
        <w:rPr>
          <w:noProof/>
        </w:rPr>
      </w:r>
      <w:r>
        <w:rPr>
          <w:noProof/>
        </w:rPr>
        <w:fldChar w:fldCharType="separate"/>
      </w:r>
      <w:r w:rsidR="00497E3C">
        <w:rPr>
          <w:noProof/>
        </w:rPr>
        <w:t>209</w:t>
      </w:r>
      <w:r>
        <w:rPr>
          <w:noProof/>
        </w:rPr>
        <w:fldChar w:fldCharType="end"/>
      </w:r>
    </w:p>
    <w:p w14:paraId="2636D0E6" w14:textId="77777777" w:rsidR="005168F5" w:rsidRDefault="005168F5">
      <w:pPr>
        <w:pStyle w:val="TOC5"/>
        <w:rPr>
          <w:rFonts w:asciiTheme="minorHAnsi" w:eastAsiaTheme="minorEastAsia" w:hAnsiTheme="minorHAnsi" w:cstheme="minorBidi"/>
          <w:noProof/>
          <w:kern w:val="0"/>
          <w:sz w:val="22"/>
          <w:szCs w:val="22"/>
        </w:rPr>
      </w:pPr>
      <w:r>
        <w:rPr>
          <w:noProof/>
        </w:rPr>
        <w:t>4.79  Available methods</w:t>
      </w:r>
      <w:r>
        <w:rPr>
          <w:noProof/>
        </w:rPr>
        <w:tab/>
      </w:r>
      <w:r>
        <w:rPr>
          <w:noProof/>
        </w:rPr>
        <w:fldChar w:fldCharType="begin"/>
      </w:r>
      <w:r>
        <w:rPr>
          <w:noProof/>
        </w:rPr>
        <w:instrText xml:space="preserve"> PAGEREF _Toc13233913 \h </w:instrText>
      </w:r>
      <w:r>
        <w:rPr>
          <w:noProof/>
        </w:rPr>
      </w:r>
      <w:r>
        <w:rPr>
          <w:noProof/>
        </w:rPr>
        <w:fldChar w:fldCharType="separate"/>
      </w:r>
      <w:r w:rsidR="00497E3C">
        <w:rPr>
          <w:noProof/>
        </w:rPr>
        <w:t>209</w:t>
      </w:r>
      <w:r>
        <w:rPr>
          <w:noProof/>
        </w:rPr>
        <w:fldChar w:fldCharType="end"/>
      </w:r>
    </w:p>
    <w:p w14:paraId="1FF8CD77" w14:textId="77777777" w:rsidR="005168F5" w:rsidRDefault="005168F5">
      <w:pPr>
        <w:pStyle w:val="TOC5"/>
        <w:rPr>
          <w:rFonts w:asciiTheme="minorHAnsi" w:eastAsiaTheme="minorEastAsia" w:hAnsiTheme="minorHAnsi" w:cstheme="minorBidi"/>
          <w:noProof/>
          <w:kern w:val="0"/>
          <w:sz w:val="22"/>
          <w:szCs w:val="22"/>
        </w:rPr>
      </w:pPr>
      <w:r>
        <w:rPr>
          <w:noProof/>
        </w:rPr>
        <w:t>4.80  Method 1—aluminium (baked carbon anode production)</w:t>
      </w:r>
      <w:r>
        <w:rPr>
          <w:noProof/>
        </w:rPr>
        <w:tab/>
      </w:r>
      <w:r>
        <w:rPr>
          <w:noProof/>
        </w:rPr>
        <w:fldChar w:fldCharType="begin"/>
      </w:r>
      <w:r>
        <w:rPr>
          <w:noProof/>
        </w:rPr>
        <w:instrText xml:space="preserve"> PAGEREF _Toc13233914 \h </w:instrText>
      </w:r>
      <w:r>
        <w:rPr>
          <w:noProof/>
        </w:rPr>
      </w:r>
      <w:r>
        <w:rPr>
          <w:noProof/>
        </w:rPr>
        <w:fldChar w:fldCharType="separate"/>
      </w:r>
      <w:r w:rsidR="00497E3C">
        <w:rPr>
          <w:noProof/>
        </w:rPr>
        <w:t>210</w:t>
      </w:r>
      <w:r>
        <w:rPr>
          <w:noProof/>
        </w:rPr>
        <w:fldChar w:fldCharType="end"/>
      </w:r>
    </w:p>
    <w:p w14:paraId="26EF13C4" w14:textId="77777777" w:rsidR="005168F5" w:rsidRDefault="005168F5">
      <w:pPr>
        <w:pStyle w:val="TOC5"/>
        <w:rPr>
          <w:rFonts w:asciiTheme="minorHAnsi" w:eastAsiaTheme="minorEastAsia" w:hAnsiTheme="minorHAnsi" w:cstheme="minorBidi"/>
          <w:noProof/>
          <w:kern w:val="0"/>
          <w:sz w:val="22"/>
          <w:szCs w:val="22"/>
        </w:rPr>
      </w:pPr>
      <w:r>
        <w:rPr>
          <w:noProof/>
        </w:rPr>
        <w:t>4.81  Method 2—aluminium (baked carbon anode production)</w:t>
      </w:r>
      <w:r>
        <w:rPr>
          <w:noProof/>
        </w:rPr>
        <w:tab/>
      </w:r>
      <w:r>
        <w:rPr>
          <w:noProof/>
        </w:rPr>
        <w:fldChar w:fldCharType="begin"/>
      </w:r>
      <w:r>
        <w:rPr>
          <w:noProof/>
        </w:rPr>
        <w:instrText xml:space="preserve"> PAGEREF _Toc13233915 \h </w:instrText>
      </w:r>
      <w:r>
        <w:rPr>
          <w:noProof/>
        </w:rPr>
      </w:r>
      <w:r>
        <w:rPr>
          <w:noProof/>
        </w:rPr>
        <w:fldChar w:fldCharType="separate"/>
      </w:r>
      <w:r w:rsidR="00497E3C">
        <w:rPr>
          <w:noProof/>
        </w:rPr>
        <w:t>210</w:t>
      </w:r>
      <w:r>
        <w:rPr>
          <w:noProof/>
        </w:rPr>
        <w:fldChar w:fldCharType="end"/>
      </w:r>
    </w:p>
    <w:p w14:paraId="3CD60F42" w14:textId="77777777" w:rsidR="005168F5" w:rsidRDefault="005168F5">
      <w:pPr>
        <w:pStyle w:val="TOC5"/>
        <w:rPr>
          <w:rFonts w:asciiTheme="minorHAnsi" w:eastAsiaTheme="minorEastAsia" w:hAnsiTheme="minorHAnsi" w:cstheme="minorBidi"/>
          <w:noProof/>
          <w:kern w:val="0"/>
          <w:sz w:val="22"/>
          <w:szCs w:val="22"/>
        </w:rPr>
      </w:pPr>
      <w:r>
        <w:rPr>
          <w:noProof/>
        </w:rPr>
        <w:t>4.82  Method 3—aluminium (baked carbon anode production)</w:t>
      </w:r>
      <w:r>
        <w:rPr>
          <w:noProof/>
        </w:rPr>
        <w:tab/>
      </w:r>
      <w:r>
        <w:rPr>
          <w:noProof/>
        </w:rPr>
        <w:fldChar w:fldCharType="begin"/>
      </w:r>
      <w:r>
        <w:rPr>
          <w:noProof/>
        </w:rPr>
        <w:instrText xml:space="preserve"> PAGEREF _Toc13233916 \h </w:instrText>
      </w:r>
      <w:r>
        <w:rPr>
          <w:noProof/>
        </w:rPr>
      </w:r>
      <w:r>
        <w:rPr>
          <w:noProof/>
        </w:rPr>
        <w:fldChar w:fldCharType="separate"/>
      </w:r>
      <w:r w:rsidR="00497E3C">
        <w:rPr>
          <w:noProof/>
        </w:rPr>
        <w:t>211</w:t>
      </w:r>
      <w:r>
        <w:rPr>
          <w:noProof/>
        </w:rPr>
        <w:fldChar w:fldCharType="end"/>
      </w:r>
    </w:p>
    <w:p w14:paraId="7B1434A2" w14:textId="77777777" w:rsidR="005168F5" w:rsidRDefault="005168F5">
      <w:pPr>
        <w:pStyle w:val="TOC3"/>
        <w:rPr>
          <w:rFonts w:asciiTheme="minorHAnsi" w:eastAsiaTheme="minorEastAsia" w:hAnsiTheme="minorHAnsi" w:cstheme="minorBidi"/>
          <w:b w:val="0"/>
          <w:noProof/>
          <w:kern w:val="0"/>
          <w:szCs w:val="22"/>
        </w:rPr>
      </w:pPr>
      <w:r>
        <w:rPr>
          <w:noProof/>
        </w:rPr>
        <w:t>Division 4.4.4—Aluminium production (perfluoronated carbon compound emissions)</w:t>
      </w:r>
      <w:r>
        <w:rPr>
          <w:noProof/>
        </w:rPr>
        <w:tab/>
      </w:r>
      <w:r>
        <w:rPr>
          <w:noProof/>
        </w:rPr>
        <w:fldChar w:fldCharType="begin"/>
      </w:r>
      <w:r>
        <w:rPr>
          <w:noProof/>
        </w:rPr>
        <w:instrText xml:space="preserve"> PAGEREF _Toc13233917 \h </w:instrText>
      </w:r>
      <w:r>
        <w:rPr>
          <w:noProof/>
        </w:rPr>
      </w:r>
      <w:r>
        <w:rPr>
          <w:noProof/>
        </w:rPr>
        <w:fldChar w:fldCharType="separate"/>
      </w:r>
      <w:r w:rsidR="00497E3C">
        <w:rPr>
          <w:noProof/>
        </w:rPr>
        <w:t>212</w:t>
      </w:r>
      <w:r>
        <w:rPr>
          <w:noProof/>
        </w:rPr>
        <w:fldChar w:fldCharType="end"/>
      </w:r>
    </w:p>
    <w:p w14:paraId="51342D00" w14:textId="77777777" w:rsidR="005168F5" w:rsidRDefault="005168F5">
      <w:pPr>
        <w:pStyle w:val="TOC5"/>
        <w:rPr>
          <w:rFonts w:asciiTheme="minorHAnsi" w:eastAsiaTheme="minorEastAsia" w:hAnsiTheme="minorHAnsi" w:cstheme="minorBidi"/>
          <w:noProof/>
          <w:kern w:val="0"/>
          <w:sz w:val="22"/>
          <w:szCs w:val="22"/>
        </w:rPr>
      </w:pPr>
      <w:r>
        <w:rPr>
          <w:noProof/>
        </w:rPr>
        <w:t>4.83  Application</w:t>
      </w:r>
      <w:r>
        <w:rPr>
          <w:noProof/>
        </w:rPr>
        <w:tab/>
      </w:r>
      <w:r>
        <w:rPr>
          <w:noProof/>
        </w:rPr>
        <w:fldChar w:fldCharType="begin"/>
      </w:r>
      <w:r>
        <w:rPr>
          <w:noProof/>
        </w:rPr>
        <w:instrText xml:space="preserve"> PAGEREF _Toc13233918 \h </w:instrText>
      </w:r>
      <w:r>
        <w:rPr>
          <w:noProof/>
        </w:rPr>
      </w:r>
      <w:r>
        <w:rPr>
          <w:noProof/>
        </w:rPr>
        <w:fldChar w:fldCharType="separate"/>
      </w:r>
      <w:r w:rsidR="00497E3C">
        <w:rPr>
          <w:noProof/>
        </w:rPr>
        <w:t>212</w:t>
      </w:r>
      <w:r>
        <w:rPr>
          <w:noProof/>
        </w:rPr>
        <w:fldChar w:fldCharType="end"/>
      </w:r>
    </w:p>
    <w:p w14:paraId="59AF4678"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4.4.4.1—Aluminium—emissions of tetrafluoromethane in aluminium production</w:t>
      </w:r>
      <w:r>
        <w:rPr>
          <w:noProof/>
        </w:rPr>
        <w:tab/>
      </w:r>
      <w:r>
        <w:rPr>
          <w:noProof/>
        </w:rPr>
        <w:fldChar w:fldCharType="begin"/>
      </w:r>
      <w:r>
        <w:rPr>
          <w:noProof/>
        </w:rPr>
        <w:instrText xml:space="preserve"> PAGEREF _Toc13233919 \h </w:instrText>
      </w:r>
      <w:r>
        <w:rPr>
          <w:noProof/>
        </w:rPr>
      </w:r>
      <w:r>
        <w:rPr>
          <w:noProof/>
        </w:rPr>
        <w:fldChar w:fldCharType="separate"/>
      </w:r>
      <w:r w:rsidR="00497E3C">
        <w:rPr>
          <w:noProof/>
        </w:rPr>
        <w:t>212</w:t>
      </w:r>
      <w:r>
        <w:rPr>
          <w:noProof/>
        </w:rPr>
        <w:fldChar w:fldCharType="end"/>
      </w:r>
    </w:p>
    <w:p w14:paraId="342F51E5" w14:textId="77777777" w:rsidR="005168F5" w:rsidRDefault="005168F5">
      <w:pPr>
        <w:pStyle w:val="TOC5"/>
        <w:rPr>
          <w:rFonts w:asciiTheme="minorHAnsi" w:eastAsiaTheme="minorEastAsia" w:hAnsiTheme="minorHAnsi" w:cstheme="minorBidi"/>
          <w:noProof/>
          <w:kern w:val="0"/>
          <w:sz w:val="22"/>
          <w:szCs w:val="22"/>
        </w:rPr>
      </w:pPr>
      <w:r>
        <w:rPr>
          <w:noProof/>
        </w:rPr>
        <w:t>4.84  Available methods</w:t>
      </w:r>
      <w:r>
        <w:rPr>
          <w:noProof/>
        </w:rPr>
        <w:tab/>
      </w:r>
      <w:r>
        <w:rPr>
          <w:noProof/>
        </w:rPr>
        <w:fldChar w:fldCharType="begin"/>
      </w:r>
      <w:r>
        <w:rPr>
          <w:noProof/>
        </w:rPr>
        <w:instrText xml:space="preserve"> PAGEREF _Toc13233920 \h </w:instrText>
      </w:r>
      <w:r>
        <w:rPr>
          <w:noProof/>
        </w:rPr>
      </w:r>
      <w:r>
        <w:rPr>
          <w:noProof/>
        </w:rPr>
        <w:fldChar w:fldCharType="separate"/>
      </w:r>
      <w:r w:rsidR="00497E3C">
        <w:rPr>
          <w:noProof/>
        </w:rPr>
        <w:t>212</w:t>
      </w:r>
      <w:r>
        <w:rPr>
          <w:noProof/>
        </w:rPr>
        <w:fldChar w:fldCharType="end"/>
      </w:r>
    </w:p>
    <w:p w14:paraId="1665920A" w14:textId="77777777" w:rsidR="005168F5" w:rsidRDefault="005168F5">
      <w:pPr>
        <w:pStyle w:val="TOC5"/>
        <w:rPr>
          <w:rFonts w:asciiTheme="minorHAnsi" w:eastAsiaTheme="minorEastAsia" w:hAnsiTheme="minorHAnsi" w:cstheme="minorBidi"/>
          <w:noProof/>
          <w:kern w:val="0"/>
          <w:sz w:val="22"/>
          <w:szCs w:val="22"/>
        </w:rPr>
      </w:pPr>
      <w:r>
        <w:rPr>
          <w:noProof/>
        </w:rPr>
        <w:t>4.85  Method 1—aluminium (tetrafluoromethane)</w:t>
      </w:r>
      <w:r>
        <w:rPr>
          <w:noProof/>
        </w:rPr>
        <w:tab/>
      </w:r>
      <w:r>
        <w:rPr>
          <w:noProof/>
        </w:rPr>
        <w:fldChar w:fldCharType="begin"/>
      </w:r>
      <w:r>
        <w:rPr>
          <w:noProof/>
        </w:rPr>
        <w:instrText xml:space="preserve"> PAGEREF _Toc13233921 \h </w:instrText>
      </w:r>
      <w:r>
        <w:rPr>
          <w:noProof/>
        </w:rPr>
      </w:r>
      <w:r>
        <w:rPr>
          <w:noProof/>
        </w:rPr>
        <w:fldChar w:fldCharType="separate"/>
      </w:r>
      <w:r w:rsidR="00497E3C">
        <w:rPr>
          <w:noProof/>
        </w:rPr>
        <w:t>212</w:t>
      </w:r>
      <w:r>
        <w:rPr>
          <w:noProof/>
        </w:rPr>
        <w:fldChar w:fldCharType="end"/>
      </w:r>
    </w:p>
    <w:p w14:paraId="51A046EC" w14:textId="77777777" w:rsidR="005168F5" w:rsidRDefault="005168F5">
      <w:pPr>
        <w:pStyle w:val="TOC5"/>
        <w:rPr>
          <w:rFonts w:asciiTheme="minorHAnsi" w:eastAsiaTheme="minorEastAsia" w:hAnsiTheme="minorHAnsi" w:cstheme="minorBidi"/>
          <w:noProof/>
          <w:kern w:val="0"/>
          <w:sz w:val="22"/>
          <w:szCs w:val="22"/>
        </w:rPr>
      </w:pPr>
      <w:r>
        <w:rPr>
          <w:noProof/>
        </w:rPr>
        <w:t>4.86  Method 2—aluminium (tetrafluoromethane)</w:t>
      </w:r>
      <w:r>
        <w:rPr>
          <w:noProof/>
        </w:rPr>
        <w:tab/>
      </w:r>
      <w:r>
        <w:rPr>
          <w:noProof/>
        </w:rPr>
        <w:fldChar w:fldCharType="begin"/>
      </w:r>
      <w:r>
        <w:rPr>
          <w:noProof/>
        </w:rPr>
        <w:instrText xml:space="preserve"> PAGEREF _Toc13233922 \h </w:instrText>
      </w:r>
      <w:r>
        <w:rPr>
          <w:noProof/>
        </w:rPr>
      </w:r>
      <w:r>
        <w:rPr>
          <w:noProof/>
        </w:rPr>
        <w:fldChar w:fldCharType="separate"/>
      </w:r>
      <w:r w:rsidR="00497E3C">
        <w:rPr>
          <w:noProof/>
        </w:rPr>
        <w:t>212</w:t>
      </w:r>
      <w:r>
        <w:rPr>
          <w:noProof/>
        </w:rPr>
        <w:fldChar w:fldCharType="end"/>
      </w:r>
    </w:p>
    <w:p w14:paraId="0CCDBBE8" w14:textId="77777777" w:rsidR="005168F5" w:rsidRDefault="005168F5">
      <w:pPr>
        <w:pStyle w:val="TOC5"/>
        <w:rPr>
          <w:rFonts w:asciiTheme="minorHAnsi" w:eastAsiaTheme="minorEastAsia" w:hAnsiTheme="minorHAnsi" w:cstheme="minorBidi"/>
          <w:noProof/>
          <w:kern w:val="0"/>
          <w:sz w:val="22"/>
          <w:szCs w:val="22"/>
        </w:rPr>
      </w:pPr>
      <w:r>
        <w:rPr>
          <w:noProof/>
        </w:rPr>
        <w:t>4.87  Method 3—aluminium (tetrafluoromethane)</w:t>
      </w:r>
      <w:r>
        <w:rPr>
          <w:noProof/>
        </w:rPr>
        <w:tab/>
      </w:r>
      <w:r>
        <w:rPr>
          <w:noProof/>
        </w:rPr>
        <w:fldChar w:fldCharType="begin"/>
      </w:r>
      <w:r>
        <w:rPr>
          <w:noProof/>
        </w:rPr>
        <w:instrText xml:space="preserve"> PAGEREF _Toc13233923 \h </w:instrText>
      </w:r>
      <w:r>
        <w:rPr>
          <w:noProof/>
        </w:rPr>
      </w:r>
      <w:r>
        <w:rPr>
          <w:noProof/>
        </w:rPr>
        <w:fldChar w:fldCharType="separate"/>
      </w:r>
      <w:r w:rsidR="00497E3C">
        <w:rPr>
          <w:noProof/>
        </w:rPr>
        <w:t>212</w:t>
      </w:r>
      <w:r>
        <w:rPr>
          <w:noProof/>
        </w:rPr>
        <w:fldChar w:fldCharType="end"/>
      </w:r>
    </w:p>
    <w:p w14:paraId="4BAE6389"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4.4.4.2—Aluminium—emissions of hexafluoroethane in aluminium production</w:t>
      </w:r>
      <w:r>
        <w:rPr>
          <w:noProof/>
        </w:rPr>
        <w:tab/>
      </w:r>
      <w:r>
        <w:rPr>
          <w:noProof/>
        </w:rPr>
        <w:fldChar w:fldCharType="begin"/>
      </w:r>
      <w:r>
        <w:rPr>
          <w:noProof/>
        </w:rPr>
        <w:instrText xml:space="preserve"> PAGEREF _Toc13233924 \h </w:instrText>
      </w:r>
      <w:r>
        <w:rPr>
          <w:noProof/>
        </w:rPr>
      </w:r>
      <w:r>
        <w:rPr>
          <w:noProof/>
        </w:rPr>
        <w:fldChar w:fldCharType="separate"/>
      </w:r>
      <w:r w:rsidR="00497E3C">
        <w:rPr>
          <w:noProof/>
        </w:rPr>
        <w:t>213</w:t>
      </w:r>
      <w:r>
        <w:rPr>
          <w:noProof/>
        </w:rPr>
        <w:fldChar w:fldCharType="end"/>
      </w:r>
    </w:p>
    <w:p w14:paraId="7C2D57B5" w14:textId="77777777" w:rsidR="005168F5" w:rsidRDefault="005168F5">
      <w:pPr>
        <w:pStyle w:val="TOC5"/>
        <w:rPr>
          <w:rFonts w:asciiTheme="minorHAnsi" w:eastAsiaTheme="minorEastAsia" w:hAnsiTheme="minorHAnsi" w:cstheme="minorBidi"/>
          <w:noProof/>
          <w:kern w:val="0"/>
          <w:sz w:val="22"/>
          <w:szCs w:val="22"/>
        </w:rPr>
      </w:pPr>
      <w:r>
        <w:rPr>
          <w:noProof/>
        </w:rPr>
        <w:t>4.88  Available methods</w:t>
      </w:r>
      <w:r>
        <w:rPr>
          <w:noProof/>
        </w:rPr>
        <w:tab/>
      </w:r>
      <w:r>
        <w:rPr>
          <w:noProof/>
        </w:rPr>
        <w:fldChar w:fldCharType="begin"/>
      </w:r>
      <w:r>
        <w:rPr>
          <w:noProof/>
        </w:rPr>
        <w:instrText xml:space="preserve"> PAGEREF _Toc13233925 \h </w:instrText>
      </w:r>
      <w:r>
        <w:rPr>
          <w:noProof/>
        </w:rPr>
      </w:r>
      <w:r>
        <w:rPr>
          <w:noProof/>
        </w:rPr>
        <w:fldChar w:fldCharType="separate"/>
      </w:r>
      <w:r w:rsidR="00497E3C">
        <w:rPr>
          <w:noProof/>
        </w:rPr>
        <w:t>213</w:t>
      </w:r>
      <w:r>
        <w:rPr>
          <w:noProof/>
        </w:rPr>
        <w:fldChar w:fldCharType="end"/>
      </w:r>
    </w:p>
    <w:p w14:paraId="728AABE5" w14:textId="77777777" w:rsidR="005168F5" w:rsidRDefault="005168F5">
      <w:pPr>
        <w:pStyle w:val="TOC5"/>
        <w:rPr>
          <w:rFonts w:asciiTheme="minorHAnsi" w:eastAsiaTheme="minorEastAsia" w:hAnsiTheme="minorHAnsi" w:cstheme="minorBidi"/>
          <w:noProof/>
          <w:kern w:val="0"/>
          <w:sz w:val="22"/>
          <w:szCs w:val="22"/>
        </w:rPr>
      </w:pPr>
      <w:r>
        <w:rPr>
          <w:noProof/>
        </w:rPr>
        <w:t>4.89  Method 1—aluminium production (hexafluoroethane)</w:t>
      </w:r>
      <w:r>
        <w:rPr>
          <w:noProof/>
        </w:rPr>
        <w:tab/>
      </w:r>
      <w:r>
        <w:rPr>
          <w:noProof/>
        </w:rPr>
        <w:fldChar w:fldCharType="begin"/>
      </w:r>
      <w:r>
        <w:rPr>
          <w:noProof/>
        </w:rPr>
        <w:instrText xml:space="preserve"> PAGEREF _Toc13233926 \h </w:instrText>
      </w:r>
      <w:r>
        <w:rPr>
          <w:noProof/>
        </w:rPr>
      </w:r>
      <w:r>
        <w:rPr>
          <w:noProof/>
        </w:rPr>
        <w:fldChar w:fldCharType="separate"/>
      </w:r>
      <w:r w:rsidR="00497E3C">
        <w:rPr>
          <w:noProof/>
        </w:rPr>
        <w:t>213</w:t>
      </w:r>
      <w:r>
        <w:rPr>
          <w:noProof/>
        </w:rPr>
        <w:fldChar w:fldCharType="end"/>
      </w:r>
    </w:p>
    <w:p w14:paraId="4CF154D2" w14:textId="77777777" w:rsidR="005168F5" w:rsidRDefault="005168F5">
      <w:pPr>
        <w:pStyle w:val="TOC5"/>
        <w:rPr>
          <w:rFonts w:asciiTheme="minorHAnsi" w:eastAsiaTheme="minorEastAsia" w:hAnsiTheme="minorHAnsi" w:cstheme="minorBidi"/>
          <w:noProof/>
          <w:kern w:val="0"/>
          <w:sz w:val="22"/>
          <w:szCs w:val="22"/>
        </w:rPr>
      </w:pPr>
      <w:r>
        <w:rPr>
          <w:noProof/>
        </w:rPr>
        <w:t>4.90  Method 2—aluminium production (hexafluoroethane)</w:t>
      </w:r>
      <w:r>
        <w:rPr>
          <w:noProof/>
        </w:rPr>
        <w:tab/>
      </w:r>
      <w:r>
        <w:rPr>
          <w:noProof/>
        </w:rPr>
        <w:fldChar w:fldCharType="begin"/>
      </w:r>
      <w:r>
        <w:rPr>
          <w:noProof/>
        </w:rPr>
        <w:instrText xml:space="preserve"> PAGEREF _Toc13233927 \h </w:instrText>
      </w:r>
      <w:r>
        <w:rPr>
          <w:noProof/>
        </w:rPr>
      </w:r>
      <w:r>
        <w:rPr>
          <w:noProof/>
        </w:rPr>
        <w:fldChar w:fldCharType="separate"/>
      </w:r>
      <w:r w:rsidR="00497E3C">
        <w:rPr>
          <w:noProof/>
        </w:rPr>
        <w:t>213</w:t>
      </w:r>
      <w:r>
        <w:rPr>
          <w:noProof/>
        </w:rPr>
        <w:fldChar w:fldCharType="end"/>
      </w:r>
    </w:p>
    <w:p w14:paraId="614FD407" w14:textId="77777777" w:rsidR="005168F5" w:rsidRDefault="005168F5">
      <w:pPr>
        <w:pStyle w:val="TOC5"/>
        <w:rPr>
          <w:rFonts w:asciiTheme="minorHAnsi" w:eastAsiaTheme="minorEastAsia" w:hAnsiTheme="minorHAnsi" w:cstheme="minorBidi"/>
          <w:noProof/>
          <w:kern w:val="0"/>
          <w:sz w:val="22"/>
          <w:szCs w:val="22"/>
        </w:rPr>
      </w:pPr>
      <w:r>
        <w:rPr>
          <w:noProof/>
        </w:rPr>
        <w:t>4.91  Method 3—aluminium production (hexafluoroethane)</w:t>
      </w:r>
      <w:r>
        <w:rPr>
          <w:noProof/>
        </w:rPr>
        <w:tab/>
      </w:r>
      <w:r>
        <w:rPr>
          <w:noProof/>
        </w:rPr>
        <w:fldChar w:fldCharType="begin"/>
      </w:r>
      <w:r>
        <w:rPr>
          <w:noProof/>
        </w:rPr>
        <w:instrText xml:space="preserve"> PAGEREF _Toc13233928 \h </w:instrText>
      </w:r>
      <w:r>
        <w:rPr>
          <w:noProof/>
        </w:rPr>
      </w:r>
      <w:r>
        <w:rPr>
          <w:noProof/>
        </w:rPr>
        <w:fldChar w:fldCharType="separate"/>
      </w:r>
      <w:r w:rsidR="00497E3C">
        <w:rPr>
          <w:noProof/>
        </w:rPr>
        <w:t>213</w:t>
      </w:r>
      <w:r>
        <w:rPr>
          <w:noProof/>
        </w:rPr>
        <w:fldChar w:fldCharType="end"/>
      </w:r>
    </w:p>
    <w:p w14:paraId="4E860548" w14:textId="77777777" w:rsidR="005168F5" w:rsidRDefault="005168F5">
      <w:pPr>
        <w:pStyle w:val="TOC3"/>
        <w:rPr>
          <w:rFonts w:asciiTheme="minorHAnsi" w:eastAsiaTheme="minorEastAsia" w:hAnsiTheme="minorHAnsi" w:cstheme="minorBidi"/>
          <w:b w:val="0"/>
          <w:noProof/>
          <w:kern w:val="0"/>
          <w:szCs w:val="22"/>
        </w:rPr>
      </w:pPr>
      <w:r>
        <w:rPr>
          <w:noProof/>
        </w:rPr>
        <w:t>Division 4.4.5—Other metals production</w:t>
      </w:r>
      <w:r>
        <w:rPr>
          <w:noProof/>
        </w:rPr>
        <w:tab/>
      </w:r>
      <w:r>
        <w:rPr>
          <w:noProof/>
        </w:rPr>
        <w:fldChar w:fldCharType="begin"/>
      </w:r>
      <w:r>
        <w:rPr>
          <w:noProof/>
        </w:rPr>
        <w:instrText xml:space="preserve"> PAGEREF _Toc13233929 \h </w:instrText>
      </w:r>
      <w:r>
        <w:rPr>
          <w:noProof/>
        </w:rPr>
      </w:r>
      <w:r>
        <w:rPr>
          <w:noProof/>
        </w:rPr>
        <w:fldChar w:fldCharType="separate"/>
      </w:r>
      <w:r w:rsidR="00497E3C">
        <w:rPr>
          <w:noProof/>
        </w:rPr>
        <w:t>214</w:t>
      </w:r>
      <w:r>
        <w:rPr>
          <w:noProof/>
        </w:rPr>
        <w:fldChar w:fldCharType="end"/>
      </w:r>
    </w:p>
    <w:p w14:paraId="068574D9" w14:textId="77777777" w:rsidR="005168F5" w:rsidRDefault="005168F5">
      <w:pPr>
        <w:pStyle w:val="TOC5"/>
        <w:rPr>
          <w:rFonts w:asciiTheme="minorHAnsi" w:eastAsiaTheme="minorEastAsia" w:hAnsiTheme="minorHAnsi" w:cstheme="minorBidi"/>
          <w:noProof/>
          <w:kern w:val="0"/>
          <w:sz w:val="22"/>
          <w:szCs w:val="22"/>
        </w:rPr>
      </w:pPr>
      <w:r>
        <w:rPr>
          <w:noProof/>
        </w:rPr>
        <w:t>4.92  Application</w:t>
      </w:r>
      <w:r>
        <w:rPr>
          <w:noProof/>
        </w:rPr>
        <w:tab/>
      </w:r>
      <w:r>
        <w:rPr>
          <w:noProof/>
        </w:rPr>
        <w:fldChar w:fldCharType="begin"/>
      </w:r>
      <w:r>
        <w:rPr>
          <w:noProof/>
        </w:rPr>
        <w:instrText xml:space="preserve"> PAGEREF _Toc13233930 \h </w:instrText>
      </w:r>
      <w:r>
        <w:rPr>
          <w:noProof/>
        </w:rPr>
      </w:r>
      <w:r>
        <w:rPr>
          <w:noProof/>
        </w:rPr>
        <w:fldChar w:fldCharType="separate"/>
      </w:r>
      <w:r w:rsidR="00497E3C">
        <w:rPr>
          <w:noProof/>
        </w:rPr>
        <w:t>214</w:t>
      </w:r>
      <w:r>
        <w:rPr>
          <w:noProof/>
        </w:rPr>
        <w:fldChar w:fldCharType="end"/>
      </w:r>
    </w:p>
    <w:p w14:paraId="48E06C91" w14:textId="77777777" w:rsidR="005168F5" w:rsidRDefault="005168F5">
      <w:pPr>
        <w:pStyle w:val="TOC5"/>
        <w:rPr>
          <w:rFonts w:asciiTheme="minorHAnsi" w:eastAsiaTheme="minorEastAsia" w:hAnsiTheme="minorHAnsi" w:cstheme="minorBidi"/>
          <w:noProof/>
          <w:kern w:val="0"/>
          <w:sz w:val="22"/>
          <w:szCs w:val="22"/>
        </w:rPr>
      </w:pPr>
      <w:r>
        <w:rPr>
          <w:noProof/>
        </w:rPr>
        <w:t>4.93  Available methods</w:t>
      </w:r>
      <w:r>
        <w:rPr>
          <w:noProof/>
        </w:rPr>
        <w:tab/>
      </w:r>
      <w:r>
        <w:rPr>
          <w:noProof/>
        </w:rPr>
        <w:fldChar w:fldCharType="begin"/>
      </w:r>
      <w:r>
        <w:rPr>
          <w:noProof/>
        </w:rPr>
        <w:instrText xml:space="preserve"> PAGEREF _Toc13233931 \h </w:instrText>
      </w:r>
      <w:r>
        <w:rPr>
          <w:noProof/>
        </w:rPr>
      </w:r>
      <w:r>
        <w:rPr>
          <w:noProof/>
        </w:rPr>
        <w:fldChar w:fldCharType="separate"/>
      </w:r>
      <w:r w:rsidR="00497E3C">
        <w:rPr>
          <w:noProof/>
        </w:rPr>
        <w:t>214</w:t>
      </w:r>
      <w:r>
        <w:rPr>
          <w:noProof/>
        </w:rPr>
        <w:fldChar w:fldCharType="end"/>
      </w:r>
    </w:p>
    <w:p w14:paraId="64B1D84E" w14:textId="77777777" w:rsidR="005168F5" w:rsidRDefault="005168F5">
      <w:pPr>
        <w:pStyle w:val="TOC5"/>
        <w:rPr>
          <w:rFonts w:asciiTheme="minorHAnsi" w:eastAsiaTheme="minorEastAsia" w:hAnsiTheme="minorHAnsi" w:cstheme="minorBidi"/>
          <w:noProof/>
          <w:kern w:val="0"/>
          <w:sz w:val="22"/>
          <w:szCs w:val="22"/>
        </w:rPr>
      </w:pPr>
      <w:r>
        <w:rPr>
          <w:noProof/>
        </w:rPr>
        <w:t>4.94  Method 1—other metals</w:t>
      </w:r>
      <w:r>
        <w:rPr>
          <w:noProof/>
        </w:rPr>
        <w:tab/>
      </w:r>
      <w:r>
        <w:rPr>
          <w:noProof/>
        </w:rPr>
        <w:fldChar w:fldCharType="begin"/>
      </w:r>
      <w:r>
        <w:rPr>
          <w:noProof/>
        </w:rPr>
        <w:instrText xml:space="preserve"> PAGEREF _Toc13233932 \h </w:instrText>
      </w:r>
      <w:r>
        <w:rPr>
          <w:noProof/>
        </w:rPr>
      </w:r>
      <w:r>
        <w:rPr>
          <w:noProof/>
        </w:rPr>
        <w:fldChar w:fldCharType="separate"/>
      </w:r>
      <w:r w:rsidR="00497E3C">
        <w:rPr>
          <w:noProof/>
        </w:rPr>
        <w:t>214</w:t>
      </w:r>
      <w:r>
        <w:rPr>
          <w:noProof/>
        </w:rPr>
        <w:fldChar w:fldCharType="end"/>
      </w:r>
    </w:p>
    <w:p w14:paraId="15C41C2E" w14:textId="77777777" w:rsidR="005168F5" w:rsidRDefault="005168F5">
      <w:pPr>
        <w:pStyle w:val="TOC5"/>
        <w:rPr>
          <w:rFonts w:asciiTheme="minorHAnsi" w:eastAsiaTheme="minorEastAsia" w:hAnsiTheme="minorHAnsi" w:cstheme="minorBidi"/>
          <w:noProof/>
          <w:kern w:val="0"/>
          <w:sz w:val="22"/>
          <w:szCs w:val="22"/>
        </w:rPr>
      </w:pPr>
      <w:r>
        <w:rPr>
          <w:noProof/>
        </w:rPr>
        <w:t>4.95  Method 2—other metals</w:t>
      </w:r>
      <w:r>
        <w:rPr>
          <w:noProof/>
        </w:rPr>
        <w:tab/>
      </w:r>
      <w:r>
        <w:rPr>
          <w:noProof/>
        </w:rPr>
        <w:fldChar w:fldCharType="begin"/>
      </w:r>
      <w:r>
        <w:rPr>
          <w:noProof/>
        </w:rPr>
        <w:instrText xml:space="preserve"> PAGEREF _Toc13233933 \h </w:instrText>
      </w:r>
      <w:r>
        <w:rPr>
          <w:noProof/>
        </w:rPr>
      </w:r>
      <w:r>
        <w:rPr>
          <w:noProof/>
        </w:rPr>
        <w:fldChar w:fldCharType="separate"/>
      </w:r>
      <w:r w:rsidR="00497E3C">
        <w:rPr>
          <w:noProof/>
        </w:rPr>
        <w:t>216</w:t>
      </w:r>
      <w:r>
        <w:rPr>
          <w:noProof/>
        </w:rPr>
        <w:fldChar w:fldCharType="end"/>
      </w:r>
    </w:p>
    <w:p w14:paraId="1F79BD25" w14:textId="77777777" w:rsidR="005168F5" w:rsidRDefault="005168F5">
      <w:pPr>
        <w:pStyle w:val="TOC5"/>
        <w:rPr>
          <w:rFonts w:asciiTheme="minorHAnsi" w:eastAsiaTheme="minorEastAsia" w:hAnsiTheme="minorHAnsi" w:cstheme="minorBidi"/>
          <w:noProof/>
          <w:kern w:val="0"/>
          <w:sz w:val="22"/>
          <w:szCs w:val="22"/>
        </w:rPr>
      </w:pPr>
      <w:r>
        <w:rPr>
          <w:noProof/>
        </w:rPr>
        <w:t>4.96  Method 3—other metals</w:t>
      </w:r>
      <w:r>
        <w:rPr>
          <w:noProof/>
        </w:rPr>
        <w:tab/>
      </w:r>
      <w:r>
        <w:rPr>
          <w:noProof/>
        </w:rPr>
        <w:fldChar w:fldCharType="begin"/>
      </w:r>
      <w:r>
        <w:rPr>
          <w:noProof/>
        </w:rPr>
        <w:instrText xml:space="preserve"> PAGEREF _Toc13233934 \h </w:instrText>
      </w:r>
      <w:r>
        <w:rPr>
          <w:noProof/>
        </w:rPr>
      </w:r>
      <w:r>
        <w:rPr>
          <w:noProof/>
        </w:rPr>
        <w:fldChar w:fldCharType="separate"/>
      </w:r>
      <w:r w:rsidR="00497E3C">
        <w:rPr>
          <w:noProof/>
        </w:rPr>
        <w:t>217</w:t>
      </w:r>
      <w:r>
        <w:rPr>
          <w:noProof/>
        </w:rPr>
        <w:fldChar w:fldCharType="end"/>
      </w:r>
    </w:p>
    <w:p w14:paraId="1C5A0345" w14:textId="77777777" w:rsidR="005168F5" w:rsidRDefault="005168F5">
      <w:pPr>
        <w:pStyle w:val="TOC2"/>
        <w:rPr>
          <w:rFonts w:asciiTheme="minorHAnsi" w:eastAsiaTheme="minorEastAsia" w:hAnsiTheme="minorHAnsi" w:cstheme="minorBidi"/>
          <w:b w:val="0"/>
          <w:noProof/>
          <w:kern w:val="0"/>
          <w:sz w:val="22"/>
          <w:szCs w:val="22"/>
        </w:rPr>
      </w:pPr>
      <w:r>
        <w:rPr>
          <w:noProof/>
        </w:rPr>
        <w:t>Part 4.5—Industrial processes—emissions of hydrofluorocarbons and sulphur hexafluoride gases</w:t>
      </w:r>
      <w:r>
        <w:rPr>
          <w:noProof/>
        </w:rPr>
        <w:tab/>
      </w:r>
      <w:r>
        <w:rPr>
          <w:noProof/>
        </w:rPr>
        <w:fldChar w:fldCharType="begin"/>
      </w:r>
      <w:r>
        <w:rPr>
          <w:noProof/>
        </w:rPr>
        <w:instrText xml:space="preserve"> PAGEREF _Toc13233935 \h </w:instrText>
      </w:r>
      <w:r>
        <w:rPr>
          <w:noProof/>
        </w:rPr>
      </w:r>
      <w:r>
        <w:rPr>
          <w:noProof/>
        </w:rPr>
        <w:fldChar w:fldCharType="separate"/>
      </w:r>
      <w:r w:rsidR="00497E3C">
        <w:rPr>
          <w:noProof/>
        </w:rPr>
        <w:t>218</w:t>
      </w:r>
      <w:r>
        <w:rPr>
          <w:noProof/>
        </w:rPr>
        <w:fldChar w:fldCharType="end"/>
      </w:r>
    </w:p>
    <w:p w14:paraId="443C24D7" w14:textId="77777777" w:rsidR="005168F5" w:rsidRDefault="005168F5">
      <w:pPr>
        <w:pStyle w:val="TOC5"/>
        <w:rPr>
          <w:rFonts w:asciiTheme="minorHAnsi" w:eastAsiaTheme="minorEastAsia" w:hAnsiTheme="minorHAnsi" w:cstheme="minorBidi"/>
          <w:noProof/>
          <w:kern w:val="0"/>
          <w:sz w:val="22"/>
          <w:szCs w:val="22"/>
        </w:rPr>
      </w:pPr>
      <w:r>
        <w:rPr>
          <w:noProof/>
        </w:rPr>
        <w:t>4.97  Application</w:t>
      </w:r>
      <w:r>
        <w:rPr>
          <w:noProof/>
        </w:rPr>
        <w:tab/>
      </w:r>
      <w:r>
        <w:rPr>
          <w:noProof/>
        </w:rPr>
        <w:fldChar w:fldCharType="begin"/>
      </w:r>
      <w:r>
        <w:rPr>
          <w:noProof/>
        </w:rPr>
        <w:instrText xml:space="preserve"> PAGEREF _Toc13233936 \h </w:instrText>
      </w:r>
      <w:r>
        <w:rPr>
          <w:noProof/>
        </w:rPr>
      </w:r>
      <w:r>
        <w:rPr>
          <w:noProof/>
        </w:rPr>
        <w:fldChar w:fldCharType="separate"/>
      </w:r>
      <w:r w:rsidR="00497E3C">
        <w:rPr>
          <w:noProof/>
        </w:rPr>
        <w:t>218</w:t>
      </w:r>
      <w:r>
        <w:rPr>
          <w:noProof/>
        </w:rPr>
        <w:fldChar w:fldCharType="end"/>
      </w:r>
    </w:p>
    <w:p w14:paraId="525E1D7A" w14:textId="77777777" w:rsidR="005168F5" w:rsidRDefault="005168F5">
      <w:pPr>
        <w:pStyle w:val="TOC5"/>
        <w:rPr>
          <w:rFonts w:asciiTheme="minorHAnsi" w:eastAsiaTheme="minorEastAsia" w:hAnsiTheme="minorHAnsi" w:cstheme="minorBidi"/>
          <w:noProof/>
          <w:kern w:val="0"/>
          <w:sz w:val="22"/>
          <w:szCs w:val="22"/>
        </w:rPr>
      </w:pPr>
      <w:r>
        <w:rPr>
          <w:noProof/>
        </w:rPr>
        <w:t>4.98  Available method</w:t>
      </w:r>
      <w:r>
        <w:rPr>
          <w:noProof/>
        </w:rPr>
        <w:tab/>
      </w:r>
      <w:r>
        <w:rPr>
          <w:noProof/>
        </w:rPr>
        <w:fldChar w:fldCharType="begin"/>
      </w:r>
      <w:r>
        <w:rPr>
          <w:noProof/>
        </w:rPr>
        <w:instrText xml:space="preserve"> PAGEREF _Toc13233937 \h </w:instrText>
      </w:r>
      <w:r>
        <w:rPr>
          <w:noProof/>
        </w:rPr>
      </w:r>
      <w:r>
        <w:rPr>
          <w:noProof/>
        </w:rPr>
        <w:fldChar w:fldCharType="separate"/>
      </w:r>
      <w:r w:rsidR="00497E3C">
        <w:rPr>
          <w:noProof/>
        </w:rPr>
        <w:t>218</w:t>
      </w:r>
      <w:r>
        <w:rPr>
          <w:noProof/>
        </w:rPr>
        <w:fldChar w:fldCharType="end"/>
      </w:r>
    </w:p>
    <w:p w14:paraId="7F9DB532" w14:textId="77777777" w:rsidR="005168F5" w:rsidRDefault="005168F5">
      <w:pPr>
        <w:pStyle w:val="TOC5"/>
        <w:rPr>
          <w:rFonts w:asciiTheme="minorHAnsi" w:eastAsiaTheme="minorEastAsia" w:hAnsiTheme="minorHAnsi" w:cstheme="minorBidi"/>
          <w:noProof/>
          <w:kern w:val="0"/>
          <w:sz w:val="22"/>
          <w:szCs w:val="22"/>
        </w:rPr>
      </w:pPr>
      <w:r>
        <w:rPr>
          <w:noProof/>
        </w:rPr>
        <w:t xml:space="preserve">4.99  Meaning of </w:t>
      </w:r>
      <w:r w:rsidRPr="00F869F2">
        <w:rPr>
          <w:i/>
          <w:noProof/>
        </w:rPr>
        <w:t>hydrofluorocarbons</w:t>
      </w:r>
      <w:r>
        <w:rPr>
          <w:noProof/>
        </w:rPr>
        <w:tab/>
      </w:r>
      <w:r>
        <w:rPr>
          <w:noProof/>
        </w:rPr>
        <w:fldChar w:fldCharType="begin"/>
      </w:r>
      <w:r>
        <w:rPr>
          <w:noProof/>
        </w:rPr>
        <w:instrText xml:space="preserve"> PAGEREF _Toc13233938 \h </w:instrText>
      </w:r>
      <w:r>
        <w:rPr>
          <w:noProof/>
        </w:rPr>
      </w:r>
      <w:r>
        <w:rPr>
          <w:noProof/>
        </w:rPr>
        <w:fldChar w:fldCharType="separate"/>
      </w:r>
      <w:r w:rsidR="00497E3C">
        <w:rPr>
          <w:noProof/>
        </w:rPr>
        <w:t>218</w:t>
      </w:r>
      <w:r>
        <w:rPr>
          <w:noProof/>
        </w:rPr>
        <w:fldChar w:fldCharType="end"/>
      </w:r>
    </w:p>
    <w:p w14:paraId="603D443C" w14:textId="77777777" w:rsidR="005168F5" w:rsidRDefault="005168F5">
      <w:pPr>
        <w:pStyle w:val="TOC5"/>
        <w:rPr>
          <w:rFonts w:asciiTheme="minorHAnsi" w:eastAsiaTheme="minorEastAsia" w:hAnsiTheme="minorHAnsi" w:cstheme="minorBidi"/>
          <w:noProof/>
          <w:kern w:val="0"/>
          <w:sz w:val="22"/>
          <w:szCs w:val="22"/>
        </w:rPr>
      </w:pPr>
      <w:r>
        <w:rPr>
          <w:noProof/>
        </w:rPr>
        <w:t xml:space="preserve">4.100  Meaning of </w:t>
      </w:r>
      <w:r w:rsidRPr="00F869F2">
        <w:rPr>
          <w:i/>
          <w:noProof/>
        </w:rPr>
        <w:t>synthetic gas generating activities</w:t>
      </w:r>
      <w:r>
        <w:rPr>
          <w:noProof/>
        </w:rPr>
        <w:tab/>
      </w:r>
      <w:r>
        <w:rPr>
          <w:noProof/>
        </w:rPr>
        <w:fldChar w:fldCharType="begin"/>
      </w:r>
      <w:r>
        <w:rPr>
          <w:noProof/>
        </w:rPr>
        <w:instrText xml:space="preserve"> PAGEREF _Toc13233939 \h </w:instrText>
      </w:r>
      <w:r>
        <w:rPr>
          <w:noProof/>
        </w:rPr>
      </w:r>
      <w:r>
        <w:rPr>
          <w:noProof/>
        </w:rPr>
        <w:fldChar w:fldCharType="separate"/>
      </w:r>
      <w:r w:rsidR="00497E3C">
        <w:rPr>
          <w:noProof/>
        </w:rPr>
        <w:t>218</w:t>
      </w:r>
      <w:r>
        <w:rPr>
          <w:noProof/>
        </w:rPr>
        <w:fldChar w:fldCharType="end"/>
      </w:r>
    </w:p>
    <w:p w14:paraId="296FA26A" w14:textId="77777777" w:rsidR="005168F5" w:rsidRDefault="005168F5">
      <w:pPr>
        <w:pStyle w:val="TOC5"/>
        <w:rPr>
          <w:rFonts w:asciiTheme="minorHAnsi" w:eastAsiaTheme="minorEastAsia" w:hAnsiTheme="minorHAnsi" w:cstheme="minorBidi"/>
          <w:noProof/>
          <w:kern w:val="0"/>
          <w:sz w:val="22"/>
          <w:szCs w:val="22"/>
        </w:rPr>
      </w:pPr>
      <w:r>
        <w:rPr>
          <w:noProof/>
        </w:rPr>
        <w:t>4.101  Reporting threshold</w:t>
      </w:r>
      <w:r>
        <w:rPr>
          <w:noProof/>
        </w:rPr>
        <w:tab/>
      </w:r>
      <w:r>
        <w:rPr>
          <w:noProof/>
        </w:rPr>
        <w:fldChar w:fldCharType="begin"/>
      </w:r>
      <w:r>
        <w:rPr>
          <w:noProof/>
        </w:rPr>
        <w:instrText xml:space="preserve"> PAGEREF _Toc13233940 \h </w:instrText>
      </w:r>
      <w:r>
        <w:rPr>
          <w:noProof/>
        </w:rPr>
      </w:r>
      <w:r>
        <w:rPr>
          <w:noProof/>
        </w:rPr>
        <w:fldChar w:fldCharType="separate"/>
      </w:r>
      <w:r w:rsidR="00497E3C">
        <w:rPr>
          <w:noProof/>
        </w:rPr>
        <w:t>219</w:t>
      </w:r>
      <w:r>
        <w:rPr>
          <w:noProof/>
        </w:rPr>
        <w:fldChar w:fldCharType="end"/>
      </w:r>
    </w:p>
    <w:p w14:paraId="3AB69693" w14:textId="77777777" w:rsidR="005168F5" w:rsidRDefault="005168F5">
      <w:pPr>
        <w:pStyle w:val="TOC5"/>
        <w:rPr>
          <w:rFonts w:asciiTheme="minorHAnsi" w:eastAsiaTheme="minorEastAsia" w:hAnsiTheme="minorHAnsi" w:cstheme="minorBidi"/>
          <w:noProof/>
          <w:kern w:val="0"/>
          <w:sz w:val="22"/>
          <w:szCs w:val="22"/>
        </w:rPr>
      </w:pPr>
      <w:r>
        <w:rPr>
          <w:noProof/>
        </w:rPr>
        <w:t>4.102  Method 1</w:t>
      </w:r>
      <w:r>
        <w:rPr>
          <w:noProof/>
        </w:rPr>
        <w:tab/>
      </w:r>
      <w:r>
        <w:rPr>
          <w:noProof/>
        </w:rPr>
        <w:fldChar w:fldCharType="begin"/>
      </w:r>
      <w:r>
        <w:rPr>
          <w:noProof/>
        </w:rPr>
        <w:instrText xml:space="preserve"> PAGEREF _Toc13233941 \h </w:instrText>
      </w:r>
      <w:r>
        <w:rPr>
          <w:noProof/>
        </w:rPr>
      </w:r>
      <w:r>
        <w:rPr>
          <w:noProof/>
        </w:rPr>
        <w:fldChar w:fldCharType="separate"/>
      </w:r>
      <w:r w:rsidR="00497E3C">
        <w:rPr>
          <w:noProof/>
        </w:rPr>
        <w:t>219</w:t>
      </w:r>
      <w:r>
        <w:rPr>
          <w:noProof/>
        </w:rPr>
        <w:fldChar w:fldCharType="end"/>
      </w:r>
    </w:p>
    <w:p w14:paraId="09BB459F" w14:textId="77777777" w:rsidR="005168F5" w:rsidRDefault="005168F5">
      <w:pPr>
        <w:pStyle w:val="TOC5"/>
        <w:rPr>
          <w:rFonts w:asciiTheme="minorHAnsi" w:eastAsiaTheme="minorEastAsia" w:hAnsiTheme="minorHAnsi" w:cstheme="minorBidi"/>
          <w:noProof/>
          <w:kern w:val="0"/>
          <w:sz w:val="22"/>
          <w:szCs w:val="22"/>
        </w:rPr>
      </w:pPr>
      <w:r>
        <w:rPr>
          <w:noProof/>
        </w:rPr>
        <w:t>4.103  Method 2</w:t>
      </w:r>
      <w:r>
        <w:rPr>
          <w:noProof/>
        </w:rPr>
        <w:tab/>
      </w:r>
      <w:r>
        <w:rPr>
          <w:noProof/>
        </w:rPr>
        <w:fldChar w:fldCharType="begin"/>
      </w:r>
      <w:r>
        <w:rPr>
          <w:noProof/>
        </w:rPr>
        <w:instrText xml:space="preserve"> PAGEREF _Toc13233942 \h </w:instrText>
      </w:r>
      <w:r>
        <w:rPr>
          <w:noProof/>
        </w:rPr>
      </w:r>
      <w:r>
        <w:rPr>
          <w:noProof/>
        </w:rPr>
        <w:fldChar w:fldCharType="separate"/>
      </w:r>
      <w:r w:rsidR="00497E3C">
        <w:rPr>
          <w:noProof/>
        </w:rPr>
        <w:t>220</w:t>
      </w:r>
      <w:r>
        <w:rPr>
          <w:noProof/>
        </w:rPr>
        <w:fldChar w:fldCharType="end"/>
      </w:r>
    </w:p>
    <w:p w14:paraId="706A8B6C" w14:textId="77777777" w:rsidR="005168F5" w:rsidRDefault="005168F5">
      <w:pPr>
        <w:pStyle w:val="TOC5"/>
        <w:rPr>
          <w:rFonts w:asciiTheme="minorHAnsi" w:eastAsiaTheme="minorEastAsia" w:hAnsiTheme="minorHAnsi" w:cstheme="minorBidi"/>
          <w:noProof/>
          <w:kern w:val="0"/>
          <w:sz w:val="22"/>
          <w:szCs w:val="22"/>
        </w:rPr>
      </w:pPr>
      <w:r>
        <w:rPr>
          <w:noProof/>
        </w:rPr>
        <w:t>4.104  Method 3</w:t>
      </w:r>
      <w:r>
        <w:rPr>
          <w:noProof/>
        </w:rPr>
        <w:tab/>
      </w:r>
      <w:r>
        <w:rPr>
          <w:noProof/>
        </w:rPr>
        <w:fldChar w:fldCharType="begin"/>
      </w:r>
      <w:r>
        <w:rPr>
          <w:noProof/>
        </w:rPr>
        <w:instrText xml:space="preserve"> PAGEREF _Toc13233943 \h </w:instrText>
      </w:r>
      <w:r>
        <w:rPr>
          <w:noProof/>
        </w:rPr>
      </w:r>
      <w:r>
        <w:rPr>
          <w:noProof/>
        </w:rPr>
        <w:fldChar w:fldCharType="separate"/>
      </w:r>
      <w:r w:rsidR="00497E3C">
        <w:rPr>
          <w:noProof/>
        </w:rPr>
        <w:t>220</w:t>
      </w:r>
      <w:r>
        <w:rPr>
          <w:noProof/>
        </w:rPr>
        <w:fldChar w:fldCharType="end"/>
      </w:r>
    </w:p>
    <w:p w14:paraId="4273A3F2" w14:textId="77777777" w:rsidR="005168F5" w:rsidRDefault="005168F5">
      <w:pPr>
        <w:pStyle w:val="TOC1"/>
        <w:rPr>
          <w:rFonts w:asciiTheme="minorHAnsi" w:eastAsiaTheme="minorEastAsia" w:hAnsiTheme="minorHAnsi" w:cstheme="minorBidi"/>
          <w:b w:val="0"/>
          <w:noProof/>
          <w:kern w:val="0"/>
          <w:sz w:val="22"/>
          <w:szCs w:val="22"/>
        </w:rPr>
      </w:pPr>
      <w:r>
        <w:rPr>
          <w:noProof/>
        </w:rPr>
        <w:lastRenderedPageBreak/>
        <w:t>Chapter 5—Waste</w:t>
      </w:r>
      <w:r>
        <w:rPr>
          <w:noProof/>
        </w:rPr>
        <w:tab/>
      </w:r>
      <w:r>
        <w:rPr>
          <w:noProof/>
        </w:rPr>
        <w:fldChar w:fldCharType="begin"/>
      </w:r>
      <w:r>
        <w:rPr>
          <w:noProof/>
        </w:rPr>
        <w:instrText xml:space="preserve"> PAGEREF _Toc13233944 \h </w:instrText>
      </w:r>
      <w:r>
        <w:rPr>
          <w:noProof/>
        </w:rPr>
      </w:r>
      <w:r>
        <w:rPr>
          <w:noProof/>
        </w:rPr>
        <w:fldChar w:fldCharType="separate"/>
      </w:r>
      <w:r w:rsidR="00497E3C">
        <w:rPr>
          <w:noProof/>
        </w:rPr>
        <w:t>221</w:t>
      </w:r>
      <w:r>
        <w:rPr>
          <w:noProof/>
        </w:rPr>
        <w:fldChar w:fldCharType="end"/>
      </w:r>
    </w:p>
    <w:p w14:paraId="6965628A" w14:textId="77777777" w:rsidR="005168F5" w:rsidRDefault="005168F5">
      <w:pPr>
        <w:pStyle w:val="TOC2"/>
        <w:rPr>
          <w:rFonts w:asciiTheme="minorHAnsi" w:eastAsiaTheme="minorEastAsia" w:hAnsiTheme="minorHAnsi" w:cstheme="minorBidi"/>
          <w:b w:val="0"/>
          <w:noProof/>
          <w:kern w:val="0"/>
          <w:sz w:val="22"/>
          <w:szCs w:val="22"/>
        </w:rPr>
      </w:pPr>
      <w:r>
        <w:rPr>
          <w:noProof/>
        </w:rPr>
        <w:t>Part 5.1—Preliminary</w:t>
      </w:r>
      <w:r>
        <w:rPr>
          <w:noProof/>
        </w:rPr>
        <w:tab/>
      </w:r>
      <w:r>
        <w:rPr>
          <w:noProof/>
        </w:rPr>
        <w:fldChar w:fldCharType="begin"/>
      </w:r>
      <w:r>
        <w:rPr>
          <w:noProof/>
        </w:rPr>
        <w:instrText xml:space="preserve"> PAGEREF _Toc13233945 \h </w:instrText>
      </w:r>
      <w:r>
        <w:rPr>
          <w:noProof/>
        </w:rPr>
      </w:r>
      <w:r>
        <w:rPr>
          <w:noProof/>
        </w:rPr>
        <w:fldChar w:fldCharType="separate"/>
      </w:r>
      <w:r w:rsidR="00497E3C">
        <w:rPr>
          <w:noProof/>
        </w:rPr>
        <w:t>221</w:t>
      </w:r>
      <w:r>
        <w:rPr>
          <w:noProof/>
        </w:rPr>
        <w:fldChar w:fldCharType="end"/>
      </w:r>
    </w:p>
    <w:p w14:paraId="718229FD" w14:textId="77777777" w:rsidR="005168F5" w:rsidRDefault="005168F5">
      <w:pPr>
        <w:pStyle w:val="TOC5"/>
        <w:rPr>
          <w:rFonts w:asciiTheme="minorHAnsi" w:eastAsiaTheme="minorEastAsia" w:hAnsiTheme="minorHAnsi" w:cstheme="minorBidi"/>
          <w:noProof/>
          <w:kern w:val="0"/>
          <w:sz w:val="22"/>
          <w:szCs w:val="22"/>
        </w:rPr>
      </w:pPr>
      <w:r>
        <w:rPr>
          <w:noProof/>
        </w:rPr>
        <w:t>5.1  Outline of Chapter</w:t>
      </w:r>
      <w:r>
        <w:rPr>
          <w:noProof/>
        </w:rPr>
        <w:tab/>
      </w:r>
      <w:r>
        <w:rPr>
          <w:noProof/>
        </w:rPr>
        <w:fldChar w:fldCharType="begin"/>
      </w:r>
      <w:r>
        <w:rPr>
          <w:noProof/>
        </w:rPr>
        <w:instrText xml:space="preserve"> PAGEREF _Toc13233946 \h </w:instrText>
      </w:r>
      <w:r>
        <w:rPr>
          <w:noProof/>
        </w:rPr>
      </w:r>
      <w:r>
        <w:rPr>
          <w:noProof/>
        </w:rPr>
        <w:fldChar w:fldCharType="separate"/>
      </w:r>
      <w:r w:rsidR="00497E3C">
        <w:rPr>
          <w:noProof/>
        </w:rPr>
        <w:t>221</w:t>
      </w:r>
      <w:r>
        <w:rPr>
          <w:noProof/>
        </w:rPr>
        <w:fldChar w:fldCharType="end"/>
      </w:r>
    </w:p>
    <w:p w14:paraId="2991B14B" w14:textId="77777777" w:rsidR="005168F5" w:rsidRDefault="005168F5">
      <w:pPr>
        <w:pStyle w:val="TOC2"/>
        <w:rPr>
          <w:rFonts w:asciiTheme="minorHAnsi" w:eastAsiaTheme="minorEastAsia" w:hAnsiTheme="minorHAnsi" w:cstheme="minorBidi"/>
          <w:b w:val="0"/>
          <w:noProof/>
          <w:kern w:val="0"/>
          <w:sz w:val="22"/>
          <w:szCs w:val="22"/>
        </w:rPr>
      </w:pPr>
      <w:r>
        <w:rPr>
          <w:noProof/>
        </w:rPr>
        <w:t>Part 5.2—Solid waste disposal on land</w:t>
      </w:r>
      <w:r>
        <w:rPr>
          <w:noProof/>
        </w:rPr>
        <w:tab/>
      </w:r>
      <w:r>
        <w:rPr>
          <w:noProof/>
        </w:rPr>
        <w:fldChar w:fldCharType="begin"/>
      </w:r>
      <w:r>
        <w:rPr>
          <w:noProof/>
        </w:rPr>
        <w:instrText xml:space="preserve"> PAGEREF _Toc13233947 \h </w:instrText>
      </w:r>
      <w:r>
        <w:rPr>
          <w:noProof/>
        </w:rPr>
      </w:r>
      <w:r>
        <w:rPr>
          <w:noProof/>
        </w:rPr>
        <w:fldChar w:fldCharType="separate"/>
      </w:r>
      <w:r w:rsidR="00497E3C">
        <w:rPr>
          <w:noProof/>
        </w:rPr>
        <w:t>222</w:t>
      </w:r>
      <w:r>
        <w:rPr>
          <w:noProof/>
        </w:rPr>
        <w:fldChar w:fldCharType="end"/>
      </w:r>
    </w:p>
    <w:p w14:paraId="554B50C1" w14:textId="77777777" w:rsidR="005168F5" w:rsidRDefault="005168F5">
      <w:pPr>
        <w:pStyle w:val="TOC3"/>
        <w:rPr>
          <w:rFonts w:asciiTheme="minorHAnsi" w:eastAsiaTheme="minorEastAsia" w:hAnsiTheme="minorHAnsi" w:cstheme="minorBidi"/>
          <w:b w:val="0"/>
          <w:noProof/>
          <w:kern w:val="0"/>
          <w:szCs w:val="22"/>
        </w:rPr>
      </w:pPr>
      <w:r>
        <w:rPr>
          <w:noProof/>
        </w:rPr>
        <w:t>Division 5.2.1—Preliminary</w:t>
      </w:r>
      <w:r>
        <w:rPr>
          <w:noProof/>
        </w:rPr>
        <w:tab/>
      </w:r>
      <w:r>
        <w:rPr>
          <w:noProof/>
        </w:rPr>
        <w:fldChar w:fldCharType="begin"/>
      </w:r>
      <w:r>
        <w:rPr>
          <w:noProof/>
        </w:rPr>
        <w:instrText xml:space="preserve"> PAGEREF _Toc13233948 \h </w:instrText>
      </w:r>
      <w:r>
        <w:rPr>
          <w:noProof/>
        </w:rPr>
      </w:r>
      <w:r>
        <w:rPr>
          <w:noProof/>
        </w:rPr>
        <w:fldChar w:fldCharType="separate"/>
      </w:r>
      <w:r w:rsidR="00497E3C">
        <w:rPr>
          <w:noProof/>
        </w:rPr>
        <w:t>222</w:t>
      </w:r>
      <w:r>
        <w:rPr>
          <w:noProof/>
        </w:rPr>
        <w:fldChar w:fldCharType="end"/>
      </w:r>
    </w:p>
    <w:p w14:paraId="4565D308" w14:textId="77777777" w:rsidR="005168F5" w:rsidRDefault="005168F5">
      <w:pPr>
        <w:pStyle w:val="TOC5"/>
        <w:rPr>
          <w:rFonts w:asciiTheme="minorHAnsi" w:eastAsiaTheme="minorEastAsia" w:hAnsiTheme="minorHAnsi" w:cstheme="minorBidi"/>
          <w:noProof/>
          <w:kern w:val="0"/>
          <w:sz w:val="22"/>
          <w:szCs w:val="22"/>
        </w:rPr>
      </w:pPr>
      <w:r>
        <w:rPr>
          <w:noProof/>
        </w:rPr>
        <w:t>5.2  Application</w:t>
      </w:r>
      <w:r>
        <w:rPr>
          <w:noProof/>
        </w:rPr>
        <w:tab/>
      </w:r>
      <w:r>
        <w:rPr>
          <w:noProof/>
        </w:rPr>
        <w:fldChar w:fldCharType="begin"/>
      </w:r>
      <w:r>
        <w:rPr>
          <w:noProof/>
        </w:rPr>
        <w:instrText xml:space="preserve"> PAGEREF _Toc13233949 \h </w:instrText>
      </w:r>
      <w:r>
        <w:rPr>
          <w:noProof/>
        </w:rPr>
      </w:r>
      <w:r>
        <w:rPr>
          <w:noProof/>
        </w:rPr>
        <w:fldChar w:fldCharType="separate"/>
      </w:r>
      <w:r w:rsidR="00497E3C">
        <w:rPr>
          <w:noProof/>
        </w:rPr>
        <w:t>222</w:t>
      </w:r>
      <w:r>
        <w:rPr>
          <w:noProof/>
        </w:rPr>
        <w:fldChar w:fldCharType="end"/>
      </w:r>
    </w:p>
    <w:p w14:paraId="6E5DA85B" w14:textId="77777777" w:rsidR="005168F5" w:rsidRDefault="005168F5">
      <w:pPr>
        <w:pStyle w:val="TOC5"/>
        <w:rPr>
          <w:rFonts w:asciiTheme="minorHAnsi" w:eastAsiaTheme="minorEastAsia" w:hAnsiTheme="minorHAnsi" w:cstheme="minorBidi"/>
          <w:noProof/>
          <w:kern w:val="0"/>
          <w:sz w:val="22"/>
          <w:szCs w:val="22"/>
        </w:rPr>
      </w:pPr>
      <w:r>
        <w:rPr>
          <w:noProof/>
        </w:rPr>
        <w:t>5.3  Available methods</w:t>
      </w:r>
      <w:r>
        <w:rPr>
          <w:noProof/>
        </w:rPr>
        <w:tab/>
      </w:r>
      <w:r>
        <w:rPr>
          <w:noProof/>
        </w:rPr>
        <w:fldChar w:fldCharType="begin"/>
      </w:r>
      <w:r>
        <w:rPr>
          <w:noProof/>
        </w:rPr>
        <w:instrText xml:space="preserve"> PAGEREF _Toc13233950 \h </w:instrText>
      </w:r>
      <w:r>
        <w:rPr>
          <w:noProof/>
        </w:rPr>
      </w:r>
      <w:r>
        <w:rPr>
          <w:noProof/>
        </w:rPr>
        <w:fldChar w:fldCharType="separate"/>
      </w:r>
      <w:r w:rsidR="00497E3C">
        <w:rPr>
          <w:noProof/>
        </w:rPr>
        <w:t>222</w:t>
      </w:r>
      <w:r>
        <w:rPr>
          <w:noProof/>
        </w:rPr>
        <w:fldChar w:fldCharType="end"/>
      </w:r>
    </w:p>
    <w:p w14:paraId="1A108BB8" w14:textId="77777777" w:rsidR="005168F5" w:rsidRDefault="005168F5">
      <w:pPr>
        <w:pStyle w:val="TOC3"/>
        <w:rPr>
          <w:rFonts w:asciiTheme="minorHAnsi" w:eastAsiaTheme="minorEastAsia" w:hAnsiTheme="minorHAnsi" w:cstheme="minorBidi"/>
          <w:b w:val="0"/>
          <w:noProof/>
          <w:kern w:val="0"/>
          <w:szCs w:val="22"/>
        </w:rPr>
      </w:pPr>
      <w:r>
        <w:rPr>
          <w:noProof/>
        </w:rPr>
        <w:t>Division 5.2.2—Method 1—emissions of methane released from landfills</w:t>
      </w:r>
      <w:r>
        <w:rPr>
          <w:noProof/>
        </w:rPr>
        <w:tab/>
      </w:r>
      <w:r>
        <w:rPr>
          <w:noProof/>
        </w:rPr>
        <w:fldChar w:fldCharType="begin"/>
      </w:r>
      <w:r>
        <w:rPr>
          <w:noProof/>
        </w:rPr>
        <w:instrText xml:space="preserve"> PAGEREF _Toc13233951 \h </w:instrText>
      </w:r>
      <w:r>
        <w:rPr>
          <w:noProof/>
        </w:rPr>
      </w:r>
      <w:r>
        <w:rPr>
          <w:noProof/>
        </w:rPr>
        <w:fldChar w:fldCharType="separate"/>
      </w:r>
      <w:r w:rsidR="00497E3C">
        <w:rPr>
          <w:noProof/>
        </w:rPr>
        <w:t>224</w:t>
      </w:r>
      <w:r>
        <w:rPr>
          <w:noProof/>
        </w:rPr>
        <w:fldChar w:fldCharType="end"/>
      </w:r>
    </w:p>
    <w:p w14:paraId="07CCD19D" w14:textId="77777777" w:rsidR="005168F5" w:rsidRDefault="005168F5">
      <w:pPr>
        <w:pStyle w:val="TOC5"/>
        <w:rPr>
          <w:rFonts w:asciiTheme="minorHAnsi" w:eastAsiaTheme="minorEastAsia" w:hAnsiTheme="minorHAnsi" w:cstheme="minorBidi"/>
          <w:noProof/>
          <w:kern w:val="0"/>
          <w:sz w:val="22"/>
          <w:szCs w:val="22"/>
        </w:rPr>
      </w:pPr>
      <w:r>
        <w:rPr>
          <w:noProof/>
        </w:rPr>
        <w:t>5.4  Method 1—methane released from landfills (other than from flaring of methane)</w:t>
      </w:r>
      <w:r>
        <w:rPr>
          <w:noProof/>
        </w:rPr>
        <w:tab/>
      </w:r>
      <w:r>
        <w:rPr>
          <w:noProof/>
        </w:rPr>
        <w:fldChar w:fldCharType="begin"/>
      </w:r>
      <w:r>
        <w:rPr>
          <w:noProof/>
        </w:rPr>
        <w:instrText xml:space="preserve"> PAGEREF _Toc13233952 \h </w:instrText>
      </w:r>
      <w:r>
        <w:rPr>
          <w:noProof/>
        </w:rPr>
      </w:r>
      <w:r>
        <w:rPr>
          <w:noProof/>
        </w:rPr>
        <w:fldChar w:fldCharType="separate"/>
      </w:r>
      <w:r w:rsidR="00497E3C">
        <w:rPr>
          <w:noProof/>
        </w:rPr>
        <w:t>224</w:t>
      </w:r>
      <w:r>
        <w:rPr>
          <w:noProof/>
        </w:rPr>
        <w:fldChar w:fldCharType="end"/>
      </w:r>
    </w:p>
    <w:p w14:paraId="57921740" w14:textId="77777777" w:rsidR="005168F5" w:rsidRDefault="005168F5">
      <w:pPr>
        <w:pStyle w:val="TOC5"/>
        <w:rPr>
          <w:rFonts w:asciiTheme="minorHAnsi" w:eastAsiaTheme="minorEastAsia" w:hAnsiTheme="minorHAnsi" w:cstheme="minorBidi"/>
          <w:noProof/>
          <w:kern w:val="0"/>
          <w:sz w:val="22"/>
          <w:szCs w:val="22"/>
        </w:rPr>
      </w:pPr>
      <w:r>
        <w:rPr>
          <w:noProof/>
        </w:rPr>
        <w:t>5.4A  Estimates for calculating CH</w:t>
      </w:r>
      <w:r w:rsidRPr="00F869F2">
        <w:rPr>
          <w:noProof/>
          <w:vertAlign w:val="subscript"/>
        </w:rPr>
        <w:t>4gen</w:t>
      </w:r>
      <w:r>
        <w:rPr>
          <w:noProof/>
        </w:rPr>
        <w:tab/>
      </w:r>
      <w:r>
        <w:rPr>
          <w:noProof/>
        </w:rPr>
        <w:fldChar w:fldCharType="begin"/>
      </w:r>
      <w:r>
        <w:rPr>
          <w:noProof/>
        </w:rPr>
        <w:instrText xml:space="preserve"> PAGEREF _Toc13233953 \h </w:instrText>
      </w:r>
      <w:r>
        <w:rPr>
          <w:noProof/>
        </w:rPr>
      </w:r>
      <w:r>
        <w:rPr>
          <w:noProof/>
        </w:rPr>
        <w:fldChar w:fldCharType="separate"/>
      </w:r>
      <w:r w:rsidR="00497E3C">
        <w:rPr>
          <w:noProof/>
        </w:rPr>
        <w:t>225</w:t>
      </w:r>
      <w:r>
        <w:rPr>
          <w:noProof/>
        </w:rPr>
        <w:fldChar w:fldCharType="end"/>
      </w:r>
    </w:p>
    <w:p w14:paraId="1A92DA54" w14:textId="77777777" w:rsidR="005168F5" w:rsidRDefault="005168F5">
      <w:pPr>
        <w:pStyle w:val="TOC5"/>
        <w:rPr>
          <w:rFonts w:asciiTheme="minorHAnsi" w:eastAsiaTheme="minorEastAsia" w:hAnsiTheme="minorHAnsi" w:cstheme="minorBidi"/>
          <w:noProof/>
          <w:kern w:val="0"/>
          <w:sz w:val="22"/>
          <w:szCs w:val="22"/>
        </w:rPr>
      </w:pPr>
      <w:r>
        <w:rPr>
          <w:noProof/>
        </w:rPr>
        <w:t>5.4B  Equation—change in quantity of particular opening stock at landfill for calculating CH</w:t>
      </w:r>
      <w:r w:rsidRPr="00F869F2">
        <w:rPr>
          <w:noProof/>
          <w:vertAlign w:val="subscript"/>
        </w:rPr>
        <w:t>4gen</w:t>
      </w:r>
      <w:r>
        <w:rPr>
          <w:noProof/>
        </w:rPr>
        <w:tab/>
      </w:r>
      <w:r>
        <w:rPr>
          <w:noProof/>
        </w:rPr>
        <w:fldChar w:fldCharType="begin"/>
      </w:r>
      <w:r>
        <w:rPr>
          <w:noProof/>
        </w:rPr>
        <w:instrText xml:space="preserve"> PAGEREF _Toc13233954 \h </w:instrText>
      </w:r>
      <w:r>
        <w:rPr>
          <w:noProof/>
        </w:rPr>
      </w:r>
      <w:r>
        <w:rPr>
          <w:noProof/>
        </w:rPr>
        <w:fldChar w:fldCharType="separate"/>
      </w:r>
      <w:r w:rsidR="00497E3C">
        <w:rPr>
          <w:noProof/>
        </w:rPr>
        <w:t>226</w:t>
      </w:r>
      <w:r>
        <w:rPr>
          <w:noProof/>
        </w:rPr>
        <w:fldChar w:fldCharType="end"/>
      </w:r>
    </w:p>
    <w:p w14:paraId="0ECE8775" w14:textId="77777777" w:rsidR="005168F5" w:rsidRDefault="005168F5">
      <w:pPr>
        <w:pStyle w:val="TOC5"/>
        <w:rPr>
          <w:rFonts w:asciiTheme="minorHAnsi" w:eastAsiaTheme="minorEastAsia" w:hAnsiTheme="minorHAnsi" w:cstheme="minorBidi"/>
          <w:noProof/>
          <w:kern w:val="0"/>
          <w:sz w:val="22"/>
          <w:szCs w:val="22"/>
        </w:rPr>
      </w:pPr>
      <w:r>
        <w:rPr>
          <w:noProof/>
        </w:rPr>
        <w:t>5.4C  Equation—quantity of closing stock at landfill in particular reporting year</w:t>
      </w:r>
      <w:r>
        <w:rPr>
          <w:noProof/>
        </w:rPr>
        <w:tab/>
      </w:r>
      <w:r>
        <w:rPr>
          <w:noProof/>
        </w:rPr>
        <w:fldChar w:fldCharType="begin"/>
      </w:r>
      <w:r>
        <w:rPr>
          <w:noProof/>
        </w:rPr>
        <w:instrText xml:space="preserve"> PAGEREF _Toc13233955 \h </w:instrText>
      </w:r>
      <w:r>
        <w:rPr>
          <w:noProof/>
        </w:rPr>
      </w:r>
      <w:r>
        <w:rPr>
          <w:noProof/>
        </w:rPr>
        <w:fldChar w:fldCharType="separate"/>
      </w:r>
      <w:r w:rsidR="00497E3C">
        <w:rPr>
          <w:noProof/>
        </w:rPr>
        <w:t>226</w:t>
      </w:r>
      <w:r>
        <w:rPr>
          <w:noProof/>
        </w:rPr>
        <w:fldChar w:fldCharType="end"/>
      </w:r>
    </w:p>
    <w:p w14:paraId="242F5D29" w14:textId="77777777" w:rsidR="005168F5" w:rsidRDefault="005168F5">
      <w:pPr>
        <w:pStyle w:val="TOC5"/>
        <w:rPr>
          <w:rFonts w:asciiTheme="minorHAnsi" w:eastAsiaTheme="minorEastAsia" w:hAnsiTheme="minorHAnsi" w:cstheme="minorBidi"/>
          <w:noProof/>
          <w:kern w:val="0"/>
          <w:sz w:val="22"/>
          <w:szCs w:val="22"/>
        </w:rPr>
      </w:pPr>
      <w:r>
        <w:rPr>
          <w:noProof/>
        </w:rPr>
        <w:t>5.4D  Equation—quantity of methane generated by landfill for calculating CH</w:t>
      </w:r>
      <w:r w:rsidRPr="00F869F2">
        <w:rPr>
          <w:noProof/>
          <w:vertAlign w:val="subscript"/>
        </w:rPr>
        <w:t>4gen</w:t>
      </w:r>
      <w:r>
        <w:rPr>
          <w:noProof/>
        </w:rPr>
        <w:tab/>
      </w:r>
      <w:r>
        <w:rPr>
          <w:noProof/>
        </w:rPr>
        <w:fldChar w:fldCharType="begin"/>
      </w:r>
      <w:r>
        <w:rPr>
          <w:noProof/>
        </w:rPr>
        <w:instrText xml:space="preserve"> PAGEREF _Toc13233956 \h </w:instrText>
      </w:r>
      <w:r>
        <w:rPr>
          <w:noProof/>
        </w:rPr>
      </w:r>
      <w:r>
        <w:rPr>
          <w:noProof/>
        </w:rPr>
        <w:fldChar w:fldCharType="separate"/>
      </w:r>
      <w:r w:rsidR="00497E3C">
        <w:rPr>
          <w:noProof/>
        </w:rPr>
        <w:t>227</w:t>
      </w:r>
      <w:r>
        <w:rPr>
          <w:noProof/>
        </w:rPr>
        <w:fldChar w:fldCharType="end"/>
      </w:r>
    </w:p>
    <w:p w14:paraId="4815B693" w14:textId="77777777" w:rsidR="005168F5" w:rsidRDefault="005168F5">
      <w:pPr>
        <w:pStyle w:val="TOC5"/>
        <w:rPr>
          <w:rFonts w:asciiTheme="minorHAnsi" w:eastAsiaTheme="minorEastAsia" w:hAnsiTheme="minorHAnsi" w:cstheme="minorBidi"/>
          <w:noProof/>
          <w:kern w:val="0"/>
          <w:sz w:val="22"/>
          <w:szCs w:val="22"/>
        </w:rPr>
      </w:pPr>
      <w:r>
        <w:rPr>
          <w:noProof/>
        </w:rPr>
        <w:t>5.5  Criteria for estimating tonnage of total solid waste</w:t>
      </w:r>
      <w:r>
        <w:rPr>
          <w:noProof/>
        </w:rPr>
        <w:tab/>
      </w:r>
      <w:r>
        <w:rPr>
          <w:noProof/>
        </w:rPr>
        <w:fldChar w:fldCharType="begin"/>
      </w:r>
      <w:r>
        <w:rPr>
          <w:noProof/>
        </w:rPr>
        <w:instrText xml:space="preserve"> PAGEREF _Toc13233957 \h </w:instrText>
      </w:r>
      <w:r>
        <w:rPr>
          <w:noProof/>
        </w:rPr>
      </w:r>
      <w:r>
        <w:rPr>
          <w:noProof/>
        </w:rPr>
        <w:fldChar w:fldCharType="separate"/>
      </w:r>
      <w:r w:rsidR="00497E3C">
        <w:rPr>
          <w:noProof/>
        </w:rPr>
        <w:t>229</w:t>
      </w:r>
      <w:r>
        <w:rPr>
          <w:noProof/>
        </w:rPr>
        <w:fldChar w:fldCharType="end"/>
      </w:r>
    </w:p>
    <w:p w14:paraId="040A0697" w14:textId="77777777" w:rsidR="005168F5" w:rsidRDefault="005168F5">
      <w:pPr>
        <w:pStyle w:val="TOC5"/>
        <w:rPr>
          <w:rFonts w:asciiTheme="minorHAnsi" w:eastAsiaTheme="minorEastAsia" w:hAnsiTheme="minorHAnsi" w:cstheme="minorBidi"/>
          <w:noProof/>
          <w:kern w:val="0"/>
          <w:sz w:val="22"/>
          <w:szCs w:val="22"/>
        </w:rPr>
      </w:pPr>
      <w:r>
        <w:rPr>
          <w:noProof/>
        </w:rPr>
        <w:t>5.6  Criterion A</w:t>
      </w:r>
      <w:r>
        <w:rPr>
          <w:noProof/>
        </w:rPr>
        <w:tab/>
      </w:r>
      <w:r>
        <w:rPr>
          <w:noProof/>
        </w:rPr>
        <w:fldChar w:fldCharType="begin"/>
      </w:r>
      <w:r>
        <w:rPr>
          <w:noProof/>
        </w:rPr>
        <w:instrText xml:space="preserve"> PAGEREF _Toc13233958 \h </w:instrText>
      </w:r>
      <w:r>
        <w:rPr>
          <w:noProof/>
        </w:rPr>
      </w:r>
      <w:r>
        <w:rPr>
          <w:noProof/>
        </w:rPr>
        <w:fldChar w:fldCharType="separate"/>
      </w:r>
      <w:r w:rsidR="00497E3C">
        <w:rPr>
          <w:noProof/>
        </w:rPr>
        <w:t>229</w:t>
      </w:r>
      <w:r>
        <w:rPr>
          <w:noProof/>
        </w:rPr>
        <w:fldChar w:fldCharType="end"/>
      </w:r>
    </w:p>
    <w:p w14:paraId="0FAB7286" w14:textId="77777777" w:rsidR="005168F5" w:rsidRDefault="005168F5">
      <w:pPr>
        <w:pStyle w:val="TOC5"/>
        <w:rPr>
          <w:rFonts w:asciiTheme="minorHAnsi" w:eastAsiaTheme="minorEastAsia" w:hAnsiTheme="minorHAnsi" w:cstheme="minorBidi"/>
          <w:noProof/>
          <w:kern w:val="0"/>
          <w:sz w:val="22"/>
          <w:szCs w:val="22"/>
        </w:rPr>
      </w:pPr>
      <w:r>
        <w:rPr>
          <w:noProof/>
        </w:rPr>
        <w:t>5.7  Criterion AAA</w:t>
      </w:r>
      <w:r>
        <w:rPr>
          <w:noProof/>
        </w:rPr>
        <w:tab/>
      </w:r>
      <w:r>
        <w:rPr>
          <w:noProof/>
        </w:rPr>
        <w:fldChar w:fldCharType="begin"/>
      </w:r>
      <w:r>
        <w:rPr>
          <w:noProof/>
        </w:rPr>
        <w:instrText xml:space="preserve"> PAGEREF _Toc13233959 \h </w:instrText>
      </w:r>
      <w:r>
        <w:rPr>
          <w:noProof/>
        </w:rPr>
      </w:r>
      <w:r>
        <w:rPr>
          <w:noProof/>
        </w:rPr>
        <w:fldChar w:fldCharType="separate"/>
      </w:r>
      <w:r w:rsidR="00497E3C">
        <w:rPr>
          <w:noProof/>
        </w:rPr>
        <w:t>229</w:t>
      </w:r>
      <w:r>
        <w:rPr>
          <w:noProof/>
        </w:rPr>
        <w:fldChar w:fldCharType="end"/>
      </w:r>
    </w:p>
    <w:p w14:paraId="3F5543D7" w14:textId="77777777" w:rsidR="005168F5" w:rsidRDefault="005168F5">
      <w:pPr>
        <w:pStyle w:val="TOC5"/>
        <w:rPr>
          <w:rFonts w:asciiTheme="minorHAnsi" w:eastAsiaTheme="minorEastAsia" w:hAnsiTheme="minorHAnsi" w:cstheme="minorBidi"/>
          <w:noProof/>
          <w:kern w:val="0"/>
          <w:sz w:val="22"/>
          <w:szCs w:val="22"/>
        </w:rPr>
      </w:pPr>
      <w:r>
        <w:rPr>
          <w:noProof/>
        </w:rPr>
        <w:t>5.8  Criterion BBB</w:t>
      </w:r>
      <w:r>
        <w:rPr>
          <w:noProof/>
        </w:rPr>
        <w:tab/>
      </w:r>
      <w:r>
        <w:rPr>
          <w:noProof/>
        </w:rPr>
        <w:fldChar w:fldCharType="begin"/>
      </w:r>
      <w:r>
        <w:rPr>
          <w:noProof/>
        </w:rPr>
        <w:instrText xml:space="preserve"> PAGEREF _Toc13233960 \h </w:instrText>
      </w:r>
      <w:r>
        <w:rPr>
          <w:noProof/>
        </w:rPr>
      </w:r>
      <w:r>
        <w:rPr>
          <w:noProof/>
        </w:rPr>
        <w:fldChar w:fldCharType="separate"/>
      </w:r>
      <w:r w:rsidR="00497E3C">
        <w:rPr>
          <w:noProof/>
        </w:rPr>
        <w:t>230</w:t>
      </w:r>
      <w:r>
        <w:rPr>
          <w:noProof/>
        </w:rPr>
        <w:fldChar w:fldCharType="end"/>
      </w:r>
    </w:p>
    <w:p w14:paraId="45185BAF" w14:textId="77777777" w:rsidR="005168F5" w:rsidRDefault="005168F5">
      <w:pPr>
        <w:pStyle w:val="TOC5"/>
        <w:rPr>
          <w:rFonts w:asciiTheme="minorHAnsi" w:eastAsiaTheme="minorEastAsia" w:hAnsiTheme="minorHAnsi" w:cstheme="minorBidi"/>
          <w:noProof/>
          <w:kern w:val="0"/>
          <w:sz w:val="22"/>
          <w:szCs w:val="22"/>
        </w:rPr>
      </w:pPr>
      <w:r>
        <w:rPr>
          <w:noProof/>
        </w:rPr>
        <w:t>5.9  Composition of solid waste</w:t>
      </w:r>
      <w:r>
        <w:rPr>
          <w:noProof/>
        </w:rPr>
        <w:tab/>
      </w:r>
      <w:r>
        <w:rPr>
          <w:noProof/>
        </w:rPr>
        <w:fldChar w:fldCharType="begin"/>
      </w:r>
      <w:r>
        <w:rPr>
          <w:noProof/>
        </w:rPr>
        <w:instrText xml:space="preserve"> PAGEREF _Toc13233961 \h </w:instrText>
      </w:r>
      <w:r>
        <w:rPr>
          <w:noProof/>
        </w:rPr>
      </w:r>
      <w:r>
        <w:rPr>
          <w:noProof/>
        </w:rPr>
        <w:fldChar w:fldCharType="separate"/>
      </w:r>
      <w:r w:rsidR="00497E3C">
        <w:rPr>
          <w:noProof/>
        </w:rPr>
        <w:t>230</w:t>
      </w:r>
      <w:r>
        <w:rPr>
          <w:noProof/>
        </w:rPr>
        <w:fldChar w:fldCharType="end"/>
      </w:r>
    </w:p>
    <w:p w14:paraId="5282147A" w14:textId="77777777" w:rsidR="005168F5" w:rsidRDefault="005168F5">
      <w:pPr>
        <w:pStyle w:val="TOC5"/>
        <w:rPr>
          <w:rFonts w:asciiTheme="minorHAnsi" w:eastAsiaTheme="minorEastAsia" w:hAnsiTheme="minorHAnsi" w:cstheme="minorBidi"/>
          <w:noProof/>
          <w:kern w:val="0"/>
          <w:sz w:val="22"/>
          <w:szCs w:val="22"/>
        </w:rPr>
      </w:pPr>
      <w:r>
        <w:rPr>
          <w:noProof/>
        </w:rPr>
        <w:t>5.10  General waste streams</w:t>
      </w:r>
      <w:r>
        <w:rPr>
          <w:noProof/>
        </w:rPr>
        <w:tab/>
      </w:r>
      <w:r>
        <w:rPr>
          <w:noProof/>
        </w:rPr>
        <w:fldChar w:fldCharType="begin"/>
      </w:r>
      <w:r>
        <w:rPr>
          <w:noProof/>
        </w:rPr>
        <w:instrText xml:space="preserve"> PAGEREF _Toc13233962 \h </w:instrText>
      </w:r>
      <w:r>
        <w:rPr>
          <w:noProof/>
        </w:rPr>
      </w:r>
      <w:r>
        <w:rPr>
          <w:noProof/>
        </w:rPr>
        <w:fldChar w:fldCharType="separate"/>
      </w:r>
      <w:r w:rsidR="00497E3C">
        <w:rPr>
          <w:noProof/>
        </w:rPr>
        <w:t>230</w:t>
      </w:r>
      <w:r>
        <w:rPr>
          <w:noProof/>
        </w:rPr>
        <w:fldChar w:fldCharType="end"/>
      </w:r>
    </w:p>
    <w:p w14:paraId="6358663C" w14:textId="77777777" w:rsidR="005168F5" w:rsidRDefault="005168F5">
      <w:pPr>
        <w:pStyle w:val="TOC5"/>
        <w:rPr>
          <w:rFonts w:asciiTheme="minorHAnsi" w:eastAsiaTheme="minorEastAsia" w:hAnsiTheme="minorHAnsi" w:cstheme="minorBidi"/>
          <w:noProof/>
          <w:kern w:val="0"/>
          <w:sz w:val="22"/>
          <w:szCs w:val="22"/>
        </w:rPr>
      </w:pPr>
      <w:r>
        <w:rPr>
          <w:noProof/>
        </w:rPr>
        <w:t>5.10A  Homogenous waste streams</w:t>
      </w:r>
      <w:r>
        <w:rPr>
          <w:noProof/>
        </w:rPr>
        <w:tab/>
      </w:r>
      <w:r>
        <w:rPr>
          <w:noProof/>
        </w:rPr>
        <w:fldChar w:fldCharType="begin"/>
      </w:r>
      <w:r>
        <w:rPr>
          <w:noProof/>
        </w:rPr>
        <w:instrText xml:space="preserve"> PAGEREF _Toc13233963 \h </w:instrText>
      </w:r>
      <w:r>
        <w:rPr>
          <w:noProof/>
        </w:rPr>
      </w:r>
      <w:r>
        <w:rPr>
          <w:noProof/>
        </w:rPr>
        <w:fldChar w:fldCharType="separate"/>
      </w:r>
      <w:r w:rsidR="00497E3C">
        <w:rPr>
          <w:noProof/>
        </w:rPr>
        <w:t>232</w:t>
      </w:r>
      <w:r>
        <w:rPr>
          <w:noProof/>
        </w:rPr>
        <w:fldChar w:fldCharType="end"/>
      </w:r>
    </w:p>
    <w:p w14:paraId="5156E470" w14:textId="77777777" w:rsidR="005168F5" w:rsidRDefault="005168F5">
      <w:pPr>
        <w:pStyle w:val="TOC5"/>
        <w:rPr>
          <w:rFonts w:asciiTheme="minorHAnsi" w:eastAsiaTheme="minorEastAsia" w:hAnsiTheme="minorHAnsi" w:cstheme="minorBidi"/>
          <w:noProof/>
          <w:kern w:val="0"/>
          <w:sz w:val="22"/>
          <w:szCs w:val="22"/>
        </w:rPr>
      </w:pPr>
      <w:r>
        <w:rPr>
          <w:noProof/>
        </w:rPr>
        <w:t>5.11  Waste mix types</w:t>
      </w:r>
      <w:r>
        <w:rPr>
          <w:noProof/>
        </w:rPr>
        <w:tab/>
      </w:r>
      <w:r>
        <w:rPr>
          <w:noProof/>
        </w:rPr>
        <w:fldChar w:fldCharType="begin"/>
      </w:r>
      <w:r>
        <w:rPr>
          <w:noProof/>
        </w:rPr>
        <w:instrText xml:space="preserve"> PAGEREF _Toc13233964 \h </w:instrText>
      </w:r>
      <w:r>
        <w:rPr>
          <w:noProof/>
        </w:rPr>
      </w:r>
      <w:r>
        <w:rPr>
          <w:noProof/>
        </w:rPr>
        <w:fldChar w:fldCharType="separate"/>
      </w:r>
      <w:r w:rsidR="00497E3C">
        <w:rPr>
          <w:noProof/>
        </w:rPr>
        <w:t>233</w:t>
      </w:r>
      <w:r>
        <w:rPr>
          <w:noProof/>
        </w:rPr>
        <w:fldChar w:fldCharType="end"/>
      </w:r>
    </w:p>
    <w:p w14:paraId="0D8671F6" w14:textId="77777777" w:rsidR="005168F5" w:rsidRDefault="005168F5">
      <w:pPr>
        <w:pStyle w:val="TOC5"/>
        <w:rPr>
          <w:rFonts w:asciiTheme="minorHAnsi" w:eastAsiaTheme="minorEastAsia" w:hAnsiTheme="minorHAnsi" w:cstheme="minorBidi"/>
          <w:noProof/>
          <w:kern w:val="0"/>
          <w:sz w:val="22"/>
          <w:szCs w:val="22"/>
        </w:rPr>
      </w:pPr>
      <w:r>
        <w:rPr>
          <w:noProof/>
        </w:rPr>
        <w:t>5.11A  Certain waste to be deducted from waste received at landfill when estimating waste disposed in landfill</w:t>
      </w:r>
      <w:r>
        <w:rPr>
          <w:noProof/>
        </w:rPr>
        <w:tab/>
      </w:r>
      <w:r>
        <w:rPr>
          <w:noProof/>
        </w:rPr>
        <w:fldChar w:fldCharType="begin"/>
      </w:r>
      <w:r>
        <w:rPr>
          <w:noProof/>
        </w:rPr>
        <w:instrText xml:space="preserve"> PAGEREF _Toc13233965 \h </w:instrText>
      </w:r>
      <w:r>
        <w:rPr>
          <w:noProof/>
        </w:rPr>
      </w:r>
      <w:r>
        <w:rPr>
          <w:noProof/>
        </w:rPr>
        <w:fldChar w:fldCharType="separate"/>
      </w:r>
      <w:r w:rsidR="00497E3C">
        <w:rPr>
          <w:noProof/>
        </w:rPr>
        <w:t>236</w:t>
      </w:r>
      <w:r>
        <w:rPr>
          <w:noProof/>
        </w:rPr>
        <w:fldChar w:fldCharType="end"/>
      </w:r>
    </w:p>
    <w:p w14:paraId="79CE929A" w14:textId="77777777" w:rsidR="005168F5" w:rsidRDefault="005168F5">
      <w:pPr>
        <w:pStyle w:val="TOC5"/>
        <w:rPr>
          <w:rFonts w:asciiTheme="minorHAnsi" w:eastAsiaTheme="minorEastAsia" w:hAnsiTheme="minorHAnsi" w:cstheme="minorBidi"/>
          <w:noProof/>
          <w:kern w:val="0"/>
          <w:sz w:val="22"/>
          <w:szCs w:val="22"/>
        </w:rPr>
      </w:pPr>
      <w:r>
        <w:rPr>
          <w:noProof/>
        </w:rPr>
        <w:t>5.12  Degradable organic carbon content</w:t>
      </w:r>
      <w:r>
        <w:rPr>
          <w:noProof/>
        </w:rPr>
        <w:tab/>
      </w:r>
      <w:r>
        <w:rPr>
          <w:noProof/>
        </w:rPr>
        <w:fldChar w:fldCharType="begin"/>
      </w:r>
      <w:r>
        <w:rPr>
          <w:noProof/>
        </w:rPr>
        <w:instrText xml:space="preserve"> PAGEREF _Toc13233966 \h </w:instrText>
      </w:r>
      <w:r>
        <w:rPr>
          <w:noProof/>
        </w:rPr>
      </w:r>
      <w:r>
        <w:rPr>
          <w:noProof/>
        </w:rPr>
        <w:fldChar w:fldCharType="separate"/>
      </w:r>
      <w:r w:rsidR="00497E3C">
        <w:rPr>
          <w:noProof/>
        </w:rPr>
        <w:t>236</w:t>
      </w:r>
      <w:r>
        <w:rPr>
          <w:noProof/>
        </w:rPr>
        <w:fldChar w:fldCharType="end"/>
      </w:r>
    </w:p>
    <w:p w14:paraId="04DB0C8B" w14:textId="77777777" w:rsidR="005168F5" w:rsidRDefault="005168F5">
      <w:pPr>
        <w:pStyle w:val="TOC5"/>
        <w:rPr>
          <w:rFonts w:asciiTheme="minorHAnsi" w:eastAsiaTheme="minorEastAsia" w:hAnsiTheme="minorHAnsi" w:cstheme="minorBidi"/>
          <w:noProof/>
          <w:kern w:val="0"/>
          <w:sz w:val="22"/>
          <w:szCs w:val="22"/>
        </w:rPr>
      </w:pPr>
      <w:r>
        <w:rPr>
          <w:noProof/>
        </w:rPr>
        <w:t>5.13  Opening stock of degradable organic carbon for the first reporting period</w:t>
      </w:r>
      <w:r>
        <w:rPr>
          <w:noProof/>
        </w:rPr>
        <w:tab/>
      </w:r>
      <w:r>
        <w:rPr>
          <w:noProof/>
        </w:rPr>
        <w:fldChar w:fldCharType="begin"/>
      </w:r>
      <w:r>
        <w:rPr>
          <w:noProof/>
        </w:rPr>
        <w:instrText xml:space="preserve"> PAGEREF _Toc13233967 \h </w:instrText>
      </w:r>
      <w:r>
        <w:rPr>
          <w:noProof/>
        </w:rPr>
      </w:r>
      <w:r>
        <w:rPr>
          <w:noProof/>
        </w:rPr>
        <w:fldChar w:fldCharType="separate"/>
      </w:r>
      <w:r w:rsidR="00497E3C">
        <w:rPr>
          <w:noProof/>
        </w:rPr>
        <w:t>237</w:t>
      </w:r>
      <w:r>
        <w:rPr>
          <w:noProof/>
        </w:rPr>
        <w:fldChar w:fldCharType="end"/>
      </w:r>
    </w:p>
    <w:p w14:paraId="627CE7DE" w14:textId="77777777" w:rsidR="005168F5" w:rsidRDefault="005168F5">
      <w:pPr>
        <w:pStyle w:val="TOC5"/>
        <w:rPr>
          <w:rFonts w:asciiTheme="minorHAnsi" w:eastAsiaTheme="minorEastAsia" w:hAnsiTheme="minorHAnsi" w:cstheme="minorBidi"/>
          <w:noProof/>
          <w:kern w:val="0"/>
          <w:sz w:val="22"/>
          <w:szCs w:val="22"/>
        </w:rPr>
      </w:pPr>
      <w:r>
        <w:rPr>
          <w:noProof/>
        </w:rPr>
        <w:t>5.14  Methane generation constants—(k values)</w:t>
      </w:r>
      <w:r>
        <w:rPr>
          <w:noProof/>
        </w:rPr>
        <w:tab/>
      </w:r>
      <w:r>
        <w:rPr>
          <w:noProof/>
        </w:rPr>
        <w:fldChar w:fldCharType="begin"/>
      </w:r>
      <w:r>
        <w:rPr>
          <w:noProof/>
        </w:rPr>
        <w:instrText xml:space="preserve"> PAGEREF _Toc13233968 \h </w:instrText>
      </w:r>
      <w:r>
        <w:rPr>
          <w:noProof/>
        </w:rPr>
      </w:r>
      <w:r>
        <w:rPr>
          <w:noProof/>
        </w:rPr>
        <w:fldChar w:fldCharType="separate"/>
      </w:r>
      <w:r w:rsidR="00497E3C">
        <w:rPr>
          <w:noProof/>
        </w:rPr>
        <w:t>238</w:t>
      </w:r>
      <w:r>
        <w:rPr>
          <w:noProof/>
        </w:rPr>
        <w:fldChar w:fldCharType="end"/>
      </w:r>
    </w:p>
    <w:p w14:paraId="6CD81267" w14:textId="77777777" w:rsidR="005168F5" w:rsidRDefault="005168F5">
      <w:pPr>
        <w:pStyle w:val="TOC5"/>
        <w:rPr>
          <w:rFonts w:asciiTheme="minorHAnsi" w:eastAsiaTheme="minorEastAsia" w:hAnsiTheme="minorHAnsi" w:cstheme="minorBidi"/>
          <w:noProof/>
          <w:kern w:val="0"/>
          <w:sz w:val="22"/>
          <w:szCs w:val="22"/>
        </w:rPr>
      </w:pPr>
      <w:r>
        <w:rPr>
          <w:noProof/>
        </w:rPr>
        <w:t>5.14A  Fraction of degradable organic carbon dissimilated (DOC</w:t>
      </w:r>
      <w:r w:rsidRPr="00F869F2">
        <w:rPr>
          <w:noProof/>
          <w:vertAlign w:val="subscript"/>
        </w:rPr>
        <w:t>F</w:t>
      </w:r>
      <w:r>
        <w:rPr>
          <w:noProof/>
        </w:rPr>
        <w:t>)</w:t>
      </w:r>
      <w:r>
        <w:rPr>
          <w:noProof/>
        </w:rPr>
        <w:tab/>
      </w:r>
      <w:r>
        <w:rPr>
          <w:noProof/>
        </w:rPr>
        <w:fldChar w:fldCharType="begin"/>
      </w:r>
      <w:r>
        <w:rPr>
          <w:noProof/>
        </w:rPr>
        <w:instrText xml:space="preserve"> PAGEREF _Toc13233969 \h </w:instrText>
      </w:r>
      <w:r>
        <w:rPr>
          <w:noProof/>
        </w:rPr>
      </w:r>
      <w:r>
        <w:rPr>
          <w:noProof/>
        </w:rPr>
        <w:fldChar w:fldCharType="separate"/>
      </w:r>
      <w:r w:rsidR="00497E3C">
        <w:rPr>
          <w:noProof/>
        </w:rPr>
        <w:t>241</w:t>
      </w:r>
      <w:r>
        <w:rPr>
          <w:noProof/>
        </w:rPr>
        <w:fldChar w:fldCharType="end"/>
      </w:r>
    </w:p>
    <w:p w14:paraId="3846E2B1" w14:textId="77777777" w:rsidR="005168F5" w:rsidRDefault="005168F5">
      <w:pPr>
        <w:pStyle w:val="TOC5"/>
        <w:rPr>
          <w:rFonts w:asciiTheme="minorHAnsi" w:eastAsiaTheme="minorEastAsia" w:hAnsiTheme="minorHAnsi" w:cstheme="minorBidi"/>
          <w:noProof/>
          <w:kern w:val="0"/>
          <w:sz w:val="22"/>
          <w:szCs w:val="22"/>
        </w:rPr>
      </w:pPr>
      <w:r>
        <w:rPr>
          <w:noProof/>
        </w:rPr>
        <w:t>5.14B  Methane correction factor (MCF) for aerobic decomposition</w:t>
      </w:r>
      <w:r>
        <w:rPr>
          <w:noProof/>
        </w:rPr>
        <w:tab/>
      </w:r>
      <w:r>
        <w:rPr>
          <w:noProof/>
        </w:rPr>
        <w:fldChar w:fldCharType="begin"/>
      </w:r>
      <w:r>
        <w:rPr>
          <w:noProof/>
        </w:rPr>
        <w:instrText xml:space="preserve"> PAGEREF _Toc13233970 \h </w:instrText>
      </w:r>
      <w:r>
        <w:rPr>
          <w:noProof/>
        </w:rPr>
      </w:r>
      <w:r>
        <w:rPr>
          <w:noProof/>
        </w:rPr>
        <w:fldChar w:fldCharType="separate"/>
      </w:r>
      <w:r w:rsidR="00497E3C">
        <w:rPr>
          <w:noProof/>
        </w:rPr>
        <w:t>242</w:t>
      </w:r>
      <w:r>
        <w:rPr>
          <w:noProof/>
        </w:rPr>
        <w:fldChar w:fldCharType="end"/>
      </w:r>
    </w:p>
    <w:p w14:paraId="12738216" w14:textId="77777777" w:rsidR="005168F5" w:rsidRDefault="005168F5">
      <w:pPr>
        <w:pStyle w:val="TOC5"/>
        <w:rPr>
          <w:rFonts w:asciiTheme="minorHAnsi" w:eastAsiaTheme="minorEastAsia" w:hAnsiTheme="minorHAnsi" w:cstheme="minorBidi"/>
          <w:noProof/>
          <w:kern w:val="0"/>
          <w:sz w:val="22"/>
          <w:szCs w:val="22"/>
        </w:rPr>
      </w:pPr>
      <w:r>
        <w:rPr>
          <w:noProof/>
        </w:rPr>
        <w:t>5.14C  Fraction by volume generated in landfill gas that is methane (F)</w:t>
      </w:r>
      <w:r>
        <w:rPr>
          <w:noProof/>
        </w:rPr>
        <w:tab/>
      </w:r>
      <w:r>
        <w:rPr>
          <w:noProof/>
        </w:rPr>
        <w:fldChar w:fldCharType="begin"/>
      </w:r>
      <w:r>
        <w:rPr>
          <w:noProof/>
        </w:rPr>
        <w:instrText xml:space="preserve"> PAGEREF _Toc13233971 \h </w:instrText>
      </w:r>
      <w:r>
        <w:rPr>
          <w:noProof/>
        </w:rPr>
      </w:r>
      <w:r>
        <w:rPr>
          <w:noProof/>
        </w:rPr>
        <w:fldChar w:fldCharType="separate"/>
      </w:r>
      <w:r w:rsidR="00497E3C">
        <w:rPr>
          <w:noProof/>
        </w:rPr>
        <w:t>242</w:t>
      </w:r>
      <w:r>
        <w:rPr>
          <w:noProof/>
        </w:rPr>
        <w:fldChar w:fldCharType="end"/>
      </w:r>
    </w:p>
    <w:p w14:paraId="74523B0A" w14:textId="77777777" w:rsidR="005168F5" w:rsidRDefault="005168F5">
      <w:pPr>
        <w:pStyle w:val="TOC5"/>
        <w:rPr>
          <w:rFonts w:asciiTheme="minorHAnsi" w:eastAsiaTheme="minorEastAsia" w:hAnsiTheme="minorHAnsi" w:cstheme="minorBidi"/>
          <w:noProof/>
          <w:kern w:val="0"/>
          <w:sz w:val="22"/>
          <w:szCs w:val="22"/>
        </w:rPr>
      </w:pPr>
      <w:r>
        <w:rPr>
          <w:noProof/>
        </w:rPr>
        <w:t>5.14D  Number of months before methane generation at landfill commences</w:t>
      </w:r>
      <w:r>
        <w:rPr>
          <w:noProof/>
        </w:rPr>
        <w:tab/>
      </w:r>
      <w:r>
        <w:rPr>
          <w:noProof/>
        </w:rPr>
        <w:fldChar w:fldCharType="begin"/>
      </w:r>
      <w:r>
        <w:rPr>
          <w:noProof/>
        </w:rPr>
        <w:instrText xml:space="preserve"> PAGEREF _Toc13233972 \h </w:instrText>
      </w:r>
      <w:r>
        <w:rPr>
          <w:noProof/>
        </w:rPr>
      </w:r>
      <w:r>
        <w:rPr>
          <w:noProof/>
        </w:rPr>
        <w:fldChar w:fldCharType="separate"/>
      </w:r>
      <w:r w:rsidR="00497E3C">
        <w:rPr>
          <w:noProof/>
        </w:rPr>
        <w:t>242</w:t>
      </w:r>
      <w:r>
        <w:rPr>
          <w:noProof/>
        </w:rPr>
        <w:fldChar w:fldCharType="end"/>
      </w:r>
    </w:p>
    <w:p w14:paraId="11AFDF8E" w14:textId="77777777" w:rsidR="005168F5" w:rsidRDefault="005168F5">
      <w:pPr>
        <w:pStyle w:val="TOC3"/>
        <w:rPr>
          <w:rFonts w:asciiTheme="minorHAnsi" w:eastAsiaTheme="minorEastAsia" w:hAnsiTheme="minorHAnsi" w:cstheme="minorBidi"/>
          <w:b w:val="0"/>
          <w:noProof/>
          <w:kern w:val="0"/>
          <w:szCs w:val="22"/>
        </w:rPr>
      </w:pPr>
      <w:r>
        <w:rPr>
          <w:noProof/>
        </w:rPr>
        <w:t>Division 5.2.3—Method 2—emissions of methane released from landfills</w:t>
      </w:r>
      <w:r>
        <w:rPr>
          <w:noProof/>
        </w:rPr>
        <w:tab/>
      </w:r>
      <w:r>
        <w:rPr>
          <w:noProof/>
        </w:rPr>
        <w:fldChar w:fldCharType="begin"/>
      </w:r>
      <w:r>
        <w:rPr>
          <w:noProof/>
        </w:rPr>
        <w:instrText xml:space="preserve"> PAGEREF _Toc13233973 \h </w:instrText>
      </w:r>
      <w:r>
        <w:rPr>
          <w:noProof/>
        </w:rPr>
      </w:r>
      <w:r>
        <w:rPr>
          <w:noProof/>
        </w:rPr>
        <w:fldChar w:fldCharType="separate"/>
      </w:r>
      <w:r w:rsidR="00497E3C">
        <w:rPr>
          <w:noProof/>
        </w:rPr>
        <w:t>243</w:t>
      </w:r>
      <w:r>
        <w:rPr>
          <w:noProof/>
        </w:rPr>
        <w:fldChar w:fldCharType="end"/>
      </w:r>
    </w:p>
    <w:p w14:paraId="231FF3E0"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5.2.3.1—methane released from landfills</w:t>
      </w:r>
      <w:r>
        <w:rPr>
          <w:noProof/>
        </w:rPr>
        <w:tab/>
      </w:r>
      <w:r>
        <w:rPr>
          <w:noProof/>
        </w:rPr>
        <w:fldChar w:fldCharType="begin"/>
      </w:r>
      <w:r>
        <w:rPr>
          <w:noProof/>
        </w:rPr>
        <w:instrText xml:space="preserve"> PAGEREF _Toc13233974 \h </w:instrText>
      </w:r>
      <w:r>
        <w:rPr>
          <w:noProof/>
        </w:rPr>
      </w:r>
      <w:r>
        <w:rPr>
          <w:noProof/>
        </w:rPr>
        <w:fldChar w:fldCharType="separate"/>
      </w:r>
      <w:r w:rsidR="00497E3C">
        <w:rPr>
          <w:noProof/>
        </w:rPr>
        <w:t>243</w:t>
      </w:r>
      <w:r>
        <w:rPr>
          <w:noProof/>
        </w:rPr>
        <w:fldChar w:fldCharType="end"/>
      </w:r>
    </w:p>
    <w:p w14:paraId="1BDB8F13" w14:textId="77777777" w:rsidR="005168F5" w:rsidRDefault="005168F5">
      <w:pPr>
        <w:pStyle w:val="TOC5"/>
        <w:rPr>
          <w:rFonts w:asciiTheme="minorHAnsi" w:eastAsiaTheme="minorEastAsia" w:hAnsiTheme="minorHAnsi" w:cstheme="minorBidi"/>
          <w:noProof/>
          <w:kern w:val="0"/>
          <w:sz w:val="22"/>
          <w:szCs w:val="22"/>
        </w:rPr>
      </w:pPr>
      <w:r>
        <w:rPr>
          <w:noProof/>
        </w:rPr>
        <w:t>5.15  Method 2—methane released by landfill (other than from flaring of methane)</w:t>
      </w:r>
      <w:r>
        <w:rPr>
          <w:noProof/>
        </w:rPr>
        <w:tab/>
      </w:r>
      <w:r>
        <w:rPr>
          <w:noProof/>
        </w:rPr>
        <w:fldChar w:fldCharType="begin"/>
      </w:r>
      <w:r>
        <w:rPr>
          <w:noProof/>
        </w:rPr>
        <w:instrText xml:space="preserve"> PAGEREF _Toc13233975 \h </w:instrText>
      </w:r>
      <w:r>
        <w:rPr>
          <w:noProof/>
        </w:rPr>
      </w:r>
      <w:r>
        <w:rPr>
          <w:noProof/>
        </w:rPr>
        <w:fldChar w:fldCharType="separate"/>
      </w:r>
      <w:r w:rsidR="00497E3C">
        <w:rPr>
          <w:noProof/>
        </w:rPr>
        <w:t>243</w:t>
      </w:r>
      <w:r>
        <w:rPr>
          <w:noProof/>
        </w:rPr>
        <w:fldChar w:fldCharType="end"/>
      </w:r>
    </w:p>
    <w:p w14:paraId="510C964E" w14:textId="77777777" w:rsidR="005168F5" w:rsidRDefault="005168F5">
      <w:pPr>
        <w:pStyle w:val="TOC5"/>
        <w:rPr>
          <w:rFonts w:asciiTheme="minorHAnsi" w:eastAsiaTheme="minorEastAsia" w:hAnsiTheme="minorHAnsi" w:cstheme="minorBidi"/>
          <w:noProof/>
          <w:kern w:val="0"/>
          <w:sz w:val="22"/>
          <w:szCs w:val="22"/>
        </w:rPr>
      </w:pPr>
      <w:r>
        <w:rPr>
          <w:noProof/>
        </w:rPr>
        <w:t>5.15A  Equation—change in quantity of particular opening stock at landfill for calculating CH</w:t>
      </w:r>
      <w:r w:rsidRPr="00F869F2">
        <w:rPr>
          <w:noProof/>
          <w:vertAlign w:val="subscript"/>
        </w:rPr>
        <w:t>4gen</w:t>
      </w:r>
      <w:r>
        <w:rPr>
          <w:noProof/>
        </w:rPr>
        <w:tab/>
      </w:r>
      <w:r>
        <w:rPr>
          <w:noProof/>
        </w:rPr>
        <w:fldChar w:fldCharType="begin"/>
      </w:r>
      <w:r>
        <w:rPr>
          <w:noProof/>
        </w:rPr>
        <w:instrText xml:space="preserve"> PAGEREF _Toc13233976 \h </w:instrText>
      </w:r>
      <w:r>
        <w:rPr>
          <w:noProof/>
        </w:rPr>
      </w:r>
      <w:r>
        <w:rPr>
          <w:noProof/>
        </w:rPr>
        <w:fldChar w:fldCharType="separate"/>
      </w:r>
      <w:r w:rsidR="00497E3C">
        <w:rPr>
          <w:noProof/>
        </w:rPr>
        <w:t>246</w:t>
      </w:r>
      <w:r>
        <w:rPr>
          <w:noProof/>
        </w:rPr>
        <w:fldChar w:fldCharType="end"/>
      </w:r>
    </w:p>
    <w:p w14:paraId="6AEF1656" w14:textId="77777777" w:rsidR="005168F5" w:rsidRDefault="005168F5">
      <w:pPr>
        <w:pStyle w:val="TOC5"/>
        <w:rPr>
          <w:rFonts w:asciiTheme="minorHAnsi" w:eastAsiaTheme="minorEastAsia" w:hAnsiTheme="minorHAnsi" w:cstheme="minorBidi"/>
          <w:noProof/>
          <w:kern w:val="0"/>
          <w:sz w:val="22"/>
          <w:szCs w:val="22"/>
        </w:rPr>
      </w:pPr>
      <w:r>
        <w:rPr>
          <w:noProof/>
        </w:rPr>
        <w:t>5.15B  Equation—quantity of closing stock at landfill in particular reporting year</w:t>
      </w:r>
      <w:r>
        <w:rPr>
          <w:noProof/>
        </w:rPr>
        <w:tab/>
      </w:r>
      <w:r>
        <w:rPr>
          <w:noProof/>
        </w:rPr>
        <w:fldChar w:fldCharType="begin"/>
      </w:r>
      <w:r>
        <w:rPr>
          <w:noProof/>
        </w:rPr>
        <w:instrText xml:space="preserve"> PAGEREF _Toc13233977 \h </w:instrText>
      </w:r>
      <w:r>
        <w:rPr>
          <w:noProof/>
        </w:rPr>
      </w:r>
      <w:r>
        <w:rPr>
          <w:noProof/>
        </w:rPr>
        <w:fldChar w:fldCharType="separate"/>
      </w:r>
      <w:r w:rsidR="00497E3C">
        <w:rPr>
          <w:noProof/>
        </w:rPr>
        <w:t>247</w:t>
      </w:r>
      <w:r>
        <w:rPr>
          <w:noProof/>
        </w:rPr>
        <w:fldChar w:fldCharType="end"/>
      </w:r>
    </w:p>
    <w:p w14:paraId="7138BF93" w14:textId="77777777" w:rsidR="005168F5" w:rsidRDefault="005168F5">
      <w:pPr>
        <w:pStyle w:val="TOC5"/>
        <w:rPr>
          <w:rFonts w:asciiTheme="minorHAnsi" w:eastAsiaTheme="minorEastAsia" w:hAnsiTheme="minorHAnsi" w:cstheme="minorBidi"/>
          <w:noProof/>
          <w:kern w:val="0"/>
          <w:sz w:val="22"/>
          <w:szCs w:val="22"/>
        </w:rPr>
      </w:pPr>
      <w:r>
        <w:rPr>
          <w:noProof/>
        </w:rPr>
        <w:t>5.15C  Equation—collection efficiency limit at landfill in particular reporting year</w:t>
      </w:r>
      <w:r>
        <w:rPr>
          <w:noProof/>
        </w:rPr>
        <w:tab/>
      </w:r>
      <w:r>
        <w:rPr>
          <w:noProof/>
        </w:rPr>
        <w:fldChar w:fldCharType="begin"/>
      </w:r>
      <w:r>
        <w:rPr>
          <w:noProof/>
        </w:rPr>
        <w:instrText xml:space="preserve"> PAGEREF _Toc13233978 \h </w:instrText>
      </w:r>
      <w:r>
        <w:rPr>
          <w:noProof/>
        </w:rPr>
      </w:r>
      <w:r>
        <w:rPr>
          <w:noProof/>
        </w:rPr>
        <w:fldChar w:fldCharType="separate"/>
      </w:r>
      <w:r w:rsidR="00497E3C">
        <w:rPr>
          <w:noProof/>
        </w:rPr>
        <w:t>247</w:t>
      </w:r>
      <w:r>
        <w:rPr>
          <w:noProof/>
        </w:rPr>
        <w:fldChar w:fldCharType="end"/>
      </w:r>
    </w:p>
    <w:p w14:paraId="291A5E9E" w14:textId="77777777" w:rsidR="005168F5" w:rsidRDefault="005168F5">
      <w:pPr>
        <w:pStyle w:val="TOC4"/>
        <w:rPr>
          <w:rFonts w:asciiTheme="minorHAnsi" w:eastAsiaTheme="minorEastAsia" w:hAnsiTheme="minorHAnsi" w:cstheme="minorBidi"/>
          <w:b w:val="0"/>
          <w:noProof/>
          <w:kern w:val="0"/>
          <w:sz w:val="22"/>
          <w:szCs w:val="22"/>
        </w:rPr>
      </w:pPr>
      <w:r>
        <w:rPr>
          <w:noProof/>
        </w:rPr>
        <w:t>Subdivision 5.2.3.2—Requirements for calculating the methane generation constant (k)</w:t>
      </w:r>
      <w:r>
        <w:rPr>
          <w:noProof/>
        </w:rPr>
        <w:tab/>
      </w:r>
      <w:r>
        <w:rPr>
          <w:noProof/>
        </w:rPr>
        <w:fldChar w:fldCharType="begin"/>
      </w:r>
      <w:r>
        <w:rPr>
          <w:noProof/>
        </w:rPr>
        <w:instrText xml:space="preserve"> PAGEREF _Toc13233979 \h </w:instrText>
      </w:r>
      <w:r>
        <w:rPr>
          <w:noProof/>
        </w:rPr>
      </w:r>
      <w:r>
        <w:rPr>
          <w:noProof/>
        </w:rPr>
        <w:fldChar w:fldCharType="separate"/>
      </w:r>
      <w:r w:rsidR="00497E3C">
        <w:rPr>
          <w:noProof/>
        </w:rPr>
        <w:t>248</w:t>
      </w:r>
      <w:r>
        <w:rPr>
          <w:noProof/>
        </w:rPr>
        <w:fldChar w:fldCharType="end"/>
      </w:r>
    </w:p>
    <w:p w14:paraId="73ACA2BF" w14:textId="77777777" w:rsidR="005168F5" w:rsidRDefault="005168F5">
      <w:pPr>
        <w:pStyle w:val="TOC5"/>
        <w:rPr>
          <w:rFonts w:asciiTheme="minorHAnsi" w:eastAsiaTheme="minorEastAsia" w:hAnsiTheme="minorHAnsi" w:cstheme="minorBidi"/>
          <w:noProof/>
          <w:kern w:val="0"/>
          <w:sz w:val="22"/>
          <w:szCs w:val="22"/>
        </w:rPr>
      </w:pPr>
      <w:r>
        <w:rPr>
          <w:noProof/>
        </w:rPr>
        <w:t>5.16  Procedures for selecting representative zone</w:t>
      </w:r>
      <w:r>
        <w:rPr>
          <w:noProof/>
        </w:rPr>
        <w:tab/>
      </w:r>
      <w:r>
        <w:rPr>
          <w:noProof/>
        </w:rPr>
        <w:fldChar w:fldCharType="begin"/>
      </w:r>
      <w:r>
        <w:rPr>
          <w:noProof/>
        </w:rPr>
        <w:instrText xml:space="preserve"> PAGEREF _Toc13233980 \h </w:instrText>
      </w:r>
      <w:r>
        <w:rPr>
          <w:noProof/>
        </w:rPr>
      </w:r>
      <w:r>
        <w:rPr>
          <w:noProof/>
        </w:rPr>
        <w:fldChar w:fldCharType="separate"/>
      </w:r>
      <w:r w:rsidR="00497E3C">
        <w:rPr>
          <w:noProof/>
        </w:rPr>
        <w:t>248</w:t>
      </w:r>
      <w:r>
        <w:rPr>
          <w:noProof/>
        </w:rPr>
        <w:fldChar w:fldCharType="end"/>
      </w:r>
    </w:p>
    <w:p w14:paraId="40EC60F0" w14:textId="77777777" w:rsidR="005168F5" w:rsidRDefault="005168F5">
      <w:pPr>
        <w:pStyle w:val="TOC5"/>
        <w:rPr>
          <w:rFonts w:asciiTheme="minorHAnsi" w:eastAsiaTheme="minorEastAsia" w:hAnsiTheme="minorHAnsi" w:cstheme="minorBidi"/>
          <w:noProof/>
          <w:kern w:val="0"/>
          <w:sz w:val="22"/>
          <w:szCs w:val="22"/>
        </w:rPr>
      </w:pPr>
      <w:r>
        <w:rPr>
          <w:noProof/>
        </w:rPr>
        <w:t>5.17  Site plan—preparation and requirements</w:t>
      </w:r>
      <w:r>
        <w:rPr>
          <w:noProof/>
        </w:rPr>
        <w:tab/>
      </w:r>
      <w:r>
        <w:rPr>
          <w:noProof/>
        </w:rPr>
        <w:fldChar w:fldCharType="begin"/>
      </w:r>
      <w:r>
        <w:rPr>
          <w:noProof/>
        </w:rPr>
        <w:instrText xml:space="preserve"> PAGEREF _Toc13233981 \h </w:instrText>
      </w:r>
      <w:r>
        <w:rPr>
          <w:noProof/>
        </w:rPr>
      </w:r>
      <w:r>
        <w:rPr>
          <w:noProof/>
        </w:rPr>
        <w:fldChar w:fldCharType="separate"/>
      </w:r>
      <w:r w:rsidR="00497E3C">
        <w:rPr>
          <w:noProof/>
        </w:rPr>
        <w:t>248</w:t>
      </w:r>
      <w:r>
        <w:rPr>
          <w:noProof/>
        </w:rPr>
        <w:fldChar w:fldCharType="end"/>
      </w:r>
    </w:p>
    <w:p w14:paraId="474FB23A" w14:textId="77777777" w:rsidR="005168F5" w:rsidRDefault="005168F5">
      <w:pPr>
        <w:pStyle w:val="TOC5"/>
        <w:rPr>
          <w:rFonts w:asciiTheme="minorHAnsi" w:eastAsiaTheme="minorEastAsia" w:hAnsiTheme="minorHAnsi" w:cstheme="minorBidi"/>
          <w:noProof/>
          <w:kern w:val="0"/>
          <w:sz w:val="22"/>
          <w:szCs w:val="22"/>
        </w:rPr>
      </w:pPr>
      <w:r>
        <w:rPr>
          <w:noProof/>
        </w:rPr>
        <w:t>5.17AA  Sub</w:t>
      </w:r>
      <w:r>
        <w:rPr>
          <w:noProof/>
        </w:rPr>
        <w:noBreakHyphen/>
        <w:t>facility zones—maximum number and requirements</w:t>
      </w:r>
      <w:r>
        <w:rPr>
          <w:noProof/>
        </w:rPr>
        <w:tab/>
      </w:r>
      <w:r>
        <w:rPr>
          <w:noProof/>
        </w:rPr>
        <w:fldChar w:fldCharType="begin"/>
      </w:r>
      <w:r>
        <w:rPr>
          <w:noProof/>
        </w:rPr>
        <w:instrText xml:space="preserve"> PAGEREF _Toc13233982 \h </w:instrText>
      </w:r>
      <w:r>
        <w:rPr>
          <w:noProof/>
        </w:rPr>
      </w:r>
      <w:r>
        <w:rPr>
          <w:noProof/>
        </w:rPr>
        <w:fldChar w:fldCharType="separate"/>
      </w:r>
      <w:r w:rsidR="00497E3C">
        <w:rPr>
          <w:noProof/>
        </w:rPr>
        <w:t>248</w:t>
      </w:r>
      <w:r>
        <w:rPr>
          <w:noProof/>
        </w:rPr>
        <w:fldChar w:fldCharType="end"/>
      </w:r>
    </w:p>
    <w:p w14:paraId="57752925" w14:textId="77777777" w:rsidR="005168F5" w:rsidRDefault="005168F5">
      <w:pPr>
        <w:pStyle w:val="TOC5"/>
        <w:rPr>
          <w:rFonts w:asciiTheme="minorHAnsi" w:eastAsiaTheme="minorEastAsia" w:hAnsiTheme="minorHAnsi" w:cstheme="minorBidi"/>
          <w:noProof/>
          <w:kern w:val="0"/>
          <w:sz w:val="22"/>
          <w:szCs w:val="22"/>
        </w:rPr>
      </w:pPr>
      <w:r>
        <w:rPr>
          <w:noProof/>
        </w:rPr>
        <w:t>5.17A  Representative zones—selection and requirements</w:t>
      </w:r>
      <w:r>
        <w:rPr>
          <w:noProof/>
        </w:rPr>
        <w:tab/>
      </w:r>
      <w:r>
        <w:rPr>
          <w:noProof/>
        </w:rPr>
        <w:fldChar w:fldCharType="begin"/>
      </w:r>
      <w:r>
        <w:rPr>
          <w:noProof/>
        </w:rPr>
        <w:instrText xml:space="preserve"> PAGEREF _Toc13233983 \h </w:instrText>
      </w:r>
      <w:r>
        <w:rPr>
          <w:noProof/>
        </w:rPr>
      </w:r>
      <w:r>
        <w:rPr>
          <w:noProof/>
        </w:rPr>
        <w:fldChar w:fldCharType="separate"/>
      </w:r>
      <w:r w:rsidR="00497E3C">
        <w:rPr>
          <w:noProof/>
        </w:rPr>
        <w:t>249</w:t>
      </w:r>
      <w:r>
        <w:rPr>
          <w:noProof/>
        </w:rPr>
        <w:fldChar w:fldCharType="end"/>
      </w:r>
    </w:p>
    <w:p w14:paraId="44B8549F" w14:textId="77777777" w:rsidR="005168F5" w:rsidRDefault="005168F5">
      <w:pPr>
        <w:pStyle w:val="TOC5"/>
        <w:rPr>
          <w:rFonts w:asciiTheme="minorHAnsi" w:eastAsiaTheme="minorEastAsia" w:hAnsiTheme="minorHAnsi" w:cstheme="minorBidi"/>
          <w:noProof/>
          <w:kern w:val="0"/>
          <w:sz w:val="22"/>
          <w:szCs w:val="22"/>
        </w:rPr>
      </w:pPr>
      <w:r>
        <w:rPr>
          <w:noProof/>
        </w:rPr>
        <w:t>5.17B  Independent verification</w:t>
      </w:r>
      <w:r>
        <w:rPr>
          <w:noProof/>
        </w:rPr>
        <w:tab/>
      </w:r>
      <w:r>
        <w:rPr>
          <w:noProof/>
        </w:rPr>
        <w:fldChar w:fldCharType="begin"/>
      </w:r>
      <w:r>
        <w:rPr>
          <w:noProof/>
        </w:rPr>
        <w:instrText xml:space="preserve"> PAGEREF _Toc13233984 \h </w:instrText>
      </w:r>
      <w:r>
        <w:rPr>
          <w:noProof/>
        </w:rPr>
      </w:r>
      <w:r>
        <w:rPr>
          <w:noProof/>
        </w:rPr>
        <w:fldChar w:fldCharType="separate"/>
      </w:r>
      <w:r w:rsidR="00497E3C">
        <w:rPr>
          <w:noProof/>
        </w:rPr>
        <w:t>250</w:t>
      </w:r>
      <w:r>
        <w:rPr>
          <w:noProof/>
        </w:rPr>
        <w:fldChar w:fldCharType="end"/>
      </w:r>
    </w:p>
    <w:p w14:paraId="6E932BFB" w14:textId="77777777" w:rsidR="005168F5" w:rsidRDefault="005168F5">
      <w:pPr>
        <w:pStyle w:val="TOC5"/>
        <w:rPr>
          <w:rFonts w:asciiTheme="minorHAnsi" w:eastAsiaTheme="minorEastAsia" w:hAnsiTheme="minorHAnsi" w:cstheme="minorBidi"/>
          <w:noProof/>
          <w:kern w:val="0"/>
          <w:sz w:val="22"/>
          <w:szCs w:val="22"/>
        </w:rPr>
      </w:pPr>
      <w:r>
        <w:rPr>
          <w:noProof/>
        </w:rPr>
        <w:t>5.17C  Estimation of waste and degradable organic content in representative zone</w:t>
      </w:r>
      <w:r>
        <w:rPr>
          <w:noProof/>
        </w:rPr>
        <w:tab/>
      </w:r>
      <w:r>
        <w:rPr>
          <w:noProof/>
        </w:rPr>
        <w:fldChar w:fldCharType="begin"/>
      </w:r>
      <w:r>
        <w:rPr>
          <w:noProof/>
        </w:rPr>
        <w:instrText xml:space="preserve"> PAGEREF _Toc13233985 \h </w:instrText>
      </w:r>
      <w:r>
        <w:rPr>
          <w:noProof/>
        </w:rPr>
      </w:r>
      <w:r>
        <w:rPr>
          <w:noProof/>
        </w:rPr>
        <w:fldChar w:fldCharType="separate"/>
      </w:r>
      <w:r w:rsidR="00497E3C">
        <w:rPr>
          <w:noProof/>
        </w:rPr>
        <w:t>250</w:t>
      </w:r>
      <w:r>
        <w:rPr>
          <w:noProof/>
        </w:rPr>
        <w:fldChar w:fldCharType="end"/>
      </w:r>
    </w:p>
    <w:p w14:paraId="1F0B1C52" w14:textId="77777777" w:rsidR="005168F5" w:rsidRDefault="005168F5">
      <w:pPr>
        <w:pStyle w:val="TOC5"/>
        <w:rPr>
          <w:rFonts w:asciiTheme="minorHAnsi" w:eastAsiaTheme="minorEastAsia" w:hAnsiTheme="minorHAnsi" w:cstheme="minorBidi"/>
          <w:noProof/>
          <w:kern w:val="0"/>
          <w:sz w:val="22"/>
          <w:szCs w:val="22"/>
        </w:rPr>
      </w:pPr>
      <w:r>
        <w:rPr>
          <w:noProof/>
        </w:rPr>
        <w:t>5.17D  Estimation of gas collected at the representative zone</w:t>
      </w:r>
      <w:r>
        <w:rPr>
          <w:noProof/>
        </w:rPr>
        <w:tab/>
      </w:r>
      <w:r>
        <w:rPr>
          <w:noProof/>
        </w:rPr>
        <w:fldChar w:fldCharType="begin"/>
      </w:r>
      <w:r>
        <w:rPr>
          <w:noProof/>
        </w:rPr>
        <w:instrText xml:space="preserve"> PAGEREF _Toc13233986 \h </w:instrText>
      </w:r>
      <w:r>
        <w:rPr>
          <w:noProof/>
        </w:rPr>
      </w:r>
      <w:r>
        <w:rPr>
          <w:noProof/>
        </w:rPr>
        <w:fldChar w:fldCharType="separate"/>
      </w:r>
      <w:r w:rsidR="00497E3C">
        <w:rPr>
          <w:noProof/>
        </w:rPr>
        <w:t>250</w:t>
      </w:r>
      <w:r>
        <w:rPr>
          <w:noProof/>
        </w:rPr>
        <w:fldChar w:fldCharType="end"/>
      </w:r>
    </w:p>
    <w:p w14:paraId="084A2B11"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5.17E  Estimating methane generated but not collected in the representative zone</w:t>
      </w:r>
      <w:r>
        <w:rPr>
          <w:noProof/>
        </w:rPr>
        <w:tab/>
      </w:r>
      <w:r>
        <w:rPr>
          <w:noProof/>
        </w:rPr>
        <w:fldChar w:fldCharType="begin"/>
      </w:r>
      <w:r>
        <w:rPr>
          <w:noProof/>
        </w:rPr>
        <w:instrText xml:space="preserve"> PAGEREF _Toc13233987 \h </w:instrText>
      </w:r>
      <w:r>
        <w:rPr>
          <w:noProof/>
        </w:rPr>
      </w:r>
      <w:r>
        <w:rPr>
          <w:noProof/>
        </w:rPr>
        <w:fldChar w:fldCharType="separate"/>
      </w:r>
      <w:r w:rsidR="00497E3C">
        <w:rPr>
          <w:noProof/>
        </w:rPr>
        <w:t>251</w:t>
      </w:r>
      <w:r>
        <w:rPr>
          <w:noProof/>
        </w:rPr>
        <w:fldChar w:fldCharType="end"/>
      </w:r>
    </w:p>
    <w:p w14:paraId="2062E446" w14:textId="77777777" w:rsidR="005168F5" w:rsidRDefault="005168F5">
      <w:pPr>
        <w:pStyle w:val="TOC5"/>
        <w:rPr>
          <w:rFonts w:asciiTheme="minorHAnsi" w:eastAsiaTheme="minorEastAsia" w:hAnsiTheme="minorHAnsi" w:cstheme="minorBidi"/>
          <w:noProof/>
          <w:kern w:val="0"/>
          <w:sz w:val="22"/>
          <w:szCs w:val="22"/>
        </w:rPr>
      </w:pPr>
      <w:r>
        <w:rPr>
          <w:noProof/>
        </w:rPr>
        <w:t>5.17F  Walkover survey</w:t>
      </w:r>
      <w:r>
        <w:rPr>
          <w:noProof/>
        </w:rPr>
        <w:tab/>
      </w:r>
      <w:r>
        <w:rPr>
          <w:noProof/>
        </w:rPr>
        <w:fldChar w:fldCharType="begin"/>
      </w:r>
      <w:r>
        <w:rPr>
          <w:noProof/>
        </w:rPr>
        <w:instrText xml:space="preserve"> PAGEREF _Toc13233988 \h </w:instrText>
      </w:r>
      <w:r>
        <w:rPr>
          <w:noProof/>
        </w:rPr>
      </w:r>
      <w:r>
        <w:rPr>
          <w:noProof/>
        </w:rPr>
        <w:fldChar w:fldCharType="separate"/>
      </w:r>
      <w:r w:rsidR="00497E3C">
        <w:rPr>
          <w:noProof/>
        </w:rPr>
        <w:t>251</w:t>
      </w:r>
      <w:r>
        <w:rPr>
          <w:noProof/>
        </w:rPr>
        <w:fldChar w:fldCharType="end"/>
      </w:r>
    </w:p>
    <w:p w14:paraId="0CDC14A5" w14:textId="77777777" w:rsidR="005168F5" w:rsidRDefault="005168F5">
      <w:pPr>
        <w:pStyle w:val="TOC5"/>
        <w:rPr>
          <w:rFonts w:asciiTheme="minorHAnsi" w:eastAsiaTheme="minorEastAsia" w:hAnsiTheme="minorHAnsi" w:cstheme="minorBidi"/>
          <w:noProof/>
          <w:kern w:val="0"/>
          <w:sz w:val="22"/>
          <w:szCs w:val="22"/>
        </w:rPr>
      </w:pPr>
      <w:r>
        <w:rPr>
          <w:noProof/>
        </w:rPr>
        <w:t>5.17G  Installation of flux boxes in representative zone</w:t>
      </w:r>
      <w:r>
        <w:rPr>
          <w:noProof/>
        </w:rPr>
        <w:tab/>
      </w:r>
      <w:r>
        <w:rPr>
          <w:noProof/>
        </w:rPr>
        <w:fldChar w:fldCharType="begin"/>
      </w:r>
      <w:r>
        <w:rPr>
          <w:noProof/>
        </w:rPr>
        <w:instrText xml:space="preserve"> PAGEREF _Toc13233989 \h </w:instrText>
      </w:r>
      <w:r>
        <w:rPr>
          <w:noProof/>
        </w:rPr>
      </w:r>
      <w:r>
        <w:rPr>
          <w:noProof/>
        </w:rPr>
        <w:fldChar w:fldCharType="separate"/>
      </w:r>
      <w:r w:rsidR="00497E3C">
        <w:rPr>
          <w:noProof/>
        </w:rPr>
        <w:t>252</w:t>
      </w:r>
      <w:r>
        <w:rPr>
          <w:noProof/>
        </w:rPr>
        <w:fldChar w:fldCharType="end"/>
      </w:r>
    </w:p>
    <w:p w14:paraId="7210AECB" w14:textId="77777777" w:rsidR="005168F5" w:rsidRDefault="005168F5">
      <w:pPr>
        <w:pStyle w:val="TOC5"/>
        <w:rPr>
          <w:rFonts w:asciiTheme="minorHAnsi" w:eastAsiaTheme="minorEastAsia" w:hAnsiTheme="minorHAnsi" w:cstheme="minorBidi"/>
          <w:noProof/>
          <w:kern w:val="0"/>
          <w:sz w:val="22"/>
          <w:szCs w:val="22"/>
        </w:rPr>
      </w:pPr>
      <w:r>
        <w:rPr>
          <w:noProof/>
        </w:rPr>
        <w:t>5.17H  Flux box measurements</w:t>
      </w:r>
      <w:r>
        <w:rPr>
          <w:noProof/>
        </w:rPr>
        <w:tab/>
      </w:r>
      <w:r>
        <w:rPr>
          <w:noProof/>
        </w:rPr>
        <w:fldChar w:fldCharType="begin"/>
      </w:r>
      <w:r>
        <w:rPr>
          <w:noProof/>
        </w:rPr>
        <w:instrText xml:space="preserve"> PAGEREF _Toc13233990 \h </w:instrText>
      </w:r>
      <w:r>
        <w:rPr>
          <w:noProof/>
        </w:rPr>
      </w:r>
      <w:r>
        <w:rPr>
          <w:noProof/>
        </w:rPr>
        <w:fldChar w:fldCharType="separate"/>
      </w:r>
      <w:r w:rsidR="00497E3C">
        <w:rPr>
          <w:noProof/>
        </w:rPr>
        <w:t>253</w:t>
      </w:r>
      <w:r>
        <w:rPr>
          <w:noProof/>
        </w:rPr>
        <w:fldChar w:fldCharType="end"/>
      </w:r>
    </w:p>
    <w:p w14:paraId="050E8C13" w14:textId="77777777" w:rsidR="005168F5" w:rsidRDefault="005168F5">
      <w:pPr>
        <w:pStyle w:val="TOC5"/>
        <w:rPr>
          <w:rFonts w:asciiTheme="minorHAnsi" w:eastAsiaTheme="minorEastAsia" w:hAnsiTheme="minorHAnsi" w:cstheme="minorBidi"/>
          <w:noProof/>
          <w:kern w:val="0"/>
          <w:sz w:val="22"/>
          <w:szCs w:val="22"/>
        </w:rPr>
      </w:pPr>
      <w:r>
        <w:rPr>
          <w:noProof/>
        </w:rPr>
        <w:t>5.17I  When flux box measurements must be taken</w:t>
      </w:r>
      <w:r>
        <w:rPr>
          <w:noProof/>
        </w:rPr>
        <w:tab/>
      </w:r>
      <w:r>
        <w:rPr>
          <w:noProof/>
        </w:rPr>
        <w:fldChar w:fldCharType="begin"/>
      </w:r>
      <w:r>
        <w:rPr>
          <w:noProof/>
        </w:rPr>
        <w:instrText xml:space="preserve"> PAGEREF _Toc13233991 \h </w:instrText>
      </w:r>
      <w:r>
        <w:rPr>
          <w:noProof/>
        </w:rPr>
      </w:r>
      <w:r>
        <w:rPr>
          <w:noProof/>
        </w:rPr>
        <w:fldChar w:fldCharType="separate"/>
      </w:r>
      <w:r w:rsidR="00497E3C">
        <w:rPr>
          <w:noProof/>
        </w:rPr>
        <w:t>254</w:t>
      </w:r>
      <w:r>
        <w:rPr>
          <w:noProof/>
        </w:rPr>
        <w:fldChar w:fldCharType="end"/>
      </w:r>
    </w:p>
    <w:p w14:paraId="1A205ECA" w14:textId="77777777" w:rsidR="005168F5" w:rsidRDefault="005168F5">
      <w:pPr>
        <w:pStyle w:val="TOC5"/>
        <w:rPr>
          <w:rFonts w:asciiTheme="minorHAnsi" w:eastAsiaTheme="minorEastAsia" w:hAnsiTheme="minorHAnsi" w:cstheme="minorBidi"/>
          <w:noProof/>
          <w:kern w:val="0"/>
          <w:sz w:val="22"/>
          <w:szCs w:val="22"/>
        </w:rPr>
      </w:pPr>
      <w:r>
        <w:rPr>
          <w:noProof/>
        </w:rPr>
        <w:t>5.17J  Restrictions on taking flux box measurements</w:t>
      </w:r>
      <w:r>
        <w:rPr>
          <w:noProof/>
        </w:rPr>
        <w:tab/>
      </w:r>
      <w:r>
        <w:rPr>
          <w:noProof/>
        </w:rPr>
        <w:fldChar w:fldCharType="begin"/>
      </w:r>
      <w:r>
        <w:rPr>
          <w:noProof/>
        </w:rPr>
        <w:instrText xml:space="preserve"> PAGEREF _Toc13233992 \h </w:instrText>
      </w:r>
      <w:r>
        <w:rPr>
          <w:noProof/>
        </w:rPr>
      </w:r>
      <w:r>
        <w:rPr>
          <w:noProof/>
        </w:rPr>
        <w:fldChar w:fldCharType="separate"/>
      </w:r>
      <w:r w:rsidR="00497E3C">
        <w:rPr>
          <w:noProof/>
        </w:rPr>
        <w:t>255</w:t>
      </w:r>
      <w:r>
        <w:rPr>
          <w:noProof/>
        </w:rPr>
        <w:fldChar w:fldCharType="end"/>
      </w:r>
    </w:p>
    <w:p w14:paraId="66E13376" w14:textId="77777777" w:rsidR="005168F5" w:rsidRDefault="005168F5">
      <w:pPr>
        <w:pStyle w:val="TOC5"/>
        <w:rPr>
          <w:rFonts w:asciiTheme="minorHAnsi" w:eastAsiaTheme="minorEastAsia" w:hAnsiTheme="minorHAnsi" w:cstheme="minorBidi"/>
          <w:noProof/>
          <w:kern w:val="0"/>
          <w:sz w:val="22"/>
          <w:szCs w:val="22"/>
        </w:rPr>
      </w:pPr>
      <w:r>
        <w:rPr>
          <w:noProof/>
        </w:rPr>
        <w:t>5.17K  Frequency of measurement</w:t>
      </w:r>
      <w:r>
        <w:rPr>
          <w:noProof/>
        </w:rPr>
        <w:tab/>
      </w:r>
      <w:r>
        <w:rPr>
          <w:noProof/>
        </w:rPr>
        <w:fldChar w:fldCharType="begin"/>
      </w:r>
      <w:r>
        <w:rPr>
          <w:noProof/>
        </w:rPr>
        <w:instrText xml:space="preserve"> PAGEREF _Toc13233993 \h </w:instrText>
      </w:r>
      <w:r>
        <w:rPr>
          <w:noProof/>
        </w:rPr>
      </w:r>
      <w:r>
        <w:rPr>
          <w:noProof/>
        </w:rPr>
        <w:fldChar w:fldCharType="separate"/>
      </w:r>
      <w:r w:rsidR="00497E3C">
        <w:rPr>
          <w:noProof/>
        </w:rPr>
        <w:t>255</w:t>
      </w:r>
      <w:r>
        <w:rPr>
          <w:noProof/>
        </w:rPr>
        <w:fldChar w:fldCharType="end"/>
      </w:r>
    </w:p>
    <w:p w14:paraId="68802C07" w14:textId="77777777" w:rsidR="005168F5" w:rsidRDefault="005168F5">
      <w:pPr>
        <w:pStyle w:val="TOC5"/>
        <w:rPr>
          <w:rFonts w:asciiTheme="minorHAnsi" w:eastAsiaTheme="minorEastAsia" w:hAnsiTheme="minorHAnsi" w:cstheme="minorBidi"/>
          <w:noProof/>
          <w:kern w:val="0"/>
          <w:sz w:val="22"/>
          <w:szCs w:val="22"/>
        </w:rPr>
      </w:pPr>
      <w:r>
        <w:rPr>
          <w:noProof/>
        </w:rPr>
        <w:t>5.17L  Calculating the methane generation constant (</w:t>
      </w:r>
      <w:r w:rsidRPr="00F869F2">
        <w:rPr>
          <w:i/>
          <w:noProof/>
        </w:rPr>
        <w:t>k</w:t>
      </w:r>
      <w:r w:rsidRPr="00F869F2">
        <w:rPr>
          <w:i/>
          <w:noProof/>
          <w:vertAlign w:val="subscript"/>
        </w:rPr>
        <w:t>i</w:t>
      </w:r>
      <w:r>
        <w:rPr>
          <w:noProof/>
        </w:rPr>
        <w:t>) for certain waste mix types</w:t>
      </w:r>
      <w:r>
        <w:rPr>
          <w:noProof/>
        </w:rPr>
        <w:tab/>
      </w:r>
      <w:r>
        <w:rPr>
          <w:noProof/>
        </w:rPr>
        <w:fldChar w:fldCharType="begin"/>
      </w:r>
      <w:r>
        <w:rPr>
          <w:noProof/>
        </w:rPr>
        <w:instrText xml:space="preserve"> PAGEREF _Toc13233994 \h </w:instrText>
      </w:r>
      <w:r>
        <w:rPr>
          <w:noProof/>
        </w:rPr>
      </w:r>
      <w:r>
        <w:rPr>
          <w:noProof/>
        </w:rPr>
        <w:fldChar w:fldCharType="separate"/>
      </w:r>
      <w:r w:rsidR="00497E3C">
        <w:rPr>
          <w:noProof/>
        </w:rPr>
        <w:t>255</w:t>
      </w:r>
      <w:r>
        <w:rPr>
          <w:noProof/>
        </w:rPr>
        <w:fldChar w:fldCharType="end"/>
      </w:r>
    </w:p>
    <w:p w14:paraId="1825F38B" w14:textId="77777777" w:rsidR="005168F5" w:rsidRDefault="005168F5">
      <w:pPr>
        <w:pStyle w:val="TOC3"/>
        <w:rPr>
          <w:rFonts w:asciiTheme="minorHAnsi" w:eastAsiaTheme="minorEastAsia" w:hAnsiTheme="minorHAnsi" w:cstheme="minorBidi"/>
          <w:b w:val="0"/>
          <w:noProof/>
          <w:kern w:val="0"/>
          <w:szCs w:val="22"/>
        </w:rPr>
      </w:pPr>
      <w:r>
        <w:rPr>
          <w:noProof/>
        </w:rPr>
        <w:t>Division 5.2.4—Method 3—emissions of methane released from solid waste at landfills</w:t>
      </w:r>
      <w:r>
        <w:rPr>
          <w:noProof/>
        </w:rPr>
        <w:tab/>
      </w:r>
      <w:r>
        <w:rPr>
          <w:noProof/>
        </w:rPr>
        <w:fldChar w:fldCharType="begin"/>
      </w:r>
      <w:r>
        <w:rPr>
          <w:noProof/>
        </w:rPr>
        <w:instrText xml:space="preserve"> PAGEREF _Toc13233995 \h </w:instrText>
      </w:r>
      <w:r>
        <w:rPr>
          <w:noProof/>
        </w:rPr>
      </w:r>
      <w:r>
        <w:rPr>
          <w:noProof/>
        </w:rPr>
        <w:fldChar w:fldCharType="separate"/>
      </w:r>
      <w:r w:rsidR="00497E3C">
        <w:rPr>
          <w:noProof/>
        </w:rPr>
        <w:t>258</w:t>
      </w:r>
      <w:r>
        <w:rPr>
          <w:noProof/>
        </w:rPr>
        <w:fldChar w:fldCharType="end"/>
      </w:r>
    </w:p>
    <w:p w14:paraId="02FCDDA9" w14:textId="77777777" w:rsidR="005168F5" w:rsidRDefault="005168F5">
      <w:pPr>
        <w:pStyle w:val="TOC5"/>
        <w:rPr>
          <w:rFonts w:asciiTheme="minorHAnsi" w:eastAsiaTheme="minorEastAsia" w:hAnsiTheme="minorHAnsi" w:cstheme="minorBidi"/>
          <w:noProof/>
          <w:kern w:val="0"/>
          <w:sz w:val="22"/>
          <w:szCs w:val="22"/>
        </w:rPr>
      </w:pPr>
      <w:r>
        <w:rPr>
          <w:noProof/>
        </w:rPr>
        <w:t>5.18  Method 3—methane released from solid waste at landfills (other than from flaring of methane)</w:t>
      </w:r>
      <w:r>
        <w:rPr>
          <w:noProof/>
        </w:rPr>
        <w:tab/>
      </w:r>
      <w:r>
        <w:rPr>
          <w:noProof/>
        </w:rPr>
        <w:fldChar w:fldCharType="begin"/>
      </w:r>
      <w:r>
        <w:rPr>
          <w:noProof/>
        </w:rPr>
        <w:instrText xml:space="preserve"> PAGEREF _Toc13233996 \h </w:instrText>
      </w:r>
      <w:r>
        <w:rPr>
          <w:noProof/>
        </w:rPr>
      </w:r>
      <w:r>
        <w:rPr>
          <w:noProof/>
        </w:rPr>
        <w:fldChar w:fldCharType="separate"/>
      </w:r>
      <w:r w:rsidR="00497E3C">
        <w:rPr>
          <w:noProof/>
        </w:rPr>
        <w:t>258</w:t>
      </w:r>
      <w:r>
        <w:rPr>
          <w:noProof/>
        </w:rPr>
        <w:fldChar w:fldCharType="end"/>
      </w:r>
    </w:p>
    <w:p w14:paraId="39D05EC8" w14:textId="77777777" w:rsidR="005168F5" w:rsidRDefault="005168F5">
      <w:pPr>
        <w:pStyle w:val="TOC3"/>
        <w:rPr>
          <w:rFonts w:asciiTheme="minorHAnsi" w:eastAsiaTheme="minorEastAsia" w:hAnsiTheme="minorHAnsi" w:cstheme="minorBidi"/>
          <w:b w:val="0"/>
          <w:noProof/>
          <w:kern w:val="0"/>
          <w:szCs w:val="22"/>
        </w:rPr>
      </w:pPr>
      <w:r>
        <w:rPr>
          <w:noProof/>
        </w:rPr>
        <w:t>Division 5.2.5—Solid waste at landfills—Flaring</w:t>
      </w:r>
      <w:r>
        <w:rPr>
          <w:noProof/>
        </w:rPr>
        <w:tab/>
      </w:r>
      <w:r>
        <w:rPr>
          <w:noProof/>
        </w:rPr>
        <w:fldChar w:fldCharType="begin"/>
      </w:r>
      <w:r>
        <w:rPr>
          <w:noProof/>
        </w:rPr>
        <w:instrText xml:space="preserve"> PAGEREF _Toc13233997 \h </w:instrText>
      </w:r>
      <w:r>
        <w:rPr>
          <w:noProof/>
        </w:rPr>
      </w:r>
      <w:r>
        <w:rPr>
          <w:noProof/>
        </w:rPr>
        <w:fldChar w:fldCharType="separate"/>
      </w:r>
      <w:r w:rsidR="00497E3C">
        <w:rPr>
          <w:noProof/>
        </w:rPr>
        <w:t>259</w:t>
      </w:r>
      <w:r>
        <w:rPr>
          <w:noProof/>
        </w:rPr>
        <w:fldChar w:fldCharType="end"/>
      </w:r>
    </w:p>
    <w:p w14:paraId="09D0F5F4" w14:textId="77777777" w:rsidR="005168F5" w:rsidRDefault="005168F5">
      <w:pPr>
        <w:pStyle w:val="TOC5"/>
        <w:rPr>
          <w:rFonts w:asciiTheme="minorHAnsi" w:eastAsiaTheme="minorEastAsia" w:hAnsiTheme="minorHAnsi" w:cstheme="minorBidi"/>
          <w:noProof/>
          <w:kern w:val="0"/>
          <w:sz w:val="22"/>
          <w:szCs w:val="22"/>
        </w:rPr>
      </w:pPr>
      <w:r>
        <w:rPr>
          <w:noProof/>
        </w:rPr>
        <w:t>5.19  Method 1—landfill gas flared</w:t>
      </w:r>
      <w:r>
        <w:rPr>
          <w:noProof/>
        </w:rPr>
        <w:tab/>
      </w:r>
      <w:r>
        <w:rPr>
          <w:noProof/>
        </w:rPr>
        <w:fldChar w:fldCharType="begin"/>
      </w:r>
      <w:r>
        <w:rPr>
          <w:noProof/>
        </w:rPr>
        <w:instrText xml:space="preserve"> PAGEREF _Toc13233998 \h </w:instrText>
      </w:r>
      <w:r>
        <w:rPr>
          <w:noProof/>
        </w:rPr>
      </w:r>
      <w:r>
        <w:rPr>
          <w:noProof/>
        </w:rPr>
        <w:fldChar w:fldCharType="separate"/>
      </w:r>
      <w:r w:rsidR="00497E3C">
        <w:rPr>
          <w:noProof/>
        </w:rPr>
        <w:t>259</w:t>
      </w:r>
      <w:r>
        <w:rPr>
          <w:noProof/>
        </w:rPr>
        <w:fldChar w:fldCharType="end"/>
      </w:r>
    </w:p>
    <w:p w14:paraId="30784D36" w14:textId="77777777" w:rsidR="005168F5" w:rsidRDefault="005168F5">
      <w:pPr>
        <w:pStyle w:val="TOC5"/>
        <w:rPr>
          <w:rFonts w:asciiTheme="minorHAnsi" w:eastAsiaTheme="minorEastAsia" w:hAnsiTheme="minorHAnsi" w:cstheme="minorBidi"/>
          <w:noProof/>
          <w:kern w:val="0"/>
          <w:sz w:val="22"/>
          <w:szCs w:val="22"/>
        </w:rPr>
      </w:pPr>
      <w:r>
        <w:rPr>
          <w:noProof/>
        </w:rPr>
        <w:t>5.20  Method 2—landfill gas flared</w:t>
      </w:r>
      <w:r>
        <w:rPr>
          <w:noProof/>
        </w:rPr>
        <w:tab/>
      </w:r>
      <w:r>
        <w:rPr>
          <w:noProof/>
        </w:rPr>
        <w:fldChar w:fldCharType="begin"/>
      </w:r>
      <w:r>
        <w:rPr>
          <w:noProof/>
        </w:rPr>
        <w:instrText xml:space="preserve"> PAGEREF _Toc13233999 \h </w:instrText>
      </w:r>
      <w:r>
        <w:rPr>
          <w:noProof/>
        </w:rPr>
      </w:r>
      <w:r>
        <w:rPr>
          <w:noProof/>
        </w:rPr>
        <w:fldChar w:fldCharType="separate"/>
      </w:r>
      <w:r w:rsidR="00497E3C">
        <w:rPr>
          <w:noProof/>
        </w:rPr>
        <w:t>259</w:t>
      </w:r>
      <w:r>
        <w:rPr>
          <w:noProof/>
        </w:rPr>
        <w:fldChar w:fldCharType="end"/>
      </w:r>
    </w:p>
    <w:p w14:paraId="1236D39B" w14:textId="77777777" w:rsidR="005168F5" w:rsidRDefault="005168F5">
      <w:pPr>
        <w:pStyle w:val="TOC5"/>
        <w:rPr>
          <w:rFonts w:asciiTheme="minorHAnsi" w:eastAsiaTheme="minorEastAsia" w:hAnsiTheme="minorHAnsi" w:cstheme="minorBidi"/>
          <w:noProof/>
          <w:kern w:val="0"/>
          <w:sz w:val="22"/>
          <w:szCs w:val="22"/>
        </w:rPr>
      </w:pPr>
      <w:r>
        <w:rPr>
          <w:noProof/>
        </w:rPr>
        <w:t>5.21  Method 3—landfill gas flared</w:t>
      </w:r>
      <w:r>
        <w:rPr>
          <w:noProof/>
        </w:rPr>
        <w:tab/>
      </w:r>
      <w:r>
        <w:rPr>
          <w:noProof/>
        </w:rPr>
        <w:fldChar w:fldCharType="begin"/>
      </w:r>
      <w:r>
        <w:rPr>
          <w:noProof/>
        </w:rPr>
        <w:instrText xml:space="preserve"> PAGEREF _Toc13234000 \h </w:instrText>
      </w:r>
      <w:r>
        <w:rPr>
          <w:noProof/>
        </w:rPr>
      </w:r>
      <w:r>
        <w:rPr>
          <w:noProof/>
        </w:rPr>
        <w:fldChar w:fldCharType="separate"/>
      </w:r>
      <w:r w:rsidR="00497E3C">
        <w:rPr>
          <w:noProof/>
        </w:rPr>
        <w:t>259</w:t>
      </w:r>
      <w:r>
        <w:rPr>
          <w:noProof/>
        </w:rPr>
        <w:fldChar w:fldCharType="end"/>
      </w:r>
    </w:p>
    <w:p w14:paraId="5C60A39E" w14:textId="77777777" w:rsidR="005168F5" w:rsidRDefault="005168F5">
      <w:pPr>
        <w:pStyle w:val="TOC3"/>
        <w:rPr>
          <w:rFonts w:asciiTheme="minorHAnsi" w:eastAsiaTheme="minorEastAsia" w:hAnsiTheme="minorHAnsi" w:cstheme="minorBidi"/>
          <w:b w:val="0"/>
          <w:noProof/>
          <w:kern w:val="0"/>
          <w:szCs w:val="22"/>
        </w:rPr>
      </w:pPr>
      <w:r>
        <w:rPr>
          <w:noProof/>
        </w:rPr>
        <w:t>Division 5.2.6—Biological treatment of solid waste</w:t>
      </w:r>
      <w:r>
        <w:rPr>
          <w:noProof/>
        </w:rPr>
        <w:tab/>
      </w:r>
      <w:r>
        <w:rPr>
          <w:noProof/>
        </w:rPr>
        <w:fldChar w:fldCharType="begin"/>
      </w:r>
      <w:r>
        <w:rPr>
          <w:noProof/>
        </w:rPr>
        <w:instrText xml:space="preserve"> PAGEREF _Toc13234001 \h </w:instrText>
      </w:r>
      <w:r>
        <w:rPr>
          <w:noProof/>
        </w:rPr>
      </w:r>
      <w:r>
        <w:rPr>
          <w:noProof/>
        </w:rPr>
        <w:fldChar w:fldCharType="separate"/>
      </w:r>
      <w:r w:rsidR="00497E3C">
        <w:rPr>
          <w:noProof/>
        </w:rPr>
        <w:t>260</w:t>
      </w:r>
      <w:r>
        <w:rPr>
          <w:noProof/>
        </w:rPr>
        <w:fldChar w:fldCharType="end"/>
      </w:r>
    </w:p>
    <w:p w14:paraId="0271DB17" w14:textId="77777777" w:rsidR="005168F5" w:rsidRDefault="005168F5">
      <w:pPr>
        <w:pStyle w:val="TOC5"/>
        <w:rPr>
          <w:rFonts w:asciiTheme="minorHAnsi" w:eastAsiaTheme="minorEastAsia" w:hAnsiTheme="minorHAnsi" w:cstheme="minorBidi"/>
          <w:noProof/>
          <w:kern w:val="0"/>
          <w:sz w:val="22"/>
          <w:szCs w:val="22"/>
        </w:rPr>
      </w:pPr>
      <w:r>
        <w:rPr>
          <w:noProof/>
        </w:rPr>
        <w:t>5.22  Method 1—emissions of methane and nitrous oxide from biological treatment of solid waste</w:t>
      </w:r>
      <w:r>
        <w:rPr>
          <w:noProof/>
        </w:rPr>
        <w:tab/>
      </w:r>
      <w:r>
        <w:rPr>
          <w:noProof/>
        </w:rPr>
        <w:fldChar w:fldCharType="begin"/>
      </w:r>
      <w:r>
        <w:rPr>
          <w:noProof/>
        </w:rPr>
        <w:instrText xml:space="preserve"> PAGEREF _Toc13234002 \h </w:instrText>
      </w:r>
      <w:r>
        <w:rPr>
          <w:noProof/>
        </w:rPr>
      </w:r>
      <w:r>
        <w:rPr>
          <w:noProof/>
        </w:rPr>
        <w:fldChar w:fldCharType="separate"/>
      </w:r>
      <w:r w:rsidR="00497E3C">
        <w:rPr>
          <w:noProof/>
        </w:rPr>
        <w:t>260</w:t>
      </w:r>
      <w:r>
        <w:rPr>
          <w:noProof/>
        </w:rPr>
        <w:fldChar w:fldCharType="end"/>
      </w:r>
    </w:p>
    <w:p w14:paraId="64EEAA0A" w14:textId="77777777" w:rsidR="005168F5" w:rsidRDefault="005168F5">
      <w:pPr>
        <w:pStyle w:val="TOC5"/>
        <w:rPr>
          <w:rFonts w:asciiTheme="minorHAnsi" w:eastAsiaTheme="minorEastAsia" w:hAnsiTheme="minorHAnsi" w:cstheme="minorBidi"/>
          <w:noProof/>
          <w:kern w:val="0"/>
          <w:sz w:val="22"/>
          <w:szCs w:val="22"/>
        </w:rPr>
      </w:pPr>
      <w:r>
        <w:rPr>
          <w:noProof/>
        </w:rPr>
        <w:t>5.22AA  Method 4—emissions of methane and nitrous oxide from biological treatment of solid waste</w:t>
      </w:r>
      <w:r>
        <w:rPr>
          <w:noProof/>
        </w:rPr>
        <w:tab/>
      </w:r>
      <w:r>
        <w:rPr>
          <w:noProof/>
        </w:rPr>
        <w:fldChar w:fldCharType="begin"/>
      </w:r>
      <w:r>
        <w:rPr>
          <w:noProof/>
        </w:rPr>
        <w:instrText xml:space="preserve"> PAGEREF _Toc13234003 \h </w:instrText>
      </w:r>
      <w:r>
        <w:rPr>
          <w:noProof/>
        </w:rPr>
      </w:r>
      <w:r>
        <w:rPr>
          <w:noProof/>
        </w:rPr>
        <w:fldChar w:fldCharType="separate"/>
      </w:r>
      <w:r w:rsidR="00497E3C">
        <w:rPr>
          <w:noProof/>
        </w:rPr>
        <w:t>260</w:t>
      </w:r>
      <w:r>
        <w:rPr>
          <w:noProof/>
        </w:rPr>
        <w:fldChar w:fldCharType="end"/>
      </w:r>
    </w:p>
    <w:p w14:paraId="32FE33AD" w14:textId="77777777" w:rsidR="005168F5" w:rsidRDefault="005168F5">
      <w:pPr>
        <w:pStyle w:val="TOC3"/>
        <w:rPr>
          <w:rFonts w:asciiTheme="minorHAnsi" w:eastAsiaTheme="minorEastAsia" w:hAnsiTheme="minorHAnsi" w:cstheme="minorBidi"/>
          <w:b w:val="0"/>
          <w:noProof/>
          <w:kern w:val="0"/>
          <w:szCs w:val="22"/>
        </w:rPr>
      </w:pPr>
      <w:r>
        <w:rPr>
          <w:noProof/>
        </w:rPr>
        <w:t>Division 5.2.7—Legacy emissions and non</w:t>
      </w:r>
      <w:r>
        <w:rPr>
          <w:noProof/>
        </w:rPr>
        <w:noBreakHyphen/>
        <w:t>legacy emissions</w:t>
      </w:r>
      <w:r>
        <w:rPr>
          <w:noProof/>
        </w:rPr>
        <w:tab/>
      </w:r>
      <w:r>
        <w:rPr>
          <w:noProof/>
        </w:rPr>
        <w:fldChar w:fldCharType="begin"/>
      </w:r>
      <w:r>
        <w:rPr>
          <w:noProof/>
        </w:rPr>
        <w:instrText xml:space="preserve"> PAGEREF _Toc13234004 \h </w:instrText>
      </w:r>
      <w:r>
        <w:rPr>
          <w:noProof/>
        </w:rPr>
      </w:r>
      <w:r>
        <w:rPr>
          <w:noProof/>
        </w:rPr>
        <w:fldChar w:fldCharType="separate"/>
      </w:r>
      <w:r w:rsidR="00497E3C">
        <w:rPr>
          <w:noProof/>
        </w:rPr>
        <w:t>261</w:t>
      </w:r>
      <w:r>
        <w:rPr>
          <w:noProof/>
        </w:rPr>
        <w:fldChar w:fldCharType="end"/>
      </w:r>
    </w:p>
    <w:p w14:paraId="5D114FDC" w14:textId="77777777" w:rsidR="005168F5" w:rsidRDefault="005168F5">
      <w:pPr>
        <w:pStyle w:val="TOC5"/>
        <w:rPr>
          <w:rFonts w:asciiTheme="minorHAnsi" w:eastAsiaTheme="minorEastAsia" w:hAnsiTheme="minorHAnsi" w:cstheme="minorBidi"/>
          <w:noProof/>
          <w:kern w:val="0"/>
          <w:sz w:val="22"/>
          <w:szCs w:val="22"/>
        </w:rPr>
      </w:pPr>
      <w:r>
        <w:rPr>
          <w:noProof/>
        </w:rPr>
        <w:t>5.22A  Legacy emissions estimated using method 1—sub</w:t>
      </w:r>
      <w:r>
        <w:rPr>
          <w:noProof/>
        </w:rPr>
        <w:noBreakHyphen/>
        <w:t>facility zone options</w:t>
      </w:r>
      <w:r>
        <w:rPr>
          <w:noProof/>
        </w:rPr>
        <w:tab/>
      </w:r>
      <w:r>
        <w:rPr>
          <w:noProof/>
        </w:rPr>
        <w:fldChar w:fldCharType="begin"/>
      </w:r>
      <w:r>
        <w:rPr>
          <w:noProof/>
        </w:rPr>
        <w:instrText xml:space="preserve"> PAGEREF _Toc13234005 \h </w:instrText>
      </w:r>
      <w:r>
        <w:rPr>
          <w:noProof/>
        </w:rPr>
      </w:r>
      <w:r>
        <w:rPr>
          <w:noProof/>
        </w:rPr>
        <w:fldChar w:fldCharType="separate"/>
      </w:r>
      <w:r w:rsidR="00497E3C">
        <w:rPr>
          <w:noProof/>
        </w:rPr>
        <w:t>261</w:t>
      </w:r>
      <w:r>
        <w:rPr>
          <w:noProof/>
        </w:rPr>
        <w:fldChar w:fldCharType="end"/>
      </w:r>
    </w:p>
    <w:p w14:paraId="7C3186DB" w14:textId="77777777" w:rsidR="005168F5" w:rsidRDefault="005168F5">
      <w:pPr>
        <w:pStyle w:val="TOC5"/>
        <w:rPr>
          <w:rFonts w:asciiTheme="minorHAnsi" w:eastAsiaTheme="minorEastAsia" w:hAnsiTheme="minorHAnsi" w:cstheme="minorBidi"/>
          <w:noProof/>
          <w:kern w:val="0"/>
          <w:sz w:val="22"/>
          <w:szCs w:val="22"/>
        </w:rPr>
      </w:pPr>
      <w:r>
        <w:rPr>
          <w:noProof/>
        </w:rPr>
        <w:t>5.22B  Legacy emissions—formula and unit of measurement</w:t>
      </w:r>
      <w:r>
        <w:rPr>
          <w:noProof/>
        </w:rPr>
        <w:tab/>
      </w:r>
      <w:r>
        <w:rPr>
          <w:noProof/>
        </w:rPr>
        <w:fldChar w:fldCharType="begin"/>
      </w:r>
      <w:r>
        <w:rPr>
          <w:noProof/>
        </w:rPr>
        <w:instrText xml:space="preserve"> PAGEREF _Toc13234006 \h </w:instrText>
      </w:r>
      <w:r>
        <w:rPr>
          <w:noProof/>
        </w:rPr>
      </w:r>
      <w:r>
        <w:rPr>
          <w:noProof/>
        </w:rPr>
        <w:fldChar w:fldCharType="separate"/>
      </w:r>
      <w:r w:rsidR="00497E3C">
        <w:rPr>
          <w:noProof/>
        </w:rPr>
        <w:t>261</w:t>
      </w:r>
      <w:r>
        <w:rPr>
          <w:noProof/>
        </w:rPr>
        <w:fldChar w:fldCharType="end"/>
      </w:r>
    </w:p>
    <w:p w14:paraId="130F7AE5" w14:textId="77777777" w:rsidR="005168F5" w:rsidRDefault="005168F5">
      <w:pPr>
        <w:pStyle w:val="TOC5"/>
        <w:rPr>
          <w:rFonts w:asciiTheme="minorHAnsi" w:eastAsiaTheme="minorEastAsia" w:hAnsiTheme="minorHAnsi" w:cstheme="minorBidi"/>
          <w:noProof/>
          <w:kern w:val="0"/>
          <w:sz w:val="22"/>
          <w:szCs w:val="22"/>
        </w:rPr>
      </w:pPr>
      <w:r>
        <w:rPr>
          <w:noProof/>
        </w:rPr>
        <w:t>5.22C  How to estimate quantity of methane captured for combustion from legacy waste for each sub</w:t>
      </w:r>
      <w:r>
        <w:rPr>
          <w:noProof/>
        </w:rPr>
        <w:noBreakHyphen/>
        <w:t>facility zone</w:t>
      </w:r>
      <w:r>
        <w:rPr>
          <w:noProof/>
        </w:rPr>
        <w:tab/>
      </w:r>
      <w:r>
        <w:rPr>
          <w:noProof/>
        </w:rPr>
        <w:fldChar w:fldCharType="begin"/>
      </w:r>
      <w:r>
        <w:rPr>
          <w:noProof/>
        </w:rPr>
        <w:instrText xml:space="preserve"> PAGEREF _Toc13234007 \h </w:instrText>
      </w:r>
      <w:r>
        <w:rPr>
          <w:noProof/>
        </w:rPr>
      </w:r>
      <w:r>
        <w:rPr>
          <w:noProof/>
        </w:rPr>
        <w:fldChar w:fldCharType="separate"/>
      </w:r>
      <w:r w:rsidR="00497E3C">
        <w:rPr>
          <w:noProof/>
        </w:rPr>
        <w:t>262</w:t>
      </w:r>
      <w:r>
        <w:rPr>
          <w:noProof/>
        </w:rPr>
        <w:fldChar w:fldCharType="end"/>
      </w:r>
    </w:p>
    <w:p w14:paraId="53EA5611" w14:textId="77777777" w:rsidR="005168F5" w:rsidRDefault="005168F5">
      <w:pPr>
        <w:pStyle w:val="TOC5"/>
        <w:rPr>
          <w:rFonts w:asciiTheme="minorHAnsi" w:eastAsiaTheme="minorEastAsia" w:hAnsiTheme="minorHAnsi" w:cstheme="minorBidi"/>
          <w:noProof/>
          <w:kern w:val="0"/>
          <w:sz w:val="22"/>
          <w:szCs w:val="22"/>
        </w:rPr>
      </w:pPr>
      <w:r>
        <w:rPr>
          <w:noProof/>
        </w:rPr>
        <w:t>5.22D  How to estimate quantity of methane in landfill gas flared from legacy waste in a sub</w:t>
      </w:r>
      <w:r>
        <w:rPr>
          <w:noProof/>
        </w:rPr>
        <w:noBreakHyphen/>
        <w:t>facility zone</w:t>
      </w:r>
      <w:r>
        <w:rPr>
          <w:noProof/>
        </w:rPr>
        <w:tab/>
      </w:r>
      <w:r>
        <w:rPr>
          <w:noProof/>
        </w:rPr>
        <w:fldChar w:fldCharType="begin"/>
      </w:r>
      <w:r>
        <w:rPr>
          <w:noProof/>
        </w:rPr>
        <w:instrText xml:space="preserve"> PAGEREF _Toc13234008 \h </w:instrText>
      </w:r>
      <w:r>
        <w:rPr>
          <w:noProof/>
        </w:rPr>
      </w:r>
      <w:r>
        <w:rPr>
          <w:noProof/>
        </w:rPr>
        <w:fldChar w:fldCharType="separate"/>
      </w:r>
      <w:r w:rsidR="00497E3C">
        <w:rPr>
          <w:noProof/>
        </w:rPr>
        <w:t>263</w:t>
      </w:r>
      <w:r>
        <w:rPr>
          <w:noProof/>
        </w:rPr>
        <w:fldChar w:fldCharType="end"/>
      </w:r>
    </w:p>
    <w:p w14:paraId="5FF4B0D3" w14:textId="77777777" w:rsidR="005168F5" w:rsidRDefault="005168F5">
      <w:pPr>
        <w:pStyle w:val="TOC5"/>
        <w:rPr>
          <w:rFonts w:asciiTheme="minorHAnsi" w:eastAsiaTheme="minorEastAsia" w:hAnsiTheme="minorHAnsi" w:cstheme="minorBidi"/>
          <w:noProof/>
          <w:kern w:val="0"/>
          <w:sz w:val="22"/>
          <w:szCs w:val="22"/>
        </w:rPr>
      </w:pPr>
      <w:r>
        <w:rPr>
          <w:noProof/>
        </w:rPr>
        <w:t>5.22E  How to estimate quantity of methane captured for transfer out of landfill from legacy waste for each sub</w:t>
      </w:r>
      <w:r>
        <w:rPr>
          <w:noProof/>
        </w:rPr>
        <w:noBreakHyphen/>
        <w:t>facility zone</w:t>
      </w:r>
      <w:r>
        <w:rPr>
          <w:noProof/>
        </w:rPr>
        <w:tab/>
      </w:r>
      <w:r>
        <w:rPr>
          <w:noProof/>
        </w:rPr>
        <w:fldChar w:fldCharType="begin"/>
      </w:r>
      <w:r>
        <w:rPr>
          <w:noProof/>
        </w:rPr>
        <w:instrText xml:space="preserve"> PAGEREF _Toc13234009 \h </w:instrText>
      </w:r>
      <w:r>
        <w:rPr>
          <w:noProof/>
        </w:rPr>
      </w:r>
      <w:r>
        <w:rPr>
          <w:noProof/>
        </w:rPr>
        <w:fldChar w:fldCharType="separate"/>
      </w:r>
      <w:r w:rsidR="00497E3C">
        <w:rPr>
          <w:noProof/>
        </w:rPr>
        <w:t>263</w:t>
      </w:r>
      <w:r>
        <w:rPr>
          <w:noProof/>
        </w:rPr>
        <w:fldChar w:fldCharType="end"/>
      </w:r>
    </w:p>
    <w:p w14:paraId="49308903" w14:textId="77777777" w:rsidR="005168F5" w:rsidRDefault="005168F5">
      <w:pPr>
        <w:pStyle w:val="TOC5"/>
        <w:rPr>
          <w:rFonts w:asciiTheme="minorHAnsi" w:eastAsiaTheme="minorEastAsia" w:hAnsiTheme="minorHAnsi" w:cstheme="minorBidi"/>
          <w:noProof/>
          <w:kern w:val="0"/>
          <w:sz w:val="22"/>
          <w:szCs w:val="22"/>
        </w:rPr>
      </w:pPr>
      <w:r>
        <w:rPr>
          <w:noProof/>
        </w:rPr>
        <w:t>5.22F  How to calculate the quantity of methane generated from legacy waste for a sub</w:t>
      </w:r>
      <w:r>
        <w:rPr>
          <w:noProof/>
        </w:rPr>
        <w:noBreakHyphen/>
        <w:t xml:space="preserve">facility zone </w:t>
      </w:r>
      <w:r w:rsidRPr="00F869F2">
        <w:rPr>
          <w:rFonts w:cs="Arial"/>
          <w:noProof/>
        </w:rPr>
        <w:t>(CH</w:t>
      </w:r>
      <w:r w:rsidRPr="00F869F2">
        <w:rPr>
          <w:rFonts w:cs="Arial"/>
          <w:noProof/>
          <w:vertAlign w:val="subscript"/>
        </w:rPr>
        <w:t>4genlw</w:t>
      </w:r>
      <w:r w:rsidRPr="00F869F2">
        <w:rPr>
          <w:rFonts w:cs="Arial"/>
          <w:noProof/>
        </w:rPr>
        <w:t xml:space="preserve"> </w:t>
      </w:r>
      <w:r w:rsidRPr="00F869F2">
        <w:rPr>
          <w:rFonts w:cs="Arial"/>
          <w:noProof/>
          <w:vertAlign w:val="subscript"/>
        </w:rPr>
        <w:t>z</w:t>
      </w:r>
      <w:r w:rsidRPr="00F869F2">
        <w:rPr>
          <w:rFonts w:cs="Arial"/>
          <w:noProof/>
        </w:rPr>
        <w:t>)</w:t>
      </w:r>
      <w:r>
        <w:rPr>
          <w:noProof/>
        </w:rPr>
        <w:tab/>
      </w:r>
      <w:r>
        <w:rPr>
          <w:noProof/>
        </w:rPr>
        <w:fldChar w:fldCharType="begin"/>
      </w:r>
      <w:r>
        <w:rPr>
          <w:noProof/>
        </w:rPr>
        <w:instrText xml:space="preserve"> PAGEREF _Toc13234010 \h </w:instrText>
      </w:r>
      <w:r>
        <w:rPr>
          <w:noProof/>
        </w:rPr>
      </w:r>
      <w:r>
        <w:rPr>
          <w:noProof/>
        </w:rPr>
        <w:fldChar w:fldCharType="separate"/>
      </w:r>
      <w:r w:rsidR="00497E3C">
        <w:rPr>
          <w:noProof/>
        </w:rPr>
        <w:t>264</w:t>
      </w:r>
      <w:r>
        <w:rPr>
          <w:noProof/>
        </w:rPr>
        <w:fldChar w:fldCharType="end"/>
      </w:r>
    </w:p>
    <w:p w14:paraId="66050351" w14:textId="77777777" w:rsidR="005168F5" w:rsidRDefault="005168F5">
      <w:pPr>
        <w:pStyle w:val="TOC5"/>
        <w:rPr>
          <w:rFonts w:asciiTheme="minorHAnsi" w:eastAsiaTheme="minorEastAsia" w:hAnsiTheme="minorHAnsi" w:cstheme="minorBidi"/>
          <w:noProof/>
          <w:kern w:val="0"/>
          <w:sz w:val="22"/>
          <w:szCs w:val="22"/>
        </w:rPr>
      </w:pPr>
      <w:r>
        <w:rPr>
          <w:noProof/>
        </w:rPr>
        <w:t>5.22G  How to calculate total methane generated from legacy waste</w:t>
      </w:r>
      <w:r>
        <w:rPr>
          <w:noProof/>
        </w:rPr>
        <w:tab/>
      </w:r>
      <w:r>
        <w:rPr>
          <w:noProof/>
        </w:rPr>
        <w:fldChar w:fldCharType="begin"/>
      </w:r>
      <w:r>
        <w:rPr>
          <w:noProof/>
        </w:rPr>
        <w:instrText xml:space="preserve"> PAGEREF _Toc13234011 \h </w:instrText>
      </w:r>
      <w:r>
        <w:rPr>
          <w:noProof/>
        </w:rPr>
      </w:r>
      <w:r>
        <w:rPr>
          <w:noProof/>
        </w:rPr>
        <w:fldChar w:fldCharType="separate"/>
      </w:r>
      <w:r w:rsidR="00497E3C">
        <w:rPr>
          <w:noProof/>
        </w:rPr>
        <w:t>264</w:t>
      </w:r>
      <w:r>
        <w:rPr>
          <w:noProof/>
        </w:rPr>
        <w:fldChar w:fldCharType="end"/>
      </w:r>
    </w:p>
    <w:p w14:paraId="695D2259" w14:textId="77777777" w:rsidR="005168F5" w:rsidRDefault="005168F5">
      <w:pPr>
        <w:pStyle w:val="TOC5"/>
        <w:rPr>
          <w:rFonts w:asciiTheme="minorHAnsi" w:eastAsiaTheme="minorEastAsia" w:hAnsiTheme="minorHAnsi" w:cstheme="minorBidi"/>
          <w:noProof/>
          <w:kern w:val="0"/>
          <w:sz w:val="22"/>
          <w:szCs w:val="22"/>
        </w:rPr>
      </w:pPr>
      <w:r>
        <w:rPr>
          <w:noProof/>
        </w:rPr>
        <w:t>5.22H  How to calculate total methane captured and combusted from methane generated from legacy waste</w:t>
      </w:r>
      <w:r>
        <w:rPr>
          <w:noProof/>
        </w:rPr>
        <w:tab/>
      </w:r>
      <w:r>
        <w:rPr>
          <w:noProof/>
        </w:rPr>
        <w:fldChar w:fldCharType="begin"/>
      </w:r>
      <w:r>
        <w:rPr>
          <w:noProof/>
        </w:rPr>
        <w:instrText xml:space="preserve"> PAGEREF _Toc13234012 \h </w:instrText>
      </w:r>
      <w:r>
        <w:rPr>
          <w:noProof/>
        </w:rPr>
      </w:r>
      <w:r>
        <w:rPr>
          <w:noProof/>
        </w:rPr>
        <w:fldChar w:fldCharType="separate"/>
      </w:r>
      <w:r w:rsidR="00497E3C">
        <w:rPr>
          <w:noProof/>
        </w:rPr>
        <w:t>264</w:t>
      </w:r>
      <w:r>
        <w:rPr>
          <w:noProof/>
        </w:rPr>
        <w:fldChar w:fldCharType="end"/>
      </w:r>
    </w:p>
    <w:p w14:paraId="34FBAE10" w14:textId="77777777" w:rsidR="005168F5" w:rsidRDefault="005168F5">
      <w:pPr>
        <w:pStyle w:val="TOC5"/>
        <w:rPr>
          <w:rFonts w:asciiTheme="minorHAnsi" w:eastAsiaTheme="minorEastAsia" w:hAnsiTheme="minorHAnsi" w:cstheme="minorBidi"/>
          <w:noProof/>
          <w:kern w:val="0"/>
          <w:sz w:val="22"/>
          <w:szCs w:val="22"/>
        </w:rPr>
      </w:pPr>
      <w:r>
        <w:rPr>
          <w:noProof/>
        </w:rPr>
        <w:t>5.22J  How to calculate total methane captured and transferred offsite from methane generated from legacy waste</w:t>
      </w:r>
      <w:r>
        <w:rPr>
          <w:noProof/>
        </w:rPr>
        <w:tab/>
      </w:r>
      <w:r>
        <w:rPr>
          <w:noProof/>
        </w:rPr>
        <w:fldChar w:fldCharType="begin"/>
      </w:r>
      <w:r>
        <w:rPr>
          <w:noProof/>
        </w:rPr>
        <w:instrText xml:space="preserve"> PAGEREF _Toc13234013 \h </w:instrText>
      </w:r>
      <w:r>
        <w:rPr>
          <w:noProof/>
        </w:rPr>
      </w:r>
      <w:r>
        <w:rPr>
          <w:noProof/>
        </w:rPr>
        <w:fldChar w:fldCharType="separate"/>
      </w:r>
      <w:r w:rsidR="00497E3C">
        <w:rPr>
          <w:noProof/>
        </w:rPr>
        <w:t>265</w:t>
      </w:r>
      <w:r>
        <w:rPr>
          <w:noProof/>
        </w:rPr>
        <w:fldChar w:fldCharType="end"/>
      </w:r>
    </w:p>
    <w:p w14:paraId="36516DB6" w14:textId="77777777" w:rsidR="005168F5" w:rsidRDefault="005168F5">
      <w:pPr>
        <w:pStyle w:val="TOC5"/>
        <w:rPr>
          <w:rFonts w:asciiTheme="minorHAnsi" w:eastAsiaTheme="minorEastAsia" w:hAnsiTheme="minorHAnsi" w:cstheme="minorBidi"/>
          <w:noProof/>
          <w:kern w:val="0"/>
          <w:sz w:val="22"/>
          <w:szCs w:val="22"/>
        </w:rPr>
      </w:pPr>
      <w:r>
        <w:rPr>
          <w:noProof/>
        </w:rPr>
        <w:t>5.22K  How to calculate total methane flared from methane generated from legacy waste</w:t>
      </w:r>
      <w:r>
        <w:rPr>
          <w:noProof/>
        </w:rPr>
        <w:tab/>
      </w:r>
      <w:r>
        <w:rPr>
          <w:noProof/>
        </w:rPr>
        <w:fldChar w:fldCharType="begin"/>
      </w:r>
      <w:r>
        <w:rPr>
          <w:noProof/>
        </w:rPr>
        <w:instrText xml:space="preserve"> PAGEREF _Toc13234014 \h </w:instrText>
      </w:r>
      <w:r>
        <w:rPr>
          <w:noProof/>
        </w:rPr>
      </w:r>
      <w:r>
        <w:rPr>
          <w:noProof/>
        </w:rPr>
        <w:fldChar w:fldCharType="separate"/>
      </w:r>
      <w:r w:rsidR="00497E3C">
        <w:rPr>
          <w:noProof/>
        </w:rPr>
        <w:t>265</w:t>
      </w:r>
      <w:r>
        <w:rPr>
          <w:noProof/>
        </w:rPr>
        <w:fldChar w:fldCharType="end"/>
      </w:r>
    </w:p>
    <w:p w14:paraId="6CEAA70C" w14:textId="77777777" w:rsidR="005168F5" w:rsidRDefault="005168F5">
      <w:pPr>
        <w:pStyle w:val="TOC5"/>
        <w:rPr>
          <w:rFonts w:asciiTheme="minorHAnsi" w:eastAsiaTheme="minorEastAsia" w:hAnsiTheme="minorHAnsi" w:cstheme="minorBidi"/>
          <w:noProof/>
          <w:kern w:val="0"/>
          <w:sz w:val="22"/>
          <w:szCs w:val="22"/>
        </w:rPr>
      </w:pPr>
      <w:r>
        <w:rPr>
          <w:noProof/>
        </w:rPr>
        <w:t>5.22L  How to calculate methane generated in landfill gas from non</w:t>
      </w:r>
      <w:r w:rsidRPr="00F869F2">
        <w:rPr>
          <w:i/>
          <w:noProof/>
        </w:rPr>
        <w:noBreakHyphen/>
      </w:r>
      <w:r>
        <w:rPr>
          <w:noProof/>
        </w:rPr>
        <w:t>legacy waste</w:t>
      </w:r>
      <w:r>
        <w:rPr>
          <w:noProof/>
        </w:rPr>
        <w:tab/>
      </w:r>
      <w:r>
        <w:rPr>
          <w:noProof/>
        </w:rPr>
        <w:fldChar w:fldCharType="begin"/>
      </w:r>
      <w:r>
        <w:rPr>
          <w:noProof/>
        </w:rPr>
        <w:instrText xml:space="preserve"> PAGEREF _Toc13234015 \h </w:instrText>
      </w:r>
      <w:r>
        <w:rPr>
          <w:noProof/>
        </w:rPr>
      </w:r>
      <w:r>
        <w:rPr>
          <w:noProof/>
        </w:rPr>
        <w:fldChar w:fldCharType="separate"/>
      </w:r>
      <w:r w:rsidR="00497E3C">
        <w:rPr>
          <w:noProof/>
        </w:rPr>
        <w:t>265</w:t>
      </w:r>
      <w:r>
        <w:rPr>
          <w:noProof/>
        </w:rPr>
        <w:fldChar w:fldCharType="end"/>
      </w:r>
    </w:p>
    <w:p w14:paraId="01175F97" w14:textId="77777777" w:rsidR="005168F5" w:rsidRDefault="005168F5">
      <w:pPr>
        <w:pStyle w:val="TOC5"/>
        <w:rPr>
          <w:rFonts w:asciiTheme="minorHAnsi" w:eastAsiaTheme="minorEastAsia" w:hAnsiTheme="minorHAnsi" w:cstheme="minorBidi"/>
          <w:noProof/>
          <w:kern w:val="0"/>
          <w:sz w:val="22"/>
          <w:szCs w:val="22"/>
        </w:rPr>
      </w:pPr>
      <w:r w:rsidRPr="00F869F2">
        <w:rPr>
          <w:rFonts w:eastAsia="Arial"/>
          <w:noProof/>
        </w:rPr>
        <w:t>5.22M  Calculating amount of total waste deposited at landfill</w:t>
      </w:r>
      <w:r>
        <w:rPr>
          <w:noProof/>
        </w:rPr>
        <w:tab/>
      </w:r>
      <w:r>
        <w:rPr>
          <w:noProof/>
        </w:rPr>
        <w:fldChar w:fldCharType="begin"/>
      </w:r>
      <w:r>
        <w:rPr>
          <w:noProof/>
        </w:rPr>
        <w:instrText xml:space="preserve"> PAGEREF _Toc13234016 \h </w:instrText>
      </w:r>
      <w:r>
        <w:rPr>
          <w:noProof/>
        </w:rPr>
      </w:r>
      <w:r>
        <w:rPr>
          <w:noProof/>
        </w:rPr>
        <w:fldChar w:fldCharType="separate"/>
      </w:r>
      <w:r w:rsidR="00497E3C">
        <w:rPr>
          <w:noProof/>
        </w:rPr>
        <w:t>266</w:t>
      </w:r>
      <w:r>
        <w:rPr>
          <w:noProof/>
        </w:rPr>
        <w:fldChar w:fldCharType="end"/>
      </w:r>
    </w:p>
    <w:p w14:paraId="78BACA71" w14:textId="77777777" w:rsidR="005168F5" w:rsidRDefault="005168F5">
      <w:pPr>
        <w:pStyle w:val="TOC2"/>
        <w:rPr>
          <w:rFonts w:asciiTheme="minorHAnsi" w:eastAsiaTheme="minorEastAsia" w:hAnsiTheme="minorHAnsi" w:cstheme="minorBidi"/>
          <w:b w:val="0"/>
          <w:noProof/>
          <w:kern w:val="0"/>
          <w:sz w:val="22"/>
          <w:szCs w:val="22"/>
        </w:rPr>
      </w:pPr>
      <w:r>
        <w:rPr>
          <w:noProof/>
        </w:rPr>
        <w:t>Part 5.3—Wastewater handling (domestic and commercial)</w:t>
      </w:r>
      <w:r>
        <w:rPr>
          <w:noProof/>
        </w:rPr>
        <w:tab/>
      </w:r>
      <w:r>
        <w:rPr>
          <w:noProof/>
        </w:rPr>
        <w:fldChar w:fldCharType="begin"/>
      </w:r>
      <w:r>
        <w:rPr>
          <w:noProof/>
        </w:rPr>
        <w:instrText xml:space="preserve"> PAGEREF _Toc13234017 \h </w:instrText>
      </w:r>
      <w:r>
        <w:rPr>
          <w:noProof/>
        </w:rPr>
      </w:r>
      <w:r>
        <w:rPr>
          <w:noProof/>
        </w:rPr>
        <w:fldChar w:fldCharType="separate"/>
      </w:r>
      <w:r w:rsidR="00497E3C">
        <w:rPr>
          <w:noProof/>
        </w:rPr>
        <w:t>267</w:t>
      </w:r>
      <w:r>
        <w:rPr>
          <w:noProof/>
        </w:rPr>
        <w:fldChar w:fldCharType="end"/>
      </w:r>
    </w:p>
    <w:p w14:paraId="30F53FCC" w14:textId="77777777" w:rsidR="005168F5" w:rsidRDefault="005168F5">
      <w:pPr>
        <w:pStyle w:val="TOC3"/>
        <w:rPr>
          <w:rFonts w:asciiTheme="minorHAnsi" w:eastAsiaTheme="minorEastAsia" w:hAnsiTheme="minorHAnsi" w:cstheme="minorBidi"/>
          <w:b w:val="0"/>
          <w:noProof/>
          <w:kern w:val="0"/>
          <w:szCs w:val="22"/>
        </w:rPr>
      </w:pPr>
      <w:r>
        <w:rPr>
          <w:noProof/>
        </w:rPr>
        <w:t>Division 5.3.1—Preliminary</w:t>
      </w:r>
      <w:r>
        <w:rPr>
          <w:noProof/>
        </w:rPr>
        <w:tab/>
      </w:r>
      <w:r>
        <w:rPr>
          <w:noProof/>
        </w:rPr>
        <w:fldChar w:fldCharType="begin"/>
      </w:r>
      <w:r>
        <w:rPr>
          <w:noProof/>
        </w:rPr>
        <w:instrText xml:space="preserve"> PAGEREF _Toc13234018 \h </w:instrText>
      </w:r>
      <w:r>
        <w:rPr>
          <w:noProof/>
        </w:rPr>
      </w:r>
      <w:r>
        <w:rPr>
          <w:noProof/>
        </w:rPr>
        <w:fldChar w:fldCharType="separate"/>
      </w:r>
      <w:r w:rsidR="00497E3C">
        <w:rPr>
          <w:noProof/>
        </w:rPr>
        <w:t>267</w:t>
      </w:r>
      <w:r>
        <w:rPr>
          <w:noProof/>
        </w:rPr>
        <w:fldChar w:fldCharType="end"/>
      </w:r>
    </w:p>
    <w:p w14:paraId="4B9D45F5" w14:textId="77777777" w:rsidR="005168F5" w:rsidRDefault="005168F5">
      <w:pPr>
        <w:pStyle w:val="TOC5"/>
        <w:rPr>
          <w:rFonts w:asciiTheme="minorHAnsi" w:eastAsiaTheme="minorEastAsia" w:hAnsiTheme="minorHAnsi" w:cstheme="minorBidi"/>
          <w:noProof/>
          <w:kern w:val="0"/>
          <w:sz w:val="22"/>
          <w:szCs w:val="22"/>
        </w:rPr>
      </w:pPr>
      <w:r>
        <w:rPr>
          <w:noProof/>
        </w:rPr>
        <w:t>5.23  Application</w:t>
      </w:r>
      <w:r>
        <w:rPr>
          <w:noProof/>
        </w:rPr>
        <w:tab/>
      </w:r>
      <w:r>
        <w:rPr>
          <w:noProof/>
        </w:rPr>
        <w:fldChar w:fldCharType="begin"/>
      </w:r>
      <w:r>
        <w:rPr>
          <w:noProof/>
        </w:rPr>
        <w:instrText xml:space="preserve"> PAGEREF _Toc13234019 \h </w:instrText>
      </w:r>
      <w:r>
        <w:rPr>
          <w:noProof/>
        </w:rPr>
      </w:r>
      <w:r>
        <w:rPr>
          <w:noProof/>
        </w:rPr>
        <w:fldChar w:fldCharType="separate"/>
      </w:r>
      <w:r w:rsidR="00497E3C">
        <w:rPr>
          <w:noProof/>
        </w:rPr>
        <w:t>267</w:t>
      </w:r>
      <w:r>
        <w:rPr>
          <w:noProof/>
        </w:rPr>
        <w:fldChar w:fldCharType="end"/>
      </w:r>
    </w:p>
    <w:p w14:paraId="6B91A177" w14:textId="77777777" w:rsidR="005168F5" w:rsidRDefault="005168F5">
      <w:pPr>
        <w:pStyle w:val="TOC5"/>
        <w:rPr>
          <w:rFonts w:asciiTheme="minorHAnsi" w:eastAsiaTheme="minorEastAsia" w:hAnsiTheme="minorHAnsi" w:cstheme="minorBidi"/>
          <w:noProof/>
          <w:kern w:val="0"/>
          <w:sz w:val="22"/>
          <w:szCs w:val="22"/>
        </w:rPr>
      </w:pPr>
      <w:r>
        <w:rPr>
          <w:noProof/>
        </w:rPr>
        <w:t>5.24  Available methods</w:t>
      </w:r>
      <w:r>
        <w:rPr>
          <w:noProof/>
        </w:rPr>
        <w:tab/>
      </w:r>
      <w:r>
        <w:rPr>
          <w:noProof/>
        </w:rPr>
        <w:fldChar w:fldCharType="begin"/>
      </w:r>
      <w:r>
        <w:rPr>
          <w:noProof/>
        </w:rPr>
        <w:instrText xml:space="preserve"> PAGEREF _Toc13234020 \h </w:instrText>
      </w:r>
      <w:r>
        <w:rPr>
          <w:noProof/>
        </w:rPr>
      </w:r>
      <w:r>
        <w:rPr>
          <w:noProof/>
        </w:rPr>
        <w:fldChar w:fldCharType="separate"/>
      </w:r>
      <w:r w:rsidR="00497E3C">
        <w:rPr>
          <w:noProof/>
        </w:rPr>
        <w:t>267</w:t>
      </w:r>
      <w:r>
        <w:rPr>
          <w:noProof/>
        </w:rPr>
        <w:fldChar w:fldCharType="end"/>
      </w:r>
    </w:p>
    <w:p w14:paraId="4CEC4DC9" w14:textId="77777777" w:rsidR="005168F5" w:rsidRDefault="005168F5">
      <w:pPr>
        <w:pStyle w:val="TOC3"/>
        <w:rPr>
          <w:rFonts w:asciiTheme="minorHAnsi" w:eastAsiaTheme="minorEastAsia" w:hAnsiTheme="minorHAnsi" w:cstheme="minorBidi"/>
          <w:b w:val="0"/>
          <w:noProof/>
          <w:kern w:val="0"/>
          <w:szCs w:val="22"/>
        </w:rPr>
      </w:pPr>
      <w:r>
        <w:rPr>
          <w:noProof/>
        </w:rPr>
        <w:lastRenderedPageBreak/>
        <w:t>Division 5.3.2—Method 1—methane released from wastewater handling (domestic and commercial)</w:t>
      </w:r>
      <w:r>
        <w:rPr>
          <w:noProof/>
        </w:rPr>
        <w:tab/>
      </w:r>
      <w:r>
        <w:rPr>
          <w:noProof/>
        </w:rPr>
        <w:fldChar w:fldCharType="begin"/>
      </w:r>
      <w:r>
        <w:rPr>
          <w:noProof/>
        </w:rPr>
        <w:instrText xml:space="preserve"> PAGEREF _Toc13234021 \h </w:instrText>
      </w:r>
      <w:r>
        <w:rPr>
          <w:noProof/>
        </w:rPr>
      </w:r>
      <w:r>
        <w:rPr>
          <w:noProof/>
        </w:rPr>
        <w:fldChar w:fldCharType="separate"/>
      </w:r>
      <w:r w:rsidR="00497E3C">
        <w:rPr>
          <w:noProof/>
        </w:rPr>
        <w:t>268</w:t>
      </w:r>
      <w:r>
        <w:rPr>
          <w:noProof/>
        </w:rPr>
        <w:fldChar w:fldCharType="end"/>
      </w:r>
    </w:p>
    <w:p w14:paraId="20710617" w14:textId="77777777" w:rsidR="005168F5" w:rsidRDefault="005168F5">
      <w:pPr>
        <w:pStyle w:val="TOC5"/>
        <w:rPr>
          <w:rFonts w:asciiTheme="minorHAnsi" w:eastAsiaTheme="minorEastAsia" w:hAnsiTheme="minorHAnsi" w:cstheme="minorBidi"/>
          <w:noProof/>
          <w:kern w:val="0"/>
          <w:sz w:val="22"/>
          <w:szCs w:val="22"/>
        </w:rPr>
      </w:pPr>
      <w:r>
        <w:rPr>
          <w:noProof/>
        </w:rPr>
        <w:t>5.25  Method 1—methane released from wastewater handling (domestic and commercial)</w:t>
      </w:r>
      <w:r>
        <w:rPr>
          <w:noProof/>
        </w:rPr>
        <w:tab/>
      </w:r>
      <w:r>
        <w:rPr>
          <w:noProof/>
        </w:rPr>
        <w:fldChar w:fldCharType="begin"/>
      </w:r>
      <w:r>
        <w:rPr>
          <w:noProof/>
        </w:rPr>
        <w:instrText xml:space="preserve"> PAGEREF _Toc13234022 \h </w:instrText>
      </w:r>
      <w:r>
        <w:rPr>
          <w:noProof/>
        </w:rPr>
      </w:r>
      <w:r>
        <w:rPr>
          <w:noProof/>
        </w:rPr>
        <w:fldChar w:fldCharType="separate"/>
      </w:r>
      <w:r w:rsidR="00497E3C">
        <w:rPr>
          <w:noProof/>
        </w:rPr>
        <w:t>268</w:t>
      </w:r>
      <w:r>
        <w:rPr>
          <w:noProof/>
        </w:rPr>
        <w:fldChar w:fldCharType="end"/>
      </w:r>
    </w:p>
    <w:p w14:paraId="2B0373AD" w14:textId="77777777" w:rsidR="005168F5" w:rsidRDefault="005168F5">
      <w:pPr>
        <w:pStyle w:val="TOC3"/>
        <w:rPr>
          <w:rFonts w:asciiTheme="minorHAnsi" w:eastAsiaTheme="minorEastAsia" w:hAnsiTheme="minorHAnsi" w:cstheme="minorBidi"/>
          <w:b w:val="0"/>
          <w:noProof/>
          <w:kern w:val="0"/>
          <w:szCs w:val="22"/>
        </w:rPr>
      </w:pPr>
      <w:r>
        <w:rPr>
          <w:noProof/>
        </w:rPr>
        <w:t>Division 5.3.3—Method 2—methane released from wastewater handling (domestic and commercial)</w:t>
      </w:r>
      <w:r>
        <w:rPr>
          <w:noProof/>
        </w:rPr>
        <w:tab/>
      </w:r>
      <w:r>
        <w:rPr>
          <w:noProof/>
        </w:rPr>
        <w:fldChar w:fldCharType="begin"/>
      </w:r>
      <w:r>
        <w:rPr>
          <w:noProof/>
        </w:rPr>
        <w:instrText xml:space="preserve"> PAGEREF _Toc13234023 \h </w:instrText>
      </w:r>
      <w:r>
        <w:rPr>
          <w:noProof/>
        </w:rPr>
      </w:r>
      <w:r>
        <w:rPr>
          <w:noProof/>
        </w:rPr>
        <w:fldChar w:fldCharType="separate"/>
      </w:r>
      <w:r w:rsidR="00497E3C">
        <w:rPr>
          <w:noProof/>
        </w:rPr>
        <w:t>272</w:t>
      </w:r>
      <w:r>
        <w:rPr>
          <w:noProof/>
        </w:rPr>
        <w:fldChar w:fldCharType="end"/>
      </w:r>
    </w:p>
    <w:p w14:paraId="3E798D16" w14:textId="77777777" w:rsidR="005168F5" w:rsidRDefault="005168F5">
      <w:pPr>
        <w:pStyle w:val="TOC5"/>
        <w:rPr>
          <w:rFonts w:asciiTheme="minorHAnsi" w:eastAsiaTheme="minorEastAsia" w:hAnsiTheme="minorHAnsi" w:cstheme="minorBidi"/>
          <w:noProof/>
          <w:kern w:val="0"/>
          <w:sz w:val="22"/>
          <w:szCs w:val="22"/>
        </w:rPr>
      </w:pPr>
      <w:r>
        <w:rPr>
          <w:noProof/>
        </w:rPr>
        <w:t>5.26  Method 2—methane released from wastewater handling (domestic and commercial)</w:t>
      </w:r>
      <w:r>
        <w:rPr>
          <w:noProof/>
        </w:rPr>
        <w:tab/>
      </w:r>
      <w:r>
        <w:rPr>
          <w:noProof/>
        </w:rPr>
        <w:fldChar w:fldCharType="begin"/>
      </w:r>
      <w:r>
        <w:rPr>
          <w:noProof/>
        </w:rPr>
        <w:instrText xml:space="preserve"> PAGEREF _Toc13234024 \h </w:instrText>
      </w:r>
      <w:r>
        <w:rPr>
          <w:noProof/>
        </w:rPr>
      </w:r>
      <w:r>
        <w:rPr>
          <w:noProof/>
        </w:rPr>
        <w:fldChar w:fldCharType="separate"/>
      </w:r>
      <w:r w:rsidR="00497E3C">
        <w:rPr>
          <w:noProof/>
        </w:rPr>
        <w:t>272</w:t>
      </w:r>
      <w:r>
        <w:rPr>
          <w:noProof/>
        </w:rPr>
        <w:fldChar w:fldCharType="end"/>
      </w:r>
    </w:p>
    <w:p w14:paraId="58266BA5" w14:textId="77777777" w:rsidR="005168F5" w:rsidRDefault="005168F5">
      <w:pPr>
        <w:pStyle w:val="TOC5"/>
        <w:rPr>
          <w:rFonts w:asciiTheme="minorHAnsi" w:eastAsiaTheme="minorEastAsia" w:hAnsiTheme="minorHAnsi" w:cstheme="minorBidi"/>
          <w:noProof/>
          <w:kern w:val="0"/>
          <w:sz w:val="22"/>
          <w:szCs w:val="22"/>
        </w:rPr>
      </w:pPr>
      <w:r>
        <w:rPr>
          <w:noProof/>
        </w:rPr>
        <w:t>5.26A  Requirements relating to sub</w:t>
      </w:r>
      <w:r>
        <w:rPr>
          <w:noProof/>
        </w:rPr>
        <w:noBreakHyphen/>
        <w:t>facilities</w:t>
      </w:r>
      <w:r>
        <w:rPr>
          <w:noProof/>
        </w:rPr>
        <w:tab/>
      </w:r>
      <w:r>
        <w:rPr>
          <w:noProof/>
        </w:rPr>
        <w:fldChar w:fldCharType="begin"/>
      </w:r>
      <w:r>
        <w:rPr>
          <w:noProof/>
        </w:rPr>
        <w:instrText xml:space="preserve"> PAGEREF _Toc13234025 \h </w:instrText>
      </w:r>
      <w:r>
        <w:rPr>
          <w:noProof/>
        </w:rPr>
      </w:r>
      <w:r>
        <w:rPr>
          <w:noProof/>
        </w:rPr>
        <w:fldChar w:fldCharType="separate"/>
      </w:r>
      <w:r w:rsidR="00497E3C">
        <w:rPr>
          <w:noProof/>
        </w:rPr>
        <w:t>276</w:t>
      </w:r>
      <w:r>
        <w:rPr>
          <w:noProof/>
        </w:rPr>
        <w:fldChar w:fldCharType="end"/>
      </w:r>
    </w:p>
    <w:p w14:paraId="54FC6CEF" w14:textId="77777777" w:rsidR="005168F5" w:rsidRDefault="005168F5">
      <w:pPr>
        <w:pStyle w:val="TOC5"/>
        <w:rPr>
          <w:rFonts w:asciiTheme="minorHAnsi" w:eastAsiaTheme="minorEastAsia" w:hAnsiTheme="minorHAnsi" w:cstheme="minorBidi"/>
          <w:noProof/>
          <w:kern w:val="0"/>
          <w:sz w:val="22"/>
          <w:szCs w:val="22"/>
        </w:rPr>
      </w:pPr>
      <w:r>
        <w:rPr>
          <w:noProof/>
        </w:rPr>
        <w:t>5.27  General requirements for sampling under method 2</w:t>
      </w:r>
      <w:r>
        <w:rPr>
          <w:noProof/>
        </w:rPr>
        <w:tab/>
      </w:r>
      <w:r>
        <w:rPr>
          <w:noProof/>
        </w:rPr>
        <w:fldChar w:fldCharType="begin"/>
      </w:r>
      <w:r>
        <w:rPr>
          <w:noProof/>
        </w:rPr>
        <w:instrText xml:space="preserve"> PAGEREF _Toc13234026 \h </w:instrText>
      </w:r>
      <w:r>
        <w:rPr>
          <w:noProof/>
        </w:rPr>
      </w:r>
      <w:r>
        <w:rPr>
          <w:noProof/>
        </w:rPr>
        <w:fldChar w:fldCharType="separate"/>
      </w:r>
      <w:r w:rsidR="00497E3C">
        <w:rPr>
          <w:noProof/>
        </w:rPr>
        <w:t>276</w:t>
      </w:r>
      <w:r>
        <w:rPr>
          <w:noProof/>
        </w:rPr>
        <w:fldChar w:fldCharType="end"/>
      </w:r>
    </w:p>
    <w:p w14:paraId="72EBFE6A" w14:textId="77777777" w:rsidR="005168F5" w:rsidRDefault="005168F5">
      <w:pPr>
        <w:pStyle w:val="TOC5"/>
        <w:rPr>
          <w:rFonts w:asciiTheme="minorHAnsi" w:eastAsiaTheme="minorEastAsia" w:hAnsiTheme="minorHAnsi" w:cstheme="minorBidi"/>
          <w:noProof/>
          <w:kern w:val="0"/>
          <w:sz w:val="22"/>
          <w:szCs w:val="22"/>
        </w:rPr>
      </w:pPr>
      <w:r>
        <w:rPr>
          <w:noProof/>
        </w:rPr>
        <w:t>5.28  Standards for analysis</w:t>
      </w:r>
      <w:r>
        <w:rPr>
          <w:noProof/>
        </w:rPr>
        <w:tab/>
      </w:r>
      <w:r>
        <w:rPr>
          <w:noProof/>
        </w:rPr>
        <w:fldChar w:fldCharType="begin"/>
      </w:r>
      <w:r>
        <w:rPr>
          <w:noProof/>
        </w:rPr>
        <w:instrText xml:space="preserve"> PAGEREF _Toc13234027 \h </w:instrText>
      </w:r>
      <w:r>
        <w:rPr>
          <w:noProof/>
        </w:rPr>
      </w:r>
      <w:r>
        <w:rPr>
          <w:noProof/>
        </w:rPr>
        <w:fldChar w:fldCharType="separate"/>
      </w:r>
      <w:r w:rsidR="00497E3C">
        <w:rPr>
          <w:noProof/>
        </w:rPr>
        <w:t>277</w:t>
      </w:r>
      <w:r>
        <w:rPr>
          <w:noProof/>
        </w:rPr>
        <w:fldChar w:fldCharType="end"/>
      </w:r>
    </w:p>
    <w:p w14:paraId="628C106E" w14:textId="77777777" w:rsidR="005168F5" w:rsidRDefault="005168F5">
      <w:pPr>
        <w:pStyle w:val="TOC5"/>
        <w:rPr>
          <w:rFonts w:asciiTheme="minorHAnsi" w:eastAsiaTheme="minorEastAsia" w:hAnsiTheme="minorHAnsi" w:cstheme="minorBidi"/>
          <w:noProof/>
          <w:kern w:val="0"/>
          <w:sz w:val="22"/>
          <w:szCs w:val="22"/>
        </w:rPr>
      </w:pPr>
      <w:r>
        <w:rPr>
          <w:noProof/>
        </w:rPr>
        <w:t>5.29  Frequency of sampling and analysis</w:t>
      </w:r>
      <w:r>
        <w:rPr>
          <w:noProof/>
        </w:rPr>
        <w:tab/>
      </w:r>
      <w:r>
        <w:rPr>
          <w:noProof/>
        </w:rPr>
        <w:fldChar w:fldCharType="begin"/>
      </w:r>
      <w:r>
        <w:rPr>
          <w:noProof/>
        </w:rPr>
        <w:instrText xml:space="preserve"> PAGEREF _Toc13234028 \h </w:instrText>
      </w:r>
      <w:r>
        <w:rPr>
          <w:noProof/>
        </w:rPr>
      </w:r>
      <w:r>
        <w:rPr>
          <w:noProof/>
        </w:rPr>
        <w:fldChar w:fldCharType="separate"/>
      </w:r>
      <w:r w:rsidR="00497E3C">
        <w:rPr>
          <w:noProof/>
        </w:rPr>
        <w:t>277</w:t>
      </w:r>
      <w:r>
        <w:rPr>
          <w:noProof/>
        </w:rPr>
        <w:fldChar w:fldCharType="end"/>
      </w:r>
    </w:p>
    <w:p w14:paraId="325F49C4" w14:textId="77777777" w:rsidR="005168F5" w:rsidRDefault="005168F5">
      <w:pPr>
        <w:pStyle w:val="TOC3"/>
        <w:rPr>
          <w:rFonts w:asciiTheme="minorHAnsi" w:eastAsiaTheme="minorEastAsia" w:hAnsiTheme="minorHAnsi" w:cstheme="minorBidi"/>
          <w:b w:val="0"/>
          <w:noProof/>
          <w:kern w:val="0"/>
          <w:szCs w:val="22"/>
        </w:rPr>
      </w:pPr>
      <w:r>
        <w:rPr>
          <w:noProof/>
        </w:rPr>
        <w:t>Division 5.3.4—Method 3—methane released from wastewater handling (domestic and commercial)</w:t>
      </w:r>
      <w:r>
        <w:rPr>
          <w:noProof/>
        </w:rPr>
        <w:tab/>
      </w:r>
      <w:r>
        <w:rPr>
          <w:noProof/>
        </w:rPr>
        <w:fldChar w:fldCharType="begin"/>
      </w:r>
      <w:r>
        <w:rPr>
          <w:noProof/>
        </w:rPr>
        <w:instrText xml:space="preserve"> PAGEREF _Toc13234029 \h </w:instrText>
      </w:r>
      <w:r>
        <w:rPr>
          <w:noProof/>
        </w:rPr>
      </w:r>
      <w:r>
        <w:rPr>
          <w:noProof/>
        </w:rPr>
        <w:fldChar w:fldCharType="separate"/>
      </w:r>
      <w:r w:rsidR="00497E3C">
        <w:rPr>
          <w:noProof/>
        </w:rPr>
        <w:t>278</w:t>
      </w:r>
      <w:r>
        <w:rPr>
          <w:noProof/>
        </w:rPr>
        <w:fldChar w:fldCharType="end"/>
      </w:r>
    </w:p>
    <w:p w14:paraId="0C9DBD12" w14:textId="77777777" w:rsidR="005168F5" w:rsidRDefault="005168F5">
      <w:pPr>
        <w:pStyle w:val="TOC5"/>
        <w:rPr>
          <w:rFonts w:asciiTheme="minorHAnsi" w:eastAsiaTheme="minorEastAsia" w:hAnsiTheme="minorHAnsi" w:cstheme="minorBidi"/>
          <w:noProof/>
          <w:kern w:val="0"/>
          <w:sz w:val="22"/>
          <w:szCs w:val="22"/>
        </w:rPr>
      </w:pPr>
      <w:r>
        <w:rPr>
          <w:noProof/>
        </w:rPr>
        <w:t>5.30  Method 3—methane released from wastewater handling (domestic and commercial)</w:t>
      </w:r>
      <w:r>
        <w:rPr>
          <w:noProof/>
        </w:rPr>
        <w:tab/>
      </w:r>
      <w:r>
        <w:rPr>
          <w:noProof/>
        </w:rPr>
        <w:fldChar w:fldCharType="begin"/>
      </w:r>
      <w:r>
        <w:rPr>
          <w:noProof/>
        </w:rPr>
        <w:instrText xml:space="preserve"> PAGEREF _Toc13234030 \h </w:instrText>
      </w:r>
      <w:r>
        <w:rPr>
          <w:noProof/>
        </w:rPr>
      </w:r>
      <w:r>
        <w:rPr>
          <w:noProof/>
        </w:rPr>
        <w:fldChar w:fldCharType="separate"/>
      </w:r>
      <w:r w:rsidR="00497E3C">
        <w:rPr>
          <w:noProof/>
        </w:rPr>
        <w:t>278</w:t>
      </w:r>
      <w:r>
        <w:rPr>
          <w:noProof/>
        </w:rPr>
        <w:fldChar w:fldCharType="end"/>
      </w:r>
    </w:p>
    <w:p w14:paraId="1A6B1F5A" w14:textId="77777777" w:rsidR="005168F5" w:rsidRDefault="005168F5">
      <w:pPr>
        <w:pStyle w:val="TOC3"/>
        <w:rPr>
          <w:rFonts w:asciiTheme="minorHAnsi" w:eastAsiaTheme="minorEastAsia" w:hAnsiTheme="minorHAnsi" w:cstheme="minorBidi"/>
          <w:b w:val="0"/>
          <w:noProof/>
          <w:kern w:val="0"/>
          <w:szCs w:val="22"/>
        </w:rPr>
      </w:pPr>
      <w:r>
        <w:rPr>
          <w:noProof/>
        </w:rPr>
        <w:t>Division 5.3.5—Method 1—emissions of nitrous oxide released from wastewater handling (domestic and commercial)</w:t>
      </w:r>
      <w:r>
        <w:rPr>
          <w:noProof/>
        </w:rPr>
        <w:tab/>
      </w:r>
      <w:r>
        <w:rPr>
          <w:noProof/>
        </w:rPr>
        <w:fldChar w:fldCharType="begin"/>
      </w:r>
      <w:r>
        <w:rPr>
          <w:noProof/>
        </w:rPr>
        <w:instrText xml:space="preserve"> PAGEREF _Toc13234031 \h </w:instrText>
      </w:r>
      <w:r>
        <w:rPr>
          <w:noProof/>
        </w:rPr>
      </w:r>
      <w:r>
        <w:rPr>
          <w:noProof/>
        </w:rPr>
        <w:fldChar w:fldCharType="separate"/>
      </w:r>
      <w:r w:rsidR="00497E3C">
        <w:rPr>
          <w:noProof/>
        </w:rPr>
        <w:t>279</w:t>
      </w:r>
      <w:r>
        <w:rPr>
          <w:noProof/>
        </w:rPr>
        <w:fldChar w:fldCharType="end"/>
      </w:r>
    </w:p>
    <w:p w14:paraId="1A9E81EF" w14:textId="77777777" w:rsidR="005168F5" w:rsidRDefault="005168F5">
      <w:pPr>
        <w:pStyle w:val="TOC5"/>
        <w:rPr>
          <w:rFonts w:asciiTheme="minorHAnsi" w:eastAsiaTheme="minorEastAsia" w:hAnsiTheme="minorHAnsi" w:cstheme="minorBidi"/>
          <w:noProof/>
          <w:kern w:val="0"/>
          <w:sz w:val="22"/>
          <w:szCs w:val="22"/>
        </w:rPr>
      </w:pPr>
      <w:r>
        <w:rPr>
          <w:noProof/>
        </w:rPr>
        <w:t>5.31  Method 1—nitrous oxide released from wastewater handling (domestic and commercial)</w:t>
      </w:r>
      <w:r>
        <w:rPr>
          <w:noProof/>
        </w:rPr>
        <w:tab/>
      </w:r>
      <w:r>
        <w:rPr>
          <w:noProof/>
        </w:rPr>
        <w:fldChar w:fldCharType="begin"/>
      </w:r>
      <w:r>
        <w:rPr>
          <w:noProof/>
        </w:rPr>
        <w:instrText xml:space="preserve"> PAGEREF _Toc13234032 \h </w:instrText>
      </w:r>
      <w:r>
        <w:rPr>
          <w:noProof/>
        </w:rPr>
      </w:r>
      <w:r>
        <w:rPr>
          <w:noProof/>
        </w:rPr>
        <w:fldChar w:fldCharType="separate"/>
      </w:r>
      <w:r w:rsidR="00497E3C">
        <w:rPr>
          <w:noProof/>
        </w:rPr>
        <w:t>279</w:t>
      </w:r>
      <w:r>
        <w:rPr>
          <w:noProof/>
        </w:rPr>
        <w:fldChar w:fldCharType="end"/>
      </w:r>
    </w:p>
    <w:p w14:paraId="4DEB772E" w14:textId="77777777" w:rsidR="005168F5" w:rsidRDefault="005168F5">
      <w:pPr>
        <w:pStyle w:val="TOC3"/>
        <w:rPr>
          <w:rFonts w:asciiTheme="minorHAnsi" w:eastAsiaTheme="minorEastAsia" w:hAnsiTheme="minorHAnsi" w:cstheme="minorBidi"/>
          <w:b w:val="0"/>
          <w:noProof/>
          <w:kern w:val="0"/>
          <w:szCs w:val="22"/>
        </w:rPr>
      </w:pPr>
      <w:r>
        <w:rPr>
          <w:noProof/>
        </w:rPr>
        <w:t>Division 5.3.6—Method 2—emissions of nitrous oxide released from wastewater handling (domestic and commercial)</w:t>
      </w:r>
      <w:r>
        <w:rPr>
          <w:noProof/>
        </w:rPr>
        <w:tab/>
      </w:r>
      <w:r>
        <w:rPr>
          <w:noProof/>
        </w:rPr>
        <w:fldChar w:fldCharType="begin"/>
      </w:r>
      <w:r>
        <w:rPr>
          <w:noProof/>
        </w:rPr>
        <w:instrText xml:space="preserve"> PAGEREF _Toc13234033 \h </w:instrText>
      </w:r>
      <w:r>
        <w:rPr>
          <w:noProof/>
        </w:rPr>
      </w:r>
      <w:r>
        <w:rPr>
          <w:noProof/>
        </w:rPr>
        <w:fldChar w:fldCharType="separate"/>
      </w:r>
      <w:r w:rsidR="00497E3C">
        <w:rPr>
          <w:noProof/>
        </w:rPr>
        <w:t>282</w:t>
      </w:r>
      <w:r>
        <w:rPr>
          <w:noProof/>
        </w:rPr>
        <w:fldChar w:fldCharType="end"/>
      </w:r>
    </w:p>
    <w:p w14:paraId="5D47F2E1" w14:textId="77777777" w:rsidR="005168F5" w:rsidRDefault="005168F5">
      <w:pPr>
        <w:pStyle w:val="TOC5"/>
        <w:rPr>
          <w:rFonts w:asciiTheme="minorHAnsi" w:eastAsiaTheme="minorEastAsia" w:hAnsiTheme="minorHAnsi" w:cstheme="minorBidi"/>
          <w:noProof/>
          <w:kern w:val="0"/>
          <w:sz w:val="22"/>
          <w:szCs w:val="22"/>
        </w:rPr>
      </w:pPr>
      <w:r>
        <w:rPr>
          <w:noProof/>
        </w:rPr>
        <w:t>5.32  Method 2—nitrous oxide released from wastewater handling (domestic and commercial)</w:t>
      </w:r>
      <w:r>
        <w:rPr>
          <w:noProof/>
        </w:rPr>
        <w:tab/>
      </w:r>
      <w:r>
        <w:rPr>
          <w:noProof/>
        </w:rPr>
        <w:fldChar w:fldCharType="begin"/>
      </w:r>
      <w:r>
        <w:rPr>
          <w:noProof/>
        </w:rPr>
        <w:instrText xml:space="preserve"> PAGEREF _Toc13234034 \h </w:instrText>
      </w:r>
      <w:r>
        <w:rPr>
          <w:noProof/>
        </w:rPr>
      </w:r>
      <w:r>
        <w:rPr>
          <w:noProof/>
        </w:rPr>
        <w:fldChar w:fldCharType="separate"/>
      </w:r>
      <w:r w:rsidR="00497E3C">
        <w:rPr>
          <w:noProof/>
        </w:rPr>
        <w:t>282</w:t>
      </w:r>
      <w:r>
        <w:rPr>
          <w:noProof/>
        </w:rPr>
        <w:fldChar w:fldCharType="end"/>
      </w:r>
    </w:p>
    <w:p w14:paraId="2C3D9368" w14:textId="77777777" w:rsidR="005168F5" w:rsidRDefault="005168F5">
      <w:pPr>
        <w:pStyle w:val="TOC5"/>
        <w:rPr>
          <w:rFonts w:asciiTheme="minorHAnsi" w:eastAsiaTheme="minorEastAsia" w:hAnsiTheme="minorHAnsi" w:cstheme="minorBidi"/>
          <w:noProof/>
          <w:kern w:val="0"/>
          <w:sz w:val="22"/>
          <w:szCs w:val="22"/>
        </w:rPr>
      </w:pPr>
      <w:r>
        <w:rPr>
          <w:noProof/>
        </w:rPr>
        <w:t>5.33  General requirements for sampling under method 2</w:t>
      </w:r>
      <w:r>
        <w:rPr>
          <w:noProof/>
        </w:rPr>
        <w:tab/>
      </w:r>
      <w:r>
        <w:rPr>
          <w:noProof/>
        </w:rPr>
        <w:fldChar w:fldCharType="begin"/>
      </w:r>
      <w:r>
        <w:rPr>
          <w:noProof/>
        </w:rPr>
        <w:instrText xml:space="preserve"> PAGEREF _Toc13234035 \h </w:instrText>
      </w:r>
      <w:r>
        <w:rPr>
          <w:noProof/>
        </w:rPr>
      </w:r>
      <w:r>
        <w:rPr>
          <w:noProof/>
        </w:rPr>
        <w:fldChar w:fldCharType="separate"/>
      </w:r>
      <w:r w:rsidR="00497E3C">
        <w:rPr>
          <w:noProof/>
        </w:rPr>
        <w:t>282</w:t>
      </w:r>
      <w:r>
        <w:rPr>
          <w:noProof/>
        </w:rPr>
        <w:fldChar w:fldCharType="end"/>
      </w:r>
    </w:p>
    <w:p w14:paraId="514CC550" w14:textId="77777777" w:rsidR="005168F5" w:rsidRDefault="005168F5">
      <w:pPr>
        <w:pStyle w:val="TOC5"/>
        <w:rPr>
          <w:rFonts w:asciiTheme="minorHAnsi" w:eastAsiaTheme="minorEastAsia" w:hAnsiTheme="minorHAnsi" w:cstheme="minorBidi"/>
          <w:noProof/>
          <w:kern w:val="0"/>
          <w:sz w:val="22"/>
          <w:szCs w:val="22"/>
        </w:rPr>
      </w:pPr>
      <w:r>
        <w:rPr>
          <w:noProof/>
        </w:rPr>
        <w:t>5.34  Standards for analysis</w:t>
      </w:r>
      <w:r>
        <w:rPr>
          <w:noProof/>
        </w:rPr>
        <w:tab/>
      </w:r>
      <w:r>
        <w:rPr>
          <w:noProof/>
        </w:rPr>
        <w:fldChar w:fldCharType="begin"/>
      </w:r>
      <w:r>
        <w:rPr>
          <w:noProof/>
        </w:rPr>
        <w:instrText xml:space="preserve"> PAGEREF _Toc13234036 \h </w:instrText>
      </w:r>
      <w:r>
        <w:rPr>
          <w:noProof/>
        </w:rPr>
      </w:r>
      <w:r>
        <w:rPr>
          <w:noProof/>
        </w:rPr>
        <w:fldChar w:fldCharType="separate"/>
      </w:r>
      <w:r w:rsidR="00497E3C">
        <w:rPr>
          <w:noProof/>
        </w:rPr>
        <w:t>283</w:t>
      </w:r>
      <w:r>
        <w:rPr>
          <w:noProof/>
        </w:rPr>
        <w:fldChar w:fldCharType="end"/>
      </w:r>
    </w:p>
    <w:p w14:paraId="093A6150" w14:textId="77777777" w:rsidR="005168F5" w:rsidRDefault="005168F5">
      <w:pPr>
        <w:pStyle w:val="TOC5"/>
        <w:rPr>
          <w:rFonts w:asciiTheme="minorHAnsi" w:eastAsiaTheme="minorEastAsia" w:hAnsiTheme="minorHAnsi" w:cstheme="minorBidi"/>
          <w:noProof/>
          <w:kern w:val="0"/>
          <w:sz w:val="22"/>
          <w:szCs w:val="22"/>
        </w:rPr>
      </w:pPr>
      <w:r>
        <w:rPr>
          <w:noProof/>
        </w:rPr>
        <w:t>5.35  Frequency of sampling and analysis</w:t>
      </w:r>
      <w:r>
        <w:rPr>
          <w:noProof/>
        </w:rPr>
        <w:tab/>
      </w:r>
      <w:r>
        <w:rPr>
          <w:noProof/>
        </w:rPr>
        <w:fldChar w:fldCharType="begin"/>
      </w:r>
      <w:r>
        <w:rPr>
          <w:noProof/>
        </w:rPr>
        <w:instrText xml:space="preserve"> PAGEREF _Toc13234037 \h </w:instrText>
      </w:r>
      <w:r>
        <w:rPr>
          <w:noProof/>
        </w:rPr>
      </w:r>
      <w:r>
        <w:rPr>
          <w:noProof/>
        </w:rPr>
        <w:fldChar w:fldCharType="separate"/>
      </w:r>
      <w:r w:rsidR="00497E3C">
        <w:rPr>
          <w:noProof/>
        </w:rPr>
        <w:t>283</w:t>
      </w:r>
      <w:r>
        <w:rPr>
          <w:noProof/>
        </w:rPr>
        <w:fldChar w:fldCharType="end"/>
      </w:r>
    </w:p>
    <w:p w14:paraId="1FB3E5F9" w14:textId="77777777" w:rsidR="005168F5" w:rsidRDefault="005168F5">
      <w:pPr>
        <w:pStyle w:val="TOC3"/>
        <w:rPr>
          <w:rFonts w:asciiTheme="minorHAnsi" w:eastAsiaTheme="minorEastAsia" w:hAnsiTheme="minorHAnsi" w:cstheme="minorBidi"/>
          <w:b w:val="0"/>
          <w:noProof/>
          <w:kern w:val="0"/>
          <w:szCs w:val="22"/>
        </w:rPr>
      </w:pPr>
      <w:r>
        <w:rPr>
          <w:noProof/>
        </w:rPr>
        <w:t>Division 5.3.7—Method 3—emissions of nitrous oxide released from wastewater handling (domestic and commercial)</w:t>
      </w:r>
      <w:r>
        <w:rPr>
          <w:noProof/>
        </w:rPr>
        <w:tab/>
      </w:r>
      <w:r>
        <w:rPr>
          <w:noProof/>
        </w:rPr>
        <w:fldChar w:fldCharType="begin"/>
      </w:r>
      <w:r>
        <w:rPr>
          <w:noProof/>
        </w:rPr>
        <w:instrText xml:space="preserve"> PAGEREF _Toc13234038 \h </w:instrText>
      </w:r>
      <w:r>
        <w:rPr>
          <w:noProof/>
        </w:rPr>
      </w:r>
      <w:r>
        <w:rPr>
          <w:noProof/>
        </w:rPr>
        <w:fldChar w:fldCharType="separate"/>
      </w:r>
      <w:r w:rsidR="00497E3C">
        <w:rPr>
          <w:noProof/>
        </w:rPr>
        <w:t>284</w:t>
      </w:r>
      <w:r>
        <w:rPr>
          <w:noProof/>
        </w:rPr>
        <w:fldChar w:fldCharType="end"/>
      </w:r>
    </w:p>
    <w:p w14:paraId="538A45DE" w14:textId="77777777" w:rsidR="005168F5" w:rsidRDefault="005168F5">
      <w:pPr>
        <w:pStyle w:val="TOC5"/>
        <w:rPr>
          <w:rFonts w:asciiTheme="minorHAnsi" w:eastAsiaTheme="minorEastAsia" w:hAnsiTheme="minorHAnsi" w:cstheme="minorBidi"/>
          <w:noProof/>
          <w:kern w:val="0"/>
          <w:sz w:val="22"/>
          <w:szCs w:val="22"/>
        </w:rPr>
      </w:pPr>
      <w:r>
        <w:rPr>
          <w:noProof/>
        </w:rPr>
        <w:t>5.36  Method 3—nitrous oxide released from wastewater handling (domestic and commercial)</w:t>
      </w:r>
      <w:r>
        <w:rPr>
          <w:noProof/>
        </w:rPr>
        <w:tab/>
      </w:r>
      <w:r>
        <w:rPr>
          <w:noProof/>
        </w:rPr>
        <w:fldChar w:fldCharType="begin"/>
      </w:r>
      <w:r>
        <w:rPr>
          <w:noProof/>
        </w:rPr>
        <w:instrText xml:space="preserve"> PAGEREF _Toc13234039 \h </w:instrText>
      </w:r>
      <w:r>
        <w:rPr>
          <w:noProof/>
        </w:rPr>
      </w:r>
      <w:r>
        <w:rPr>
          <w:noProof/>
        </w:rPr>
        <w:fldChar w:fldCharType="separate"/>
      </w:r>
      <w:r w:rsidR="00497E3C">
        <w:rPr>
          <w:noProof/>
        </w:rPr>
        <w:t>284</w:t>
      </w:r>
      <w:r>
        <w:rPr>
          <w:noProof/>
        </w:rPr>
        <w:fldChar w:fldCharType="end"/>
      </w:r>
    </w:p>
    <w:p w14:paraId="7AA72944" w14:textId="77777777" w:rsidR="005168F5" w:rsidRDefault="005168F5">
      <w:pPr>
        <w:pStyle w:val="TOC3"/>
        <w:rPr>
          <w:rFonts w:asciiTheme="minorHAnsi" w:eastAsiaTheme="minorEastAsia" w:hAnsiTheme="minorHAnsi" w:cstheme="minorBidi"/>
          <w:b w:val="0"/>
          <w:noProof/>
          <w:kern w:val="0"/>
          <w:szCs w:val="22"/>
        </w:rPr>
      </w:pPr>
      <w:r>
        <w:rPr>
          <w:noProof/>
        </w:rPr>
        <w:t>Division 5.3.8—Wastewater handling (domestic and commercial)—Flaring</w:t>
      </w:r>
      <w:r>
        <w:rPr>
          <w:noProof/>
        </w:rPr>
        <w:tab/>
      </w:r>
      <w:r>
        <w:rPr>
          <w:noProof/>
        </w:rPr>
        <w:fldChar w:fldCharType="begin"/>
      </w:r>
      <w:r>
        <w:rPr>
          <w:noProof/>
        </w:rPr>
        <w:instrText xml:space="preserve"> PAGEREF _Toc13234040 \h </w:instrText>
      </w:r>
      <w:r>
        <w:rPr>
          <w:noProof/>
        </w:rPr>
      </w:r>
      <w:r>
        <w:rPr>
          <w:noProof/>
        </w:rPr>
        <w:fldChar w:fldCharType="separate"/>
      </w:r>
      <w:r w:rsidR="00497E3C">
        <w:rPr>
          <w:noProof/>
        </w:rPr>
        <w:t>285</w:t>
      </w:r>
      <w:r>
        <w:rPr>
          <w:noProof/>
        </w:rPr>
        <w:fldChar w:fldCharType="end"/>
      </w:r>
    </w:p>
    <w:p w14:paraId="79E70AD0" w14:textId="77777777" w:rsidR="005168F5" w:rsidRDefault="005168F5">
      <w:pPr>
        <w:pStyle w:val="TOC5"/>
        <w:rPr>
          <w:rFonts w:asciiTheme="minorHAnsi" w:eastAsiaTheme="minorEastAsia" w:hAnsiTheme="minorHAnsi" w:cstheme="minorBidi"/>
          <w:noProof/>
          <w:kern w:val="0"/>
          <w:sz w:val="22"/>
          <w:szCs w:val="22"/>
        </w:rPr>
      </w:pPr>
      <w:r>
        <w:rPr>
          <w:noProof/>
        </w:rPr>
        <w:t>5.37  Method 1—Flaring of methane in sludge biogas from wastewater handling (domestic and commercial)</w:t>
      </w:r>
      <w:r>
        <w:rPr>
          <w:noProof/>
        </w:rPr>
        <w:tab/>
      </w:r>
      <w:r>
        <w:rPr>
          <w:noProof/>
        </w:rPr>
        <w:fldChar w:fldCharType="begin"/>
      </w:r>
      <w:r>
        <w:rPr>
          <w:noProof/>
        </w:rPr>
        <w:instrText xml:space="preserve"> PAGEREF _Toc13234041 \h </w:instrText>
      </w:r>
      <w:r>
        <w:rPr>
          <w:noProof/>
        </w:rPr>
      </w:r>
      <w:r>
        <w:rPr>
          <w:noProof/>
        </w:rPr>
        <w:fldChar w:fldCharType="separate"/>
      </w:r>
      <w:r w:rsidR="00497E3C">
        <w:rPr>
          <w:noProof/>
        </w:rPr>
        <w:t>285</w:t>
      </w:r>
      <w:r>
        <w:rPr>
          <w:noProof/>
        </w:rPr>
        <w:fldChar w:fldCharType="end"/>
      </w:r>
    </w:p>
    <w:p w14:paraId="2F96CA2B" w14:textId="77777777" w:rsidR="005168F5" w:rsidRDefault="005168F5">
      <w:pPr>
        <w:pStyle w:val="TOC5"/>
        <w:rPr>
          <w:rFonts w:asciiTheme="minorHAnsi" w:eastAsiaTheme="minorEastAsia" w:hAnsiTheme="minorHAnsi" w:cstheme="minorBidi"/>
          <w:noProof/>
          <w:kern w:val="0"/>
          <w:sz w:val="22"/>
          <w:szCs w:val="22"/>
        </w:rPr>
      </w:pPr>
      <w:r>
        <w:rPr>
          <w:noProof/>
        </w:rPr>
        <w:t>5.38  Method 2—flaring of methane in sludge biogas</w:t>
      </w:r>
      <w:r>
        <w:rPr>
          <w:noProof/>
        </w:rPr>
        <w:tab/>
      </w:r>
      <w:r>
        <w:rPr>
          <w:noProof/>
        </w:rPr>
        <w:fldChar w:fldCharType="begin"/>
      </w:r>
      <w:r>
        <w:rPr>
          <w:noProof/>
        </w:rPr>
        <w:instrText xml:space="preserve"> PAGEREF _Toc13234042 \h </w:instrText>
      </w:r>
      <w:r>
        <w:rPr>
          <w:noProof/>
        </w:rPr>
      </w:r>
      <w:r>
        <w:rPr>
          <w:noProof/>
        </w:rPr>
        <w:fldChar w:fldCharType="separate"/>
      </w:r>
      <w:r w:rsidR="00497E3C">
        <w:rPr>
          <w:noProof/>
        </w:rPr>
        <w:t>285</w:t>
      </w:r>
      <w:r>
        <w:rPr>
          <w:noProof/>
        </w:rPr>
        <w:fldChar w:fldCharType="end"/>
      </w:r>
    </w:p>
    <w:p w14:paraId="46D6B028" w14:textId="77777777" w:rsidR="005168F5" w:rsidRDefault="005168F5">
      <w:pPr>
        <w:pStyle w:val="TOC5"/>
        <w:rPr>
          <w:rFonts w:asciiTheme="minorHAnsi" w:eastAsiaTheme="minorEastAsia" w:hAnsiTheme="minorHAnsi" w:cstheme="minorBidi"/>
          <w:noProof/>
          <w:kern w:val="0"/>
          <w:sz w:val="22"/>
          <w:szCs w:val="22"/>
        </w:rPr>
      </w:pPr>
      <w:r>
        <w:rPr>
          <w:noProof/>
        </w:rPr>
        <w:t>5.39  Method 3—flaring of methane in sludge biogas</w:t>
      </w:r>
      <w:r>
        <w:rPr>
          <w:noProof/>
        </w:rPr>
        <w:tab/>
      </w:r>
      <w:r>
        <w:rPr>
          <w:noProof/>
        </w:rPr>
        <w:fldChar w:fldCharType="begin"/>
      </w:r>
      <w:r>
        <w:rPr>
          <w:noProof/>
        </w:rPr>
        <w:instrText xml:space="preserve"> PAGEREF _Toc13234043 \h </w:instrText>
      </w:r>
      <w:r>
        <w:rPr>
          <w:noProof/>
        </w:rPr>
      </w:r>
      <w:r>
        <w:rPr>
          <w:noProof/>
        </w:rPr>
        <w:fldChar w:fldCharType="separate"/>
      </w:r>
      <w:r w:rsidR="00497E3C">
        <w:rPr>
          <w:noProof/>
        </w:rPr>
        <w:t>285</w:t>
      </w:r>
      <w:r>
        <w:rPr>
          <w:noProof/>
        </w:rPr>
        <w:fldChar w:fldCharType="end"/>
      </w:r>
    </w:p>
    <w:p w14:paraId="3530D4E2" w14:textId="77777777" w:rsidR="005168F5" w:rsidRDefault="005168F5">
      <w:pPr>
        <w:pStyle w:val="TOC2"/>
        <w:rPr>
          <w:rFonts w:asciiTheme="minorHAnsi" w:eastAsiaTheme="minorEastAsia" w:hAnsiTheme="minorHAnsi" w:cstheme="minorBidi"/>
          <w:b w:val="0"/>
          <w:noProof/>
          <w:kern w:val="0"/>
          <w:sz w:val="22"/>
          <w:szCs w:val="22"/>
        </w:rPr>
      </w:pPr>
      <w:r>
        <w:rPr>
          <w:noProof/>
        </w:rPr>
        <w:t>Part 5.4—Wastewater handling (industrial)</w:t>
      </w:r>
      <w:r>
        <w:rPr>
          <w:noProof/>
        </w:rPr>
        <w:tab/>
      </w:r>
      <w:r>
        <w:rPr>
          <w:noProof/>
        </w:rPr>
        <w:fldChar w:fldCharType="begin"/>
      </w:r>
      <w:r>
        <w:rPr>
          <w:noProof/>
        </w:rPr>
        <w:instrText xml:space="preserve"> PAGEREF _Toc13234044 \h </w:instrText>
      </w:r>
      <w:r>
        <w:rPr>
          <w:noProof/>
        </w:rPr>
      </w:r>
      <w:r>
        <w:rPr>
          <w:noProof/>
        </w:rPr>
        <w:fldChar w:fldCharType="separate"/>
      </w:r>
      <w:r w:rsidR="00497E3C">
        <w:rPr>
          <w:noProof/>
        </w:rPr>
        <w:t>286</w:t>
      </w:r>
      <w:r>
        <w:rPr>
          <w:noProof/>
        </w:rPr>
        <w:fldChar w:fldCharType="end"/>
      </w:r>
    </w:p>
    <w:p w14:paraId="2D63C096" w14:textId="77777777" w:rsidR="005168F5" w:rsidRDefault="005168F5">
      <w:pPr>
        <w:pStyle w:val="TOC3"/>
        <w:rPr>
          <w:rFonts w:asciiTheme="minorHAnsi" w:eastAsiaTheme="minorEastAsia" w:hAnsiTheme="minorHAnsi" w:cstheme="minorBidi"/>
          <w:b w:val="0"/>
          <w:noProof/>
          <w:kern w:val="0"/>
          <w:szCs w:val="22"/>
        </w:rPr>
      </w:pPr>
      <w:r>
        <w:rPr>
          <w:noProof/>
        </w:rPr>
        <w:t>Division 5.4.1—Preliminary</w:t>
      </w:r>
      <w:r>
        <w:rPr>
          <w:noProof/>
        </w:rPr>
        <w:tab/>
      </w:r>
      <w:r>
        <w:rPr>
          <w:noProof/>
        </w:rPr>
        <w:fldChar w:fldCharType="begin"/>
      </w:r>
      <w:r>
        <w:rPr>
          <w:noProof/>
        </w:rPr>
        <w:instrText xml:space="preserve"> PAGEREF _Toc13234045 \h </w:instrText>
      </w:r>
      <w:r>
        <w:rPr>
          <w:noProof/>
        </w:rPr>
      </w:r>
      <w:r>
        <w:rPr>
          <w:noProof/>
        </w:rPr>
        <w:fldChar w:fldCharType="separate"/>
      </w:r>
      <w:r w:rsidR="00497E3C">
        <w:rPr>
          <w:noProof/>
        </w:rPr>
        <w:t>286</w:t>
      </w:r>
      <w:r>
        <w:rPr>
          <w:noProof/>
        </w:rPr>
        <w:fldChar w:fldCharType="end"/>
      </w:r>
    </w:p>
    <w:p w14:paraId="66E01634" w14:textId="77777777" w:rsidR="005168F5" w:rsidRDefault="005168F5">
      <w:pPr>
        <w:pStyle w:val="TOC5"/>
        <w:rPr>
          <w:rFonts w:asciiTheme="minorHAnsi" w:eastAsiaTheme="minorEastAsia" w:hAnsiTheme="minorHAnsi" w:cstheme="minorBidi"/>
          <w:noProof/>
          <w:kern w:val="0"/>
          <w:sz w:val="22"/>
          <w:szCs w:val="22"/>
        </w:rPr>
      </w:pPr>
      <w:r>
        <w:rPr>
          <w:noProof/>
        </w:rPr>
        <w:t>5.40  Application</w:t>
      </w:r>
      <w:r>
        <w:rPr>
          <w:noProof/>
        </w:rPr>
        <w:tab/>
      </w:r>
      <w:r>
        <w:rPr>
          <w:noProof/>
        </w:rPr>
        <w:fldChar w:fldCharType="begin"/>
      </w:r>
      <w:r>
        <w:rPr>
          <w:noProof/>
        </w:rPr>
        <w:instrText xml:space="preserve"> PAGEREF _Toc13234046 \h </w:instrText>
      </w:r>
      <w:r>
        <w:rPr>
          <w:noProof/>
        </w:rPr>
      </w:r>
      <w:r>
        <w:rPr>
          <w:noProof/>
        </w:rPr>
        <w:fldChar w:fldCharType="separate"/>
      </w:r>
      <w:r w:rsidR="00497E3C">
        <w:rPr>
          <w:noProof/>
        </w:rPr>
        <w:t>286</w:t>
      </w:r>
      <w:r>
        <w:rPr>
          <w:noProof/>
        </w:rPr>
        <w:fldChar w:fldCharType="end"/>
      </w:r>
    </w:p>
    <w:p w14:paraId="3DC0AF51" w14:textId="77777777" w:rsidR="005168F5" w:rsidRDefault="005168F5">
      <w:pPr>
        <w:pStyle w:val="TOC5"/>
        <w:rPr>
          <w:rFonts w:asciiTheme="minorHAnsi" w:eastAsiaTheme="minorEastAsia" w:hAnsiTheme="minorHAnsi" w:cstheme="minorBidi"/>
          <w:noProof/>
          <w:kern w:val="0"/>
          <w:sz w:val="22"/>
          <w:szCs w:val="22"/>
        </w:rPr>
      </w:pPr>
      <w:r>
        <w:rPr>
          <w:noProof/>
        </w:rPr>
        <w:t>5.41  Available methods</w:t>
      </w:r>
      <w:r>
        <w:rPr>
          <w:noProof/>
        </w:rPr>
        <w:tab/>
      </w:r>
      <w:r>
        <w:rPr>
          <w:noProof/>
        </w:rPr>
        <w:fldChar w:fldCharType="begin"/>
      </w:r>
      <w:r>
        <w:rPr>
          <w:noProof/>
        </w:rPr>
        <w:instrText xml:space="preserve"> PAGEREF _Toc13234047 \h </w:instrText>
      </w:r>
      <w:r>
        <w:rPr>
          <w:noProof/>
        </w:rPr>
      </w:r>
      <w:r>
        <w:rPr>
          <w:noProof/>
        </w:rPr>
        <w:fldChar w:fldCharType="separate"/>
      </w:r>
      <w:r w:rsidR="00497E3C">
        <w:rPr>
          <w:noProof/>
        </w:rPr>
        <w:t>286</w:t>
      </w:r>
      <w:r>
        <w:rPr>
          <w:noProof/>
        </w:rPr>
        <w:fldChar w:fldCharType="end"/>
      </w:r>
    </w:p>
    <w:p w14:paraId="24129BE1" w14:textId="77777777" w:rsidR="005168F5" w:rsidRDefault="005168F5">
      <w:pPr>
        <w:pStyle w:val="TOC3"/>
        <w:rPr>
          <w:rFonts w:asciiTheme="minorHAnsi" w:eastAsiaTheme="minorEastAsia" w:hAnsiTheme="minorHAnsi" w:cstheme="minorBidi"/>
          <w:b w:val="0"/>
          <w:noProof/>
          <w:kern w:val="0"/>
          <w:szCs w:val="22"/>
        </w:rPr>
      </w:pPr>
      <w:r>
        <w:rPr>
          <w:noProof/>
        </w:rPr>
        <w:t>Division 5.4.2—Method 1—methane released from wastewater handling (industrial)</w:t>
      </w:r>
      <w:r>
        <w:rPr>
          <w:noProof/>
        </w:rPr>
        <w:tab/>
      </w:r>
      <w:r>
        <w:rPr>
          <w:noProof/>
        </w:rPr>
        <w:fldChar w:fldCharType="begin"/>
      </w:r>
      <w:r>
        <w:rPr>
          <w:noProof/>
        </w:rPr>
        <w:instrText xml:space="preserve"> PAGEREF _Toc13234048 \h </w:instrText>
      </w:r>
      <w:r>
        <w:rPr>
          <w:noProof/>
        </w:rPr>
      </w:r>
      <w:r>
        <w:rPr>
          <w:noProof/>
        </w:rPr>
        <w:fldChar w:fldCharType="separate"/>
      </w:r>
      <w:r w:rsidR="00497E3C">
        <w:rPr>
          <w:noProof/>
        </w:rPr>
        <w:t>287</w:t>
      </w:r>
      <w:r>
        <w:rPr>
          <w:noProof/>
        </w:rPr>
        <w:fldChar w:fldCharType="end"/>
      </w:r>
    </w:p>
    <w:p w14:paraId="78F2DE54" w14:textId="77777777" w:rsidR="005168F5" w:rsidRDefault="005168F5">
      <w:pPr>
        <w:pStyle w:val="TOC5"/>
        <w:rPr>
          <w:rFonts w:asciiTheme="minorHAnsi" w:eastAsiaTheme="minorEastAsia" w:hAnsiTheme="minorHAnsi" w:cstheme="minorBidi"/>
          <w:noProof/>
          <w:kern w:val="0"/>
          <w:sz w:val="22"/>
          <w:szCs w:val="22"/>
        </w:rPr>
      </w:pPr>
      <w:r>
        <w:rPr>
          <w:noProof/>
        </w:rPr>
        <w:t>5.42  Method 1—methane released from wastewater handling (industrial)</w:t>
      </w:r>
      <w:r>
        <w:rPr>
          <w:noProof/>
        </w:rPr>
        <w:tab/>
      </w:r>
      <w:r>
        <w:rPr>
          <w:noProof/>
        </w:rPr>
        <w:fldChar w:fldCharType="begin"/>
      </w:r>
      <w:r>
        <w:rPr>
          <w:noProof/>
        </w:rPr>
        <w:instrText xml:space="preserve"> PAGEREF _Toc13234049 \h </w:instrText>
      </w:r>
      <w:r>
        <w:rPr>
          <w:noProof/>
        </w:rPr>
      </w:r>
      <w:r>
        <w:rPr>
          <w:noProof/>
        </w:rPr>
        <w:fldChar w:fldCharType="separate"/>
      </w:r>
      <w:r w:rsidR="00497E3C">
        <w:rPr>
          <w:noProof/>
        </w:rPr>
        <w:t>287</w:t>
      </w:r>
      <w:r>
        <w:rPr>
          <w:noProof/>
        </w:rPr>
        <w:fldChar w:fldCharType="end"/>
      </w:r>
    </w:p>
    <w:p w14:paraId="18482352" w14:textId="77777777" w:rsidR="005168F5" w:rsidRDefault="005168F5">
      <w:pPr>
        <w:pStyle w:val="TOC3"/>
        <w:rPr>
          <w:rFonts w:asciiTheme="minorHAnsi" w:eastAsiaTheme="minorEastAsia" w:hAnsiTheme="minorHAnsi" w:cstheme="minorBidi"/>
          <w:b w:val="0"/>
          <w:noProof/>
          <w:kern w:val="0"/>
          <w:szCs w:val="22"/>
        </w:rPr>
      </w:pPr>
      <w:r>
        <w:rPr>
          <w:noProof/>
        </w:rPr>
        <w:t>Division 5.4.3—Method 2—methane released from wastewater handling (industrial)</w:t>
      </w:r>
      <w:r>
        <w:rPr>
          <w:noProof/>
        </w:rPr>
        <w:tab/>
      </w:r>
      <w:r>
        <w:rPr>
          <w:noProof/>
        </w:rPr>
        <w:fldChar w:fldCharType="begin"/>
      </w:r>
      <w:r>
        <w:rPr>
          <w:noProof/>
        </w:rPr>
        <w:instrText xml:space="preserve"> PAGEREF _Toc13234050 \h </w:instrText>
      </w:r>
      <w:r>
        <w:rPr>
          <w:noProof/>
        </w:rPr>
      </w:r>
      <w:r>
        <w:rPr>
          <w:noProof/>
        </w:rPr>
        <w:fldChar w:fldCharType="separate"/>
      </w:r>
      <w:r w:rsidR="00497E3C">
        <w:rPr>
          <w:noProof/>
        </w:rPr>
        <w:t>291</w:t>
      </w:r>
      <w:r>
        <w:rPr>
          <w:noProof/>
        </w:rPr>
        <w:fldChar w:fldCharType="end"/>
      </w:r>
    </w:p>
    <w:p w14:paraId="227FBC5C" w14:textId="77777777" w:rsidR="005168F5" w:rsidRDefault="005168F5">
      <w:pPr>
        <w:pStyle w:val="TOC5"/>
        <w:rPr>
          <w:rFonts w:asciiTheme="minorHAnsi" w:eastAsiaTheme="minorEastAsia" w:hAnsiTheme="minorHAnsi" w:cstheme="minorBidi"/>
          <w:noProof/>
          <w:kern w:val="0"/>
          <w:sz w:val="22"/>
          <w:szCs w:val="22"/>
        </w:rPr>
      </w:pPr>
      <w:r>
        <w:rPr>
          <w:noProof/>
        </w:rPr>
        <w:t>5.43  Method 2—methane released from wastewater handling (industrial)</w:t>
      </w:r>
      <w:r>
        <w:rPr>
          <w:noProof/>
        </w:rPr>
        <w:tab/>
      </w:r>
      <w:r>
        <w:rPr>
          <w:noProof/>
        </w:rPr>
        <w:fldChar w:fldCharType="begin"/>
      </w:r>
      <w:r>
        <w:rPr>
          <w:noProof/>
        </w:rPr>
        <w:instrText xml:space="preserve"> PAGEREF _Toc13234051 \h </w:instrText>
      </w:r>
      <w:r>
        <w:rPr>
          <w:noProof/>
        </w:rPr>
      </w:r>
      <w:r>
        <w:rPr>
          <w:noProof/>
        </w:rPr>
        <w:fldChar w:fldCharType="separate"/>
      </w:r>
      <w:r w:rsidR="00497E3C">
        <w:rPr>
          <w:noProof/>
        </w:rPr>
        <w:t>291</w:t>
      </w:r>
      <w:r>
        <w:rPr>
          <w:noProof/>
        </w:rPr>
        <w:fldChar w:fldCharType="end"/>
      </w:r>
    </w:p>
    <w:p w14:paraId="1969D869" w14:textId="77777777" w:rsidR="005168F5" w:rsidRDefault="005168F5">
      <w:pPr>
        <w:pStyle w:val="TOC5"/>
        <w:rPr>
          <w:rFonts w:asciiTheme="minorHAnsi" w:eastAsiaTheme="minorEastAsia" w:hAnsiTheme="minorHAnsi" w:cstheme="minorBidi"/>
          <w:noProof/>
          <w:kern w:val="0"/>
          <w:sz w:val="22"/>
          <w:szCs w:val="22"/>
        </w:rPr>
      </w:pPr>
      <w:r>
        <w:rPr>
          <w:noProof/>
        </w:rPr>
        <w:t>5.44  General requirements for sampling under method 2</w:t>
      </w:r>
      <w:r>
        <w:rPr>
          <w:noProof/>
        </w:rPr>
        <w:tab/>
      </w:r>
      <w:r>
        <w:rPr>
          <w:noProof/>
        </w:rPr>
        <w:fldChar w:fldCharType="begin"/>
      </w:r>
      <w:r>
        <w:rPr>
          <w:noProof/>
        </w:rPr>
        <w:instrText xml:space="preserve"> PAGEREF _Toc13234052 \h </w:instrText>
      </w:r>
      <w:r>
        <w:rPr>
          <w:noProof/>
        </w:rPr>
      </w:r>
      <w:r>
        <w:rPr>
          <w:noProof/>
        </w:rPr>
        <w:fldChar w:fldCharType="separate"/>
      </w:r>
      <w:r w:rsidR="00497E3C">
        <w:rPr>
          <w:noProof/>
        </w:rPr>
        <w:t>291</w:t>
      </w:r>
      <w:r>
        <w:rPr>
          <w:noProof/>
        </w:rPr>
        <w:fldChar w:fldCharType="end"/>
      </w:r>
    </w:p>
    <w:p w14:paraId="0C9FF676"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5.45  Standards for analysis</w:t>
      </w:r>
      <w:r>
        <w:rPr>
          <w:noProof/>
        </w:rPr>
        <w:tab/>
      </w:r>
      <w:r>
        <w:rPr>
          <w:noProof/>
        </w:rPr>
        <w:fldChar w:fldCharType="begin"/>
      </w:r>
      <w:r>
        <w:rPr>
          <w:noProof/>
        </w:rPr>
        <w:instrText xml:space="preserve"> PAGEREF _Toc13234053 \h </w:instrText>
      </w:r>
      <w:r>
        <w:rPr>
          <w:noProof/>
        </w:rPr>
      </w:r>
      <w:r>
        <w:rPr>
          <w:noProof/>
        </w:rPr>
        <w:fldChar w:fldCharType="separate"/>
      </w:r>
      <w:r w:rsidR="00497E3C">
        <w:rPr>
          <w:noProof/>
        </w:rPr>
        <w:t>291</w:t>
      </w:r>
      <w:r>
        <w:rPr>
          <w:noProof/>
        </w:rPr>
        <w:fldChar w:fldCharType="end"/>
      </w:r>
    </w:p>
    <w:p w14:paraId="6FBEB6D3" w14:textId="77777777" w:rsidR="005168F5" w:rsidRDefault="005168F5">
      <w:pPr>
        <w:pStyle w:val="TOC5"/>
        <w:rPr>
          <w:rFonts w:asciiTheme="minorHAnsi" w:eastAsiaTheme="minorEastAsia" w:hAnsiTheme="minorHAnsi" w:cstheme="minorBidi"/>
          <w:noProof/>
          <w:kern w:val="0"/>
          <w:sz w:val="22"/>
          <w:szCs w:val="22"/>
        </w:rPr>
      </w:pPr>
      <w:r>
        <w:rPr>
          <w:noProof/>
        </w:rPr>
        <w:t>5.46  Frequency of sampling and analysis</w:t>
      </w:r>
      <w:r>
        <w:rPr>
          <w:noProof/>
        </w:rPr>
        <w:tab/>
      </w:r>
      <w:r>
        <w:rPr>
          <w:noProof/>
        </w:rPr>
        <w:fldChar w:fldCharType="begin"/>
      </w:r>
      <w:r>
        <w:rPr>
          <w:noProof/>
        </w:rPr>
        <w:instrText xml:space="preserve"> PAGEREF _Toc13234054 \h </w:instrText>
      </w:r>
      <w:r>
        <w:rPr>
          <w:noProof/>
        </w:rPr>
      </w:r>
      <w:r>
        <w:rPr>
          <w:noProof/>
        </w:rPr>
        <w:fldChar w:fldCharType="separate"/>
      </w:r>
      <w:r w:rsidR="00497E3C">
        <w:rPr>
          <w:noProof/>
        </w:rPr>
        <w:t>292</w:t>
      </w:r>
      <w:r>
        <w:rPr>
          <w:noProof/>
        </w:rPr>
        <w:fldChar w:fldCharType="end"/>
      </w:r>
    </w:p>
    <w:p w14:paraId="0278B212" w14:textId="77777777" w:rsidR="005168F5" w:rsidRDefault="005168F5">
      <w:pPr>
        <w:pStyle w:val="TOC3"/>
        <w:rPr>
          <w:rFonts w:asciiTheme="minorHAnsi" w:eastAsiaTheme="minorEastAsia" w:hAnsiTheme="minorHAnsi" w:cstheme="minorBidi"/>
          <w:b w:val="0"/>
          <w:noProof/>
          <w:kern w:val="0"/>
          <w:szCs w:val="22"/>
        </w:rPr>
      </w:pPr>
      <w:r>
        <w:rPr>
          <w:noProof/>
        </w:rPr>
        <w:t>Division 5.4.4—Method 3—methane released from wastewater handling (industrial)</w:t>
      </w:r>
      <w:r>
        <w:rPr>
          <w:noProof/>
        </w:rPr>
        <w:tab/>
      </w:r>
      <w:r>
        <w:rPr>
          <w:noProof/>
        </w:rPr>
        <w:fldChar w:fldCharType="begin"/>
      </w:r>
      <w:r>
        <w:rPr>
          <w:noProof/>
        </w:rPr>
        <w:instrText xml:space="preserve"> PAGEREF _Toc13234055 \h </w:instrText>
      </w:r>
      <w:r>
        <w:rPr>
          <w:noProof/>
        </w:rPr>
      </w:r>
      <w:r>
        <w:rPr>
          <w:noProof/>
        </w:rPr>
        <w:fldChar w:fldCharType="separate"/>
      </w:r>
      <w:r w:rsidR="00497E3C">
        <w:rPr>
          <w:noProof/>
        </w:rPr>
        <w:t>293</w:t>
      </w:r>
      <w:r>
        <w:rPr>
          <w:noProof/>
        </w:rPr>
        <w:fldChar w:fldCharType="end"/>
      </w:r>
    </w:p>
    <w:p w14:paraId="6B5401ED" w14:textId="77777777" w:rsidR="005168F5" w:rsidRDefault="005168F5">
      <w:pPr>
        <w:pStyle w:val="TOC5"/>
        <w:rPr>
          <w:rFonts w:asciiTheme="minorHAnsi" w:eastAsiaTheme="minorEastAsia" w:hAnsiTheme="minorHAnsi" w:cstheme="minorBidi"/>
          <w:noProof/>
          <w:kern w:val="0"/>
          <w:sz w:val="22"/>
          <w:szCs w:val="22"/>
        </w:rPr>
      </w:pPr>
      <w:r>
        <w:rPr>
          <w:noProof/>
        </w:rPr>
        <w:t>5.47  Method 3—methane released from wastewater handling (industrial)</w:t>
      </w:r>
      <w:r>
        <w:rPr>
          <w:noProof/>
        </w:rPr>
        <w:tab/>
      </w:r>
      <w:r>
        <w:rPr>
          <w:noProof/>
        </w:rPr>
        <w:fldChar w:fldCharType="begin"/>
      </w:r>
      <w:r>
        <w:rPr>
          <w:noProof/>
        </w:rPr>
        <w:instrText xml:space="preserve"> PAGEREF _Toc13234056 \h </w:instrText>
      </w:r>
      <w:r>
        <w:rPr>
          <w:noProof/>
        </w:rPr>
      </w:r>
      <w:r>
        <w:rPr>
          <w:noProof/>
        </w:rPr>
        <w:fldChar w:fldCharType="separate"/>
      </w:r>
      <w:r w:rsidR="00497E3C">
        <w:rPr>
          <w:noProof/>
        </w:rPr>
        <w:t>293</w:t>
      </w:r>
      <w:r>
        <w:rPr>
          <w:noProof/>
        </w:rPr>
        <w:fldChar w:fldCharType="end"/>
      </w:r>
    </w:p>
    <w:p w14:paraId="10DAD372" w14:textId="77777777" w:rsidR="005168F5" w:rsidRDefault="005168F5">
      <w:pPr>
        <w:pStyle w:val="TOC3"/>
        <w:rPr>
          <w:rFonts w:asciiTheme="minorHAnsi" w:eastAsiaTheme="minorEastAsia" w:hAnsiTheme="minorHAnsi" w:cstheme="minorBidi"/>
          <w:b w:val="0"/>
          <w:noProof/>
          <w:kern w:val="0"/>
          <w:szCs w:val="22"/>
        </w:rPr>
      </w:pPr>
      <w:r>
        <w:rPr>
          <w:noProof/>
        </w:rPr>
        <w:t>Division 5.4.5—Wastewater handling (industrial)—Flaring of methane in sludge biogas</w:t>
      </w:r>
      <w:r>
        <w:rPr>
          <w:noProof/>
        </w:rPr>
        <w:tab/>
      </w:r>
      <w:r>
        <w:rPr>
          <w:noProof/>
        </w:rPr>
        <w:fldChar w:fldCharType="begin"/>
      </w:r>
      <w:r>
        <w:rPr>
          <w:noProof/>
        </w:rPr>
        <w:instrText xml:space="preserve"> PAGEREF _Toc13234057 \h </w:instrText>
      </w:r>
      <w:r>
        <w:rPr>
          <w:noProof/>
        </w:rPr>
      </w:r>
      <w:r>
        <w:rPr>
          <w:noProof/>
        </w:rPr>
        <w:fldChar w:fldCharType="separate"/>
      </w:r>
      <w:r w:rsidR="00497E3C">
        <w:rPr>
          <w:noProof/>
        </w:rPr>
        <w:t>294</w:t>
      </w:r>
      <w:r>
        <w:rPr>
          <w:noProof/>
        </w:rPr>
        <w:fldChar w:fldCharType="end"/>
      </w:r>
    </w:p>
    <w:p w14:paraId="35EE67A6" w14:textId="77777777" w:rsidR="005168F5" w:rsidRDefault="005168F5">
      <w:pPr>
        <w:pStyle w:val="TOC5"/>
        <w:rPr>
          <w:rFonts w:asciiTheme="minorHAnsi" w:eastAsiaTheme="minorEastAsia" w:hAnsiTheme="minorHAnsi" w:cstheme="minorBidi"/>
          <w:noProof/>
          <w:kern w:val="0"/>
          <w:sz w:val="22"/>
          <w:szCs w:val="22"/>
        </w:rPr>
      </w:pPr>
      <w:r>
        <w:rPr>
          <w:noProof/>
        </w:rPr>
        <w:t>5.48  Method 1—flaring of methane in sludge biogas</w:t>
      </w:r>
      <w:r>
        <w:rPr>
          <w:noProof/>
        </w:rPr>
        <w:tab/>
      </w:r>
      <w:r>
        <w:rPr>
          <w:noProof/>
        </w:rPr>
        <w:fldChar w:fldCharType="begin"/>
      </w:r>
      <w:r>
        <w:rPr>
          <w:noProof/>
        </w:rPr>
        <w:instrText xml:space="preserve"> PAGEREF _Toc13234058 \h </w:instrText>
      </w:r>
      <w:r>
        <w:rPr>
          <w:noProof/>
        </w:rPr>
      </w:r>
      <w:r>
        <w:rPr>
          <w:noProof/>
        </w:rPr>
        <w:fldChar w:fldCharType="separate"/>
      </w:r>
      <w:r w:rsidR="00497E3C">
        <w:rPr>
          <w:noProof/>
        </w:rPr>
        <w:t>294</w:t>
      </w:r>
      <w:r>
        <w:rPr>
          <w:noProof/>
        </w:rPr>
        <w:fldChar w:fldCharType="end"/>
      </w:r>
    </w:p>
    <w:p w14:paraId="160B1DBB" w14:textId="77777777" w:rsidR="005168F5" w:rsidRDefault="005168F5">
      <w:pPr>
        <w:pStyle w:val="TOC5"/>
        <w:rPr>
          <w:rFonts w:asciiTheme="minorHAnsi" w:eastAsiaTheme="minorEastAsia" w:hAnsiTheme="minorHAnsi" w:cstheme="minorBidi"/>
          <w:noProof/>
          <w:kern w:val="0"/>
          <w:sz w:val="22"/>
          <w:szCs w:val="22"/>
        </w:rPr>
      </w:pPr>
      <w:r>
        <w:rPr>
          <w:noProof/>
        </w:rPr>
        <w:t>5.49  Method 2—flaring of methane in sludge biogas</w:t>
      </w:r>
      <w:r>
        <w:rPr>
          <w:noProof/>
        </w:rPr>
        <w:tab/>
      </w:r>
      <w:r>
        <w:rPr>
          <w:noProof/>
        </w:rPr>
        <w:fldChar w:fldCharType="begin"/>
      </w:r>
      <w:r>
        <w:rPr>
          <w:noProof/>
        </w:rPr>
        <w:instrText xml:space="preserve"> PAGEREF _Toc13234059 \h </w:instrText>
      </w:r>
      <w:r>
        <w:rPr>
          <w:noProof/>
        </w:rPr>
      </w:r>
      <w:r>
        <w:rPr>
          <w:noProof/>
        </w:rPr>
        <w:fldChar w:fldCharType="separate"/>
      </w:r>
      <w:r w:rsidR="00497E3C">
        <w:rPr>
          <w:noProof/>
        </w:rPr>
        <w:t>294</w:t>
      </w:r>
      <w:r>
        <w:rPr>
          <w:noProof/>
        </w:rPr>
        <w:fldChar w:fldCharType="end"/>
      </w:r>
    </w:p>
    <w:p w14:paraId="43803AEB" w14:textId="77777777" w:rsidR="005168F5" w:rsidRDefault="005168F5">
      <w:pPr>
        <w:pStyle w:val="TOC5"/>
        <w:rPr>
          <w:rFonts w:asciiTheme="minorHAnsi" w:eastAsiaTheme="minorEastAsia" w:hAnsiTheme="minorHAnsi" w:cstheme="minorBidi"/>
          <w:noProof/>
          <w:kern w:val="0"/>
          <w:sz w:val="22"/>
          <w:szCs w:val="22"/>
        </w:rPr>
      </w:pPr>
      <w:r>
        <w:rPr>
          <w:noProof/>
        </w:rPr>
        <w:t>5.50  Method 3—flaring of methane in sludge biogas</w:t>
      </w:r>
      <w:r>
        <w:rPr>
          <w:noProof/>
        </w:rPr>
        <w:tab/>
      </w:r>
      <w:r>
        <w:rPr>
          <w:noProof/>
        </w:rPr>
        <w:fldChar w:fldCharType="begin"/>
      </w:r>
      <w:r>
        <w:rPr>
          <w:noProof/>
        </w:rPr>
        <w:instrText xml:space="preserve"> PAGEREF _Toc13234060 \h </w:instrText>
      </w:r>
      <w:r>
        <w:rPr>
          <w:noProof/>
        </w:rPr>
      </w:r>
      <w:r>
        <w:rPr>
          <w:noProof/>
        </w:rPr>
        <w:fldChar w:fldCharType="separate"/>
      </w:r>
      <w:r w:rsidR="00497E3C">
        <w:rPr>
          <w:noProof/>
        </w:rPr>
        <w:t>294</w:t>
      </w:r>
      <w:r>
        <w:rPr>
          <w:noProof/>
        </w:rPr>
        <w:fldChar w:fldCharType="end"/>
      </w:r>
    </w:p>
    <w:p w14:paraId="296114C0" w14:textId="77777777" w:rsidR="005168F5" w:rsidRDefault="005168F5">
      <w:pPr>
        <w:pStyle w:val="TOC2"/>
        <w:rPr>
          <w:rFonts w:asciiTheme="minorHAnsi" w:eastAsiaTheme="minorEastAsia" w:hAnsiTheme="minorHAnsi" w:cstheme="minorBidi"/>
          <w:b w:val="0"/>
          <w:noProof/>
          <w:kern w:val="0"/>
          <w:sz w:val="22"/>
          <w:szCs w:val="22"/>
        </w:rPr>
      </w:pPr>
      <w:r>
        <w:rPr>
          <w:noProof/>
        </w:rPr>
        <w:t>Part 5.5—Waste incineration</w:t>
      </w:r>
      <w:r>
        <w:rPr>
          <w:noProof/>
        </w:rPr>
        <w:tab/>
      </w:r>
      <w:r>
        <w:rPr>
          <w:noProof/>
        </w:rPr>
        <w:fldChar w:fldCharType="begin"/>
      </w:r>
      <w:r>
        <w:rPr>
          <w:noProof/>
        </w:rPr>
        <w:instrText xml:space="preserve"> PAGEREF _Toc13234061 \h </w:instrText>
      </w:r>
      <w:r>
        <w:rPr>
          <w:noProof/>
        </w:rPr>
      </w:r>
      <w:r>
        <w:rPr>
          <w:noProof/>
        </w:rPr>
        <w:fldChar w:fldCharType="separate"/>
      </w:r>
      <w:r w:rsidR="00497E3C">
        <w:rPr>
          <w:noProof/>
        </w:rPr>
        <w:t>295</w:t>
      </w:r>
      <w:r>
        <w:rPr>
          <w:noProof/>
        </w:rPr>
        <w:fldChar w:fldCharType="end"/>
      </w:r>
    </w:p>
    <w:p w14:paraId="0C65D941" w14:textId="77777777" w:rsidR="005168F5" w:rsidRDefault="005168F5">
      <w:pPr>
        <w:pStyle w:val="TOC5"/>
        <w:rPr>
          <w:rFonts w:asciiTheme="minorHAnsi" w:eastAsiaTheme="minorEastAsia" w:hAnsiTheme="minorHAnsi" w:cstheme="minorBidi"/>
          <w:noProof/>
          <w:kern w:val="0"/>
          <w:sz w:val="22"/>
          <w:szCs w:val="22"/>
        </w:rPr>
      </w:pPr>
      <w:r>
        <w:rPr>
          <w:noProof/>
        </w:rPr>
        <w:t>5.51  Application</w:t>
      </w:r>
      <w:r>
        <w:rPr>
          <w:noProof/>
        </w:rPr>
        <w:tab/>
      </w:r>
      <w:r>
        <w:rPr>
          <w:noProof/>
        </w:rPr>
        <w:fldChar w:fldCharType="begin"/>
      </w:r>
      <w:r>
        <w:rPr>
          <w:noProof/>
        </w:rPr>
        <w:instrText xml:space="preserve"> PAGEREF _Toc13234062 \h </w:instrText>
      </w:r>
      <w:r>
        <w:rPr>
          <w:noProof/>
        </w:rPr>
      </w:r>
      <w:r>
        <w:rPr>
          <w:noProof/>
        </w:rPr>
        <w:fldChar w:fldCharType="separate"/>
      </w:r>
      <w:r w:rsidR="00497E3C">
        <w:rPr>
          <w:noProof/>
        </w:rPr>
        <w:t>295</w:t>
      </w:r>
      <w:r>
        <w:rPr>
          <w:noProof/>
        </w:rPr>
        <w:fldChar w:fldCharType="end"/>
      </w:r>
    </w:p>
    <w:p w14:paraId="3A4C3B60" w14:textId="77777777" w:rsidR="005168F5" w:rsidRDefault="005168F5">
      <w:pPr>
        <w:pStyle w:val="TOC5"/>
        <w:rPr>
          <w:rFonts w:asciiTheme="minorHAnsi" w:eastAsiaTheme="minorEastAsia" w:hAnsiTheme="minorHAnsi" w:cstheme="minorBidi"/>
          <w:noProof/>
          <w:kern w:val="0"/>
          <w:sz w:val="22"/>
          <w:szCs w:val="22"/>
        </w:rPr>
      </w:pPr>
      <w:r>
        <w:rPr>
          <w:noProof/>
        </w:rPr>
        <w:t>5.52  Available methods—emissions of carbon dioxide from waste incineration</w:t>
      </w:r>
      <w:r>
        <w:rPr>
          <w:noProof/>
        </w:rPr>
        <w:tab/>
      </w:r>
      <w:r>
        <w:rPr>
          <w:noProof/>
        </w:rPr>
        <w:fldChar w:fldCharType="begin"/>
      </w:r>
      <w:r>
        <w:rPr>
          <w:noProof/>
        </w:rPr>
        <w:instrText xml:space="preserve"> PAGEREF _Toc13234063 \h </w:instrText>
      </w:r>
      <w:r>
        <w:rPr>
          <w:noProof/>
        </w:rPr>
      </w:r>
      <w:r>
        <w:rPr>
          <w:noProof/>
        </w:rPr>
        <w:fldChar w:fldCharType="separate"/>
      </w:r>
      <w:r w:rsidR="00497E3C">
        <w:rPr>
          <w:noProof/>
        </w:rPr>
        <w:t>295</w:t>
      </w:r>
      <w:r>
        <w:rPr>
          <w:noProof/>
        </w:rPr>
        <w:fldChar w:fldCharType="end"/>
      </w:r>
    </w:p>
    <w:p w14:paraId="198EA486" w14:textId="77777777" w:rsidR="005168F5" w:rsidRDefault="005168F5">
      <w:pPr>
        <w:pStyle w:val="TOC5"/>
        <w:rPr>
          <w:rFonts w:asciiTheme="minorHAnsi" w:eastAsiaTheme="minorEastAsia" w:hAnsiTheme="minorHAnsi" w:cstheme="minorBidi"/>
          <w:noProof/>
          <w:kern w:val="0"/>
          <w:sz w:val="22"/>
          <w:szCs w:val="22"/>
        </w:rPr>
      </w:pPr>
      <w:r>
        <w:rPr>
          <w:noProof/>
        </w:rPr>
        <w:t>5.53  Method 1—emissions of carbon dioxide released from waste incineration</w:t>
      </w:r>
      <w:r>
        <w:rPr>
          <w:noProof/>
        </w:rPr>
        <w:tab/>
      </w:r>
      <w:r>
        <w:rPr>
          <w:noProof/>
        </w:rPr>
        <w:fldChar w:fldCharType="begin"/>
      </w:r>
      <w:r>
        <w:rPr>
          <w:noProof/>
        </w:rPr>
        <w:instrText xml:space="preserve"> PAGEREF _Toc13234064 \h </w:instrText>
      </w:r>
      <w:r>
        <w:rPr>
          <w:noProof/>
        </w:rPr>
      </w:r>
      <w:r>
        <w:rPr>
          <w:noProof/>
        </w:rPr>
        <w:fldChar w:fldCharType="separate"/>
      </w:r>
      <w:r w:rsidR="00497E3C">
        <w:rPr>
          <w:noProof/>
        </w:rPr>
        <w:t>295</w:t>
      </w:r>
      <w:r>
        <w:rPr>
          <w:noProof/>
        </w:rPr>
        <w:fldChar w:fldCharType="end"/>
      </w:r>
    </w:p>
    <w:p w14:paraId="104A6992" w14:textId="77777777" w:rsidR="005168F5" w:rsidRDefault="005168F5">
      <w:pPr>
        <w:pStyle w:val="TOC1"/>
        <w:rPr>
          <w:rFonts w:asciiTheme="minorHAnsi" w:eastAsiaTheme="minorEastAsia" w:hAnsiTheme="minorHAnsi" w:cstheme="minorBidi"/>
          <w:b w:val="0"/>
          <w:noProof/>
          <w:kern w:val="0"/>
          <w:sz w:val="22"/>
          <w:szCs w:val="22"/>
        </w:rPr>
      </w:pPr>
      <w:r>
        <w:rPr>
          <w:noProof/>
        </w:rPr>
        <w:t>Chapter 6—Energy</w:t>
      </w:r>
      <w:r>
        <w:rPr>
          <w:noProof/>
        </w:rPr>
        <w:tab/>
      </w:r>
      <w:r>
        <w:rPr>
          <w:noProof/>
        </w:rPr>
        <w:fldChar w:fldCharType="begin"/>
      </w:r>
      <w:r>
        <w:rPr>
          <w:noProof/>
        </w:rPr>
        <w:instrText xml:space="preserve"> PAGEREF _Toc13234065 \h </w:instrText>
      </w:r>
      <w:r>
        <w:rPr>
          <w:noProof/>
        </w:rPr>
      </w:r>
      <w:r>
        <w:rPr>
          <w:noProof/>
        </w:rPr>
        <w:fldChar w:fldCharType="separate"/>
      </w:r>
      <w:r w:rsidR="00497E3C">
        <w:rPr>
          <w:noProof/>
        </w:rPr>
        <w:t>297</w:t>
      </w:r>
      <w:r>
        <w:rPr>
          <w:noProof/>
        </w:rPr>
        <w:fldChar w:fldCharType="end"/>
      </w:r>
    </w:p>
    <w:p w14:paraId="11C0C50F" w14:textId="77777777" w:rsidR="005168F5" w:rsidRDefault="005168F5">
      <w:pPr>
        <w:pStyle w:val="TOC2"/>
        <w:rPr>
          <w:rFonts w:asciiTheme="minorHAnsi" w:eastAsiaTheme="minorEastAsia" w:hAnsiTheme="minorHAnsi" w:cstheme="minorBidi"/>
          <w:b w:val="0"/>
          <w:noProof/>
          <w:kern w:val="0"/>
          <w:sz w:val="22"/>
          <w:szCs w:val="22"/>
        </w:rPr>
      </w:pPr>
      <w:r>
        <w:rPr>
          <w:noProof/>
        </w:rPr>
        <w:t>Part 6.1—Production</w:t>
      </w:r>
      <w:r>
        <w:rPr>
          <w:noProof/>
        </w:rPr>
        <w:tab/>
      </w:r>
      <w:r>
        <w:rPr>
          <w:noProof/>
        </w:rPr>
        <w:fldChar w:fldCharType="begin"/>
      </w:r>
      <w:r>
        <w:rPr>
          <w:noProof/>
        </w:rPr>
        <w:instrText xml:space="preserve"> PAGEREF _Toc13234066 \h </w:instrText>
      </w:r>
      <w:r>
        <w:rPr>
          <w:noProof/>
        </w:rPr>
      </w:r>
      <w:r>
        <w:rPr>
          <w:noProof/>
        </w:rPr>
        <w:fldChar w:fldCharType="separate"/>
      </w:r>
      <w:r w:rsidR="00497E3C">
        <w:rPr>
          <w:noProof/>
        </w:rPr>
        <w:t>297</w:t>
      </w:r>
      <w:r>
        <w:rPr>
          <w:noProof/>
        </w:rPr>
        <w:fldChar w:fldCharType="end"/>
      </w:r>
    </w:p>
    <w:p w14:paraId="2B547AB6" w14:textId="77777777" w:rsidR="005168F5" w:rsidRDefault="005168F5">
      <w:pPr>
        <w:pStyle w:val="TOC5"/>
        <w:rPr>
          <w:rFonts w:asciiTheme="minorHAnsi" w:eastAsiaTheme="minorEastAsia" w:hAnsiTheme="minorHAnsi" w:cstheme="minorBidi"/>
          <w:noProof/>
          <w:kern w:val="0"/>
          <w:sz w:val="22"/>
          <w:szCs w:val="22"/>
        </w:rPr>
      </w:pPr>
      <w:r>
        <w:rPr>
          <w:noProof/>
        </w:rPr>
        <w:t>6.1  Purpose</w:t>
      </w:r>
      <w:r>
        <w:rPr>
          <w:noProof/>
        </w:rPr>
        <w:tab/>
      </w:r>
      <w:r>
        <w:rPr>
          <w:noProof/>
        </w:rPr>
        <w:fldChar w:fldCharType="begin"/>
      </w:r>
      <w:r>
        <w:rPr>
          <w:noProof/>
        </w:rPr>
        <w:instrText xml:space="preserve"> PAGEREF _Toc13234067 \h </w:instrText>
      </w:r>
      <w:r>
        <w:rPr>
          <w:noProof/>
        </w:rPr>
      </w:r>
      <w:r>
        <w:rPr>
          <w:noProof/>
        </w:rPr>
        <w:fldChar w:fldCharType="separate"/>
      </w:r>
      <w:r w:rsidR="00497E3C">
        <w:rPr>
          <w:noProof/>
        </w:rPr>
        <w:t>297</w:t>
      </w:r>
      <w:r>
        <w:rPr>
          <w:noProof/>
        </w:rPr>
        <w:fldChar w:fldCharType="end"/>
      </w:r>
    </w:p>
    <w:p w14:paraId="62F45CAD" w14:textId="77777777" w:rsidR="005168F5" w:rsidRDefault="005168F5">
      <w:pPr>
        <w:pStyle w:val="TOC5"/>
        <w:rPr>
          <w:rFonts w:asciiTheme="minorHAnsi" w:eastAsiaTheme="minorEastAsia" w:hAnsiTheme="minorHAnsi" w:cstheme="minorBidi"/>
          <w:noProof/>
          <w:kern w:val="0"/>
          <w:sz w:val="22"/>
          <w:szCs w:val="22"/>
        </w:rPr>
      </w:pPr>
      <w:r>
        <w:rPr>
          <w:noProof/>
        </w:rPr>
        <w:t>6.2  Quantity of energy produced</w:t>
      </w:r>
      <w:r>
        <w:rPr>
          <w:noProof/>
        </w:rPr>
        <w:tab/>
      </w:r>
      <w:r>
        <w:rPr>
          <w:noProof/>
        </w:rPr>
        <w:fldChar w:fldCharType="begin"/>
      </w:r>
      <w:r>
        <w:rPr>
          <w:noProof/>
        </w:rPr>
        <w:instrText xml:space="preserve"> PAGEREF _Toc13234068 \h </w:instrText>
      </w:r>
      <w:r>
        <w:rPr>
          <w:noProof/>
        </w:rPr>
      </w:r>
      <w:r>
        <w:rPr>
          <w:noProof/>
        </w:rPr>
        <w:fldChar w:fldCharType="separate"/>
      </w:r>
      <w:r w:rsidR="00497E3C">
        <w:rPr>
          <w:noProof/>
        </w:rPr>
        <w:t>297</w:t>
      </w:r>
      <w:r>
        <w:rPr>
          <w:noProof/>
        </w:rPr>
        <w:fldChar w:fldCharType="end"/>
      </w:r>
    </w:p>
    <w:p w14:paraId="53943A67" w14:textId="77777777" w:rsidR="005168F5" w:rsidRDefault="005168F5">
      <w:pPr>
        <w:pStyle w:val="TOC5"/>
        <w:rPr>
          <w:rFonts w:asciiTheme="minorHAnsi" w:eastAsiaTheme="minorEastAsia" w:hAnsiTheme="minorHAnsi" w:cstheme="minorBidi"/>
          <w:noProof/>
          <w:kern w:val="0"/>
          <w:sz w:val="22"/>
          <w:szCs w:val="22"/>
        </w:rPr>
      </w:pPr>
      <w:r>
        <w:rPr>
          <w:noProof/>
        </w:rPr>
        <w:t>6.3  Energy content of fuel produced</w:t>
      </w:r>
      <w:r>
        <w:rPr>
          <w:noProof/>
        </w:rPr>
        <w:tab/>
      </w:r>
      <w:r>
        <w:rPr>
          <w:noProof/>
        </w:rPr>
        <w:fldChar w:fldCharType="begin"/>
      </w:r>
      <w:r>
        <w:rPr>
          <w:noProof/>
        </w:rPr>
        <w:instrText xml:space="preserve"> PAGEREF _Toc13234069 \h </w:instrText>
      </w:r>
      <w:r>
        <w:rPr>
          <w:noProof/>
        </w:rPr>
      </w:r>
      <w:r>
        <w:rPr>
          <w:noProof/>
        </w:rPr>
        <w:fldChar w:fldCharType="separate"/>
      </w:r>
      <w:r w:rsidR="00497E3C">
        <w:rPr>
          <w:noProof/>
        </w:rPr>
        <w:t>298</w:t>
      </w:r>
      <w:r>
        <w:rPr>
          <w:noProof/>
        </w:rPr>
        <w:fldChar w:fldCharType="end"/>
      </w:r>
    </w:p>
    <w:p w14:paraId="78916E49" w14:textId="77777777" w:rsidR="005168F5" w:rsidRDefault="005168F5">
      <w:pPr>
        <w:pStyle w:val="TOC2"/>
        <w:rPr>
          <w:rFonts w:asciiTheme="minorHAnsi" w:eastAsiaTheme="minorEastAsia" w:hAnsiTheme="minorHAnsi" w:cstheme="minorBidi"/>
          <w:b w:val="0"/>
          <w:noProof/>
          <w:kern w:val="0"/>
          <w:sz w:val="22"/>
          <w:szCs w:val="22"/>
        </w:rPr>
      </w:pPr>
      <w:r>
        <w:rPr>
          <w:noProof/>
        </w:rPr>
        <w:t>Part 6.2—Consumption</w:t>
      </w:r>
      <w:r>
        <w:rPr>
          <w:noProof/>
        </w:rPr>
        <w:tab/>
      </w:r>
      <w:r>
        <w:rPr>
          <w:noProof/>
        </w:rPr>
        <w:fldChar w:fldCharType="begin"/>
      </w:r>
      <w:r>
        <w:rPr>
          <w:noProof/>
        </w:rPr>
        <w:instrText xml:space="preserve"> PAGEREF _Toc13234070 \h </w:instrText>
      </w:r>
      <w:r>
        <w:rPr>
          <w:noProof/>
        </w:rPr>
      </w:r>
      <w:r>
        <w:rPr>
          <w:noProof/>
        </w:rPr>
        <w:fldChar w:fldCharType="separate"/>
      </w:r>
      <w:r w:rsidR="00497E3C">
        <w:rPr>
          <w:noProof/>
        </w:rPr>
        <w:t>300</w:t>
      </w:r>
      <w:r>
        <w:rPr>
          <w:noProof/>
        </w:rPr>
        <w:fldChar w:fldCharType="end"/>
      </w:r>
    </w:p>
    <w:p w14:paraId="7E40E3CC" w14:textId="77777777" w:rsidR="005168F5" w:rsidRDefault="005168F5">
      <w:pPr>
        <w:pStyle w:val="TOC5"/>
        <w:rPr>
          <w:rFonts w:asciiTheme="minorHAnsi" w:eastAsiaTheme="minorEastAsia" w:hAnsiTheme="minorHAnsi" w:cstheme="minorBidi"/>
          <w:noProof/>
          <w:kern w:val="0"/>
          <w:sz w:val="22"/>
          <w:szCs w:val="22"/>
        </w:rPr>
      </w:pPr>
      <w:r>
        <w:rPr>
          <w:noProof/>
        </w:rPr>
        <w:t>6.4  Purpose</w:t>
      </w:r>
      <w:r>
        <w:rPr>
          <w:noProof/>
        </w:rPr>
        <w:tab/>
      </w:r>
      <w:r>
        <w:rPr>
          <w:noProof/>
        </w:rPr>
        <w:fldChar w:fldCharType="begin"/>
      </w:r>
      <w:r>
        <w:rPr>
          <w:noProof/>
        </w:rPr>
        <w:instrText xml:space="preserve"> PAGEREF _Toc13234071 \h </w:instrText>
      </w:r>
      <w:r>
        <w:rPr>
          <w:noProof/>
        </w:rPr>
      </w:r>
      <w:r>
        <w:rPr>
          <w:noProof/>
        </w:rPr>
        <w:fldChar w:fldCharType="separate"/>
      </w:r>
      <w:r w:rsidR="00497E3C">
        <w:rPr>
          <w:noProof/>
        </w:rPr>
        <w:t>300</w:t>
      </w:r>
      <w:r>
        <w:rPr>
          <w:noProof/>
        </w:rPr>
        <w:fldChar w:fldCharType="end"/>
      </w:r>
    </w:p>
    <w:p w14:paraId="1A6FFDED" w14:textId="77777777" w:rsidR="005168F5" w:rsidRDefault="005168F5">
      <w:pPr>
        <w:pStyle w:val="TOC5"/>
        <w:rPr>
          <w:rFonts w:asciiTheme="minorHAnsi" w:eastAsiaTheme="minorEastAsia" w:hAnsiTheme="minorHAnsi" w:cstheme="minorBidi"/>
          <w:noProof/>
          <w:kern w:val="0"/>
          <w:sz w:val="22"/>
          <w:szCs w:val="22"/>
        </w:rPr>
      </w:pPr>
      <w:r>
        <w:rPr>
          <w:noProof/>
        </w:rPr>
        <w:t>6.5  Energy content of energy consumed</w:t>
      </w:r>
      <w:r>
        <w:rPr>
          <w:noProof/>
        </w:rPr>
        <w:tab/>
      </w:r>
      <w:r>
        <w:rPr>
          <w:noProof/>
        </w:rPr>
        <w:fldChar w:fldCharType="begin"/>
      </w:r>
      <w:r>
        <w:rPr>
          <w:noProof/>
        </w:rPr>
        <w:instrText xml:space="preserve"> PAGEREF _Toc13234072 \h </w:instrText>
      </w:r>
      <w:r>
        <w:rPr>
          <w:noProof/>
        </w:rPr>
      </w:r>
      <w:r>
        <w:rPr>
          <w:noProof/>
        </w:rPr>
        <w:fldChar w:fldCharType="separate"/>
      </w:r>
      <w:r w:rsidR="00497E3C">
        <w:rPr>
          <w:noProof/>
        </w:rPr>
        <w:t>300</w:t>
      </w:r>
      <w:r>
        <w:rPr>
          <w:noProof/>
        </w:rPr>
        <w:fldChar w:fldCharType="end"/>
      </w:r>
    </w:p>
    <w:p w14:paraId="556D2777" w14:textId="77777777" w:rsidR="005168F5" w:rsidRDefault="005168F5">
      <w:pPr>
        <w:pStyle w:val="TOC1"/>
        <w:rPr>
          <w:rFonts w:asciiTheme="minorHAnsi" w:eastAsiaTheme="minorEastAsia" w:hAnsiTheme="minorHAnsi" w:cstheme="minorBidi"/>
          <w:b w:val="0"/>
          <w:noProof/>
          <w:kern w:val="0"/>
          <w:sz w:val="22"/>
          <w:szCs w:val="22"/>
        </w:rPr>
      </w:pPr>
      <w:r>
        <w:rPr>
          <w:noProof/>
        </w:rPr>
        <w:t>Chapter 7—Scope 2 emissions</w:t>
      </w:r>
      <w:r>
        <w:rPr>
          <w:noProof/>
        </w:rPr>
        <w:tab/>
      </w:r>
      <w:r>
        <w:rPr>
          <w:noProof/>
        </w:rPr>
        <w:fldChar w:fldCharType="begin"/>
      </w:r>
      <w:r>
        <w:rPr>
          <w:noProof/>
        </w:rPr>
        <w:instrText xml:space="preserve"> PAGEREF _Toc13234073 \h </w:instrText>
      </w:r>
      <w:r>
        <w:rPr>
          <w:noProof/>
        </w:rPr>
      </w:r>
      <w:r>
        <w:rPr>
          <w:noProof/>
        </w:rPr>
        <w:fldChar w:fldCharType="separate"/>
      </w:r>
      <w:r w:rsidR="00497E3C">
        <w:rPr>
          <w:noProof/>
        </w:rPr>
        <w:t>303</w:t>
      </w:r>
      <w:r>
        <w:rPr>
          <w:noProof/>
        </w:rPr>
        <w:fldChar w:fldCharType="end"/>
      </w:r>
    </w:p>
    <w:p w14:paraId="578FED2D" w14:textId="77777777" w:rsidR="005168F5" w:rsidRDefault="005168F5">
      <w:pPr>
        <w:pStyle w:val="TOC5"/>
        <w:rPr>
          <w:rFonts w:asciiTheme="minorHAnsi" w:eastAsiaTheme="minorEastAsia" w:hAnsiTheme="minorHAnsi" w:cstheme="minorBidi"/>
          <w:noProof/>
          <w:kern w:val="0"/>
          <w:sz w:val="22"/>
          <w:szCs w:val="22"/>
        </w:rPr>
      </w:pPr>
      <w:r>
        <w:rPr>
          <w:noProof/>
        </w:rPr>
        <w:t>7.1  Application</w:t>
      </w:r>
      <w:r>
        <w:rPr>
          <w:noProof/>
        </w:rPr>
        <w:tab/>
      </w:r>
      <w:r>
        <w:rPr>
          <w:noProof/>
        </w:rPr>
        <w:fldChar w:fldCharType="begin"/>
      </w:r>
      <w:r>
        <w:rPr>
          <w:noProof/>
        </w:rPr>
        <w:instrText xml:space="preserve"> PAGEREF _Toc13234074 \h </w:instrText>
      </w:r>
      <w:r>
        <w:rPr>
          <w:noProof/>
        </w:rPr>
      </w:r>
      <w:r>
        <w:rPr>
          <w:noProof/>
        </w:rPr>
        <w:fldChar w:fldCharType="separate"/>
      </w:r>
      <w:r w:rsidR="00497E3C">
        <w:rPr>
          <w:noProof/>
        </w:rPr>
        <w:t>303</w:t>
      </w:r>
      <w:r>
        <w:rPr>
          <w:noProof/>
        </w:rPr>
        <w:fldChar w:fldCharType="end"/>
      </w:r>
    </w:p>
    <w:p w14:paraId="478AB53C" w14:textId="77777777" w:rsidR="005168F5" w:rsidRDefault="005168F5">
      <w:pPr>
        <w:pStyle w:val="TOC5"/>
        <w:rPr>
          <w:rFonts w:asciiTheme="minorHAnsi" w:eastAsiaTheme="minorEastAsia" w:hAnsiTheme="minorHAnsi" w:cstheme="minorBidi"/>
          <w:noProof/>
          <w:kern w:val="0"/>
          <w:sz w:val="22"/>
          <w:szCs w:val="22"/>
        </w:rPr>
      </w:pPr>
      <w:r>
        <w:rPr>
          <w:noProof/>
        </w:rPr>
        <w:t>7.2  Method 1—purchase and loss of electricity from main electricity grid in a State or Territory</w:t>
      </w:r>
      <w:r>
        <w:rPr>
          <w:noProof/>
        </w:rPr>
        <w:tab/>
      </w:r>
      <w:r>
        <w:rPr>
          <w:noProof/>
        </w:rPr>
        <w:fldChar w:fldCharType="begin"/>
      </w:r>
      <w:r>
        <w:rPr>
          <w:noProof/>
        </w:rPr>
        <w:instrText xml:space="preserve"> PAGEREF _Toc13234075 \h </w:instrText>
      </w:r>
      <w:r>
        <w:rPr>
          <w:noProof/>
        </w:rPr>
      </w:r>
      <w:r>
        <w:rPr>
          <w:noProof/>
        </w:rPr>
        <w:fldChar w:fldCharType="separate"/>
      </w:r>
      <w:r w:rsidR="00497E3C">
        <w:rPr>
          <w:noProof/>
        </w:rPr>
        <w:t>303</w:t>
      </w:r>
      <w:r>
        <w:rPr>
          <w:noProof/>
        </w:rPr>
        <w:fldChar w:fldCharType="end"/>
      </w:r>
    </w:p>
    <w:p w14:paraId="2F578921" w14:textId="77777777" w:rsidR="005168F5" w:rsidRDefault="005168F5">
      <w:pPr>
        <w:pStyle w:val="TOC5"/>
        <w:rPr>
          <w:rFonts w:asciiTheme="minorHAnsi" w:eastAsiaTheme="minorEastAsia" w:hAnsiTheme="minorHAnsi" w:cstheme="minorBidi"/>
          <w:noProof/>
          <w:kern w:val="0"/>
          <w:sz w:val="22"/>
          <w:szCs w:val="22"/>
        </w:rPr>
      </w:pPr>
      <w:r>
        <w:rPr>
          <w:noProof/>
        </w:rPr>
        <w:t>7.3  Method 1—purchase and loss of electricity from other sources</w:t>
      </w:r>
      <w:r>
        <w:rPr>
          <w:noProof/>
        </w:rPr>
        <w:tab/>
      </w:r>
      <w:r>
        <w:rPr>
          <w:noProof/>
        </w:rPr>
        <w:fldChar w:fldCharType="begin"/>
      </w:r>
      <w:r>
        <w:rPr>
          <w:noProof/>
        </w:rPr>
        <w:instrText xml:space="preserve"> PAGEREF _Toc13234076 \h </w:instrText>
      </w:r>
      <w:r>
        <w:rPr>
          <w:noProof/>
        </w:rPr>
      </w:r>
      <w:r>
        <w:rPr>
          <w:noProof/>
        </w:rPr>
        <w:fldChar w:fldCharType="separate"/>
      </w:r>
      <w:r w:rsidR="00497E3C">
        <w:rPr>
          <w:noProof/>
        </w:rPr>
        <w:t>304</w:t>
      </w:r>
      <w:r>
        <w:rPr>
          <w:noProof/>
        </w:rPr>
        <w:fldChar w:fldCharType="end"/>
      </w:r>
    </w:p>
    <w:p w14:paraId="4C3471A8" w14:textId="77777777" w:rsidR="005168F5" w:rsidRDefault="005168F5">
      <w:pPr>
        <w:pStyle w:val="TOC1"/>
        <w:rPr>
          <w:rFonts w:asciiTheme="minorHAnsi" w:eastAsiaTheme="minorEastAsia" w:hAnsiTheme="minorHAnsi" w:cstheme="minorBidi"/>
          <w:b w:val="0"/>
          <w:noProof/>
          <w:kern w:val="0"/>
          <w:sz w:val="22"/>
          <w:szCs w:val="22"/>
        </w:rPr>
      </w:pPr>
      <w:r>
        <w:rPr>
          <w:noProof/>
        </w:rPr>
        <w:t>Chapter 8—Assessment of uncertainty</w:t>
      </w:r>
      <w:r>
        <w:rPr>
          <w:noProof/>
        </w:rPr>
        <w:tab/>
      </w:r>
      <w:r>
        <w:rPr>
          <w:noProof/>
        </w:rPr>
        <w:fldChar w:fldCharType="begin"/>
      </w:r>
      <w:r>
        <w:rPr>
          <w:noProof/>
        </w:rPr>
        <w:instrText xml:space="preserve"> PAGEREF _Toc13234077 \h </w:instrText>
      </w:r>
      <w:r>
        <w:rPr>
          <w:noProof/>
        </w:rPr>
      </w:r>
      <w:r>
        <w:rPr>
          <w:noProof/>
        </w:rPr>
        <w:fldChar w:fldCharType="separate"/>
      </w:r>
      <w:r w:rsidR="00497E3C">
        <w:rPr>
          <w:noProof/>
        </w:rPr>
        <w:t>305</w:t>
      </w:r>
      <w:r>
        <w:rPr>
          <w:noProof/>
        </w:rPr>
        <w:fldChar w:fldCharType="end"/>
      </w:r>
    </w:p>
    <w:p w14:paraId="12F91C7D" w14:textId="77777777" w:rsidR="005168F5" w:rsidRDefault="005168F5">
      <w:pPr>
        <w:pStyle w:val="TOC2"/>
        <w:rPr>
          <w:rFonts w:asciiTheme="minorHAnsi" w:eastAsiaTheme="minorEastAsia" w:hAnsiTheme="minorHAnsi" w:cstheme="minorBidi"/>
          <w:b w:val="0"/>
          <w:noProof/>
          <w:kern w:val="0"/>
          <w:sz w:val="22"/>
          <w:szCs w:val="22"/>
        </w:rPr>
      </w:pPr>
      <w:r>
        <w:rPr>
          <w:noProof/>
        </w:rPr>
        <w:t>Part 8.1—Preliminary</w:t>
      </w:r>
      <w:r>
        <w:rPr>
          <w:noProof/>
        </w:rPr>
        <w:tab/>
      </w:r>
      <w:r>
        <w:rPr>
          <w:noProof/>
        </w:rPr>
        <w:fldChar w:fldCharType="begin"/>
      </w:r>
      <w:r>
        <w:rPr>
          <w:noProof/>
        </w:rPr>
        <w:instrText xml:space="preserve"> PAGEREF _Toc13234078 \h </w:instrText>
      </w:r>
      <w:r>
        <w:rPr>
          <w:noProof/>
        </w:rPr>
      </w:r>
      <w:r>
        <w:rPr>
          <w:noProof/>
        </w:rPr>
        <w:fldChar w:fldCharType="separate"/>
      </w:r>
      <w:r w:rsidR="00497E3C">
        <w:rPr>
          <w:noProof/>
        </w:rPr>
        <w:t>305</w:t>
      </w:r>
      <w:r>
        <w:rPr>
          <w:noProof/>
        </w:rPr>
        <w:fldChar w:fldCharType="end"/>
      </w:r>
    </w:p>
    <w:p w14:paraId="79C6B4CF" w14:textId="77777777" w:rsidR="005168F5" w:rsidRDefault="005168F5">
      <w:pPr>
        <w:pStyle w:val="TOC5"/>
        <w:rPr>
          <w:rFonts w:asciiTheme="minorHAnsi" w:eastAsiaTheme="minorEastAsia" w:hAnsiTheme="minorHAnsi" w:cstheme="minorBidi"/>
          <w:noProof/>
          <w:kern w:val="0"/>
          <w:sz w:val="22"/>
          <w:szCs w:val="22"/>
        </w:rPr>
      </w:pPr>
      <w:r>
        <w:rPr>
          <w:noProof/>
        </w:rPr>
        <w:t>8.1  Outline of Chapter</w:t>
      </w:r>
      <w:r>
        <w:rPr>
          <w:noProof/>
        </w:rPr>
        <w:tab/>
      </w:r>
      <w:r>
        <w:rPr>
          <w:noProof/>
        </w:rPr>
        <w:fldChar w:fldCharType="begin"/>
      </w:r>
      <w:r>
        <w:rPr>
          <w:noProof/>
        </w:rPr>
        <w:instrText xml:space="preserve"> PAGEREF _Toc13234079 \h </w:instrText>
      </w:r>
      <w:r>
        <w:rPr>
          <w:noProof/>
        </w:rPr>
      </w:r>
      <w:r>
        <w:rPr>
          <w:noProof/>
        </w:rPr>
        <w:fldChar w:fldCharType="separate"/>
      </w:r>
      <w:r w:rsidR="00497E3C">
        <w:rPr>
          <w:noProof/>
        </w:rPr>
        <w:t>305</w:t>
      </w:r>
      <w:r>
        <w:rPr>
          <w:noProof/>
        </w:rPr>
        <w:fldChar w:fldCharType="end"/>
      </w:r>
    </w:p>
    <w:p w14:paraId="57135B64" w14:textId="77777777" w:rsidR="005168F5" w:rsidRDefault="005168F5">
      <w:pPr>
        <w:pStyle w:val="TOC2"/>
        <w:rPr>
          <w:rFonts w:asciiTheme="minorHAnsi" w:eastAsiaTheme="minorEastAsia" w:hAnsiTheme="minorHAnsi" w:cstheme="minorBidi"/>
          <w:b w:val="0"/>
          <w:noProof/>
          <w:kern w:val="0"/>
          <w:sz w:val="22"/>
          <w:szCs w:val="22"/>
        </w:rPr>
      </w:pPr>
      <w:r>
        <w:rPr>
          <w:noProof/>
        </w:rPr>
        <w:t>Part 8.2—General rules for assessing uncertainty</w:t>
      </w:r>
      <w:r>
        <w:rPr>
          <w:noProof/>
        </w:rPr>
        <w:tab/>
      </w:r>
      <w:r>
        <w:rPr>
          <w:noProof/>
        </w:rPr>
        <w:fldChar w:fldCharType="begin"/>
      </w:r>
      <w:r>
        <w:rPr>
          <w:noProof/>
        </w:rPr>
        <w:instrText xml:space="preserve"> PAGEREF _Toc13234080 \h </w:instrText>
      </w:r>
      <w:r>
        <w:rPr>
          <w:noProof/>
        </w:rPr>
      </w:r>
      <w:r>
        <w:rPr>
          <w:noProof/>
        </w:rPr>
        <w:fldChar w:fldCharType="separate"/>
      </w:r>
      <w:r w:rsidR="00497E3C">
        <w:rPr>
          <w:noProof/>
        </w:rPr>
        <w:t>306</w:t>
      </w:r>
      <w:r>
        <w:rPr>
          <w:noProof/>
        </w:rPr>
        <w:fldChar w:fldCharType="end"/>
      </w:r>
    </w:p>
    <w:p w14:paraId="1CA5DE47" w14:textId="77777777" w:rsidR="005168F5" w:rsidRDefault="005168F5">
      <w:pPr>
        <w:pStyle w:val="TOC5"/>
        <w:rPr>
          <w:rFonts w:asciiTheme="minorHAnsi" w:eastAsiaTheme="minorEastAsia" w:hAnsiTheme="minorHAnsi" w:cstheme="minorBidi"/>
          <w:noProof/>
          <w:kern w:val="0"/>
          <w:sz w:val="22"/>
          <w:szCs w:val="22"/>
        </w:rPr>
      </w:pPr>
      <w:r>
        <w:rPr>
          <w:noProof/>
        </w:rPr>
        <w:t>8.2  Range for emission estimates</w:t>
      </w:r>
      <w:r>
        <w:rPr>
          <w:noProof/>
        </w:rPr>
        <w:tab/>
      </w:r>
      <w:r>
        <w:rPr>
          <w:noProof/>
        </w:rPr>
        <w:fldChar w:fldCharType="begin"/>
      </w:r>
      <w:r>
        <w:rPr>
          <w:noProof/>
        </w:rPr>
        <w:instrText xml:space="preserve"> PAGEREF _Toc13234081 \h </w:instrText>
      </w:r>
      <w:r>
        <w:rPr>
          <w:noProof/>
        </w:rPr>
      </w:r>
      <w:r>
        <w:rPr>
          <w:noProof/>
        </w:rPr>
        <w:fldChar w:fldCharType="separate"/>
      </w:r>
      <w:r w:rsidR="00497E3C">
        <w:rPr>
          <w:noProof/>
        </w:rPr>
        <w:t>306</w:t>
      </w:r>
      <w:r>
        <w:rPr>
          <w:noProof/>
        </w:rPr>
        <w:fldChar w:fldCharType="end"/>
      </w:r>
    </w:p>
    <w:p w14:paraId="224D0031" w14:textId="77777777" w:rsidR="005168F5" w:rsidRDefault="005168F5">
      <w:pPr>
        <w:pStyle w:val="TOC5"/>
        <w:rPr>
          <w:rFonts w:asciiTheme="minorHAnsi" w:eastAsiaTheme="minorEastAsia" w:hAnsiTheme="minorHAnsi" w:cstheme="minorBidi"/>
          <w:noProof/>
          <w:kern w:val="0"/>
          <w:sz w:val="22"/>
          <w:szCs w:val="22"/>
        </w:rPr>
      </w:pPr>
      <w:r>
        <w:rPr>
          <w:noProof/>
        </w:rPr>
        <w:t>8.3  Required method</w:t>
      </w:r>
      <w:r>
        <w:rPr>
          <w:noProof/>
        </w:rPr>
        <w:tab/>
      </w:r>
      <w:r>
        <w:rPr>
          <w:noProof/>
        </w:rPr>
        <w:fldChar w:fldCharType="begin"/>
      </w:r>
      <w:r>
        <w:rPr>
          <w:noProof/>
        </w:rPr>
        <w:instrText xml:space="preserve"> PAGEREF _Toc13234082 \h </w:instrText>
      </w:r>
      <w:r>
        <w:rPr>
          <w:noProof/>
        </w:rPr>
      </w:r>
      <w:r>
        <w:rPr>
          <w:noProof/>
        </w:rPr>
        <w:fldChar w:fldCharType="separate"/>
      </w:r>
      <w:r w:rsidR="00497E3C">
        <w:rPr>
          <w:noProof/>
        </w:rPr>
        <w:t>306</w:t>
      </w:r>
      <w:r>
        <w:rPr>
          <w:noProof/>
        </w:rPr>
        <w:fldChar w:fldCharType="end"/>
      </w:r>
    </w:p>
    <w:p w14:paraId="7F0D2CB1" w14:textId="77777777" w:rsidR="005168F5" w:rsidRDefault="005168F5">
      <w:pPr>
        <w:pStyle w:val="TOC2"/>
        <w:rPr>
          <w:rFonts w:asciiTheme="minorHAnsi" w:eastAsiaTheme="minorEastAsia" w:hAnsiTheme="minorHAnsi" w:cstheme="minorBidi"/>
          <w:b w:val="0"/>
          <w:noProof/>
          <w:kern w:val="0"/>
          <w:sz w:val="22"/>
          <w:szCs w:val="22"/>
        </w:rPr>
      </w:pPr>
      <w:r>
        <w:rPr>
          <w:noProof/>
        </w:rPr>
        <w:t>Part 8.3—How to assess uncertainty when using method 1</w:t>
      </w:r>
      <w:r>
        <w:rPr>
          <w:noProof/>
        </w:rPr>
        <w:tab/>
      </w:r>
      <w:r>
        <w:rPr>
          <w:noProof/>
        </w:rPr>
        <w:fldChar w:fldCharType="begin"/>
      </w:r>
      <w:r>
        <w:rPr>
          <w:noProof/>
        </w:rPr>
        <w:instrText xml:space="preserve"> PAGEREF _Toc13234083 \h </w:instrText>
      </w:r>
      <w:r>
        <w:rPr>
          <w:noProof/>
        </w:rPr>
      </w:r>
      <w:r>
        <w:rPr>
          <w:noProof/>
        </w:rPr>
        <w:fldChar w:fldCharType="separate"/>
      </w:r>
      <w:r w:rsidR="00497E3C">
        <w:rPr>
          <w:noProof/>
        </w:rPr>
        <w:t>307</w:t>
      </w:r>
      <w:r>
        <w:rPr>
          <w:noProof/>
        </w:rPr>
        <w:fldChar w:fldCharType="end"/>
      </w:r>
    </w:p>
    <w:p w14:paraId="37787AC9" w14:textId="77777777" w:rsidR="005168F5" w:rsidRDefault="005168F5">
      <w:pPr>
        <w:pStyle w:val="TOC5"/>
        <w:rPr>
          <w:rFonts w:asciiTheme="minorHAnsi" w:eastAsiaTheme="minorEastAsia" w:hAnsiTheme="minorHAnsi" w:cstheme="minorBidi"/>
          <w:noProof/>
          <w:kern w:val="0"/>
          <w:sz w:val="22"/>
          <w:szCs w:val="22"/>
        </w:rPr>
      </w:pPr>
      <w:r>
        <w:rPr>
          <w:noProof/>
        </w:rPr>
        <w:t>8.4  Purpose of Part</w:t>
      </w:r>
      <w:r>
        <w:rPr>
          <w:noProof/>
        </w:rPr>
        <w:tab/>
      </w:r>
      <w:r>
        <w:rPr>
          <w:noProof/>
        </w:rPr>
        <w:fldChar w:fldCharType="begin"/>
      </w:r>
      <w:r>
        <w:rPr>
          <w:noProof/>
        </w:rPr>
        <w:instrText xml:space="preserve"> PAGEREF _Toc13234084 \h </w:instrText>
      </w:r>
      <w:r>
        <w:rPr>
          <w:noProof/>
        </w:rPr>
      </w:r>
      <w:r>
        <w:rPr>
          <w:noProof/>
        </w:rPr>
        <w:fldChar w:fldCharType="separate"/>
      </w:r>
      <w:r w:rsidR="00497E3C">
        <w:rPr>
          <w:noProof/>
        </w:rPr>
        <w:t>307</w:t>
      </w:r>
      <w:r>
        <w:rPr>
          <w:noProof/>
        </w:rPr>
        <w:fldChar w:fldCharType="end"/>
      </w:r>
    </w:p>
    <w:p w14:paraId="240B4DDC" w14:textId="77777777" w:rsidR="005168F5" w:rsidRDefault="005168F5">
      <w:pPr>
        <w:pStyle w:val="TOC5"/>
        <w:rPr>
          <w:rFonts w:asciiTheme="minorHAnsi" w:eastAsiaTheme="minorEastAsia" w:hAnsiTheme="minorHAnsi" w:cstheme="minorBidi"/>
          <w:noProof/>
          <w:kern w:val="0"/>
          <w:sz w:val="22"/>
          <w:szCs w:val="22"/>
        </w:rPr>
      </w:pPr>
      <w:r>
        <w:rPr>
          <w:noProof/>
        </w:rPr>
        <w:t>8.5  General rules about uncertainty estimates for emissions estimates using method 1</w:t>
      </w:r>
      <w:r>
        <w:rPr>
          <w:noProof/>
        </w:rPr>
        <w:tab/>
      </w:r>
      <w:r>
        <w:rPr>
          <w:noProof/>
        </w:rPr>
        <w:fldChar w:fldCharType="begin"/>
      </w:r>
      <w:r>
        <w:rPr>
          <w:noProof/>
        </w:rPr>
        <w:instrText xml:space="preserve"> PAGEREF _Toc13234085 \h </w:instrText>
      </w:r>
      <w:r>
        <w:rPr>
          <w:noProof/>
        </w:rPr>
      </w:r>
      <w:r>
        <w:rPr>
          <w:noProof/>
        </w:rPr>
        <w:fldChar w:fldCharType="separate"/>
      </w:r>
      <w:r w:rsidR="00497E3C">
        <w:rPr>
          <w:noProof/>
        </w:rPr>
        <w:t>307</w:t>
      </w:r>
      <w:r>
        <w:rPr>
          <w:noProof/>
        </w:rPr>
        <w:fldChar w:fldCharType="end"/>
      </w:r>
    </w:p>
    <w:p w14:paraId="60B6A66B" w14:textId="77777777" w:rsidR="005168F5" w:rsidRDefault="005168F5">
      <w:pPr>
        <w:pStyle w:val="TOC5"/>
        <w:rPr>
          <w:rFonts w:asciiTheme="minorHAnsi" w:eastAsiaTheme="minorEastAsia" w:hAnsiTheme="minorHAnsi" w:cstheme="minorBidi"/>
          <w:noProof/>
          <w:kern w:val="0"/>
          <w:sz w:val="22"/>
          <w:szCs w:val="22"/>
        </w:rPr>
      </w:pPr>
      <w:r>
        <w:rPr>
          <w:noProof/>
        </w:rPr>
        <w:t>8.6  Assessment of uncertainty for estimates of carbon dioxide emissions from combustion of fuels</w:t>
      </w:r>
      <w:r>
        <w:rPr>
          <w:noProof/>
        </w:rPr>
        <w:tab/>
      </w:r>
      <w:r>
        <w:rPr>
          <w:noProof/>
        </w:rPr>
        <w:fldChar w:fldCharType="begin"/>
      </w:r>
      <w:r>
        <w:rPr>
          <w:noProof/>
        </w:rPr>
        <w:instrText xml:space="preserve"> PAGEREF _Toc13234086 \h </w:instrText>
      </w:r>
      <w:r>
        <w:rPr>
          <w:noProof/>
        </w:rPr>
      </w:r>
      <w:r>
        <w:rPr>
          <w:noProof/>
        </w:rPr>
        <w:fldChar w:fldCharType="separate"/>
      </w:r>
      <w:r w:rsidR="00497E3C">
        <w:rPr>
          <w:noProof/>
        </w:rPr>
        <w:t>307</w:t>
      </w:r>
      <w:r>
        <w:rPr>
          <w:noProof/>
        </w:rPr>
        <w:fldChar w:fldCharType="end"/>
      </w:r>
    </w:p>
    <w:p w14:paraId="5A1B4B3C" w14:textId="77777777" w:rsidR="005168F5" w:rsidRDefault="005168F5">
      <w:pPr>
        <w:pStyle w:val="TOC5"/>
        <w:rPr>
          <w:rFonts w:asciiTheme="minorHAnsi" w:eastAsiaTheme="minorEastAsia" w:hAnsiTheme="minorHAnsi" w:cstheme="minorBidi"/>
          <w:noProof/>
          <w:kern w:val="0"/>
          <w:sz w:val="22"/>
          <w:szCs w:val="22"/>
        </w:rPr>
      </w:pPr>
      <w:r>
        <w:rPr>
          <w:noProof/>
        </w:rPr>
        <w:t>8.7  Assessment of uncertainty for estimates of methane and nitrous oxide emissions from combustion of fuels</w:t>
      </w:r>
      <w:r>
        <w:rPr>
          <w:noProof/>
        </w:rPr>
        <w:tab/>
      </w:r>
      <w:r>
        <w:rPr>
          <w:noProof/>
        </w:rPr>
        <w:fldChar w:fldCharType="begin"/>
      </w:r>
      <w:r>
        <w:rPr>
          <w:noProof/>
        </w:rPr>
        <w:instrText xml:space="preserve"> PAGEREF _Toc13234087 \h </w:instrText>
      </w:r>
      <w:r>
        <w:rPr>
          <w:noProof/>
        </w:rPr>
      </w:r>
      <w:r>
        <w:rPr>
          <w:noProof/>
        </w:rPr>
        <w:fldChar w:fldCharType="separate"/>
      </w:r>
      <w:r w:rsidR="00497E3C">
        <w:rPr>
          <w:noProof/>
        </w:rPr>
        <w:t>310</w:t>
      </w:r>
      <w:r>
        <w:rPr>
          <w:noProof/>
        </w:rPr>
        <w:fldChar w:fldCharType="end"/>
      </w:r>
    </w:p>
    <w:p w14:paraId="64221A01" w14:textId="77777777" w:rsidR="005168F5" w:rsidRDefault="005168F5">
      <w:pPr>
        <w:pStyle w:val="TOC5"/>
        <w:rPr>
          <w:rFonts w:asciiTheme="minorHAnsi" w:eastAsiaTheme="minorEastAsia" w:hAnsiTheme="minorHAnsi" w:cstheme="minorBidi"/>
          <w:noProof/>
          <w:kern w:val="0"/>
          <w:sz w:val="22"/>
          <w:szCs w:val="22"/>
        </w:rPr>
      </w:pPr>
      <w:r>
        <w:rPr>
          <w:noProof/>
        </w:rPr>
        <w:t>8.8  Assessment of uncertainty for estimates of fugitive emissions</w:t>
      </w:r>
      <w:r>
        <w:rPr>
          <w:noProof/>
        </w:rPr>
        <w:tab/>
      </w:r>
      <w:r>
        <w:rPr>
          <w:noProof/>
        </w:rPr>
        <w:fldChar w:fldCharType="begin"/>
      </w:r>
      <w:r>
        <w:rPr>
          <w:noProof/>
        </w:rPr>
        <w:instrText xml:space="preserve"> PAGEREF _Toc13234088 \h </w:instrText>
      </w:r>
      <w:r>
        <w:rPr>
          <w:noProof/>
        </w:rPr>
      </w:r>
      <w:r>
        <w:rPr>
          <w:noProof/>
        </w:rPr>
        <w:fldChar w:fldCharType="separate"/>
      </w:r>
      <w:r w:rsidR="00497E3C">
        <w:rPr>
          <w:noProof/>
        </w:rPr>
        <w:t>311</w:t>
      </w:r>
      <w:r>
        <w:rPr>
          <w:noProof/>
        </w:rPr>
        <w:fldChar w:fldCharType="end"/>
      </w:r>
    </w:p>
    <w:p w14:paraId="0B4C9712" w14:textId="77777777" w:rsidR="005168F5" w:rsidRDefault="005168F5">
      <w:pPr>
        <w:pStyle w:val="TOC5"/>
        <w:rPr>
          <w:rFonts w:asciiTheme="minorHAnsi" w:eastAsiaTheme="minorEastAsia" w:hAnsiTheme="minorHAnsi" w:cstheme="minorBidi"/>
          <w:noProof/>
          <w:kern w:val="0"/>
          <w:sz w:val="22"/>
          <w:szCs w:val="22"/>
        </w:rPr>
      </w:pPr>
      <w:r>
        <w:rPr>
          <w:noProof/>
        </w:rPr>
        <w:t>8.9  Assessment of uncertainty for estimates of emissions from industrial process sources</w:t>
      </w:r>
      <w:r>
        <w:rPr>
          <w:noProof/>
        </w:rPr>
        <w:tab/>
      </w:r>
      <w:r>
        <w:rPr>
          <w:noProof/>
        </w:rPr>
        <w:fldChar w:fldCharType="begin"/>
      </w:r>
      <w:r>
        <w:rPr>
          <w:noProof/>
        </w:rPr>
        <w:instrText xml:space="preserve"> PAGEREF _Toc13234089 \h </w:instrText>
      </w:r>
      <w:r>
        <w:rPr>
          <w:noProof/>
        </w:rPr>
      </w:r>
      <w:r>
        <w:rPr>
          <w:noProof/>
        </w:rPr>
        <w:fldChar w:fldCharType="separate"/>
      </w:r>
      <w:r w:rsidR="00497E3C">
        <w:rPr>
          <w:noProof/>
        </w:rPr>
        <w:t>311</w:t>
      </w:r>
      <w:r>
        <w:rPr>
          <w:noProof/>
        </w:rPr>
        <w:fldChar w:fldCharType="end"/>
      </w:r>
    </w:p>
    <w:p w14:paraId="144C46F0" w14:textId="77777777" w:rsidR="005168F5" w:rsidRDefault="005168F5">
      <w:pPr>
        <w:pStyle w:val="TOC5"/>
        <w:rPr>
          <w:rFonts w:asciiTheme="minorHAnsi" w:eastAsiaTheme="minorEastAsia" w:hAnsiTheme="minorHAnsi" w:cstheme="minorBidi"/>
          <w:noProof/>
          <w:kern w:val="0"/>
          <w:sz w:val="22"/>
          <w:szCs w:val="22"/>
        </w:rPr>
      </w:pPr>
      <w:r>
        <w:rPr>
          <w:noProof/>
        </w:rPr>
        <w:lastRenderedPageBreak/>
        <w:t>8.10  Assessment of uncertainty for estimates of emissions from waste</w:t>
      </w:r>
      <w:r>
        <w:rPr>
          <w:noProof/>
        </w:rPr>
        <w:tab/>
      </w:r>
      <w:r>
        <w:rPr>
          <w:noProof/>
        </w:rPr>
        <w:fldChar w:fldCharType="begin"/>
      </w:r>
      <w:r>
        <w:rPr>
          <w:noProof/>
        </w:rPr>
        <w:instrText xml:space="preserve"> PAGEREF _Toc13234090 \h </w:instrText>
      </w:r>
      <w:r>
        <w:rPr>
          <w:noProof/>
        </w:rPr>
      </w:r>
      <w:r>
        <w:rPr>
          <w:noProof/>
        </w:rPr>
        <w:fldChar w:fldCharType="separate"/>
      </w:r>
      <w:r w:rsidR="00497E3C">
        <w:rPr>
          <w:noProof/>
        </w:rPr>
        <w:t>312</w:t>
      </w:r>
      <w:r>
        <w:rPr>
          <w:noProof/>
        </w:rPr>
        <w:fldChar w:fldCharType="end"/>
      </w:r>
    </w:p>
    <w:p w14:paraId="4D4A1DE8" w14:textId="77777777" w:rsidR="005168F5" w:rsidRDefault="005168F5">
      <w:pPr>
        <w:pStyle w:val="TOC5"/>
        <w:rPr>
          <w:rFonts w:asciiTheme="minorHAnsi" w:eastAsiaTheme="minorEastAsia" w:hAnsiTheme="minorHAnsi" w:cstheme="minorBidi"/>
          <w:noProof/>
          <w:kern w:val="0"/>
          <w:sz w:val="22"/>
          <w:szCs w:val="22"/>
        </w:rPr>
      </w:pPr>
      <w:r>
        <w:rPr>
          <w:noProof/>
        </w:rPr>
        <w:t>8.11  Assessing uncertainty of emissions estimates for a source by aggregating parameter uncertainties</w:t>
      </w:r>
      <w:r>
        <w:rPr>
          <w:noProof/>
        </w:rPr>
        <w:tab/>
      </w:r>
      <w:r>
        <w:rPr>
          <w:noProof/>
        </w:rPr>
        <w:fldChar w:fldCharType="begin"/>
      </w:r>
      <w:r>
        <w:rPr>
          <w:noProof/>
        </w:rPr>
        <w:instrText xml:space="preserve"> PAGEREF _Toc13234091 \h </w:instrText>
      </w:r>
      <w:r>
        <w:rPr>
          <w:noProof/>
        </w:rPr>
      </w:r>
      <w:r>
        <w:rPr>
          <w:noProof/>
        </w:rPr>
        <w:fldChar w:fldCharType="separate"/>
      </w:r>
      <w:r w:rsidR="00497E3C">
        <w:rPr>
          <w:noProof/>
        </w:rPr>
        <w:t>313</w:t>
      </w:r>
      <w:r>
        <w:rPr>
          <w:noProof/>
        </w:rPr>
        <w:fldChar w:fldCharType="end"/>
      </w:r>
    </w:p>
    <w:p w14:paraId="2F6A3A61" w14:textId="77777777" w:rsidR="005168F5" w:rsidRDefault="005168F5">
      <w:pPr>
        <w:pStyle w:val="TOC2"/>
        <w:rPr>
          <w:rFonts w:asciiTheme="minorHAnsi" w:eastAsiaTheme="minorEastAsia" w:hAnsiTheme="minorHAnsi" w:cstheme="minorBidi"/>
          <w:b w:val="0"/>
          <w:noProof/>
          <w:kern w:val="0"/>
          <w:sz w:val="22"/>
          <w:szCs w:val="22"/>
        </w:rPr>
      </w:pPr>
      <w:r>
        <w:rPr>
          <w:noProof/>
        </w:rPr>
        <w:t>Part 8.4—How to assess uncertainty levels when using method 2, 3 or 4</w:t>
      </w:r>
      <w:r>
        <w:rPr>
          <w:noProof/>
        </w:rPr>
        <w:tab/>
      </w:r>
      <w:r>
        <w:rPr>
          <w:noProof/>
        </w:rPr>
        <w:fldChar w:fldCharType="begin"/>
      </w:r>
      <w:r>
        <w:rPr>
          <w:noProof/>
        </w:rPr>
        <w:instrText xml:space="preserve"> PAGEREF _Toc13234092 \h </w:instrText>
      </w:r>
      <w:r>
        <w:rPr>
          <w:noProof/>
        </w:rPr>
      </w:r>
      <w:r>
        <w:rPr>
          <w:noProof/>
        </w:rPr>
        <w:fldChar w:fldCharType="separate"/>
      </w:r>
      <w:r w:rsidR="00497E3C">
        <w:rPr>
          <w:noProof/>
        </w:rPr>
        <w:t>314</w:t>
      </w:r>
      <w:r>
        <w:rPr>
          <w:noProof/>
        </w:rPr>
        <w:fldChar w:fldCharType="end"/>
      </w:r>
    </w:p>
    <w:p w14:paraId="194E60B3" w14:textId="77777777" w:rsidR="005168F5" w:rsidRDefault="005168F5">
      <w:pPr>
        <w:pStyle w:val="TOC5"/>
        <w:rPr>
          <w:rFonts w:asciiTheme="minorHAnsi" w:eastAsiaTheme="minorEastAsia" w:hAnsiTheme="minorHAnsi" w:cstheme="minorBidi"/>
          <w:noProof/>
          <w:kern w:val="0"/>
          <w:sz w:val="22"/>
          <w:szCs w:val="22"/>
        </w:rPr>
      </w:pPr>
      <w:r>
        <w:rPr>
          <w:noProof/>
        </w:rPr>
        <w:t>8.14  Purpose of Part</w:t>
      </w:r>
      <w:r>
        <w:rPr>
          <w:noProof/>
        </w:rPr>
        <w:tab/>
      </w:r>
      <w:r>
        <w:rPr>
          <w:noProof/>
        </w:rPr>
        <w:fldChar w:fldCharType="begin"/>
      </w:r>
      <w:r>
        <w:rPr>
          <w:noProof/>
        </w:rPr>
        <w:instrText xml:space="preserve"> PAGEREF _Toc13234093 \h </w:instrText>
      </w:r>
      <w:r>
        <w:rPr>
          <w:noProof/>
        </w:rPr>
      </w:r>
      <w:r>
        <w:rPr>
          <w:noProof/>
        </w:rPr>
        <w:fldChar w:fldCharType="separate"/>
      </w:r>
      <w:r w:rsidR="00497E3C">
        <w:rPr>
          <w:noProof/>
        </w:rPr>
        <w:t>314</w:t>
      </w:r>
      <w:r>
        <w:rPr>
          <w:noProof/>
        </w:rPr>
        <w:fldChar w:fldCharType="end"/>
      </w:r>
    </w:p>
    <w:p w14:paraId="6EE0751D" w14:textId="77777777" w:rsidR="005168F5" w:rsidRDefault="005168F5">
      <w:pPr>
        <w:pStyle w:val="TOC5"/>
        <w:rPr>
          <w:rFonts w:asciiTheme="minorHAnsi" w:eastAsiaTheme="minorEastAsia" w:hAnsiTheme="minorHAnsi" w:cstheme="minorBidi"/>
          <w:noProof/>
          <w:kern w:val="0"/>
          <w:sz w:val="22"/>
          <w:szCs w:val="22"/>
        </w:rPr>
      </w:pPr>
      <w:r>
        <w:rPr>
          <w:noProof/>
        </w:rPr>
        <w:t>8.15  Rules for assessment of uncertainty using method 2, 3 or 4</w:t>
      </w:r>
      <w:r>
        <w:rPr>
          <w:noProof/>
        </w:rPr>
        <w:tab/>
      </w:r>
      <w:r>
        <w:rPr>
          <w:noProof/>
        </w:rPr>
        <w:fldChar w:fldCharType="begin"/>
      </w:r>
      <w:r>
        <w:rPr>
          <w:noProof/>
        </w:rPr>
        <w:instrText xml:space="preserve"> PAGEREF _Toc13234094 \h </w:instrText>
      </w:r>
      <w:r>
        <w:rPr>
          <w:noProof/>
        </w:rPr>
      </w:r>
      <w:r>
        <w:rPr>
          <w:noProof/>
        </w:rPr>
        <w:fldChar w:fldCharType="separate"/>
      </w:r>
      <w:r w:rsidR="00497E3C">
        <w:rPr>
          <w:noProof/>
        </w:rPr>
        <w:t>314</w:t>
      </w:r>
      <w:r>
        <w:rPr>
          <w:noProof/>
        </w:rPr>
        <w:fldChar w:fldCharType="end"/>
      </w:r>
    </w:p>
    <w:p w14:paraId="33F9BB51" w14:textId="77777777" w:rsidR="005168F5" w:rsidRDefault="005168F5">
      <w:pPr>
        <w:pStyle w:val="TOC1"/>
        <w:rPr>
          <w:rFonts w:asciiTheme="minorHAnsi" w:eastAsiaTheme="minorEastAsia" w:hAnsiTheme="minorHAnsi" w:cstheme="minorBidi"/>
          <w:b w:val="0"/>
          <w:noProof/>
          <w:kern w:val="0"/>
          <w:sz w:val="22"/>
          <w:szCs w:val="22"/>
        </w:rPr>
      </w:pPr>
      <w:r>
        <w:rPr>
          <w:noProof/>
        </w:rPr>
        <w:t>Chapter 9—Application and transitional provisions</w:t>
      </w:r>
      <w:r>
        <w:rPr>
          <w:noProof/>
        </w:rPr>
        <w:tab/>
      </w:r>
      <w:r>
        <w:rPr>
          <w:noProof/>
        </w:rPr>
        <w:fldChar w:fldCharType="begin"/>
      </w:r>
      <w:r>
        <w:rPr>
          <w:noProof/>
        </w:rPr>
        <w:instrText xml:space="preserve"> PAGEREF _Toc13234095 \h </w:instrText>
      </w:r>
      <w:r>
        <w:rPr>
          <w:noProof/>
        </w:rPr>
      </w:r>
      <w:r>
        <w:rPr>
          <w:noProof/>
        </w:rPr>
        <w:fldChar w:fldCharType="separate"/>
      </w:r>
      <w:r w:rsidR="00497E3C">
        <w:rPr>
          <w:noProof/>
        </w:rPr>
        <w:t>315</w:t>
      </w:r>
      <w:r>
        <w:rPr>
          <w:noProof/>
        </w:rPr>
        <w:fldChar w:fldCharType="end"/>
      </w:r>
    </w:p>
    <w:p w14:paraId="0E93EDEB" w14:textId="77777777" w:rsidR="005168F5" w:rsidRDefault="005168F5">
      <w:pPr>
        <w:pStyle w:val="TOC5"/>
        <w:rPr>
          <w:rFonts w:asciiTheme="minorHAnsi" w:eastAsiaTheme="minorEastAsia" w:hAnsiTheme="minorHAnsi" w:cstheme="minorBidi"/>
          <w:noProof/>
          <w:kern w:val="0"/>
          <w:sz w:val="22"/>
          <w:szCs w:val="22"/>
        </w:rPr>
      </w:pPr>
      <w:r>
        <w:rPr>
          <w:noProof/>
        </w:rPr>
        <w:t xml:space="preserve">9.10  Amendments made by the </w:t>
      </w:r>
      <w:r w:rsidRPr="00F869F2">
        <w:rPr>
          <w:i/>
          <w:noProof/>
        </w:rPr>
        <w:t>National Greenhouse and Energy Reporting (Measurement) Amendment (Energy) Determination 2017</w:t>
      </w:r>
      <w:r>
        <w:rPr>
          <w:noProof/>
        </w:rPr>
        <w:tab/>
      </w:r>
      <w:r>
        <w:rPr>
          <w:noProof/>
        </w:rPr>
        <w:fldChar w:fldCharType="begin"/>
      </w:r>
      <w:r>
        <w:rPr>
          <w:noProof/>
        </w:rPr>
        <w:instrText xml:space="preserve"> PAGEREF _Toc13234096 \h </w:instrText>
      </w:r>
      <w:r>
        <w:rPr>
          <w:noProof/>
        </w:rPr>
      </w:r>
      <w:r>
        <w:rPr>
          <w:noProof/>
        </w:rPr>
        <w:fldChar w:fldCharType="separate"/>
      </w:r>
      <w:r w:rsidR="00497E3C">
        <w:rPr>
          <w:noProof/>
        </w:rPr>
        <w:t>315</w:t>
      </w:r>
      <w:r>
        <w:rPr>
          <w:noProof/>
        </w:rPr>
        <w:fldChar w:fldCharType="end"/>
      </w:r>
    </w:p>
    <w:p w14:paraId="5C1AFB87" w14:textId="77777777" w:rsidR="005168F5" w:rsidRDefault="005168F5">
      <w:pPr>
        <w:pStyle w:val="TOC5"/>
        <w:rPr>
          <w:rFonts w:asciiTheme="minorHAnsi" w:eastAsiaTheme="minorEastAsia" w:hAnsiTheme="minorHAnsi" w:cstheme="minorBidi"/>
          <w:noProof/>
          <w:kern w:val="0"/>
          <w:sz w:val="22"/>
          <w:szCs w:val="22"/>
        </w:rPr>
      </w:pPr>
      <w:r>
        <w:rPr>
          <w:noProof/>
        </w:rPr>
        <w:t xml:space="preserve">9.11  Amendments made by the </w:t>
      </w:r>
      <w:r w:rsidRPr="00F869F2">
        <w:rPr>
          <w:i/>
          <w:noProof/>
        </w:rPr>
        <w:t>National Greenhouse and Energy Reporting (Measurement) Amendment (2018 Update) Determination 2018</w:t>
      </w:r>
      <w:r>
        <w:rPr>
          <w:noProof/>
        </w:rPr>
        <w:tab/>
      </w:r>
      <w:r>
        <w:rPr>
          <w:noProof/>
        </w:rPr>
        <w:fldChar w:fldCharType="begin"/>
      </w:r>
      <w:r>
        <w:rPr>
          <w:noProof/>
        </w:rPr>
        <w:instrText xml:space="preserve"> PAGEREF _Toc13234097 \h </w:instrText>
      </w:r>
      <w:r>
        <w:rPr>
          <w:noProof/>
        </w:rPr>
      </w:r>
      <w:r>
        <w:rPr>
          <w:noProof/>
        </w:rPr>
        <w:fldChar w:fldCharType="separate"/>
      </w:r>
      <w:r w:rsidR="00497E3C">
        <w:rPr>
          <w:noProof/>
        </w:rPr>
        <w:t>315</w:t>
      </w:r>
      <w:r>
        <w:rPr>
          <w:noProof/>
        </w:rPr>
        <w:fldChar w:fldCharType="end"/>
      </w:r>
    </w:p>
    <w:p w14:paraId="12305BDD" w14:textId="77777777" w:rsidR="005168F5" w:rsidRDefault="005168F5">
      <w:pPr>
        <w:pStyle w:val="TOC5"/>
        <w:rPr>
          <w:rFonts w:asciiTheme="minorHAnsi" w:eastAsiaTheme="minorEastAsia" w:hAnsiTheme="minorHAnsi" w:cstheme="minorBidi"/>
          <w:noProof/>
          <w:kern w:val="0"/>
          <w:sz w:val="22"/>
          <w:szCs w:val="22"/>
        </w:rPr>
      </w:pPr>
      <w:r>
        <w:rPr>
          <w:noProof/>
        </w:rPr>
        <w:t xml:space="preserve">9.12  Amendments made by the </w:t>
      </w:r>
      <w:r w:rsidRPr="00F869F2">
        <w:rPr>
          <w:i/>
          <w:noProof/>
        </w:rPr>
        <w:t>National Greenhouse and Energy Reporting (Measurement) Amendment (2019 Update) Determination 2019</w:t>
      </w:r>
      <w:r>
        <w:rPr>
          <w:noProof/>
        </w:rPr>
        <w:tab/>
      </w:r>
      <w:r>
        <w:rPr>
          <w:noProof/>
        </w:rPr>
        <w:fldChar w:fldCharType="begin"/>
      </w:r>
      <w:r>
        <w:rPr>
          <w:noProof/>
        </w:rPr>
        <w:instrText xml:space="preserve"> PAGEREF _Toc13234098 \h </w:instrText>
      </w:r>
      <w:r>
        <w:rPr>
          <w:noProof/>
        </w:rPr>
      </w:r>
      <w:r>
        <w:rPr>
          <w:noProof/>
        </w:rPr>
        <w:fldChar w:fldCharType="separate"/>
      </w:r>
      <w:r w:rsidR="00497E3C">
        <w:rPr>
          <w:noProof/>
        </w:rPr>
        <w:t>315</w:t>
      </w:r>
      <w:r>
        <w:rPr>
          <w:noProof/>
        </w:rPr>
        <w:fldChar w:fldCharType="end"/>
      </w:r>
    </w:p>
    <w:p w14:paraId="6440DD63" w14:textId="77777777" w:rsidR="005168F5" w:rsidRDefault="005168F5">
      <w:pPr>
        <w:pStyle w:val="TOC1"/>
        <w:rPr>
          <w:rFonts w:asciiTheme="minorHAnsi" w:eastAsiaTheme="minorEastAsia" w:hAnsiTheme="minorHAnsi" w:cstheme="minorBidi"/>
          <w:b w:val="0"/>
          <w:noProof/>
          <w:kern w:val="0"/>
          <w:sz w:val="22"/>
          <w:szCs w:val="22"/>
        </w:rPr>
      </w:pPr>
      <w:r>
        <w:rPr>
          <w:noProof/>
        </w:rPr>
        <w:lastRenderedPageBreak/>
        <w:t>Schedule 1—Energy content factors and emission factors</w:t>
      </w:r>
      <w:r>
        <w:rPr>
          <w:noProof/>
        </w:rPr>
        <w:tab/>
      </w:r>
      <w:r>
        <w:rPr>
          <w:noProof/>
        </w:rPr>
        <w:fldChar w:fldCharType="begin"/>
      </w:r>
      <w:r>
        <w:rPr>
          <w:noProof/>
        </w:rPr>
        <w:instrText xml:space="preserve"> PAGEREF _Toc13234099 \h </w:instrText>
      </w:r>
      <w:r>
        <w:rPr>
          <w:noProof/>
        </w:rPr>
      </w:r>
      <w:r>
        <w:rPr>
          <w:noProof/>
        </w:rPr>
        <w:fldChar w:fldCharType="separate"/>
      </w:r>
      <w:r w:rsidR="00497E3C">
        <w:rPr>
          <w:noProof/>
        </w:rPr>
        <w:t>316</w:t>
      </w:r>
      <w:r>
        <w:rPr>
          <w:noProof/>
        </w:rPr>
        <w:fldChar w:fldCharType="end"/>
      </w:r>
    </w:p>
    <w:p w14:paraId="277A1055" w14:textId="77777777" w:rsidR="005168F5" w:rsidRDefault="005168F5">
      <w:pPr>
        <w:pStyle w:val="TOC2"/>
        <w:rPr>
          <w:rFonts w:asciiTheme="minorHAnsi" w:eastAsiaTheme="minorEastAsia" w:hAnsiTheme="minorHAnsi" w:cstheme="minorBidi"/>
          <w:b w:val="0"/>
          <w:noProof/>
          <w:kern w:val="0"/>
          <w:sz w:val="22"/>
          <w:szCs w:val="22"/>
        </w:rPr>
      </w:pPr>
      <w:r>
        <w:rPr>
          <w:noProof/>
        </w:rPr>
        <w:t>Part 1—Fuel combustion—solid fuels and certain coal</w:t>
      </w:r>
      <w:r>
        <w:rPr>
          <w:noProof/>
        </w:rPr>
        <w:noBreakHyphen/>
        <w:t>based products</w:t>
      </w:r>
      <w:r>
        <w:rPr>
          <w:noProof/>
        </w:rPr>
        <w:tab/>
      </w:r>
      <w:r>
        <w:rPr>
          <w:noProof/>
        </w:rPr>
        <w:fldChar w:fldCharType="begin"/>
      </w:r>
      <w:r>
        <w:rPr>
          <w:noProof/>
        </w:rPr>
        <w:instrText xml:space="preserve"> PAGEREF _Toc13234100 \h </w:instrText>
      </w:r>
      <w:r>
        <w:rPr>
          <w:noProof/>
        </w:rPr>
      </w:r>
      <w:r>
        <w:rPr>
          <w:noProof/>
        </w:rPr>
        <w:fldChar w:fldCharType="separate"/>
      </w:r>
      <w:r w:rsidR="00497E3C">
        <w:rPr>
          <w:noProof/>
        </w:rPr>
        <w:t>316</w:t>
      </w:r>
      <w:r>
        <w:rPr>
          <w:noProof/>
        </w:rPr>
        <w:fldChar w:fldCharType="end"/>
      </w:r>
    </w:p>
    <w:p w14:paraId="10D15FE7" w14:textId="77777777" w:rsidR="005168F5" w:rsidRDefault="005168F5">
      <w:pPr>
        <w:pStyle w:val="TOC2"/>
        <w:rPr>
          <w:rFonts w:asciiTheme="minorHAnsi" w:eastAsiaTheme="minorEastAsia" w:hAnsiTheme="minorHAnsi" w:cstheme="minorBidi"/>
          <w:b w:val="0"/>
          <w:noProof/>
          <w:kern w:val="0"/>
          <w:sz w:val="22"/>
          <w:szCs w:val="22"/>
        </w:rPr>
      </w:pPr>
      <w:r>
        <w:rPr>
          <w:noProof/>
        </w:rPr>
        <w:t>Part 2—Fuel combustion—gaseous fuels</w:t>
      </w:r>
      <w:r>
        <w:rPr>
          <w:noProof/>
        </w:rPr>
        <w:tab/>
      </w:r>
      <w:r>
        <w:rPr>
          <w:noProof/>
        </w:rPr>
        <w:fldChar w:fldCharType="begin"/>
      </w:r>
      <w:r>
        <w:rPr>
          <w:noProof/>
        </w:rPr>
        <w:instrText xml:space="preserve"> PAGEREF _Toc13234101 \h </w:instrText>
      </w:r>
      <w:r>
        <w:rPr>
          <w:noProof/>
        </w:rPr>
      </w:r>
      <w:r>
        <w:rPr>
          <w:noProof/>
        </w:rPr>
        <w:fldChar w:fldCharType="separate"/>
      </w:r>
      <w:r w:rsidR="00497E3C">
        <w:rPr>
          <w:noProof/>
        </w:rPr>
        <w:t>318</w:t>
      </w:r>
      <w:r>
        <w:rPr>
          <w:noProof/>
        </w:rPr>
        <w:fldChar w:fldCharType="end"/>
      </w:r>
    </w:p>
    <w:p w14:paraId="4B58DE49" w14:textId="77777777" w:rsidR="005168F5" w:rsidRDefault="005168F5">
      <w:pPr>
        <w:pStyle w:val="TOC2"/>
        <w:rPr>
          <w:rFonts w:asciiTheme="minorHAnsi" w:eastAsiaTheme="minorEastAsia" w:hAnsiTheme="minorHAnsi" w:cstheme="minorBidi"/>
          <w:b w:val="0"/>
          <w:noProof/>
          <w:kern w:val="0"/>
          <w:sz w:val="22"/>
          <w:szCs w:val="22"/>
        </w:rPr>
      </w:pPr>
      <w:r>
        <w:rPr>
          <w:noProof/>
        </w:rPr>
        <w:t>Part 3—Fuel combustion—liquid fuels and certain petroleum</w:t>
      </w:r>
      <w:r>
        <w:rPr>
          <w:noProof/>
        </w:rPr>
        <w:noBreakHyphen/>
        <w:t>based products for stationary energy purposes</w:t>
      </w:r>
      <w:r>
        <w:rPr>
          <w:noProof/>
        </w:rPr>
        <w:tab/>
      </w:r>
      <w:r>
        <w:rPr>
          <w:noProof/>
        </w:rPr>
        <w:fldChar w:fldCharType="begin"/>
      </w:r>
      <w:r>
        <w:rPr>
          <w:noProof/>
        </w:rPr>
        <w:instrText xml:space="preserve"> PAGEREF _Toc13234102 \h </w:instrText>
      </w:r>
      <w:r>
        <w:rPr>
          <w:noProof/>
        </w:rPr>
      </w:r>
      <w:r>
        <w:rPr>
          <w:noProof/>
        </w:rPr>
        <w:fldChar w:fldCharType="separate"/>
      </w:r>
      <w:r w:rsidR="00497E3C">
        <w:rPr>
          <w:noProof/>
        </w:rPr>
        <w:t>319</w:t>
      </w:r>
      <w:r>
        <w:rPr>
          <w:noProof/>
        </w:rPr>
        <w:fldChar w:fldCharType="end"/>
      </w:r>
    </w:p>
    <w:p w14:paraId="2B54674B" w14:textId="77777777" w:rsidR="005168F5" w:rsidRDefault="005168F5">
      <w:pPr>
        <w:pStyle w:val="TOC2"/>
        <w:rPr>
          <w:rFonts w:asciiTheme="minorHAnsi" w:eastAsiaTheme="minorEastAsia" w:hAnsiTheme="minorHAnsi" w:cstheme="minorBidi"/>
          <w:b w:val="0"/>
          <w:noProof/>
          <w:kern w:val="0"/>
          <w:sz w:val="22"/>
          <w:szCs w:val="22"/>
        </w:rPr>
      </w:pPr>
      <w:r>
        <w:rPr>
          <w:noProof/>
        </w:rPr>
        <w:t>Part 4—Fuel combustion—fuels for transport energy purposes</w:t>
      </w:r>
      <w:r>
        <w:rPr>
          <w:noProof/>
        </w:rPr>
        <w:tab/>
      </w:r>
      <w:r>
        <w:rPr>
          <w:noProof/>
        </w:rPr>
        <w:fldChar w:fldCharType="begin"/>
      </w:r>
      <w:r>
        <w:rPr>
          <w:noProof/>
        </w:rPr>
        <w:instrText xml:space="preserve"> PAGEREF _Toc13234103 \h </w:instrText>
      </w:r>
      <w:r>
        <w:rPr>
          <w:noProof/>
        </w:rPr>
      </w:r>
      <w:r>
        <w:rPr>
          <w:noProof/>
        </w:rPr>
        <w:fldChar w:fldCharType="separate"/>
      </w:r>
      <w:r w:rsidR="00497E3C">
        <w:rPr>
          <w:noProof/>
        </w:rPr>
        <w:t>321</w:t>
      </w:r>
      <w:r>
        <w:rPr>
          <w:noProof/>
        </w:rPr>
        <w:fldChar w:fldCharType="end"/>
      </w:r>
    </w:p>
    <w:p w14:paraId="600B7ABE" w14:textId="77777777" w:rsidR="005168F5" w:rsidRDefault="005168F5">
      <w:pPr>
        <w:pStyle w:val="TOC3"/>
        <w:rPr>
          <w:rFonts w:asciiTheme="minorHAnsi" w:eastAsiaTheme="minorEastAsia" w:hAnsiTheme="minorHAnsi" w:cstheme="minorBidi"/>
          <w:b w:val="0"/>
          <w:noProof/>
          <w:kern w:val="0"/>
          <w:szCs w:val="22"/>
        </w:rPr>
      </w:pPr>
      <w:r>
        <w:rPr>
          <w:noProof/>
        </w:rPr>
        <w:t>Division 4.1—Fuel combustion—fuels for transport energy purposes</w:t>
      </w:r>
      <w:r>
        <w:rPr>
          <w:noProof/>
        </w:rPr>
        <w:tab/>
      </w:r>
      <w:r>
        <w:rPr>
          <w:noProof/>
        </w:rPr>
        <w:fldChar w:fldCharType="begin"/>
      </w:r>
      <w:r>
        <w:rPr>
          <w:noProof/>
        </w:rPr>
        <w:instrText xml:space="preserve"> PAGEREF _Toc13234104 \h </w:instrText>
      </w:r>
      <w:r>
        <w:rPr>
          <w:noProof/>
        </w:rPr>
      </w:r>
      <w:r>
        <w:rPr>
          <w:noProof/>
        </w:rPr>
        <w:fldChar w:fldCharType="separate"/>
      </w:r>
      <w:r w:rsidR="00497E3C">
        <w:rPr>
          <w:noProof/>
        </w:rPr>
        <w:t>321</w:t>
      </w:r>
      <w:r>
        <w:rPr>
          <w:noProof/>
        </w:rPr>
        <w:fldChar w:fldCharType="end"/>
      </w:r>
    </w:p>
    <w:p w14:paraId="3370A457" w14:textId="77777777" w:rsidR="005168F5" w:rsidRDefault="005168F5">
      <w:pPr>
        <w:pStyle w:val="TOC3"/>
        <w:rPr>
          <w:rFonts w:asciiTheme="minorHAnsi" w:eastAsiaTheme="minorEastAsia" w:hAnsiTheme="minorHAnsi" w:cstheme="minorBidi"/>
          <w:b w:val="0"/>
          <w:noProof/>
          <w:kern w:val="0"/>
          <w:szCs w:val="22"/>
        </w:rPr>
      </w:pPr>
      <w:r>
        <w:rPr>
          <w:noProof/>
        </w:rPr>
        <w:t>Division 4.2—Fuel combustion—liquid fuels for transport energy purposes for post</w:t>
      </w:r>
      <w:r>
        <w:rPr>
          <w:noProof/>
        </w:rPr>
        <w:noBreakHyphen/>
        <w:t>2004 vehicles</w:t>
      </w:r>
      <w:r>
        <w:rPr>
          <w:noProof/>
        </w:rPr>
        <w:tab/>
      </w:r>
      <w:r>
        <w:rPr>
          <w:noProof/>
        </w:rPr>
        <w:fldChar w:fldCharType="begin"/>
      </w:r>
      <w:r>
        <w:rPr>
          <w:noProof/>
        </w:rPr>
        <w:instrText xml:space="preserve"> PAGEREF _Toc13234105 \h </w:instrText>
      </w:r>
      <w:r>
        <w:rPr>
          <w:noProof/>
        </w:rPr>
      </w:r>
      <w:r>
        <w:rPr>
          <w:noProof/>
        </w:rPr>
        <w:fldChar w:fldCharType="separate"/>
      </w:r>
      <w:r w:rsidR="00497E3C">
        <w:rPr>
          <w:noProof/>
        </w:rPr>
        <w:t>322</w:t>
      </w:r>
      <w:r>
        <w:rPr>
          <w:noProof/>
        </w:rPr>
        <w:fldChar w:fldCharType="end"/>
      </w:r>
    </w:p>
    <w:p w14:paraId="035D64DE" w14:textId="77777777" w:rsidR="005168F5" w:rsidRDefault="005168F5">
      <w:pPr>
        <w:pStyle w:val="TOC3"/>
        <w:rPr>
          <w:rFonts w:asciiTheme="minorHAnsi" w:eastAsiaTheme="minorEastAsia" w:hAnsiTheme="minorHAnsi" w:cstheme="minorBidi"/>
          <w:b w:val="0"/>
          <w:noProof/>
          <w:kern w:val="0"/>
          <w:szCs w:val="22"/>
        </w:rPr>
      </w:pPr>
      <w:r>
        <w:rPr>
          <w:noProof/>
        </w:rPr>
        <w:t>Division 4.3—Fuel combustion—liquid fuels for transport energy purposes for certain trucks</w:t>
      </w:r>
      <w:r>
        <w:rPr>
          <w:noProof/>
        </w:rPr>
        <w:tab/>
      </w:r>
      <w:r>
        <w:rPr>
          <w:noProof/>
        </w:rPr>
        <w:fldChar w:fldCharType="begin"/>
      </w:r>
      <w:r>
        <w:rPr>
          <w:noProof/>
        </w:rPr>
        <w:instrText xml:space="preserve"> PAGEREF _Toc13234106 \h </w:instrText>
      </w:r>
      <w:r>
        <w:rPr>
          <w:noProof/>
        </w:rPr>
      </w:r>
      <w:r>
        <w:rPr>
          <w:noProof/>
        </w:rPr>
        <w:fldChar w:fldCharType="separate"/>
      </w:r>
      <w:r w:rsidR="00497E3C">
        <w:rPr>
          <w:noProof/>
        </w:rPr>
        <w:t>323</w:t>
      </w:r>
      <w:r>
        <w:rPr>
          <w:noProof/>
        </w:rPr>
        <w:fldChar w:fldCharType="end"/>
      </w:r>
    </w:p>
    <w:p w14:paraId="30F34229" w14:textId="77777777" w:rsidR="005168F5" w:rsidRDefault="005168F5">
      <w:pPr>
        <w:pStyle w:val="TOC2"/>
        <w:rPr>
          <w:rFonts w:asciiTheme="minorHAnsi" w:eastAsiaTheme="minorEastAsia" w:hAnsiTheme="minorHAnsi" w:cstheme="minorBidi"/>
          <w:b w:val="0"/>
          <w:noProof/>
          <w:kern w:val="0"/>
          <w:sz w:val="22"/>
          <w:szCs w:val="22"/>
        </w:rPr>
      </w:pPr>
      <w:r>
        <w:rPr>
          <w:noProof/>
        </w:rPr>
        <w:t>Part 5—Consumption of fuels for non</w:t>
      </w:r>
      <w:r>
        <w:rPr>
          <w:noProof/>
        </w:rPr>
        <w:noBreakHyphen/>
        <w:t>energy product purposes</w:t>
      </w:r>
      <w:r>
        <w:rPr>
          <w:noProof/>
        </w:rPr>
        <w:tab/>
      </w:r>
      <w:r>
        <w:rPr>
          <w:noProof/>
        </w:rPr>
        <w:fldChar w:fldCharType="begin"/>
      </w:r>
      <w:r>
        <w:rPr>
          <w:noProof/>
        </w:rPr>
        <w:instrText xml:space="preserve"> PAGEREF _Toc13234107 \h </w:instrText>
      </w:r>
      <w:r>
        <w:rPr>
          <w:noProof/>
        </w:rPr>
      </w:r>
      <w:r>
        <w:rPr>
          <w:noProof/>
        </w:rPr>
        <w:fldChar w:fldCharType="separate"/>
      </w:r>
      <w:r w:rsidR="00497E3C">
        <w:rPr>
          <w:noProof/>
        </w:rPr>
        <w:t>324</w:t>
      </w:r>
      <w:r>
        <w:rPr>
          <w:noProof/>
        </w:rPr>
        <w:fldChar w:fldCharType="end"/>
      </w:r>
    </w:p>
    <w:p w14:paraId="7F3DEA7E" w14:textId="77777777" w:rsidR="005168F5" w:rsidRDefault="005168F5">
      <w:pPr>
        <w:pStyle w:val="TOC2"/>
        <w:rPr>
          <w:rFonts w:asciiTheme="minorHAnsi" w:eastAsiaTheme="minorEastAsia" w:hAnsiTheme="minorHAnsi" w:cstheme="minorBidi"/>
          <w:b w:val="0"/>
          <w:noProof/>
          <w:kern w:val="0"/>
          <w:sz w:val="22"/>
          <w:szCs w:val="22"/>
        </w:rPr>
      </w:pPr>
      <w:r>
        <w:rPr>
          <w:noProof/>
        </w:rPr>
        <w:t>Part 6—Indirect (scope 2) emission factors from consumption of electricity purchased or lost from grid</w:t>
      </w:r>
      <w:r>
        <w:rPr>
          <w:noProof/>
        </w:rPr>
        <w:tab/>
      </w:r>
      <w:r>
        <w:rPr>
          <w:noProof/>
        </w:rPr>
        <w:fldChar w:fldCharType="begin"/>
      </w:r>
      <w:r>
        <w:rPr>
          <w:noProof/>
        </w:rPr>
        <w:instrText xml:space="preserve"> PAGEREF _Toc13234108 \h </w:instrText>
      </w:r>
      <w:r>
        <w:rPr>
          <w:noProof/>
        </w:rPr>
      </w:r>
      <w:r>
        <w:rPr>
          <w:noProof/>
        </w:rPr>
        <w:fldChar w:fldCharType="separate"/>
      </w:r>
      <w:r w:rsidR="00497E3C">
        <w:rPr>
          <w:noProof/>
        </w:rPr>
        <w:t>325</w:t>
      </w:r>
      <w:r>
        <w:rPr>
          <w:noProof/>
        </w:rPr>
        <w:fldChar w:fldCharType="end"/>
      </w:r>
    </w:p>
    <w:p w14:paraId="0559EE8B" w14:textId="77777777" w:rsidR="005168F5" w:rsidRDefault="005168F5">
      <w:pPr>
        <w:pStyle w:val="TOC2"/>
        <w:rPr>
          <w:rFonts w:asciiTheme="minorHAnsi" w:eastAsiaTheme="minorEastAsia" w:hAnsiTheme="minorHAnsi" w:cstheme="minorBidi"/>
          <w:b w:val="0"/>
          <w:noProof/>
          <w:kern w:val="0"/>
          <w:sz w:val="22"/>
          <w:szCs w:val="22"/>
        </w:rPr>
      </w:pPr>
      <w:r>
        <w:rPr>
          <w:noProof/>
        </w:rPr>
        <w:t>Part 7—Energy commodities</w:t>
      </w:r>
      <w:r>
        <w:rPr>
          <w:noProof/>
        </w:rPr>
        <w:tab/>
      </w:r>
      <w:r>
        <w:rPr>
          <w:noProof/>
        </w:rPr>
        <w:fldChar w:fldCharType="begin"/>
      </w:r>
      <w:r>
        <w:rPr>
          <w:noProof/>
        </w:rPr>
        <w:instrText xml:space="preserve"> PAGEREF _Toc13234109 \h </w:instrText>
      </w:r>
      <w:r>
        <w:rPr>
          <w:noProof/>
        </w:rPr>
      </w:r>
      <w:r>
        <w:rPr>
          <w:noProof/>
        </w:rPr>
        <w:fldChar w:fldCharType="separate"/>
      </w:r>
      <w:r w:rsidR="00497E3C">
        <w:rPr>
          <w:noProof/>
        </w:rPr>
        <w:t>326</w:t>
      </w:r>
      <w:r>
        <w:rPr>
          <w:noProof/>
        </w:rPr>
        <w:fldChar w:fldCharType="end"/>
      </w:r>
    </w:p>
    <w:p w14:paraId="66210D41" w14:textId="77777777" w:rsidR="005168F5" w:rsidRDefault="005168F5">
      <w:pPr>
        <w:pStyle w:val="TOC1"/>
        <w:rPr>
          <w:rFonts w:asciiTheme="minorHAnsi" w:eastAsiaTheme="minorEastAsia" w:hAnsiTheme="minorHAnsi" w:cstheme="minorBidi"/>
          <w:b w:val="0"/>
          <w:noProof/>
          <w:kern w:val="0"/>
          <w:sz w:val="22"/>
          <w:szCs w:val="22"/>
        </w:rPr>
      </w:pPr>
      <w:r>
        <w:rPr>
          <w:noProof/>
        </w:rPr>
        <w:t>Schedule 2—Standards and frequency for analysing energy content factor etc for solid fuels</w:t>
      </w:r>
      <w:r>
        <w:rPr>
          <w:noProof/>
        </w:rPr>
        <w:tab/>
      </w:r>
      <w:r>
        <w:rPr>
          <w:noProof/>
        </w:rPr>
        <w:fldChar w:fldCharType="begin"/>
      </w:r>
      <w:r>
        <w:rPr>
          <w:noProof/>
        </w:rPr>
        <w:instrText xml:space="preserve"> PAGEREF _Toc13234110 \h </w:instrText>
      </w:r>
      <w:r>
        <w:rPr>
          <w:noProof/>
        </w:rPr>
      </w:r>
      <w:r>
        <w:rPr>
          <w:noProof/>
        </w:rPr>
        <w:fldChar w:fldCharType="separate"/>
      </w:r>
      <w:r w:rsidR="00497E3C">
        <w:rPr>
          <w:noProof/>
        </w:rPr>
        <w:t>327</w:t>
      </w:r>
      <w:r>
        <w:rPr>
          <w:noProof/>
        </w:rPr>
        <w:fldChar w:fldCharType="end"/>
      </w:r>
    </w:p>
    <w:p w14:paraId="1D0670C0" w14:textId="77777777" w:rsidR="005168F5" w:rsidRDefault="005168F5">
      <w:pPr>
        <w:pStyle w:val="TOC1"/>
        <w:rPr>
          <w:rFonts w:asciiTheme="minorHAnsi" w:eastAsiaTheme="minorEastAsia" w:hAnsiTheme="minorHAnsi" w:cstheme="minorBidi"/>
          <w:b w:val="0"/>
          <w:noProof/>
          <w:kern w:val="0"/>
          <w:sz w:val="22"/>
          <w:szCs w:val="22"/>
        </w:rPr>
      </w:pPr>
      <w:r>
        <w:rPr>
          <w:noProof/>
        </w:rPr>
        <w:t>Schedule 3—Carbon content factors</w:t>
      </w:r>
      <w:r>
        <w:rPr>
          <w:noProof/>
        </w:rPr>
        <w:tab/>
      </w:r>
      <w:r>
        <w:rPr>
          <w:noProof/>
        </w:rPr>
        <w:fldChar w:fldCharType="begin"/>
      </w:r>
      <w:r>
        <w:rPr>
          <w:noProof/>
        </w:rPr>
        <w:instrText xml:space="preserve"> PAGEREF _Toc13234111 \h </w:instrText>
      </w:r>
      <w:r>
        <w:rPr>
          <w:noProof/>
        </w:rPr>
      </w:r>
      <w:r>
        <w:rPr>
          <w:noProof/>
        </w:rPr>
        <w:fldChar w:fldCharType="separate"/>
      </w:r>
      <w:r w:rsidR="00497E3C">
        <w:rPr>
          <w:noProof/>
        </w:rPr>
        <w:t>331</w:t>
      </w:r>
      <w:r>
        <w:rPr>
          <w:noProof/>
        </w:rPr>
        <w:fldChar w:fldCharType="end"/>
      </w:r>
    </w:p>
    <w:p w14:paraId="1B202C13" w14:textId="77777777" w:rsidR="005168F5" w:rsidRDefault="005168F5">
      <w:pPr>
        <w:pStyle w:val="TOC2"/>
        <w:rPr>
          <w:rFonts w:asciiTheme="minorHAnsi" w:eastAsiaTheme="minorEastAsia" w:hAnsiTheme="minorHAnsi" w:cstheme="minorBidi"/>
          <w:b w:val="0"/>
          <w:noProof/>
          <w:kern w:val="0"/>
          <w:sz w:val="22"/>
          <w:szCs w:val="22"/>
        </w:rPr>
      </w:pPr>
      <w:r>
        <w:rPr>
          <w:noProof/>
        </w:rPr>
        <w:t>Part 1—Solid fuels and certain coal</w:t>
      </w:r>
      <w:r>
        <w:rPr>
          <w:noProof/>
        </w:rPr>
        <w:noBreakHyphen/>
        <w:t>based products</w:t>
      </w:r>
      <w:r>
        <w:rPr>
          <w:noProof/>
        </w:rPr>
        <w:tab/>
      </w:r>
      <w:r>
        <w:rPr>
          <w:noProof/>
        </w:rPr>
        <w:fldChar w:fldCharType="begin"/>
      </w:r>
      <w:r>
        <w:rPr>
          <w:noProof/>
        </w:rPr>
        <w:instrText xml:space="preserve"> PAGEREF _Toc13234112 \h </w:instrText>
      </w:r>
      <w:r>
        <w:rPr>
          <w:noProof/>
        </w:rPr>
      </w:r>
      <w:r>
        <w:rPr>
          <w:noProof/>
        </w:rPr>
        <w:fldChar w:fldCharType="separate"/>
      </w:r>
      <w:r w:rsidR="00497E3C">
        <w:rPr>
          <w:noProof/>
        </w:rPr>
        <w:t>331</w:t>
      </w:r>
      <w:r>
        <w:rPr>
          <w:noProof/>
        </w:rPr>
        <w:fldChar w:fldCharType="end"/>
      </w:r>
    </w:p>
    <w:p w14:paraId="3C47A2D4" w14:textId="77777777" w:rsidR="005168F5" w:rsidRDefault="005168F5">
      <w:pPr>
        <w:pStyle w:val="TOC2"/>
        <w:rPr>
          <w:rFonts w:asciiTheme="minorHAnsi" w:eastAsiaTheme="minorEastAsia" w:hAnsiTheme="minorHAnsi" w:cstheme="minorBidi"/>
          <w:b w:val="0"/>
          <w:noProof/>
          <w:kern w:val="0"/>
          <w:sz w:val="22"/>
          <w:szCs w:val="22"/>
        </w:rPr>
      </w:pPr>
      <w:r>
        <w:rPr>
          <w:noProof/>
        </w:rPr>
        <w:t>Part 2—Gaseous fuels</w:t>
      </w:r>
      <w:r>
        <w:rPr>
          <w:noProof/>
        </w:rPr>
        <w:tab/>
      </w:r>
      <w:r>
        <w:rPr>
          <w:noProof/>
        </w:rPr>
        <w:fldChar w:fldCharType="begin"/>
      </w:r>
      <w:r>
        <w:rPr>
          <w:noProof/>
        </w:rPr>
        <w:instrText xml:space="preserve"> PAGEREF _Toc13234113 \h </w:instrText>
      </w:r>
      <w:r>
        <w:rPr>
          <w:noProof/>
        </w:rPr>
      </w:r>
      <w:r>
        <w:rPr>
          <w:noProof/>
        </w:rPr>
        <w:fldChar w:fldCharType="separate"/>
      </w:r>
      <w:r w:rsidR="00497E3C">
        <w:rPr>
          <w:noProof/>
        </w:rPr>
        <w:t>332</w:t>
      </w:r>
      <w:r>
        <w:rPr>
          <w:noProof/>
        </w:rPr>
        <w:fldChar w:fldCharType="end"/>
      </w:r>
    </w:p>
    <w:p w14:paraId="233E7543" w14:textId="77777777" w:rsidR="005168F5" w:rsidRDefault="005168F5">
      <w:pPr>
        <w:pStyle w:val="TOC2"/>
        <w:rPr>
          <w:rFonts w:asciiTheme="minorHAnsi" w:eastAsiaTheme="minorEastAsia" w:hAnsiTheme="minorHAnsi" w:cstheme="minorBidi"/>
          <w:b w:val="0"/>
          <w:noProof/>
          <w:kern w:val="0"/>
          <w:sz w:val="22"/>
          <w:szCs w:val="22"/>
        </w:rPr>
      </w:pPr>
      <w:r>
        <w:rPr>
          <w:noProof/>
        </w:rPr>
        <w:t>Part 3—Liquid fuels and certain petroleum</w:t>
      </w:r>
      <w:r>
        <w:rPr>
          <w:noProof/>
        </w:rPr>
        <w:noBreakHyphen/>
        <w:t>based products</w:t>
      </w:r>
      <w:r>
        <w:rPr>
          <w:noProof/>
        </w:rPr>
        <w:tab/>
      </w:r>
      <w:r>
        <w:rPr>
          <w:noProof/>
        </w:rPr>
        <w:fldChar w:fldCharType="begin"/>
      </w:r>
      <w:r>
        <w:rPr>
          <w:noProof/>
        </w:rPr>
        <w:instrText xml:space="preserve"> PAGEREF _Toc13234114 \h </w:instrText>
      </w:r>
      <w:r>
        <w:rPr>
          <w:noProof/>
        </w:rPr>
      </w:r>
      <w:r>
        <w:rPr>
          <w:noProof/>
        </w:rPr>
        <w:fldChar w:fldCharType="separate"/>
      </w:r>
      <w:r w:rsidR="00497E3C">
        <w:rPr>
          <w:noProof/>
        </w:rPr>
        <w:t>333</w:t>
      </w:r>
      <w:r>
        <w:rPr>
          <w:noProof/>
        </w:rPr>
        <w:fldChar w:fldCharType="end"/>
      </w:r>
    </w:p>
    <w:p w14:paraId="2E254171" w14:textId="77777777" w:rsidR="005168F5" w:rsidRDefault="005168F5">
      <w:pPr>
        <w:pStyle w:val="TOC2"/>
        <w:rPr>
          <w:rFonts w:asciiTheme="minorHAnsi" w:eastAsiaTheme="minorEastAsia" w:hAnsiTheme="minorHAnsi" w:cstheme="minorBidi"/>
          <w:b w:val="0"/>
          <w:noProof/>
          <w:kern w:val="0"/>
          <w:sz w:val="22"/>
          <w:szCs w:val="22"/>
        </w:rPr>
      </w:pPr>
      <w:r>
        <w:rPr>
          <w:noProof/>
        </w:rPr>
        <w:t>Part 4—Petrochemical feedstocks and products</w:t>
      </w:r>
      <w:r>
        <w:rPr>
          <w:noProof/>
        </w:rPr>
        <w:tab/>
      </w:r>
      <w:r>
        <w:rPr>
          <w:noProof/>
        </w:rPr>
        <w:fldChar w:fldCharType="begin"/>
      </w:r>
      <w:r>
        <w:rPr>
          <w:noProof/>
        </w:rPr>
        <w:instrText xml:space="preserve"> PAGEREF _Toc13234115 \h </w:instrText>
      </w:r>
      <w:r>
        <w:rPr>
          <w:noProof/>
        </w:rPr>
      </w:r>
      <w:r>
        <w:rPr>
          <w:noProof/>
        </w:rPr>
        <w:fldChar w:fldCharType="separate"/>
      </w:r>
      <w:r w:rsidR="00497E3C">
        <w:rPr>
          <w:noProof/>
        </w:rPr>
        <w:t>334</w:t>
      </w:r>
      <w:r>
        <w:rPr>
          <w:noProof/>
        </w:rPr>
        <w:fldChar w:fldCharType="end"/>
      </w:r>
    </w:p>
    <w:p w14:paraId="664C4512" w14:textId="77777777" w:rsidR="005168F5" w:rsidRDefault="005168F5">
      <w:pPr>
        <w:pStyle w:val="TOC2"/>
        <w:rPr>
          <w:rFonts w:asciiTheme="minorHAnsi" w:eastAsiaTheme="minorEastAsia" w:hAnsiTheme="minorHAnsi" w:cstheme="minorBidi"/>
          <w:b w:val="0"/>
          <w:noProof/>
          <w:kern w:val="0"/>
          <w:sz w:val="22"/>
          <w:szCs w:val="22"/>
        </w:rPr>
      </w:pPr>
      <w:r>
        <w:rPr>
          <w:noProof/>
        </w:rPr>
        <w:t>Part 5—Carbonates</w:t>
      </w:r>
      <w:r>
        <w:rPr>
          <w:noProof/>
        </w:rPr>
        <w:tab/>
      </w:r>
      <w:r>
        <w:rPr>
          <w:noProof/>
        </w:rPr>
        <w:fldChar w:fldCharType="begin"/>
      </w:r>
      <w:r>
        <w:rPr>
          <w:noProof/>
        </w:rPr>
        <w:instrText xml:space="preserve"> PAGEREF _Toc13234116 \h </w:instrText>
      </w:r>
      <w:r>
        <w:rPr>
          <w:noProof/>
        </w:rPr>
      </w:r>
      <w:r>
        <w:rPr>
          <w:noProof/>
        </w:rPr>
        <w:fldChar w:fldCharType="separate"/>
      </w:r>
      <w:r w:rsidR="00497E3C">
        <w:rPr>
          <w:noProof/>
        </w:rPr>
        <w:t>335</w:t>
      </w:r>
      <w:r>
        <w:rPr>
          <w:noProof/>
        </w:rPr>
        <w:fldChar w:fldCharType="end"/>
      </w:r>
    </w:p>
    <w:p w14:paraId="1702A626" w14:textId="77777777" w:rsidR="005168F5" w:rsidRDefault="005168F5">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_Toc13234117 \h </w:instrText>
      </w:r>
      <w:r>
        <w:rPr>
          <w:noProof/>
        </w:rPr>
      </w:r>
      <w:r>
        <w:rPr>
          <w:noProof/>
        </w:rPr>
        <w:fldChar w:fldCharType="separate"/>
      </w:r>
      <w:r w:rsidR="00497E3C">
        <w:rPr>
          <w:noProof/>
        </w:rPr>
        <w:t>336</w:t>
      </w:r>
      <w:r>
        <w:rPr>
          <w:noProof/>
        </w:rPr>
        <w:fldChar w:fldCharType="end"/>
      </w:r>
    </w:p>
    <w:p w14:paraId="5BACB4C7" w14:textId="77777777" w:rsidR="005168F5" w:rsidRDefault="005168F5">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_Toc13234118 \h </w:instrText>
      </w:r>
      <w:r>
        <w:rPr>
          <w:noProof/>
        </w:rPr>
      </w:r>
      <w:r>
        <w:rPr>
          <w:noProof/>
        </w:rPr>
        <w:fldChar w:fldCharType="separate"/>
      </w:r>
      <w:r w:rsidR="00497E3C">
        <w:rPr>
          <w:noProof/>
        </w:rPr>
        <w:t>336</w:t>
      </w:r>
      <w:r>
        <w:rPr>
          <w:noProof/>
        </w:rPr>
        <w:fldChar w:fldCharType="end"/>
      </w:r>
    </w:p>
    <w:p w14:paraId="0BA0203F" w14:textId="77777777" w:rsidR="005168F5" w:rsidRDefault="005168F5">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_Toc13234119 \h </w:instrText>
      </w:r>
      <w:r>
        <w:rPr>
          <w:noProof/>
        </w:rPr>
      </w:r>
      <w:r>
        <w:rPr>
          <w:noProof/>
        </w:rPr>
        <w:fldChar w:fldCharType="separate"/>
      </w:r>
      <w:r w:rsidR="00497E3C">
        <w:rPr>
          <w:noProof/>
        </w:rPr>
        <w:t>337</w:t>
      </w:r>
      <w:r>
        <w:rPr>
          <w:noProof/>
        </w:rPr>
        <w:fldChar w:fldCharType="end"/>
      </w:r>
    </w:p>
    <w:p w14:paraId="1901BE39" w14:textId="77777777" w:rsidR="005168F5" w:rsidRDefault="005168F5">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_Toc13234120 \h </w:instrText>
      </w:r>
      <w:r>
        <w:rPr>
          <w:noProof/>
        </w:rPr>
      </w:r>
      <w:r>
        <w:rPr>
          <w:noProof/>
        </w:rPr>
        <w:fldChar w:fldCharType="separate"/>
      </w:r>
      <w:r w:rsidR="00497E3C">
        <w:rPr>
          <w:noProof/>
        </w:rPr>
        <w:t>338</w:t>
      </w:r>
      <w:r>
        <w:rPr>
          <w:noProof/>
        </w:rPr>
        <w:fldChar w:fldCharType="end"/>
      </w:r>
    </w:p>
    <w:p w14:paraId="72EB400F" w14:textId="77777777" w:rsidR="005168F5" w:rsidRDefault="005168F5">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_Toc13234121 \h </w:instrText>
      </w:r>
      <w:r>
        <w:rPr>
          <w:noProof/>
        </w:rPr>
      </w:r>
      <w:r>
        <w:rPr>
          <w:noProof/>
        </w:rPr>
        <w:fldChar w:fldCharType="separate"/>
      </w:r>
      <w:r w:rsidR="00497E3C">
        <w:rPr>
          <w:noProof/>
        </w:rPr>
        <w:t>340</w:t>
      </w:r>
      <w:r>
        <w:rPr>
          <w:noProof/>
        </w:rPr>
        <w:fldChar w:fldCharType="end"/>
      </w:r>
    </w:p>
    <w:p w14:paraId="460577DC" w14:textId="77777777" w:rsidR="00D66AC0" w:rsidRPr="00097A86" w:rsidRDefault="00D22D3F" w:rsidP="00846999">
      <w:pPr>
        <w:tabs>
          <w:tab w:val="right" w:pos="8222"/>
          <w:tab w:val="right" w:pos="8364"/>
        </w:tabs>
        <w:sectPr w:rsidR="00D66AC0" w:rsidRPr="00097A86" w:rsidSect="0033380F">
          <w:headerReference w:type="even" r:id="rId21"/>
          <w:headerReference w:type="default" r:id="rId22"/>
          <w:footerReference w:type="even" r:id="rId23"/>
          <w:footerReference w:type="default" r:id="rId24"/>
          <w:headerReference w:type="first" r:id="rId25"/>
          <w:pgSz w:w="11907" w:h="16839"/>
          <w:pgMar w:top="2378" w:right="1797" w:bottom="1440" w:left="1797" w:header="720" w:footer="709" w:gutter="0"/>
          <w:pgNumType w:fmt="lowerRoman" w:start="1"/>
          <w:cols w:space="708"/>
          <w:docGrid w:linePitch="360"/>
        </w:sectPr>
      </w:pPr>
      <w:r w:rsidRPr="00097A86">
        <w:rPr>
          <w:rFonts w:cs="Times New Roman"/>
          <w:sz w:val="18"/>
        </w:rPr>
        <w:fldChar w:fldCharType="end"/>
      </w:r>
      <w:bookmarkStart w:id="0" w:name="OPCSB_ContentA4"/>
    </w:p>
    <w:p w14:paraId="5AD408DD" w14:textId="77777777" w:rsidR="003F0D4E" w:rsidRPr="00097A86" w:rsidRDefault="003F0D4E" w:rsidP="00D66AC0">
      <w:pPr>
        <w:pStyle w:val="ActHead1"/>
        <w:pageBreakBefore/>
      </w:pPr>
      <w:bookmarkStart w:id="1" w:name="_Toc13233464"/>
      <w:bookmarkEnd w:id="0"/>
      <w:r w:rsidRPr="00097A86">
        <w:rPr>
          <w:rStyle w:val="CharChapNo"/>
        </w:rPr>
        <w:lastRenderedPageBreak/>
        <w:t>Chapter</w:t>
      </w:r>
      <w:r w:rsidR="00097A86">
        <w:rPr>
          <w:rStyle w:val="CharChapNo"/>
        </w:rPr>
        <w:t> </w:t>
      </w:r>
      <w:r w:rsidRPr="00097A86">
        <w:rPr>
          <w:rStyle w:val="CharChapNo"/>
        </w:rPr>
        <w:t>1</w:t>
      </w:r>
      <w:r w:rsidR="00D22D3F" w:rsidRPr="00097A86">
        <w:t>—</w:t>
      </w:r>
      <w:r w:rsidRPr="00097A86">
        <w:rPr>
          <w:rStyle w:val="CharChapText"/>
        </w:rPr>
        <w:t>General</w:t>
      </w:r>
      <w:bookmarkEnd w:id="1"/>
    </w:p>
    <w:p w14:paraId="1364ED3D" w14:textId="77777777" w:rsidR="003F0D4E" w:rsidRPr="00097A86" w:rsidRDefault="003F0D4E" w:rsidP="00D22D3F">
      <w:pPr>
        <w:pStyle w:val="ActHead2"/>
      </w:pPr>
      <w:bookmarkStart w:id="2" w:name="_Toc13233465"/>
      <w:r w:rsidRPr="00097A86">
        <w:rPr>
          <w:rStyle w:val="CharPartNo"/>
        </w:rPr>
        <w:t>Part</w:t>
      </w:r>
      <w:r w:rsidR="00097A86">
        <w:rPr>
          <w:rStyle w:val="CharPartNo"/>
        </w:rPr>
        <w:t> </w:t>
      </w:r>
      <w:r w:rsidRPr="00097A86">
        <w:rPr>
          <w:rStyle w:val="CharPartNo"/>
        </w:rPr>
        <w:t>1.1</w:t>
      </w:r>
      <w:r w:rsidR="00D22D3F" w:rsidRPr="00097A86">
        <w:t>—</w:t>
      </w:r>
      <w:r w:rsidRPr="00097A86">
        <w:rPr>
          <w:rStyle w:val="CharPartText"/>
        </w:rPr>
        <w:t>Preliminary</w:t>
      </w:r>
      <w:bookmarkEnd w:id="2"/>
    </w:p>
    <w:p w14:paraId="21EE06AB" w14:textId="77777777" w:rsidR="003F0D4E" w:rsidRPr="00097A86" w:rsidRDefault="003F0D4E" w:rsidP="00D22D3F">
      <w:pPr>
        <w:pStyle w:val="ActHead5"/>
        <w:rPr>
          <w:sz w:val="18"/>
        </w:rPr>
      </w:pPr>
      <w:bookmarkStart w:id="3" w:name="_Toc13233466"/>
      <w:r w:rsidRPr="00097A86">
        <w:rPr>
          <w:rStyle w:val="CharSectno"/>
        </w:rPr>
        <w:t>1.1</w:t>
      </w:r>
      <w:r w:rsidR="00D22D3F" w:rsidRPr="00097A86">
        <w:t xml:space="preserve">  </w:t>
      </w:r>
      <w:r w:rsidRPr="00097A86">
        <w:t>Name of Determination</w:t>
      </w:r>
      <w:bookmarkEnd w:id="3"/>
    </w:p>
    <w:p w14:paraId="438288DD" w14:textId="77777777" w:rsidR="003F0D4E" w:rsidRPr="00097A86" w:rsidRDefault="003F0D4E" w:rsidP="00D22D3F">
      <w:pPr>
        <w:pStyle w:val="subsection"/>
      </w:pPr>
      <w:r w:rsidRPr="00097A86">
        <w:tab/>
      </w:r>
      <w:r w:rsidRPr="00097A86">
        <w:tab/>
        <w:t xml:space="preserve">This Determination is the </w:t>
      </w:r>
      <w:r w:rsidR="005A1961" w:rsidRPr="00097A86">
        <w:rPr>
          <w:i/>
        </w:rPr>
        <w:t>National Greenhouse and Energy Reporting (Measurement) Determination</w:t>
      </w:r>
      <w:r w:rsidR="00097A86">
        <w:rPr>
          <w:i/>
        </w:rPr>
        <w:t> </w:t>
      </w:r>
      <w:r w:rsidR="005A1961" w:rsidRPr="00097A86">
        <w:rPr>
          <w:i/>
        </w:rPr>
        <w:t>2008</w:t>
      </w:r>
      <w:r w:rsidRPr="00097A86">
        <w:t>.</w:t>
      </w:r>
    </w:p>
    <w:p w14:paraId="01C96FB7" w14:textId="77777777" w:rsidR="003F0D4E" w:rsidRPr="00097A86" w:rsidRDefault="003F0D4E" w:rsidP="00BA19FE">
      <w:pPr>
        <w:pStyle w:val="ActHead3"/>
      </w:pPr>
      <w:bookmarkStart w:id="4" w:name="_Toc13233467"/>
      <w:r w:rsidRPr="00097A86">
        <w:rPr>
          <w:rStyle w:val="CharDivNo"/>
        </w:rPr>
        <w:t>Division</w:t>
      </w:r>
      <w:r w:rsidR="00097A86">
        <w:rPr>
          <w:rStyle w:val="CharDivNo"/>
        </w:rPr>
        <w:t> </w:t>
      </w:r>
      <w:r w:rsidRPr="00097A86">
        <w:rPr>
          <w:rStyle w:val="CharDivNo"/>
        </w:rPr>
        <w:t>1.1.1</w:t>
      </w:r>
      <w:r w:rsidR="00D22D3F" w:rsidRPr="00097A86">
        <w:t>—</w:t>
      </w:r>
      <w:r w:rsidRPr="00097A86">
        <w:rPr>
          <w:rStyle w:val="CharDivText"/>
        </w:rPr>
        <w:t>Overview</w:t>
      </w:r>
      <w:bookmarkEnd w:id="4"/>
    </w:p>
    <w:p w14:paraId="27CF6266" w14:textId="77777777" w:rsidR="003F0D4E" w:rsidRPr="00097A86" w:rsidRDefault="003F0D4E" w:rsidP="00D22D3F">
      <w:pPr>
        <w:pStyle w:val="ActHead5"/>
      </w:pPr>
      <w:bookmarkStart w:id="5" w:name="_Toc13233468"/>
      <w:r w:rsidRPr="00097A86">
        <w:rPr>
          <w:rStyle w:val="CharSectno"/>
        </w:rPr>
        <w:t>1.3</w:t>
      </w:r>
      <w:r w:rsidR="00D22D3F" w:rsidRPr="00097A86">
        <w:t xml:space="preserve">  </w:t>
      </w:r>
      <w:r w:rsidRPr="00097A86">
        <w:t>Overview</w:t>
      </w:r>
      <w:r w:rsidR="00D22D3F" w:rsidRPr="00097A86">
        <w:t>—</w:t>
      </w:r>
      <w:r w:rsidRPr="00097A86">
        <w:t>general</w:t>
      </w:r>
      <w:bookmarkEnd w:id="5"/>
    </w:p>
    <w:p w14:paraId="59FEAF42" w14:textId="77777777" w:rsidR="00502585" w:rsidRPr="00097A86" w:rsidRDefault="00502585" w:rsidP="00D22D3F">
      <w:pPr>
        <w:pStyle w:val="subsection"/>
      </w:pPr>
      <w:r w:rsidRPr="00097A86">
        <w:tab/>
        <w:t>(1)</w:t>
      </w:r>
      <w:r w:rsidRPr="00097A86">
        <w:tab/>
        <w:t xml:space="preserve">This determination is made under </w:t>
      </w:r>
      <w:r w:rsidR="009505F0">
        <w:rPr>
          <w:color w:val="000000" w:themeColor="text1"/>
        </w:rPr>
        <w:t>section</w:t>
      </w:r>
      <w:r w:rsidR="00BF19C7" w:rsidRPr="00097A86">
        <w:t xml:space="preserve"> 10</w:t>
      </w:r>
      <w:r w:rsidRPr="00097A86">
        <w:t xml:space="preserve"> of the </w:t>
      </w:r>
      <w:r w:rsidRPr="00097A86">
        <w:rPr>
          <w:i/>
        </w:rPr>
        <w:t>National Greenhouse and Energy Reporting Act 2007</w:t>
      </w:r>
      <w:r w:rsidRPr="00097A86">
        <w:t>. It provides for the measurement of the following:</w:t>
      </w:r>
    </w:p>
    <w:p w14:paraId="1A965D68" w14:textId="77777777" w:rsidR="00502585" w:rsidRPr="00097A86" w:rsidRDefault="00502585" w:rsidP="00D22D3F">
      <w:pPr>
        <w:pStyle w:val="paragraph"/>
      </w:pPr>
      <w:r w:rsidRPr="00097A86">
        <w:tab/>
        <w:t>(a)</w:t>
      </w:r>
      <w:r w:rsidRPr="00097A86">
        <w:tab/>
        <w:t>greenhouse gas emissions arising from the operation of facilities;</w:t>
      </w:r>
    </w:p>
    <w:p w14:paraId="158A1DE0" w14:textId="77777777" w:rsidR="00502585" w:rsidRPr="00097A86" w:rsidRDefault="00502585" w:rsidP="00D22D3F">
      <w:pPr>
        <w:pStyle w:val="paragraph"/>
      </w:pPr>
      <w:r w:rsidRPr="00097A86">
        <w:tab/>
        <w:t>(b)</w:t>
      </w:r>
      <w:r w:rsidRPr="00097A86">
        <w:tab/>
        <w:t>the production of energy arising from the operation of facilities;</w:t>
      </w:r>
    </w:p>
    <w:p w14:paraId="6EA8CB9A" w14:textId="77777777" w:rsidR="00502585" w:rsidRPr="00097A86" w:rsidRDefault="00502585" w:rsidP="00D22D3F">
      <w:pPr>
        <w:pStyle w:val="paragraph"/>
      </w:pPr>
      <w:r w:rsidRPr="00097A86">
        <w:tab/>
        <w:t>(c)</w:t>
      </w:r>
      <w:r w:rsidRPr="00097A86">
        <w:tab/>
        <w:t xml:space="preserve">the consumption of energy arising from the operation of </w:t>
      </w:r>
      <w:r w:rsidR="00FF0520" w:rsidRPr="00097A86">
        <w:t>facilities.</w:t>
      </w:r>
    </w:p>
    <w:p w14:paraId="5C97B9BF" w14:textId="77777777" w:rsidR="00FF0520" w:rsidRPr="00097A86" w:rsidRDefault="00FF0520" w:rsidP="00FF0520">
      <w:pPr>
        <w:pStyle w:val="notetext"/>
      </w:pPr>
      <w:r w:rsidRPr="00097A86">
        <w:t>Note:</w:t>
      </w:r>
      <w:r w:rsidRPr="00097A86">
        <w:tab/>
      </w:r>
      <w:r w:rsidRPr="00097A86">
        <w:rPr>
          <w:b/>
          <w:i/>
        </w:rPr>
        <w:t>Facility</w:t>
      </w:r>
      <w:r w:rsidRPr="00097A86">
        <w:t xml:space="preserve"> has the meaning given by section</w:t>
      </w:r>
      <w:r w:rsidR="00097A86">
        <w:t> </w:t>
      </w:r>
      <w:r w:rsidRPr="00097A86">
        <w:t>9 of the Act.</w:t>
      </w:r>
    </w:p>
    <w:p w14:paraId="43BDB651" w14:textId="77777777" w:rsidR="00502585" w:rsidRPr="00097A86" w:rsidRDefault="00502585" w:rsidP="00D22D3F">
      <w:pPr>
        <w:pStyle w:val="subsection"/>
      </w:pPr>
      <w:r w:rsidRPr="00097A86">
        <w:tab/>
        <w:t>(2)</w:t>
      </w:r>
      <w:r w:rsidRPr="00097A86">
        <w:tab/>
        <w:t>This determination deals wit</w:t>
      </w:r>
      <w:r w:rsidR="00BD10F1" w:rsidRPr="00097A86">
        <w:t>h scope 1 emissions</w:t>
      </w:r>
      <w:r w:rsidRPr="00097A86">
        <w:t xml:space="preserve"> </w:t>
      </w:r>
      <w:r w:rsidR="00FF0520" w:rsidRPr="00097A86">
        <w:t>and scope 2 emissions</w:t>
      </w:r>
      <w:r w:rsidRPr="00097A86">
        <w:t>.</w:t>
      </w:r>
    </w:p>
    <w:p w14:paraId="60082AC6" w14:textId="77777777" w:rsidR="00502585" w:rsidRPr="00097A86" w:rsidRDefault="00FF0520" w:rsidP="00D22D3F">
      <w:pPr>
        <w:pStyle w:val="notetext"/>
      </w:pPr>
      <w:r w:rsidRPr="00097A86">
        <w:t>Note</w:t>
      </w:r>
      <w:r w:rsidR="00D22D3F" w:rsidRPr="00097A86">
        <w:t>:</w:t>
      </w:r>
      <w:r w:rsidR="00D22D3F" w:rsidRPr="00097A86">
        <w:tab/>
      </w:r>
      <w:r w:rsidR="00502585" w:rsidRPr="00097A86">
        <w:rPr>
          <w:b/>
          <w:i/>
        </w:rPr>
        <w:t>Scope 1 emission</w:t>
      </w:r>
      <w:r w:rsidR="00502585" w:rsidRPr="00097A86">
        <w:t xml:space="preserve"> and </w:t>
      </w:r>
      <w:r w:rsidR="00502585" w:rsidRPr="00097A86">
        <w:rPr>
          <w:b/>
          <w:i/>
        </w:rPr>
        <w:t>scope 2 emission</w:t>
      </w:r>
      <w:r w:rsidR="00502585" w:rsidRPr="00097A86">
        <w:t xml:space="preserve"> have the meaning given by section</w:t>
      </w:r>
      <w:r w:rsidR="00097A86">
        <w:t> </w:t>
      </w:r>
      <w:r w:rsidR="00502585" w:rsidRPr="00097A86">
        <w:t>10 of the Act (also see, respectively, regulations</w:t>
      </w:r>
      <w:r w:rsidR="00097A86">
        <w:t> </w:t>
      </w:r>
      <w:r w:rsidR="00502585" w:rsidRPr="00097A86">
        <w:t>2.23 and 2.24 of the Regulations).</w:t>
      </w:r>
    </w:p>
    <w:p w14:paraId="345DD69B" w14:textId="77777777" w:rsidR="003F0D4E" w:rsidRPr="00097A86" w:rsidRDefault="003F0D4E" w:rsidP="00D22D3F">
      <w:pPr>
        <w:pStyle w:val="subsection"/>
      </w:pPr>
      <w:r w:rsidRPr="00097A86">
        <w:tab/>
        <w:t>(3)</w:t>
      </w:r>
      <w:r w:rsidRPr="00097A86">
        <w:tab/>
        <w:t>There are 4 categories of scope 1 emissions dealt with in this Determination.</w:t>
      </w:r>
    </w:p>
    <w:p w14:paraId="0EFEC8A3" w14:textId="77777777" w:rsidR="003F0D4E" w:rsidRPr="00097A86" w:rsidRDefault="00D22D3F" w:rsidP="00D22D3F">
      <w:pPr>
        <w:pStyle w:val="notetext"/>
      </w:pPr>
      <w:r w:rsidRPr="00097A86">
        <w:t>Note:</w:t>
      </w:r>
      <w:r w:rsidRPr="00097A86">
        <w:tab/>
      </w:r>
      <w:r w:rsidR="003F0D4E" w:rsidRPr="00097A86">
        <w:t>This Determination does not deal with emissions released directly from land management.</w:t>
      </w:r>
    </w:p>
    <w:p w14:paraId="5F63BDE6" w14:textId="77777777" w:rsidR="006A63EC" w:rsidRPr="00097A86" w:rsidRDefault="006A63EC" w:rsidP="00D22D3F">
      <w:pPr>
        <w:pStyle w:val="subsection"/>
      </w:pPr>
      <w:r w:rsidRPr="00097A86">
        <w:tab/>
        <w:t>(4)</w:t>
      </w:r>
      <w:r w:rsidRPr="00097A86">
        <w:tab/>
        <w:t>The categories of scope 1 emissions are:</w:t>
      </w:r>
    </w:p>
    <w:p w14:paraId="10791299" w14:textId="77777777" w:rsidR="006A63EC" w:rsidRPr="00097A86" w:rsidRDefault="006A63EC" w:rsidP="00D22D3F">
      <w:pPr>
        <w:pStyle w:val="paragraph"/>
      </w:pPr>
      <w:r w:rsidRPr="00097A86">
        <w:tab/>
        <w:t>(a)</w:t>
      </w:r>
      <w:r w:rsidRPr="00097A86">
        <w:tab/>
        <w:t>fuel combustion, which deals with emissions released from fuel combustion (see Chapter</w:t>
      </w:r>
      <w:r w:rsidR="00097A86">
        <w:t> </w:t>
      </w:r>
      <w:r w:rsidRPr="00097A86">
        <w:t>2); and</w:t>
      </w:r>
    </w:p>
    <w:p w14:paraId="0FCB3C98" w14:textId="77777777" w:rsidR="006A63EC" w:rsidRPr="00097A86" w:rsidRDefault="006A63EC" w:rsidP="00D22D3F">
      <w:pPr>
        <w:pStyle w:val="paragraph"/>
      </w:pPr>
      <w:r w:rsidRPr="00097A86">
        <w:tab/>
        <w:t>(b)</w:t>
      </w:r>
      <w:r w:rsidRPr="00097A86">
        <w:tab/>
        <w:t>fugitive emissions from fuels, which deals with emissions mainly released from the extraction, production, processing and distribution of fossil fuels (see Chapter</w:t>
      </w:r>
      <w:r w:rsidR="00097A86">
        <w:t> </w:t>
      </w:r>
      <w:r w:rsidRPr="00097A86">
        <w:t>3); and</w:t>
      </w:r>
    </w:p>
    <w:p w14:paraId="02E051DD" w14:textId="77777777" w:rsidR="006A63EC" w:rsidRPr="00097A86" w:rsidRDefault="006A63EC" w:rsidP="00D22D3F">
      <w:pPr>
        <w:pStyle w:val="paragraph"/>
      </w:pPr>
      <w:r w:rsidRPr="00097A86">
        <w:tab/>
        <w:t>(c)</w:t>
      </w:r>
      <w:r w:rsidRPr="00097A86">
        <w:tab/>
        <w:t>industrial processes emissions, which deals with emissions released from the consumption of carbonates and the use of fuels as feedstock or as carbon reductants, and the emission of synthetic gases in particular cases (see Chapter</w:t>
      </w:r>
      <w:r w:rsidR="00097A86">
        <w:t> </w:t>
      </w:r>
      <w:r w:rsidRPr="00097A86">
        <w:t>4); and</w:t>
      </w:r>
    </w:p>
    <w:p w14:paraId="72B13910" w14:textId="77777777" w:rsidR="006A63EC" w:rsidRPr="00097A86" w:rsidRDefault="006A63EC" w:rsidP="00D22D3F">
      <w:pPr>
        <w:pStyle w:val="paragraph"/>
      </w:pPr>
      <w:r w:rsidRPr="00097A86">
        <w:tab/>
        <w:t>(d)</w:t>
      </w:r>
      <w:r w:rsidRPr="00097A86">
        <w:tab/>
        <w:t xml:space="preserve">waste emissions, which deals with emissions mainly released from the decomposition of organic material in landfill </w:t>
      </w:r>
      <w:r w:rsidR="001948E5" w:rsidRPr="00097A86">
        <w:t xml:space="preserve">or other facilities, </w:t>
      </w:r>
      <w:r w:rsidRPr="00097A86">
        <w:t>or wastewater handling facilities (see Chapter</w:t>
      </w:r>
      <w:r w:rsidR="00097A86">
        <w:t> </w:t>
      </w:r>
      <w:r w:rsidRPr="00097A86">
        <w:t>5).</w:t>
      </w:r>
    </w:p>
    <w:p w14:paraId="13E71A59" w14:textId="77777777" w:rsidR="003F0D4E" w:rsidRPr="00097A86" w:rsidRDefault="003F0D4E" w:rsidP="00D22D3F">
      <w:pPr>
        <w:pStyle w:val="subsection"/>
      </w:pPr>
      <w:r w:rsidRPr="00097A86">
        <w:tab/>
        <w:t>(5)</w:t>
      </w:r>
      <w:r w:rsidRPr="00097A86">
        <w:tab/>
        <w:t>Each of the categories has various subcategories.</w:t>
      </w:r>
    </w:p>
    <w:p w14:paraId="23EA725E" w14:textId="77777777" w:rsidR="003F0D4E" w:rsidRPr="00097A86" w:rsidRDefault="003F0D4E" w:rsidP="00D22D3F">
      <w:pPr>
        <w:pStyle w:val="ActHead5"/>
      </w:pPr>
      <w:bookmarkStart w:id="6" w:name="_Toc13233469"/>
      <w:r w:rsidRPr="00097A86">
        <w:rPr>
          <w:rStyle w:val="CharSectno"/>
        </w:rPr>
        <w:lastRenderedPageBreak/>
        <w:t>1.4</w:t>
      </w:r>
      <w:r w:rsidR="00D22D3F" w:rsidRPr="00097A86">
        <w:t xml:space="preserve">  </w:t>
      </w:r>
      <w:r w:rsidRPr="00097A86">
        <w:t>Overview</w:t>
      </w:r>
      <w:r w:rsidR="00D22D3F" w:rsidRPr="00097A86">
        <w:t>—</w:t>
      </w:r>
      <w:r w:rsidRPr="00097A86">
        <w:t>methods for measurement</w:t>
      </w:r>
      <w:bookmarkEnd w:id="6"/>
    </w:p>
    <w:p w14:paraId="7432562A" w14:textId="77777777" w:rsidR="003F0D4E" w:rsidRPr="00097A86" w:rsidRDefault="003F0D4E" w:rsidP="00D22D3F">
      <w:pPr>
        <w:pStyle w:val="subsection"/>
      </w:pPr>
      <w:r w:rsidRPr="00097A86">
        <w:tab/>
        <w:t>(1)</w:t>
      </w:r>
      <w:r w:rsidRPr="00097A86">
        <w:tab/>
        <w:t>This Determination provides methods and criteria for the measurement of the matters mentioned in subsection</w:t>
      </w:r>
      <w:r w:rsidR="00097A86">
        <w:t> </w:t>
      </w:r>
      <w:r w:rsidRPr="00097A86">
        <w:t>1.3(1).</w:t>
      </w:r>
    </w:p>
    <w:p w14:paraId="4A20772D" w14:textId="77777777" w:rsidR="003F0D4E" w:rsidRPr="00097A86" w:rsidRDefault="003F0D4E" w:rsidP="00D22D3F">
      <w:pPr>
        <w:pStyle w:val="subsection"/>
      </w:pPr>
      <w:r w:rsidRPr="00097A86">
        <w:tab/>
        <w:t>(2)</w:t>
      </w:r>
      <w:r w:rsidRPr="00097A86">
        <w:tab/>
      </w:r>
      <w:r w:rsidR="00502585" w:rsidRPr="00097A86">
        <w:t>For scope 1 emissions or scope 2 emissions:</w:t>
      </w:r>
    </w:p>
    <w:p w14:paraId="5A88E52B" w14:textId="77777777" w:rsidR="003F0D4E" w:rsidRPr="00097A86" w:rsidRDefault="003F0D4E" w:rsidP="00D22D3F">
      <w:pPr>
        <w:pStyle w:val="paragraph"/>
      </w:pPr>
      <w:r w:rsidRPr="00097A86">
        <w:tab/>
        <w:t>(a)</w:t>
      </w:r>
      <w:r w:rsidRPr="00097A86">
        <w:tab/>
        <w:t>method 1 (known as the default method) is derived from the National Greenhouse Accounts methods and is based on national average estimates; and</w:t>
      </w:r>
    </w:p>
    <w:p w14:paraId="50CC8B12" w14:textId="77777777" w:rsidR="003F0D4E" w:rsidRPr="00097A86" w:rsidRDefault="003F0D4E" w:rsidP="00D22D3F">
      <w:pPr>
        <w:pStyle w:val="paragraph"/>
      </w:pPr>
      <w:r w:rsidRPr="00097A86">
        <w:tab/>
        <w:t>(b)</w:t>
      </w:r>
      <w:r w:rsidRPr="00097A86">
        <w:tab/>
        <w:t>method 2 is</w:t>
      </w:r>
      <w:r w:rsidR="00502585" w:rsidRPr="00097A86">
        <w:t xml:space="preserve"> generally</w:t>
      </w:r>
      <w:r w:rsidRPr="00097A86">
        <w:t xml:space="preserve"> a facility specific method using industry practices for sampling and Australian or equivalent standards for analysis; and</w:t>
      </w:r>
    </w:p>
    <w:p w14:paraId="52001352" w14:textId="77777777" w:rsidR="003F0D4E" w:rsidRPr="00097A86" w:rsidRDefault="003F0D4E" w:rsidP="00D22D3F">
      <w:pPr>
        <w:pStyle w:val="paragraph"/>
      </w:pPr>
      <w:r w:rsidRPr="00097A86">
        <w:tab/>
        <w:t>(c)</w:t>
      </w:r>
      <w:r w:rsidRPr="00097A86">
        <w:tab/>
        <w:t>method 3 is</w:t>
      </w:r>
      <w:r w:rsidR="00502585" w:rsidRPr="00097A86">
        <w:t xml:space="preserve"> generally</w:t>
      </w:r>
      <w:r w:rsidRPr="00097A86">
        <w:t xml:space="preserve"> the same as method 2 but is based on Australian or equivalent standards for both sampling and analysis; and</w:t>
      </w:r>
    </w:p>
    <w:p w14:paraId="67F20C33" w14:textId="77777777" w:rsidR="003F0D4E" w:rsidRPr="00097A86" w:rsidRDefault="003F0D4E" w:rsidP="00D22D3F">
      <w:pPr>
        <w:pStyle w:val="paragraph"/>
      </w:pPr>
      <w:r w:rsidRPr="00097A86">
        <w:tab/>
        <w:t>(d)</w:t>
      </w:r>
      <w:r w:rsidRPr="00097A86">
        <w:tab/>
        <w:t>method 4 provides for facility specific measurement of emissions by continuous or periodic emissions monitoring.</w:t>
      </w:r>
    </w:p>
    <w:p w14:paraId="4BCAF172" w14:textId="77777777" w:rsidR="003F0D4E" w:rsidRPr="00097A86" w:rsidRDefault="00D22D3F" w:rsidP="00D22D3F">
      <w:pPr>
        <w:pStyle w:val="notetext"/>
      </w:pPr>
      <w:r w:rsidRPr="00097A86">
        <w:t>Note:</w:t>
      </w:r>
      <w:r w:rsidRPr="00097A86">
        <w:tab/>
      </w:r>
      <w:r w:rsidR="003F0D4E" w:rsidRPr="00097A86">
        <w:t>Method 4, that applies as indicated by provisions of this Determination, is as set out in Part</w:t>
      </w:r>
      <w:r w:rsidR="00097A86">
        <w:t> </w:t>
      </w:r>
      <w:r w:rsidR="003F0D4E" w:rsidRPr="00097A86">
        <w:t>1.3.</w:t>
      </w:r>
    </w:p>
    <w:p w14:paraId="439D71FD" w14:textId="77777777" w:rsidR="003F0D4E" w:rsidRPr="00097A86" w:rsidRDefault="003F0D4E" w:rsidP="00D22D3F">
      <w:pPr>
        <w:pStyle w:val="ActHead5"/>
      </w:pPr>
      <w:bookmarkStart w:id="7" w:name="_Toc13233470"/>
      <w:r w:rsidRPr="00097A86">
        <w:rPr>
          <w:rStyle w:val="CharSectno"/>
        </w:rPr>
        <w:t>1.5</w:t>
      </w:r>
      <w:r w:rsidR="00D22D3F" w:rsidRPr="00097A86">
        <w:t xml:space="preserve">  </w:t>
      </w:r>
      <w:r w:rsidRPr="00097A86">
        <w:t>Overview</w:t>
      </w:r>
      <w:r w:rsidR="00D22D3F" w:rsidRPr="00097A86">
        <w:t>—</w:t>
      </w:r>
      <w:r w:rsidRPr="00097A86">
        <w:t>energy</w:t>
      </w:r>
      <w:bookmarkEnd w:id="7"/>
    </w:p>
    <w:p w14:paraId="0A2ACD02" w14:textId="77777777" w:rsidR="003F0D4E" w:rsidRPr="00097A86" w:rsidRDefault="003F0D4E" w:rsidP="00D22D3F">
      <w:pPr>
        <w:pStyle w:val="subsection"/>
      </w:pPr>
      <w:r w:rsidRPr="00097A86">
        <w:tab/>
      </w:r>
      <w:r w:rsidRPr="00097A86">
        <w:tab/>
        <w:t>Chapter</w:t>
      </w:r>
      <w:r w:rsidR="00097A86">
        <w:t> </w:t>
      </w:r>
      <w:r w:rsidRPr="00097A86">
        <w:t>6 deals with the estimation of the production and consumption of energy.</w:t>
      </w:r>
    </w:p>
    <w:p w14:paraId="27076DE4" w14:textId="77777777" w:rsidR="003F0D4E" w:rsidRPr="00097A86" w:rsidRDefault="003F0D4E" w:rsidP="00D22D3F">
      <w:pPr>
        <w:pStyle w:val="ActHead5"/>
      </w:pPr>
      <w:bookmarkStart w:id="8" w:name="_Toc13233471"/>
      <w:r w:rsidRPr="00097A86">
        <w:rPr>
          <w:rStyle w:val="CharSectno"/>
        </w:rPr>
        <w:t>1.6</w:t>
      </w:r>
      <w:r w:rsidR="00D22D3F" w:rsidRPr="00097A86">
        <w:t xml:space="preserve">  </w:t>
      </w:r>
      <w:r w:rsidRPr="00097A86">
        <w:t>Overview</w:t>
      </w:r>
      <w:r w:rsidR="00D22D3F" w:rsidRPr="00097A86">
        <w:t>—</w:t>
      </w:r>
      <w:r w:rsidRPr="00097A86">
        <w:t>scope 2 emissions</w:t>
      </w:r>
      <w:bookmarkEnd w:id="8"/>
    </w:p>
    <w:p w14:paraId="630F8517" w14:textId="77777777" w:rsidR="003F0D4E" w:rsidRPr="00097A86" w:rsidRDefault="003F0D4E" w:rsidP="00D22D3F">
      <w:pPr>
        <w:pStyle w:val="subsection"/>
      </w:pPr>
      <w:r w:rsidRPr="00097A86">
        <w:tab/>
      </w:r>
      <w:r w:rsidRPr="00097A86">
        <w:tab/>
        <w:t>Chapter</w:t>
      </w:r>
      <w:r w:rsidR="00097A86">
        <w:t> </w:t>
      </w:r>
      <w:r w:rsidRPr="00097A86">
        <w:t>7 deals with scope 2 emissions.</w:t>
      </w:r>
    </w:p>
    <w:p w14:paraId="6571A536" w14:textId="77777777" w:rsidR="003F0D4E" w:rsidRPr="00097A86" w:rsidRDefault="003F0D4E" w:rsidP="00D22D3F">
      <w:pPr>
        <w:pStyle w:val="ActHead5"/>
      </w:pPr>
      <w:bookmarkStart w:id="9" w:name="_Toc13233472"/>
      <w:r w:rsidRPr="00097A86">
        <w:rPr>
          <w:rStyle w:val="CharSectno"/>
        </w:rPr>
        <w:t>1.7</w:t>
      </w:r>
      <w:r w:rsidR="00D22D3F" w:rsidRPr="00097A86">
        <w:t xml:space="preserve">  </w:t>
      </w:r>
      <w:r w:rsidRPr="00097A86">
        <w:t>Overview</w:t>
      </w:r>
      <w:r w:rsidR="00D22D3F" w:rsidRPr="00097A86">
        <w:t>—</w:t>
      </w:r>
      <w:r w:rsidRPr="00097A86">
        <w:t>assessment of uncertainty</w:t>
      </w:r>
      <w:bookmarkEnd w:id="9"/>
    </w:p>
    <w:p w14:paraId="53DBEAFF" w14:textId="77777777" w:rsidR="003F0D4E" w:rsidRPr="00097A86" w:rsidRDefault="003F0D4E" w:rsidP="00D22D3F">
      <w:pPr>
        <w:pStyle w:val="subsection"/>
      </w:pPr>
      <w:r w:rsidRPr="00097A86">
        <w:tab/>
      </w:r>
      <w:r w:rsidRPr="00097A86">
        <w:tab/>
        <w:t>Chapter</w:t>
      </w:r>
      <w:r w:rsidR="00097A86">
        <w:t> </w:t>
      </w:r>
      <w:r w:rsidRPr="00097A86">
        <w:t>8 deals with the assessment of uncertainty.</w:t>
      </w:r>
    </w:p>
    <w:p w14:paraId="36D3256F" w14:textId="77777777" w:rsidR="003F0D4E" w:rsidRPr="00097A86" w:rsidRDefault="003F0D4E" w:rsidP="00D22D3F">
      <w:pPr>
        <w:pStyle w:val="ActHead3"/>
        <w:pageBreakBefore/>
      </w:pPr>
      <w:bookmarkStart w:id="10" w:name="_Toc13233473"/>
      <w:r w:rsidRPr="00097A86">
        <w:rPr>
          <w:rStyle w:val="CharDivNo"/>
        </w:rPr>
        <w:lastRenderedPageBreak/>
        <w:t>Division</w:t>
      </w:r>
      <w:r w:rsidR="00097A86">
        <w:rPr>
          <w:rStyle w:val="CharDivNo"/>
        </w:rPr>
        <w:t> </w:t>
      </w:r>
      <w:r w:rsidRPr="00097A86">
        <w:rPr>
          <w:rStyle w:val="CharDivNo"/>
        </w:rPr>
        <w:t>1.1.2</w:t>
      </w:r>
      <w:r w:rsidR="00D22D3F" w:rsidRPr="00097A86">
        <w:t>—</w:t>
      </w:r>
      <w:r w:rsidRPr="00097A86">
        <w:rPr>
          <w:rStyle w:val="CharDivText"/>
        </w:rPr>
        <w:t>Definitions and interpretation</w:t>
      </w:r>
      <w:bookmarkEnd w:id="10"/>
    </w:p>
    <w:p w14:paraId="5D4FE345" w14:textId="77777777" w:rsidR="003F0D4E" w:rsidRPr="00097A86" w:rsidRDefault="003F0D4E" w:rsidP="00D22D3F">
      <w:pPr>
        <w:pStyle w:val="ActHead5"/>
      </w:pPr>
      <w:bookmarkStart w:id="11" w:name="_Toc13233474"/>
      <w:r w:rsidRPr="00097A86">
        <w:rPr>
          <w:rStyle w:val="CharSectno"/>
        </w:rPr>
        <w:t>1.8</w:t>
      </w:r>
      <w:r w:rsidR="00D22D3F" w:rsidRPr="00097A86">
        <w:t xml:space="preserve">  </w:t>
      </w:r>
      <w:r w:rsidRPr="00097A86">
        <w:t>Definitions</w:t>
      </w:r>
      <w:bookmarkEnd w:id="11"/>
    </w:p>
    <w:p w14:paraId="5CCEC700" w14:textId="77777777" w:rsidR="003F0D4E" w:rsidRPr="00097A86" w:rsidRDefault="003F0D4E" w:rsidP="00D22D3F">
      <w:pPr>
        <w:pStyle w:val="subsection"/>
      </w:pPr>
      <w:r w:rsidRPr="00097A86">
        <w:tab/>
      </w:r>
      <w:r w:rsidRPr="00097A86">
        <w:tab/>
        <w:t>In this Determination:</w:t>
      </w:r>
    </w:p>
    <w:p w14:paraId="03B52B49" w14:textId="77777777" w:rsidR="003F0D4E" w:rsidRPr="00097A86" w:rsidRDefault="003F0D4E" w:rsidP="00D22D3F">
      <w:pPr>
        <w:pStyle w:val="Definition"/>
      </w:pPr>
      <w:r w:rsidRPr="00097A86">
        <w:rPr>
          <w:b/>
          <w:i/>
        </w:rPr>
        <w:t xml:space="preserve">2006 IPCC Guidelines </w:t>
      </w:r>
      <w:r w:rsidRPr="00097A86">
        <w:t xml:space="preserve">means the </w:t>
      </w:r>
      <w:r w:rsidRPr="00097A86">
        <w:rPr>
          <w:i/>
        </w:rPr>
        <w:t xml:space="preserve">2006 IPCC Guidelines for National Greenhouse Gas Inventories </w:t>
      </w:r>
      <w:r w:rsidRPr="00097A86">
        <w:t>published by the IPCC.</w:t>
      </w:r>
    </w:p>
    <w:p w14:paraId="584A52A7" w14:textId="77777777" w:rsidR="00502585" w:rsidRPr="00097A86" w:rsidRDefault="00502585" w:rsidP="00D22D3F">
      <w:pPr>
        <w:pStyle w:val="Definition"/>
      </w:pPr>
      <w:r w:rsidRPr="00097A86">
        <w:rPr>
          <w:b/>
          <w:i/>
        </w:rPr>
        <w:t xml:space="preserve">ACARP Guidelines </w:t>
      </w:r>
      <w:r w:rsidRPr="00097A86">
        <w:t xml:space="preserve">means the document entitled </w:t>
      </w:r>
      <w:r w:rsidRPr="00097A86">
        <w:rPr>
          <w:i/>
        </w:rPr>
        <w:t xml:space="preserve">Guidelines for the Implementation of NGER Method 2 or 3 for Open Cut Coal Mine Fugitive GHG Emissions Reporting </w:t>
      </w:r>
      <w:r w:rsidRPr="00097A86">
        <w:t>(C20005), published by the Australian Coal Association Research Program in December 2011.</w:t>
      </w:r>
    </w:p>
    <w:p w14:paraId="3651C748" w14:textId="77777777" w:rsidR="003F0D4E" w:rsidRPr="00097A86" w:rsidRDefault="003F0D4E" w:rsidP="00D22D3F">
      <w:pPr>
        <w:pStyle w:val="Definition"/>
      </w:pPr>
      <w:r w:rsidRPr="00097A86">
        <w:rPr>
          <w:b/>
          <w:i/>
        </w:rPr>
        <w:t xml:space="preserve">accredited laboratory </w:t>
      </w:r>
      <w:r w:rsidRPr="00097A86">
        <w:t>means a laboratory accredited by the National Association of Testing Authorities or an equivalent member of the International Laboratory Accreditation Cooperation in accordance with AS ISO/IEC 17025:2005, and for the production of calibration gases, accredited to ISO Guide 34:2000.</w:t>
      </w:r>
    </w:p>
    <w:p w14:paraId="7A56DD3C" w14:textId="77777777" w:rsidR="003F0D4E" w:rsidRPr="00097A86" w:rsidRDefault="003F0D4E" w:rsidP="00D22D3F">
      <w:pPr>
        <w:pStyle w:val="Definition"/>
      </w:pPr>
      <w:r w:rsidRPr="00097A86">
        <w:rPr>
          <w:b/>
          <w:i/>
        </w:rPr>
        <w:t xml:space="preserve">Act </w:t>
      </w:r>
      <w:r w:rsidRPr="00097A86">
        <w:t xml:space="preserve">means the </w:t>
      </w:r>
      <w:r w:rsidRPr="00097A86">
        <w:rPr>
          <w:i/>
        </w:rPr>
        <w:t>National Greenhouse and Energy Reporting Act 2007</w:t>
      </w:r>
      <w:r w:rsidRPr="00097A86">
        <w:t>.</w:t>
      </w:r>
    </w:p>
    <w:p w14:paraId="71723CF5" w14:textId="77777777" w:rsidR="002A2804" w:rsidRPr="00097A86" w:rsidRDefault="002A2804" w:rsidP="002A2804">
      <w:pPr>
        <w:pStyle w:val="Definition"/>
      </w:pPr>
      <w:r w:rsidRPr="00097A86">
        <w:rPr>
          <w:b/>
          <w:i/>
        </w:rPr>
        <w:t>active gas collection</w:t>
      </w:r>
      <w:r w:rsidRPr="00097A86">
        <w:t xml:space="preserve"> means a system of wells and pipes that collect landfill gas through the use of vacuums or pumps.</w:t>
      </w:r>
    </w:p>
    <w:p w14:paraId="46996E14" w14:textId="77777777" w:rsidR="002A2804" w:rsidRPr="00097A86" w:rsidRDefault="002A2804" w:rsidP="002A2804">
      <w:pPr>
        <w:pStyle w:val="Definition"/>
      </w:pPr>
      <w:r w:rsidRPr="00097A86">
        <w:rPr>
          <w:b/>
          <w:i/>
        </w:rPr>
        <w:t>alternative waste treatment activity</w:t>
      </w:r>
      <w:r w:rsidRPr="00097A86">
        <w:t xml:space="preserve"> means an activity that:</w:t>
      </w:r>
    </w:p>
    <w:p w14:paraId="0720BE79" w14:textId="77777777" w:rsidR="002A2804" w:rsidRPr="00097A86" w:rsidRDefault="002A2804" w:rsidP="002A2804">
      <w:pPr>
        <w:pStyle w:val="paragraph"/>
      </w:pPr>
      <w:r w:rsidRPr="00097A86">
        <w:tab/>
        <w:t>(a)</w:t>
      </w:r>
      <w:r w:rsidRPr="00097A86">
        <w:tab/>
        <w:t>accepts and processes mixed waste using:</w:t>
      </w:r>
    </w:p>
    <w:p w14:paraId="0E37ED32" w14:textId="77777777" w:rsidR="002A2804" w:rsidRPr="00097A86" w:rsidRDefault="002A2804" w:rsidP="002A2804">
      <w:pPr>
        <w:pStyle w:val="paragraphsub"/>
      </w:pPr>
      <w:r w:rsidRPr="00097A86">
        <w:tab/>
        <w:t>(i)</w:t>
      </w:r>
      <w:r w:rsidRPr="00097A86">
        <w:tab/>
        <w:t>mechanical processing; and</w:t>
      </w:r>
    </w:p>
    <w:p w14:paraId="12934459" w14:textId="77777777" w:rsidR="002A2804" w:rsidRPr="00097A86" w:rsidRDefault="002A2804" w:rsidP="002A2804">
      <w:pPr>
        <w:pStyle w:val="paragraphsub"/>
      </w:pPr>
      <w:r w:rsidRPr="00097A86">
        <w:tab/>
        <w:t>(ii)</w:t>
      </w:r>
      <w:r w:rsidRPr="00097A86">
        <w:tab/>
        <w:t>biological or thermal processing; and</w:t>
      </w:r>
    </w:p>
    <w:p w14:paraId="36B1D21D" w14:textId="77777777" w:rsidR="002A2804" w:rsidRPr="00097A86" w:rsidRDefault="002A2804" w:rsidP="002A2804">
      <w:pPr>
        <w:pStyle w:val="paragraph"/>
      </w:pPr>
      <w:r w:rsidRPr="00097A86">
        <w:tab/>
        <w:t>(b)</w:t>
      </w:r>
      <w:r w:rsidRPr="00097A86">
        <w:tab/>
        <w:t>extracts recyclable materials from the mixed waste.</w:t>
      </w:r>
    </w:p>
    <w:p w14:paraId="5ED67CD2" w14:textId="77777777" w:rsidR="002A2804" w:rsidRPr="00097A86" w:rsidRDefault="002A2804" w:rsidP="002A2804">
      <w:pPr>
        <w:pStyle w:val="Definition"/>
      </w:pPr>
      <w:r w:rsidRPr="00097A86">
        <w:rPr>
          <w:b/>
          <w:i/>
        </w:rPr>
        <w:t xml:space="preserve">alternative waste treatment residue </w:t>
      </w:r>
      <w:r w:rsidRPr="00097A86">
        <w:t>means the material that remains after waste has been processed and organic rich material has been removed by physical screening or sorting by an alternative waste treatment activity that produces compost, soil conditioners or mulch in accordance with:</w:t>
      </w:r>
    </w:p>
    <w:p w14:paraId="657F7FC5" w14:textId="77777777" w:rsidR="002A2804" w:rsidRPr="00097A86" w:rsidRDefault="002A2804" w:rsidP="002A2804">
      <w:pPr>
        <w:pStyle w:val="paragraph"/>
      </w:pPr>
      <w:r w:rsidRPr="00097A86">
        <w:tab/>
        <w:t>(a)</w:t>
      </w:r>
      <w:r w:rsidRPr="00097A86">
        <w:tab/>
        <w:t>State or Territory legislation; or</w:t>
      </w:r>
    </w:p>
    <w:p w14:paraId="67558F97" w14:textId="77777777" w:rsidR="002A2804" w:rsidRPr="00097A86" w:rsidRDefault="002A2804" w:rsidP="002A2804">
      <w:pPr>
        <w:pStyle w:val="paragraph"/>
      </w:pPr>
      <w:r w:rsidRPr="00097A86">
        <w:tab/>
        <w:t>(b)</w:t>
      </w:r>
      <w:r w:rsidRPr="00097A86">
        <w:tab/>
        <w:t>Australian Standard AS 4454:2012.</w:t>
      </w:r>
    </w:p>
    <w:p w14:paraId="58728AB1" w14:textId="77777777" w:rsidR="003F0D4E" w:rsidRPr="00097A86" w:rsidRDefault="003F0D4E" w:rsidP="00D22D3F">
      <w:pPr>
        <w:pStyle w:val="Definition"/>
      </w:pPr>
      <w:r w:rsidRPr="00097A86">
        <w:rPr>
          <w:b/>
          <w:i/>
        </w:rPr>
        <w:t xml:space="preserve">ANZSIC industry classification and code </w:t>
      </w:r>
      <w:r w:rsidRPr="00097A86">
        <w:t>means an industry classification and code for that classification published in the Australian and New Zealand Standard Industrial Classification (ANZSIC), 2006.</w:t>
      </w:r>
    </w:p>
    <w:p w14:paraId="3D3F854A" w14:textId="77777777" w:rsidR="003F0D4E" w:rsidRPr="00097A86" w:rsidRDefault="003F0D4E" w:rsidP="00D22D3F">
      <w:pPr>
        <w:pStyle w:val="Definition"/>
      </w:pPr>
      <w:r w:rsidRPr="00097A86">
        <w:rPr>
          <w:b/>
          <w:i/>
        </w:rPr>
        <w:t xml:space="preserve">APHA </w:t>
      </w:r>
      <w:r w:rsidRPr="00097A86">
        <w:t>followed by a number means a method of that number issued by the American Public Health Association and, if a date is included, of that date.</w:t>
      </w:r>
    </w:p>
    <w:p w14:paraId="48E92B51" w14:textId="77777777" w:rsidR="00502585" w:rsidRPr="00097A86" w:rsidRDefault="00502585" w:rsidP="00D22D3F">
      <w:pPr>
        <w:pStyle w:val="Definition"/>
      </w:pPr>
      <w:r w:rsidRPr="00097A86">
        <w:rPr>
          <w:b/>
          <w:i/>
        </w:rPr>
        <w:t xml:space="preserve">API Compendium </w:t>
      </w:r>
      <w:r w:rsidRPr="00097A86">
        <w:t xml:space="preserve">means the document entitled </w:t>
      </w:r>
      <w:r w:rsidRPr="00097A86">
        <w:rPr>
          <w:i/>
        </w:rPr>
        <w:t>Compendium of Greenhouse Gas Emissions Methodologies for the Oil and Natural Gas Industry</w:t>
      </w:r>
      <w:r w:rsidRPr="00097A86">
        <w:t>, published in August 2009 by the American Petroleum Institute.</w:t>
      </w:r>
    </w:p>
    <w:p w14:paraId="342FAE8C" w14:textId="77777777" w:rsidR="00502585" w:rsidRPr="00097A86" w:rsidRDefault="00D22D3F" w:rsidP="00D22D3F">
      <w:pPr>
        <w:pStyle w:val="notetext"/>
      </w:pPr>
      <w:r w:rsidRPr="00097A86">
        <w:t>Note:</w:t>
      </w:r>
      <w:r w:rsidRPr="00097A86">
        <w:tab/>
      </w:r>
      <w:r w:rsidR="00502585" w:rsidRPr="00097A86">
        <w:t xml:space="preserve">The API Compendium is available at </w:t>
      </w:r>
      <w:r w:rsidR="00502585" w:rsidRPr="00097A86">
        <w:rPr>
          <w:u w:val="single"/>
        </w:rPr>
        <w:t>www.api.org</w:t>
      </w:r>
      <w:r w:rsidR="00502585" w:rsidRPr="00097A86">
        <w:t>.</w:t>
      </w:r>
    </w:p>
    <w:p w14:paraId="24480ED2" w14:textId="77777777" w:rsidR="003F0D4E" w:rsidRPr="00097A86" w:rsidRDefault="003F0D4E" w:rsidP="00D22D3F">
      <w:pPr>
        <w:pStyle w:val="Definition"/>
      </w:pPr>
      <w:r w:rsidRPr="00097A86">
        <w:rPr>
          <w:b/>
          <w:i/>
        </w:rPr>
        <w:t>applicable State or Territory legislation</w:t>
      </w:r>
      <w:r w:rsidRPr="00097A86">
        <w:t xml:space="preserve">, for an underground mine, means a law of a State or Territory in which the mine is located that relates to coal mining </w:t>
      </w:r>
      <w:r w:rsidRPr="00097A86">
        <w:lastRenderedPageBreak/>
        <w:t xml:space="preserve">health and safety, </w:t>
      </w:r>
      <w:r w:rsidR="00C65CD2" w:rsidRPr="00097A86">
        <w:t>including such a law that prescribes performance</w:t>
      </w:r>
      <w:r w:rsidR="00097A86">
        <w:noBreakHyphen/>
      </w:r>
      <w:r w:rsidR="00C65CD2" w:rsidRPr="00097A86">
        <w:t xml:space="preserve">based objectives, </w:t>
      </w:r>
      <w:r w:rsidRPr="00097A86">
        <w:t>as in force on 1</w:t>
      </w:r>
      <w:r w:rsidR="00097A86">
        <w:t> </w:t>
      </w:r>
      <w:r w:rsidRPr="00097A86">
        <w:t>July 2008.</w:t>
      </w:r>
    </w:p>
    <w:p w14:paraId="7B6D5F95" w14:textId="77777777" w:rsidR="003F0D4E" w:rsidRPr="00097A86" w:rsidRDefault="00D22D3F" w:rsidP="00D22D3F">
      <w:pPr>
        <w:pStyle w:val="notetext"/>
      </w:pPr>
      <w:r w:rsidRPr="00097A86">
        <w:t>Note:</w:t>
      </w:r>
      <w:r w:rsidRPr="00097A86">
        <w:tab/>
      </w:r>
      <w:r w:rsidR="003F0D4E" w:rsidRPr="00097A86">
        <w:t>Applicable State or Territory legislation includes:</w:t>
      </w:r>
    </w:p>
    <w:p w14:paraId="2DF8DA68" w14:textId="77777777" w:rsidR="003F0D4E" w:rsidRPr="00097A86" w:rsidRDefault="003F0D4E" w:rsidP="00D22D3F">
      <w:pPr>
        <w:pStyle w:val="notepara"/>
      </w:pPr>
      <w:r w:rsidRPr="00097A86">
        <w:sym w:font="Symbol" w:char="F0B7"/>
      </w:r>
      <w:r w:rsidRPr="00097A86">
        <w:tab/>
      </w:r>
      <w:r w:rsidRPr="00097A86">
        <w:rPr>
          <w:i/>
        </w:rPr>
        <w:t>Coal Mine Health and Safety Act 2002</w:t>
      </w:r>
      <w:r w:rsidRPr="00097A86">
        <w:t xml:space="preserve"> (NSW) and the </w:t>
      </w:r>
      <w:r w:rsidRPr="00097A86">
        <w:rPr>
          <w:i/>
        </w:rPr>
        <w:t>Coal Mine Health and Safety Regulation</w:t>
      </w:r>
      <w:r w:rsidR="00097A86">
        <w:rPr>
          <w:i/>
        </w:rPr>
        <w:t> </w:t>
      </w:r>
      <w:r w:rsidRPr="00097A86">
        <w:rPr>
          <w:i/>
        </w:rPr>
        <w:t>2006</w:t>
      </w:r>
      <w:r w:rsidRPr="00097A86">
        <w:t xml:space="preserve"> (NSW)</w:t>
      </w:r>
    </w:p>
    <w:p w14:paraId="3EDF8440" w14:textId="77777777" w:rsidR="003F0D4E" w:rsidRPr="00097A86" w:rsidRDefault="003F0D4E" w:rsidP="00D22D3F">
      <w:pPr>
        <w:pStyle w:val="notepara"/>
      </w:pPr>
      <w:r w:rsidRPr="00097A86">
        <w:sym w:font="Symbol" w:char="F0B7"/>
      </w:r>
      <w:r w:rsidRPr="00097A86">
        <w:tab/>
      </w:r>
      <w:r w:rsidRPr="00097A86">
        <w:rPr>
          <w:i/>
        </w:rPr>
        <w:t>Coal Mining Safety and Health Act 1999</w:t>
      </w:r>
      <w:r w:rsidRPr="00097A86">
        <w:t xml:space="preserve"> (Qld) and the</w:t>
      </w:r>
      <w:r w:rsidRPr="00097A86">
        <w:rPr>
          <w:i/>
        </w:rPr>
        <w:t xml:space="preserve"> Coal Mining Safety and Health Regulation</w:t>
      </w:r>
      <w:r w:rsidR="00097A86">
        <w:rPr>
          <w:i/>
        </w:rPr>
        <w:t> </w:t>
      </w:r>
      <w:r w:rsidRPr="00097A86">
        <w:rPr>
          <w:i/>
        </w:rPr>
        <w:t>2001</w:t>
      </w:r>
      <w:r w:rsidRPr="00097A86">
        <w:t xml:space="preserve"> (Qld).</w:t>
      </w:r>
    </w:p>
    <w:p w14:paraId="1FE15522" w14:textId="77777777" w:rsidR="003F0D4E" w:rsidRPr="00097A86" w:rsidRDefault="003F0D4E" w:rsidP="00D22D3F">
      <w:pPr>
        <w:pStyle w:val="Definition"/>
      </w:pPr>
      <w:r w:rsidRPr="00097A86">
        <w:rPr>
          <w:b/>
          <w:i/>
        </w:rPr>
        <w:t>appropriate standard</w:t>
      </w:r>
      <w:r w:rsidRPr="00097A86">
        <w:t>, for a matter or circumstance, means an Australian standard or an equivalent international standard that is appropriate for the matter or circumstance.</w:t>
      </w:r>
    </w:p>
    <w:p w14:paraId="228BB093" w14:textId="77777777" w:rsidR="003F0D4E" w:rsidRPr="00097A86" w:rsidRDefault="003F0D4E" w:rsidP="00D22D3F">
      <w:pPr>
        <w:pStyle w:val="Definition"/>
      </w:pPr>
      <w:r w:rsidRPr="00097A86">
        <w:rPr>
          <w:b/>
          <w:i/>
        </w:rPr>
        <w:t xml:space="preserve">appropriate unit </w:t>
      </w:r>
      <w:r w:rsidRPr="00097A86">
        <w:t>of measurement, in relation to a fuel type, means:</w:t>
      </w:r>
    </w:p>
    <w:p w14:paraId="6401CC38" w14:textId="77777777" w:rsidR="003F0D4E" w:rsidRPr="00097A86" w:rsidRDefault="003F0D4E" w:rsidP="00D22D3F">
      <w:pPr>
        <w:pStyle w:val="paragraph"/>
      </w:pPr>
      <w:r w:rsidRPr="00097A86">
        <w:tab/>
        <w:t>(a)</w:t>
      </w:r>
      <w:r w:rsidRPr="00097A86">
        <w:tab/>
        <w:t>for solid fuels</w:t>
      </w:r>
      <w:r w:rsidR="00D22D3F" w:rsidRPr="00097A86">
        <w:t>—</w:t>
      </w:r>
      <w:r w:rsidRPr="00097A86">
        <w:t>tonnes; and</w:t>
      </w:r>
    </w:p>
    <w:p w14:paraId="340471DC" w14:textId="77777777" w:rsidR="003F0D4E" w:rsidRPr="00097A86" w:rsidRDefault="003F0D4E" w:rsidP="00D22D3F">
      <w:pPr>
        <w:pStyle w:val="paragraph"/>
      </w:pPr>
      <w:r w:rsidRPr="00097A86">
        <w:tab/>
        <w:t>(b)</w:t>
      </w:r>
      <w:r w:rsidRPr="00097A86">
        <w:tab/>
        <w:t>for gaseous fuels</w:t>
      </w:r>
      <w:r w:rsidR="00D22D3F" w:rsidRPr="00097A86">
        <w:t>—</w:t>
      </w:r>
      <w:r w:rsidRPr="00097A86">
        <w:t>metres cubed or gigajoules, except for liquefied natural gas which is kilolitres; and</w:t>
      </w:r>
    </w:p>
    <w:p w14:paraId="2990E5E1" w14:textId="77777777" w:rsidR="003F0D4E" w:rsidRPr="00097A86" w:rsidRDefault="003F0D4E" w:rsidP="00D22D3F">
      <w:pPr>
        <w:pStyle w:val="paragraph"/>
      </w:pPr>
      <w:r w:rsidRPr="00097A86">
        <w:tab/>
        <w:t>(c)</w:t>
      </w:r>
      <w:r w:rsidRPr="00097A86">
        <w:tab/>
        <w:t xml:space="preserve">for liquid fuels other than those mentioned in </w:t>
      </w:r>
      <w:r w:rsidR="00097A86">
        <w:t>paragraph (</w:t>
      </w:r>
      <w:r w:rsidRPr="00097A86">
        <w:t>d)</w:t>
      </w:r>
      <w:r w:rsidR="00D22D3F" w:rsidRPr="00097A86">
        <w:t>—</w:t>
      </w:r>
      <w:r w:rsidRPr="00097A86">
        <w:t>kilolitres; and</w:t>
      </w:r>
    </w:p>
    <w:p w14:paraId="36CFC43A" w14:textId="77777777" w:rsidR="003F0D4E" w:rsidRPr="00097A86" w:rsidRDefault="003F0D4E" w:rsidP="00D22D3F">
      <w:pPr>
        <w:pStyle w:val="paragraph"/>
      </w:pPr>
      <w:r w:rsidRPr="00097A86">
        <w:tab/>
        <w:t>(d)</w:t>
      </w:r>
      <w:r w:rsidRPr="00097A86">
        <w:tab/>
        <w:t>for liquid fuels of one of the following kinds</w:t>
      </w:r>
      <w:r w:rsidR="00D22D3F" w:rsidRPr="00097A86">
        <w:t>—</w:t>
      </w:r>
      <w:r w:rsidRPr="00097A86">
        <w:t>tonnes:</w:t>
      </w:r>
    </w:p>
    <w:p w14:paraId="5BA7B697" w14:textId="77777777" w:rsidR="003F0D4E" w:rsidRPr="00097A86" w:rsidRDefault="003F0D4E" w:rsidP="00D22D3F">
      <w:pPr>
        <w:pStyle w:val="paragraphsub"/>
      </w:pPr>
      <w:r w:rsidRPr="00097A86">
        <w:tab/>
        <w:t>(i)</w:t>
      </w:r>
      <w:r w:rsidRPr="00097A86">
        <w:tab/>
        <w:t>crude oil, including crude oil condensates, other natural gas liquids;</w:t>
      </w:r>
    </w:p>
    <w:p w14:paraId="4C14B0AC" w14:textId="77777777" w:rsidR="003F0D4E" w:rsidRPr="00097A86" w:rsidRDefault="003F0D4E" w:rsidP="00D22D3F">
      <w:pPr>
        <w:pStyle w:val="paragraphsub"/>
      </w:pPr>
      <w:r w:rsidRPr="00097A86">
        <w:tab/>
        <w:t>(ii)</w:t>
      </w:r>
      <w:r w:rsidRPr="00097A86">
        <w:tab/>
        <w:t>petroleum coke;</w:t>
      </w:r>
    </w:p>
    <w:p w14:paraId="50CA8CF3" w14:textId="77777777" w:rsidR="003F0D4E" w:rsidRPr="00097A86" w:rsidRDefault="003F0D4E" w:rsidP="00D22D3F">
      <w:pPr>
        <w:pStyle w:val="paragraphsub"/>
      </w:pPr>
      <w:r w:rsidRPr="00097A86">
        <w:tab/>
        <w:t>(iii)</w:t>
      </w:r>
      <w:r w:rsidRPr="00097A86">
        <w:tab/>
        <w:t>refinery gas and liquids;</w:t>
      </w:r>
    </w:p>
    <w:p w14:paraId="058E37A6" w14:textId="77777777" w:rsidR="003F0D4E" w:rsidRPr="00097A86" w:rsidRDefault="003F0D4E" w:rsidP="00D22D3F">
      <w:pPr>
        <w:pStyle w:val="paragraphsub"/>
      </w:pPr>
      <w:r w:rsidRPr="00097A86">
        <w:tab/>
        <w:t>(iv)</w:t>
      </w:r>
      <w:r w:rsidRPr="00097A86">
        <w:tab/>
        <w:t>refinery coke;</w:t>
      </w:r>
    </w:p>
    <w:p w14:paraId="3BF987F6" w14:textId="77777777" w:rsidR="003F0D4E" w:rsidRPr="00097A86" w:rsidRDefault="003F0D4E" w:rsidP="00D22D3F">
      <w:pPr>
        <w:pStyle w:val="paragraphsub"/>
      </w:pPr>
      <w:r w:rsidRPr="00097A86">
        <w:tab/>
        <w:t>(v)</w:t>
      </w:r>
      <w:r w:rsidRPr="00097A86">
        <w:tab/>
        <w:t>bitumen:</w:t>
      </w:r>
    </w:p>
    <w:p w14:paraId="6EE1CC18" w14:textId="77777777" w:rsidR="003F0D4E" w:rsidRPr="00097A86" w:rsidRDefault="003F0D4E" w:rsidP="00D22D3F">
      <w:pPr>
        <w:pStyle w:val="paragraphsub"/>
      </w:pPr>
      <w:r w:rsidRPr="00097A86">
        <w:tab/>
        <w:t>(vi)</w:t>
      </w:r>
      <w:r w:rsidRPr="00097A86">
        <w:tab/>
        <w:t>waxes;</w:t>
      </w:r>
    </w:p>
    <w:p w14:paraId="675FABDA" w14:textId="77777777" w:rsidR="003F0D4E" w:rsidRPr="00097A86" w:rsidRDefault="003F0D4E" w:rsidP="00D22D3F">
      <w:pPr>
        <w:pStyle w:val="paragraphsub"/>
      </w:pPr>
      <w:r w:rsidRPr="00097A86">
        <w:tab/>
        <w:t>(vii)</w:t>
      </w:r>
      <w:r w:rsidRPr="00097A86">
        <w:tab/>
        <w:t>carbon black if used as petrochemical feedstock;</w:t>
      </w:r>
    </w:p>
    <w:p w14:paraId="5C50C334" w14:textId="77777777" w:rsidR="003F0D4E" w:rsidRPr="00097A86" w:rsidRDefault="003F0D4E" w:rsidP="00D22D3F">
      <w:pPr>
        <w:pStyle w:val="paragraphsub"/>
      </w:pPr>
      <w:r w:rsidRPr="00097A86">
        <w:tab/>
        <w:t>(viii)</w:t>
      </w:r>
      <w:r w:rsidRPr="00097A86">
        <w:tab/>
        <w:t>ethylene if used as a petrochemical feedstock;</w:t>
      </w:r>
    </w:p>
    <w:p w14:paraId="215D8925" w14:textId="77777777" w:rsidR="003F0D4E" w:rsidRPr="00097A86" w:rsidRDefault="003F0D4E" w:rsidP="00D22D3F">
      <w:pPr>
        <w:pStyle w:val="paragraphsub"/>
      </w:pPr>
      <w:r w:rsidRPr="00097A86">
        <w:tab/>
        <w:t>(ix)</w:t>
      </w:r>
      <w:r w:rsidRPr="00097A86">
        <w:tab/>
        <w:t>petrochemical feedstock mentioned in item</w:t>
      </w:r>
      <w:r w:rsidR="00097A86">
        <w:t> </w:t>
      </w:r>
      <w:r w:rsidRPr="00097A86">
        <w:t>57 of Schedule</w:t>
      </w:r>
      <w:r w:rsidR="00097A86">
        <w:t> </w:t>
      </w:r>
      <w:r w:rsidRPr="00097A86">
        <w:t>1 to the Regulations.</w:t>
      </w:r>
    </w:p>
    <w:p w14:paraId="1C630F75" w14:textId="77777777" w:rsidR="003F0D4E" w:rsidRPr="00097A86" w:rsidRDefault="003F0D4E" w:rsidP="00D22D3F">
      <w:pPr>
        <w:pStyle w:val="Definition"/>
      </w:pPr>
      <w:r w:rsidRPr="00097A86">
        <w:rPr>
          <w:b/>
          <w:i/>
        </w:rPr>
        <w:t xml:space="preserve">AS </w:t>
      </w:r>
      <w:r w:rsidRPr="00097A86">
        <w:t xml:space="preserve">or </w:t>
      </w:r>
      <w:r w:rsidRPr="00097A86">
        <w:rPr>
          <w:b/>
          <w:i/>
        </w:rPr>
        <w:t xml:space="preserve">Australian standard </w:t>
      </w:r>
      <w:r w:rsidRPr="00097A86">
        <w:t>followed by a number (for example, AS 4323.1—1995) means a standard of that number issued by Standards Australia Limited and, if a date is included, of that date.</w:t>
      </w:r>
    </w:p>
    <w:p w14:paraId="1F54CC21" w14:textId="77777777" w:rsidR="003F0D4E" w:rsidRPr="00097A86" w:rsidRDefault="003F0D4E" w:rsidP="00D22D3F">
      <w:pPr>
        <w:pStyle w:val="Definition"/>
      </w:pPr>
      <w:r w:rsidRPr="00097A86">
        <w:rPr>
          <w:b/>
          <w:i/>
        </w:rPr>
        <w:t xml:space="preserve">ASTM </w:t>
      </w:r>
      <w:r w:rsidRPr="00097A86">
        <w:t>followed by a number (for example, ASTM D6347/D6347M</w:t>
      </w:r>
      <w:r w:rsidR="00097A86">
        <w:noBreakHyphen/>
      </w:r>
      <w:r w:rsidRPr="00097A86">
        <w:t>99) means a standard of that number issued by ASTM International and, if a date is included, of that date.</w:t>
      </w:r>
    </w:p>
    <w:p w14:paraId="1327D28D" w14:textId="77777777" w:rsidR="00502585" w:rsidRPr="00097A86" w:rsidRDefault="00502585" w:rsidP="00D22D3F">
      <w:pPr>
        <w:pStyle w:val="Definition"/>
      </w:pPr>
      <w:r w:rsidRPr="00097A86">
        <w:rPr>
          <w:b/>
          <w:i/>
        </w:rPr>
        <w:t xml:space="preserve">Australian legal unit of measurement </w:t>
      </w:r>
      <w:r w:rsidRPr="00097A86">
        <w:t xml:space="preserve">has the meaning given by the </w:t>
      </w:r>
      <w:r w:rsidRPr="00097A86">
        <w:rPr>
          <w:i/>
        </w:rPr>
        <w:t>National Measurement Act 1960.</w:t>
      </w:r>
    </w:p>
    <w:p w14:paraId="79C5266A" w14:textId="77777777" w:rsidR="00502585" w:rsidRPr="00097A86" w:rsidRDefault="00502585" w:rsidP="00D22D3F">
      <w:pPr>
        <w:pStyle w:val="Definition"/>
      </w:pPr>
      <w:r w:rsidRPr="00097A86">
        <w:rPr>
          <w:b/>
          <w:i/>
        </w:rPr>
        <w:t xml:space="preserve">base of the low gas zone </w:t>
      </w:r>
      <w:r w:rsidRPr="00097A86">
        <w:t>means the part of the low gas zone worked out in accordance with section</w:t>
      </w:r>
      <w:r w:rsidR="00097A86">
        <w:t> </w:t>
      </w:r>
      <w:r w:rsidRPr="00097A86">
        <w:t>3.25A.</w:t>
      </w:r>
    </w:p>
    <w:p w14:paraId="1B5F9D62" w14:textId="77777777" w:rsidR="002A2804" w:rsidRPr="00097A86" w:rsidRDefault="002A2804" w:rsidP="002A2804">
      <w:pPr>
        <w:pStyle w:val="Definition"/>
      </w:pPr>
      <w:r w:rsidRPr="00097A86">
        <w:rPr>
          <w:b/>
          <w:i/>
        </w:rPr>
        <w:t>basin</w:t>
      </w:r>
      <w:r w:rsidRPr="00097A86">
        <w:t xml:space="preserve"> means a geological basin named in the </w:t>
      </w:r>
      <w:r w:rsidRPr="00097A86">
        <w:rPr>
          <w:i/>
        </w:rPr>
        <w:t>Australian Geological Provinces Database</w:t>
      </w:r>
      <w:r w:rsidRPr="00097A86">
        <w:t>.</w:t>
      </w:r>
    </w:p>
    <w:p w14:paraId="3E25693B" w14:textId="77777777" w:rsidR="002A2804" w:rsidRPr="00097A86" w:rsidRDefault="002A2804" w:rsidP="002A2804">
      <w:pPr>
        <w:pStyle w:val="notetext"/>
      </w:pPr>
      <w:r w:rsidRPr="00097A86">
        <w:t>Note:</w:t>
      </w:r>
      <w:r w:rsidRPr="00097A86">
        <w:tab/>
        <w:t xml:space="preserve">The </w:t>
      </w:r>
      <w:r w:rsidRPr="00097A86">
        <w:rPr>
          <w:i/>
        </w:rPr>
        <w:t>Australian Geological Provinces Database</w:t>
      </w:r>
      <w:r w:rsidRPr="00097A86">
        <w:t xml:space="preserve"> is available at www.ga.gov.au.</w:t>
      </w:r>
    </w:p>
    <w:p w14:paraId="3C42D1DA" w14:textId="77777777" w:rsidR="003F0D4E" w:rsidRPr="00097A86" w:rsidRDefault="003F0D4E" w:rsidP="00D22D3F">
      <w:pPr>
        <w:pStyle w:val="Definition"/>
      </w:pPr>
      <w:r w:rsidRPr="00097A86">
        <w:rPr>
          <w:b/>
          <w:i/>
        </w:rPr>
        <w:t xml:space="preserve">biogenic carbon fuel </w:t>
      </w:r>
      <w:r w:rsidRPr="00097A86">
        <w:t>means energy that is:</w:t>
      </w:r>
    </w:p>
    <w:p w14:paraId="6A7974BB" w14:textId="77777777" w:rsidR="003F0D4E" w:rsidRPr="00097A86" w:rsidRDefault="003F0D4E" w:rsidP="00D22D3F">
      <w:pPr>
        <w:pStyle w:val="paragraph"/>
      </w:pPr>
      <w:r w:rsidRPr="00097A86">
        <w:lastRenderedPageBreak/>
        <w:tab/>
        <w:t>(a)</w:t>
      </w:r>
      <w:r w:rsidRPr="00097A86">
        <w:tab/>
        <w:t>derived from plant and animal material, such as wood from forests, residues from agriculture and forestry processes and industrial, human or animal wastes; and</w:t>
      </w:r>
    </w:p>
    <w:p w14:paraId="50801049" w14:textId="77777777" w:rsidR="003F0D4E" w:rsidRPr="00097A86" w:rsidRDefault="003F0D4E" w:rsidP="00D22D3F">
      <w:pPr>
        <w:pStyle w:val="paragraph"/>
      </w:pPr>
      <w:r w:rsidRPr="00097A86">
        <w:tab/>
        <w:t>(b)</w:t>
      </w:r>
      <w:r w:rsidRPr="00097A86">
        <w:tab/>
        <w:t>not embedded in the earth for example, like coal oil or natural gas.</w:t>
      </w:r>
    </w:p>
    <w:p w14:paraId="5BFD9F01" w14:textId="77777777" w:rsidR="001948E5" w:rsidRPr="00097A86" w:rsidRDefault="001948E5" w:rsidP="001948E5">
      <w:pPr>
        <w:pStyle w:val="Definition"/>
      </w:pPr>
      <w:r w:rsidRPr="00097A86">
        <w:rPr>
          <w:b/>
          <w:i/>
        </w:rPr>
        <w:t>biological treatment of solid waste</w:t>
      </w:r>
      <w:r w:rsidRPr="00097A86">
        <w:t>:</w:t>
      </w:r>
    </w:p>
    <w:p w14:paraId="2BC9C514" w14:textId="77777777" w:rsidR="001948E5" w:rsidRPr="00097A86" w:rsidRDefault="001948E5" w:rsidP="001948E5">
      <w:pPr>
        <w:pStyle w:val="paragraph"/>
      </w:pPr>
      <w:r w:rsidRPr="00097A86">
        <w:tab/>
        <w:t>(a)</w:t>
      </w:r>
      <w:r w:rsidRPr="00097A86">
        <w:tab/>
        <w:t>means an alternative waste treatment activity consisting of a composting or anaerobic digestion process in which organic matter in solid waste is broken down by microorganisms; but</w:t>
      </w:r>
    </w:p>
    <w:p w14:paraId="769A5054" w14:textId="77777777" w:rsidR="001948E5" w:rsidRPr="00097A86" w:rsidRDefault="001948E5" w:rsidP="001948E5">
      <w:pPr>
        <w:pStyle w:val="paragraph"/>
      </w:pPr>
      <w:r w:rsidRPr="00097A86">
        <w:tab/>
        <w:t>(b)</w:t>
      </w:r>
      <w:r w:rsidRPr="00097A86">
        <w:tab/>
        <w:t>does not include solid waste disposal in a landfill.</w:t>
      </w:r>
    </w:p>
    <w:p w14:paraId="19088BF9" w14:textId="77777777" w:rsidR="001948E5" w:rsidRPr="00097A86" w:rsidRDefault="001948E5" w:rsidP="001948E5">
      <w:pPr>
        <w:pStyle w:val="notetext"/>
      </w:pPr>
      <w:r w:rsidRPr="00097A86">
        <w:t>Note:</w:t>
      </w:r>
      <w:r w:rsidRPr="00097A86">
        <w:tab/>
        <w:t>Chapter</w:t>
      </w:r>
      <w:r w:rsidR="00097A86">
        <w:t> </w:t>
      </w:r>
      <w:r w:rsidRPr="00097A86">
        <w:t>5 (waste) deals with solid waste disposal in a landfill as well as the biological treatment of solid waste (whether at a landfill or at a facility elsewhere).</w:t>
      </w:r>
    </w:p>
    <w:p w14:paraId="77EE80D5" w14:textId="77777777" w:rsidR="003F0D4E" w:rsidRPr="00097A86" w:rsidRDefault="003F0D4E" w:rsidP="00D22D3F">
      <w:pPr>
        <w:pStyle w:val="Definition"/>
      </w:pPr>
      <w:r w:rsidRPr="00097A86">
        <w:rPr>
          <w:b/>
          <w:i/>
        </w:rPr>
        <w:t xml:space="preserve">blended fuel </w:t>
      </w:r>
      <w:r w:rsidRPr="00097A86">
        <w:t>means fuel that is a blend of fossil and biogenic carbon fuels.</w:t>
      </w:r>
    </w:p>
    <w:p w14:paraId="13D1601F" w14:textId="77777777" w:rsidR="00D23F89" w:rsidRPr="00097A86" w:rsidRDefault="00D23F89" w:rsidP="00D22D3F">
      <w:pPr>
        <w:pStyle w:val="Definition"/>
      </w:pPr>
      <w:r w:rsidRPr="00097A86">
        <w:rPr>
          <w:b/>
          <w:i/>
        </w:rPr>
        <w:t xml:space="preserve">briquette </w:t>
      </w:r>
      <w:r w:rsidRPr="00097A86">
        <w:t>means an agglomerate formed by compacting a particulate material in a briquette press, with or without added binder material.</w:t>
      </w:r>
    </w:p>
    <w:p w14:paraId="626138BC" w14:textId="77777777" w:rsidR="003F0D4E" w:rsidRPr="00097A86" w:rsidRDefault="003F0D4E" w:rsidP="00D22D3F">
      <w:pPr>
        <w:pStyle w:val="Definition"/>
      </w:pPr>
      <w:r w:rsidRPr="00097A86">
        <w:rPr>
          <w:b/>
          <w:i/>
        </w:rPr>
        <w:t>calibrated to a measurement requirement</w:t>
      </w:r>
      <w:r w:rsidRPr="00097A86">
        <w:t>, for measuring equipment, means calibrated to a specific characteristic, for example a unit of weight, with the characteristic being traceable to:</w:t>
      </w:r>
    </w:p>
    <w:p w14:paraId="46CA7C55" w14:textId="77777777" w:rsidR="003F0D4E" w:rsidRPr="00097A86" w:rsidRDefault="003F0D4E" w:rsidP="00D22D3F">
      <w:pPr>
        <w:pStyle w:val="paragraph"/>
      </w:pPr>
      <w:r w:rsidRPr="00097A86">
        <w:tab/>
        <w:t>(a)</w:t>
      </w:r>
      <w:r w:rsidRPr="00097A86">
        <w:tab/>
        <w:t xml:space="preserve">a measurement requirement provided for under the </w:t>
      </w:r>
      <w:r w:rsidRPr="00097A86">
        <w:rPr>
          <w:i/>
        </w:rPr>
        <w:t xml:space="preserve">National Measurement Act 1960 </w:t>
      </w:r>
      <w:r w:rsidRPr="00097A86">
        <w:t>or any instrument under that Act for that equipment; or</w:t>
      </w:r>
    </w:p>
    <w:p w14:paraId="6110A244" w14:textId="77777777" w:rsidR="003F0D4E" w:rsidRPr="00097A86" w:rsidRDefault="003F0D4E" w:rsidP="00D22D3F">
      <w:pPr>
        <w:pStyle w:val="paragraph"/>
      </w:pPr>
      <w:r w:rsidRPr="00097A86">
        <w:tab/>
        <w:t>(b)</w:t>
      </w:r>
      <w:r w:rsidRPr="00097A86">
        <w:tab/>
        <w:t>a measurement requirement under an equivalent standard for that characteristic.</w:t>
      </w:r>
    </w:p>
    <w:p w14:paraId="562DFF4A" w14:textId="77777777" w:rsidR="000F2EC0" w:rsidRPr="00097A86" w:rsidRDefault="000F2EC0" w:rsidP="000F2EC0">
      <w:pPr>
        <w:pStyle w:val="Definition"/>
      </w:pPr>
      <w:r w:rsidRPr="00097A86">
        <w:rPr>
          <w:b/>
          <w:i/>
        </w:rPr>
        <w:t>captured for permanent storage</w:t>
      </w:r>
      <w:r w:rsidRPr="00097A86">
        <w:t>, in relation to a greenhouse gas, has the meaning given by section</w:t>
      </w:r>
      <w:r w:rsidR="00097A86">
        <w:t> </w:t>
      </w:r>
      <w:r w:rsidRPr="00097A86">
        <w:t>1.19A.</w:t>
      </w:r>
    </w:p>
    <w:p w14:paraId="3DA7AC00" w14:textId="77777777" w:rsidR="003F0D4E" w:rsidRPr="00097A86" w:rsidRDefault="003F0D4E" w:rsidP="00D22D3F">
      <w:pPr>
        <w:pStyle w:val="Definition"/>
      </w:pPr>
      <w:r w:rsidRPr="00097A86">
        <w:rPr>
          <w:b/>
          <w:i/>
        </w:rPr>
        <w:t xml:space="preserve">CEM </w:t>
      </w:r>
      <w:r w:rsidRPr="00097A86">
        <w:t xml:space="preserve">or </w:t>
      </w:r>
      <w:r w:rsidRPr="00097A86">
        <w:rPr>
          <w:b/>
          <w:i/>
        </w:rPr>
        <w:t xml:space="preserve">continuous emissions monitoring </w:t>
      </w:r>
      <w:r w:rsidRPr="00097A86">
        <w:t>means continuous monitoring of emissions in accordance with Part</w:t>
      </w:r>
      <w:r w:rsidR="00097A86">
        <w:t> </w:t>
      </w:r>
      <w:r w:rsidRPr="00097A86">
        <w:t>1.3.</w:t>
      </w:r>
    </w:p>
    <w:p w14:paraId="647E47FA" w14:textId="77777777" w:rsidR="003F0D4E" w:rsidRPr="00097A86" w:rsidRDefault="003F0D4E" w:rsidP="00D22D3F">
      <w:pPr>
        <w:pStyle w:val="Definition"/>
      </w:pPr>
      <w:r w:rsidRPr="00097A86">
        <w:rPr>
          <w:b/>
          <w:i/>
          <w:szCs w:val="22"/>
        </w:rPr>
        <w:t xml:space="preserve">CEN/TS </w:t>
      </w:r>
      <w:r w:rsidRPr="00097A86">
        <w:t xml:space="preserve">followed by a number (for example, </w:t>
      </w:r>
      <w:r w:rsidRPr="00097A86">
        <w:rPr>
          <w:szCs w:val="22"/>
        </w:rPr>
        <w:t xml:space="preserve">CEN/TS 15403) means a </w:t>
      </w:r>
      <w:r w:rsidRPr="00097A86">
        <w:t>technical specification (TS) of that number issued by the European Committee for Standardization and, if a date is included, of that date.</w:t>
      </w:r>
    </w:p>
    <w:p w14:paraId="5B9C22B4" w14:textId="77777777" w:rsidR="003F0D4E" w:rsidRPr="00097A86" w:rsidRDefault="003F0D4E" w:rsidP="00D22D3F">
      <w:pPr>
        <w:pStyle w:val="Definition"/>
      </w:pPr>
      <w:r w:rsidRPr="00097A86">
        <w:rPr>
          <w:b/>
          <w:i/>
        </w:rPr>
        <w:t>CO</w:t>
      </w:r>
      <w:r w:rsidRPr="00097A86">
        <w:rPr>
          <w:b/>
          <w:i/>
          <w:vertAlign w:val="subscript"/>
        </w:rPr>
        <w:t>2</w:t>
      </w:r>
      <w:r w:rsidR="00097A86">
        <w:rPr>
          <w:b/>
          <w:i/>
        </w:rPr>
        <w:noBreakHyphen/>
      </w:r>
      <w:r w:rsidRPr="00097A86">
        <w:rPr>
          <w:b/>
          <w:i/>
        </w:rPr>
        <w:t xml:space="preserve">e </w:t>
      </w:r>
      <w:r w:rsidRPr="00097A86">
        <w:t>means carbon dioxide equivalence.</w:t>
      </w:r>
    </w:p>
    <w:p w14:paraId="0FEC27EA" w14:textId="77777777" w:rsidR="0086722E" w:rsidRPr="00097A86" w:rsidRDefault="0086722E" w:rsidP="0086722E">
      <w:pPr>
        <w:pStyle w:val="Definition"/>
      </w:pPr>
      <w:r w:rsidRPr="00097A86">
        <w:rPr>
          <w:b/>
          <w:i/>
        </w:rPr>
        <w:t>coal seam methane</w:t>
      </w:r>
      <w:r w:rsidRPr="00097A86">
        <w:t xml:space="preserve"> has the same meaning as in the Regulations.</w:t>
      </w:r>
    </w:p>
    <w:p w14:paraId="71C3EB49" w14:textId="77777777" w:rsidR="003F0D4E" w:rsidRPr="00097A86" w:rsidRDefault="003F0D4E" w:rsidP="00D22D3F">
      <w:pPr>
        <w:pStyle w:val="Definition"/>
      </w:pPr>
      <w:r w:rsidRPr="00097A86">
        <w:rPr>
          <w:b/>
          <w:i/>
        </w:rPr>
        <w:t xml:space="preserve">COD </w:t>
      </w:r>
      <w:r w:rsidRPr="00097A86">
        <w:t xml:space="preserve">or </w:t>
      </w:r>
      <w:r w:rsidRPr="00097A86">
        <w:rPr>
          <w:b/>
          <w:i/>
        </w:rPr>
        <w:t xml:space="preserve">chemical oxygen demand </w:t>
      </w:r>
      <w:r w:rsidRPr="00097A86">
        <w:t>means the total material available for chemical oxidation (both biodegradable and non</w:t>
      </w:r>
      <w:r w:rsidR="00097A86">
        <w:noBreakHyphen/>
      </w:r>
      <w:r w:rsidRPr="00097A86">
        <w:t>biodegradable) measured in tonnes.</w:t>
      </w:r>
    </w:p>
    <w:p w14:paraId="042640F7" w14:textId="77777777" w:rsidR="003F0D4E" w:rsidRPr="00097A86" w:rsidRDefault="003F0D4E" w:rsidP="00D22D3F">
      <w:pPr>
        <w:pStyle w:val="Definition"/>
      </w:pPr>
      <w:r w:rsidRPr="00097A86">
        <w:rPr>
          <w:b/>
          <w:i/>
        </w:rPr>
        <w:t xml:space="preserve">compressed natural gas </w:t>
      </w:r>
      <w:r w:rsidRPr="00097A86">
        <w:t>has the meaning given by the Regulations.</w:t>
      </w:r>
    </w:p>
    <w:p w14:paraId="4A96F781" w14:textId="77777777" w:rsidR="003F0D4E" w:rsidRPr="00097A86" w:rsidRDefault="003F0D4E" w:rsidP="00D22D3F">
      <w:pPr>
        <w:pStyle w:val="Definition"/>
      </w:pPr>
      <w:r w:rsidRPr="00097A86">
        <w:rPr>
          <w:b/>
          <w:i/>
        </w:rPr>
        <w:t xml:space="preserve">core sample </w:t>
      </w:r>
      <w:r w:rsidRPr="00097A86">
        <w:t>means a cylindrical sample of the whole or part of a strata layer, or series of strata layers, obtained from drilling using a coring barrel with a diameter of between 50 mm and 2</w:t>
      </w:r>
      <w:r w:rsidR="00097A86">
        <w:t> </w:t>
      </w:r>
      <w:r w:rsidRPr="00097A86">
        <w:t>000 mm.</w:t>
      </w:r>
    </w:p>
    <w:p w14:paraId="1CA1FD69" w14:textId="77777777" w:rsidR="003F0D4E" w:rsidRPr="00097A86" w:rsidRDefault="003F0D4E" w:rsidP="00D22D3F">
      <w:pPr>
        <w:pStyle w:val="Definition"/>
      </w:pPr>
      <w:r w:rsidRPr="00097A86">
        <w:rPr>
          <w:b/>
          <w:i/>
        </w:rPr>
        <w:t xml:space="preserve">crude oil condensates </w:t>
      </w:r>
      <w:r w:rsidRPr="00097A86">
        <w:t>has the meaning given by the Regulations.</w:t>
      </w:r>
    </w:p>
    <w:p w14:paraId="0D836E0E" w14:textId="77777777" w:rsidR="009B5795" w:rsidRPr="00097A86" w:rsidRDefault="009B5795" w:rsidP="00D22D3F">
      <w:pPr>
        <w:pStyle w:val="Definition"/>
      </w:pPr>
      <w:r w:rsidRPr="00097A86">
        <w:rPr>
          <w:b/>
          <w:i/>
        </w:rPr>
        <w:lastRenderedPageBreak/>
        <w:t xml:space="preserve">crude oil transport </w:t>
      </w:r>
      <w:r w:rsidRPr="00097A86">
        <w:t xml:space="preserve">means the transportation of marketable crude oil to heavy oil upgraders and refineries by means that include the following: </w:t>
      </w:r>
    </w:p>
    <w:p w14:paraId="0621B873" w14:textId="77777777" w:rsidR="009B5795" w:rsidRPr="00097A86" w:rsidRDefault="009B5795" w:rsidP="00D22D3F">
      <w:pPr>
        <w:pStyle w:val="paragraph"/>
      </w:pPr>
      <w:r w:rsidRPr="00097A86">
        <w:tab/>
        <w:t>(a)</w:t>
      </w:r>
      <w:r w:rsidRPr="00097A86">
        <w:tab/>
        <w:t>pipelines;</w:t>
      </w:r>
    </w:p>
    <w:p w14:paraId="56ADD171" w14:textId="77777777" w:rsidR="009B5795" w:rsidRPr="00097A86" w:rsidRDefault="009B5795" w:rsidP="00D22D3F">
      <w:pPr>
        <w:pStyle w:val="paragraph"/>
      </w:pPr>
      <w:r w:rsidRPr="00097A86">
        <w:tab/>
        <w:t>(b)</w:t>
      </w:r>
      <w:r w:rsidRPr="00097A86">
        <w:tab/>
        <w:t xml:space="preserve">marine tankers; </w:t>
      </w:r>
    </w:p>
    <w:p w14:paraId="6548C8B2" w14:textId="77777777" w:rsidR="009B5795" w:rsidRPr="00097A86" w:rsidRDefault="009B5795" w:rsidP="00D22D3F">
      <w:pPr>
        <w:pStyle w:val="paragraph"/>
      </w:pPr>
      <w:r w:rsidRPr="00097A86">
        <w:tab/>
        <w:t>(c)</w:t>
      </w:r>
      <w:r w:rsidRPr="00097A86">
        <w:tab/>
        <w:t xml:space="preserve">tank trucks;  </w:t>
      </w:r>
    </w:p>
    <w:p w14:paraId="34483D0A" w14:textId="77777777" w:rsidR="009B5795" w:rsidRPr="00097A86" w:rsidRDefault="009B5795" w:rsidP="00D22D3F">
      <w:pPr>
        <w:pStyle w:val="paragraph"/>
      </w:pPr>
      <w:r w:rsidRPr="00097A86">
        <w:tab/>
        <w:t>(d)</w:t>
      </w:r>
      <w:r w:rsidRPr="00097A86">
        <w:tab/>
        <w:t>rail cars.</w:t>
      </w:r>
    </w:p>
    <w:p w14:paraId="525A8372" w14:textId="77777777" w:rsidR="009505F0" w:rsidRPr="009B744C" w:rsidRDefault="009505F0" w:rsidP="009505F0">
      <w:pPr>
        <w:pStyle w:val="Definition"/>
      </w:pPr>
      <w:r w:rsidRPr="006A1544">
        <w:rPr>
          <w:b/>
          <w:i/>
        </w:rPr>
        <w:t xml:space="preserve">decommissioned underground mine </w:t>
      </w:r>
      <w:r>
        <w:t>has the meaning given by the Regulations.</w:t>
      </w:r>
    </w:p>
    <w:p w14:paraId="75718BF2" w14:textId="77777777" w:rsidR="000F2EC0" w:rsidRPr="00097A86" w:rsidRDefault="000F2EC0" w:rsidP="000F2EC0">
      <w:pPr>
        <w:pStyle w:val="Definition"/>
      </w:pPr>
      <w:r w:rsidRPr="00097A86">
        <w:rPr>
          <w:b/>
          <w:i/>
        </w:rPr>
        <w:t xml:space="preserve">detection agent </w:t>
      </w:r>
      <w:r w:rsidRPr="00097A86">
        <w:t xml:space="preserve">has the same meaning as in the </w:t>
      </w:r>
      <w:r w:rsidRPr="00097A86">
        <w:rPr>
          <w:i/>
        </w:rPr>
        <w:t>Offshore Petroleum and Greenhouse Gas Storage Act 2006</w:t>
      </w:r>
      <w:r w:rsidRPr="00097A86">
        <w:t>.</w:t>
      </w:r>
    </w:p>
    <w:p w14:paraId="2012B375" w14:textId="77777777" w:rsidR="003F0D4E" w:rsidRPr="00097A86" w:rsidRDefault="003F0D4E" w:rsidP="00D22D3F">
      <w:pPr>
        <w:pStyle w:val="Definition"/>
      </w:pPr>
      <w:r w:rsidRPr="00097A86">
        <w:rPr>
          <w:b/>
          <w:i/>
        </w:rPr>
        <w:t xml:space="preserve">documentary standard </w:t>
      </w:r>
      <w:r w:rsidRPr="00097A86">
        <w:t>means a published standard that sets out specifications and procedures designed to ensure that a material or other thing is fit for purpose and consistently performs in the way it was intended by the manufacturer of the material or thing.</w:t>
      </w:r>
    </w:p>
    <w:p w14:paraId="087B62C1" w14:textId="77777777" w:rsidR="00502585" w:rsidRPr="00097A86" w:rsidRDefault="00502585" w:rsidP="00D22D3F">
      <w:pPr>
        <w:pStyle w:val="Definition"/>
      </w:pPr>
      <w:r w:rsidRPr="00097A86">
        <w:rPr>
          <w:b/>
          <w:bCs/>
          <w:i/>
          <w:iCs/>
        </w:rPr>
        <w:t>domain</w:t>
      </w:r>
      <w:r w:rsidRPr="00097A86">
        <w:t>, of an open cut mine, means an area, volume or coal seam in which the variability of gas content and the variability of gas composition in the open cut mine have a consistent relationship with other geological, geophysical or spatial parameters located in the area, volume or coal seam.</w:t>
      </w:r>
    </w:p>
    <w:p w14:paraId="00883207" w14:textId="77777777" w:rsidR="003F0D4E" w:rsidRPr="00097A86" w:rsidRDefault="003F0D4E" w:rsidP="00D22D3F">
      <w:pPr>
        <w:pStyle w:val="Definition"/>
      </w:pPr>
      <w:r w:rsidRPr="00097A86">
        <w:rPr>
          <w:b/>
          <w:i/>
        </w:rPr>
        <w:t xml:space="preserve">dry wood </w:t>
      </w:r>
      <w:r w:rsidRPr="00097A86">
        <w:t>has the meaning given by the Regulations.</w:t>
      </w:r>
    </w:p>
    <w:p w14:paraId="03F3D498" w14:textId="77777777" w:rsidR="003F0D4E" w:rsidRPr="00097A86" w:rsidRDefault="003F0D4E" w:rsidP="00D22D3F">
      <w:pPr>
        <w:pStyle w:val="Definition"/>
      </w:pPr>
      <w:r w:rsidRPr="00097A86">
        <w:rPr>
          <w:b/>
          <w:i/>
        </w:rPr>
        <w:t xml:space="preserve">efficiency method </w:t>
      </w:r>
      <w:r w:rsidRPr="00097A86">
        <w:t>has the meaning given by subsection</w:t>
      </w:r>
      <w:r w:rsidR="00097A86">
        <w:t> </w:t>
      </w:r>
      <w:r w:rsidR="00045A83" w:rsidRPr="00097A86">
        <w:t>2.70</w:t>
      </w:r>
      <w:r w:rsidRPr="00097A86">
        <w:t>(2).</w:t>
      </w:r>
    </w:p>
    <w:p w14:paraId="3C2F787A" w14:textId="77777777" w:rsidR="003F0D4E" w:rsidRPr="00097A86" w:rsidRDefault="003F0D4E" w:rsidP="00D22D3F">
      <w:pPr>
        <w:pStyle w:val="Definition"/>
      </w:pPr>
      <w:r w:rsidRPr="00097A86">
        <w:rPr>
          <w:b/>
          <w:i/>
          <w:szCs w:val="22"/>
        </w:rPr>
        <w:t xml:space="preserve">EN </w:t>
      </w:r>
      <w:r w:rsidRPr="00097A86">
        <w:t xml:space="preserve">followed by a number (for example, </w:t>
      </w:r>
      <w:r w:rsidRPr="00097A86">
        <w:rPr>
          <w:szCs w:val="22"/>
        </w:rPr>
        <w:t xml:space="preserve">EN 15403) means a </w:t>
      </w:r>
      <w:r w:rsidRPr="00097A86">
        <w:t>standard of that number issued by the European Committee for Standardization and, if a date is included, of that date.</w:t>
      </w:r>
    </w:p>
    <w:p w14:paraId="042DBA92" w14:textId="77777777" w:rsidR="0086722E" w:rsidRPr="00097A86" w:rsidRDefault="0086722E" w:rsidP="0086722E">
      <w:pPr>
        <w:pStyle w:val="Definition"/>
      </w:pPr>
      <w:r w:rsidRPr="00097A86">
        <w:rPr>
          <w:b/>
          <w:i/>
        </w:rPr>
        <w:t>enclosed composting activity</w:t>
      </w:r>
      <w:r w:rsidRPr="00097A86">
        <w:t xml:space="preserve"> means a semi</w:t>
      </w:r>
      <w:r w:rsidR="00097A86">
        <w:noBreakHyphen/>
      </w:r>
      <w:r w:rsidRPr="00097A86">
        <w:t>enclosed or enclosed alternative waste or composting technology where the composting process occurs within a reactor that:</w:t>
      </w:r>
    </w:p>
    <w:p w14:paraId="695B29E2" w14:textId="77777777" w:rsidR="0086722E" w:rsidRPr="00097A86" w:rsidRDefault="0086722E" w:rsidP="0086722E">
      <w:pPr>
        <w:pStyle w:val="paragraph"/>
      </w:pPr>
      <w:r w:rsidRPr="00097A86">
        <w:tab/>
        <w:t>(a)</w:t>
      </w:r>
      <w:r w:rsidRPr="00097A86">
        <w:tab/>
        <w:t>has hard walls or doors on all 4 sides; and</w:t>
      </w:r>
    </w:p>
    <w:p w14:paraId="6962C1CE" w14:textId="77777777" w:rsidR="0086722E" w:rsidRPr="00097A86" w:rsidRDefault="0086722E" w:rsidP="0086722E">
      <w:pPr>
        <w:pStyle w:val="paragraph"/>
      </w:pPr>
      <w:r w:rsidRPr="00097A86">
        <w:tab/>
        <w:t>(b)</w:t>
      </w:r>
      <w:r w:rsidRPr="00097A86">
        <w:tab/>
        <w:t>sits on a floor; and</w:t>
      </w:r>
    </w:p>
    <w:p w14:paraId="0CB1DB99" w14:textId="77777777" w:rsidR="0086722E" w:rsidRPr="00097A86" w:rsidRDefault="0086722E" w:rsidP="0086722E">
      <w:pPr>
        <w:pStyle w:val="paragraph"/>
      </w:pPr>
      <w:r w:rsidRPr="00097A86">
        <w:tab/>
        <w:t>(c)</w:t>
      </w:r>
      <w:r w:rsidRPr="00097A86">
        <w:tab/>
        <w:t>has a permanent positive or negative aeration system.</w:t>
      </w:r>
    </w:p>
    <w:p w14:paraId="1E42354E" w14:textId="77777777" w:rsidR="003F0D4E" w:rsidRPr="00097A86" w:rsidRDefault="003F0D4E" w:rsidP="00D22D3F">
      <w:pPr>
        <w:pStyle w:val="Definition"/>
      </w:pPr>
      <w:r w:rsidRPr="00097A86">
        <w:rPr>
          <w:b/>
          <w:i/>
        </w:rPr>
        <w:t>energy content factor</w:t>
      </w:r>
      <w:r w:rsidRPr="00097A86">
        <w:t>, for a fuel, means gigajoules of energy per unit of the fuel measured as gross calorific value.</w:t>
      </w:r>
    </w:p>
    <w:p w14:paraId="6D03B811" w14:textId="77777777" w:rsidR="00502585" w:rsidRPr="00097A86" w:rsidRDefault="00502585" w:rsidP="00D22D3F">
      <w:pPr>
        <w:pStyle w:val="Definition"/>
      </w:pPr>
      <w:r w:rsidRPr="00097A86">
        <w:rPr>
          <w:b/>
          <w:i/>
        </w:rPr>
        <w:t>estimator</w:t>
      </w:r>
      <w:r w:rsidRPr="00097A86">
        <w:t>, of fugitive emissions from an open cut mine using method 2 under section</w:t>
      </w:r>
      <w:r w:rsidR="00097A86">
        <w:t> </w:t>
      </w:r>
      <w:r w:rsidRPr="00097A86">
        <w:t>3.21 or method 3 under section</w:t>
      </w:r>
      <w:r w:rsidR="00097A86">
        <w:t> </w:t>
      </w:r>
      <w:r w:rsidRPr="00097A86">
        <w:t>3.26, means:</w:t>
      </w:r>
    </w:p>
    <w:p w14:paraId="42B94FFF" w14:textId="77777777" w:rsidR="00502585" w:rsidRPr="00097A86" w:rsidRDefault="00502585" w:rsidP="00D22D3F">
      <w:pPr>
        <w:pStyle w:val="paragraph"/>
      </w:pPr>
      <w:r w:rsidRPr="00097A86">
        <w:tab/>
        <w:t>(a)</w:t>
      </w:r>
      <w:r w:rsidRPr="00097A86">
        <w:tab/>
        <w:t>an individual who has the minimum qualifications of an estimator set out in the ACARP Guidelines; or</w:t>
      </w:r>
    </w:p>
    <w:p w14:paraId="5A3ED229" w14:textId="77777777" w:rsidR="00502585" w:rsidRPr="00097A86" w:rsidRDefault="00502585" w:rsidP="00D22D3F">
      <w:pPr>
        <w:pStyle w:val="paragraph"/>
      </w:pPr>
      <w:r w:rsidRPr="00097A86">
        <w:tab/>
        <w:t>(b)</w:t>
      </w:r>
      <w:r w:rsidRPr="00097A86">
        <w:tab/>
        <w:t>individuals who jointly have those minimum qualifications.</w:t>
      </w:r>
    </w:p>
    <w:p w14:paraId="371157A5" w14:textId="77777777" w:rsidR="003F0D4E" w:rsidRPr="00097A86" w:rsidRDefault="003F0D4E" w:rsidP="00D22D3F">
      <w:pPr>
        <w:pStyle w:val="Definition"/>
      </w:pPr>
      <w:r w:rsidRPr="00097A86">
        <w:rPr>
          <w:b/>
          <w:i/>
        </w:rPr>
        <w:t>extraction area</w:t>
      </w:r>
      <w:r w:rsidRPr="00097A86">
        <w:t>, in relation to an open cut mine, is the area of the mine from which coal is extracted.</w:t>
      </w:r>
    </w:p>
    <w:p w14:paraId="2F5C2C3C" w14:textId="77777777" w:rsidR="003F0D4E" w:rsidRPr="00097A86" w:rsidRDefault="003F0D4E" w:rsidP="00D22D3F">
      <w:pPr>
        <w:pStyle w:val="Definition"/>
      </w:pPr>
      <w:r w:rsidRPr="00097A86">
        <w:rPr>
          <w:b/>
          <w:i/>
        </w:rPr>
        <w:t xml:space="preserve">feedstock </w:t>
      </w:r>
      <w:r w:rsidRPr="00097A86">
        <w:t>has the meaning given by the Regulations.</w:t>
      </w:r>
    </w:p>
    <w:p w14:paraId="7E19C4B9" w14:textId="77777777" w:rsidR="0064092F" w:rsidRPr="00097A86" w:rsidRDefault="0064092F" w:rsidP="00D22D3F">
      <w:pPr>
        <w:pStyle w:val="Definition"/>
      </w:pPr>
      <w:r w:rsidRPr="00097A86">
        <w:rPr>
          <w:b/>
          <w:i/>
        </w:rPr>
        <w:lastRenderedPageBreak/>
        <w:t xml:space="preserve">ferroalloy </w:t>
      </w:r>
      <w:r w:rsidRPr="00097A86">
        <w:t>has the meaning given by subsection</w:t>
      </w:r>
      <w:r w:rsidR="00097A86">
        <w:t> </w:t>
      </w:r>
      <w:r w:rsidRPr="00097A86">
        <w:t>4.69</w:t>
      </w:r>
      <w:r w:rsidR="00045A83" w:rsidRPr="00097A86">
        <w:t>(</w:t>
      </w:r>
      <w:r w:rsidRPr="00097A86">
        <w:t>2).</w:t>
      </w:r>
    </w:p>
    <w:p w14:paraId="3D9CDF9F" w14:textId="77777777" w:rsidR="003F0D4E" w:rsidRPr="00097A86" w:rsidRDefault="003F0D4E" w:rsidP="00D22D3F">
      <w:pPr>
        <w:pStyle w:val="Definition"/>
      </w:pPr>
      <w:r w:rsidRPr="00097A86">
        <w:rPr>
          <w:b/>
          <w:i/>
        </w:rPr>
        <w:t xml:space="preserve">flaring </w:t>
      </w:r>
      <w:r w:rsidRPr="00097A86">
        <w:t>means the combustion of fuel for a purpose other than producing energy.</w:t>
      </w:r>
    </w:p>
    <w:p w14:paraId="463BBEB0" w14:textId="77777777" w:rsidR="003F0D4E" w:rsidRPr="00097A86" w:rsidRDefault="003F0D4E" w:rsidP="00D22D3F">
      <w:pPr>
        <w:pStyle w:val="notetext"/>
      </w:pPr>
      <w:r w:rsidRPr="00097A86">
        <w:t>Example</w:t>
      </w:r>
      <w:r w:rsidR="0086261E" w:rsidRPr="00097A86">
        <w:t>:</w:t>
      </w:r>
      <w:r w:rsidR="0086261E" w:rsidRPr="00097A86">
        <w:tab/>
      </w:r>
      <w:r w:rsidRPr="00097A86">
        <w:t>The combustion of methane for the purpose of complying with health, safety and environmental requirements.</w:t>
      </w:r>
    </w:p>
    <w:p w14:paraId="7D0F3D4D" w14:textId="77777777" w:rsidR="00F20356" w:rsidRPr="00097A86" w:rsidRDefault="00F20356" w:rsidP="00D22D3F">
      <w:pPr>
        <w:pStyle w:val="Definition"/>
      </w:pPr>
      <w:r w:rsidRPr="00097A86">
        <w:rPr>
          <w:b/>
          <w:i/>
        </w:rPr>
        <w:t xml:space="preserve">fuel </w:t>
      </w:r>
      <w:r w:rsidRPr="00097A86">
        <w:t>means a substance mentioned in column 2 of an item in Schedule</w:t>
      </w:r>
      <w:r w:rsidR="00097A86">
        <w:t> </w:t>
      </w:r>
      <w:r w:rsidRPr="00097A86">
        <w:t>1 to the Regulations other than a substance mentioned in items</w:t>
      </w:r>
      <w:r w:rsidR="00097A86">
        <w:t> </w:t>
      </w:r>
      <w:r w:rsidRPr="00097A86">
        <w:t>58 to 66.</w:t>
      </w:r>
    </w:p>
    <w:p w14:paraId="4CAFAB3B" w14:textId="77777777" w:rsidR="003F0D4E" w:rsidRPr="00097A86" w:rsidRDefault="003F0D4E" w:rsidP="00D22D3F">
      <w:pPr>
        <w:pStyle w:val="Definition"/>
      </w:pPr>
      <w:r w:rsidRPr="00097A86">
        <w:rPr>
          <w:b/>
          <w:i/>
        </w:rPr>
        <w:t xml:space="preserve">fuel oil </w:t>
      </w:r>
      <w:r w:rsidRPr="00097A86">
        <w:t>has the meaning given by the Regulations.</w:t>
      </w:r>
    </w:p>
    <w:p w14:paraId="0A48E4CE" w14:textId="77777777" w:rsidR="002A2804" w:rsidRPr="00097A86" w:rsidRDefault="002A2804" w:rsidP="002A2804">
      <w:pPr>
        <w:pStyle w:val="Definition"/>
      </w:pPr>
      <w:r w:rsidRPr="00097A86">
        <w:rPr>
          <w:b/>
          <w:i/>
        </w:rPr>
        <w:t>fugitive emissions</w:t>
      </w:r>
      <w:r w:rsidRPr="00097A86">
        <w:t xml:space="preserve"> has the meaning given by the </w:t>
      </w:r>
      <w:r w:rsidRPr="00097A86">
        <w:rPr>
          <w:i/>
        </w:rPr>
        <w:t>Clean Energy Regulations</w:t>
      </w:r>
      <w:r w:rsidR="00097A86">
        <w:rPr>
          <w:i/>
        </w:rPr>
        <w:t> </w:t>
      </w:r>
      <w:r w:rsidRPr="00097A86">
        <w:rPr>
          <w:i/>
        </w:rPr>
        <w:t>2011</w:t>
      </w:r>
      <w:r w:rsidRPr="00097A86">
        <w:t>.</w:t>
      </w:r>
    </w:p>
    <w:p w14:paraId="297E7BAB" w14:textId="77777777" w:rsidR="00502585" w:rsidRPr="00097A86" w:rsidRDefault="00502585" w:rsidP="00D22D3F">
      <w:pPr>
        <w:pStyle w:val="Definition"/>
      </w:pPr>
      <w:r w:rsidRPr="00097A86">
        <w:rPr>
          <w:b/>
          <w:i/>
        </w:rPr>
        <w:t xml:space="preserve">gas bearing strata </w:t>
      </w:r>
      <w:r w:rsidRPr="00097A86">
        <w:t>is coal and carbonaceous rock strata:</w:t>
      </w:r>
    </w:p>
    <w:p w14:paraId="745B17E0" w14:textId="77777777" w:rsidR="00502585" w:rsidRPr="00097A86" w:rsidRDefault="00502585" w:rsidP="00D22D3F">
      <w:pPr>
        <w:pStyle w:val="paragraph"/>
      </w:pPr>
      <w:r w:rsidRPr="00097A86">
        <w:tab/>
        <w:t>(a)</w:t>
      </w:r>
      <w:r w:rsidRPr="00097A86">
        <w:tab/>
        <w:t>located in an open cut mine; and</w:t>
      </w:r>
    </w:p>
    <w:p w14:paraId="65AFD486" w14:textId="77777777" w:rsidR="00502585" w:rsidRPr="00097A86" w:rsidRDefault="00502585" w:rsidP="00D22D3F">
      <w:pPr>
        <w:pStyle w:val="paragraph"/>
      </w:pPr>
      <w:r w:rsidRPr="00097A86">
        <w:tab/>
        <w:t>(b)</w:t>
      </w:r>
      <w:r w:rsidRPr="00097A86">
        <w:tab/>
        <w:t>that has a relative density of less than 1.95 g/cm</w:t>
      </w:r>
      <w:r w:rsidRPr="00097A86">
        <w:rPr>
          <w:vertAlign w:val="superscript"/>
        </w:rPr>
        <w:t>3</w:t>
      </w:r>
      <w:r w:rsidRPr="00097A86">
        <w:t>.</w:t>
      </w:r>
    </w:p>
    <w:p w14:paraId="2579051A" w14:textId="77777777" w:rsidR="00F20356" w:rsidRPr="00097A86" w:rsidRDefault="00F20356" w:rsidP="00D22D3F">
      <w:pPr>
        <w:pStyle w:val="Definition"/>
      </w:pPr>
      <w:r w:rsidRPr="00097A86">
        <w:rPr>
          <w:b/>
          <w:i/>
        </w:rPr>
        <w:t xml:space="preserve">gaseous fuel </w:t>
      </w:r>
      <w:r w:rsidRPr="00097A86">
        <w:t>means a fuel mentioned in column 2 of items</w:t>
      </w:r>
      <w:r w:rsidR="00097A86">
        <w:t> </w:t>
      </w:r>
      <w:r w:rsidRPr="00097A86">
        <w:t>17 to 30 of Schedule</w:t>
      </w:r>
      <w:r w:rsidR="00097A86">
        <w:t> </w:t>
      </w:r>
      <w:r w:rsidRPr="00097A86">
        <w:t>1 to the Regulations.</w:t>
      </w:r>
    </w:p>
    <w:p w14:paraId="2EC589EB" w14:textId="77777777" w:rsidR="003F0D4E" w:rsidRPr="00097A86" w:rsidRDefault="003F0D4E" w:rsidP="00D22D3F">
      <w:pPr>
        <w:pStyle w:val="Definition"/>
      </w:pPr>
      <w:r w:rsidRPr="00097A86">
        <w:rPr>
          <w:b/>
          <w:i/>
        </w:rPr>
        <w:t xml:space="preserve">gas stream </w:t>
      </w:r>
      <w:r w:rsidRPr="00097A86">
        <w:t>means the flow of gas subject to monitoring under Part</w:t>
      </w:r>
      <w:r w:rsidR="00097A86">
        <w:t> </w:t>
      </w:r>
      <w:r w:rsidRPr="00097A86">
        <w:t>1.3.</w:t>
      </w:r>
    </w:p>
    <w:p w14:paraId="6B48BD2F" w14:textId="77777777" w:rsidR="003F0D4E" w:rsidRPr="00097A86" w:rsidRDefault="003F0D4E" w:rsidP="00D22D3F">
      <w:pPr>
        <w:pStyle w:val="Definition"/>
      </w:pPr>
      <w:r w:rsidRPr="00097A86">
        <w:rPr>
          <w:b/>
          <w:i/>
        </w:rPr>
        <w:t xml:space="preserve">gassy mine </w:t>
      </w:r>
      <w:r w:rsidRPr="00097A86">
        <w:t>means an underground mine that has at least 0.1% methane in the mine’s return ventilation.</w:t>
      </w:r>
    </w:p>
    <w:p w14:paraId="608E927B" w14:textId="77777777" w:rsidR="003F0D4E" w:rsidRPr="00097A86" w:rsidRDefault="003F0D4E" w:rsidP="00D22D3F">
      <w:pPr>
        <w:pStyle w:val="Definition"/>
      </w:pPr>
      <w:r w:rsidRPr="00097A86">
        <w:rPr>
          <w:b/>
          <w:i/>
        </w:rPr>
        <w:t xml:space="preserve">Global Warming Potential </w:t>
      </w:r>
      <w:r w:rsidRPr="00097A86">
        <w:t>means, in relation to a greenhouse gas mentioned in column 2 of an item in the table in regulation</w:t>
      </w:r>
      <w:r w:rsidR="00097A86">
        <w:t> </w:t>
      </w:r>
      <w:r w:rsidRPr="00097A86">
        <w:t>2.02 of the Regulations, the value mentioned in column 4 for that item.</w:t>
      </w:r>
    </w:p>
    <w:p w14:paraId="589673CA" w14:textId="77777777" w:rsidR="003F0D4E" w:rsidRPr="00097A86" w:rsidRDefault="003F0D4E" w:rsidP="00D22D3F">
      <w:pPr>
        <w:pStyle w:val="Definition"/>
      </w:pPr>
      <w:r w:rsidRPr="00097A86">
        <w:rPr>
          <w:b/>
          <w:i/>
        </w:rPr>
        <w:t xml:space="preserve">GPA </w:t>
      </w:r>
      <w:r w:rsidRPr="00097A86">
        <w:t>followed by a number means a standard of that number issued by the Gas Processors Association and, if a date is included, of that date.</w:t>
      </w:r>
    </w:p>
    <w:p w14:paraId="1EE4F6EF" w14:textId="77777777" w:rsidR="003F0D4E" w:rsidRPr="00097A86" w:rsidRDefault="003F0D4E" w:rsidP="00D22D3F">
      <w:pPr>
        <w:pStyle w:val="Definition"/>
      </w:pPr>
      <w:r w:rsidRPr="00097A86">
        <w:rPr>
          <w:b/>
          <w:i/>
        </w:rPr>
        <w:t xml:space="preserve">green and air dried wood </w:t>
      </w:r>
      <w:r w:rsidRPr="00097A86">
        <w:t>has the meaning given by the Regulations.</w:t>
      </w:r>
    </w:p>
    <w:p w14:paraId="50E1ED8A" w14:textId="77777777" w:rsidR="000F2EC0" w:rsidRPr="00097A86" w:rsidRDefault="000F2EC0" w:rsidP="000F2EC0">
      <w:pPr>
        <w:pStyle w:val="Definition"/>
      </w:pPr>
      <w:r w:rsidRPr="00097A86">
        <w:rPr>
          <w:b/>
          <w:i/>
        </w:rPr>
        <w:t>greenhouse gas stream</w:t>
      </w:r>
      <w:r w:rsidRPr="00097A86">
        <w:t xml:space="preserve"> means a stream consisting of a mixture of any or all of the following substances captured for injection into, and captured for permanent storage in, a geological formation:</w:t>
      </w:r>
    </w:p>
    <w:p w14:paraId="0662A240" w14:textId="77777777" w:rsidR="000F2EC0" w:rsidRPr="00097A86" w:rsidRDefault="000F2EC0" w:rsidP="000F2EC0">
      <w:pPr>
        <w:pStyle w:val="paragraph"/>
      </w:pPr>
      <w:r w:rsidRPr="00097A86">
        <w:tab/>
        <w:t>(a)</w:t>
      </w:r>
      <w:r w:rsidRPr="00097A86">
        <w:tab/>
        <w:t>carbon dioxide, whether in a gaseous or liquid state;</w:t>
      </w:r>
    </w:p>
    <w:p w14:paraId="10F71FEF" w14:textId="77777777" w:rsidR="000F2EC0" w:rsidRPr="00097A86" w:rsidRDefault="000F2EC0" w:rsidP="000F2EC0">
      <w:pPr>
        <w:pStyle w:val="paragraph"/>
      </w:pPr>
      <w:r w:rsidRPr="00097A86">
        <w:tab/>
        <w:t>(b)</w:t>
      </w:r>
      <w:r w:rsidRPr="00097A86">
        <w:tab/>
        <w:t>a greenhouse gas other than carbon dioxide, whether in a gaseous or liquid state;</w:t>
      </w:r>
    </w:p>
    <w:p w14:paraId="7390CD84" w14:textId="77777777" w:rsidR="000F2EC0" w:rsidRPr="00097A86" w:rsidRDefault="000F2EC0" w:rsidP="000F2EC0">
      <w:pPr>
        <w:pStyle w:val="paragraph"/>
      </w:pPr>
      <w:r w:rsidRPr="00097A86">
        <w:tab/>
        <w:t>(c)</w:t>
      </w:r>
      <w:r w:rsidRPr="00097A86">
        <w:tab/>
        <w:t>one or more incidental greenhouse gas</w:t>
      </w:r>
      <w:r w:rsidR="00097A86">
        <w:noBreakHyphen/>
      </w:r>
      <w:r w:rsidRPr="00097A86">
        <w:t xml:space="preserve">related substances, whether in a gaseous or liquid state, that relate to either or both of the greenhouse gases mentioned in </w:t>
      </w:r>
      <w:r w:rsidR="00097A86">
        <w:t>paragraph (</w:t>
      </w:r>
      <w:r w:rsidRPr="00097A86">
        <w:t>a) and (b);</w:t>
      </w:r>
    </w:p>
    <w:p w14:paraId="15293BEA" w14:textId="77777777" w:rsidR="000F2EC0" w:rsidRPr="00097A86" w:rsidRDefault="000F2EC0" w:rsidP="000F2EC0">
      <w:pPr>
        <w:pStyle w:val="paragraph"/>
      </w:pPr>
      <w:r w:rsidRPr="00097A86">
        <w:tab/>
        <w:t>(d)</w:t>
      </w:r>
      <w:r w:rsidRPr="00097A86">
        <w:tab/>
        <w:t>a detection agent, whether in a gaseous or liquid state;</w:t>
      </w:r>
    </w:p>
    <w:p w14:paraId="69EC3654" w14:textId="77777777" w:rsidR="000F2EC0" w:rsidRPr="00097A86" w:rsidRDefault="000F2EC0" w:rsidP="000F2EC0">
      <w:pPr>
        <w:pStyle w:val="subsection2"/>
      </w:pPr>
      <w:r w:rsidRPr="00097A86">
        <w:t>so long as:</w:t>
      </w:r>
    </w:p>
    <w:p w14:paraId="25ED28CE" w14:textId="77777777" w:rsidR="000F2EC0" w:rsidRPr="00097A86" w:rsidRDefault="000F2EC0" w:rsidP="000F2EC0">
      <w:pPr>
        <w:pStyle w:val="paragraph"/>
      </w:pPr>
      <w:r w:rsidRPr="00097A86">
        <w:tab/>
        <w:t>(e)</w:t>
      </w:r>
      <w:r w:rsidRPr="00097A86">
        <w:tab/>
        <w:t xml:space="preserve">the mixture consists overwhelmingly of either or both of the greenhouse gases mentioned in </w:t>
      </w:r>
      <w:r w:rsidR="00097A86">
        <w:t>paragraphs (</w:t>
      </w:r>
      <w:r w:rsidRPr="00097A86">
        <w:t>a) and (b); and</w:t>
      </w:r>
    </w:p>
    <w:p w14:paraId="16433D15" w14:textId="77777777" w:rsidR="000F2EC0" w:rsidRPr="00097A86" w:rsidRDefault="000F2EC0" w:rsidP="000F2EC0">
      <w:pPr>
        <w:pStyle w:val="paragraph"/>
      </w:pPr>
      <w:r w:rsidRPr="00097A86">
        <w:tab/>
        <w:t>(f)</w:t>
      </w:r>
      <w:r w:rsidRPr="00097A86">
        <w:tab/>
        <w:t xml:space="preserve">if the mixture includes a detection agent—the concentration of the detection agent in the mixture is not more than the concentration prescribed in relation to the detection agent for the purposes of </w:t>
      </w:r>
      <w:r w:rsidR="00097A86">
        <w:t>subparagraph (</w:t>
      </w:r>
      <w:r w:rsidRPr="00097A86">
        <w:t xml:space="preserve">vi) of </w:t>
      </w:r>
      <w:r w:rsidR="00097A86">
        <w:lastRenderedPageBreak/>
        <w:t>paragraph (</w:t>
      </w:r>
      <w:r w:rsidRPr="00097A86">
        <w:t xml:space="preserve">c) of the definition of </w:t>
      </w:r>
      <w:r w:rsidRPr="00097A86">
        <w:rPr>
          <w:b/>
          <w:i/>
        </w:rPr>
        <w:t xml:space="preserve">greenhouse gas substance </w:t>
      </w:r>
      <w:r w:rsidRPr="00097A86">
        <w:t>in section</w:t>
      </w:r>
      <w:r w:rsidR="00097A86">
        <w:t> </w:t>
      </w:r>
      <w:r w:rsidRPr="00097A86">
        <w:t xml:space="preserve">7 of the </w:t>
      </w:r>
      <w:r w:rsidRPr="00097A86">
        <w:rPr>
          <w:i/>
        </w:rPr>
        <w:t>Offshore Petroleum and Greenhouse Gas Storage Act 2006</w:t>
      </w:r>
      <w:r w:rsidRPr="00097A86">
        <w:t>.</w:t>
      </w:r>
    </w:p>
    <w:p w14:paraId="2C8B04BB" w14:textId="77777777" w:rsidR="000F2EC0" w:rsidRPr="00097A86" w:rsidRDefault="000F2EC0" w:rsidP="000F2EC0">
      <w:pPr>
        <w:pStyle w:val="notetext"/>
      </w:pPr>
      <w:r w:rsidRPr="00097A86">
        <w:t>Note:</w:t>
      </w:r>
      <w:r w:rsidRPr="00097A86">
        <w:tab/>
        <w:t xml:space="preserve">A greenhouse gas is </w:t>
      </w:r>
      <w:r w:rsidRPr="00097A86">
        <w:rPr>
          <w:b/>
          <w:i/>
        </w:rPr>
        <w:t>captured for permanent storage</w:t>
      </w:r>
      <w:r w:rsidRPr="00097A86">
        <w:t xml:space="preserve"> in a geological formation if the gas is captured by, or transferred to, the holder of a licence, lease or approval mentioned in section</w:t>
      </w:r>
      <w:r w:rsidR="00097A86">
        <w:t> </w:t>
      </w:r>
      <w:r w:rsidRPr="00097A86">
        <w:t>1.19A, under a law mentioned in that section, for the purpose of being injected into a geological formation (however described) under the licence, lease or approval.</w:t>
      </w:r>
    </w:p>
    <w:p w14:paraId="6C4132F4" w14:textId="77777777" w:rsidR="002A2804" w:rsidRPr="00097A86" w:rsidRDefault="002A2804" w:rsidP="002A2804">
      <w:pPr>
        <w:pStyle w:val="Definition"/>
        <w:rPr>
          <w:i/>
        </w:rPr>
      </w:pPr>
      <w:r w:rsidRPr="00097A86">
        <w:rPr>
          <w:b/>
          <w:i/>
        </w:rPr>
        <w:t>GST group</w:t>
      </w:r>
      <w:r w:rsidRPr="00097A86">
        <w:t xml:space="preserve"> has the same meaning as in the </w:t>
      </w:r>
      <w:r w:rsidRPr="00097A86">
        <w:rPr>
          <w:i/>
        </w:rPr>
        <w:t>Fuel Tax Act 2006.</w:t>
      </w:r>
    </w:p>
    <w:p w14:paraId="1C4C9D40" w14:textId="77777777" w:rsidR="002A2804" w:rsidRPr="00097A86" w:rsidRDefault="002A2804" w:rsidP="002A2804">
      <w:pPr>
        <w:pStyle w:val="Definition"/>
        <w:rPr>
          <w:i/>
        </w:rPr>
      </w:pPr>
      <w:r w:rsidRPr="00097A86">
        <w:rPr>
          <w:b/>
          <w:i/>
        </w:rPr>
        <w:t>GST joint venture</w:t>
      </w:r>
      <w:r w:rsidRPr="00097A86">
        <w:t xml:space="preserve"> has the same meaning as in the </w:t>
      </w:r>
      <w:r w:rsidRPr="00097A86">
        <w:rPr>
          <w:i/>
        </w:rPr>
        <w:t>Fuel Tax Act 2006.</w:t>
      </w:r>
    </w:p>
    <w:p w14:paraId="42395539" w14:textId="77777777" w:rsidR="003F0D4E" w:rsidRPr="00097A86" w:rsidRDefault="003F0D4E" w:rsidP="00D22D3F">
      <w:pPr>
        <w:pStyle w:val="Definition"/>
      </w:pPr>
      <w:r w:rsidRPr="00097A86">
        <w:rPr>
          <w:b/>
          <w:i/>
        </w:rPr>
        <w:t xml:space="preserve">higher method </w:t>
      </w:r>
      <w:r w:rsidRPr="00097A86">
        <w:t>has the meaning given by subsection</w:t>
      </w:r>
      <w:r w:rsidR="00097A86">
        <w:t> </w:t>
      </w:r>
      <w:r w:rsidRPr="00097A86">
        <w:t>1.18</w:t>
      </w:r>
      <w:r w:rsidR="00045A83" w:rsidRPr="00097A86">
        <w:t>(</w:t>
      </w:r>
      <w:r w:rsidRPr="00097A86">
        <w:t>5).</w:t>
      </w:r>
    </w:p>
    <w:p w14:paraId="2C8755A8" w14:textId="77777777" w:rsidR="003F0D4E" w:rsidRPr="00097A86" w:rsidRDefault="003F0D4E" w:rsidP="00D22D3F">
      <w:pPr>
        <w:pStyle w:val="Definition"/>
      </w:pPr>
      <w:r w:rsidRPr="00097A86">
        <w:rPr>
          <w:b/>
          <w:i/>
        </w:rPr>
        <w:t xml:space="preserve">hydrofluorocarbons </w:t>
      </w:r>
      <w:r w:rsidRPr="00097A86">
        <w:t>has the meaning given by section</w:t>
      </w:r>
      <w:r w:rsidR="00097A86">
        <w:t> </w:t>
      </w:r>
      <w:r w:rsidRPr="00097A86">
        <w:t>4.99.</w:t>
      </w:r>
    </w:p>
    <w:p w14:paraId="5EEDE1B9" w14:textId="77777777" w:rsidR="003F0D4E" w:rsidRPr="00097A86" w:rsidRDefault="003F0D4E" w:rsidP="00D22D3F">
      <w:pPr>
        <w:pStyle w:val="Definition"/>
      </w:pPr>
      <w:r w:rsidRPr="00097A86">
        <w:rPr>
          <w:b/>
          <w:i/>
        </w:rPr>
        <w:t xml:space="preserve">ideal gas law </w:t>
      </w:r>
      <w:r w:rsidRPr="00097A86">
        <w:t>means the state of a hypothetical ideal gas in which the amount of gas is determined by its pressure, volume and temperature.</w:t>
      </w:r>
    </w:p>
    <w:p w14:paraId="66F97249" w14:textId="77777777" w:rsidR="003F0D4E" w:rsidRPr="00097A86" w:rsidRDefault="003F0D4E" w:rsidP="00D22D3F">
      <w:pPr>
        <w:pStyle w:val="Definition"/>
      </w:pPr>
      <w:r w:rsidRPr="00097A86">
        <w:rPr>
          <w:b/>
          <w:i/>
        </w:rPr>
        <w:t xml:space="preserve">IEC </w:t>
      </w:r>
      <w:r w:rsidRPr="00097A86">
        <w:t>followed by a number (for example, IEC 17025:2005) means a standard of that number issued by the International Electrotechnical Commission and, if a date is included, of that date.</w:t>
      </w:r>
    </w:p>
    <w:p w14:paraId="0AA252EF" w14:textId="77777777" w:rsidR="003F0D4E" w:rsidRPr="00097A86" w:rsidRDefault="003F0D4E" w:rsidP="00D22D3F">
      <w:pPr>
        <w:pStyle w:val="Definition"/>
      </w:pPr>
      <w:r w:rsidRPr="00097A86">
        <w:rPr>
          <w:b/>
          <w:i/>
        </w:rPr>
        <w:t>incidental</w:t>
      </w:r>
      <w:r w:rsidRPr="00097A86">
        <w:t>, for an emission, has the meaning given by subregulation</w:t>
      </w:r>
      <w:r w:rsidR="00097A86">
        <w:t> </w:t>
      </w:r>
      <w:r w:rsidRPr="00097A86">
        <w:t>4.27</w:t>
      </w:r>
      <w:r w:rsidR="00045A83" w:rsidRPr="00097A86">
        <w:t>(</w:t>
      </w:r>
      <w:r w:rsidRPr="00097A86">
        <w:t>5) of the Regulations.</w:t>
      </w:r>
    </w:p>
    <w:p w14:paraId="10544A55" w14:textId="77777777" w:rsidR="000F2EC0" w:rsidRPr="00097A86" w:rsidRDefault="000F2EC0" w:rsidP="000F2EC0">
      <w:pPr>
        <w:pStyle w:val="Definition"/>
      </w:pPr>
      <w:r w:rsidRPr="00097A86">
        <w:rPr>
          <w:b/>
          <w:i/>
        </w:rPr>
        <w:t>incidental greenhouse gas</w:t>
      </w:r>
      <w:r w:rsidR="00097A86">
        <w:rPr>
          <w:b/>
          <w:i/>
        </w:rPr>
        <w:noBreakHyphen/>
      </w:r>
      <w:r w:rsidRPr="00097A86">
        <w:rPr>
          <w:b/>
          <w:i/>
        </w:rPr>
        <w:t>related substance</w:t>
      </w:r>
      <w:r w:rsidRPr="00097A86">
        <w:rPr>
          <w:b/>
        </w:rPr>
        <w:t>,</w:t>
      </w:r>
      <w:r w:rsidRPr="00097A86">
        <w:t xml:space="preserve"> in relation to a greenhouse gas that is captured from a particular source material, means:</w:t>
      </w:r>
    </w:p>
    <w:p w14:paraId="0CB45881" w14:textId="77777777" w:rsidR="000F2EC0" w:rsidRPr="00097A86" w:rsidRDefault="000F2EC0" w:rsidP="000F2EC0">
      <w:pPr>
        <w:pStyle w:val="paragraph"/>
      </w:pPr>
      <w:r w:rsidRPr="00097A86">
        <w:tab/>
        <w:t>(a)</w:t>
      </w:r>
      <w:r w:rsidRPr="00097A86">
        <w:tab/>
        <w:t>any substance that is incidentally derived from the source material; or</w:t>
      </w:r>
    </w:p>
    <w:p w14:paraId="7DB3F41F" w14:textId="77777777" w:rsidR="000F2EC0" w:rsidRPr="00097A86" w:rsidRDefault="000F2EC0" w:rsidP="000F2EC0">
      <w:pPr>
        <w:pStyle w:val="paragraph"/>
      </w:pPr>
      <w:r w:rsidRPr="00097A86">
        <w:tab/>
        <w:t>(b)</w:t>
      </w:r>
      <w:r w:rsidRPr="00097A86">
        <w:tab/>
        <w:t>any substance that is incidentally derived from the capture; or</w:t>
      </w:r>
    </w:p>
    <w:p w14:paraId="7BA9505B" w14:textId="77777777" w:rsidR="000F2EC0" w:rsidRPr="00097A86" w:rsidRDefault="000F2EC0" w:rsidP="000F2EC0">
      <w:pPr>
        <w:pStyle w:val="paragraph"/>
      </w:pPr>
      <w:r w:rsidRPr="00097A86">
        <w:tab/>
        <w:t>(c)</w:t>
      </w:r>
      <w:r w:rsidRPr="00097A86">
        <w:tab/>
        <w:t>if the captured greenhouse gas, whether in a pure form or in a mixture with other substances, is transported—any substance that is incidentally derived from the transportation; or</w:t>
      </w:r>
    </w:p>
    <w:p w14:paraId="297CA015" w14:textId="77777777" w:rsidR="000F2EC0" w:rsidRPr="00097A86" w:rsidRDefault="000F2EC0" w:rsidP="000F2EC0">
      <w:pPr>
        <w:pStyle w:val="paragraph"/>
      </w:pPr>
      <w:r w:rsidRPr="00097A86">
        <w:tab/>
        <w:t>(d)</w:t>
      </w:r>
      <w:r w:rsidRPr="00097A86">
        <w:tab/>
        <w:t>if the captured greenhouse gas, whether in a pure form or in a mixture with other substances, is injected into a part of a geological formation—any substance that is incidentally derived from the injection; or</w:t>
      </w:r>
    </w:p>
    <w:p w14:paraId="2D160432" w14:textId="77777777" w:rsidR="000F2EC0" w:rsidRPr="00097A86" w:rsidRDefault="000F2EC0" w:rsidP="000F2EC0">
      <w:pPr>
        <w:pStyle w:val="paragraph"/>
      </w:pPr>
      <w:r w:rsidRPr="00097A86">
        <w:tab/>
        <w:t>(e)</w:t>
      </w:r>
      <w:r w:rsidRPr="00097A86">
        <w:tab/>
        <w:t>if the captured greenhouse gas, whether in a pure form or in a mixture with other substances, is stored in a part of a geological formation—any substance that is incidentally derived from the storage.</w:t>
      </w:r>
    </w:p>
    <w:p w14:paraId="40ABBF57" w14:textId="77777777" w:rsidR="00F20356" w:rsidRPr="00097A86" w:rsidRDefault="00F20356" w:rsidP="00D22D3F">
      <w:pPr>
        <w:pStyle w:val="Definition"/>
      </w:pPr>
      <w:r w:rsidRPr="00097A86">
        <w:rPr>
          <w:b/>
          <w:i/>
        </w:rPr>
        <w:t>independent expert</w:t>
      </w:r>
      <w:r w:rsidRPr="00097A86">
        <w:t>, in relation to an operator of a landfill, means a person who:</w:t>
      </w:r>
    </w:p>
    <w:p w14:paraId="17D849E5" w14:textId="77777777" w:rsidR="00F20356" w:rsidRPr="00097A86" w:rsidRDefault="00F20356" w:rsidP="00D22D3F">
      <w:pPr>
        <w:pStyle w:val="paragraph"/>
      </w:pPr>
      <w:r w:rsidRPr="00097A86">
        <w:tab/>
        <w:t>(a)</w:t>
      </w:r>
      <w:r w:rsidRPr="00097A86">
        <w:tab/>
        <w:t>is independent of the operator of the landfill; and</w:t>
      </w:r>
    </w:p>
    <w:p w14:paraId="5F978F23" w14:textId="77777777" w:rsidR="00F20356" w:rsidRPr="00097A86" w:rsidRDefault="00F20356" w:rsidP="00D22D3F">
      <w:pPr>
        <w:pStyle w:val="paragraph"/>
      </w:pPr>
      <w:r w:rsidRPr="00097A86">
        <w:tab/>
        <w:t>(b)</w:t>
      </w:r>
      <w:r w:rsidRPr="00097A86">
        <w:tab/>
        <w:t>has relevant expertise in estimating or monitoring landfill surface gas.</w:t>
      </w:r>
    </w:p>
    <w:p w14:paraId="545B0D5A" w14:textId="77777777" w:rsidR="002A2804" w:rsidRPr="00097A86" w:rsidRDefault="002A2804" w:rsidP="002A2804">
      <w:pPr>
        <w:pStyle w:val="Definition"/>
      </w:pPr>
      <w:r w:rsidRPr="00097A86">
        <w:rPr>
          <w:b/>
          <w:i/>
        </w:rPr>
        <w:t>inert waste</w:t>
      </w:r>
      <w:r w:rsidRPr="00097A86">
        <w:t xml:space="preserve"> means waste materials that contain </w:t>
      </w:r>
      <w:r w:rsidR="0086722E" w:rsidRPr="00097A86">
        <w:t>no more than a negligible volume of</w:t>
      </w:r>
      <w:r w:rsidRPr="00097A86">
        <w:t xml:space="preserve"> degradable organic carbon and includes the following waste:</w:t>
      </w:r>
    </w:p>
    <w:p w14:paraId="441C1527" w14:textId="77777777" w:rsidR="002A2804" w:rsidRPr="00097A86" w:rsidRDefault="002A2804" w:rsidP="002A2804">
      <w:pPr>
        <w:pStyle w:val="paragraph"/>
      </w:pPr>
      <w:r w:rsidRPr="00097A86">
        <w:tab/>
        <w:t>(a)</w:t>
      </w:r>
      <w:r w:rsidRPr="00097A86">
        <w:tab/>
        <w:t>concrete;</w:t>
      </w:r>
    </w:p>
    <w:p w14:paraId="046462BF" w14:textId="77777777" w:rsidR="002A2804" w:rsidRPr="00097A86" w:rsidRDefault="002A2804" w:rsidP="002A2804">
      <w:pPr>
        <w:pStyle w:val="paragraph"/>
      </w:pPr>
      <w:r w:rsidRPr="00097A86">
        <w:tab/>
        <w:t>(b)</w:t>
      </w:r>
      <w:r w:rsidRPr="00097A86">
        <w:tab/>
        <w:t>metal;</w:t>
      </w:r>
    </w:p>
    <w:p w14:paraId="1A2CEA3E" w14:textId="77777777" w:rsidR="002A2804" w:rsidRPr="00097A86" w:rsidRDefault="002A2804" w:rsidP="002A2804">
      <w:pPr>
        <w:pStyle w:val="paragraph"/>
      </w:pPr>
      <w:r w:rsidRPr="00097A86">
        <w:tab/>
        <w:t>(c)</w:t>
      </w:r>
      <w:r w:rsidRPr="00097A86">
        <w:tab/>
        <w:t>plastic;</w:t>
      </w:r>
    </w:p>
    <w:p w14:paraId="4823107C" w14:textId="77777777" w:rsidR="002A2804" w:rsidRPr="00097A86" w:rsidRDefault="002A2804" w:rsidP="002A2804">
      <w:pPr>
        <w:pStyle w:val="paragraph"/>
      </w:pPr>
      <w:r w:rsidRPr="00097A86">
        <w:lastRenderedPageBreak/>
        <w:tab/>
        <w:t>(d)</w:t>
      </w:r>
      <w:r w:rsidRPr="00097A86">
        <w:tab/>
        <w:t>glass;</w:t>
      </w:r>
    </w:p>
    <w:p w14:paraId="043C3539" w14:textId="77777777" w:rsidR="002A2804" w:rsidRPr="00097A86" w:rsidRDefault="002A2804" w:rsidP="002A2804">
      <w:pPr>
        <w:pStyle w:val="paragraph"/>
      </w:pPr>
      <w:r w:rsidRPr="00097A86">
        <w:tab/>
        <w:t>(e)</w:t>
      </w:r>
      <w:r w:rsidRPr="00097A86">
        <w:tab/>
        <w:t>asbestos concrete;</w:t>
      </w:r>
    </w:p>
    <w:p w14:paraId="14D28CD3" w14:textId="77777777" w:rsidR="002A2804" w:rsidRPr="00097A86" w:rsidRDefault="002A2804" w:rsidP="002A2804">
      <w:pPr>
        <w:pStyle w:val="paragraph"/>
      </w:pPr>
      <w:r w:rsidRPr="00097A86">
        <w:tab/>
        <w:t>(f)</w:t>
      </w:r>
      <w:r w:rsidRPr="00097A86">
        <w:tab/>
        <w:t>soil.</w:t>
      </w:r>
    </w:p>
    <w:p w14:paraId="6C712835" w14:textId="77777777" w:rsidR="00F20356" w:rsidRPr="00097A86" w:rsidRDefault="00F20356" w:rsidP="00D22D3F">
      <w:pPr>
        <w:pStyle w:val="Definition"/>
      </w:pPr>
      <w:r w:rsidRPr="00097A86">
        <w:rPr>
          <w:b/>
          <w:i/>
        </w:rPr>
        <w:t xml:space="preserve">integrated metalworks </w:t>
      </w:r>
      <w:r w:rsidRPr="00097A86">
        <w:t>has the meaning given by subsection</w:t>
      </w:r>
      <w:r w:rsidR="00097A86">
        <w:t> </w:t>
      </w:r>
      <w:r w:rsidRPr="00097A86">
        <w:t>4.64(2).</w:t>
      </w:r>
    </w:p>
    <w:p w14:paraId="4C2063E0" w14:textId="77777777" w:rsidR="003F0D4E" w:rsidRPr="00097A86" w:rsidRDefault="003F0D4E" w:rsidP="00D22D3F">
      <w:pPr>
        <w:pStyle w:val="Definition"/>
      </w:pPr>
      <w:r w:rsidRPr="00097A86">
        <w:rPr>
          <w:b/>
          <w:i/>
        </w:rPr>
        <w:t xml:space="preserve">invoice </w:t>
      </w:r>
      <w:r w:rsidRPr="00097A86">
        <w:t>includes delivery record.</w:t>
      </w:r>
    </w:p>
    <w:p w14:paraId="11A47480" w14:textId="77777777" w:rsidR="003F0D4E" w:rsidRPr="00097A86" w:rsidRDefault="003F0D4E" w:rsidP="00D22D3F">
      <w:pPr>
        <w:pStyle w:val="Definition"/>
      </w:pPr>
      <w:r w:rsidRPr="00097A86">
        <w:rPr>
          <w:b/>
          <w:i/>
        </w:rPr>
        <w:t xml:space="preserve">IPCC </w:t>
      </w:r>
      <w:r w:rsidRPr="00097A86">
        <w:t>is short for Intergovernmental Panel on Climate Change established by the World Meteorological Organization and the United Nations Environment Programme.</w:t>
      </w:r>
    </w:p>
    <w:p w14:paraId="6D160A18" w14:textId="77777777" w:rsidR="003F0D4E" w:rsidRPr="00097A86" w:rsidRDefault="003F0D4E" w:rsidP="00D22D3F">
      <w:pPr>
        <w:pStyle w:val="Definition"/>
      </w:pPr>
      <w:r w:rsidRPr="00097A86">
        <w:rPr>
          <w:b/>
          <w:i/>
        </w:rPr>
        <w:t xml:space="preserve">ISO </w:t>
      </w:r>
      <w:r w:rsidRPr="00097A86">
        <w:t>followed by a number (for example, ISO 10396:2007) means a standard of that number issued by the International Organization of Standardization and, if a date is included, of that date.</w:t>
      </w:r>
    </w:p>
    <w:p w14:paraId="018E3262" w14:textId="77777777" w:rsidR="00EC147B" w:rsidRPr="00097A86" w:rsidRDefault="00EC147B" w:rsidP="00EC147B">
      <w:pPr>
        <w:pStyle w:val="Definition"/>
        <w:rPr>
          <w:b/>
          <w:i/>
        </w:rPr>
      </w:pPr>
      <w:r w:rsidRPr="00097A86">
        <w:rPr>
          <w:b/>
          <w:i/>
        </w:rPr>
        <w:t>legacy emissions</w:t>
      </w:r>
      <w:r w:rsidRPr="00097A86">
        <w:t xml:space="preserve"> has the same meaning as in the </w:t>
      </w:r>
      <w:r w:rsidRPr="00097A86">
        <w:rPr>
          <w:i/>
        </w:rPr>
        <w:t>National Greenhouse and Energy Reporting (Safeguard Mechanism) Rule</w:t>
      </w:r>
      <w:r w:rsidR="00097A86">
        <w:rPr>
          <w:i/>
        </w:rPr>
        <w:t> </w:t>
      </w:r>
      <w:r w:rsidRPr="00097A86">
        <w:rPr>
          <w:i/>
        </w:rPr>
        <w:t>2015</w:t>
      </w:r>
      <w:r w:rsidRPr="00097A86">
        <w:t>.</w:t>
      </w:r>
    </w:p>
    <w:p w14:paraId="472F9039" w14:textId="77777777" w:rsidR="00502585" w:rsidRPr="00097A86" w:rsidRDefault="00502585" w:rsidP="00D22D3F">
      <w:pPr>
        <w:pStyle w:val="Definition"/>
      </w:pPr>
      <w:r w:rsidRPr="00097A86">
        <w:rPr>
          <w:b/>
          <w:i/>
        </w:rPr>
        <w:t xml:space="preserve">legacy waste </w:t>
      </w:r>
      <w:r w:rsidRPr="00097A86">
        <w:t>means waste deposited at a landfill before 1</w:t>
      </w:r>
      <w:r w:rsidR="00097A86">
        <w:t> </w:t>
      </w:r>
      <w:r w:rsidRPr="00097A86">
        <w:t xml:space="preserve">July </w:t>
      </w:r>
      <w:r w:rsidR="00EC147B" w:rsidRPr="00097A86">
        <w:t>2016</w:t>
      </w:r>
      <w:r w:rsidRPr="00097A86">
        <w:t>.</w:t>
      </w:r>
    </w:p>
    <w:p w14:paraId="06BCC483" w14:textId="77777777" w:rsidR="002A2804" w:rsidRPr="00097A86" w:rsidRDefault="002A2804" w:rsidP="002A2804">
      <w:pPr>
        <w:pStyle w:val="Definition"/>
        <w:rPr>
          <w:b/>
          <w:i/>
        </w:rPr>
      </w:pPr>
      <w:r w:rsidRPr="00097A86">
        <w:rPr>
          <w:b/>
          <w:i/>
        </w:rPr>
        <w:t>liquefied natural gas</w:t>
      </w:r>
      <w:r w:rsidRPr="00097A86">
        <w:t xml:space="preserve"> has the same meaning as in the Regulations.</w:t>
      </w:r>
    </w:p>
    <w:p w14:paraId="12CB8074" w14:textId="77777777" w:rsidR="002A2804" w:rsidRPr="00097A86" w:rsidRDefault="002A2804" w:rsidP="002A2804">
      <w:pPr>
        <w:pStyle w:val="Definition"/>
        <w:rPr>
          <w:b/>
          <w:i/>
        </w:rPr>
      </w:pPr>
      <w:r w:rsidRPr="00097A86">
        <w:rPr>
          <w:b/>
          <w:i/>
        </w:rPr>
        <w:t xml:space="preserve">liquefied petroleum gas </w:t>
      </w:r>
      <w:r w:rsidRPr="00097A86">
        <w:t>has the same meaning as in the Regulations.</w:t>
      </w:r>
    </w:p>
    <w:p w14:paraId="240B91B9" w14:textId="77777777" w:rsidR="00F20356" w:rsidRPr="00097A86" w:rsidRDefault="00F20356" w:rsidP="00D22D3F">
      <w:pPr>
        <w:pStyle w:val="Definition"/>
      </w:pPr>
      <w:r w:rsidRPr="00097A86">
        <w:rPr>
          <w:b/>
          <w:i/>
        </w:rPr>
        <w:t xml:space="preserve">liquid fuel </w:t>
      </w:r>
      <w:r w:rsidRPr="00097A86">
        <w:t>means a fuel mentioned in column 2 of items</w:t>
      </w:r>
      <w:r w:rsidR="00097A86">
        <w:t> </w:t>
      </w:r>
      <w:r w:rsidRPr="00097A86">
        <w:t>31 to 54 of Schedule</w:t>
      </w:r>
      <w:r w:rsidR="00097A86">
        <w:t> </w:t>
      </w:r>
      <w:r w:rsidRPr="00097A86">
        <w:t>1 to the Regulations.</w:t>
      </w:r>
    </w:p>
    <w:p w14:paraId="6AE226CB" w14:textId="77777777" w:rsidR="003F0D4E" w:rsidRPr="00097A86" w:rsidRDefault="003F0D4E" w:rsidP="00D22D3F">
      <w:pPr>
        <w:pStyle w:val="Definition"/>
      </w:pPr>
      <w:r w:rsidRPr="00097A86">
        <w:rPr>
          <w:b/>
          <w:i/>
        </w:rPr>
        <w:t xml:space="preserve">lower method </w:t>
      </w:r>
      <w:r w:rsidRPr="00097A86">
        <w:t>has the meaning given by subsection</w:t>
      </w:r>
      <w:r w:rsidR="00097A86">
        <w:t> </w:t>
      </w:r>
      <w:r w:rsidRPr="00097A86">
        <w:t>1.18</w:t>
      </w:r>
      <w:r w:rsidR="00045A83" w:rsidRPr="00097A86">
        <w:t>(</w:t>
      </w:r>
      <w:r w:rsidRPr="00097A86">
        <w:t>6).</w:t>
      </w:r>
    </w:p>
    <w:p w14:paraId="00F7299E" w14:textId="77777777" w:rsidR="00502585" w:rsidRPr="00097A86" w:rsidRDefault="00502585" w:rsidP="00D22D3F">
      <w:pPr>
        <w:pStyle w:val="Definition"/>
      </w:pPr>
      <w:r w:rsidRPr="00097A86">
        <w:rPr>
          <w:b/>
          <w:i/>
        </w:rPr>
        <w:t xml:space="preserve">low gas zone </w:t>
      </w:r>
      <w:r w:rsidRPr="00097A86">
        <w:t>means the part of the gas bearing strata of an open cut mine:</w:t>
      </w:r>
    </w:p>
    <w:p w14:paraId="25044D38" w14:textId="77777777" w:rsidR="00502585" w:rsidRPr="00097A86" w:rsidRDefault="00502585" w:rsidP="00D22D3F">
      <w:pPr>
        <w:pStyle w:val="paragraph"/>
      </w:pPr>
      <w:r w:rsidRPr="00097A86">
        <w:tab/>
        <w:t>(a)</w:t>
      </w:r>
      <w:r w:rsidRPr="00097A86">
        <w:tab/>
        <w:t>that is located immediately below the original surface of the mine and above the base of the low gas zone; and</w:t>
      </w:r>
    </w:p>
    <w:p w14:paraId="31132760" w14:textId="77777777" w:rsidR="00502585" w:rsidRPr="00097A86" w:rsidRDefault="00502585" w:rsidP="00D22D3F">
      <w:pPr>
        <w:pStyle w:val="paragraph"/>
      </w:pPr>
      <w:r w:rsidRPr="00097A86">
        <w:tab/>
        <w:t>(b)</w:t>
      </w:r>
      <w:r w:rsidRPr="00097A86">
        <w:tab/>
        <w:t>the area of which is worked out by working out the base of the low gas zone.</w:t>
      </w:r>
    </w:p>
    <w:p w14:paraId="46DA5E89" w14:textId="77777777" w:rsidR="00F20356" w:rsidRPr="00097A86" w:rsidRDefault="00F20356" w:rsidP="00D22D3F">
      <w:pPr>
        <w:pStyle w:val="Definition"/>
      </w:pPr>
      <w:r w:rsidRPr="00097A86">
        <w:rPr>
          <w:b/>
          <w:i/>
        </w:rPr>
        <w:t xml:space="preserve">main electricity grid </w:t>
      </w:r>
      <w:r w:rsidRPr="00097A86">
        <w:t>has the meaning given by subsection</w:t>
      </w:r>
      <w:r w:rsidR="00097A86">
        <w:t> </w:t>
      </w:r>
      <w:r w:rsidRPr="00097A86">
        <w:t>7.2</w:t>
      </w:r>
      <w:r w:rsidR="00045A83" w:rsidRPr="00097A86">
        <w:t>(</w:t>
      </w:r>
      <w:r w:rsidRPr="00097A86">
        <w:t>4).</w:t>
      </w:r>
    </w:p>
    <w:p w14:paraId="426988FF" w14:textId="77777777" w:rsidR="00F20356" w:rsidRPr="00097A86" w:rsidRDefault="00F20356" w:rsidP="00D22D3F">
      <w:pPr>
        <w:pStyle w:val="Definition"/>
      </w:pPr>
      <w:r w:rsidRPr="00097A86">
        <w:rPr>
          <w:b/>
          <w:i/>
        </w:rPr>
        <w:t xml:space="preserve">marketable crude oil </w:t>
      </w:r>
      <w:r w:rsidRPr="00097A86">
        <w:t>includes:</w:t>
      </w:r>
    </w:p>
    <w:p w14:paraId="65B96AE9" w14:textId="77777777" w:rsidR="00F20356" w:rsidRPr="00097A86" w:rsidRDefault="00F20356" w:rsidP="00D22D3F">
      <w:pPr>
        <w:pStyle w:val="paragraph"/>
      </w:pPr>
      <w:r w:rsidRPr="00097A86">
        <w:tab/>
        <w:t>(a)</w:t>
      </w:r>
      <w:r w:rsidRPr="00097A86">
        <w:tab/>
        <w:t>conventional crude oil; and</w:t>
      </w:r>
    </w:p>
    <w:p w14:paraId="15476967" w14:textId="77777777" w:rsidR="00F20356" w:rsidRPr="00097A86" w:rsidRDefault="00F20356" w:rsidP="00D22D3F">
      <w:pPr>
        <w:pStyle w:val="paragraph"/>
      </w:pPr>
      <w:r w:rsidRPr="00097A86">
        <w:tab/>
        <w:t>(b)</w:t>
      </w:r>
      <w:r w:rsidRPr="00097A86">
        <w:tab/>
        <w:t>heavy crude oil; and</w:t>
      </w:r>
    </w:p>
    <w:p w14:paraId="6FA35873" w14:textId="77777777" w:rsidR="00F20356" w:rsidRPr="00097A86" w:rsidRDefault="00F20356" w:rsidP="00D22D3F">
      <w:pPr>
        <w:pStyle w:val="paragraph"/>
      </w:pPr>
      <w:r w:rsidRPr="00097A86">
        <w:tab/>
        <w:t>(c)</w:t>
      </w:r>
      <w:r w:rsidRPr="00097A86">
        <w:tab/>
        <w:t>synthetic crude oil; and</w:t>
      </w:r>
    </w:p>
    <w:p w14:paraId="68853148" w14:textId="77777777" w:rsidR="00F20356" w:rsidRPr="00097A86" w:rsidRDefault="00F20356" w:rsidP="00D22D3F">
      <w:pPr>
        <w:pStyle w:val="paragraph"/>
      </w:pPr>
      <w:r w:rsidRPr="00097A86">
        <w:tab/>
        <w:t>(d)</w:t>
      </w:r>
      <w:r w:rsidRPr="00097A86">
        <w:tab/>
        <w:t xml:space="preserve">bitumen. </w:t>
      </w:r>
    </w:p>
    <w:p w14:paraId="58C07A96" w14:textId="77777777" w:rsidR="00FF0520" w:rsidRPr="00097A86" w:rsidRDefault="00FF0520" w:rsidP="00FF0520">
      <w:pPr>
        <w:pStyle w:val="Definition"/>
      </w:pPr>
      <w:r w:rsidRPr="00097A86">
        <w:rPr>
          <w:b/>
          <w:i/>
        </w:rPr>
        <w:t xml:space="preserve">method </w:t>
      </w:r>
      <w:r w:rsidRPr="00097A86">
        <w:t>means a method specified in this determination for estimating emissions released from the operation of a facility in relation to a source.</w:t>
      </w:r>
    </w:p>
    <w:p w14:paraId="6B2BA7C1" w14:textId="77777777" w:rsidR="003F0D4E" w:rsidRPr="00097A86" w:rsidRDefault="003F0D4E" w:rsidP="00D22D3F">
      <w:pPr>
        <w:pStyle w:val="Definition"/>
      </w:pPr>
      <w:r w:rsidRPr="00097A86">
        <w:rPr>
          <w:b/>
          <w:i/>
        </w:rPr>
        <w:t xml:space="preserve">municipal materials </w:t>
      </w:r>
      <w:r w:rsidRPr="00097A86">
        <w:t>has the meaning given by the Regulations.</w:t>
      </w:r>
    </w:p>
    <w:p w14:paraId="04CF7A19" w14:textId="77777777" w:rsidR="005E7CBC" w:rsidRPr="00097A86" w:rsidRDefault="005E7CBC" w:rsidP="005E7CBC">
      <w:pPr>
        <w:pStyle w:val="Definition"/>
      </w:pPr>
      <w:r w:rsidRPr="00097A86">
        <w:rPr>
          <w:b/>
          <w:i/>
        </w:rPr>
        <w:t>municipal solid waste class I</w:t>
      </w:r>
      <w:r w:rsidRPr="00097A86">
        <w:t xml:space="preserve"> means waste from domestic premises, council collections and other municipal sources where:</w:t>
      </w:r>
    </w:p>
    <w:p w14:paraId="268BC29D" w14:textId="77777777" w:rsidR="005E7CBC" w:rsidRPr="00097A86" w:rsidRDefault="005E7CBC" w:rsidP="005E7CBC">
      <w:pPr>
        <w:pStyle w:val="paragraph"/>
      </w:pPr>
      <w:r w:rsidRPr="00097A86">
        <w:lastRenderedPageBreak/>
        <w:tab/>
        <w:t>(a)</w:t>
      </w:r>
      <w:r w:rsidRPr="00097A86">
        <w:tab/>
        <w:t>the collection of organic waste on a regular basis in a dedicated bin is not provided to residents of the municipality as a standard practice; or</w:t>
      </w:r>
    </w:p>
    <w:p w14:paraId="5AB5B6FB" w14:textId="77777777" w:rsidR="005E7CBC" w:rsidRPr="00097A86" w:rsidRDefault="005E7CBC" w:rsidP="005E7CBC">
      <w:pPr>
        <w:pStyle w:val="paragraph"/>
      </w:pPr>
      <w:r w:rsidRPr="00097A86">
        <w:tab/>
        <w:t>(b)</w:t>
      </w:r>
      <w:r w:rsidRPr="00097A86">
        <w:tab/>
        <w:t>the collection of organic waste on a regular basis in a dedicated bin provided to residents of the municipality cannot be confirmed as standard practice.</w:t>
      </w:r>
    </w:p>
    <w:p w14:paraId="0839B2FF" w14:textId="77777777" w:rsidR="005E7CBC" w:rsidRPr="00097A86" w:rsidRDefault="005E7CBC" w:rsidP="005E7CBC">
      <w:pPr>
        <w:pStyle w:val="Definition"/>
      </w:pPr>
      <w:r w:rsidRPr="00097A86">
        <w:rPr>
          <w:b/>
          <w:i/>
        </w:rPr>
        <w:t xml:space="preserve">municipal solid waste class II </w:t>
      </w:r>
      <w:r w:rsidRPr="00097A86">
        <w:t>means waste from domestic premises, council collections and other municipal sources where a bin dedicated for garden waste is:</w:t>
      </w:r>
    </w:p>
    <w:p w14:paraId="2894A51F" w14:textId="77777777" w:rsidR="005E7CBC" w:rsidRPr="00097A86" w:rsidRDefault="005E7CBC" w:rsidP="005E7CBC">
      <w:pPr>
        <w:pStyle w:val="paragraph"/>
      </w:pPr>
      <w:r w:rsidRPr="00097A86">
        <w:tab/>
        <w:t>(a)</w:t>
      </w:r>
      <w:r w:rsidRPr="00097A86">
        <w:tab/>
        <w:t>provided to residents of the municipality as a standard practice; and</w:t>
      </w:r>
    </w:p>
    <w:p w14:paraId="698F70D9" w14:textId="77777777" w:rsidR="005E7CBC" w:rsidRPr="00097A86" w:rsidRDefault="005E7CBC" w:rsidP="005E7CBC">
      <w:pPr>
        <w:pStyle w:val="paragraph"/>
      </w:pPr>
      <w:r w:rsidRPr="00097A86">
        <w:tab/>
        <w:t>(b)</w:t>
      </w:r>
      <w:r w:rsidRPr="00097A86">
        <w:tab/>
        <w:t>collected on a regular basis.</w:t>
      </w:r>
    </w:p>
    <w:p w14:paraId="3EE925D3" w14:textId="77777777" w:rsidR="003F0D4E" w:rsidRPr="00097A86" w:rsidRDefault="003F0D4E" w:rsidP="00D22D3F">
      <w:pPr>
        <w:pStyle w:val="Definition"/>
      </w:pPr>
      <w:r w:rsidRPr="00097A86">
        <w:rPr>
          <w:b/>
          <w:i/>
        </w:rPr>
        <w:t xml:space="preserve">N/A </w:t>
      </w:r>
      <w:r w:rsidRPr="00097A86">
        <w:t>means not available.</w:t>
      </w:r>
    </w:p>
    <w:p w14:paraId="115CE633" w14:textId="77777777" w:rsidR="003F0D4E" w:rsidRPr="00097A86" w:rsidRDefault="003F0D4E" w:rsidP="00D22D3F">
      <w:pPr>
        <w:pStyle w:val="Definition"/>
      </w:pPr>
      <w:r w:rsidRPr="00097A86">
        <w:rPr>
          <w:b/>
          <w:i/>
        </w:rPr>
        <w:t xml:space="preserve">National Greenhouse Accounts </w:t>
      </w:r>
      <w:r w:rsidRPr="00097A86">
        <w:t>means the set of national greenhouse gas inventories, including the National Inventory Report 2005, submitted by the Australian government to meet its reporting commitments under the United Nations Framework Convention on Climate Change and the 1997 Kyoto Protocol to that Convention.</w:t>
      </w:r>
    </w:p>
    <w:p w14:paraId="33F7DE23" w14:textId="77777777" w:rsidR="00502585" w:rsidRPr="00097A86" w:rsidRDefault="00502585" w:rsidP="00D22D3F">
      <w:pPr>
        <w:pStyle w:val="Definition"/>
      </w:pPr>
      <w:r w:rsidRPr="00097A86">
        <w:rPr>
          <w:b/>
          <w:i/>
        </w:rPr>
        <w:t xml:space="preserve">natural gas </w:t>
      </w:r>
      <w:r w:rsidRPr="00097A86">
        <w:t>has the meaning given by the Regulations.</w:t>
      </w:r>
    </w:p>
    <w:p w14:paraId="4711B39D" w14:textId="77777777" w:rsidR="003F0D4E" w:rsidRPr="00097A86" w:rsidRDefault="003F0D4E" w:rsidP="00D22D3F">
      <w:pPr>
        <w:pStyle w:val="Definition"/>
      </w:pPr>
      <w:r w:rsidRPr="00097A86">
        <w:rPr>
          <w:b/>
          <w:i/>
        </w:rPr>
        <w:t xml:space="preserve">natural gas distribution </w:t>
      </w:r>
      <w:r w:rsidRPr="00097A86">
        <w:t>is distribution of natural gas through low</w:t>
      </w:r>
      <w:r w:rsidR="00097A86">
        <w:noBreakHyphen/>
      </w:r>
      <w:r w:rsidRPr="00097A86">
        <w:t>pressure pipelines with pressure of 1</w:t>
      </w:r>
      <w:r w:rsidR="00097A86">
        <w:t> </w:t>
      </w:r>
      <w:r w:rsidRPr="00097A86">
        <w:t>050 kilopascals or less.</w:t>
      </w:r>
    </w:p>
    <w:p w14:paraId="0D247225" w14:textId="77777777" w:rsidR="003F0D4E" w:rsidRPr="00097A86" w:rsidRDefault="003F0D4E" w:rsidP="00D22D3F">
      <w:pPr>
        <w:pStyle w:val="Definition"/>
      </w:pPr>
      <w:r w:rsidRPr="00097A86">
        <w:rPr>
          <w:b/>
          <w:i/>
        </w:rPr>
        <w:t xml:space="preserve">natural gas liquids </w:t>
      </w:r>
      <w:r w:rsidRPr="00097A86">
        <w:t>has the meaning given by the Regulations.</w:t>
      </w:r>
    </w:p>
    <w:p w14:paraId="4A3B9C54" w14:textId="77777777" w:rsidR="003F0D4E" w:rsidRPr="00097A86" w:rsidRDefault="003F0D4E" w:rsidP="00D22D3F">
      <w:pPr>
        <w:pStyle w:val="Definition"/>
      </w:pPr>
      <w:r w:rsidRPr="00097A86">
        <w:rPr>
          <w:b/>
          <w:i/>
        </w:rPr>
        <w:t xml:space="preserve">natural gas transmission </w:t>
      </w:r>
      <w:r w:rsidRPr="00097A86">
        <w:t>is transmission of natural gas through high</w:t>
      </w:r>
      <w:r w:rsidR="00097A86">
        <w:noBreakHyphen/>
      </w:r>
      <w:r w:rsidRPr="00097A86">
        <w:t>pressure pipelines with pressure greater than 1</w:t>
      </w:r>
      <w:r w:rsidR="00097A86">
        <w:t> </w:t>
      </w:r>
      <w:r w:rsidRPr="00097A86">
        <w:t>050 kilopascals.</w:t>
      </w:r>
    </w:p>
    <w:p w14:paraId="6BE926C4" w14:textId="77777777" w:rsidR="003F0D4E" w:rsidRPr="00097A86" w:rsidRDefault="003F0D4E" w:rsidP="00D22D3F">
      <w:pPr>
        <w:pStyle w:val="Definition"/>
      </w:pPr>
      <w:r w:rsidRPr="00097A86">
        <w:rPr>
          <w:b/>
          <w:i/>
        </w:rPr>
        <w:t>non</w:t>
      </w:r>
      <w:r w:rsidR="00097A86">
        <w:rPr>
          <w:b/>
          <w:i/>
        </w:rPr>
        <w:noBreakHyphen/>
      </w:r>
      <w:r w:rsidRPr="00097A86">
        <w:rPr>
          <w:b/>
          <w:i/>
        </w:rPr>
        <w:t xml:space="preserve">gassy mine </w:t>
      </w:r>
      <w:r w:rsidRPr="00097A86">
        <w:t>means an underground mine that has less than 0.1% methane in the mine’s return ventilation.</w:t>
      </w:r>
    </w:p>
    <w:p w14:paraId="6A812EC0" w14:textId="77777777" w:rsidR="00D80813" w:rsidRPr="00097A86" w:rsidRDefault="00D80813" w:rsidP="00D22D3F">
      <w:pPr>
        <w:pStyle w:val="Definition"/>
      </w:pPr>
      <w:r w:rsidRPr="00097A86">
        <w:rPr>
          <w:b/>
          <w:i/>
        </w:rPr>
        <w:t>non</w:t>
      </w:r>
      <w:r w:rsidR="00097A86">
        <w:rPr>
          <w:b/>
          <w:i/>
        </w:rPr>
        <w:noBreakHyphen/>
      </w:r>
      <w:r w:rsidRPr="00097A86">
        <w:rPr>
          <w:b/>
          <w:i/>
        </w:rPr>
        <w:t xml:space="preserve">legacy waste </w:t>
      </w:r>
      <w:r w:rsidRPr="00097A86">
        <w:t>means waste deposited at a landfill on or after 1</w:t>
      </w:r>
      <w:r w:rsidR="00097A86">
        <w:t> </w:t>
      </w:r>
      <w:r w:rsidRPr="00097A86">
        <w:t xml:space="preserve">July </w:t>
      </w:r>
      <w:r w:rsidR="00EC147B" w:rsidRPr="00097A86">
        <w:t>2016</w:t>
      </w:r>
      <w:r w:rsidRPr="00097A86">
        <w:t>.</w:t>
      </w:r>
    </w:p>
    <w:p w14:paraId="78EB7E32" w14:textId="77777777" w:rsidR="00D80813" w:rsidRPr="00097A86" w:rsidRDefault="00D80813" w:rsidP="00D22D3F">
      <w:pPr>
        <w:pStyle w:val="Definition"/>
      </w:pPr>
      <w:r w:rsidRPr="00097A86">
        <w:rPr>
          <w:b/>
          <w:i/>
        </w:rPr>
        <w:t>open cut mine</w:t>
      </w:r>
      <w:r w:rsidRPr="00097A86">
        <w:t>:</w:t>
      </w:r>
    </w:p>
    <w:p w14:paraId="7D554D6E" w14:textId="77777777" w:rsidR="00D80813" w:rsidRPr="00097A86" w:rsidRDefault="00D80813" w:rsidP="00D22D3F">
      <w:pPr>
        <w:pStyle w:val="paragraph"/>
      </w:pPr>
      <w:r w:rsidRPr="00097A86">
        <w:tab/>
        <w:t>(a)</w:t>
      </w:r>
      <w:r w:rsidRPr="00097A86">
        <w:tab/>
        <w:t>means a mine in which the overburden is removed from coal seams to allow coal extraction by mining that is not underground mining; and</w:t>
      </w:r>
    </w:p>
    <w:p w14:paraId="4C886C2C" w14:textId="77777777" w:rsidR="00D80813" w:rsidRPr="00097A86" w:rsidRDefault="00D80813" w:rsidP="00D22D3F">
      <w:pPr>
        <w:pStyle w:val="paragraph"/>
      </w:pPr>
      <w:r w:rsidRPr="00097A86">
        <w:tab/>
        <w:t>(b)</w:t>
      </w:r>
      <w:r w:rsidRPr="00097A86">
        <w:tab/>
        <w:t>for method 2 in section</w:t>
      </w:r>
      <w:r w:rsidR="00097A86">
        <w:t> </w:t>
      </w:r>
      <w:r w:rsidRPr="00097A86">
        <w:t>3.21 or method 3 in section</w:t>
      </w:r>
      <w:r w:rsidR="00097A86">
        <w:t> </w:t>
      </w:r>
      <w:r w:rsidRPr="00097A86">
        <w:t xml:space="preserve">3.26—includes a mine of the kind mentioned in </w:t>
      </w:r>
      <w:r w:rsidR="00097A86">
        <w:t>paragraph (</w:t>
      </w:r>
      <w:r w:rsidRPr="00097A86">
        <w:t>a):</w:t>
      </w:r>
    </w:p>
    <w:p w14:paraId="28AAAD87" w14:textId="77777777" w:rsidR="00D80813" w:rsidRPr="00097A86" w:rsidRDefault="00D80813" w:rsidP="00D22D3F">
      <w:pPr>
        <w:pStyle w:val="paragraphsub"/>
      </w:pPr>
      <w:r w:rsidRPr="00097A86">
        <w:tab/>
        <w:t>(i)</w:t>
      </w:r>
      <w:r w:rsidRPr="00097A86">
        <w:tab/>
        <w:t>for which an area has been established but coal production has not commenced; or</w:t>
      </w:r>
    </w:p>
    <w:p w14:paraId="36CFC9D8" w14:textId="77777777" w:rsidR="00D80813" w:rsidRPr="00097A86" w:rsidRDefault="00D80813" w:rsidP="00D22D3F">
      <w:pPr>
        <w:pStyle w:val="paragraphsub"/>
      </w:pPr>
      <w:r w:rsidRPr="00097A86">
        <w:tab/>
        <w:t>(ii)</w:t>
      </w:r>
      <w:r w:rsidRPr="00097A86">
        <w:tab/>
        <w:t>in which coal production has commenced.</w:t>
      </w:r>
    </w:p>
    <w:p w14:paraId="5C7F26FA" w14:textId="77777777" w:rsidR="003F0D4E" w:rsidRPr="00097A86" w:rsidRDefault="003F0D4E" w:rsidP="00D22D3F">
      <w:pPr>
        <w:pStyle w:val="Definition"/>
      </w:pPr>
      <w:r w:rsidRPr="00097A86">
        <w:rPr>
          <w:b/>
          <w:i/>
        </w:rPr>
        <w:t xml:space="preserve">PEM </w:t>
      </w:r>
      <w:r w:rsidRPr="00097A86">
        <w:t xml:space="preserve">or </w:t>
      </w:r>
      <w:r w:rsidRPr="00097A86">
        <w:rPr>
          <w:b/>
          <w:i/>
        </w:rPr>
        <w:t xml:space="preserve">periodic emissions monitoring </w:t>
      </w:r>
      <w:r w:rsidRPr="00097A86">
        <w:t>means periodic monitoring of emissions in accordance with Part</w:t>
      </w:r>
      <w:r w:rsidR="00097A86">
        <w:t> </w:t>
      </w:r>
      <w:r w:rsidRPr="00097A86">
        <w:t>1.3.</w:t>
      </w:r>
    </w:p>
    <w:p w14:paraId="150737EA" w14:textId="77777777" w:rsidR="003F0D4E" w:rsidRPr="00097A86" w:rsidRDefault="003F0D4E" w:rsidP="00D22D3F">
      <w:pPr>
        <w:pStyle w:val="Definition"/>
      </w:pPr>
      <w:r w:rsidRPr="00097A86">
        <w:rPr>
          <w:b/>
          <w:i/>
        </w:rPr>
        <w:t xml:space="preserve">Perfluorocarbon protocol </w:t>
      </w:r>
      <w:r w:rsidRPr="00097A86">
        <w:t xml:space="preserve">means the </w:t>
      </w:r>
      <w:r w:rsidRPr="00097A86">
        <w:rPr>
          <w:i/>
        </w:rPr>
        <w:t>Protocol for Measurement of Tetrafluoromethane (CF</w:t>
      </w:r>
      <w:r w:rsidRPr="00097A86">
        <w:rPr>
          <w:i/>
          <w:vertAlign w:val="subscript"/>
        </w:rPr>
        <w:t>4</w:t>
      </w:r>
      <w:r w:rsidRPr="00097A86">
        <w:rPr>
          <w:i/>
        </w:rPr>
        <w:t>) and Hexafluoroethane (C</w:t>
      </w:r>
      <w:r w:rsidRPr="00097A86">
        <w:rPr>
          <w:i/>
          <w:vertAlign w:val="subscript"/>
        </w:rPr>
        <w:t>2</w:t>
      </w:r>
      <w:r w:rsidRPr="00097A86">
        <w:rPr>
          <w:i/>
        </w:rPr>
        <w:t>F</w:t>
      </w:r>
      <w:r w:rsidRPr="00097A86">
        <w:rPr>
          <w:i/>
          <w:vertAlign w:val="subscript"/>
        </w:rPr>
        <w:t>6</w:t>
      </w:r>
      <w:r w:rsidRPr="00097A86">
        <w:rPr>
          <w:i/>
        </w:rPr>
        <w:t xml:space="preserve">) Emissions from Primary </w:t>
      </w:r>
      <w:r w:rsidRPr="00097A86">
        <w:rPr>
          <w:i/>
        </w:rPr>
        <w:lastRenderedPageBreak/>
        <w:t xml:space="preserve">Aluminium Production </w:t>
      </w:r>
      <w:r w:rsidRPr="00097A86">
        <w:t>published by the United States Environmental Protection Agency and the International Aluminium Institute.</w:t>
      </w:r>
    </w:p>
    <w:p w14:paraId="50F8BF7C" w14:textId="77777777" w:rsidR="00F20356" w:rsidRPr="00097A86" w:rsidRDefault="00F20356" w:rsidP="00D22D3F">
      <w:pPr>
        <w:pStyle w:val="Definition"/>
      </w:pPr>
      <w:r w:rsidRPr="00097A86">
        <w:rPr>
          <w:b/>
          <w:i/>
        </w:rPr>
        <w:t xml:space="preserve">petroleum based greases </w:t>
      </w:r>
      <w:r w:rsidRPr="00097A86">
        <w:t>has the meaning given by regulation</w:t>
      </w:r>
      <w:r w:rsidR="00097A86">
        <w:t> </w:t>
      </w:r>
      <w:r w:rsidRPr="00097A86">
        <w:t xml:space="preserve">1.03 of the Regulations. </w:t>
      </w:r>
    </w:p>
    <w:p w14:paraId="71D6C9B7" w14:textId="77777777" w:rsidR="003F0D4E" w:rsidRPr="00097A86" w:rsidRDefault="003F0D4E" w:rsidP="00D22D3F">
      <w:pPr>
        <w:pStyle w:val="Definition"/>
      </w:pPr>
      <w:r w:rsidRPr="00097A86">
        <w:rPr>
          <w:b/>
          <w:i/>
        </w:rPr>
        <w:t xml:space="preserve">petroleum based oils </w:t>
      </w:r>
      <w:r w:rsidRPr="00097A86">
        <w:t>has the meaning given by the Regulations.</w:t>
      </w:r>
    </w:p>
    <w:p w14:paraId="5805713B" w14:textId="77777777" w:rsidR="003F0D4E" w:rsidRPr="00097A86" w:rsidRDefault="003F0D4E" w:rsidP="00D22D3F">
      <w:pPr>
        <w:pStyle w:val="Definition"/>
      </w:pPr>
      <w:r w:rsidRPr="00097A86">
        <w:rPr>
          <w:b/>
          <w:i/>
        </w:rPr>
        <w:t xml:space="preserve">petroleum coke </w:t>
      </w:r>
      <w:r w:rsidRPr="00097A86">
        <w:t>has the meaning given by the Regulations.</w:t>
      </w:r>
    </w:p>
    <w:p w14:paraId="63D5D918" w14:textId="77777777" w:rsidR="002A2804" w:rsidRPr="00097A86" w:rsidRDefault="002A2804" w:rsidP="002A2804">
      <w:pPr>
        <w:pStyle w:val="Definition"/>
        <w:rPr>
          <w:b/>
          <w:i/>
        </w:rPr>
      </w:pPr>
      <w:r w:rsidRPr="00097A86">
        <w:rPr>
          <w:b/>
          <w:i/>
        </w:rPr>
        <w:t>phytocap</w:t>
      </w:r>
      <w:r w:rsidRPr="00097A86">
        <w:t xml:space="preserve"> means an evapotranspiration landfill capping system that makes use of soil and vegetation to store and release surface water.</w:t>
      </w:r>
    </w:p>
    <w:p w14:paraId="1DF666CE" w14:textId="77777777" w:rsidR="003F0D4E" w:rsidRPr="00097A86" w:rsidRDefault="003F0D4E" w:rsidP="00D22D3F">
      <w:pPr>
        <w:pStyle w:val="Definition"/>
      </w:pPr>
      <w:r w:rsidRPr="00097A86">
        <w:rPr>
          <w:b/>
          <w:i/>
        </w:rPr>
        <w:t>post</w:t>
      </w:r>
      <w:r w:rsidR="00097A86">
        <w:rPr>
          <w:b/>
          <w:i/>
        </w:rPr>
        <w:noBreakHyphen/>
      </w:r>
      <w:r w:rsidRPr="00097A86">
        <w:rPr>
          <w:b/>
          <w:i/>
        </w:rPr>
        <w:t>mining activities</w:t>
      </w:r>
      <w:r w:rsidRPr="00097A86">
        <w:t>, in relation to a mine, is the handling, stockpiling, processing and transportation of coal extracted from the mine.</w:t>
      </w:r>
    </w:p>
    <w:p w14:paraId="10D2B4B2" w14:textId="77777777" w:rsidR="00D80813" w:rsidRPr="00097A86" w:rsidRDefault="00D80813" w:rsidP="00D22D3F">
      <w:pPr>
        <w:pStyle w:val="Definition"/>
      </w:pPr>
      <w:r w:rsidRPr="00097A86">
        <w:rPr>
          <w:b/>
          <w:i/>
        </w:rPr>
        <w:t>primary wastewater treatment plant</w:t>
      </w:r>
      <w:r w:rsidRPr="00097A86">
        <w:t>:</w:t>
      </w:r>
    </w:p>
    <w:p w14:paraId="7E6ACB8E" w14:textId="77777777" w:rsidR="00D80813" w:rsidRPr="00097A86" w:rsidRDefault="00D80813" w:rsidP="00D22D3F">
      <w:pPr>
        <w:pStyle w:val="paragraph"/>
      </w:pPr>
      <w:r w:rsidRPr="00097A86">
        <w:tab/>
        <w:t>(a)</w:t>
      </w:r>
      <w:r w:rsidRPr="00097A86">
        <w:tab/>
        <w:t>means a treatment facility at which wastewater undergoes physical screening, degritting and sedimentation; and</w:t>
      </w:r>
    </w:p>
    <w:p w14:paraId="620FFDF2" w14:textId="77777777" w:rsidR="00D80813" w:rsidRPr="00097A86" w:rsidRDefault="00D80813" w:rsidP="00D22D3F">
      <w:pPr>
        <w:pStyle w:val="paragraph"/>
      </w:pPr>
      <w:r w:rsidRPr="00097A86">
        <w:tab/>
        <w:t>(b)</w:t>
      </w:r>
      <w:r w:rsidRPr="00097A86">
        <w:tab/>
        <w:t>does not include a treatment facility at which any kind of nitrification or denitrification treatment process occurs.</w:t>
      </w:r>
    </w:p>
    <w:p w14:paraId="1A8E1465" w14:textId="77777777" w:rsidR="003F0D4E" w:rsidRPr="00097A86" w:rsidRDefault="003F0D4E" w:rsidP="00D22D3F">
      <w:pPr>
        <w:pStyle w:val="Definition"/>
      </w:pPr>
      <w:r w:rsidRPr="00097A86">
        <w:rPr>
          <w:b/>
          <w:i/>
        </w:rPr>
        <w:t>principal activity</w:t>
      </w:r>
      <w:r w:rsidRPr="00097A86">
        <w:t>, in relation to a facility, means the activity that:</w:t>
      </w:r>
    </w:p>
    <w:p w14:paraId="57B1143F" w14:textId="77777777" w:rsidR="003F0D4E" w:rsidRPr="00097A86" w:rsidRDefault="003F0D4E" w:rsidP="00D22D3F">
      <w:pPr>
        <w:pStyle w:val="paragraph"/>
      </w:pPr>
      <w:r w:rsidRPr="00097A86">
        <w:tab/>
        <w:t>(a)</w:t>
      </w:r>
      <w:r w:rsidRPr="00097A86">
        <w:tab/>
        <w:t>results in the production of a product or service that is produced for sale on the market; and</w:t>
      </w:r>
    </w:p>
    <w:p w14:paraId="3F629F83" w14:textId="77777777" w:rsidR="003F0D4E" w:rsidRPr="00097A86" w:rsidRDefault="003F0D4E" w:rsidP="00D22D3F">
      <w:pPr>
        <w:pStyle w:val="paragraph"/>
      </w:pPr>
      <w:r w:rsidRPr="00097A86">
        <w:tab/>
        <w:t>(b)</w:t>
      </w:r>
      <w:r w:rsidRPr="00097A86">
        <w:tab/>
        <w:t>produces the most value for the facility out of any of the activities forming part of the facility.</w:t>
      </w:r>
    </w:p>
    <w:p w14:paraId="458E2A46" w14:textId="77777777" w:rsidR="00D23F89" w:rsidRPr="00097A86" w:rsidRDefault="00D23F89" w:rsidP="00D22D3F">
      <w:pPr>
        <w:pStyle w:val="Definition"/>
      </w:pPr>
      <w:r w:rsidRPr="00097A86">
        <w:rPr>
          <w:b/>
          <w:i/>
        </w:rPr>
        <w:t xml:space="preserve">pyrolysis of coal </w:t>
      </w:r>
      <w:r w:rsidRPr="00097A86">
        <w:t>means the decomposition of coal by heat.</w:t>
      </w:r>
    </w:p>
    <w:p w14:paraId="79F8966B" w14:textId="77777777" w:rsidR="00F20356" w:rsidRPr="00097A86" w:rsidRDefault="00F20356" w:rsidP="00D22D3F">
      <w:pPr>
        <w:pStyle w:val="Definition"/>
        <w:rPr>
          <w:i/>
          <w:iCs/>
          <w:szCs w:val="22"/>
        </w:rPr>
      </w:pPr>
      <w:r w:rsidRPr="00097A86">
        <w:rPr>
          <w:b/>
          <w:i/>
        </w:rPr>
        <w:t xml:space="preserve">raw sugar </w:t>
      </w:r>
      <w:r w:rsidRPr="00097A86">
        <w:t>has the meaning given by Chapter</w:t>
      </w:r>
      <w:r w:rsidR="00097A86">
        <w:t> </w:t>
      </w:r>
      <w:r w:rsidRPr="00097A86">
        <w:t>17 of Section IV of Schedule</w:t>
      </w:r>
      <w:r w:rsidR="00097A86">
        <w:t> </w:t>
      </w:r>
      <w:r w:rsidRPr="00097A86">
        <w:t xml:space="preserve">3 to the </w:t>
      </w:r>
      <w:r w:rsidRPr="00097A86">
        <w:rPr>
          <w:i/>
          <w:iCs/>
        </w:rPr>
        <w:t>Customs Tariff Act 1995</w:t>
      </w:r>
      <w:r w:rsidRPr="00097A86">
        <w:rPr>
          <w:i/>
          <w:iCs/>
          <w:szCs w:val="22"/>
        </w:rPr>
        <w:t>.</w:t>
      </w:r>
    </w:p>
    <w:p w14:paraId="50AF82A7" w14:textId="77777777" w:rsidR="00D80813" w:rsidRPr="00097A86" w:rsidRDefault="00D80813" w:rsidP="00D22D3F">
      <w:pPr>
        <w:pStyle w:val="Definition"/>
      </w:pPr>
      <w:r w:rsidRPr="00097A86">
        <w:rPr>
          <w:b/>
          <w:i/>
        </w:rPr>
        <w:t>reductant</w:t>
      </w:r>
      <w:r w:rsidRPr="00097A86">
        <w:t>:</w:t>
      </w:r>
    </w:p>
    <w:p w14:paraId="78341D34" w14:textId="77777777" w:rsidR="00D80813" w:rsidRPr="00097A86" w:rsidRDefault="00D80813" w:rsidP="00D22D3F">
      <w:pPr>
        <w:pStyle w:val="paragraph"/>
      </w:pPr>
      <w:r w:rsidRPr="00097A86">
        <w:tab/>
        <w:t>(a)</w:t>
      </w:r>
      <w:r w:rsidRPr="00097A86">
        <w:tab/>
        <w:t>means a reducing agent or substance:</w:t>
      </w:r>
    </w:p>
    <w:p w14:paraId="02513A3F" w14:textId="77777777" w:rsidR="00D80813" w:rsidRPr="00097A86" w:rsidRDefault="00D80813" w:rsidP="00D22D3F">
      <w:pPr>
        <w:pStyle w:val="paragraphsub"/>
      </w:pPr>
      <w:r w:rsidRPr="00097A86">
        <w:tab/>
        <w:t>(i)</w:t>
      </w:r>
      <w:r w:rsidRPr="00097A86">
        <w:tab/>
        <w:t>that causes another substance to undergo reduction; and</w:t>
      </w:r>
    </w:p>
    <w:p w14:paraId="01343B29" w14:textId="77777777" w:rsidR="00D80813" w:rsidRPr="00097A86" w:rsidRDefault="00D80813" w:rsidP="00D22D3F">
      <w:pPr>
        <w:pStyle w:val="paragraphsub"/>
      </w:pPr>
      <w:r w:rsidRPr="00097A86">
        <w:tab/>
        <w:t>(ii)</w:t>
      </w:r>
      <w:r w:rsidRPr="00097A86">
        <w:tab/>
        <w:t>that is oxidised while causing the substance to undergo reduction; and</w:t>
      </w:r>
    </w:p>
    <w:p w14:paraId="4BCE572F" w14:textId="77777777" w:rsidR="00D80813" w:rsidRPr="00097A86" w:rsidRDefault="00D80813" w:rsidP="00D22D3F">
      <w:pPr>
        <w:pStyle w:val="paragraph"/>
      </w:pPr>
      <w:r w:rsidRPr="00097A86">
        <w:tab/>
        <w:t>(b)</w:t>
      </w:r>
      <w:r w:rsidRPr="00097A86">
        <w:tab/>
        <w:t>does not include fuels that are combusted only to produce energy.</w:t>
      </w:r>
    </w:p>
    <w:p w14:paraId="45F374E5" w14:textId="77777777" w:rsidR="003F0D4E" w:rsidRPr="00097A86" w:rsidRDefault="003F0D4E" w:rsidP="00D22D3F">
      <w:pPr>
        <w:pStyle w:val="Definition"/>
      </w:pPr>
      <w:r w:rsidRPr="00097A86">
        <w:rPr>
          <w:b/>
          <w:i/>
        </w:rPr>
        <w:t xml:space="preserve">refinery gases and liquids </w:t>
      </w:r>
      <w:r w:rsidRPr="00097A86">
        <w:t>has the meaning given by the Regulations.</w:t>
      </w:r>
    </w:p>
    <w:p w14:paraId="27D83F39" w14:textId="77777777" w:rsidR="003F0D4E" w:rsidRPr="00097A86" w:rsidRDefault="003F0D4E" w:rsidP="00D22D3F">
      <w:pPr>
        <w:pStyle w:val="Definition"/>
      </w:pPr>
      <w:r w:rsidRPr="00097A86">
        <w:rPr>
          <w:b/>
          <w:i/>
        </w:rPr>
        <w:t xml:space="preserve">Regulations </w:t>
      </w:r>
      <w:r w:rsidRPr="00097A86">
        <w:t xml:space="preserve">means the </w:t>
      </w:r>
      <w:r w:rsidRPr="00097A86">
        <w:rPr>
          <w:i/>
        </w:rPr>
        <w:t>National Greenhouse and Energy Reporting Regulations</w:t>
      </w:r>
      <w:r w:rsidR="00097A86">
        <w:rPr>
          <w:i/>
        </w:rPr>
        <w:t> </w:t>
      </w:r>
      <w:r w:rsidRPr="00097A86">
        <w:rPr>
          <w:i/>
        </w:rPr>
        <w:t>2008</w:t>
      </w:r>
      <w:r w:rsidRPr="00097A86">
        <w:t>.</w:t>
      </w:r>
    </w:p>
    <w:p w14:paraId="2DFE32DE" w14:textId="77777777" w:rsidR="00B26DEE" w:rsidRPr="00097A86" w:rsidRDefault="00B26DEE" w:rsidP="00D22D3F">
      <w:pPr>
        <w:pStyle w:val="Definition"/>
      </w:pPr>
      <w:r w:rsidRPr="00097A86">
        <w:rPr>
          <w:b/>
          <w:i/>
        </w:rPr>
        <w:t xml:space="preserve">relevant person </w:t>
      </w:r>
      <w:r w:rsidRPr="00097A86">
        <w:t>means a person mentioned in paragraph</w:t>
      </w:r>
      <w:r w:rsidR="00097A86">
        <w:t> </w:t>
      </w:r>
      <w:r w:rsidRPr="00097A86">
        <w:t>1.19A</w:t>
      </w:r>
      <w:r w:rsidR="00045A83" w:rsidRPr="00097A86">
        <w:t>(</w:t>
      </w:r>
      <w:r w:rsidRPr="00097A86">
        <w:t>a), (b), (c), (d), (e) or (f).</w:t>
      </w:r>
    </w:p>
    <w:p w14:paraId="0BF23B3B" w14:textId="77777777" w:rsidR="003F0D4E" w:rsidRPr="00097A86" w:rsidRDefault="003F0D4E" w:rsidP="00D22D3F">
      <w:pPr>
        <w:pStyle w:val="Definition"/>
      </w:pPr>
      <w:r w:rsidRPr="00097A86">
        <w:rPr>
          <w:b/>
          <w:i/>
        </w:rPr>
        <w:t>run</w:t>
      </w:r>
      <w:r w:rsidR="00097A86">
        <w:rPr>
          <w:b/>
          <w:i/>
        </w:rPr>
        <w:noBreakHyphen/>
      </w:r>
      <w:r w:rsidRPr="00097A86">
        <w:rPr>
          <w:b/>
          <w:i/>
        </w:rPr>
        <w:t>of</w:t>
      </w:r>
      <w:r w:rsidR="00097A86">
        <w:rPr>
          <w:b/>
          <w:i/>
        </w:rPr>
        <w:noBreakHyphen/>
      </w:r>
      <w:r w:rsidRPr="00097A86">
        <w:rPr>
          <w:b/>
          <w:i/>
        </w:rPr>
        <w:t xml:space="preserve">mine coal </w:t>
      </w:r>
      <w:r w:rsidRPr="00097A86">
        <w:t>means coal that is produced by mining operations before screening, crushing or preparation of the coal has occurred.</w:t>
      </w:r>
    </w:p>
    <w:p w14:paraId="66D6EBF8" w14:textId="77777777" w:rsidR="002A2804" w:rsidRPr="00097A86" w:rsidRDefault="002A2804" w:rsidP="002A2804">
      <w:pPr>
        <w:pStyle w:val="Definition"/>
      </w:pPr>
      <w:r w:rsidRPr="00097A86">
        <w:rPr>
          <w:b/>
          <w:i/>
        </w:rPr>
        <w:t>scope 1 emissions</w:t>
      </w:r>
      <w:r w:rsidRPr="00097A86">
        <w:t xml:space="preserve"> has the same meaning as in the Regulations.</w:t>
      </w:r>
    </w:p>
    <w:p w14:paraId="5E27895F" w14:textId="77777777" w:rsidR="002A2804" w:rsidRPr="00097A86" w:rsidRDefault="002A2804" w:rsidP="002A2804">
      <w:pPr>
        <w:pStyle w:val="Definition"/>
      </w:pPr>
      <w:r w:rsidRPr="00097A86">
        <w:rPr>
          <w:b/>
          <w:i/>
        </w:rPr>
        <w:lastRenderedPageBreak/>
        <w:t>scope 2 emissions</w:t>
      </w:r>
      <w:r w:rsidRPr="00097A86">
        <w:t xml:space="preserve"> has the same meaning as in the Regulations.</w:t>
      </w:r>
    </w:p>
    <w:p w14:paraId="2DCDDA27" w14:textId="77777777" w:rsidR="002A2804" w:rsidRPr="00097A86" w:rsidRDefault="002A2804" w:rsidP="002A2804">
      <w:pPr>
        <w:pStyle w:val="Definition"/>
      </w:pPr>
      <w:r w:rsidRPr="00097A86">
        <w:rPr>
          <w:b/>
          <w:i/>
        </w:rPr>
        <w:t>separate instance of a source</w:t>
      </w:r>
      <w:r w:rsidRPr="00097A86">
        <w:t xml:space="preserve"> has the meaning given by section</w:t>
      </w:r>
      <w:r w:rsidR="00097A86">
        <w:t> </w:t>
      </w:r>
      <w:r w:rsidRPr="00097A86">
        <w:t>1.9A.</w:t>
      </w:r>
    </w:p>
    <w:p w14:paraId="4D36DF70" w14:textId="77777777" w:rsidR="002A2804" w:rsidRPr="00097A86" w:rsidRDefault="002A2804" w:rsidP="002A2804">
      <w:pPr>
        <w:pStyle w:val="Definition"/>
      </w:pPr>
      <w:r w:rsidRPr="00097A86">
        <w:rPr>
          <w:b/>
          <w:i/>
        </w:rPr>
        <w:t>separate occurrence of a source</w:t>
      </w:r>
      <w:r w:rsidRPr="00097A86">
        <w:t xml:space="preserve"> has the meaning given by section</w:t>
      </w:r>
      <w:r w:rsidR="00097A86">
        <w:t> </w:t>
      </w:r>
      <w:r w:rsidRPr="00097A86">
        <w:t>1.9B.</w:t>
      </w:r>
    </w:p>
    <w:p w14:paraId="4D269A49" w14:textId="77777777" w:rsidR="00695B6A" w:rsidRPr="00097A86" w:rsidRDefault="00695B6A" w:rsidP="00695B6A">
      <w:pPr>
        <w:pStyle w:val="Definition"/>
      </w:pPr>
      <w:r w:rsidRPr="00097A86">
        <w:rPr>
          <w:b/>
          <w:i/>
        </w:rPr>
        <w:t>shale gas</w:t>
      </w:r>
      <w:r w:rsidRPr="00097A86">
        <w:t xml:space="preserve"> means a substance that:</w:t>
      </w:r>
    </w:p>
    <w:p w14:paraId="5CF9D11D" w14:textId="77777777" w:rsidR="00695B6A" w:rsidRPr="00097A86" w:rsidRDefault="00695B6A" w:rsidP="00695B6A">
      <w:pPr>
        <w:pStyle w:val="paragraph"/>
      </w:pPr>
      <w:r w:rsidRPr="00097A86">
        <w:tab/>
        <w:t>(a)</w:t>
      </w:r>
      <w:r w:rsidRPr="00097A86">
        <w:tab/>
        <w:t>consists of:</w:t>
      </w:r>
    </w:p>
    <w:p w14:paraId="76D82344" w14:textId="77777777" w:rsidR="00695B6A" w:rsidRPr="00097A86" w:rsidRDefault="00695B6A" w:rsidP="00695B6A">
      <w:pPr>
        <w:pStyle w:val="paragraphsub"/>
      </w:pPr>
      <w:r w:rsidRPr="00097A86">
        <w:tab/>
        <w:t>(i)</w:t>
      </w:r>
      <w:r w:rsidRPr="00097A86">
        <w:tab/>
        <w:t>naturally occurring hydrocarbons; or</w:t>
      </w:r>
    </w:p>
    <w:p w14:paraId="5CCDF0D2" w14:textId="77777777" w:rsidR="00695B6A" w:rsidRPr="00097A86" w:rsidRDefault="00695B6A" w:rsidP="00695B6A">
      <w:pPr>
        <w:pStyle w:val="paragraphsub"/>
      </w:pPr>
      <w:r w:rsidRPr="00097A86">
        <w:tab/>
        <w:t>(ii)</w:t>
      </w:r>
      <w:r w:rsidRPr="00097A86">
        <w:tab/>
        <w:t>a naturally occurring mixture of hydrocarbons and non</w:t>
      </w:r>
      <w:r w:rsidR="00097A86">
        <w:noBreakHyphen/>
      </w:r>
      <w:r w:rsidRPr="00097A86">
        <w:t>hydrocarbons; and</w:t>
      </w:r>
    </w:p>
    <w:p w14:paraId="639C91B6" w14:textId="77777777" w:rsidR="00695B6A" w:rsidRPr="00097A86" w:rsidRDefault="00695B6A" w:rsidP="00695B6A">
      <w:pPr>
        <w:pStyle w:val="paragraph"/>
      </w:pPr>
      <w:r w:rsidRPr="00097A86">
        <w:tab/>
        <w:t>(b)</w:t>
      </w:r>
      <w:r w:rsidRPr="00097A86">
        <w:tab/>
        <w:t>consists mainly of methane; and</w:t>
      </w:r>
    </w:p>
    <w:p w14:paraId="088EE2C4" w14:textId="77777777" w:rsidR="00695B6A" w:rsidRPr="00097A86" w:rsidRDefault="00695B6A" w:rsidP="00695B6A">
      <w:pPr>
        <w:pStyle w:val="paragraph"/>
      </w:pPr>
      <w:r w:rsidRPr="00097A86">
        <w:tab/>
        <w:t>(c)</w:t>
      </w:r>
      <w:r w:rsidRPr="00097A86">
        <w:tab/>
        <w:t>is drained from shale formations.</w:t>
      </w:r>
    </w:p>
    <w:p w14:paraId="6C9E1F0A" w14:textId="77777777" w:rsidR="002A2804" w:rsidRPr="00097A86" w:rsidRDefault="002A2804" w:rsidP="002A2804">
      <w:pPr>
        <w:pStyle w:val="Definition"/>
      </w:pPr>
      <w:r w:rsidRPr="00097A86">
        <w:rPr>
          <w:b/>
          <w:i/>
        </w:rPr>
        <w:t>shredder flock</w:t>
      </w:r>
      <w:r w:rsidRPr="00097A86">
        <w:t xml:space="preserve"> means the residual waste generated from the process of scrap metal processing that ends up in landfill.</w:t>
      </w:r>
    </w:p>
    <w:p w14:paraId="0919B86C" w14:textId="77777777" w:rsidR="00D80813" w:rsidRPr="00097A86" w:rsidRDefault="00D80813" w:rsidP="00D22D3F">
      <w:pPr>
        <w:pStyle w:val="Definition"/>
      </w:pPr>
      <w:r w:rsidRPr="00097A86">
        <w:rPr>
          <w:b/>
          <w:i/>
        </w:rPr>
        <w:t xml:space="preserve">sludge biogas </w:t>
      </w:r>
      <w:r w:rsidRPr="00097A86">
        <w:t>has the meaning given by the Regulations.</w:t>
      </w:r>
    </w:p>
    <w:p w14:paraId="3AC4CF64" w14:textId="77777777" w:rsidR="00695B6A" w:rsidRPr="00097A86" w:rsidRDefault="00695B6A" w:rsidP="00695B6A">
      <w:pPr>
        <w:pStyle w:val="Definition"/>
      </w:pPr>
      <w:r w:rsidRPr="00097A86">
        <w:rPr>
          <w:b/>
          <w:i/>
        </w:rPr>
        <w:t>sludge lagoon</w:t>
      </w:r>
      <w:r w:rsidRPr="00097A86">
        <w:t xml:space="preserve"> means a component of a wastewater treatment system that:</w:t>
      </w:r>
    </w:p>
    <w:p w14:paraId="2B550619" w14:textId="77777777" w:rsidR="00695B6A" w:rsidRPr="00097A86" w:rsidRDefault="00695B6A" w:rsidP="00695B6A">
      <w:pPr>
        <w:pStyle w:val="paragraph"/>
      </w:pPr>
      <w:r w:rsidRPr="00097A86">
        <w:tab/>
        <w:t>(a)</w:t>
      </w:r>
      <w:r w:rsidRPr="00097A86">
        <w:tab/>
        <w:t>is used to stabilise and dry excess or wasted sludge from the liquid or solid phase treatment train of a wastewater treatment plant; and</w:t>
      </w:r>
    </w:p>
    <w:p w14:paraId="77D7AD98" w14:textId="77777777" w:rsidR="00695B6A" w:rsidRPr="00097A86" w:rsidRDefault="00695B6A" w:rsidP="00695B6A">
      <w:pPr>
        <w:pStyle w:val="paragraph"/>
      </w:pPr>
      <w:r w:rsidRPr="00097A86">
        <w:tab/>
        <w:t>(b)</w:t>
      </w:r>
      <w:r w:rsidRPr="00097A86">
        <w:tab/>
        <w:t>involves biodegradation of COD in the form of sludge and the use of ambient climatic factors to reduce the moisture content of the sludge.</w:t>
      </w:r>
    </w:p>
    <w:p w14:paraId="282B891F" w14:textId="77777777" w:rsidR="00F20356" w:rsidRPr="00097A86" w:rsidRDefault="00F20356" w:rsidP="00D22D3F">
      <w:pPr>
        <w:pStyle w:val="Definition"/>
      </w:pPr>
      <w:r w:rsidRPr="00097A86">
        <w:rPr>
          <w:b/>
          <w:i/>
        </w:rPr>
        <w:t xml:space="preserve">solid fuel </w:t>
      </w:r>
      <w:r w:rsidRPr="00097A86">
        <w:t>means a fuel mentioned in column 2 of items</w:t>
      </w:r>
      <w:r w:rsidR="00097A86">
        <w:t> </w:t>
      </w:r>
      <w:r w:rsidRPr="00097A86">
        <w:t>1 to 16 of Schedule</w:t>
      </w:r>
      <w:r w:rsidR="00097A86">
        <w:t> </w:t>
      </w:r>
      <w:r w:rsidRPr="00097A86">
        <w:t>1 to the Regulations.</w:t>
      </w:r>
    </w:p>
    <w:p w14:paraId="29382921" w14:textId="77777777" w:rsidR="00F20356" w:rsidRPr="00097A86" w:rsidRDefault="00F20356" w:rsidP="00D22D3F">
      <w:pPr>
        <w:pStyle w:val="Definition"/>
      </w:pPr>
      <w:r w:rsidRPr="00097A86">
        <w:rPr>
          <w:b/>
          <w:i/>
        </w:rPr>
        <w:t xml:space="preserve">source </w:t>
      </w:r>
      <w:r w:rsidRPr="00097A86">
        <w:t>has the meaning given by section</w:t>
      </w:r>
      <w:r w:rsidR="00097A86">
        <w:t> </w:t>
      </w:r>
      <w:r w:rsidRPr="00097A86">
        <w:t>1.10.</w:t>
      </w:r>
    </w:p>
    <w:p w14:paraId="6A8E99AC" w14:textId="77777777" w:rsidR="002A2804" w:rsidRPr="00097A86" w:rsidRDefault="002A2804" w:rsidP="002A2804">
      <w:pPr>
        <w:pStyle w:val="Definition"/>
      </w:pPr>
      <w:r w:rsidRPr="00097A86">
        <w:rPr>
          <w:b/>
          <w:i/>
        </w:rPr>
        <w:t>specified taxable fuel</w:t>
      </w:r>
      <w:r w:rsidRPr="00097A86">
        <w:t xml:space="preserve"> has the meaning given by regulation</w:t>
      </w:r>
      <w:r w:rsidR="00097A86">
        <w:t> </w:t>
      </w:r>
      <w:r w:rsidRPr="00097A86">
        <w:t xml:space="preserve">3.30 of the </w:t>
      </w:r>
      <w:r w:rsidRPr="00097A86">
        <w:rPr>
          <w:i/>
        </w:rPr>
        <w:t>Clean Energy Regulations</w:t>
      </w:r>
      <w:r w:rsidR="00097A86">
        <w:rPr>
          <w:i/>
        </w:rPr>
        <w:t> </w:t>
      </w:r>
      <w:r w:rsidRPr="00097A86">
        <w:rPr>
          <w:i/>
        </w:rPr>
        <w:t>2011</w:t>
      </w:r>
      <w:r w:rsidRPr="00097A86">
        <w:t>.</w:t>
      </w:r>
    </w:p>
    <w:p w14:paraId="7BAA4EA5" w14:textId="77777777" w:rsidR="003F0D4E" w:rsidRPr="00097A86" w:rsidRDefault="003F0D4E" w:rsidP="00D22D3F">
      <w:pPr>
        <w:pStyle w:val="Definition"/>
      </w:pPr>
      <w:r w:rsidRPr="00097A86">
        <w:rPr>
          <w:b/>
          <w:i/>
        </w:rPr>
        <w:t xml:space="preserve">standard </w:t>
      </w:r>
      <w:r w:rsidRPr="00097A86">
        <w:t>includes a protocol, technical specification or USEPA method.</w:t>
      </w:r>
    </w:p>
    <w:p w14:paraId="4F98171D" w14:textId="77777777" w:rsidR="003F0D4E" w:rsidRPr="00097A86" w:rsidRDefault="003F0D4E" w:rsidP="00D22D3F">
      <w:pPr>
        <w:pStyle w:val="Definition"/>
      </w:pPr>
      <w:r w:rsidRPr="00097A86">
        <w:rPr>
          <w:b/>
          <w:i/>
        </w:rPr>
        <w:t xml:space="preserve">standard conditions </w:t>
      </w:r>
      <w:r w:rsidRPr="00097A86">
        <w:t>has the meaning given by subsection</w:t>
      </w:r>
      <w:r w:rsidR="00097A86">
        <w:t> </w:t>
      </w:r>
      <w:r w:rsidRPr="00097A86">
        <w:t>2.32</w:t>
      </w:r>
      <w:r w:rsidR="00045A83" w:rsidRPr="00097A86">
        <w:t>(</w:t>
      </w:r>
      <w:r w:rsidRPr="00097A86">
        <w:t>7).</w:t>
      </w:r>
    </w:p>
    <w:p w14:paraId="18BB8117" w14:textId="77777777" w:rsidR="003F0D4E" w:rsidRPr="00097A86" w:rsidRDefault="003F0D4E" w:rsidP="00D22D3F">
      <w:pPr>
        <w:pStyle w:val="Definition"/>
      </w:pPr>
      <w:r w:rsidRPr="00097A86">
        <w:rPr>
          <w:b/>
          <w:i/>
        </w:rPr>
        <w:t xml:space="preserve">sulphite lyes </w:t>
      </w:r>
      <w:r w:rsidRPr="00097A86">
        <w:t>has the meaning given by the Regulations.</w:t>
      </w:r>
    </w:p>
    <w:p w14:paraId="6C5402C1" w14:textId="77777777" w:rsidR="00FF0520" w:rsidRPr="00097A86" w:rsidRDefault="00FF0520" w:rsidP="00FF0520">
      <w:pPr>
        <w:pStyle w:val="Definition"/>
      </w:pPr>
      <w:r w:rsidRPr="00097A86">
        <w:rPr>
          <w:b/>
          <w:i/>
        </w:rPr>
        <w:t>supply</w:t>
      </w:r>
      <w:r w:rsidRPr="00097A86">
        <w:t xml:space="preserve"> means supply by way of sale, exchange or gift.</w:t>
      </w:r>
    </w:p>
    <w:p w14:paraId="6DFA972D" w14:textId="77777777" w:rsidR="003F0D4E" w:rsidRPr="00097A86" w:rsidRDefault="003F0D4E" w:rsidP="00D22D3F">
      <w:pPr>
        <w:pStyle w:val="Definition"/>
      </w:pPr>
      <w:r w:rsidRPr="00097A86">
        <w:rPr>
          <w:b/>
          <w:i/>
        </w:rPr>
        <w:t xml:space="preserve">synthetic gas generating activities </w:t>
      </w:r>
      <w:r w:rsidRPr="00097A86">
        <w:t>has the meaning given by subsections</w:t>
      </w:r>
      <w:r w:rsidR="00097A86">
        <w:t> </w:t>
      </w:r>
      <w:r w:rsidRPr="00097A86">
        <w:t>4.100</w:t>
      </w:r>
      <w:r w:rsidR="00045A83" w:rsidRPr="00097A86">
        <w:t>(</w:t>
      </w:r>
      <w:r w:rsidRPr="00097A86">
        <w:t>1) and (2).</w:t>
      </w:r>
    </w:p>
    <w:p w14:paraId="41869D4C" w14:textId="77777777" w:rsidR="00F20356" w:rsidRPr="00097A86" w:rsidRDefault="00F20356" w:rsidP="00D22D3F">
      <w:pPr>
        <w:pStyle w:val="Definition"/>
      </w:pPr>
      <w:r w:rsidRPr="00097A86">
        <w:rPr>
          <w:b/>
          <w:i/>
        </w:rPr>
        <w:t xml:space="preserve">technical guidelines </w:t>
      </w:r>
      <w:r w:rsidRPr="00097A86">
        <w:t xml:space="preserve">means the document published by the Department and known as the </w:t>
      </w:r>
      <w:r w:rsidRPr="00097A86">
        <w:rPr>
          <w:i/>
        </w:rPr>
        <w:t>National Greenhouse Energy and Reporting (Measurement) Technical Guidelines</w:t>
      </w:r>
      <w:r w:rsidR="00097A86">
        <w:rPr>
          <w:i/>
        </w:rPr>
        <w:t> </w:t>
      </w:r>
      <w:r w:rsidRPr="00097A86">
        <w:rPr>
          <w:i/>
        </w:rPr>
        <w:t>2009</w:t>
      </w:r>
      <w:r w:rsidRPr="00097A86">
        <w:t>.</w:t>
      </w:r>
    </w:p>
    <w:p w14:paraId="644D4180" w14:textId="77777777" w:rsidR="00695B6A" w:rsidRPr="00097A86" w:rsidRDefault="00695B6A" w:rsidP="00695B6A">
      <w:pPr>
        <w:pStyle w:val="Definition"/>
      </w:pPr>
      <w:r w:rsidRPr="00097A86">
        <w:rPr>
          <w:b/>
          <w:i/>
        </w:rPr>
        <w:t>tight gas</w:t>
      </w:r>
      <w:r w:rsidRPr="00097A86">
        <w:t xml:space="preserve"> means a substance that:</w:t>
      </w:r>
    </w:p>
    <w:p w14:paraId="02D6C3FD" w14:textId="77777777" w:rsidR="00695B6A" w:rsidRPr="00097A86" w:rsidRDefault="00695B6A" w:rsidP="00695B6A">
      <w:pPr>
        <w:pStyle w:val="paragraph"/>
      </w:pPr>
      <w:r w:rsidRPr="00097A86">
        <w:tab/>
        <w:t>(a)</w:t>
      </w:r>
      <w:r w:rsidRPr="00097A86">
        <w:tab/>
        <w:t>consists of:</w:t>
      </w:r>
    </w:p>
    <w:p w14:paraId="04297763" w14:textId="77777777" w:rsidR="00695B6A" w:rsidRPr="00097A86" w:rsidRDefault="00695B6A" w:rsidP="00695B6A">
      <w:pPr>
        <w:pStyle w:val="paragraphsub"/>
      </w:pPr>
      <w:r w:rsidRPr="00097A86">
        <w:tab/>
        <w:t>(i)</w:t>
      </w:r>
      <w:r w:rsidRPr="00097A86">
        <w:tab/>
        <w:t>naturally occurring hydrocarbons; or</w:t>
      </w:r>
    </w:p>
    <w:p w14:paraId="45D5C677" w14:textId="77777777" w:rsidR="00695B6A" w:rsidRPr="00097A86" w:rsidRDefault="00695B6A" w:rsidP="00695B6A">
      <w:pPr>
        <w:pStyle w:val="paragraphsub"/>
      </w:pPr>
      <w:r w:rsidRPr="00097A86">
        <w:lastRenderedPageBreak/>
        <w:tab/>
        <w:t>(ii)</w:t>
      </w:r>
      <w:r w:rsidRPr="00097A86">
        <w:tab/>
        <w:t>a naturally occurring mixture of hydrocarbons and non</w:t>
      </w:r>
      <w:r w:rsidR="00097A86">
        <w:noBreakHyphen/>
      </w:r>
      <w:r w:rsidRPr="00097A86">
        <w:t>hydrocarbons; and</w:t>
      </w:r>
    </w:p>
    <w:p w14:paraId="352BA83A" w14:textId="77777777" w:rsidR="00695B6A" w:rsidRPr="00097A86" w:rsidRDefault="00695B6A" w:rsidP="00695B6A">
      <w:pPr>
        <w:pStyle w:val="paragraph"/>
      </w:pPr>
      <w:r w:rsidRPr="00097A86">
        <w:tab/>
        <w:t>(b)</w:t>
      </w:r>
      <w:r w:rsidRPr="00097A86">
        <w:tab/>
        <w:t>consists mainly of methane; and</w:t>
      </w:r>
    </w:p>
    <w:p w14:paraId="66E17DED" w14:textId="77777777" w:rsidR="00695B6A" w:rsidRPr="00097A86" w:rsidRDefault="00695B6A" w:rsidP="00695B6A">
      <w:pPr>
        <w:pStyle w:val="paragraph"/>
      </w:pPr>
      <w:r w:rsidRPr="00097A86">
        <w:tab/>
        <w:t>(c)</w:t>
      </w:r>
      <w:r w:rsidRPr="00097A86">
        <w:tab/>
        <w:t>is drained from low permeability sandstone and limestone reservoirs.</w:t>
      </w:r>
    </w:p>
    <w:p w14:paraId="73A8EA86" w14:textId="77777777" w:rsidR="00F20356" w:rsidRPr="00097A86" w:rsidRDefault="00F20356" w:rsidP="00D22D3F">
      <w:pPr>
        <w:pStyle w:val="Definition"/>
      </w:pPr>
      <w:r w:rsidRPr="00097A86">
        <w:rPr>
          <w:b/>
          <w:i/>
        </w:rPr>
        <w:t xml:space="preserve">uncertainty protocol </w:t>
      </w:r>
      <w:r w:rsidRPr="00097A86">
        <w:t xml:space="preserve">means the publication known as the </w:t>
      </w:r>
      <w:r w:rsidRPr="00097A86">
        <w:rPr>
          <w:i/>
        </w:rPr>
        <w:t xml:space="preserve">GHG protocol guidance on uncertainty assessment in GHG inventories and calculating statistical parameter uncertainty </w:t>
      </w:r>
      <w:r w:rsidRPr="00097A86">
        <w:t>(September 2003) v1.0 issued by the World Resources Institute and the World Business Council for Sustainable Development.</w:t>
      </w:r>
    </w:p>
    <w:p w14:paraId="323A196E" w14:textId="77777777" w:rsidR="003F0D4E" w:rsidRPr="00097A86" w:rsidRDefault="003F0D4E" w:rsidP="00D22D3F">
      <w:pPr>
        <w:pStyle w:val="Definition"/>
      </w:pPr>
      <w:r w:rsidRPr="00097A86">
        <w:rPr>
          <w:b/>
          <w:i/>
        </w:rPr>
        <w:t xml:space="preserve">underground mine </w:t>
      </w:r>
      <w:r w:rsidRPr="00097A86">
        <w:t>means a coal mine that allows extraction of coal by mining at depth, after entry by shaft, adit or drift, without the removal of overburden.</w:t>
      </w:r>
    </w:p>
    <w:p w14:paraId="79EE6973" w14:textId="77777777" w:rsidR="003F0D4E" w:rsidRPr="00097A86" w:rsidRDefault="003F0D4E" w:rsidP="00D22D3F">
      <w:pPr>
        <w:pStyle w:val="Definition"/>
      </w:pPr>
      <w:r w:rsidRPr="00097A86">
        <w:rPr>
          <w:b/>
          <w:i/>
        </w:rPr>
        <w:t xml:space="preserve">USEPA </w:t>
      </w:r>
      <w:r w:rsidRPr="00097A86">
        <w:t>followed by a reference to a method (for example, Method 3C) means a standard of that description issued by the United States Environmental Protection Agency.</w:t>
      </w:r>
    </w:p>
    <w:p w14:paraId="4A504E79" w14:textId="77777777" w:rsidR="003F0D4E" w:rsidRPr="00097A86" w:rsidRDefault="003F0D4E" w:rsidP="00D22D3F">
      <w:pPr>
        <w:pStyle w:val="Definition"/>
      </w:pPr>
      <w:r w:rsidRPr="00097A86">
        <w:rPr>
          <w:b/>
          <w:i/>
        </w:rPr>
        <w:t xml:space="preserve">waxes </w:t>
      </w:r>
      <w:r w:rsidRPr="00097A86">
        <w:t>has the meaning given by the Regulations.</w:t>
      </w:r>
    </w:p>
    <w:p w14:paraId="05DF4ECE" w14:textId="77777777" w:rsidR="002A2804" w:rsidRPr="00097A86" w:rsidRDefault="002A2804" w:rsidP="002A2804">
      <w:pPr>
        <w:pStyle w:val="Definition"/>
      </w:pPr>
      <w:r w:rsidRPr="00097A86">
        <w:rPr>
          <w:b/>
          <w:i/>
        </w:rPr>
        <w:t>well completion</w:t>
      </w:r>
      <w:r w:rsidRPr="00097A86">
        <w:t xml:space="preserve"> means the period that:</w:t>
      </w:r>
    </w:p>
    <w:p w14:paraId="62DED5F4" w14:textId="77777777" w:rsidR="002A2804" w:rsidRPr="00097A86" w:rsidRDefault="002A2804" w:rsidP="002A2804">
      <w:pPr>
        <w:pStyle w:val="paragraph"/>
      </w:pPr>
      <w:r w:rsidRPr="00097A86">
        <w:tab/>
        <w:t>(a)</w:t>
      </w:r>
      <w:r w:rsidRPr="00097A86">
        <w:tab/>
        <w:t>begins on the initial gas flow in the well; and</w:t>
      </w:r>
    </w:p>
    <w:p w14:paraId="19C2D66C" w14:textId="77777777" w:rsidR="002A2804" w:rsidRPr="00097A86" w:rsidRDefault="002A2804" w:rsidP="002A2804">
      <w:pPr>
        <w:pStyle w:val="paragraph"/>
      </w:pPr>
      <w:r w:rsidRPr="00097A86">
        <w:tab/>
        <w:t>(b)</w:t>
      </w:r>
      <w:r w:rsidRPr="00097A86">
        <w:tab/>
        <w:t>ends on whichever of the following occurs first:</w:t>
      </w:r>
    </w:p>
    <w:p w14:paraId="62A8AC79" w14:textId="77777777" w:rsidR="002A2804" w:rsidRPr="00097A86" w:rsidRDefault="002A2804" w:rsidP="002A2804">
      <w:pPr>
        <w:pStyle w:val="paragraphsub"/>
      </w:pPr>
      <w:r w:rsidRPr="00097A86">
        <w:tab/>
        <w:t>(i)</w:t>
      </w:r>
      <w:r w:rsidRPr="00097A86">
        <w:tab/>
        <w:t>well shut in; or</w:t>
      </w:r>
    </w:p>
    <w:p w14:paraId="7BED837B" w14:textId="77777777" w:rsidR="002A2804" w:rsidRPr="00097A86" w:rsidRDefault="002A2804" w:rsidP="002A2804">
      <w:pPr>
        <w:pStyle w:val="paragraphsub"/>
      </w:pPr>
      <w:r w:rsidRPr="00097A86">
        <w:tab/>
        <w:t>(ii)</w:t>
      </w:r>
      <w:r w:rsidRPr="00097A86">
        <w:tab/>
        <w:t>continuous gas flow from the well to a flow line or a storage vessel for collection.</w:t>
      </w:r>
    </w:p>
    <w:p w14:paraId="61DA0A9B" w14:textId="77777777" w:rsidR="002A2804" w:rsidRPr="00097A86" w:rsidRDefault="002A2804" w:rsidP="002A2804">
      <w:pPr>
        <w:pStyle w:val="Definition"/>
      </w:pPr>
      <w:r w:rsidRPr="00097A86">
        <w:rPr>
          <w:b/>
          <w:i/>
        </w:rPr>
        <w:t>well workover</w:t>
      </w:r>
      <w:r w:rsidRPr="00097A86">
        <w:t xml:space="preserve"> means the period that:</w:t>
      </w:r>
    </w:p>
    <w:p w14:paraId="04D5BF25" w14:textId="77777777" w:rsidR="002A2804" w:rsidRPr="00097A86" w:rsidRDefault="002A2804" w:rsidP="002A2804">
      <w:pPr>
        <w:pStyle w:val="paragraph"/>
      </w:pPr>
      <w:r w:rsidRPr="00097A86">
        <w:tab/>
        <w:t>(a)</w:t>
      </w:r>
      <w:r w:rsidRPr="00097A86">
        <w:tab/>
        <w:t>begins on the initial gas flow in the well that follows remedial operations to increase the well’s production; and</w:t>
      </w:r>
    </w:p>
    <w:p w14:paraId="171291F6" w14:textId="77777777" w:rsidR="002A2804" w:rsidRPr="00097A86" w:rsidRDefault="002A2804" w:rsidP="002A2804">
      <w:pPr>
        <w:pStyle w:val="paragraph"/>
      </w:pPr>
      <w:r w:rsidRPr="00097A86">
        <w:tab/>
        <w:t>(b)</w:t>
      </w:r>
      <w:r w:rsidRPr="00097A86">
        <w:tab/>
        <w:t>ends on whichever of the following occurs first:</w:t>
      </w:r>
    </w:p>
    <w:p w14:paraId="3E764197" w14:textId="77777777" w:rsidR="002A2804" w:rsidRPr="00097A86" w:rsidRDefault="002A2804" w:rsidP="002A2804">
      <w:pPr>
        <w:pStyle w:val="paragraphsub"/>
      </w:pPr>
      <w:r w:rsidRPr="00097A86">
        <w:tab/>
        <w:t>(i)</w:t>
      </w:r>
      <w:r w:rsidRPr="00097A86">
        <w:tab/>
        <w:t>well shut in; or</w:t>
      </w:r>
    </w:p>
    <w:p w14:paraId="59BF12AC" w14:textId="77777777" w:rsidR="002A2804" w:rsidRPr="00097A86" w:rsidRDefault="002A2804" w:rsidP="002A2804">
      <w:pPr>
        <w:pStyle w:val="paragraphsub"/>
      </w:pPr>
      <w:r w:rsidRPr="00097A86">
        <w:tab/>
        <w:t>(ii)</w:t>
      </w:r>
      <w:r w:rsidRPr="00097A86">
        <w:tab/>
        <w:t>continuous gas flow from the well to a flow line or a storage vessel for collection.</w:t>
      </w:r>
    </w:p>
    <w:p w14:paraId="123C4201" w14:textId="77777777" w:rsidR="003F0D4E" w:rsidRPr="00097A86" w:rsidRDefault="003F0D4E" w:rsidP="00D22D3F">
      <w:pPr>
        <w:pStyle w:val="Definition"/>
      </w:pPr>
      <w:r w:rsidRPr="00097A86">
        <w:rPr>
          <w:b/>
          <w:i/>
        </w:rPr>
        <w:t xml:space="preserve">year </w:t>
      </w:r>
      <w:r w:rsidRPr="00097A86">
        <w:t>means a financial year.</w:t>
      </w:r>
    </w:p>
    <w:p w14:paraId="2CBCDAF5" w14:textId="77777777" w:rsidR="00D80813" w:rsidRPr="00097A86" w:rsidRDefault="00D22D3F" w:rsidP="00D22D3F">
      <w:pPr>
        <w:pStyle w:val="notetext"/>
      </w:pPr>
      <w:r w:rsidRPr="00097A86">
        <w:t>Note:</w:t>
      </w:r>
      <w:r w:rsidRPr="00097A86">
        <w:tab/>
      </w:r>
      <w:r w:rsidR="00D80813" w:rsidRPr="00097A86">
        <w:t>The following expressions in this Determination are defined in the Act:</w:t>
      </w:r>
    </w:p>
    <w:p w14:paraId="6428C47D" w14:textId="77777777" w:rsidR="00D80813" w:rsidRPr="00097A86" w:rsidRDefault="00D80813" w:rsidP="00D22D3F">
      <w:pPr>
        <w:pStyle w:val="notepara"/>
      </w:pPr>
      <w:r w:rsidRPr="00097A86">
        <w:sym w:font="Symbol" w:char="F0B7"/>
      </w:r>
      <w:r w:rsidRPr="00097A86">
        <w:tab/>
        <w:t>carbon dioxide equivalence</w:t>
      </w:r>
    </w:p>
    <w:p w14:paraId="0B06E74D" w14:textId="77777777" w:rsidR="00D80813" w:rsidRPr="00097A86" w:rsidRDefault="00D80813" w:rsidP="00D22D3F">
      <w:pPr>
        <w:pStyle w:val="notepara"/>
      </w:pPr>
      <w:r w:rsidRPr="00097A86">
        <w:sym w:font="Symbol" w:char="F0B7"/>
      </w:r>
      <w:r w:rsidRPr="00097A86">
        <w:tab/>
        <w:t>consumption of energy (see also regulation</w:t>
      </w:r>
      <w:r w:rsidR="00097A86">
        <w:t> </w:t>
      </w:r>
      <w:r w:rsidRPr="00097A86">
        <w:t>2.26 of the Regulations)</w:t>
      </w:r>
    </w:p>
    <w:p w14:paraId="22E41A10" w14:textId="77777777" w:rsidR="00D80813" w:rsidRPr="00097A86" w:rsidRDefault="00D80813" w:rsidP="00D22D3F">
      <w:pPr>
        <w:pStyle w:val="notepara"/>
      </w:pPr>
      <w:r w:rsidRPr="00097A86">
        <w:sym w:font="Symbol" w:char="F0B7"/>
      </w:r>
      <w:r w:rsidRPr="00097A86">
        <w:tab/>
        <w:t>energy</w:t>
      </w:r>
    </w:p>
    <w:p w14:paraId="23C8AE48" w14:textId="77777777" w:rsidR="00D80813" w:rsidRPr="00097A86" w:rsidRDefault="00D80813" w:rsidP="00D22D3F">
      <w:pPr>
        <w:pStyle w:val="notepara"/>
      </w:pPr>
      <w:r w:rsidRPr="00097A86">
        <w:sym w:font="Symbol" w:char="F0B7"/>
      </w:r>
      <w:r w:rsidRPr="00097A86">
        <w:tab/>
        <w:t>facility</w:t>
      </w:r>
    </w:p>
    <w:p w14:paraId="64D2CB28" w14:textId="77777777" w:rsidR="00D80813" w:rsidRPr="00097A86" w:rsidRDefault="00D80813" w:rsidP="00D22D3F">
      <w:pPr>
        <w:pStyle w:val="notepara"/>
      </w:pPr>
      <w:r w:rsidRPr="00097A86">
        <w:sym w:font="Symbol" w:char="F0B7"/>
      </w:r>
      <w:r w:rsidRPr="00097A86">
        <w:tab/>
        <w:t>greenhouse gas</w:t>
      </w:r>
    </w:p>
    <w:p w14:paraId="05C8B6EB" w14:textId="77777777" w:rsidR="00D80813" w:rsidRPr="00097A86" w:rsidRDefault="00D80813" w:rsidP="00D22D3F">
      <w:pPr>
        <w:pStyle w:val="notepara"/>
      </w:pPr>
      <w:r w:rsidRPr="00097A86">
        <w:sym w:font="Symbol" w:char="F0B7"/>
      </w:r>
      <w:r w:rsidRPr="00097A86">
        <w:tab/>
        <w:t>group</w:t>
      </w:r>
    </w:p>
    <w:p w14:paraId="001E12BE" w14:textId="77777777" w:rsidR="00D80813" w:rsidRPr="00097A86" w:rsidRDefault="00D80813" w:rsidP="00D22D3F">
      <w:pPr>
        <w:pStyle w:val="notepara"/>
      </w:pPr>
      <w:r w:rsidRPr="00097A86">
        <w:sym w:font="Symbol" w:char="F0B7"/>
      </w:r>
      <w:r w:rsidRPr="00097A86">
        <w:tab/>
        <w:t>industry sector</w:t>
      </w:r>
    </w:p>
    <w:p w14:paraId="1CC1AD6F" w14:textId="77777777" w:rsidR="00D80813" w:rsidRPr="00097A86" w:rsidRDefault="00D80813" w:rsidP="00D22D3F">
      <w:pPr>
        <w:pStyle w:val="notepara"/>
      </w:pPr>
      <w:r w:rsidRPr="00097A86">
        <w:sym w:font="Symbol" w:char="F0B7"/>
      </w:r>
      <w:r w:rsidRPr="00097A86">
        <w:tab/>
        <w:t>operational control</w:t>
      </w:r>
    </w:p>
    <w:p w14:paraId="4D274DD2" w14:textId="77777777" w:rsidR="00D80813" w:rsidRPr="00097A86" w:rsidRDefault="00D80813" w:rsidP="00D22D3F">
      <w:pPr>
        <w:pStyle w:val="notepara"/>
      </w:pPr>
      <w:r w:rsidRPr="00097A86">
        <w:sym w:font="Symbol" w:char="F0B7"/>
      </w:r>
      <w:r w:rsidRPr="00097A86">
        <w:tab/>
        <w:t>potential greenhouse gas emissions</w:t>
      </w:r>
    </w:p>
    <w:p w14:paraId="77E158FD" w14:textId="77777777" w:rsidR="00D80813" w:rsidRPr="00097A86" w:rsidRDefault="00D80813" w:rsidP="00D22D3F">
      <w:pPr>
        <w:pStyle w:val="notepara"/>
      </w:pPr>
      <w:r w:rsidRPr="00097A86">
        <w:sym w:font="Symbol" w:char="F0B7"/>
      </w:r>
      <w:r w:rsidRPr="00097A86">
        <w:tab/>
        <w:t>production of energy (see also regulation</w:t>
      </w:r>
      <w:r w:rsidR="00097A86">
        <w:t> </w:t>
      </w:r>
      <w:r w:rsidRPr="00097A86">
        <w:t>2.25 of the Regulations)</w:t>
      </w:r>
    </w:p>
    <w:p w14:paraId="1B1FCABD" w14:textId="77777777" w:rsidR="00D80813" w:rsidRPr="00097A86" w:rsidRDefault="00D80813" w:rsidP="00D22D3F">
      <w:pPr>
        <w:pStyle w:val="notepara"/>
      </w:pPr>
      <w:r w:rsidRPr="00097A86">
        <w:sym w:font="Symbol" w:char="F0B7"/>
      </w:r>
      <w:r w:rsidRPr="00097A86">
        <w:tab/>
        <w:t>registered corporation</w:t>
      </w:r>
    </w:p>
    <w:p w14:paraId="2DB16CA2" w14:textId="77777777" w:rsidR="00D80813" w:rsidRPr="00097A86" w:rsidRDefault="00D80813" w:rsidP="00D22D3F">
      <w:pPr>
        <w:pStyle w:val="notepara"/>
      </w:pPr>
      <w:r w:rsidRPr="00097A86">
        <w:sym w:font="Symbol" w:char="F0B7"/>
      </w:r>
      <w:r w:rsidRPr="00097A86">
        <w:tab/>
        <w:t>scope 1 emission (see also regulation</w:t>
      </w:r>
      <w:r w:rsidR="00097A86">
        <w:t> </w:t>
      </w:r>
      <w:r w:rsidRPr="00097A86">
        <w:t>2.23 of the Regulations)</w:t>
      </w:r>
    </w:p>
    <w:p w14:paraId="0AA150A1" w14:textId="77777777" w:rsidR="00D80813" w:rsidRPr="00097A86" w:rsidRDefault="00D80813" w:rsidP="00D22D3F">
      <w:pPr>
        <w:pStyle w:val="notepara"/>
      </w:pPr>
      <w:r w:rsidRPr="00097A86">
        <w:sym w:font="Symbol" w:char="F0B7"/>
      </w:r>
      <w:r w:rsidRPr="00097A86">
        <w:tab/>
        <w:t>scope 2 emission (see also regulation</w:t>
      </w:r>
      <w:r w:rsidR="00097A86">
        <w:t> </w:t>
      </w:r>
      <w:r w:rsidRPr="00097A86">
        <w:t>2.24 of the Regulations).</w:t>
      </w:r>
    </w:p>
    <w:p w14:paraId="699EF8CB" w14:textId="77777777" w:rsidR="003F0D4E" w:rsidRPr="00097A86" w:rsidRDefault="003F0D4E" w:rsidP="00D22D3F">
      <w:pPr>
        <w:pStyle w:val="ActHead5"/>
      </w:pPr>
      <w:bookmarkStart w:id="12" w:name="_Toc13233475"/>
      <w:r w:rsidRPr="00097A86">
        <w:rPr>
          <w:rStyle w:val="CharSectno"/>
        </w:rPr>
        <w:lastRenderedPageBreak/>
        <w:t>1.9</w:t>
      </w:r>
      <w:r w:rsidR="00D22D3F" w:rsidRPr="00097A86">
        <w:t xml:space="preserve">  </w:t>
      </w:r>
      <w:r w:rsidRPr="00097A86">
        <w:t>Interpretation</w:t>
      </w:r>
      <w:bookmarkEnd w:id="12"/>
    </w:p>
    <w:p w14:paraId="12BB6874" w14:textId="77777777" w:rsidR="003F0D4E" w:rsidRPr="00097A86" w:rsidRDefault="003F0D4E" w:rsidP="00D22D3F">
      <w:pPr>
        <w:pStyle w:val="subsection"/>
      </w:pPr>
      <w:r w:rsidRPr="00097A86">
        <w:tab/>
        <w:t>(1)</w:t>
      </w:r>
      <w:r w:rsidRPr="00097A86">
        <w:tab/>
        <w:t xml:space="preserve">In this Determination, a reference to </w:t>
      </w:r>
      <w:r w:rsidRPr="00097A86">
        <w:rPr>
          <w:b/>
          <w:i/>
        </w:rPr>
        <w:t>emissions</w:t>
      </w:r>
      <w:r w:rsidRPr="00097A86">
        <w:t xml:space="preserve"> is a reference to emissions of greenhouse gases.</w:t>
      </w:r>
    </w:p>
    <w:p w14:paraId="3AA2E26A" w14:textId="77777777" w:rsidR="003F0D4E" w:rsidRPr="00097A86" w:rsidRDefault="003F0D4E" w:rsidP="00D22D3F">
      <w:pPr>
        <w:pStyle w:val="subsection"/>
      </w:pPr>
      <w:r w:rsidRPr="00097A86">
        <w:tab/>
        <w:t>(2)</w:t>
      </w:r>
      <w:r w:rsidRPr="00097A86">
        <w:tab/>
        <w:t xml:space="preserve">In this Determination, a reference to a </w:t>
      </w:r>
      <w:r w:rsidRPr="00097A86">
        <w:rPr>
          <w:b/>
          <w:i/>
        </w:rPr>
        <w:t>gas type (j)</w:t>
      </w:r>
      <w:r w:rsidRPr="00097A86">
        <w:t xml:space="preserve"> is a reference to a greenhouse gas.</w:t>
      </w:r>
    </w:p>
    <w:p w14:paraId="15D4BFCC" w14:textId="77777777" w:rsidR="003F0D4E" w:rsidRPr="00097A86" w:rsidRDefault="003F0D4E" w:rsidP="00D22D3F">
      <w:pPr>
        <w:pStyle w:val="subsection"/>
      </w:pPr>
      <w:r w:rsidRPr="00097A86">
        <w:tab/>
        <w:t>(3)</w:t>
      </w:r>
      <w:r w:rsidRPr="00097A86">
        <w:tab/>
        <w:t xml:space="preserve">In this Determination, a reference to a facility that is </w:t>
      </w:r>
      <w:r w:rsidRPr="00097A86">
        <w:rPr>
          <w:b/>
          <w:i/>
        </w:rPr>
        <w:t xml:space="preserve">constituted </w:t>
      </w:r>
      <w:r w:rsidRPr="00097A86">
        <w:t>by an activity is a reference to the facility being constituted in whole or in part by the activity.</w:t>
      </w:r>
    </w:p>
    <w:p w14:paraId="1DCEACEF" w14:textId="77777777" w:rsidR="003F0D4E" w:rsidRPr="00097A86" w:rsidRDefault="00D22D3F" w:rsidP="00D22D3F">
      <w:pPr>
        <w:pStyle w:val="notetext"/>
      </w:pPr>
      <w:r w:rsidRPr="00097A86">
        <w:t>Note:</w:t>
      </w:r>
      <w:r w:rsidRPr="00097A86">
        <w:tab/>
      </w:r>
      <w:r w:rsidR="003F0D4E" w:rsidRPr="00097A86">
        <w:t>Section</w:t>
      </w:r>
      <w:r w:rsidR="00097A86">
        <w:t> </w:t>
      </w:r>
      <w:r w:rsidR="003F0D4E" w:rsidRPr="00097A86">
        <w:t>9 of the Act defines a facility as an activity or series of activities.</w:t>
      </w:r>
    </w:p>
    <w:p w14:paraId="1CCD0CAA" w14:textId="77777777" w:rsidR="003F0D4E" w:rsidRPr="00097A86" w:rsidRDefault="003F0D4E" w:rsidP="00D22D3F">
      <w:pPr>
        <w:pStyle w:val="subsection"/>
      </w:pPr>
      <w:r w:rsidRPr="00097A86">
        <w:tab/>
        <w:t>(4)</w:t>
      </w:r>
      <w:r w:rsidRPr="00097A86">
        <w:tab/>
        <w:t>In this Determination, a reference to a standard, instrument or other writing (other than a Commonwealth Act or Regulations) however described, is a reference to that standard, instrument or other writing as in force on 1</w:t>
      </w:r>
      <w:r w:rsidR="00097A86">
        <w:t> </w:t>
      </w:r>
      <w:r w:rsidRPr="00097A86">
        <w:t>July</w:t>
      </w:r>
      <w:r w:rsidR="00335DD6" w:rsidRPr="00097A86">
        <w:t xml:space="preserve"> </w:t>
      </w:r>
      <w:r w:rsidR="0093083A" w:rsidRPr="00097A86">
        <w:t>2014</w:t>
      </w:r>
      <w:r w:rsidR="00D80813" w:rsidRPr="00097A86">
        <w:t>.</w:t>
      </w:r>
    </w:p>
    <w:p w14:paraId="016BA64F" w14:textId="77777777" w:rsidR="002A2804" w:rsidRPr="00097A86" w:rsidRDefault="002A2804" w:rsidP="002A2804">
      <w:pPr>
        <w:pStyle w:val="ActHead5"/>
        <w:rPr>
          <w:i/>
        </w:rPr>
      </w:pPr>
      <w:bookmarkStart w:id="13" w:name="_Toc13233476"/>
      <w:r w:rsidRPr="00097A86">
        <w:rPr>
          <w:rStyle w:val="CharSectno"/>
        </w:rPr>
        <w:t>1.9A</w:t>
      </w:r>
      <w:r w:rsidRPr="00097A86">
        <w:t xml:space="preserve">  Meaning of </w:t>
      </w:r>
      <w:r w:rsidRPr="00097A86">
        <w:rPr>
          <w:i/>
        </w:rPr>
        <w:t>separate instance of a source</w:t>
      </w:r>
      <w:bookmarkEnd w:id="13"/>
    </w:p>
    <w:p w14:paraId="19D7E24B" w14:textId="77777777" w:rsidR="002A2804" w:rsidRPr="00097A86" w:rsidRDefault="002A2804" w:rsidP="002A2804">
      <w:pPr>
        <w:pStyle w:val="subsection"/>
      </w:pPr>
      <w:r w:rsidRPr="00097A86">
        <w:tab/>
      </w:r>
      <w:r w:rsidRPr="00097A86">
        <w:tab/>
        <w:t>If 2 or more different activities of a facility have the same source of emissions, each activity is taken to be a separate instance of the source if the activity is performed by a class of equipment different from that used by another activity.</w:t>
      </w:r>
    </w:p>
    <w:p w14:paraId="0A111691" w14:textId="77777777" w:rsidR="002A2804" w:rsidRPr="00097A86" w:rsidRDefault="002A2804" w:rsidP="002A2804">
      <w:pPr>
        <w:pStyle w:val="notetext"/>
      </w:pPr>
      <w:r w:rsidRPr="00097A86">
        <w:t>Example:</w:t>
      </w:r>
      <w:r w:rsidRPr="00097A86">
        <w:tab/>
        <w:t>The combustion of liquefied petroleum gas in the engines of distribution vehicles of the facility operator and the combustion of liquid petroleum fuel in lawn mowers at the facility, although the activities have the same source of emissions, are taken to be a separate instance of the source as the activities are different and the class of equipment used to perform the activities are different.</w:t>
      </w:r>
    </w:p>
    <w:p w14:paraId="4C9B63F2" w14:textId="77777777" w:rsidR="002A2804" w:rsidRPr="00097A86" w:rsidRDefault="002A2804" w:rsidP="002A2804">
      <w:pPr>
        <w:pStyle w:val="ActHead5"/>
        <w:rPr>
          <w:b w:val="0"/>
        </w:rPr>
      </w:pPr>
      <w:bookmarkStart w:id="14" w:name="_Toc13233477"/>
      <w:r w:rsidRPr="00097A86">
        <w:rPr>
          <w:rStyle w:val="CharSectno"/>
        </w:rPr>
        <w:t>1.9B</w:t>
      </w:r>
      <w:r w:rsidRPr="00097A86">
        <w:t xml:space="preserve">  Meaning of </w:t>
      </w:r>
      <w:r w:rsidRPr="00097A86">
        <w:rPr>
          <w:i/>
        </w:rPr>
        <w:t>separate occurrence of a source</w:t>
      </w:r>
      <w:bookmarkEnd w:id="14"/>
    </w:p>
    <w:p w14:paraId="00562401" w14:textId="77777777" w:rsidR="002A2804" w:rsidRPr="00097A86" w:rsidRDefault="002A2804" w:rsidP="002A2804">
      <w:pPr>
        <w:pStyle w:val="subsection"/>
      </w:pPr>
      <w:r w:rsidRPr="00097A86">
        <w:tab/>
        <w:t>(1)</w:t>
      </w:r>
      <w:r w:rsidRPr="00097A86">
        <w:tab/>
        <w:t>If 2 or more things at a facility have the same source of emissions, each thing may be treated as a separate occurrence of the source.</w:t>
      </w:r>
    </w:p>
    <w:p w14:paraId="03AFF782" w14:textId="77777777" w:rsidR="002A2804" w:rsidRPr="00097A86" w:rsidRDefault="002A2804" w:rsidP="002A2804">
      <w:pPr>
        <w:pStyle w:val="notetext"/>
      </w:pPr>
      <w:r w:rsidRPr="00097A86">
        <w:t>Example:</w:t>
      </w:r>
      <w:r w:rsidRPr="00097A86">
        <w:tab/>
        <w:t>The combustion of unprocessed natural gas in 2 or more gas flares at a facility may be treated as a separate occurrence of the source (natural gas production or processing—flaring).</w:t>
      </w:r>
    </w:p>
    <w:p w14:paraId="10B6F219" w14:textId="77777777" w:rsidR="002A2804" w:rsidRPr="00097A86" w:rsidRDefault="002A2804" w:rsidP="002A2804">
      <w:pPr>
        <w:pStyle w:val="subsection"/>
      </w:pPr>
      <w:r w:rsidRPr="00097A86">
        <w:tab/>
        <w:t>(2)</w:t>
      </w:r>
      <w:r w:rsidRPr="00097A86">
        <w:tab/>
        <w:t>If a thing at a facility uses 2 or more energy types, each energy type may be treated as a separate occurrence of the source.</w:t>
      </w:r>
    </w:p>
    <w:p w14:paraId="55726FF3" w14:textId="77777777" w:rsidR="002A2804" w:rsidRPr="00097A86" w:rsidRDefault="002A2804" w:rsidP="002A2804">
      <w:pPr>
        <w:pStyle w:val="notetext"/>
      </w:pPr>
      <w:r w:rsidRPr="00097A86">
        <w:t>Example:</w:t>
      </w:r>
      <w:r w:rsidRPr="00097A86">
        <w:tab/>
        <w:t>The combustion of diesel and petrol in a vehicle at a facility may be treated as a separate occurrence of the source (fuel combustion).</w:t>
      </w:r>
    </w:p>
    <w:p w14:paraId="223DA026" w14:textId="77777777" w:rsidR="00F20356" w:rsidRPr="00097A86" w:rsidRDefault="00F20356" w:rsidP="00D22D3F">
      <w:pPr>
        <w:pStyle w:val="ActHead5"/>
      </w:pPr>
      <w:bookmarkStart w:id="15" w:name="_Toc13233478"/>
      <w:r w:rsidRPr="00097A86">
        <w:rPr>
          <w:rStyle w:val="CharSectno"/>
        </w:rPr>
        <w:t>1.10</w:t>
      </w:r>
      <w:r w:rsidR="00D22D3F" w:rsidRPr="00097A86">
        <w:t xml:space="preserve">  </w:t>
      </w:r>
      <w:r w:rsidRPr="00097A86">
        <w:t xml:space="preserve">Meaning of </w:t>
      </w:r>
      <w:r w:rsidRPr="00097A86">
        <w:rPr>
          <w:i/>
        </w:rPr>
        <w:t>source</w:t>
      </w:r>
      <w:bookmarkEnd w:id="15"/>
    </w:p>
    <w:p w14:paraId="31358BF3" w14:textId="77777777" w:rsidR="00F20356" w:rsidRPr="00097A86" w:rsidRDefault="00F20356" w:rsidP="00D22D3F">
      <w:pPr>
        <w:pStyle w:val="subsection"/>
      </w:pPr>
      <w:r w:rsidRPr="00097A86">
        <w:tab/>
        <w:t>(1)</w:t>
      </w:r>
      <w:r w:rsidRPr="00097A86">
        <w:tab/>
        <w:t xml:space="preserve">A thing mentioned in </w:t>
      </w:r>
      <w:r w:rsidR="001948E5" w:rsidRPr="00097A86">
        <w:t>the column headed ‘Source of emissions</w:t>
      </w:r>
      <w:r w:rsidR="00AF7BC6" w:rsidRPr="00097A86">
        <w:t>’</w:t>
      </w:r>
      <w:r w:rsidRPr="00097A86">
        <w:t xml:space="preserve"> of the following table is a </w:t>
      </w:r>
      <w:r w:rsidRPr="00097A86">
        <w:rPr>
          <w:b/>
          <w:i/>
        </w:rPr>
        <w:t>source</w:t>
      </w:r>
      <w:r w:rsidRPr="00097A86">
        <w:t>.</w:t>
      </w:r>
    </w:p>
    <w:p w14:paraId="6E46C151"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1"/>
        <w:gridCol w:w="2293"/>
        <w:gridCol w:w="5179"/>
      </w:tblGrid>
      <w:tr w:rsidR="00F20356" w:rsidRPr="00097A86" w14:paraId="20D34F44" w14:textId="77777777" w:rsidTr="00C20CC2">
        <w:trPr>
          <w:tblHeader/>
        </w:trPr>
        <w:tc>
          <w:tcPr>
            <w:tcW w:w="506" w:type="pct"/>
            <w:tcBorders>
              <w:top w:val="single" w:sz="12" w:space="0" w:color="auto"/>
              <w:bottom w:val="single" w:sz="12" w:space="0" w:color="auto"/>
            </w:tcBorders>
            <w:shd w:val="clear" w:color="auto" w:fill="auto"/>
          </w:tcPr>
          <w:p w14:paraId="2B732AAD" w14:textId="77777777" w:rsidR="00F20356" w:rsidRPr="00097A86" w:rsidRDefault="00F20356" w:rsidP="00D22D3F">
            <w:pPr>
              <w:pStyle w:val="TableHeading"/>
            </w:pPr>
            <w:r w:rsidRPr="00097A86">
              <w:t>Item</w:t>
            </w:r>
          </w:p>
        </w:tc>
        <w:tc>
          <w:tcPr>
            <w:tcW w:w="1379" w:type="pct"/>
            <w:tcBorders>
              <w:top w:val="single" w:sz="12" w:space="0" w:color="auto"/>
              <w:bottom w:val="single" w:sz="12" w:space="0" w:color="auto"/>
            </w:tcBorders>
            <w:shd w:val="clear" w:color="auto" w:fill="auto"/>
          </w:tcPr>
          <w:p w14:paraId="7C38F833" w14:textId="77777777" w:rsidR="00F20356" w:rsidRPr="00097A86" w:rsidRDefault="00F20356" w:rsidP="00D22D3F">
            <w:pPr>
              <w:pStyle w:val="TableHeading"/>
            </w:pPr>
            <w:r w:rsidRPr="00097A86">
              <w:t>Category of source</w:t>
            </w:r>
          </w:p>
        </w:tc>
        <w:tc>
          <w:tcPr>
            <w:tcW w:w="3115" w:type="pct"/>
            <w:tcBorders>
              <w:top w:val="single" w:sz="12" w:space="0" w:color="auto"/>
              <w:bottom w:val="single" w:sz="12" w:space="0" w:color="auto"/>
            </w:tcBorders>
            <w:shd w:val="clear" w:color="auto" w:fill="auto"/>
          </w:tcPr>
          <w:p w14:paraId="3096B610" w14:textId="77777777" w:rsidR="00F20356" w:rsidRPr="00097A86" w:rsidRDefault="00F20356" w:rsidP="00D22D3F">
            <w:pPr>
              <w:pStyle w:val="TableHeading"/>
            </w:pPr>
            <w:r w:rsidRPr="00097A86">
              <w:t>Source of emissions</w:t>
            </w:r>
          </w:p>
        </w:tc>
      </w:tr>
      <w:tr w:rsidR="00F20356" w:rsidRPr="00097A86" w14:paraId="2F506E31" w14:textId="77777777" w:rsidTr="00C20CC2">
        <w:tc>
          <w:tcPr>
            <w:tcW w:w="506" w:type="pct"/>
            <w:tcBorders>
              <w:top w:val="single" w:sz="12" w:space="0" w:color="auto"/>
            </w:tcBorders>
            <w:shd w:val="clear" w:color="auto" w:fill="auto"/>
          </w:tcPr>
          <w:p w14:paraId="6594BA2B" w14:textId="77777777" w:rsidR="00F20356" w:rsidRPr="00097A86" w:rsidRDefault="00F20356" w:rsidP="00D22D3F">
            <w:pPr>
              <w:pStyle w:val="Tabletext"/>
            </w:pPr>
            <w:r w:rsidRPr="00097A86">
              <w:t>1</w:t>
            </w:r>
          </w:p>
        </w:tc>
        <w:tc>
          <w:tcPr>
            <w:tcW w:w="1379" w:type="pct"/>
            <w:tcBorders>
              <w:top w:val="single" w:sz="12" w:space="0" w:color="auto"/>
            </w:tcBorders>
            <w:shd w:val="clear" w:color="auto" w:fill="auto"/>
          </w:tcPr>
          <w:p w14:paraId="15B6F4FE" w14:textId="77777777" w:rsidR="00F20356" w:rsidRPr="00097A86" w:rsidRDefault="00F20356" w:rsidP="00D22D3F">
            <w:pPr>
              <w:pStyle w:val="Tabletext"/>
            </w:pPr>
            <w:r w:rsidRPr="00097A86">
              <w:t>Fuel combustion</w:t>
            </w:r>
          </w:p>
        </w:tc>
        <w:tc>
          <w:tcPr>
            <w:tcW w:w="3115" w:type="pct"/>
            <w:tcBorders>
              <w:top w:val="single" w:sz="12" w:space="0" w:color="auto"/>
            </w:tcBorders>
            <w:shd w:val="clear" w:color="auto" w:fill="auto"/>
          </w:tcPr>
          <w:p w14:paraId="26E160EF" w14:textId="77777777" w:rsidR="00F20356" w:rsidRPr="00097A86" w:rsidRDefault="00F20356" w:rsidP="00D22D3F">
            <w:pPr>
              <w:pStyle w:val="Tabletext"/>
            </w:pPr>
          </w:p>
        </w:tc>
      </w:tr>
      <w:tr w:rsidR="00F20356" w:rsidRPr="00097A86" w14:paraId="6C603944" w14:textId="77777777" w:rsidTr="00C20CC2">
        <w:tc>
          <w:tcPr>
            <w:tcW w:w="506" w:type="pct"/>
            <w:shd w:val="clear" w:color="auto" w:fill="auto"/>
          </w:tcPr>
          <w:p w14:paraId="3BA01E93" w14:textId="77777777" w:rsidR="00F20356" w:rsidRPr="00097A86" w:rsidRDefault="00F20356" w:rsidP="00D22D3F">
            <w:pPr>
              <w:pStyle w:val="Tabletext"/>
            </w:pPr>
            <w:r w:rsidRPr="00097A86">
              <w:t>1A</w:t>
            </w:r>
          </w:p>
        </w:tc>
        <w:tc>
          <w:tcPr>
            <w:tcW w:w="1379" w:type="pct"/>
            <w:shd w:val="clear" w:color="auto" w:fill="auto"/>
          </w:tcPr>
          <w:p w14:paraId="08C1BFE7" w14:textId="77777777" w:rsidR="00F20356" w:rsidRPr="00097A86" w:rsidRDefault="00F20356" w:rsidP="00D22D3F">
            <w:pPr>
              <w:pStyle w:val="Tabletext"/>
            </w:pPr>
          </w:p>
        </w:tc>
        <w:tc>
          <w:tcPr>
            <w:tcW w:w="3115" w:type="pct"/>
            <w:shd w:val="clear" w:color="auto" w:fill="auto"/>
          </w:tcPr>
          <w:p w14:paraId="0BEBB3DF" w14:textId="77777777" w:rsidR="00F20356" w:rsidRPr="00097A86" w:rsidRDefault="00F20356" w:rsidP="00D22D3F">
            <w:pPr>
              <w:pStyle w:val="Tabletext"/>
            </w:pPr>
            <w:r w:rsidRPr="00097A86">
              <w:t>Fuel combustion</w:t>
            </w:r>
          </w:p>
        </w:tc>
      </w:tr>
      <w:tr w:rsidR="00F20356" w:rsidRPr="00097A86" w14:paraId="227321F2" w14:textId="77777777" w:rsidTr="00C20CC2">
        <w:tc>
          <w:tcPr>
            <w:tcW w:w="506" w:type="pct"/>
            <w:shd w:val="clear" w:color="auto" w:fill="auto"/>
          </w:tcPr>
          <w:p w14:paraId="4281DBF1" w14:textId="77777777" w:rsidR="00F20356" w:rsidRPr="00097A86" w:rsidRDefault="00F20356" w:rsidP="00D22D3F">
            <w:pPr>
              <w:pStyle w:val="Tabletext"/>
            </w:pPr>
            <w:r w:rsidRPr="00097A86">
              <w:lastRenderedPageBreak/>
              <w:t>2</w:t>
            </w:r>
          </w:p>
        </w:tc>
        <w:tc>
          <w:tcPr>
            <w:tcW w:w="1379" w:type="pct"/>
            <w:shd w:val="clear" w:color="auto" w:fill="auto"/>
          </w:tcPr>
          <w:p w14:paraId="0ADF784F" w14:textId="77777777" w:rsidR="00F20356" w:rsidRPr="00097A86" w:rsidRDefault="00F20356" w:rsidP="00D22D3F">
            <w:pPr>
              <w:pStyle w:val="Tabletext"/>
            </w:pPr>
            <w:r w:rsidRPr="00097A86">
              <w:t>Fugitive emissions</w:t>
            </w:r>
          </w:p>
        </w:tc>
        <w:tc>
          <w:tcPr>
            <w:tcW w:w="3115" w:type="pct"/>
            <w:shd w:val="clear" w:color="auto" w:fill="auto"/>
          </w:tcPr>
          <w:p w14:paraId="3A171450" w14:textId="77777777" w:rsidR="00F20356" w:rsidRPr="00097A86" w:rsidRDefault="00F20356" w:rsidP="00D22D3F">
            <w:pPr>
              <w:pStyle w:val="Tabletext"/>
            </w:pPr>
          </w:p>
        </w:tc>
      </w:tr>
      <w:tr w:rsidR="00F20356" w:rsidRPr="00097A86" w14:paraId="778F4B1F" w14:textId="77777777" w:rsidTr="00C20CC2">
        <w:tc>
          <w:tcPr>
            <w:tcW w:w="506" w:type="pct"/>
            <w:shd w:val="clear" w:color="auto" w:fill="auto"/>
          </w:tcPr>
          <w:p w14:paraId="35EA156F" w14:textId="77777777" w:rsidR="00F20356" w:rsidRPr="00097A86" w:rsidRDefault="00F20356" w:rsidP="00D22D3F">
            <w:pPr>
              <w:pStyle w:val="Tabletext"/>
            </w:pPr>
            <w:r w:rsidRPr="00097A86">
              <w:t>2A</w:t>
            </w:r>
          </w:p>
        </w:tc>
        <w:tc>
          <w:tcPr>
            <w:tcW w:w="1379" w:type="pct"/>
            <w:shd w:val="clear" w:color="auto" w:fill="auto"/>
          </w:tcPr>
          <w:p w14:paraId="704518F7" w14:textId="77777777" w:rsidR="00F20356" w:rsidRPr="00097A86" w:rsidRDefault="00F20356" w:rsidP="00D22D3F">
            <w:pPr>
              <w:pStyle w:val="Tabletext"/>
            </w:pPr>
          </w:p>
        </w:tc>
        <w:tc>
          <w:tcPr>
            <w:tcW w:w="3115" w:type="pct"/>
            <w:shd w:val="clear" w:color="auto" w:fill="auto"/>
          </w:tcPr>
          <w:p w14:paraId="25DBAD2D" w14:textId="77777777" w:rsidR="00F20356" w:rsidRPr="00097A86" w:rsidRDefault="00F20356" w:rsidP="00D22D3F">
            <w:pPr>
              <w:pStyle w:val="Tabletext"/>
            </w:pPr>
            <w:r w:rsidRPr="00097A86">
              <w:t>Underground mines</w:t>
            </w:r>
          </w:p>
        </w:tc>
      </w:tr>
      <w:tr w:rsidR="00F20356" w:rsidRPr="00097A86" w14:paraId="665B7B37" w14:textId="77777777" w:rsidTr="00C20CC2">
        <w:tc>
          <w:tcPr>
            <w:tcW w:w="506" w:type="pct"/>
            <w:shd w:val="clear" w:color="auto" w:fill="auto"/>
          </w:tcPr>
          <w:p w14:paraId="4F41D1CE" w14:textId="77777777" w:rsidR="00F20356" w:rsidRPr="00097A86" w:rsidRDefault="00F20356" w:rsidP="00D22D3F">
            <w:pPr>
              <w:pStyle w:val="Tabletext"/>
            </w:pPr>
            <w:r w:rsidRPr="00097A86">
              <w:t>2B</w:t>
            </w:r>
          </w:p>
        </w:tc>
        <w:tc>
          <w:tcPr>
            <w:tcW w:w="1379" w:type="pct"/>
            <w:shd w:val="clear" w:color="auto" w:fill="auto"/>
          </w:tcPr>
          <w:p w14:paraId="2B1ABB42" w14:textId="77777777" w:rsidR="00F20356" w:rsidRPr="00097A86" w:rsidRDefault="00F20356" w:rsidP="00D22D3F">
            <w:pPr>
              <w:pStyle w:val="Tabletext"/>
            </w:pPr>
          </w:p>
        </w:tc>
        <w:tc>
          <w:tcPr>
            <w:tcW w:w="3115" w:type="pct"/>
            <w:shd w:val="clear" w:color="auto" w:fill="auto"/>
          </w:tcPr>
          <w:p w14:paraId="3B8E8A46" w14:textId="77777777" w:rsidR="00F20356" w:rsidRPr="00097A86" w:rsidRDefault="002E0347" w:rsidP="00D22D3F">
            <w:pPr>
              <w:pStyle w:val="Tabletext"/>
            </w:pPr>
            <w:r>
              <w:t>Open cut mines</w:t>
            </w:r>
          </w:p>
        </w:tc>
      </w:tr>
      <w:tr w:rsidR="00F20356" w:rsidRPr="00097A86" w14:paraId="6E42F29F" w14:textId="77777777" w:rsidTr="00C20CC2">
        <w:tc>
          <w:tcPr>
            <w:tcW w:w="506" w:type="pct"/>
            <w:shd w:val="clear" w:color="auto" w:fill="auto"/>
          </w:tcPr>
          <w:p w14:paraId="5E92DA60" w14:textId="77777777" w:rsidR="00F20356" w:rsidRPr="00097A86" w:rsidRDefault="00F20356" w:rsidP="00D22D3F">
            <w:pPr>
              <w:pStyle w:val="Tabletext"/>
            </w:pPr>
            <w:r w:rsidRPr="00097A86">
              <w:t>2C</w:t>
            </w:r>
          </w:p>
        </w:tc>
        <w:tc>
          <w:tcPr>
            <w:tcW w:w="1379" w:type="pct"/>
            <w:shd w:val="clear" w:color="auto" w:fill="auto"/>
          </w:tcPr>
          <w:p w14:paraId="42D07635" w14:textId="77777777" w:rsidR="00F20356" w:rsidRPr="00097A86" w:rsidRDefault="00F20356" w:rsidP="00D22D3F">
            <w:pPr>
              <w:pStyle w:val="Tabletext"/>
            </w:pPr>
          </w:p>
        </w:tc>
        <w:tc>
          <w:tcPr>
            <w:tcW w:w="3115" w:type="pct"/>
            <w:shd w:val="clear" w:color="auto" w:fill="auto"/>
          </w:tcPr>
          <w:p w14:paraId="5253A738" w14:textId="77777777" w:rsidR="00F20356" w:rsidRPr="00097A86" w:rsidRDefault="00F20356" w:rsidP="00D22D3F">
            <w:pPr>
              <w:pStyle w:val="Tabletext"/>
            </w:pPr>
            <w:r w:rsidRPr="00097A86">
              <w:t>Decommissioned underground mines</w:t>
            </w:r>
          </w:p>
        </w:tc>
      </w:tr>
      <w:tr w:rsidR="00F20356" w:rsidRPr="00097A86" w14:paraId="795097B6" w14:textId="77777777" w:rsidTr="00C20CC2">
        <w:tc>
          <w:tcPr>
            <w:tcW w:w="506" w:type="pct"/>
            <w:shd w:val="clear" w:color="auto" w:fill="auto"/>
          </w:tcPr>
          <w:p w14:paraId="1962B174" w14:textId="77777777" w:rsidR="00F20356" w:rsidRPr="00097A86" w:rsidRDefault="00F20356" w:rsidP="00D22D3F">
            <w:pPr>
              <w:pStyle w:val="Tabletext"/>
            </w:pPr>
            <w:r w:rsidRPr="00097A86">
              <w:t>2D</w:t>
            </w:r>
          </w:p>
        </w:tc>
        <w:tc>
          <w:tcPr>
            <w:tcW w:w="1379" w:type="pct"/>
            <w:shd w:val="clear" w:color="auto" w:fill="auto"/>
          </w:tcPr>
          <w:p w14:paraId="7A3E73FF" w14:textId="77777777" w:rsidR="00F20356" w:rsidRPr="00097A86" w:rsidRDefault="00F20356" w:rsidP="00D22D3F">
            <w:pPr>
              <w:pStyle w:val="Tabletext"/>
            </w:pPr>
          </w:p>
        </w:tc>
        <w:tc>
          <w:tcPr>
            <w:tcW w:w="3115" w:type="pct"/>
            <w:shd w:val="clear" w:color="auto" w:fill="auto"/>
          </w:tcPr>
          <w:p w14:paraId="48F4FB11" w14:textId="77777777" w:rsidR="00F20356" w:rsidRPr="00097A86" w:rsidRDefault="00F20356" w:rsidP="00D22D3F">
            <w:pPr>
              <w:pStyle w:val="Tabletext"/>
            </w:pPr>
            <w:r w:rsidRPr="00097A86">
              <w:t>Oil or gas exploration</w:t>
            </w:r>
          </w:p>
        </w:tc>
      </w:tr>
      <w:tr w:rsidR="00F20356" w:rsidRPr="00097A86" w14:paraId="64BDB007" w14:textId="77777777" w:rsidTr="00C20CC2">
        <w:tc>
          <w:tcPr>
            <w:tcW w:w="506" w:type="pct"/>
            <w:shd w:val="clear" w:color="auto" w:fill="auto"/>
          </w:tcPr>
          <w:p w14:paraId="23D90779" w14:textId="77777777" w:rsidR="00F20356" w:rsidRPr="00097A86" w:rsidRDefault="00F20356" w:rsidP="00D22D3F">
            <w:pPr>
              <w:pStyle w:val="Tabletext"/>
            </w:pPr>
            <w:r w:rsidRPr="00097A86">
              <w:t>2E</w:t>
            </w:r>
          </w:p>
        </w:tc>
        <w:tc>
          <w:tcPr>
            <w:tcW w:w="1379" w:type="pct"/>
            <w:shd w:val="clear" w:color="auto" w:fill="auto"/>
          </w:tcPr>
          <w:p w14:paraId="5800653A" w14:textId="77777777" w:rsidR="00F20356" w:rsidRPr="00097A86" w:rsidRDefault="00F20356" w:rsidP="00D22D3F">
            <w:pPr>
              <w:pStyle w:val="Tabletext"/>
            </w:pPr>
          </w:p>
        </w:tc>
        <w:tc>
          <w:tcPr>
            <w:tcW w:w="3115" w:type="pct"/>
            <w:shd w:val="clear" w:color="auto" w:fill="auto"/>
          </w:tcPr>
          <w:p w14:paraId="22384BB9" w14:textId="77777777" w:rsidR="00F20356" w:rsidRPr="00097A86" w:rsidRDefault="00F20356" w:rsidP="00D22D3F">
            <w:pPr>
              <w:pStyle w:val="Tabletext"/>
            </w:pPr>
            <w:r w:rsidRPr="00097A86">
              <w:t>Crude oil production</w:t>
            </w:r>
          </w:p>
        </w:tc>
      </w:tr>
      <w:tr w:rsidR="00F20356" w:rsidRPr="00097A86" w14:paraId="6511AD1E" w14:textId="77777777" w:rsidTr="00C20CC2">
        <w:tc>
          <w:tcPr>
            <w:tcW w:w="506" w:type="pct"/>
            <w:shd w:val="clear" w:color="auto" w:fill="auto"/>
          </w:tcPr>
          <w:p w14:paraId="5C16E2BE" w14:textId="77777777" w:rsidR="00F20356" w:rsidRPr="00097A86" w:rsidRDefault="00F20356" w:rsidP="00D22D3F">
            <w:pPr>
              <w:pStyle w:val="Tabletext"/>
            </w:pPr>
            <w:r w:rsidRPr="00097A86">
              <w:t>2F</w:t>
            </w:r>
          </w:p>
        </w:tc>
        <w:tc>
          <w:tcPr>
            <w:tcW w:w="1379" w:type="pct"/>
            <w:shd w:val="clear" w:color="auto" w:fill="auto"/>
          </w:tcPr>
          <w:p w14:paraId="750589EF" w14:textId="77777777" w:rsidR="00F20356" w:rsidRPr="00097A86" w:rsidRDefault="00F20356" w:rsidP="00D22D3F">
            <w:pPr>
              <w:pStyle w:val="Tabletext"/>
            </w:pPr>
          </w:p>
        </w:tc>
        <w:tc>
          <w:tcPr>
            <w:tcW w:w="3115" w:type="pct"/>
            <w:shd w:val="clear" w:color="auto" w:fill="auto"/>
          </w:tcPr>
          <w:p w14:paraId="708979C7" w14:textId="77777777" w:rsidR="00F20356" w:rsidRPr="00097A86" w:rsidRDefault="00F20356" w:rsidP="00D22D3F">
            <w:pPr>
              <w:pStyle w:val="Tabletext"/>
            </w:pPr>
            <w:r w:rsidRPr="00097A86">
              <w:t>Crude oil transport</w:t>
            </w:r>
          </w:p>
        </w:tc>
      </w:tr>
      <w:tr w:rsidR="00F20356" w:rsidRPr="00097A86" w14:paraId="48A63471" w14:textId="77777777" w:rsidTr="00C20CC2">
        <w:tc>
          <w:tcPr>
            <w:tcW w:w="506" w:type="pct"/>
            <w:shd w:val="clear" w:color="auto" w:fill="auto"/>
          </w:tcPr>
          <w:p w14:paraId="722B5267" w14:textId="77777777" w:rsidR="00F20356" w:rsidRPr="00097A86" w:rsidRDefault="00F20356" w:rsidP="00D22D3F">
            <w:pPr>
              <w:pStyle w:val="Tabletext"/>
            </w:pPr>
            <w:r w:rsidRPr="00097A86">
              <w:t>2G</w:t>
            </w:r>
          </w:p>
        </w:tc>
        <w:tc>
          <w:tcPr>
            <w:tcW w:w="1379" w:type="pct"/>
            <w:shd w:val="clear" w:color="auto" w:fill="auto"/>
          </w:tcPr>
          <w:p w14:paraId="030538F3" w14:textId="77777777" w:rsidR="00F20356" w:rsidRPr="00097A86" w:rsidRDefault="00F20356" w:rsidP="00D22D3F">
            <w:pPr>
              <w:pStyle w:val="Tabletext"/>
            </w:pPr>
          </w:p>
        </w:tc>
        <w:tc>
          <w:tcPr>
            <w:tcW w:w="3115" w:type="pct"/>
            <w:shd w:val="clear" w:color="auto" w:fill="auto"/>
          </w:tcPr>
          <w:p w14:paraId="7A667BBE" w14:textId="77777777" w:rsidR="00F20356" w:rsidRPr="00097A86" w:rsidRDefault="00F20356" w:rsidP="00D22D3F">
            <w:pPr>
              <w:pStyle w:val="Tabletext"/>
            </w:pPr>
            <w:r w:rsidRPr="00097A86">
              <w:t>Crude oil refining</w:t>
            </w:r>
          </w:p>
        </w:tc>
      </w:tr>
      <w:tr w:rsidR="00F20356" w:rsidRPr="00097A86" w14:paraId="0EA41BBA" w14:textId="77777777" w:rsidTr="00C20CC2">
        <w:tc>
          <w:tcPr>
            <w:tcW w:w="506" w:type="pct"/>
            <w:shd w:val="clear" w:color="auto" w:fill="auto"/>
          </w:tcPr>
          <w:p w14:paraId="2B36ACBE" w14:textId="77777777" w:rsidR="00F20356" w:rsidRPr="00097A86" w:rsidRDefault="00F20356" w:rsidP="00D22D3F">
            <w:pPr>
              <w:pStyle w:val="Tabletext"/>
            </w:pPr>
            <w:r w:rsidRPr="00097A86">
              <w:t>2H</w:t>
            </w:r>
          </w:p>
        </w:tc>
        <w:tc>
          <w:tcPr>
            <w:tcW w:w="1379" w:type="pct"/>
            <w:shd w:val="clear" w:color="auto" w:fill="auto"/>
          </w:tcPr>
          <w:p w14:paraId="6B8DB8C2" w14:textId="77777777" w:rsidR="00F20356" w:rsidRPr="00097A86" w:rsidRDefault="00F20356" w:rsidP="00D22D3F">
            <w:pPr>
              <w:pStyle w:val="Tabletext"/>
            </w:pPr>
          </w:p>
        </w:tc>
        <w:tc>
          <w:tcPr>
            <w:tcW w:w="3115" w:type="pct"/>
            <w:shd w:val="clear" w:color="auto" w:fill="auto"/>
          </w:tcPr>
          <w:p w14:paraId="36F5CC1C" w14:textId="77777777" w:rsidR="00F20356" w:rsidRPr="00097A86" w:rsidRDefault="00F20356" w:rsidP="00D22D3F">
            <w:pPr>
              <w:pStyle w:val="Tabletext"/>
            </w:pPr>
            <w:r w:rsidRPr="00097A86">
              <w:t>Natural gas production or processing (other than emissions that are vented or flared)</w:t>
            </w:r>
          </w:p>
        </w:tc>
      </w:tr>
      <w:tr w:rsidR="00F20356" w:rsidRPr="00097A86" w14:paraId="2B4835A2" w14:textId="77777777" w:rsidTr="00C20CC2">
        <w:tc>
          <w:tcPr>
            <w:tcW w:w="506" w:type="pct"/>
            <w:shd w:val="clear" w:color="auto" w:fill="auto"/>
          </w:tcPr>
          <w:p w14:paraId="48C861F9" w14:textId="77777777" w:rsidR="00F20356" w:rsidRPr="00097A86" w:rsidRDefault="00F20356" w:rsidP="00D22D3F">
            <w:pPr>
              <w:pStyle w:val="Tabletext"/>
            </w:pPr>
            <w:r w:rsidRPr="00097A86">
              <w:t>2I</w:t>
            </w:r>
          </w:p>
        </w:tc>
        <w:tc>
          <w:tcPr>
            <w:tcW w:w="1379" w:type="pct"/>
            <w:shd w:val="clear" w:color="auto" w:fill="auto"/>
          </w:tcPr>
          <w:p w14:paraId="4A635829" w14:textId="77777777" w:rsidR="00F20356" w:rsidRPr="00097A86" w:rsidRDefault="00F20356" w:rsidP="00D22D3F">
            <w:pPr>
              <w:pStyle w:val="Tabletext"/>
            </w:pPr>
          </w:p>
        </w:tc>
        <w:tc>
          <w:tcPr>
            <w:tcW w:w="3115" w:type="pct"/>
            <w:shd w:val="clear" w:color="auto" w:fill="auto"/>
          </w:tcPr>
          <w:p w14:paraId="6039FA67" w14:textId="77777777" w:rsidR="00F20356" w:rsidRPr="00097A86" w:rsidRDefault="00F20356" w:rsidP="00D22D3F">
            <w:pPr>
              <w:pStyle w:val="Tabletext"/>
            </w:pPr>
            <w:r w:rsidRPr="00097A86">
              <w:t>Natural gas transmission</w:t>
            </w:r>
          </w:p>
        </w:tc>
      </w:tr>
      <w:tr w:rsidR="00F20356" w:rsidRPr="00097A86" w14:paraId="4F923F77" w14:textId="77777777" w:rsidTr="00C20CC2">
        <w:tc>
          <w:tcPr>
            <w:tcW w:w="506" w:type="pct"/>
            <w:shd w:val="clear" w:color="auto" w:fill="auto"/>
          </w:tcPr>
          <w:p w14:paraId="0C3E5721" w14:textId="77777777" w:rsidR="00F20356" w:rsidRPr="00097A86" w:rsidRDefault="00F20356" w:rsidP="00D22D3F">
            <w:pPr>
              <w:pStyle w:val="Tabletext"/>
            </w:pPr>
            <w:r w:rsidRPr="00097A86">
              <w:t>2J</w:t>
            </w:r>
          </w:p>
        </w:tc>
        <w:tc>
          <w:tcPr>
            <w:tcW w:w="1379" w:type="pct"/>
            <w:shd w:val="clear" w:color="auto" w:fill="auto"/>
          </w:tcPr>
          <w:p w14:paraId="4EA14735" w14:textId="77777777" w:rsidR="00F20356" w:rsidRPr="00097A86" w:rsidRDefault="00F20356" w:rsidP="00D22D3F">
            <w:pPr>
              <w:pStyle w:val="Tabletext"/>
            </w:pPr>
          </w:p>
        </w:tc>
        <w:tc>
          <w:tcPr>
            <w:tcW w:w="3115" w:type="pct"/>
            <w:shd w:val="clear" w:color="auto" w:fill="auto"/>
          </w:tcPr>
          <w:p w14:paraId="1C359B44" w14:textId="77777777" w:rsidR="00F20356" w:rsidRPr="00097A86" w:rsidRDefault="00F20356" w:rsidP="00D22D3F">
            <w:pPr>
              <w:pStyle w:val="Tabletext"/>
            </w:pPr>
            <w:r w:rsidRPr="00097A86">
              <w:t>Natural gas distribution</w:t>
            </w:r>
          </w:p>
        </w:tc>
      </w:tr>
      <w:tr w:rsidR="00F20356" w:rsidRPr="00097A86" w14:paraId="751191C4" w14:textId="77777777" w:rsidTr="00C20CC2">
        <w:tc>
          <w:tcPr>
            <w:tcW w:w="506" w:type="pct"/>
            <w:shd w:val="clear" w:color="auto" w:fill="auto"/>
          </w:tcPr>
          <w:p w14:paraId="3899A82D" w14:textId="77777777" w:rsidR="00F20356" w:rsidRPr="00097A86" w:rsidRDefault="00F20356" w:rsidP="00D22D3F">
            <w:pPr>
              <w:pStyle w:val="Tabletext"/>
            </w:pPr>
            <w:r w:rsidRPr="00097A86">
              <w:t>2K</w:t>
            </w:r>
          </w:p>
        </w:tc>
        <w:tc>
          <w:tcPr>
            <w:tcW w:w="1379" w:type="pct"/>
            <w:shd w:val="clear" w:color="auto" w:fill="auto"/>
          </w:tcPr>
          <w:p w14:paraId="79D5880E" w14:textId="77777777" w:rsidR="00F20356" w:rsidRPr="00097A86" w:rsidRDefault="00F20356" w:rsidP="00D22D3F">
            <w:pPr>
              <w:pStyle w:val="Tabletext"/>
            </w:pPr>
          </w:p>
        </w:tc>
        <w:tc>
          <w:tcPr>
            <w:tcW w:w="3115" w:type="pct"/>
            <w:shd w:val="clear" w:color="auto" w:fill="auto"/>
          </w:tcPr>
          <w:p w14:paraId="0FD18CC1" w14:textId="77777777" w:rsidR="00F20356" w:rsidRPr="00097A86" w:rsidRDefault="00F20356" w:rsidP="00D22D3F">
            <w:pPr>
              <w:pStyle w:val="Tabletext"/>
            </w:pPr>
            <w:r w:rsidRPr="00097A86">
              <w:t>Natural gas production or processing</w:t>
            </w:r>
            <w:r w:rsidR="00D22D3F" w:rsidRPr="00097A86">
              <w:t>—</w:t>
            </w:r>
            <w:r w:rsidRPr="00097A86">
              <w:t>flaring</w:t>
            </w:r>
          </w:p>
        </w:tc>
      </w:tr>
      <w:tr w:rsidR="00F20356" w:rsidRPr="00097A86" w14:paraId="2939CEFB" w14:textId="77777777" w:rsidTr="00C20CC2">
        <w:tc>
          <w:tcPr>
            <w:tcW w:w="506" w:type="pct"/>
            <w:shd w:val="clear" w:color="auto" w:fill="auto"/>
          </w:tcPr>
          <w:p w14:paraId="3E11FB3F" w14:textId="77777777" w:rsidR="00F20356" w:rsidRPr="00097A86" w:rsidRDefault="00F20356" w:rsidP="00D22D3F">
            <w:pPr>
              <w:pStyle w:val="Tabletext"/>
            </w:pPr>
            <w:r w:rsidRPr="00097A86">
              <w:t>2L</w:t>
            </w:r>
          </w:p>
        </w:tc>
        <w:tc>
          <w:tcPr>
            <w:tcW w:w="1379" w:type="pct"/>
            <w:shd w:val="clear" w:color="auto" w:fill="auto"/>
          </w:tcPr>
          <w:p w14:paraId="52E08138" w14:textId="77777777" w:rsidR="00F20356" w:rsidRPr="00097A86" w:rsidRDefault="00F20356" w:rsidP="00D22D3F">
            <w:pPr>
              <w:pStyle w:val="Tabletext"/>
            </w:pPr>
          </w:p>
        </w:tc>
        <w:tc>
          <w:tcPr>
            <w:tcW w:w="3115" w:type="pct"/>
            <w:shd w:val="clear" w:color="auto" w:fill="auto"/>
          </w:tcPr>
          <w:p w14:paraId="09CA1950" w14:textId="77777777" w:rsidR="00F20356" w:rsidRPr="00097A86" w:rsidRDefault="00F20356" w:rsidP="00D22D3F">
            <w:pPr>
              <w:pStyle w:val="Tabletext"/>
            </w:pPr>
            <w:r w:rsidRPr="00097A86">
              <w:t>Natural gas production or processing</w:t>
            </w:r>
            <w:r w:rsidR="00D22D3F" w:rsidRPr="00097A86">
              <w:t>—</w:t>
            </w:r>
            <w:r w:rsidRPr="00097A86">
              <w:t>venting</w:t>
            </w:r>
          </w:p>
        </w:tc>
      </w:tr>
      <w:tr w:rsidR="00F20356" w:rsidRPr="00097A86" w14:paraId="30631ADB" w14:textId="77777777" w:rsidTr="00C20CC2">
        <w:tc>
          <w:tcPr>
            <w:tcW w:w="506" w:type="pct"/>
            <w:shd w:val="clear" w:color="auto" w:fill="auto"/>
          </w:tcPr>
          <w:p w14:paraId="29C64083" w14:textId="77777777" w:rsidR="00F20356" w:rsidRPr="00097A86" w:rsidRDefault="00F20356" w:rsidP="00D22D3F">
            <w:pPr>
              <w:pStyle w:val="Tabletext"/>
            </w:pPr>
            <w:r w:rsidRPr="00097A86">
              <w:t>2M</w:t>
            </w:r>
          </w:p>
        </w:tc>
        <w:tc>
          <w:tcPr>
            <w:tcW w:w="1379" w:type="pct"/>
            <w:shd w:val="clear" w:color="auto" w:fill="auto"/>
          </w:tcPr>
          <w:p w14:paraId="35A5A673" w14:textId="77777777" w:rsidR="00F20356" w:rsidRPr="00097A86" w:rsidRDefault="00F20356" w:rsidP="00D22D3F">
            <w:pPr>
              <w:pStyle w:val="Tabletext"/>
            </w:pPr>
          </w:p>
        </w:tc>
        <w:tc>
          <w:tcPr>
            <w:tcW w:w="3115" w:type="pct"/>
            <w:shd w:val="clear" w:color="auto" w:fill="auto"/>
          </w:tcPr>
          <w:p w14:paraId="2EEF60D8" w14:textId="77777777" w:rsidR="00F20356" w:rsidRPr="00097A86" w:rsidRDefault="00F20356" w:rsidP="00D22D3F">
            <w:pPr>
              <w:pStyle w:val="Tabletext"/>
            </w:pPr>
            <w:r w:rsidRPr="00097A86">
              <w:t>Carbon capture and storage</w:t>
            </w:r>
          </w:p>
        </w:tc>
      </w:tr>
      <w:tr w:rsidR="00F20356" w:rsidRPr="00097A86" w14:paraId="7ABF8ABD" w14:textId="77777777" w:rsidTr="00C20CC2">
        <w:tc>
          <w:tcPr>
            <w:tcW w:w="506" w:type="pct"/>
            <w:shd w:val="clear" w:color="auto" w:fill="auto"/>
          </w:tcPr>
          <w:p w14:paraId="650A1BF9" w14:textId="77777777" w:rsidR="00F20356" w:rsidRPr="00097A86" w:rsidRDefault="00F20356" w:rsidP="00D22D3F">
            <w:pPr>
              <w:pStyle w:val="Tabletext"/>
            </w:pPr>
            <w:r w:rsidRPr="00097A86">
              <w:t>3</w:t>
            </w:r>
          </w:p>
        </w:tc>
        <w:tc>
          <w:tcPr>
            <w:tcW w:w="1379" w:type="pct"/>
            <w:shd w:val="clear" w:color="auto" w:fill="auto"/>
          </w:tcPr>
          <w:p w14:paraId="4FE0062F" w14:textId="77777777" w:rsidR="00F20356" w:rsidRPr="00097A86" w:rsidRDefault="00F20356" w:rsidP="00D22D3F">
            <w:pPr>
              <w:pStyle w:val="Tabletext"/>
            </w:pPr>
            <w:r w:rsidRPr="00097A86">
              <w:t>Industrial processes</w:t>
            </w:r>
          </w:p>
        </w:tc>
        <w:tc>
          <w:tcPr>
            <w:tcW w:w="3115" w:type="pct"/>
            <w:shd w:val="clear" w:color="auto" w:fill="auto"/>
          </w:tcPr>
          <w:p w14:paraId="605A1409" w14:textId="77777777" w:rsidR="00F20356" w:rsidRPr="00097A86" w:rsidRDefault="00F20356" w:rsidP="00D22D3F">
            <w:pPr>
              <w:pStyle w:val="Tabletext"/>
            </w:pPr>
          </w:p>
        </w:tc>
      </w:tr>
      <w:tr w:rsidR="00F20356" w:rsidRPr="00097A86" w14:paraId="39AD3B3C" w14:textId="77777777" w:rsidTr="00C20CC2">
        <w:tc>
          <w:tcPr>
            <w:tcW w:w="506" w:type="pct"/>
            <w:shd w:val="clear" w:color="auto" w:fill="auto"/>
          </w:tcPr>
          <w:p w14:paraId="213A5CF6" w14:textId="77777777" w:rsidR="00F20356" w:rsidRPr="00097A86" w:rsidRDefault="00F20356" w:rsidP="00D22D3F">
            <w:pPr>
              <w:pStyle w:val="Tabletext"/>
            </w:pPr>
            <w:r w:rsidRPr="00097A86">
              <w:t>3A</w:t>
            </w:r>
          </w:p>
        </w:tc>
        <w:tc>
          <w:tcPr>
            <w:tcW w:w="1379" w:type="pct"/>
            <w:shd w:val="clear" w:color="auto" w:fill="auto"/>
          </w:tcPr>
          <w:p w14:paraId="570D1D36" w14:textId="77777777" w:rsidR="00F20356" w:rsidRPr="00097A86" w:rsidRDefault="00F20356" w:rsidP="00D22D3F">
            <w:pPr>
              <w:pStyle w:val="Tabletext"/>
            </w:pPr>
          </w:p>
        </w:tc>
        <w:tc>
          <w:tcPr>
            <w:tcW w:w="3115" w:type="pct"/>
            <w:shd w:val="clear" w:color="auto" w:fill="auto"/>
          </w:tcPr>
          <w:p w14:paraId="2D268446" w14:textId="77777777" w:rsidR="00F20356" w:rsidRPr="00097A86" w:rsidRDefault="00F20356" w:rsidP="00D22D3F">
            <w:pPr>
              <w:pStyle w:val="Tabletext"/>
            </w:pPr>
            <w:r w:rsidRPr="00097A86">
              <w:t>Cement clinker production</w:t>
            </w:r>
          </w:p>
        </w:tc>
      </w:tr>
      <w:tr w:rsidR="00F20356" w:rsidRPr="00097A86" w14:paraId="68C37C10" w14:textId="77777777" w:rsidTr="00C20CC2">
        <w:tc>
          <w:tcPr>
            <w:tcW w:w="506" w:type="pct"/>
            <w:shd w:val="clear" w:color="auto" w:fill="auto"/>
          </w:tcPr>
          <w:p w14:paraId="45C6436A" w14:textId="77777777" w:rsidR="00F20356" w:rsidRPr="00097A86" w:rsidRDefault="00F20356" w:rsidP="00D22D3F">
            <w:pPr>
              <w:pStyle w:val="Tabletext"/>
            </w:pPr>
            <w:r w:rsidRPr="00097A86">
              <w:t>3B</w:t>
            </w:r>
          </w:p>
        </w:tc>
        <w:tc>
          <w:tcPr>
            <w:tcW w:w="1379" w:type="pct"/>
            <w:shd w:val="clear" w:color="auto" w:fill="auto"/>
          </w:tcPr>
          <w:p w14:paraId="62151272" w14:textId="77777777" w:rsidR="00F20356" w:rsidRPr="00097A86" w:rsidRDefault="00F20356" w:rsidP="00D22D3F">
            <w:pPr>
              <w:pStyle w:val="Tabletext"/>
            </w:pPr>
          </w:p>
        </w:tc>
        <w:tc>
          <w:tcPr>
            <w:tcW w:w="3115" w:type="pct"/>
            <w:shd w:val="clear" w:color="auto" w:fill="auto"/>
          </w:tcPr>
          <w:p w14:paraId="5D71908E" w14:textId="77777777" w:rsidR="00F20356" w:rsidRPr="00097A86" w:rsidRDefault="00F20356" w:rsidP="00D22D3F">
            <w:pPr>
              <w:pStyle w:val="Tabletext"/>
            </w:pPr>
            <w:r w:rsidRPr="00097A86">
              <w:t>Lime production</w:t>
            </w:r>
          </w:p>
        </w:tc>
      </w:tr>
      <w:tr w:rsidR="00F20356" w:rsidRPr="00097A86" w14:paraId="13DE3A16" w14:textId="77777777" w:rsidTr="00C20CC2">
        <w:tc>
          <w:tcPr>
            <w:tcW w:w="506" w:type="pct"/>
            <w:shd w:val="clear" w:color="auto" w:fill="auto"/>
          </w:tcPr>
          <w:p w14:paraId="2E7B61E8" w14:textId="77777777" w:rsidR="00F20356" w:rsidRPr="00097A86" w:rsidRDefault="00F20356" w:rsidP="00D22D3F">
            <w:pPr>
              <w:pStyle w:val="Tabletext"/>
            </w:pPr>
            <w:r w:rsidRPr="00097A86">
              <w:t>3C</w:t>
            </w:r>
          </w:p>
        </w:tc>
        <w:tc>
          <w:tcPr>
            <w:tcW w:w="1379" w:type="pct"/>
            <w:shd w:val="clear" w:color="auto" w:fill="auto"/>
          </w:tcPr>
          <w:p w14:paraId="4E67D0EE" w14:textId="77777777" w:rsidR="00F20356" w:rsidRPr="00097A86" w:rsidRDefault="00F20356" w:rsidP="00D22D3F">
            <w:pPr>
              <w:pStyle w:val="Tabletext"/>
            </w:pPr>
          </w:p>
        </w:tc>
        <w:tc>
          <w:tcPr>
            <w:tcW w:w="3115" w:type="pct"/>
            <w:shd w:val="clear" w:color="auto" w:fill="auto"/>
          </w:tcPr>
          <w:p w14:paraId="7FC71785" w14:textId="77777777" w:rsidR="00F20356" w:rsidRPr="00097A86" w:rsidRDefault="00F20356" w:rsidP="00D22D3F">
            <w:pPr>
              <w:pStyle w:val="Tabletext"/>
            </w:pPr>
            <w:r w:rsidRPr="00097A86">
              <w:t>Use of carbonates for the production of a product other than cement clinker, lime or soda ash</w:t>
            </w:r>
          </w:p>
        </w:tc>
      </w:tr>
      <w:tr w:rsidR="00F20356" w:rsidRPr="00097A86" w14:paraId="6161D978" w14:textId="77777777" w:rsidTr="00C20CC2">
        <w:tc>
          <w:tcPr>
            <w:tcW w:w="506" w:type="pct"/>
            <w:shd w:val="clear" w:color="auto" w:fill="auto"/>
          </w:tcPr>
          <w:p w14:paraId="4F671FB4" w14:textId="77777777" w:rsidR="00F20356" w:rsidRPr="00097A86" w:rsidRDefault="00F20356" w:rsidP="00D22D3F">
            <w:pPr>
              <w:pStyle w:val="Tabletext"/>
            </w:pPr>
            <w:r w:rsidRPr="00097A86">
              <w:t>3D</w:t>
            </w:r>
          </w:p>
        </w:tc>
        <w:tc>
          <w:tcPr>
            <w:tcW w:w="1379" w:type="pct"/>
            <w:shd w:val="clear" w:color="auto" w:fill="auto"/>
          </w:tcPr>
          <w:p w14:paraId="423821B2" w14:textId="77777777" w:rsidR="00F20356" w:rsidRPr="00097A86" w:rsidRDefault="00F20356" w:rsidP="00D22D3F">
            <w:pPr>
              <w:pStyle w:val="Tabletext"/>
            </w:pPr>
          </w:p>
        </w:tc>
        <w:tc>
          <w:tcPr>
            <w:tcW w:w="3115" w:type="pct"/>
            <w:shd w:val="clear" w:color="auto" w:fill="auto"/>
          </w:tcPr>
          <w:p w14:paraId="7E717351" w14:textId="77777777" w:rsidR="00F20356" w:rsidRPr="00097A86" w:rsidRDefault="00F20356" w:rsidP="00D22D3F">
            <w:pPr>
              <w:pStyle w:val="Tabletext"/>
            </w:pPr>
            <w:r w:rsidRPr="00097A86">
              <w:t>Soda ash use</w:t>
            </w:r>
          </w:p>
        </w:tc>
      </w:tr>
      <w:tr w:rsidR="00F20356" w:rsidRPr="00097A86" w14:paraId="5C03B30C" w14:textId="77777777" w:rsidTr="00C20CC2">
        <w:tc>
          <w:tcPr>
            <w:tcW w:w="506" w:type="pct"/>
            <w:shd w:val="clear" w:color="auto" w:fill="auto"/>
          </w:tcPr>
          <w:p w14:paraId="01E0B1EE" w14:textId="77777777" w:rsidR="00F20356" w:rsidRPr="00097A86" w:rsidRDefault="00F20356" w:rsidP="00D22D3F">
            <w:pPr>
              <w:pStyle w:val="Tabletext"/>
            </w:pPr>
            <w:r w:rsidRPr="00097A86">
              <w:t>3E</w:t>
            </w:r>
          </w:p>
        </w:tc>
        <w:tc>
          <w:tcPr>
            <w:tcW w:w="1379" w:type="pct"/>
            <w:shd w:val="clear" w:color="auto" w:fill="auto"/>
          </w:tcPr>
          <w:p w14:paraId="2416A911" w14:textId="77777777" w:rsidR="00F20356" w:rsidRPr="00097A86" w:rsidRDefault="00F20356" w:rsidP="00D22D3F">
            <w:pPr>
              <w:pStyle w:val="Tabletext"/>
            </w:pPr>
          </w:p>
        </w:tc>
        <w:tc>
          <w:tcPr>
            <w:tcW w:w="3115" w:type="pct"/>
            <w:shd w:val="clear" w:color="auto" w:fill="auto"/>
          </w:tcPr>
          <w:p w14:paraId="1460AE19" w14:textId="77777777" w:rsidR="00F20356" w:rsidRPr="00097A86" w:rsidRDefault="00F20356" w:rsidP="00D22D3F">
            <w:pPr>
              <w:pStyle w:val="Tabletext"/>
            </w:pPr>
            <w:r w:rsidRPr="00097A86">
              <w:t>Soda ash production</w:t>
            </w:r>
          </w:p>
        </w:tc>
      </w:tr>
      <w:tr w:rsidR="00F20356" w:rsidRPr="00097A86" w14:paraId="19783C1B" w14:textId="77777777" w:rsidTr="00C20CC2">
        <w:tc>
          <w:tcPr>
            <w:tcW w:w="506" w:type="pct"/>
            <w:shd w:val="clear" w:color="auto" w:fill="auto"/>
          </w:tcPr>
          <w:p w14:paraId="14F8B585" w14:textId="77777777" w:rsidR="00F20356" w:rsidRPr="00097A86" w:rsidRDefault="00F20356" w:rsidP="00D22D3F">
            <w:pPr>
              <w:pStyle w:val="Tabletext"/>
            </w:pPr>
            <w:r w:rsidRPr="00097A86">
              <w:t>3F</w:t>
            </w:r>
          </w:p>
        </w:tc>
        <w:tc>
          <w:tcPr>
            <w:tcW w:w="1379" w:type="pct"/>
            <w:shd w:val="clear" w:color="auto" w:fill="auto"/>
          </w:tcPr>
          <w:p w14:paraId="245860D9" w14:textId="77777777" w:rsidR="00F20356" w:rsidRPr="00097A86" w:rsidRDefault="00F20356" w:rsidP="00D22D3F">
            <w:pPr>
              <w:pStyle w:val="Tabletext"/>
            </w:pPr>
          </w:p>
        </w:tc>
        <w:tc>
          <w:tcPr>
            <w:tcW w:w="3115" w:type="pct"/>
            <w:shd w:val="clear" w:color="auto" w:fill="auto"/>
          </w:tcPr>
          <w:p w14:paraId="6D881AC7" w14:textId="77777777" w:rsidR="00F20356" w:rsidRPr="00097A86" w:rsidRDefault="00F20356" w:rsidP="00D22D3F">
            <w:pPr>
              <w:pStyle w:val="Tabletext"/>
            </w:pPr>
            <w:r w:rsidRPr="00097A86">
              <w:t>Ammonia production</w:t>
            </w:r>
          </w:p>
        </w:tc>
      </w:tr>
      <w:tr w:rsidR="00F20356" w:rsidRPr="00097A86" w14:paraId="23616A55" w14:textId="77777777" w:rsidTr="00C20CC2">
        <w:tc>
          <w:tcPr>
            <w:tcW w:w="506" w:type="pct"/>
            <w:shd w:val="clear" w:color="auto" w:fill="auto"/>
          </w:tcPr>
          <w:p w14:paraId="34A69C5E" w14:textId="77777777" w:rsidR="00F20356" w:rsidRPr="00097A86" w:rsidRDefault="00F20356" w:rsidP="00D22D3F">
            <w:pPr>
              <w:pStyle w:val="Tabletext"/>
            </w:pPr>
            <w:r w:rsidRPr="00097A86">
              <w:t>3G</w:t>
            </w:r>
          </w:p>
        </w:tc>
        <w:tc>
          <w:tcPr>
            <w:tcW w:w="1379" w:type="pct"/>
            <w:shd w:val="clear" w:color="auto" w:fill="auto"/>
          </w:tcPr>
          <w:p w14:paraId="76C9A3B4" w14:textId="77777777" w:rsidR="00F20356" w:rsidRPr="00097A86" w:rsidRDefault="00F20356" w:rsidP="00D22D3F">
            <w:pPr>
              <w:pStyle w:val="Tabletext"/>
            </w:pPr>
          </w:p>
        </w:tc>
        <w:tc>
          <w:tcPr>
            <w:tcW w:w="3115" w:type="pct"/>
            <w:shd w:val="clear" w:color="auto" w:fill="auto"/>
          </w:tcPr>
          <w:p w14:paraId="309A1D43" w14:textId="77777777" w:rsidR="00F20356" w:rsidRPr="00097A86" w:rsidRDefault="00F20356" w:rsidP="00D22D3F">
            <w:pPr>
              <w:pStyle w:val="Tabletext"/>
            </w:pPr>
            <w:r w:rsidRPr="00097A86">
              <w:t>Nitric acid production</w:t>
            </w:r>
          </w:p>
        </w:tc>
      </w:tr>
      <w:tr w:rsidR="00F20356" w:rsidRPr="00097A86" w14:paraId="46AEDB1A" w14:textId="77777777" w:rsidTr="00C20CC2">
        <w:tc>
          <w:tcPr>
            <w:tcW w:w="506" w:type="pct"/>
            <w:shd w:val="clear" w:color="auto" w:fill="auto"/>
          </w:tcPr>
          <w:p w14:paraId="6B39144B" w14:textId="77777777" w:rsidR="00F20356" w:rsidRPr="00097A86" w:rsidRDefault="00F20356" w:rsidP="00D22D3F">
            <w:pPr>
              <w:pStyle w:val="Tabletext"/>
            </w:pPr>
            <w:r w:rsidRPr="00097A86">
              <w:t>3H</w:t>
            </w:r>
          </w:p>
        </w:tc>
        <w:tc>
          <w:tcPr>
            <w:tcW w:w="1379" w:type="pct"/>
            <w:shd w:val="clear" w:color="auto" w:fill="auto"/>
          </w:tcPr>
          <w:p w14:paraId="07CC8426" w14:textId="77777777" w:rsidR="00F20356" w:rsidRPr="00097A86" w:rsidRDefault="00F20356" w:rsidP="00D22D3F">
            <w:pPr>
              <w:pStyle w:val="Tabletext"/>
            </w:pPr>
          </w:p>
        </w:tc>
        <w:tc>
          <w:tcPr>
            <w:tcW w:w="3115" w:type="pct"/>
            <w:shd w:val="clear" w:color="auto" w:fill="auto"/>
          </w:tcPr>
          <w:p w14:paraId="4BF665DE" w14:textId="77777777" w:rsidR="00F20356" w:rsidRPr="00097A86" w:rsidRDefault="00F20356" w:rsidP="00D22D3F">
            <w:pPr>
              <w:pStyle w:val="Tabletext"/>
            </w:pPr>
            <w:r w:rsidRPr="00097A86">
              <w:t>Adipic acid production</w:t>
            </w:r>
          </w:p>
        </w:tc>
      </w:tr>
      <w:tr w:rsidR="00F20356" w:rsidRPr="00097A86" w14:paraId="140964F2" w14:textId="77777777" w:rsidTr="00C20CC2">
        <w:tc>
          <w:tcPr>
            <w:tcW w:w="506" w:type="pct"/>
            <w:shd w:val="clear" w:color="auto" w:fill="auto"/>
          </w:tcPr>
          <w:p w14:paraId="3D184C09" w14:textId="77777777" w:rsidR="00F20356" w:rsidRPr="00097A86" w:rsidRDefault="00F20356" w:rsidP="00D22D3F">
            <w:pPr>
              <w:pStyle w:val="Tabletext"/>
            </w:pPr>
            <w:r w:rsidRPr="00097A86">
              <w:t>3I</w:t>
            </w:r>
          </w:p>
        </w:tc>
        <w:tc>
          <w:tcPr>
            <w:tcW w:w="1379" w:type="pct"/>
            <w:shd w:val="clear" w:color="auto" w:fill="auto"/>
          </w:tcPr>
          <w:p w14:paraId="6829DC12" w14:textId="77777777" w:rsidR="00F20356" w:rsidRPr="00097A86" w:rsidRDefault="00F20356" w:rsidP="00D22D3F">
            <w:pPr>
              <w:pStyle w:val="Tabletext"/>
            </w:pPr>
          </w:p>
        </w:tc>
        <w:tc>
          <w:tcPr>
            <w:tcW w:w="3115" w:type="pct"/>
            <w:shd w:val="clear" w:color="auto" w:fill="auto"/>
          </w:tcPr>
          <w:p w14:paraId="28EC8079" w14:textId="77777777" w:rsidR="00F20356" w:rsidRPr="00097A86" w:rsidRDefault="00F20356" w:rsidP="00D22D3F">
            <w:pPr>
              <w:pStyle w:val="Tabletext"/>
            </w:pPr>
            <w:r w:rsidRPr="00097A86">
              <w:t>Carbide production</w:t>
            </w:r>
          </w:p>
        </w:tc>
      </w:tr>
      <w:tr w:rsidR="00F20356" w:rsidRPr="00097A86" w14:paraId="66C0DCB3" w14:textId="77777777" w:rsidTr="00C20CC2">
        <w:tc>
          <w:tcPr>
            <w:tcW w:w="506" w:type="pct"/>
            <w:shd w:val="clear" w:color="auto" w:fill="auto"/>
          </w:tcPr>
          <w:p w14:paraId="47725A3A" w14:textId="77777777" w:rsidR="00F20356" w:rsidRPr="00097A86" w:rsidRDefault="00F20356" w:rsidP="00D22D3F">
            <w:pPr>
              <w:pStyle w:val="Tabletext"/>
            </w:pPr>
            <w:r w:rsidRPr="00097A86">
              <w:t>3J</w:t>
            </w:r>
          </w:p>
        </w:tc>
        <w:tc>
          <w:tcPr>
            <w:tcW w:w="1379" w:type="pct"/>
            <w:shd w:val="clear" w:color="auto" w:fill="auto"/>
          </w:tcPr>
          <w:p w14:paraId="08FC3366" w14:textId="77777777" w:rsidR="00F20356" w:rsidRPr="00097A86" w:rsidRDefault="00F20356" w:rsidP="00D22D3F">
            <w:pPr>
              <w:pStyle w:val="Tabletext"/>
            </w:pPr>
          </w:p>
        </w:tc>
        <w:tc>
          <w:tcPr>
            <w:tcW w:w="3115" w:type="pct"/>
            <w:shd w:val="clear" w:color="auto" w:fill="auto"/>
          </w:tcPr>
          <w:p w14:paraId="4E4C78BD" w14:textId="77777777" w:rsidR="00F20356" w:rsidRPr="00097A86" w:rsidRDefault="00F20356" w:rsidP="00D22D3F">
            <w:pPr>
              <w:pStyle w:val="Tabletext"/>
            </w:pPr>
            <w:r w:rsidRPr="00097A86">
              <w:t xml:space="preserve">Chemical or mineral production, other than carbide production, using a carbon </w:t>
            </w:r>
            <w:r w:rsidR="00931406" w:rsidRPr="00097A86">
              <w:t xml:space="preserve"> reductant or carbon anode</w:t>
            </w:r>
          </w:p>
        </w:tc>
      </w:tr>
      <w:tr w:rsidR="00F20356" w:rsidRPr="00097A86" w14:paraId="3FB3F762" w14:textId="77777777" w:rsidTr="00C20CC2">
        <w:tc>
          <w:tcPr>
            <w:tcW w:w="506" w:type="pct"/>
            <w:shd w:val="clear" w:color="auto" w:fill="auto"/>
          </w:tcPr>
          <w:p w14:paraId="0FDFAA67" w14:textId="77777777" w:rsidR="00F20356" w:rsidRPr="00097A86" w:rsidRDefault="00F20356" w:rsidP="00D22D3F">
            <w:pPr>
              <w:pStyle w:val="Tabletext"/>
            </w:pPr>
            <w:r w:rsidRPr="00097A86">
              <w:t>3K</w:t>
            </w:r>
          </w:p>
        </w:tc>
        <w:tc>
          <w:tcPr>
            <w:tcW w:w="1379" w:type="pct"/>
            <w:shd w:val="clear" w:color="auto" w:fill="auto"/>
          </w:tcPr>
          <w:p w14:paraId="1298F010" w14:textId="77777777" w:rsidR="00F20356" w:rsidRPr="00097A86" w:rsidRDefault="00F20356" w:rsidP="00D22D3F">
            <w:pPr>
              <w:pStyle w:val="Tabletext"/>
            </w:pPr>
          </w:p>
        </w:tc>
        <w:tc>
          <w:tcPr>
            <w:tcW w:w="3115" w:type="pct"/>
            <w:shd w:val="clear" w:color="auto" w:fill="auto"/>
          </w:tcPr>
          <w:p w14:paraId="103E4399" w14:textId="77777777" w:rsidR="00F20356" w:rsidRPr="00097A86" w:rsidRDefault="00F20356" w:rsidP="00D22D3F">
            <w:pPr>
              <w:pStyle w:val="Tabletext"/>
            </w:pPr>
            <w:r w:rsidRPr="00097A86">
              <w:t>Iron, steel or other metal production using an integrated metalworks</w:t>
            </w:r>
          </w:p>
        </w:tc>
      </w:tr>
      <w:tr w:rsidR="00F20356" w:rsidRPr="00097A86" w14:paraId="40C849A0" w14:textId="77777777" w:rsidTr="00C20CC2">
        <w:tc>
          <w:tcPr>
            <w:tcW w:w="506" w:type="pct"/>
            <w:shd w:val="clear" w:color="auto" w:fill="auto"/>
          </w:tcPr>
          <w:p w14:paraId="76264A48" w14:textId="77777777" w:rsidR="00F20356" w:rsidRPr="00097A86" w:rsidRDefault="00F20356" w:rsidP="00D22D3F">
            <w:pPr>
              <w:pStyle w:val="Tabletext"/>
            </w:pPr>
            <w:r w:rsidRPr="00097A86">
              <w:t>3L</w:t>
            </w:r>
          </w:p>
        </w:tc>
        <w:tc>
          <w:tcPr>
            <w:tcW w:w="1379" w:type="pct"/>
            <w:shd w:val="clear" w:color="auto" w:fill="auto"/>
          </w:tcPr>
          <w:p w14:paraId="35FCAAA3" w14:textId="77777777" w:rsidR="00F20356" w:rsidRPr="00097A86" w:rsidRDefault="00F20356" w:rsidP="00D22D3F">
            <w:pPr>
              <w:pStyle w:val="Tabletext"/>
            </w:pPr>
          </w:p>
        </w:tc>
        <w:tc>
          <w:tcPr>
            <w:tcW w:w="3115" w:type="pct"/>
            <w:shd w:val="clear" w:color="auto" w:fill="auto"/>
          </w:tcPr>
          <w:p w14:paraId="392AFA12" w14:textId="77777777" w:rsidR="00F20356" w:rsidRPr="00097A86" w:rsidRDefault="00F20356" w:rsidP="00D22D3F">
            <w:pPr>
              <w:pStyle w:val="Tabletext"/>
            </w:pPr>
            <w:r w:rsidRPr="00097A86">
              <w:t>Ferroalloys production</w:t>
            </w:r>
          </w:p>
        </w:tc>
      </w:tr>
      <w:tr w:rsidR="00F20356" w:rsidRPr="00097A86" w14:paraId="0A7959AE" w14:textId="77777777" w:rsidTr="00C20CC2">
        <w:tc>
          <w:tcPr>
            <w:tcW w:w="506" w:type="pct"/>
            <w:shd w:val="clear" w:color="auto" w:fill="auto"/>
          </w:tcPr>
          <w:p w14:paraId="5EBD44BB" w14:textId="77777777" w:rsidR="00F20356" w:rsidRPr="00097A86" w:rsidRDefault="00F20356" w:rsidP="00D22D3F">
            <w:pPr>
              <w:pStyle w:val="Tabletext"/>
            </w:pPr>
            <w:r w:rsidRPr="00097A86">
              <w:t>3M</w:t>
            </w:r>
          </w:p>
        </w:tc>
        <w:tc>
          <w:tcPr>
            <w:tcW w:w="1379" w:type="pct"/>
            <w:shd w:val="clear" w:color="auto" w:fill="auto"/>
          </w:tcPr>
          <w:p w14:paraId="1E02B053" w14:textId="77777777" w:rsidR="00F20356" w:rsidRPr="00097A86" w:rsidRDefault="00F20356" w:rsidP="00D22D3F">
            <w:pPr>
              <w:pStyle w:val="Tabletext"/>
            </w:pPr>
          </w:p>
        </w:tc>
        <w:tc>
          <w:tcPr>
            <w:tcW w:w="3115" w:type="pct"/>
            <w:shd w:val="clear" w:color="auto" w:fill="auto"/>
          </w:tcPr>
          <w:p w14:paraId="68331354" w14:textId="77777777" w:rsidR="00F20356" w:rsidRPr="00097A86" w:rsidRDefault="00F20356" w:rsidP="00D22D3F">
            <w:pPr>
              <w:pStyle w:val="Tabletext"/>
            </w:pPr>
            <w:r w:rsidRPr="00097A86">
              <w:t xml:space="preserve">Aluminium production </w:t>
            </w:r>
          </w:p>
        </w:tc>
      </w:tr>
      <w:tr w:rsidR="00F20356" w:rsidRPr="00097A86" w14:paraId="6DE45181" w14:textId="77777777" w:rsidTr="00C20CC2">
        <w:tc>
          <w:tcPr>
            <w:tcW w:w="506" w:type="pct"/>
            <w:shd w:val="clear" w:color="auto" w:fill="auto"/>
          </w:tcPr>
          <w:p w14:paraId="6C722BB8" w14:textId="77777777" w:rsidR="00F20356" w:rsidRPr="00097A86" w:rsidRDefault="00F20356" w:rsidP="00D22D3F">
            <w:pPr>
              <w:pStyle w:val="Tabletext"/>
            </w:pPr>
            <w:r w:rsidRPr="00097A86">
              <w:t>3N</w:t>
            </w:r>
          </w:p>
        </w:tc>
        <w:tc>
          <w:tcPr>
            <w:tcW w:w="1379" w:type="pct"/>
            <w:shd w:val="clear" w:color="auto" w:fill="auto"/>
          </w:tcPr>
          <w:p w14:paraId="730424EE" w14:textId="77777777" w:rsidR="00F20356" w:rsidRPr="00097A86" w:rsidRDefault="00F20356" w:rsidP="00D22D3F">
            <w:pPr>
              <w:pStyle w:val="Tabletext"/>
            </w:pPr>
          </w:p>
        </w:tc>
        <w:tc>
          <w:tcPr>
            <w:tcW w:w="3115" w:type="pct"/>
            <w:shd w:val="clear" w:color="auto" w:fill="auto"/>
          </w:tcPr>
          <w:p w14:paraId="0109BEAB" w14:textId="77777777" w:rsidR="00F20356" w:rsidRPr="00097A86" w:rsidRDefault="00F20356" w:rsidP="00D22D3F">
            <w:pPr>
              <w:pStyle w:val="Tabletext"/>
            </w:pPr>
            <w:r w:rsidRPr="00097A86">
              <w:t>Other metals production</w:t>
            </w:r>
          </w:p>
        </w:tc>
      </w:tr>
      <w:tr w:rsidR="00F20356" w:rsidRPr="00097A86" w14:paraId="19F1BACB" w14:textId="77777777" w:rsidTr="00C20CC2">
        <w:tc>
          <w:tcPr>
            <w:tcW w:w="506" w:type="pct"/>
            <w:shd w:val="clear" w:color="auto" w:fill="auto"/>
          </w:tcPr>
          <w:p w14:paraId="6B17A238" w14:textId="77777777" w:rsidR="00F20356" w:rsidRPr="00097A86" w:rsidRDefault="00F20356" w:rsidP="00D22D3F">
            <w:pPr>
              <w:pStyle w:val="Tabletext"/>
            </w:pPr>
            <w:r w:rsidRPr="00097A86">
              <w:t>3O</w:t>
            </w:r>
          </w:p>
        </w:tc>
        <w:tc>
          <w:tcPr>
            <w:tcW w:w="1379" w:type="pct"/>
            <w:shd w:val="clear" w:color="auto" w:fill="auto"/>
          </w:tcPr>
          <w:p w14:paraId="04B73A5B" w14:textId="77777777" w:rsidR="00F20356" w:rsidRPr="00097A86" w:rsidRDefault="00F20356" w:rsidP="00D22D3F">
            <w:pPr>
              <w:pStyle w:val="Tabletext"/>
            </w:pPr>
          </w:p>
        </w:tc>
        <w:tc>
          <w:tcPr>
            <w:tcW w:w="3115" w:type="pct"/>
            <w:shd w:val="clear" w:color="auto" w:fill="auto"/>
          </w:tcPr>
          <w:p w14:paraId="044659DA" w14:textId="77777777" w:rsidR="00F20356" w:rsidRPr="00097A86" w:rsidRDefault="00F20356" w:rsidP="00D22D3F">
            <w:pPr>
              <w:pStyle w:val="Tabletext"/>
            </w:pPr>
            <w:r w:rsidRPr="00097A86">
              <w:t>Emissions of hydrofluorocarbons and sulphur hexafluoride gases</w:t>
            </w:r>
          </w:p>
        </w:tc>
      </w:tr>
      <w:tr w:rsidR="00D80813" w:rsidRPr="00097A86" w14:paraId="6F221E3F" w14:textId="77777777" w:rsidTr="00C20CC2">
        <w:tc>
          <w:tcPr>
            <w:tcW w:w="506" w:type="pct"/>
            <w:shd w:val="clear" w:color="auto" w:fill="auto"/>
          </w:tcPr>
          <w:p w14:paraId="6997B2DE" w14:textId="77777777" w:rsidR="00D80813" w:rsidRPr="00097A86" w:rsidRDefault="00D80813" w:rsidP="00D22D3F">
            <w:pPr>
              <w:pStyle w:val="Tabletext"/>
            </w:pPr>
            <w:r w:rsidRPr="00097A86">
              <w:t>3P</w:t>
            </w:r>
          </w:p>
        </w:tc>
        <w:tc>
          <w:tcPr>
            <w:tcW w:w="1379" w:type="pct"/>
            <w:shd w:val="clear" w:color="auto" w:fill="auto"/>
          </w:tcPr>
          <w:p w14:paraId="7BB5E688" w14:textId="77777777" w:rsidR="00D80813" w:rsidRPr="00097A86" w:rsidRDefault="00D80813" w:rsidP="00D22D3F">
            <w:pPr>
              <w:pStyle w:val="Tabletext"/>
            </w:pPr>
          </w:p>
        </w:tc>
        <w:tc>
          <w:tcPr>
            <w:tcW w:w="3115" w:type="pct"/>
            <w:shd w:val="clear" w:color="auto" w:fill="auto"/>
          </w:tcPr>
          <w:p w14:paraId="0C59E13A" w14:textId="77777777" w:rsidR="00D80813" w:rsidRPr="00097A86" w:rsidRDefault="00D80813" w:rsidP="00D22D3F">
            <w:pPr>
              <w:pStyle w:val="Tabletext"/>
            </w:pPr>
            <w:r w:rsidRPr="00097A86">
              <w:t>Sodium cyanide production</w:t>
            </w:r>
          </w:p>
        </w:tc>
      </w:tr>
      <w:tr w:rsidR="00F20356" w:rsidRPr="00097A86" w14:paraId="6718D58A" w14:textId="77777777" w:rsidTr="00C20CC2">
        <w:tc>
          <w:tcPr>
            <w:tcW w:w="506" w:type="pct"/>
            <w:shd w:val="clear" w:color="auto" w:fill="auto"/>
          </w:tcPr>
          <w:p w14:paraId="0AEF4F3A" w14:textId="77777777" w:rsidR="00F20356" w:rsidRPr="00097A86" w:rsidRDefault="00F20356" w:rsidP="00D22D3F">
            <w:pPr>
              <w:pStyle w:val="Tabletext"/>
            </w:pPr>
            <w:r w:rsidRPr="00097A86">
              <w:t>4</w:t>
            </w:r>
          </w:p>
        </w:tc>
        <w:tc>
          <w:tcPr>
            <w:tcW w:w="1379" w:type="pct"/>
            <w:shd w:val="clear" w:color="auto" w:fill="auto"/>
          </w:tcPr>
          <w:p w14:paraId="19BF0CC2" w14:textId="77777777" w:rsidR="00F20356" w:rsidRPr="00097A86" w:rsidRDefault="00F20356" w:rsidP="00D22D3F">
            <w:pPr>
              <w:pStyle w:val="Tabletext"/>
            </w:pPr>
            <w:r w:rsidRPr="00097A86">
              <w:t>Waste</w:t>
            </w:r>
          </w:p>
        </w:tc>
        <w:tc>
          <w:tcPr>
            <w:tcW w:w="3115" w:type="pct"/>
            <w:shd w:val="clear" w:color="auto" w:fill="auto"/>
          </w:tcPr>
          <w:p w14:paraId="51593A27" w14:textId="77777777" w:rsidR="00F20356" w:rsidRPr="00097A86" w:rsidRDefault="00F20356" w:rsidP="00D22D3F">
            <w:pPr>
              <w:pStyle w:val="Tabletext"/>
            </w:pPr>
          </w:p>
        </w:tc>
      </w:tr>
      <w:tr w:rsidR="00F20356" w:rsidRPr="00097A86" w14:paraId="02ADFEAE" w14:textId="77777777" w:rsidTr="00C20CC2">
        <w:tc>
          <w:tcPr>
            <w:tcW w:w="506" w:type="pct"/>
            <w:shd w:val="clear" w:color="auto" w:fill="auto"/>
          </w:tcPr>
          <w:p w14:paraId="3EC4F423" w14:textId="77777777" w:rsidR="00F20356" w:rsidRPr="00097A86" w:rsidRDefault="00F20356" w:rsidP="00D22D3F">
            <w:pPr>
              <w:pStyle w:val="Tabletext"/>
            </w:pPr>
            <w:r w:rsidRPr="00097A86">
              <w:t>4A</w:t>
            </w:r>
          </w:p>
        </w:tc>
        <w:tc>
          <w:tcPr>
            <w:tcW w:w="1379" w:type="pct"/>
            <w:shd w:val="clear" w:color="auto" w:fill="auto"/>
          </w:tcPr>
          <w:p w14:paraId="24D6B6DC" w14:textId="77777777" w:rsidR="00F20356" w:rsidRPr="00097A86" w:rsidRDefault="00F20356" w:rsidP="00D22D3F">
            <w:pPr>
              <w:pStyle w:val="Tabletext"/>
            </w:pPr>
          </w:p>
        </w:tc>
        <w:tc>
          <w:tcPr>
            <w:tcW w:w="3115" w:type="pct"/>
            <w:shd w:val="clear" w:color="auto" w:fill="auto"/>
          </w:tcPr>
          <w:p w14:paraId="5C31EF16" w14:textId="77777777" w:rsidR="00F20356" w:rsidRPr="00097A86" w:rsidRDefault="00F20356" w:rsidP="00D22D3F">
            <w:pPr>
              <w:pStyle w:val="Tabletext"/>
            </w:pPr>
            <w:r w:rsidRPr="00097A86">
              <w:t>Solid waste disposal on land</w:t>
            </w:r>
          </w:p>
        </w:tc>
      </w:tr>
      <w:tr w:rsidR="001948E5" w:rsidRPr="00097A86" w14:paraId="550E3EAC" w14:textId="77777777" w:rsidTr="00C20CC2">
        <w:tc>
          <w:tcPr>
            <w:tcW w:w="506" w:type="pct"/>
            <w:shd w:val="clear" w:color="auto" w:fill="auto"/>
          </w:tcPr>
          <w:p w14:paraId="68100AF6" w14:textId="77777777" w:rsidR="001948E5" w:rsidRPr="00097A86" w:rsidRDefault="001948E5" w:rsidP="00D22D3F">
            <w:pPr>
              <w:pStyle w:val="Tabletext"/>
            </w:pPr>
            <w:r w:rsidRPr="00097A86">
              <w:t>4AA</w:t>
            </w:r>
          </w:p>
        </w:tc>
        <w:tc>
          <w:tcPr>
            <w:tcW w:w="1379" w:type="pct"/>
            <w:shd w:val="clear" w:color="auto" w:fill="auto"/>
          </w:tcPr>
          <w:p w14:paraId="4A817096" w14:textId="77777777" w:rsidR="001948E5" w:rsidRPr="00097A86" w:rsidRDefault="001948E5" w:rsidP="00D22D3F">
            <w:pPr>
              <w:pStyle w:val="Tabletext"/>
            </w:pPr>
          </w:p>
        </w:tc>
        <w:tc>
          <w:tcPr>
            <w:tcW w:w="3115" w:type="pct"/>
            <w:shd w:val="clear" w:color="auto" w:fill="auto"/>
          </w:tcPr>
          <w:p w14:paraId="62C90694" w14:textId="77777777" w:rsidR="001948E5" w:rsidRPr="00097A86" w:rsidRDefault="001948E5" w:rsidP="00D22D3F">
            <w:pPr>
              <w:pStyle w:val="Tabletext"/>
            </w:pPr>
            <w:r w:rsidRPr="00097A86">
              <w:t>Biological treatment of solid waste</w:t>
            </w:r>
          </w:p>
        </w:tc>
      </w:tr>
      <w:tr w:rsidR="001948E5" w:rsidRPr="00097A86" w14:paraId="73653AE3" w14:textId="77777777" w:rsidTr="00C20CC2">
        <w:tc>
          <w:tcPr>
            <w:tcW w:w="506" w:type="pct"/>
            <w:shd w:val="clear" w:color="auto" w:fill="auto"/>
          </w:tcPr>
          <w:p w14:paraId="1E871D56" w14:textId="77777777" w:rsidR="001948E5" w:rsidRPr="00097A86" w:rsidRDefault="001948E5" w:rsidP="00D22D3F">
            <w:pPr>
              <w:pStyle w:val="Tabletext"/>
            </w:pPr>
            <w:r w:rsidRPr="00097A86">
              <w:t>4B</w:t>
            </w:r>
          </w:p>
        </w:tc>
        <w:tc>
          <w:tcPr>
            <w:tcW w:w="1379" w:type="pct"/>
            <w:shd w:val="clear" w:color="auto" w:fill="auto"/>
          </w:tcPr>
          <w:p w14:paraId="407D1F58" w14:textId="77777777" w:rsidR="001948E5" w:rsidRPr="00097A86" w:rsidRDefault="001948E5" w:rsidP="00D22D3F">
            <w:pPr>
              <w:pStyle w:val="Tabletext"/>
            </w:pPr>
          </w:p>
        </w:tc>
        <w:tc>
          <w:tcPr>
            <w:tcW w:w="3115" w:type="pct"/>
            <w:shd w:val="clear" w:color="auto" w:fill="auto"/>
          </w:tcPr>
          <w:p w14:paraId="1B28482A" w14:textId="77777777" w:rsidR="001948E5" w:rsidRPr="00097A86" w:rsidRDefault="001948E5" w:rsidP="00D22D3F">
            <w:pPr>
              <w:pStyle w:val="Tabletext"/>
            </w:pPr>
            <w:r w:rsidRPr="00097A86">
              <w:t>Wastewater handling (industrial)</w:t>
            </w:r>
          </w:p>
        </w:tc>
      </w:tr>
      <w:tr w:rsidR="001948E5" w:rsidRPr="00097A86" w14:paraId="43474A55" w14:textId="77777777" w:rsidTr="00C20CC2">
        <w:tc>
          <w:tcPr>
            <w:tcW w:w="506" w:type="pct"/>
            <w:tcBorders>
              <w:bottom w:val="single" w:sz="4" w:space="0" w:color="auto"/>
            </w:tcBorders>
            <w:shd w:val="clear" w:color="auto" w:fill="auto"/>
          </w:tcPr>
          <w:p w14:paraId="0D91092F" w14:textId="77777777" w:rsidR="001948E5" w:rsidRPr="00097A86" w:rsidRDefault="001948E5" w:rsidP="00D22D3F">
            <w:pPr>
              <w:pStyle w:val="Tabletext"/>
            </w:pPr>
            <w:r w:rsidRPr="00097A86">
              <w:lastRenderedPageBreak/>
              <w:t>4C</w:t>
            </w:r>
          </w:p>
        </w:tc>
        <w:tc>
          <w:tcPr>
            <w:tcW w:w="1379" w:type="pct"/>
            <w:tcBorders>
              <w:bottom w:val="single" w:sz="4" w:space="0" w:color="auto"/>
            </w:tcBorders>
            <w:shd w:val="clear" w:color="auto" w:fill="auto"/>
          </w:tcPr>
          <w:p w14:paraId="101A0726" w14:textId="77777777" w:rsidR="001948E5" w:rsidRPr="00097A86" w:rsidRDefault="001948E5" w:rsidP="00D22D3F">
            <w:pPr>
              <w:pStyle w:val="Tabletext"/>
            </w:pPr>
          </w:p>
        </w:tc>
        <w:tc>
          <w:tcPr>
            <w:tcW w:w="3115" w:type="pct"/>
            <w:tcBorders>
              <w:bottom w:val="single" w:sz="4" w:space="0" w:color="auto"/>
            </w:tcBorders>
            <w:shd w:val="clear" w:color="auto" w:fill="auto"/>
          </w:tcPr>
          <w:p w14:paraId="519103B0" w14:textId="77777777" w:rsidR="001948E5" w:rsidRPr="00097A86" w:rsidRDefault="001948E5" w:rsidP="00D22D3F">
            <w:pPr>
              <w:pStyle w:val="Tabletext"/>
            </w:pPr>
            <w:r w:rsidRPr="00097A86">
              <w:t>Wastewater handling (domestic or commercial)</w:t>
            </w:r>
          </w:p>
        </w:tc>
      </w:tr>
      <w:tr w:rsidR="001948E5" w:rsidRPr="00097A86" w14:paraId="2964F895" w14:textId="77777777" w:rsidTr="00C20CC2">
        <w:tc>
          <w:tcPr>
            <w:tcW w:w="506" w:type="pct"/>
            <w:tcBorders>
              <w:bottom w:val="single" w:sz="12" w:space="0" w:color="auto"/>
            </w:tcBorders>
            <w:shd w:val="clear" w:color="auto" w:fill="auto"/>
          </w:tcPr>
          <w:p w14:paraId="20FB7F17" w14:textId="77777777" w:rsidR="001948E5" w:rsidRPr="00097A86" w:rsidRDefault="001948E5" w:rsidP="00D22D3F">
            <w:pPr>
              <w:pStyle w:val="Tabletext"/>
            </w:pPr>
            <w:r w:rsidRPr="00097A86">
              <w:t>4D</w:t>
            </w:r>
          </w:p>
        </w:tc>
        <w:tc>
          <w:tcPr>
            <w:tcW w:w="1379" w:type="pct"/>
            <w:tcBorders>
              <w:bottom w:val="single" w:sz="12" w:space="0" w:color="auto"/>
            </w:tcBorders>
            <w:shd w:val="clear" w:color="auto" w:fill="auto"/>
          </w:tcPr>
          <w:p w14:paraId="6B475185" w14:textId="77777777" w:rsidR="001948E5" w:rsidRPr="00097A86" w:rsidRDefault="001948E5" w:rsidP="00D22D3F">
            <w:pPr>
              <w:pStyle w:val="Tabletext"/>
            </w:pPr>
          </w:p>
        </w:tc>
        <w:tc>
          <w:tcPr>
            <w:tcW w:w="3115" w:type="pct"/>
            <w:tcBorders>
              <w:bottom w:val="single" w:sz="12" w:space="0" w:color="auto"/>
            </w:tcBorders>
            <w:shd w:val="clear" w:color="auto" w:fill="auto"/>
          </w:tcPr>
          <w:p w14:paraId="2A0F560D" w14:textId="77777777" w:rsidR="001948E5" w:rsidRPr="00097A86" w:rsidRDefault="001948E5" w:rsidP="00D22D3F">
            <w:pPr>
              <w:pStyle w:val="Tabletext"/>
            </w:pPr>
            <w:r w:rsidRPr="00097A86">
              <w:t>Waste incineration</w:t>
            </w:r>
          </w:p>
        </w:tc>
      </w:tr>
    </w:tbl>
    <w:p w14:paraId="21A12706" w14:textId="77777777" w:rsidR="00F20356" w:rsidRPr="00097A86" w:rsidRDefault="00F20356" w:rsidP="00D22D3F">
      <w:pPr>
        <w:pStyle w:val="subsection"/>
      </w:pPr>
      <w:r w:rsidRPr="00097A86">
        <w:tab/>
        <w:t>(2)</w:t>
      </w:r>
      <w:r w:rsidRPr="00097A86">
        <w:tab/>
        <w:t>The extent of the source is as provided for in this Determination.</w:t>
      </w:r>
    </w:p>
    <w:p w14:paraId="3E62E22D" w14:textId="77777777" w:rsidR="003F0D4E" w:rsidRPr="00097A86" w:rsidRDefault="003F0D4E" w:rsidP="00950E41">
      <w:pPr>
        <w:pStyle w:val="ActHead2"/>
        <w:pageBreakBefore/>
      </w:pPr>
      <w:bookmarkStart w:id="16" w:name="BKCheck15B_3"/>
      <w:bookmarkStart w:id="17" w:name="BKCheck15B_4"/>
      <w:bookmarkStart w:id="18" w:name="BKCheck15B_5"/>
      <w:bookmarkStart w:id="19" w:name="BKCheck15B_6"/>
      <w:bookmarkStart w:id="20" w:name="BKCheck15B_7"/>
      <w:bookmarkStart w:id="21" w:name="BKCheck15B_8"/>
      <w:bookmarkStart w:id="22" w:name="BKCheck15B_9"/>
      <w:bookmarkStart w:id="23" w:name="BKCheck15B_10"/>
      <w:bookmarkStart w:id="24" w:name="BKCheck15B_11"/>
      <w:bookmarkStart w:id="25" w:name="BKCheck15B_12"/>
      <w:bookmarkStart w:id="26" w:name="BKCheck15B_13"/>
      <w:bookmarkStart w:id="27" w:name="BKCheck15B_14"/>
      <w:bookmarkStart w:id="28" w:name="BKCheck15B_15"/>
      <w:bookmarkStart w:id="29" w:name="BKCheck15B_16"/>
      <w:bookmarkStart w:id="30" w:name="BKCheck15B_17"/>
      <w:bookmarkStart w:id="31" w:name="_Toc1323347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97A86">
        <w:rPr>
          <w:rStyle w:val="CharPartNo"/>
        </w:rPr>
        <w:lastRenderedPageBreak/>
        <w:t>Part</w:t>
      </w:r>
      <w:r w:rsidR="00097A86">
        <w:rPr>
          <w:rStyle w:val="CharPartNo"/>
        </w:rPr>
        <w:t> </w:t>
      </w:r>
      <w:r w:rsidRPr="00097A86">
        <w:rPr>
          <w:rStyle w:val="CharPartNo"/>
        </w:rPr>
        <w:t>1.2</w:t>
      </w:r>
      <w:r w:rsidR="00D22D3F" w:rsidRPr="00097A86">
        <w:t>—</w:t>
      </w:r>
      <w:r w:rsidRPr="00097A86">
        <w:rPr>
          <w:rStyle w:val="CharPartText"/>
        </w:rPr>
        <w:t>General</w:t>
      </w:r>
      <w:bookmarkEnd w:id="31"/>
    </w:p>
    <w:p w14:paraId="728BBFBF" w14:textId="77777777" w:rsidR="003F0D4E" w:rsidRPr="00097A86" w:rsidRDefault="003F0D4E" w:rsidP="00D22D3F">
      <w:pPr>
        <w:pStyle w:val="ActHead5"/>
      </w:pPr>
      <w:bookmarkStart w:id="32" w:name="_Toc13233480"/>
      <w:r w:rsidRPr="00097A86">
        <w:rPr>
          <w:rStyle w:val="CharSectno"/>
        </w:rPr>
        <w:t>1.11</w:t>
      </w:r>
      <w:r w:rsidR="00D22D3F" w:rsidRPr="00097A86">
        <w:t xml:space="preserve">  </w:t>
      </w:r>
      <w:r w:rsidRPr="00097A86">
        <w:t>Purpose of Part</w:t>
      </w:r>
      <w:bookmarkEnd w:id="32"/>
    </w:p>
    <w:p w14:paraId="7647F5B3" w14:textId="77777777" w:rsidR="003F0D4E" w:rsidRPr="00097A86" w:rsidRDefault="003F0D4E" w:rsidP="00D22D3F">
      <w:pPr>
        <w:pStyle w:val="subsection"/>
      </w:pPr>
      <w:r w:rsidRPr="00097A86">
        <w:tab/>
      </w:r>
      <w:r w:rsidRPr="00097A86">
        <w:tab/>
        <w:t>This Part provides for general matters as follows:</w:t>
      </w:r>
    </w:p>
    <w:p w14:paraId="41A9C2D9" w14:textId="77777777" w:rsidR="003F0D4E" w:rsidRPr="00097A86" w:rsidRDefault="003F0D4E" w:rsidP="00D22D3F">
      <w:pPr>
        <w:pStyle w:val="paragraph"/>
      </w:pPr>
      <w:r w:rsidRPr="00097A86">
        <w:tab/>
        <w:t>(a)</w:t>
      </w:r>
      <w:r w:rsidRPr="00097A86">
        <w:tab/>
        <w:t>Division</w:t>
      </w:r>
      <w:r w:rsidR="00097A86">
        <w:t> </w:t>
      </w:r>
      <w:r w:rsidRPr="00097A86">
        <w:t xml:space="preserve">1.2.1 provides for the measurement of emissions </w:t>
      </w:r>
      <w:r w:rsidR="009505F0">
        <w:rPr>
          <w:color w:val="000000" w:themeColor="text1"/>
        </w:rPr>
        <w:t xml:space="preserve">and energy </w:t>
      </w:r>
      <w:r w:rsidRPr="00097A86">
        <w:t>and also deals with standards;</w:t>
      </w:r>
    </w:p>
    <w:p w14:paraId="28A4CB30" w14:textId="77777777" w:rsidR="003F0D4E" w:rsidRPr="00097A86" w:rsidRDefault="003F0D4E" w:rsidP="00D22D3F">
      <w:pPr>
        <w:pStyle w:val="paragraph"/>
      </w:pPr>
      <w:r w:rsidRPr="00097A86">
        <w:tab/>
        <w:t>(b)</w:t>
      </w:r>
      <w:r w:rsidRPr="00097A86">
        <w:tab/>
        <w:t>Division</w:t>
      </w:r>
      <w:r w:rsidR="00097A86">
        <w:t> </w:t>
      </w:r>
      <w:r w:rsidRPr="00097A86">
        <w:t>1.2.2 provides for methods for measuring emissions</w:t>
      </w:r>
      <w:r w:rsidR="000F2EC0" w:rsidRPr="00097A86">
        <w:t>;</w:t>
      </w:r>
    </w:p>
    <w:p w14:paraId="5513A76F" w14:textId="77777777" w:rsidR="000F2EC0" w:rsidRPr="00097A86" w:rsidRDefault="000F2EC0" w:rsidP="00D22D3F">
      <w:pPr>
        <w:pStyle w:val="paragraph"/>
      </w:pPr>
      <w:r w:rsidRPr="00097A86">
        <w:tab/>
        <w:t>(c)</w:t>
      </w:r>
      <w:r w:rsidRPr="00097A86">
        <w:tab/>
        <w:t>Division</w:t>
      </w:r>
      <w:r w:rsidR="00097A86">
        <w:t> </w:t>
      </w:r>
      <w:r w:rsidRPr="00097A86">
        <w:t>1.2.3 provides requirements in relation to carbon capture and storage.</w:t>
      </w:r>
    </w:p>
    <w:p w14:paraId="6E0B3399" w14:textId="77777777" w:rsidR="003F0D4E" w:rsidRPr="00097A86" w:rsidRDefault="003F0D4E" w:rsidP="00B217D2">
      <w:pPr>
        <w:pStyle w:val="ActHead3"/>
      </w:pPr>
      <w:bookmarkStart w:id="33" w:name="_Toc13233481"/>
      <w:r w:rsidRPr="00097A86">
        <w:rPr>
          <w:rStyle w:val="CharDivNo"/>
        </w:rPr>
        <w:t>Division</w:t>
      </w:r>
      <w:r w:rsidR="00097A86">
        <w:rPr>
          <w:rStyle w:val="CharDivNo"/>
        </w:rPr>
        <w:t> </w:t>
      </w:r>
      <w:r w:rsidRPr="00097A86">
        <w:rPr>
          <w:rStyle w:val="CharDivNo"/>
        </w:rPr>
        <w:t>1.2.1</w:t>
      </w:r>
      <w:r w:rsidR="00D22D3F" w:rsidRPr="00097A86">
        <w:t>—</w:t>
      </w:r>
      <w:r w:rsidRPr="00097A86">
        <w:rPr>
          <w:rStyle w:val="CharDivText"/>
        </w:rPr>
        <w:t>Measurement and standards</w:t>
      </w:r>
      <w:bookmarkEnd w:id="33"/>
    </w:p>
    <w:p w14:paraId="3EC77276" w14:textId="77777777" w:rsidR="009505F0" w:rsidRPr="00097A86" w:rsidRDefault="009505F0" w:rsidP="009505F0">
      <w:pPr>
        <w:pStyle w:val="ActHead5"/>
      </w:pPr>
      <w:bookmarkStart w:id="34" w:name="_Toc13233482"/>
      <w:r w:rsidRPr="00097A86">
        <w:rPr>
          <w:rStyle w:val="CharSectno"/>
        </w:rPr>
        <w:t>1.12</w:t>
      </w:r>
      <w:r w:rsidRPr="00097A86">
        <w:t xml:space="preserve">  Measurement of emissions</w:t>
      </w:r>
      <w:r>
        <w:t xml:space="preserve"> and energy</w:t>
      </w:r>
      <w:bookmarkEnd w:id="34"/>
    </w:p>
    <w:p w14:paraId="047EF8B4" w14:textId="77777777" w:rsidR="009505F0" w:rsidRDefault="009505F0" w:rsidP="009505F0">
      <w:pPr>
        <w:pStyle w:val="subsection"/>
      </w:pPr>
      <w:r>
        <w:tab/>
        <w:t>(1)</w:t>
      </w:r>
      <w:r>
        <w:tab/>
      </w:r>
      <w:r w:rsidRPr="00097A86">
        <w:t>The measurement of emissions released from the operation of a facility is to be done by estimating the emissions in accordance with this Determination.</w:t>
      </w:r>
    </w:p>
    <w:p w14:paraId="1617D115" w14:textId="77777777" w:rsidR="009505F0" w:rsidRPr="00097A86" w:rsidRDefault="009505F0" w:rsidP="009505F0">
      <w:pPr>
        <w:pStyle w:val="subsection"/>
      </w:pPr>
      <w:r>
        <w:tab/>
        <w:t>(2)</w:t>
      </w:r>
      <w:r>
        <w:tab/>
      </w:r>
      <w:r w:rsidRPr="00097A86">
        <w:t xml:space="preserve">The measurement of </w:t>
      </w:r>
      <w:r>
        <w:t>the production and consumption of energy</w:t>
      </w:r>
      <w:r w:rsidRPr="00097A86">
        <w:t xml:space="preserve"> from the operation of a facility is to be done by </w:t>
      </w:r>
      <w:r>
        <w:t xml:space="preserve">estimating the production and consumption of energy </w:t>
      </w:r>
      <w:r w:rsidRPr="00097A86">
        <w:t>in accordance with this Determination.</w:t>
      </w:r>
    </w:p>
    <w:p w14:paraId="2ABCD53E" w14:textId="77777777" w:rsidR="009505F0" w:rsidRPr="00097A86" w:rsidRDefault="009505F0" w:rsidP="009505F0">
      <w:pPr>
        <w:pStyle w:val="ActHead5"/>
      </w:pPr>
      <w:bookmarkStart w:id="35" w:name="_Toc13233483"/>
      <w:r w:rsidRPr="00097A86">
        <w:rPr>
          <w:rStyle w:val="CharSectno"/>
        </w:rPr>
        <w:t>1.13</w:t>
      </w:r>
      <w:r w:rsidRPr="00097A86">
        <w:t xml:space="preserve">  General principles for measuring emissions</w:t>
      </w:r>
      <w:r>
        <w:t xml:space="preserve"> and energy</w:t>
      </w:r>
      <w:bookmarkEnd w:id="35"/>
    </w:p>
    <w:p w14:paraId="294D715C" w14:textId="77777777" w:rsidR="009505F0" w:rsidRPr="00097A86" w:rsidRDefault="009505F0" w:rsidP="009505F0">
      <w:pPr>
        <w:pStyle w:val="subsection"/>
      </w:pPr>
      <w:r w:rsidRPr="00097A86">
        <w:tab/>
      </w:r>
      <w:r w:rsidRPr="00097A86">
        <w:tab/>
        <w:t>Estimates for this Determination must be prepared in accordance with the following principles:</w:t>
      </w:r>
    </w:p>
    <w:p w14:paraId="1B0294FD" w14:textId="77777777" w:rsidR="009505F0" w:rsidRPr="00097A86" w:rsidRDefault="009505F0" w:rsidP="009505F0">
      <w:pPr>
        <w:pStyle w:val="paragraph"/>
      </w:pPr>
      <w:r w:rsidRPr="00097A86">
        <w:tab/>
        <w:t>(a)</w:t>
      </w:r>
      <w:r w:rsidRPr="00097A86">
        <w:tab/>
        <w:t xml:space="preserve">transparency—emission </w:t>
      </w:r>
      <w:r>
        <w:t xml:space="preserve">and energy </w:t>
      </w:r>
      <w:r w:rsidRPr="00097A86">
        <w:t>estimates must be documented and verifiable;</w:t>
      </w:r>
    </w:p>
    <w:p w14:paraId="4D1A7B16" w14:textId="77777777" w:rsidR="009505F0" w:rsidRPr="00097A86" w:rsidRDefault="009505F0" w:rsidP="009505F0">
      <w:pPr>
        <w:pStyle w:val="paragraph"/>
      </w:pPr>
      <w:r w:rsidRPr="00097A86">
        <w:tab/>
        <w:t>(b)</w:t>
      </w:r>
      <w:r w:rsidRPr="00097A86">
        <w:tab/>
        <w:t xml:space="preserve">comparability—emission </w:t>
      </w:r>
      <w:r>
        <w:t xml:space="preserve">and energy </w:t>
      </w:r>
      <w:r w:rsidRPr="00097A86">
        <w:t xml:space="preserve">estimates using a particular method and produced by a registered corporation or </w:t>
      </w:r>
      <w:r>
        <w:t>registered person</w:t>
      </w:r>
      <w:r w:rsidRPr="00097A86">
        <w:t xml:space="preserve"> in an industry sector must be comparable with emission</w:t>
      </w:r>
      <w:r>
        <w:t xml:space="preserve"> and energy</w:t>
      </w:r>
      <w:r w:rsidRPr="00097A86">
        <w:t xml:space="preserve"> estimates produced by similar corporat</w:t>
      </w:r>
      <w:r>
        <w:t>ions or persons</w:t>
      </w:r>
      <w:r w:rsidRPr="00097A86">
        <w:t xml:space="preserve"> in that industry sector using the same method and consistent with the emission </w:t>
      </w:r>
      <w:r>
        <w:t xml:space="preserve">and energy </w:t>
      </w:r>
      <w:r w:rsidRPr="00097A86">
        <w:t>estimates published by the Department in the National Greenhouse Accounts;</w:t>
      </w:r>
    </w:p>
    <w:p w14:paraId="0BF0D848" w14:textId="77777777" w:rsidR="009505F0" w:rsidRPr="00097A86" w:rsidRDefault="009505F0" w:rsidP="009505F0">
      <w:pPr>
        <w:pStyle w:val="paragraph"/>
      </w:pPr>
      <w:r w:rsidRPr="00097A86">
        <w:tab/>
        <w:t>(c)</w:t>
      </w:r>
      <w:r w:rsidRPr="00097A86">
        <w:tab/>
      </w:r>
      <w:r w:rsidRPr="00097A86">
        <w:rPr>
          <w:iCs/>
        </w:rPr>
        <w:t>accuracy</w:t>
      </w:r>
      <w:r w:rsidRPr="00097A86">
        <w:t xml:space="preserve">—having regard to the availability of reasonable resources by a registered corporation or </w:t>
      </w:r>
      <w:r>
        <w:t>registered person</w:t>
      </w:r>
      <w:r w:rsidRPr="00097A86">
        <w:t xml:space="preserve"> and the requirements of this Determination, uncertainties in emission </w:t>
      </w:r>
      <w:r>
        <w:t xml:space="preserve">and energy </w:t>
      </w:r>
      <w:r w:rsidRPr="00097A86">
        <w:t>estimates must be minimised and any estimates must neither be over nor under estimates of the true values at a 95% confidence level;</w:t>
      </w:r>
    </w:p>
    <w:p w14:paraId="31A5FB1A" w14:textId="77777777" w:rsidR="009505F0" w:rsidRPr="00E035D4" w:rsidRDefault="009505F0" w:rsidP="009505F0">
      <w:pPr>
        <w:pStyle w:val="paragraph"/>
      </w:pPr>
      <w:r w:rsidRPr="00097A86">
        <w:tab/>
        <w:t>(d)</w:t>
      </w:r>
      <w:r w:rsidRPr="00097A86">
        <w:tab/>
      </w:r>
      <w:r w:rsidRPr="00097A86">
        <w:rPr>
          <w:iCs/>
        </w:rPr>
        <w:t>completeness</w:t>
      </w:r>
      <w:r w:rsidRPr="00097A86">
        <w:t>—all identifiable emission sources mentioned in section</w:t>
      </w:r>
      <w:r>
        <w:t> </w:t>
      </w:r>
      <w:r w:rsidRPr="00097A86">
        <w:t>1.10 must be accounted for</w:t>
      </w:r>
      <w:r>
        <w:t xml:space="preserve"> and production and consumption of all identifiable fuels and energy commodities listed in Schedule 1 </w:t>
      </w:r>
      <w:r w:rsidRPr="007418B4">
        <w:t>of the Regulations</w:t>
      </w:r>
      <w:r>
        <w:rPr>
          <w:sz w:val="20"/>
        </w:rPr>
        <w:t xml:space="preserve"> </w:t>
      </w:r>
      <w:r>
        <w:t>must be accounted for, subject to any applicable reporting thresholds</w:t>
      </w:r>
      <w:r w:rsidRPr="00097A86">
        <w:t>.</w:t>
      </w:r>
    </w:p>
    <w:p w14:paraId="479EF015" w14:textId="77777777" w:rsidR="003F0D4E" w:rsidRPr="00097A86" w:rsidRDefault="003F0D4E" w:rsidP="00D22D3F">
      <w:pPr>
        <w:pStyle w:val="ActHead5"/>
      </w:pPr>
      <w:bookmarkStart w:id="36" w:name="_Toc13233484"/>
      <w:r w:rsidRPr="00097A86">
        <w:rPr>
          <w:rStyle w:val="CharSectno"/>
        </w:rPr>
        <w:t>1.14</w:t>
      </w:r>
      <w:r w:rsidR="00D22D3F" w:rsidRPr="00097A86">
        <w:t xml:space="preserve">  </w:t>
      </w:r>
      <w:r w:rsidRPr="00097A86">
        <w:t>Assessment of uncertainty</w:t>
      </w:r>
      <w:bookmarkEnd w:id="36"/>
    </w:p>
    <w:p w14:paraId="376D3517" w14:textId="77777777" w:rsidR="003F0D4E" w:rsidRPr="00097A86" w:rsidRDefault="003F0D4E" w:rsidP="00D22D3F">
      <w:pPr>
        <w:pStyle w:val="subsection"/>
      </w:pPr>
      <w:r w:rsidRPr="00097A86">
        <w:tab/>
      </w:r>
      <w:r w:rsidRPr="00097A86">
        <w:tab/>
        <w:t>The estimate of emissions released from the operation of a facility must include assessment of uncertainty in accordance with Chapter</w:t>
      </w:r>
      <w:r w:rsidR="00097A86">
        <w:t> </w:t>
      </w:r>
      <w:r w:rsidRPr="00097A86">
        <w:t>8.</w:t>
      </w:r>
    </w:p>
    <w:p w14:paraId="739A7690" w14:textId="77777777" w:rsidR="003F0D4E" w:rsidRPr="00097A86" w:rsidRDefault="003F0D4E" w:rsidP="00D22D3F">
      <w:pPr>
        <w:pStyle w:val="ActHead5"/>
      </w:pPr>
      <w:bookmarkStart w:id="37" w:name="_Toc13233485"/>
      <w:r w:rsidRPr="00097A86">
        <w:rPr>
          <w:rStyle w:val="CharSectno"/>
        </w:rPr>
        <w:lastRenderedPageBreak/>
        <w:t>1.15</w:t>
      </w:r>
      <w:r w:rsidR="00D22D3F" w:rsidRPr="00097A86">
        <w:t xml:space="preserve">  </w:t>
      </w:r>
      <w:r w:rsidRPr="00097A86">
        <w:t>Units of measurement</w:t>
      </w:r>
      <w:bookmarkEnd w:id="37"/>
    </w:p>
    <w:p w14:paraId="07C36FE5" w14:textId="77777777" w:rsidR="003F0D4E" w:rsidRPr="00097A86" w:rsidRDefault="003F0D4E" w:rsidP="00D22D3F">
      <w:pPr>
        <w:pStyle w:val="subsection"/>
      </w:pPr>
      <w:r w:rsidRPr="00097A86">
        <w:tab/>
        <w:t>(1)</w:t>
      </w:r>
      <w:r w:rsidRPr="00097A86">
        <w:tab/>
        <w:t>For this Determination, measurements of fuel must be converted as follows:</w:t>
      </w:r>
    </w:p>
    <w:p w14:paraId="6FA86826" w14:textId="77777777" w:rsidR="003F0D4E" w:rsidRPr="00097A86" w:rsidRDefault="003F0D4E" w:rsidP="00D22D3F">
      <w:pPr>
        <w:pStyle w:val="paragraph"/>
      </w:pPr>
      <w:r w:rsidRPr="00097A86">
        <w:tab/>
        <w:t>(a)</w:t>
      </w:r>
      <w:r w:rsidRPr="00097A86">
        <w:tab/>
        <w:t>for solid fuel, to tonnes; and</w:t>
      </w:r>
    </w:p>
    <w:p w14:paraId="2AB07058" w14:textId="77777777" w:rsidR="003F0D4E" w:rsidRPr="00097A86" w:rsidRDefault="003F0D4E" w:rsidP="00D22D3F">
      <w:pPr>
        <w:pStyle w:val="paragraph"/>
      </w:pPr>
      <w:r w:rsidRPr="00097A86">
        <w:tab/>
        <w:t>(b)</w:t>
      </w:r>
      <w:r w:rsidRPr="00097A86">
        <w:tab/>
        <w:t>for liquid fuels, to kilolitres unless otherwise specified; and</w:t>
      </w:r>
    </w:p>
    <w:p w14:paraId="4DD2A13B" w14:textId="77777777" w:rsidR="003F0D4E" w:rsidRPr="00097A86" w:rsidRDefault="003F0D4E" w:rsidP="00D22D3F">
      <w:pPr>
        <w:pStyle w:val="paragraph"/>
      </w:pPr>
      <w:r w:rsidRPr="00097A86">
        <w:tab/>
        <w:t>(c)</w:t>
      </w:r>
      <w:r w:rsidRPr="00097A86">
        <w:tab/>
        <w:t>for gaseous fuels, to cubic metres, corrected to standard conditions, unless otherwise specified.</w:t>
      </w:r>
    </w:p>
    <w:p w14:paraId="2480364B" w14:textId="77777777" w:rsidR="003F0D4E" w:rsidRPr="00097A86" w:rsidRDefault="003F0D4E" w:rsidP="00D22D3F">
      <w:pPr>
        <w:pStyle w:val="subsection"/>
      </w:pPr>
      <w:r w:rsidRPr="00097A86">
        <w:tab/>
        <w:t>(2)</w:t>
      </w:r>
      <w:r w:rsidRPr="00097A86">
        <w:tab/>
        <w:t>For this Determination, emissions of greenhouses gases must be estimated in CO</w:t>
      </w:r>
      <w:r w:rsidRPr="00097A86">
        <w:rPr>
          <w:rStyle w:val="charSubscript"/>
          <w:iCs/>
          <w:sz w:val="22"/>
        </w:rPr>
        <w:t>2</w:t>
      </w:r>
      <w:r w:rsidR="00097A86">
        <w:noBreakHyphen/>
      </w:r>
      <w:r w:rsidRPr="00097A86">
        <w:t>e tonnes.</w:t>
      </w:r>
    </w:p>
    <w:p w14:paraId="65AF9743" w14:textId="77777777" w:rsidR="003F0D4E" w:rsidRPr="00097A86" w:rsidRDefault="003F0D4E" w:rsidP="00D22D3F">
      <w:pPr>
        <w:pStyle w:val="subsection"/>
      </w:pPr>
      <w:r w:rsidRPr="00097A86">
        <w:tab/>
        <w:t>(3)</w:t>
      </w:r>
      <w:r w:rsidRPr="00097A86">
        <w:tab/>
        <w:t>Measurements of energy content must be converted to gigajoules.</w:t>
      </w:r>
    </w:p>
    <w:p w14:paraId="1C4AD223" w14:textId="77777777" w:rsidR="003F0D4E" w:rsidRPr="00097A86" w:rsidRDefault="003F0D4E" w:rsidP="00D22D3F">
      <w:pPr>
        <w:pStyle w:val="subsection"/>
        <w:rPr>
          <w:i/>
        </w:rPr>
      </w:pPr>
      <w:r w:rsidRPr="00097A86">
        <w:tab/>
        <w:t>(4)</w:t>
      </w:r>
      <w:r w:rsidRPr="00097A86">
        <w:tab/>
        <w:t xml:space="preserve">The </w:t>
      </w:r>
      <w:r w:rsidRPr="00097A86">
        <w:rPr>
          <w:i/>
        </w:rPr>
        <w:t>National Measurement Act 1960</w:t>
      </w:r>
      <w:r w:rsidRPr="00097A86">
        <w:t>, and any instrument made under that Act, must be used for conversions required under this section.</w:t>
      </w:r>
    </w:p>
    <w:p w14:paraId="7D6C58A9" w14:textId="77777777" w:rsidR="003F0D4E" w:rsidRPr="00097A86" w:rsidRDefault="003F0D4E" w:rsidP="00D22D3F">
      <w:pPr>
        <w:pStyle w:val="ActHead5"/>
      </w:pPr>
      <w:bookmarkStart w:id="38" w:name="_Toc13233486"/>
      <w:r w:rsidRPr="00097A86">
        <w:rPr>
          <w:rStyle w:val="CharSectno"/>
        </w:rPr>
        <w:t>1.16</w:t>
      </w:r>
      <w:r w:rsidR="00D22D3F" w:rsidRPr="00097A86">
        <w:t xml:space="preserve">  </w:t>
      </w:r>
      <w:r w:rsidRPr="00097A86">
        <w:t>Rounding of amounts</w:t>
      </w:r>
      <w:bookmarkEnd w:id="38"/>
    </w:p>
    <w:p w14:paraId="40924454" w14:textId="77777777" w:rsidR="003F0D4E" w:rsidRPr="00097A86" w:rsidRDefault="003F0D4E" w:rsidP="00D22D3F">
      <w:pPr>
        <w:pStyle w:val="subsection"/>
      </w:pPr>
      <w:r w:rsidRPr="00097A86">
        <w:tab/>
        <w:t>(1)</w:t>
      </w:r>
      <w:r w:rsidRPr="00097A86">
        <w:tab/>
        <w:t>If:</w:t>
      </w:r>
    </w:p>
    <w:p w14:paraId="46542AF3" w14:textId="77777777" w:rsidR="003F0D4E" w:rsidRPr="00097A86" w:rsidRDefault="003F0D4E" w:rsidP="00D22D3F">
      <w:pPr>
        <w:pStyle w:val="paragraph"/>
      </w:pPr>
      <w:r w:rsidRPr="00097A86">
        <w:tab/>
        <w:t>(a)</w:t>
      </w:r>
      <w:r w:rsidRPr="00097A86">
        <w:tab/>
        <w:t>an amount is worked out under this Determination; and</w:t>
      </w:r>
    </w:p>
    <w:p w14:paraId="26007D5A" w14:textId="77777777" w:rsidR="003F0D4E" w:rsidRPr="00097A86" w:rsidRDefault="003F0D4E" w:rsidP="00D22D3F">
      <w:pPr>
        <w:pStyle w:val="paragraph"/>
      </w:pPr>
      <w:r w:rsidRPr="00097A86">
        <w:tab/>
        <w:t>(b)</w:t>
      </w:r>
      <w:r w:rsidRPr="00097A86">
        <w:tab/>
        <w:t>the number is not a whole number;</w:t>
      </w:r>
    </w:p>
    <w:p w14:paraId="7BD5ADB3" w14:textId="77777777" w:rsidR="003F0D4E" w:rsidRPr="00097A86" w:rsidRDefault="003F0D4E" w:rsidP="00D22D3F">
      <w:pPr>
        <w:pStyle w:val="subsection2"/>
      </w:pPr>
      <w:r w:rsidRPr="00097A86">
        <w:t>then:</w:t>
      </w:r>
    </w:p>
    <w:p w14:paraId="4F759B38" w14:textId="77777777" w:rsidR="003F0D4E" w:rsidRPr="00097A86" w:rsidRDefault="003F0D4E" w:rsidP="00D22D3F">
      <w:pPr>
        <w:pStyle w:val="paragraph"/>
      </w:pPr>
      <w:r w:rsidRPr="00097A86">
        <w:tab/>
        <w:t>(c)</w:t>
      </w:r>
      <w:r w:rsidRPr="00097A86">
        <w:tab/>
        <w:t>the number is to be rounded up to the next whole number if the number at the first decimal place equals or exceeds 5; and</w:t>
      </w:r>
    </w:p>
    <w:p w14:paraId="6DD0A276" w14:textId="77777777" w:rsidR="003F0D4E" w:rsidRPr="00097A86" w:rsidRDefault="003F0D4E" w:rsidP="00D22D3F">
      <w:pPr>
        <w:pStyle w:val="paragraph"/>
      </w:pPr>
      <w:r w:rsidRPr="00097A86">
        <w:tab/>
        <w:t>(d)</w:t>
      </w:r>
      <w:r w:rsidRPr="00097A86">
        <w:tab/>
        <w:t>rounded down to the next whole number if the number at the first decimal place is less than 5.</w:t>
      </w:r>
    </w:p>
    <w:p w14:paraId="77F57104" w14:textId="77777777" w:rsidR="003F0D4E" w:rsidRPr="00097A86" w:rsidRDefault="003F0D4E" w:rsidP="00D22D3F">
      <w:pPr>
        <w:pStyle w:val="subsection"/>
      </w:pPr>
      <w:r w:rsidRPr="00097A86">
        <w:tab/>
        <w:t>(2)</w:t>
      </w:r>
      <w:r w:rsidRPr="00097A86">
        <w:tab/>
      </w:r>
      <w:r w:rsidR="00097A86">
        <w:t>Subsection (</w:t>
      </w:r>
      <w:r w:rsidRPr="00097A86">
        <w:t>1) applies to amounts that are measures of emissions or energy.</w:t>
      </w:r>
    </w:p>
    <w:p w14:paraId="1DFD92E0" w14:textId="77777777" w:rsidR="003F0D4E" w:rsidRPr="00097A86" w:rsidRDefault="003F0D4E" w:rsidP="00D22D3F">
      <w:pPr>
        <w:pStyle w:val="ActHead5"/>
      </w:pPr>
      <w:bookmarkStart w:id="39" w:name="_Toc13233487"/>
      <w:r w:rsidRPr="00097A86">
        <w:rPr>
          <w:rStyle w:val="CharSectno"/>
        </w:rPr>
        <w:t>1.17</w:t>
      </w:r>
      <w:r w:rsidR="00D22D3F" w:rsidRPr="00097A86">
        <w:t xml:space="preserve">  </w:t>
      </w:r>
      <w:r w:rsidRPr="00097A86">
        <w:t>Status of standards</w:t>
      </w:r>
      <w:bookmarkEnd w:id="39"/>
    </w:p>
    <w:p w14:paraId="23F86EEC" w14:textId="77777777" w:rsidR="003F0D4E" w:rsidRPr="00097A86" w:rsidRDefault="003F0D4E" w:rsidP="00D22D3F">
      <w:pPr>
        <w:pStyle w:val="subsection"/>
      </w:pPr>
      <w:r w:rsidRPr="00097A86">
        <w:tab/>
      </w:r>
      <w:r w:rsidRPr="00097A86">
        <w:tab/>
        <w:t>If there is an inconsistency between this Determination and a documentary standard, this Determination prevails to the extent of the inconsistency.</w:t>
      </w:r>
    </w:p>
    <w:p w14:paraId="0CC41B85" w14:textId="77777777" w:rsidR="003F0D4E" w:rsidRPr="00097A86" w:rsidRDefault="003F0D4E" w:rsidP="00D22D3F">
      <w:pPr>
        <w:pStyle w:val="ActHead3"/>
        <w:pageBreakBefore/>
      </w:pPr>
      <w:bookmarkStart w:id="40" w:name="_Toc13233488"/>
      <w:r w:rsidRPr="00097A86">
        <w:rPr>
          <w:rStyle w:val="CharDivNo"/>
        </w:rPr>
        <w:lastRenderedPageBreak/>
        <w:t>Division</w:t>
      </w:r>
      <w:r w:rsidR="00097A86">
        <w:rPr>
          <w:rStyle w:val="CharDivNo"/>
        </w:rPr>
        <w:t> </w:t>
      </w:r>
      <w:r w:rsidRPr="00097A86">
        <w:rPr>
          <w:rStyle w:val="CharDivNo"/>
        </w:rPr>
        <w:t>1.2.2</w:t>
      </w:r>
      <w:r w:rsidR="00D22D3F" w:rsidRPr="00097A86">
        <w:t>—</w:t>
      </w:r>
      <w:r w:rsidRPr="00097A86">
        <w:rPr>
          <w:rStyle w:val="CharDivText"/>
        </w:rPr>
        <w:t>Methods</w:t>
      </w:r>
      <w:bookmarkEnd w:id="40"/>
    </w:p>
    <w:p w14:paraId="5A60713E" w14:textId="77777777" w:rsidR="00BD0EC5" w:rsidRPr="00097A86" w:rsidRDefault="00BD0EC5" w:rsidP="00BD0EC5">
      <w:pPr>
        <w:pStyle w:val="ActHead5"/>
      </w:pPr>
      <w:bookmarkStart w:id="41" w:name="_Toc13233489"/>
      <w:r w:rsidRPr="00097A86">
        <w:rPr>
          <w:rStyle w:val="CharSectno"/>
        </w:rPr>
        <w:t>1.18</w:t>
      </w:r>
      <w:r w:rsidRPr="00097A86">
        <w:t xml:space="preserve">  Method to be used for a separate occurrence of a source</w:t>
      </w:r>
      <w:bookmarkEnd w:id="41"/>
    </w:p>
    <w:p w14:paraId="40E52CA4" w14:textId="77777777" w:rsidR="003F0D4E" w:rsidRPr="00097A86" w:rsidRDefault="003F0D4E" w:rsidP="00D22D3F">
      <w:pPr>
        <w:pStyle w:val="subsection"/>
      </w:pPr>
      <w:r w:rsidRPr="00097A86">
        <w:tab/>
        <w:t>(1)</w:t>
      </w:r>
      <w:r w:rsidRPr="00097A86">
        <w:tab/>
        <w:t xml:space="preserve">This section deals with the number of methods that may be used to estimate emissions of a particular greenhouse gas released, in relation to a </w:t>
      </w:r>
      <w:r w:rsidR="00BD0EC5" w:rsidRPr="00097A86">
        <w:t>separate occurrence of a source</w:t>
      </w:r>
      <w:r w:rsidRPr="00097A86">
        <w:t>, from the operation of a facility.</w:t>
      </w:r>
    </w:p>
    <w:p w14:paraId="32EE769B" w14:textId="77777777" w:rsidR="00516ABB" w:rsidRPr="00097A86" w:rsidRDefault="00516ABB" w:rsidP="00D22D3F">
      <w:pPr>
        <w:pStyle w:val="subsection"/>
      </w:pPr>
      <w:r w:rsidRPr="00097A86">
        <w:tab/>
        <w:t>(1A)</w:t>
      </w:r>
      <w:r w:rsidRPr="00097A86">
        <w:tab/>
      </w:r>
      <w:r w:rsidR="00097A86">
        <w:t>Subsections (</w:t>
      </w:r>
      <w:r w:rsidRPr="00097A86">
        <w:t>2) and (3) do not apply to a facility if:</w:t>
      </w:r>
    </w:p>
    <w:p w14:paraId="0148E8C9" w14:textId="77777777" w:rsidR="00516ABB" w:rsidRPr="00097A86" w:rsidRDefault="00516ABB" w:rsidP="00D22D3F">
      <w:pPr>
        <w:pStyle w:val="paragraph"/>
      </w:pPr>
      <w:r w:rsidRPr="00097A86">
        <w:tab/>
        <w:t>(a)</w:t>
      </w:r>
      <w:r w:rsidRPr="00097A86">
        <w:tab/>
        <w:t>the principal activity of the facility is electricity generation (ANZSIC industry classification and code 2611) and the generating unit used to perform the principal activity:</w:t>
      </w:r>
    </w:p>
    <w:p w14:paraId="65171DA4" w14:textId="77777777" w:rsidR="00516ABB" w:rsidRPr="00097A86" w:rsidRDefault="00516ABB" w:rsidP="00D22D3F">
      <w:pPr>
        <w:pStyle w:val="paragraphsub"/>
      </w:pPr>
      <w:r w:rsidRPr="00097A86">
        <w:tab/>
        <w:t>(i)</w:t>
      </w:r>
      <w:r w:rsidRPr="00097A86">
        <w:tab/>
        <w:t>does not have the capacity to generate, in a reporting year, the amount of electricity mentioned in subparagraph</w:t>
      </w:r>
      <w:r w:rsidR="00097A86">
        <w:t> </w:t>
      </w:r>
      <w:r w:rsidRPr="00097A86">
        <w:t>2.3(3)(b)(i); and</w:t>
      </w:r>
    </w:p>
    <w:p w14:paraId="42D90661" w14:textId="77777777" w:rsidR="00516ABB" w:rsidRPr="00097A86" w:rsidRDefault="00516ABB" w:rsidP="00D22D3F">
      <w:pPr>
        <w:pStyle w:val="paragraphsub"/>
      </w:pPr>
      <w:r w:rsidRPr="00097A86">
        <w:tab/>
        <w:t>(ii)</w:t>
      </w:r>
      <w:r w:rsidRPr="00097A86">
        <w:tab/>
        <w:t>generates, in a reporting year, less than or equal to the amount of electricity mentioned in subparagraph</w:t>
      </w:r>
      <w:r w:rsidR="00097A86">
        <w:t> </w:t>
      </w:r>
      <w:r w:rsidRPr="00097A86">
        <w:t>2.3(3)(b)(ii); or</w:t>
      </w:r>
    </w:p>
    <w:p w14:paraId="1AD68877" w14:textId="77777777" w:rsidR="00516ABB" w:rsidRPr="00097A86" w:rsidRDefault="00516ABB" w:rsidP="00D22D3F">
      <w:pPr>
        <w:pStyle w:val="paragraph"/>
      </w:pPr>
      <w:r w:rsidRPr="00097A86">
        <w:tab/>
        <w:t>(b)</w:t>
      </w:r>
      <w:r w:rsidRPr="00097A86">
        <w:tab/>
        <w:t>the principal activity of the facility is electricity generation (ANZSIC industry classification and code 2611) and the generating unit used to perform the principal activity:</w:t>
      </w:r>
    </w:p>
    <w:p w14:paraId="333DECD0" w14:textId="77777777" w:rsidR="00516ABB" w:rsidRPr="00097A86" w:rsidRDefault="00516ABB" w:rsidP="00D22D3F">
      <w:pPr>
        <w:pStyle w:val="paragraphsub"/>
      </w:pPr>
      <w:r w:rsidRPr="00097A86">
        <w:tab/>
        <w:t>(i)</w:t>
      </w:r>
      <w:r w:rsidRPr="00097A86">
        <w:tab/>
        <w:t>does not have the capacity to generate, in a reporting year, the amount of electricity mentioned in subparagraph</w:t>
      </w:r>
      <w:r w:rsidR="00097A86">
        <w:t> </w:t>
      </w:r>
      <w:r w:rsidRPr="00097A86">
        <w:t>2.19(3)(b)(i); and</w:t>
      </w:r>
    </w:p>
    <w:p w14:paraId="69B2A826" w14:textId="77777777" w:rsidR="00516ABB" w:rsidRPr="00097A86" w:rsidRDefault="00516ABB" w:rsidP="00D22D3F">
      <w:pPr>
        <w:pStyle w:val="paragraphsub"/>
      </w:pPr>
      <w:r w:rsidRPr="00097A86">
        <w:tab/>
        <w:t>(ii)</w:t>
      </w:r>
      <w:r w:rsidRPr="00097A86">
        <w:tab/>
        <w:t>generates, in a reporting year, less than or equal to the amount of electricity mentioned in subparagraph</w:t>
      </w:r>
      <w:r w:rsidR="00097A86">
        <w:t> </w:t>
      </w:r>
      <w:r w:rsidRPr="00097A86">
        <w:t>2.19(3)(b)(ii).</w:t>
      </w:r>
    </w:p>
    <w:p w14:paraId="05E9A9AD" w14:textId="77777777" w:rsidR="00BD0EC5" w:rsidRPr="00097A86" w:rsidRDefault="00BD0EC5" w:rsidP="00BD0EC5">
      <w:pPr>
        <w:pStyle w:val="subsection"/>
      </w:pPr>
      <w:r w:rsidRPr="00097A86">
        <w:tab/>
        <w:t>(2)</w:t>
      </w:r>
      <w:r w:rsidRPr="00097A86">
        <w:tab/>
        <w:t xml:space="preserve">Subject to </w:t>
      </w:r>
      <w:r w:rsidR="00097A86">
        <w:t>subsection (</w:t>
      </w:r>
      <w:r w:rsidRPr="00097A86">
        <w:t>3) and (3A), one method for the separate occurrence of a source must be used for 4 reporting years unless another higher method is used.</w:t>
      </w:r>
    </w:p>
    <w:p w14:paraId="701F0C97" w14:textId="77777777" w:rsidR="00BD0EC5" w:rsidRPr="00097A86" w:rsidRDefault="00BD0EC5" w:rsidP="00BD0EC5">
      <w:pPr>
        <w:pStyle w:val="subsection"/>
      </w:pPr>
      <w:r w:rsidRPr="00097A86">
        <w:tab/>
        <w:t>(3)</w:t>
      </w:r>
      <w:r w:rsidRPr="00097A86">
        <w:tab/>
        <w:t>If:</w:t>
      </w:r>
    </w:p>
    <w:p w14:paraId="7232E647" w14:textId="77777777" w:rsidR="00BD0EC5" w:rsidRPr="00097A86" w:rsidRDefault="00BD0EC5" w:rsidP="00BD0EC5">
      <w:pPr>
        <w:pStyle w:val="paragraph"/>
      </w:pPr>
      <w:r w:rsidRPr="00097A86">
        <w:tab/>
        <w:t>(a)</w:t>
      </w:r>
      <w:r w:rsidRPr="00097A86">
        <w:tab/>
        <w:t>at a particular time, a method is being used to estimate emissions in relation to the separate occurrence of a source; and</w:t>
      </w:r>
    </w:p>
    <w:p w14:paraId="25B92183" w14:textId="77777777" w:rsidR="00BD0EC5" w:rsidRPr="00097A86" w:rsidRDefault="00BD0EC5" w:rsidP="00BD0EC5">
      <w:pPr>
        <w:pStyle w:val="paragraph"/>
      </w:pPr>
      <w:r w:rsidRPr="00097A86">
        <w:tab/>
        <w:t>(b)</w:t>
      </w:r>
      <w:r w:rsidRPr="00097A86">
        <w:tab/>
        <w:t>either:</w:t>
      </w:r>
    </w:p>
    <w:p w14:paraId="4A4771D6" w14:textId="77777777" w:rsidR="00BD0EC5" w:rsidRPr="00097A86" w:rsidRDefault="00BD0EC5" w:rsidP="00BD0EC5">
      <w:pPr>
        <w:pStyle w:val="paragraphsub"/>
      </w:pPr>
      <w:r w:rsidRPr="00097A86">
        <w:tab/>
        <w:t>(i)</w:t>
      </w:r>
      <w:r w:rsidRPr="00097A86">
        <w:tab/>
        <w:t>in the preceding 4 reporting years before that time, only that method has been used to estimate the emissions from the separate occurrence of the source; or</w:t>
      </w:r>
    </w:p>
    <w:p w14:paraId="31E6F104" w14:textId="77777777" w:rsidR="00BD0EC5" w:rsidRPr="00097A86" w:rsidRDefault="00BD0EC5" w:rsidP="00BD0EC5">
      <w:pPr>
        <w:pStyle w:val="paragraphsub"/>
      </w:pPr>
      <w:r w:rsidRPr="00097A86">
        <w:tab/>
        <w:t>(ii)</w:t>
      </w:r>
      <w:r w:rsidRPr="00097A86">
        <w:tab/>
        <w:t xml:space="preserve">a registered corporation or </w:t>
      </w:r>
      <w:r w:rsidR="00FB7093">
        <w:t>registered person</w:t>
      </w:r>
      <w:r w:rsidRPr="00097A86">
        <w:t xml:space="preserve"> certifies in writing that the method used was found to be non</w:t>
      </w:r>
      <w:r w:rsidR="00097A86">
        <w:noBreakHyphen/>
      </w:r>
      <w:r w:rsidRPr="00097A86">
        <w:t>compliant during an external audit of the separate occurrence of the source;</w:t>
      </w:r>
    </w:p>
    <w:p w14:paraId="03B8EADE" w14:textId="77777777" w:rsidR="00BD0EC5" w:rsidRPr="00097A86" w:rsidRDefault="00BD0EC5" w:rsidP="00BD0EC5">
      <w:pPr>
        <w:pStyle w:val="subsection2"/>
      </w:pPr>
      <w:r w:rsidRPr="00097A86">
        <w:t>then a lower method may be used to estimate emissions in relation to the separate occurrence of the source from that time.</w:t>
      </w:r>
    </w:p>
    <w:p w14:paraId="6816F3E7" w14:textId="77777777" w:rsidR="00BD0EC5" w:rsidRPr="00097A86" w:rsidRDefault="00BD0EC5" w:rsidP="00BD0EC5">
      <w:pPr>
        <w:pStyle w:val="subsection"/>
      </w:pPr>
      <w:r w:rsidRPr="00097A86">
        <w:tab/>
        <w:t>(3A)</w:t>
      </w:r>
      <w:r w:rsidRPr="00097A86">
        <w:tab/>
        <w:t>If section</w:t>
      </w:r>
      <w:r w:rsidR="00097A86">
        <w:t> </w:t>
      </w:r>
      <w:r w:rsidRPr="00097A86">
        <w:t>22AA of the Act applies to a person, a lower method may be used to estimate emissions in relation to the source for the purposes of reporting under section</w:t>
      </w:r>
      <w:r w:rsidR="00097A86">
        <w:t> </w:t>
      </w:r>
      <w:r w:rsidRPr="00097A86">
        <w:t>22AA.</w:t>
      </w:r>
    </w:p>
    <w:p w14:paraId="5397DA08" w14:textId="77777777" w:rsidR="003F0D4E" w:rsidRPr="00097A86" w:rsidRDefault="003F0D4E" w:rsidP="00D22D3F">
      <w:pPr>
        <w:pStyle w:val="subsection"/>
      </w:pPr>
      <w:r w:rsidRPr="00097A86">
        <w:tab/>
        <w:t>(4)</w:t>
      </w:r>
      <w:r w:rsidRPr="00097A86">
        <w:tab/>
        <w:t xml:space="preserve">In this section, </w:t>
      </w:r>
      <w:r w:rsidRPr="00097A86">
        <w:rPr>
          <w:b/>
          <w:i/>
        </w:rPr>
        <w:t>reporting year</w:t>
      </w:r>
      <w:r w:rsidRPr="00097A86">
        <w:t xml:space="preserve">, in relation to a source from the operation of a facility under the operational control of a registered corporation and entities that are members of the corporation’s group, means a year that the registered </w:t>
      </w:r>
      <w:r w:rsidRPr="00097A86">
        <w:lastRenderedPageBreak/>
        <w:t>corporation is required to provide a report under section</w:t>
      </w:r>
      <w:r w:rsidR="00097A86">
        <w:t> </w:t>
      </w:r>
      <w:r w:rsidRPr="00097A86">
        <w:t>19 of the Act in relation to the facility</w:t>
      </w:r>
    </w:p>
    <w:p w14:paraId="03943B14" w14:textId="77777777" w:rsidR="00BD0EC5" w:rsidRPr="00097A86" w:rsidRDefault="00BD0EC5" w:rsidP="00BD0EC5">
      <w:pPr>
        <w:pStyle w:val="subsection"/>
      </w:pPr>
      <w:r w:rsidRPr="00097A86">
        <w:tab/>
        <w:t>(5)</w:t>
      </w:r>
      <w:r w:rsidRPr="00097A86">
        <w:tab/>
      </w:r>
      <w:r w:rsidRPr="00097A86">
        <w:rPr>
          <w:b/>
          <w:i/>
        </w:rPr>
        <w:t>Higher method</w:t>
      </w:r>
      <w:r w:rsidRPr="00097A86">
        <w:t>, is:</w:t>
      </w:r>
    </w:p>
    <w:p w14:paraId="68AB1D65" w14:textId="77777777" w:rsidR="00BD0EC5" w:rsidRPr="00097A86" w:rsidRDefault="00BD0EC5" w:rsidP="00BD0EC5">
      <w:pPr>
        <w:pStyle w:val="paragraph"/>
      </w:pPr>
      <w:r w:rsidRPr="00097A86">
        <w:tab/>
        <w:t>(a)</w:t>
      </w:r>
      <w:r w:rsidRPr="00097A86">
        <w:tab/>
        <w:t>a prescribed alternative method; or</w:t>
      </w:r>
    </w:p>
    <w:p w14:paraId="07938F33" w14:textId="77777777" w:rsidR="00BD0EC5" w:rsidRPr="00097A86" w:rsidRDefault="00BD0EC5" w:rsidP="00BD0EC5">
      <w:pPr>
        <w:pStyle w:val="paragraph"/>
      </w:pPr>
      <w:r w:rsidRPr="00097A86">
        <w:tab/>
        <w:t>(b)</w:t>
      </w:r>
      <w:r w:rsidRPr="00097A86">
        <w:tab/>
        <w:t xml:space="preserve">in relation to a method (the </w:t>
      </w:r>
      <w:r w:rsidRPr="00097A86">
        <w:rPr>
          <w:b/>
          <w:i/>
        </w:rPr>
        <w:t>original method</w:t>
      </w:r>
      <w:r w:rsidRPr="00097A86">
        <w:t>) being used to estimate emissions in relation to a separate occurrence of a source, a method for the source with a higher number than the number of the original method.</w:t>
      </w:r>
    </w:p>
    <w:p w14:paraId="42E95365" w14:textId="77777777" w:rsidR="00BD0EC5" w:rsidRPr="00097A86" w:rsidRDefault="00BD0EC5" w:rsidP="00BD0EC5">
      <w:pPr>
        <w:pStyle w:val="subsection"/>
      </w:pPr>
      <w:r w:rsidRPr="00097A86">
        <w:tab/>
        <w:t>(6)</w:t>
      </w:r>
      <w:r w:rsidRPr="00097A86">
        <w:tab/>
      </w:r>
      <w:r w:rsidRPr="00097A86">
        <w:rPr>
          <w:b/>
          <w:i/>
        </w:rPr>
        <w:t>Lower method</w:t>
      </w:r>
      <w:r w:rsidRPr="00097A86">
        <w:t>, is:</w:t>
      </w:r>
    </w:p>
    <w:p w14:paraId="0C31288E" w14:textId="77777777" w:rsidR="00BD0EC5" w:rsidRPr="00097A86" w:rsidRDefault="00BD0EC5" w:rsidP="00BD0EC5">
      <w:pPr>
        <w:pStyle w:val="paragraph"/>
      </w:pPr>
      <w:r w:rsidRPr="00097A86">
        <w:tab/>
        <w:t>(a)</w:t>
      </w:r>
      <w:r w:rsidRPr="00097A86">
        <w:tab/>
        <w:t>a default method; or</w:t>
      </w:r>
    </w:p>
    <w:p w14:paraId="54ED816A" w14:textId="77777777" w:rsidR="00BD0EC5" w:rsidRPr="00097A86" w:rsidRDefault="00BD0EC5" w:rsidP="00BD0EC5">
      <w:pPr>
        <w:pStyle w:val="paragraph"/>
      </w:pPr>
      <w:r w:rsidRPr="00097A86">
        <w:tab/>
        <w:t>(b)</w:t>
      </w:r>
      <w:r w:rsidRPr="00097A86">
        <w:tab/>
        <w:t xml:space="preserve">in relation to a method (the </w:t>
      </w:r>
      <w:r w:rsidRPr="00097A86">
        <w:rPr>
          <w:b/>
          <w:i/>
        </w:rPr>
        <w:t>original method</w:t>
      </w:r>
      <w:r w:rsidRPr="00097A86">
        <w:t>) being used to estimate emissions in relation to a separate occurrence of a source, a method for the source with a lower number than the number of the original method.</w:t>
      </w:r>
    </w:p>
    <w:p w14:paraId="368A9155" w14:textId="77777777" w:rsidR="00516ABB" w:rsidRPr="00097A86" w:rsidRDefault="00516ABB" w:rsidP="00D22D3F">
      <w:pPr>
        <w:pStyle w:val="ActHead5"/>
      </w:pPr>
      <w:bookmarkStart w:id="42" w:name="_Toc13233490"/>
      <w:r w:rsidRPr="00097A86">
        <w:rPr>
          <w:rStyle w:val="CharSectno"/>
        </w:rPr>
        <w:t>1.18A</w:t>
      </w:r>
      <w:r w:rsidR="00D22D3F" w:rsidRPr="00097A86">
        <w:t xml:space="preserve">  </w:t>
      </w:r>
      <w:r w:rsidRPr="00097A86">
        <w:t>Conditions—persons preparing report must use same method</w:t>
      </w:r>
      <w:bookmarkEnd w:id="42"/>
    </w:p>
    <w:p w14:paraId="7CF62AD7" w14:textId="77777777" w:rsidR="00516ABB" w:rsidRPr="00097A86" w:rsidRDefault="00516ABB" w:rsidP="00D22D3F">
      <w:pPr>
        <w:pStyle w:val="subsection"/>
      </w:pPr>
      <w:r w:rsidRPr="00097A86">
        <w:tab/>
        <w:t>(1)</w:t>
      </w:r>
      <w:r w:rsidRPr="00097A86">
        <w:tab/>
        <w:t>This section applies if a person is required, under section</w:t>
      </w:r>
      <w:r w:rsidR="00097A86">
        <w:t> </w:t>
      </w:r>
      <w:r w:rsidRPr="00097A86">
        <w:t xml:space="preserve">19, 22A, 22AA, 22E, 22G or 22X of the Act (a </w:t>
      </w:r>
      <w:r w:rsidRPr="00097A86">
        <w:rPr>
          <w:b/>
          <w:i/>
        </w:rPr>
        <w:t>reporting provision</w:t>
      </w:r>
      <w:r w:rsidRPr="00097A86">
        <w:t xml:space="preserve">), to provide a report to the Regulator for a reporting year or part of a reporting year (the </w:t>
      </w:r>
      <w:r w:rsidRPr="00097A86">
        <w:rPr>
          <w:b/>
          <w:i/>
        </w:rPr>
        <w:t>reporting period</w:t>
      </w:r>
      <w:r w:rsidRPr="00097A86">
        <w:t>).</w:t>
      </w:r>
    </w:p>
    <w:p w14:paraId="0AD66675" w14:textId="77777777" w:rsidR="00516ABB" w:rsidRPr="00097A86" w:rsidRDefault="00516ABB" w:rsidP="00D22D3F">
      <w:pPr>
        <w:pStyle w:val="subsection"/>
      </w:pPr>
      <w:r w:rsidRPr="00097A86">
        <w:tab/>
        <w:t>(2)</w:t>
      </w:r>
      <w:r w:rsidRPr="00097A86">
        <w:tab/>
        <w:t>For paragraph</w:t>
      </w:r>
      <w:r w:rsidR="00097A86">
        <w:t> </w:t>
      </w:r>
      <w:r w:rsidRPr="00097A86">
        <w:t>10(3)(c) of the Act:</w:t>
      </w:r>
    </w:p>
    <w:p w14:paraId="5E253CCA" w14:textId="77777777" w:rsidR="00516ABB" w:rsidRPr="00097A86" w:rsidRDefault="00516ABB" w:rsidP="00D22D3F">
      <w:pPr>
        <w:pStyle w:val="paragraph"/>
      </w:pPr>
      <w:r w:rsidRPr="00097A86">
        <w:tab/>
        <w:t>(a)</w:t>
      </w:r>
      <w:r w:rsidRPr="00097A86">
        <w:tab/>
        <w:t>the person must, before 31</w:t>
      </w:r>
      <w:r w:rsidR="00097A86">
        <w:t> </w:t>
      </w:r>
      <w:r w:rsidRPr="00097A86">
        <w:t>August in the year immediately following the reporting year, notify any other person required, under a reporting provision, to provide a report to the Regulator for the same facility of the method the person will use in the report; and</w:t>
      </w:r>
    </w:p>
    <w:p w14:paraId="559A0A9E" w14:textId="77777777" w:rsidR="00516ABB" w:rsidRPr="00097A86" w:rsidRDefault="00516ABB" w:rsidP="00D22D3F">
      <w:pPr>
        <w:pStyle w:val="paragraph"/>
      </w:pPr>
      <w:r w:rsidRPr="00097A86">
        <w:tab/>
        <w:t>(b)</w:t>
      </w:r>
      <w:r w:rsidRPr="00097A86">
        <w:tab/>
        <w:t>each person required to provide a report to the Regulator for the same facility and for the same reporting period must, before 31</w:t>
      </w:r>
      <w:r w:rsidR="00097A86">
        <w:t> </w:t>
      </w:r>
      <w:r w:rsidRPr="00097A86">
        <w:t>October in the year immediately following the reporting year, take all reasonable steps to agree on a method to be used for each report provided to the Regulator for the facility and for the reporting period.</w:t>
      </w:r>
    </w:p>
    <w:p w14:paraId="11962532" w14:textId="77777777" w:rsidR="00516ABB" w:rsidRPr="00097A86" w:rsidRDefault="00516ABB" w:rsidP="00D22D3F">
      <w:pPr>
        <w:pStyle w:val="subsection"/>
      </w:pPr>
      <w:r w:rsidRPr="00097A86">
        <w:tab/>
        <w:t>(3)</w:t>
      </w:r>
      <w:r w:rsidRPr="00097A86">
        <w:tab/>
        <w:t xml:space="preserve">If the persons mentioned in </w:t>
      </w:r>
      <w:r w:rsidR="00097A86">
        <w:t>paragraph (</w:t>
      </w:r>
      <w:r w:rsidR="0017253A" w:rsidRPr="00097A86">
        <w:t>2)</w:t>
      </w:r>
      <w:r w:rsidRPr="00097A86">
        <w:t>(b) do not agree on a method before 31</w:t>
      </w:r>
      <w:r w:rsidR="00097A86">
        <w:t> </w:t>
      </w:r>
      <w:r w:rsidRPr="00097A86">
        <w:t>October in the year immediately following the reporting year, each report provided to the Regulator for the facility and for the reporting period must use the method:</w:t>
      </w:r>
    </w:p>
    <w:p w14:paraId="481DA1D1" w14:textId="77777777" w:rsidR="00516ABB" w:rsidRPr="00097A86" w:rsidRDefault="00516ABB" w:rsidP="00D22D3F">
      <w:pPr>
        <w:pStyle w:val="paragraph"/>
      </w:pPr>
      <w:r w:rsidRPr="00097A86">
        <w:tab/>
        <w:t>(a)</w:t>
      </w:r>
      <w:r w:rsidRPr="00097A86">
        <w:tab/>
        <w:t>that was used in a report provided to the Regulator for the facility for the previous reporting year (if any); and</w:t>
      </w:r>
    </w:p>
    <w:p w14:paraId="33D5A0AC" w14:textId="77777777" w:rsidR="00516ABB" w:rsidRPr="00097A86" w:rsidRDefault="00516ABB" w:rsidP="00D22D3F">
      <w:pPr>
        <w:pStyle w:val="paragraph"/>
      </w:pPr>
      <w:r w:rsidRPr="00097A86">
        <w:tab/>
        <w:t>(b)</w:t>
      </w:r>
      <w:r w:rsidRPr="00097A86">
        <w:tab/>
        <w:t>that will, of all the methods used in a report provided to the Regulator for the facility for the previous reporting year, result in a measurement of the largest amount of emissions for the facility for the reporting year.</w:t>
      </w:r>
    </w:p>
    <w:p w14:paraId="2581C6D8" w14:textId="77777777" w:rsidR="00516ABB" w:rsidRPr="00097A86" w:rsidRDefault="00516ABB" w:rsidP="00D22D3F">
      <w:pPr>
        <w:pStyle w:val="subsection"/>
      </w:pPr>
      <w:r w:rsidRPr="00097A86">
        <w:tab/>
        <w:t>(4)</w:t>
      </w:r>
      <w:r w:rsidRPr="00097A86">
        <w:tab/>
        <w:t>In this section, a reference to a method is a reference to a method or available alternative method, including the options (if any) included in the method or available alternative method.</w:t>
      </w:r>
    </w:p>
    <w:p w14:paraId="7EB61692" w14:textId="77777777" w:rsidR="00516ABB" w:rsidRPr="00097A86" w:rsidRDefault="00D22D3F" w:rsidP="00D22D3F">
      <w:pPr>
        <w:pStyle w:val="notetext"/>
      </w:pPr>
      <w:r w:rsidRPr="00097A86">
        <w:t>Note 1:</w:t>
      </w:r>
      <w:r w:rsidRPr="00097A86">
        <w:tab/>
      </w:r>
      <w:r w:rsidR="00516ABB" w:rsidRPr="00097A86">
        <w:rPr>
          <w:b/>
          <w:i/>
        </w:rPr>
        <w:t>Reporting year</w:t>
      </w:r>
      <w:r w:rsidR="00516ABB" w:rsidRPr="00097A86">
        <w:t xml:space="preserve"> has the meaning given by the Regulations.</w:t>
      </w:r>
    </w:p>
    <w:p w14:paraId="2A8CD188" w14:textId="77777777" w:rsidR="00516ABB" w:rsidRPr="00097A86" w:rsidRDefault="00D22D3F" w:rsidP="00D22D3F">
      <w:pPr>
        <w:pStyle w:val="notetext"/>
      </w:pPr>
      <w:r w:rsidRPr="00097A86">
        <w:t>Note 2:</w:t>
      </w:r>
      <w:r w:rsidRPr="00097A86">
        <w:tab/>
      </w:r>
      <w:r w:rsidR="00516ABB" w:rsidRPr="00097A86">
        <w:t>An example of available alternative methods is method 2 in section</w:t>
      </w:r>
      <w:r w:rsidR="00097A86">
        <w:t> </w:t>
      </w:r>
      <w:r w:rsidR="00516ABB" w:rsidRPr="00097A86">
        <w:t>2.5 and method 2 in section</w:t>
      </w:r>
      <w:r w:rsidR="00097A86">
        <w:t> </w:t>
      </w:r>
      <w:r w:rsidR="00516ABB" w:rsidRPr="00097A86">
        <w:t>2.6.</w:t>
      </w:r>
    </w:p>
    <w:p w14:paraId="774F16DC" w14:textId="77777777" w:rsidR="00516ABB" w:rsidRPr="00097A86" w:rsidRDefault="00D22D3F" w:rsidP="00D22D3F">
      <w:pPr>
        <w:pStyle w:val="notetext"/>
      </w:pPr>
      <w:r w:rsidRPr="00097A86">
        <w:lastRenderedPageBreak/>
        <w:t>Note 3:</w:t>
      </w:r>
      <w:r w:rsidRPr="00097A86">
        <w:tab/>
      </w:r>
      <w:r w:rsidR="00516ABB" w:rsidRPr="00097A86">
        <w:t>An example of options included within a method is paragraphs 3.36(a) and (b), which provide 2 options of ways to measure the size of mine void volume.</w:t>
      </w:r>
    </w:p>
    <w:p w14:paraId="302CE890" w14:textId="77777777" w:rsidR="00516ABB" w:rsidRPr="00097A86" w:rsidRDefault="00D22D3F" w:rsidP="00D22D3F">
      <w:pPr>
        <w:pStyle w:val="notetext"/>
      </w:pPr>
      <w:r w:rsidRPr="00097A86">
        <w:t>Note 4:</w:t>
      </w:r>
      <w:r w:rsidRPr="00097A86">
        <w:tab/>
      </w:r>
      <w:r w:rsidR="00516ABB" w:rsidRPr="00097A86">
        <w:t>An example of options included within an available alternative method is the options for identifying the value of the oxidation factor (</w:t>
      </w:r>
      <w:r w:rsidR="00516ABB" w:rsidRPr="00097A86">
        <w:rPr>
          <w:b/>
          <w:bCs/>
          <w:i/>
          <w:iCs/>
        </w:rPr>
        <w:t>OF</w:t>
      </w:r>
      <w:r w:rsidR="00516ABB" w:rsidRPr="00097A86">
        <w:rPr>
          <w:b/>
          <w:bCs/>
          <w:i/>
          <w:iCs/>
          <w:szCs w:val="16"/>
        </w:rPr>
        <w:t>s</w:t>
      </w:r>
      <w:r w:rsidR="00516ABB" w:rsidRPr="00097A86">
        <w:t>) in subsection</w:t>
      </w:r>
      <w:r w:rsidR="00097A86">
        <w:t> </w:t>
      </w:r>
      <w:r w:rsidR="00516ABB" w:rsidRPr="00097A86">
        <w:t>2.5(3).</w:t>
      </w:r>
    </w:p>
    <w:p w14:paraId="45E2B2DB" w14:textId="77777777" w:rsidR="003F0D4E" w:rsidRPr="00097A86" w:rsidRDefault="003F0D4E" w:rsidP="00D22D3F">
      <w:pPr>
        <w:pStyle w:val="ActHead5"/>
      </w:pPr>
      <w:bookmarkStart w:id="43" w:name="_Toc13233491"/>
      <w:r w:rsidRPr="00097A86">
        <w:rPr>
          <w:rStyle w:val="CharSectno"/>
        </w:rPr>
        <w:t>1.19</w:t>
      </w:r>
      <w:r w:rsidR="00D22D3F" w:rsidRPr="00097A86">
        <w:t xml:space="preserve">  </w:t>
      </w:r>
      <w:r w:rsidRPr="00097A86">
        <w:t>Temporary unavailability of method</w:t>
      </w:r>
      <w:bookmarkEnd w:id="43"/>
    </w:p>
    <w:p w14:paraId="24F44D88" w14:textId="77777777" w:rsidR="00C6675F" w:rsidRPr="00097A86" w:rsidRDefault="00C6675F" w:rsidP="00D22D3F">
      <w:pPr>
        <w:pStyle w:val="subsection"/>
      </w:pPr>
      <w:r w:rsidRPr="00097A86">
        <w:tab/>
        <w:t>(1)</w:t>
      </w:r>
      <w:r w:rsidRPr="00097A86">
        <w:tab/>
        <w:t xml:space="preserve">The procedure set out in this section applies if, during a reporting year, a method for a </w:t>
      </w:r>
      <w:r w:rsidR="00BD0EC5" w:rsidRPr="00097A86">
        <w:t xml:space="preserve">separate occurrence of a source </w:t>
      </w:r>
      <w:r w:rsidRPr="00097A86">
        <w:t xml:space="preserve">cannot be used because of a mechanical or technical failure of </w:t>
      </w:r>
      <w:r w:rsidR="00D74BAF" w:rsidRPr="00097A86">
        <w:t>equipment or a failure of measurement systems</w:t>
      </w:r>
      <w:r w:rsidRPr="00097A86">
        <w:t xml:space="preserve"> during a period (the </w:t>
      </w:r>
      <w:r w:rsidRPr="00097A86">
        <w:rPr>
          <w:b/>
          <w:i/>
        </w:rPr>
        <w:t>down time</w:t>
      </w:r>
      <w:r w:rsidRPr="00097A86">
        <w:t>).</w:t>
      </w:r>
    </w:p>
    <w:p w14:paraId="4B4F294E" w14:textId="77777777" w:rsidR="00BD0EC5" w:rsidRPr="00097A86" w:rsidRDefault="00BD0EC5" w:rsidP="00BD0EC5">
      <w:pPr>
        <w:pStyle w:val="subsection"/>
      </w:pPr>
      <w:r w:rsidRPr="00097A86">
        <w:tab/>
        <w:t>(2)</w:t>
      </w:r>
      <w:r w:rsidRPr="00097A86">
        <w:tab/>
        <w:t xml:space="preserve">For each day or part of a day during the down time, the estimation of emissions from the separate occurrence of a </w:t>
      </w:r>
      <w:r w:rsidR="009505F0">
        <w:rPr>
          <w:color w:val="000000" w:themeColor="text1"/>
        </w:rPr>
        <w:t>source must</w:t>
      </w:r>
      <w:r w:rsidRPr="00097A86">
        <w:t xml:space="preserve"> be consistent with the principles in section</w:t>
      </w:r>
      <w:r w:rsidR="00097A86">
        <w:t> </w:t>
      </w:r>
      <w:r w:rsidRPr="00097A86">
        <w:t>1.13.</w:t>
      </w:r>
    </w:p>
    <w:p w14:paraId="36F07971" w14:textId="77777777" w:rsidR="003F0D4E" w:rsidRPr="00097A86" w:rsidRDefault="003F0D4E" w:rsidP="00D22D3F">
      <w:pPr>
        <w:pStyle w:val="subsection"/>
      </w:pPr>
      <w:r w:rsidRPr="00097A86">
        <w:tab/>
        <w:t>(3)</w:t>
      </w:r>
      <w:r w:rsidRPr="00097A86">
        <w:tab/>
      </w:r>
      <w:r w:rsidR="00097A86">
        <w:t>Subsection (</w:t>
      </w:r>
      <w:r w:rsidRPr="00097A86">
        <w:t>2) only applies for a maximum of 6 weeks in a year. This period does not include down time taken for the calibration of the equipment.</w:t>
      </w:r>
    </w:p>
    <w:p w14:paraId="426FB14D" w14:textId="77777777" w:rsidR="00310592" w:rsidRPr="00097A86" w:rsidRDefault="00310592" w:rsidP="00310592">
      <w:pPr>
        <w:pStyle w:val="subsection"/>
      </w:pPr>
      <w:r w:rsidRPr="00097A86">
        <w:tab/>
        <w:t>(4)</w:t>
      </w:r>
      <w:r w:rsidRPr="00097A86">
        <w:tab/>
        <w:t xml:space="preserve">If down time is more than 6 weeks in a year, the registered corporation or </w:t>
      </w:r>
      <w:r w:rsidR="00FB7093">
        <w:t>registered person</w:t>
      </w:r>
      <w:r w:rsidRPr="00097A86">
        <w:t xml:space="preserve"> must inform the Regulator, in writing, of the following:</w:t>
      </w:r>
    </w:p>
    <w:p w14:paraId="51F1BB3A" w14:textId="77777777" w:rsidR="00310592" w:rsidRPr="00097A86" w:rsidRDefault="00310592" w:rsidP="00310592">
      <w:pPr>
        <w:pStyle w:val="paragraph"/>
      </w:pPr>
      <w:r w:rsidRPr="00097A86">
        <w:tab/>
        <w:t>(a)</w:t>
      </w:r>
      <w:r w:rsidRPr="00097A86">
        <w:tab/>
        <w:t>the reason why down time is more than 6 weeks;</w:t>
      </w:r>
    </w:p>
    <w:p w14:paraId="41A87B42" w14:textId="77777777" w:rsidR="00310592" w:rsidRPr="00097A86" w:rsidRDefault="00310592" w:rsidP="00310592">
      <w:pPr>
        <w:pStyle w:val="paragraph"/>
      </w:pPr>
      <w:r w:rsidRPr="00097A86">
        <w:tab/>
        <w:t>(b)</w:t>
      </w:r>
      <w:r w:rsidRPr="00097A86">
        <w:tab/>
        <w:t xml:space="preserve">how the corporation or </w:t>
      </w:r>
      <w:r w:rsidR="00FB7093">
        <w:t>person</w:t>
      </w:r>
      <w:r w:rsidR="00FB7093" w:rsidRPr="00097A86">
        <w:t xml:space="preserve"> </w:t>
      </w:r>
      <w:r w:rsidRPr="00097A86">
        <w:t>plans to minimise down time;</w:t>
      </w:r>
    </w:p>
    <w:p w14:paraId="778D6EFC" w14:textId="77777777" w:rsidR="00310592" w:rsidRPr="00097A86" w:rsidRDefault="00310592" w:rsidP="00310592">
      <w:pPr>
        <w:pStyle w:val="paragraph"/>
      </w:pPr>
      <w:r w:rsidRPr="00097A86">
        <w:tab/>
        <w:t>(c)</w:t>
      </w:r>
      <w:r w:rsidRPr="00097A86">
        <w:tab/>
        <w:t>how emissions have been estimated during the down time.</w:t>
      </w:r>
    </w:p>
    <w:p w14:paraId="07E7BBDA" w14:textId="77777777" w:rsidR="00310592" w:rsidRPr="00097A86" w:rsidRDefault="00310592" w:rsidP="00310592">
      <w:pPr>
        <w:pStyle w:val="subsection"/>
      </w:pPr>
      <w:r w:rsidRPr="00097A86">
        <w:tab/>
        <w:t>(5)</w:t>
      </w:r>
      <w:r w:rsidRPr="00097A86">
        <w:tab/>
        <w:t xml:space="preserve">The information mentioned in </w:t>
      </w:r>
      <w:r w:rsidR="00097A86">
        <w:t>subsection (</w:t>
      </w:r>
      <w:r w:rsidRPr="00097A86">
        <w:t>4) must be given to the Regulator within 6 weeks after the day when down time exceeds 6 weeks in a year.</w:t>
      </w:r>
    </w:p>
    <w:p w14:paraId="601E48E0" w14:textId="77777777" w:rsidR="00310592" w:rsidRPr="00097A86" w:rsidRDefault="00310592" w:rsidP="00310592">
      <w:pPr>
        <w:pStyle w:val="subsection"/>
      </w:pPr>
      <w:r w:rsidRPr="00097A86">
        <w:t xml:space="preserve"> </w:t>
      </w:r>
      <w:r w:rsidRPr="00097A86">
        <w:tab/>
        <w:t>(6)</w:t>
      </w:r>
      <w:r w:rsidRPr="00097A86">
        <w:tab/>
        <w:t xml:space="preserve">The Regulator may require a registered corporation or </w:t>
      </w:r>
      <w:r w:rsidR="00FB7093">
        <w:t>registered person</w:t>
      </w:r>
      <w:r w:rsidRPr="00097A86">
        <w:t xml:space="preserve"> to use method 1 to estimate emissions during the down time if:</w:t>
      </w:r>
    </w:p>
    <w:p w14:paraId="04DE9970" w14:textId="77777777" w:rsidR="00310592" w:rsidRPr="00097A86" w:rsidRDefault="00310592" w:rsidP="00310592">
      <w:pPr>
        <w:pStyle w:val="paragraph"/>
      </w:pPr>
      <w:r w:rsidRPr="00097A86">
        <w:t xml:space="preserve"> </w:t>
      </w:r>
      <w:r w:rsidRPr="00097A86">
        <w:tab/>
        <w:t>(a)</w:t>
      </w:r>
      <w:r w:rsidRPr="00097A86">
        <w:tab/>
        <w:t>method 2, 3 or 4 has been used to estimate emissions for the separate occurrence of a source; and</w:t>
      </w:r>
    </w:p>
    <w:p w14:paraId="6AB10BEA" w14:textId="77777777" w:rsidR="00310592" w:rsidRPr="00097A86" w:rsidRDefault="00310592" w:rsidP="00310592">
      <w:pPr>
        <w:pStyle w:val="paragraph"/>
      </w:pPr>
      <w:r w:rsidRPr="00097A86">
        <w:tab/>
        <w:t>(b)</w:t>
      </w:r>
      <w:r w:rsidRPr="00097A86">
        <w:tab/>
        <w:t>down time is more than 6 weeks in a year.</w:t>
      </w:r>
    </w:p>
    <w:p w14:paraId="252312FC" w14:textId="77777777" w:rsidR="006F0AA1" w:rsidRPr="00097A86" w:rsidRDefault="006F0AA1" w:rsidP="00BB2396">
      <w:pPr>
        <w:pStyle w:val="ActHead3"/>
        <w:pageBreakBefore/>
      </w:pPr>
      <w:bookmarkStart w:id="44" w:name="_Toc13233492"/>
      <w:r w:rsidRPr="00097A86">
        <w:rPr>
          <w:rStyle w:val="CharDivNo"/>
        </w:rPr>
        <w:lastRenderedPageBreak/>
        <w:t>Division</w:t>
      </w:r>
      <w:r w:rsidR="00097A86">
        <w:rPr>
          <w:rStyle w:val="CharDivNo"/>
        </w:rPr>
        <w:t> </w:t>
      </w:r>
      <w:r w:rsidRPr="00097A86">
        <w:rPr>
          <w:rStyle w:val="CharDivNo"/>
        </w:rPr>
        <w:t>1.2.3</w:t>
      </w:r>
      <w:r w:rsidR="00D22D3F" w:rsidRPr="00097A86">
        <w:t>—</w:t>
      </w:r>
      <w:r w:rsidRPr="00097A86">
        <w:rPr>
          <w:rStyle w:val="CharDivText"/>
        </w:rPr>
        <w:t>Requirements in relation to carbon capture and storage</w:t>
      </w:r>
      <w:bookmarkEnd w:id="44"/>
    </w:p>
    <w:p w14:paraId="4D9C1481" w14:textId="77777777" w:rsidR="006F0AA1" w:rsidRPr="00097A86" w:rsidRDefault="006F0AA1" w:rsidP="00D22D3F">
      <w:pPr>
        <w:pStyle w:val="ActHead5"/>
      </w:pPr>
      <w:bookmarkStart w:id="45" w:name="_Toc13233493"/>
      <w:r w:rsidRPr="00097A86">
        <w:rPr>
          <w:rStyle w:val="CharSectno"/>
        </w:rPr>
        <w:t>1.19A</w:t>
      </w:r>
      <w:r w:rsidR="00D22D3F" w:rsidRPr="00097A86">
        <w:t xml:space="preserve">  </w:t>
      </w:r>
      <w:r w:rsidRPr="00097A86">
        <w:t xml:space="preserve">Meaning of </w:t>
      </w:r>
      <w:r w:rsidRPr="00097A86">
        <w:rPr>
          <w:i/>
        </w:rPr>
        <w:t>captured for permanent storage</w:t>
      </w:r>
      <w:bookmarkEnd w:id="45"/>
    </w:p>
    <w:p w14:paraId="77CB7339" w14:textId="77777777" w:rsidR="006F0AA1" w:rsidRPr="00097A86" w:rsidRDefault="006F0AA1" w:rsidP="00D22D3F">
      <w:pPr>
        <w:pStyle w:val="subsection"/>
      </w:pPr>
      <w:r w:rsidRPr="00097A86">
        <w:tab/>
      </w:r>
      <w:r w:rsidRPr="00097A86">
        <w:tab/>
        <w:t xml:space="preserve">For this Determination, </w:t>
      </w:r>
      <w:r w:rsidR="000F2EC0" w:rsidRPr="00097A86">
        <w:t>a greenhouse gas</w:t>
      </w:r>
      <w:r w:rsidRPr="00097A86">
        <w:t xml:space="preserve"> is </w:t>
      </w:r>
      <w:r w:rsidRPr="00097A86">
        <w:rPr>
          <w:b/>
          <w:i/>
        </w:rPr>
        <w:t>captured for permanent storage</w:t>
      </w:r>
      <w:r w:rsidRPr="00097A86">
        <w:t xml:space="preserve"> only if it is captured by, or transferred to:</w:t>
      </w:r>
    </w:p>
    <w:p w14:paraId="53105428" w14:textId="77777777" w:rsidR="006F0AA1" w:rsidRPr="00097A86" w:rsidRDefault="006F0AA1" w:rsidP="00D22D3F">
      <w:pPr>
        <w:pStyle w:val="paragraph"/>
      </w:pPr>
      <w:r w:rsidRPr="00097A86">
        <w:tab/>
        <w:t>(a)</w:t>
      </w:r>
      <w:r w:rsidRPr="00097A86">
        <w:tab/>
        <w:t xml:space="preserve">the registered holder of a greenhouse gas injection licence under the </w:t>
      </w:r>
      <w:r w:rsidRPr="00097A86">
        <w:rPr>
          <w:i/>
        </w:rPr>
        <w:t xml:space="preserve">Offshore Petroleum and Greenhouse Gas Storage Act 2006 </w:t>
      </w:r>
      <w:r w:rsidRPr="00097A86">
        <w:t>for the purpose of being injected into an identified greenhouse gas storage formation under the licence in accordance with that Act; or</w:t>
      </w:r>
    </w:p>
    <w:p w14:paraId="34796583" w14:textId="77777777" w:rsidR="006F0AA1" w:rsidRPr="00097A86" w:rsidRDefault="006F0AA1" w:rsidP="00D22D3F">
      <w:pPr>
        <w:pStyle w:val="paragraph"/>
      </w:pPr>
      <w:r w:rsidRPr="00097A86">
        <w:tab/>
        <w:t>(b)</w:t>
      </w:r>
      <w:r w:rsidRPr="00097A86">
        <w:tab/>
        <w:t xml:space="preserve">the holder of an injection and monitoring licence under the </w:t>
      </w:r>
      <w:r w:rsidRPr="00097A86">
        <w:rPr>
          <w:b/>
        </w:rPr>
        <w:t xml:space="preserve">Greenhouse Gas Geological Sequestration Act 2008 </w:t>
      </w:r>
      <w:r w:rsidRPr="00097A86">
        <w:t>(Vic) for the purpose of being injected into an underground geological formation under the licence in accordance with that Act; or</w:t>
      </w:r>
    </w:p>
    <w:p w14:paraId="30382A68" w14:textId="77777777" w:rsidR="006F0AA1" w:rsidRPr="00097A86" w:rsidRDefault="006F0AA1" w:rsidP="00D22D3F">
      <w:pPr>
        <w:pStyle w:val="paragraph"/>
      </w:pPr>
      <w:r w:rsidRPr="00097A86">
        <w:tab/>
        <w:t>(c)</w:t>
      </w:r>
      <w:r w:rsidRPr="00097A86">
        <w:tab/>
        <w:t xml:space="preserve">the registered holder of a greenhouse gas injection licence under the </w:t>
      </w:r>
      <w:r w:rsidRPr="00097A86">
        <w:rPr>
          <w:b/>
        </w:rPr>
        <w:t xml:space="preserve">Offshore Petroleum and Greenhouse Gas Storage Act 2010 </w:t>
      </w:r>
      <w:r w:rsidRPr="00097A86">
        <w:t>(Vic) for the purpose of being injected into an identified greenhouse gas storage formation under the licence in accordance with that Act; or</w:t>
      </w:r>
    </w:p>
    <w:p w14:paraId="75BFAD1F" w14:textId="77777777" w:rsidR="006F0AA1" w:rsidRPr="00097A86" w:rsidRDefault="006F0AA1" w:rsidP="00D22D3F">
      <w:pPr>
        <w:pStyle w:val="paragraph"/>
      </w:pPr>
      <w:r w:rsidRPr="00097A86">
        <w:tab/>
        <w:t>(d)</w:t>
      </w:r>
      <w:r w:rsidRPr="00097A86">
        <w:tab/>
        <w:t xml:space="preserve">the holder of a GHG injection and storage lease under the </w:t>
      </w:r>
      <w:r w:rsidRPr="00097A86">
        <w:rPr>
          <w:i/>
        </w:rPr>
        <w:t xml:space="preserve">Greenhouse Gas Storage Act 2009 </w:t>
      </w:r>
      <w:r w:rsidRPr="00097A86">
        <w:t>(Qld) for the purpose of being injected into a GHG stream storage site under the lease in accordance with that Act; or</w:t>
      </w:r>
    </w:p>
    <w:p w14:paraId="55617A31" w14:textId="77777777" w:rsidR="006F0AA1" w:rsidRPr="00097A86" w:rsidRDefault="006F0AA1" w:rsidP="00D22D3F">
      <w:pPr>
        <w:pStyle w:val="paragraph"/>
      </w:pPr>
      <w:r w:rsidRPr="00097A86">
        <w:tab/>
        <w:t>(e)</w:t>
      </w:r>
      <w:r w:rsidRPr="00097A86">
        <w:tab/>
        <w:t xml:space="preserve">the holder of an approval under the </w:t>
      </w:r>
      <w:r w:rsidRPr="00097A86">
        <w:rPr>
          <w:i/>
        </w:rPr>
        <w:t xml:space="preserve">Barrow Island Act 2003 </w:t>
      </w:r>
      <w:r w:rsidRPr="00097A86">
        <w:t>(WA) for the purpose of being injected into an underground reservoir or other subsurface formation in accordance with that Act; or</w:t>
      </w:r>
    </w:p>
    <w:p w14:paraId="1799946D" w14:textId="77777777" w:rsidR="006F0AA1" w:rsidRPr="00097A86" w:rsidRDefault="006F0AA1" w:rsidP="00D22D3F">
      <w:pPr>
        <w:pStyle w:val="paragraph"/>
      </w:pPr>
      <w:r w:rsidRPr="00097A86">
        <w:tab/>
        <w:t>(f)</w:t>
      </w:r>
      <w:r w:rsidRPr="00097A86">
        <w:tab/>
        <w:t xml:space="preserve">the holder of a gas storage licence under the </w:t>
      </w:r>
      <w:r w:rsidRPr="00097A86">
        <w:rPr>
          <w:i/>
        </w:rPr>
        <w:t xml:space="preserve">Petroleum and Geothermal Energy Act 2000 </w:t>
      </w:r>
      <w:r w:rsidRPr="00097A86">
        <w:t>(SA) for the purpose of being injected into a natural reservoir under the licence in accordance with that Act.</w:t>
      </w:r>
    </w:p>
    <w:p w14:paraId="79DFDF47" w14:textId="77777777" w:rsidR="000F2EC0" w:rsidRPr="00097A86" w:rsidRDefault="000F2EC0" w:rsidP="000F2EC0">
      <w:pPr>
        <w:pStyle w:val="ActHead5"/>
      </w:pPr>
      <w:bookmarkStart w:id="46" w:name="_Toc13233494"/>
      <w:r w:rsidRPr="00097A86">
        <w:rPr>
          <w:rStyle w:val="CharSectno"/>
        </w:rPr>
        <w:t>1.19B</w:t>
      </w:r>
      <w:r w:rsidRPr="00097A86">
        <w:t xml:space="preserve">  Deducting greenhouse gas that is captured for permanent storage</w:t>
      </w:r>
      <w:bookmarkEnd w:id="46"/>
    </w:p>
    <w:p w14:paraId="1C85A427" w14:textId="77777777" w:rsidR="006F0AA1" w:rsidRPr="00097A86" w:rsidRDefault="006F0AA1" w:rsidP="00D22D3F">
      <w:pPr>
        <w:pStyle w:val="subsection"/>
      </w:pPr>
      <w:r w:rsidRPr="00097A86">
        <w:tab/>
        <w:t>(1)</w:t>
      </w:r>
      <w:r w:rsidRPr="00097A86">
        <w:tab/>
        <w:t xml:space="preserve">If a provision of this Determination provides that an amount of </w:t>
      </w:r>
      <w:r w:rsidR="000F2EC0" w:rsidRPr="00097A86">
        <w:t>a greenhouse gas</w:t>
      </w:r>
      <w:r w:rsidRPr="00097A86">
        <w:t xml:space="preserve"> that is captured for permanent storage may be deducted in the estimation of emissions under the provision, then the amount of </w:t>
      </w:r>
      <w:r w:rsidR="000F2EC0" w:rsidRPr="00097A86">
        <w:t>the greenhouse gas</w:t>
      </w:r>
      <w:r w:rsidRPr="00097A86">
        <w:t xml:space="preserve"> may be deducted only if:</w:t>
      </w:r>
    </w:p>
    <w:p w14:paraId="4DF71B4C" w14:textId="77777777" w:rsidR="006F0AA1" w:rsidRPr="00097A86" w:rsidRDefault="006F0AA1" w:rsidP="00D22D3F">
      <w:pPr>
        <w:pStyle w:val="paragraph"/>
      </w:pPr>
      <w:r w:rsidRPr="00097A86">
        <w:tab/>
        <w:t>(a)</w:t>
      </w:r>
      <w:r w:rsidRPr="00097A86">
        <w:tab/>
        <w:t xml:space="preserve">the </w:t>
      </w:r>
      <w:r w:rsidR="000F2EC0" w:rsidRPr="00097A86">
        <w:t>greenhouse gas</w:t>
      </w:r>
      <w:r w:rsidRPr="00097A86">
        <w:t xml:space="preserve"> that is captured for permanent storage is captured by, or transferred to, a relevant person; and</w:t>
      </w:r>
    </w:p>
    <w:p w14:paraId="1BDF161E" w14:textId="77777777" w:rsidR="006F0AA1" w:rsidRPr="00097A86" w:rsidRDefault="006F0AA1" w:rsidP="00D22D3F">
      <w:pPr>
        <w:pStyle w:val="paragraph"/>
      </w:pPr>
      <w:r w:rsidRPr="00097A86">
        <w:tab/>
        <w:t>(b)</w:t>
      </w:r>
      <w:r w:rsidRPr="00097A86">
        <w:tab/>
        <w:t xml:space="preserve">the amount of </w:t>
      </w:r>
      <w:r w:rsidR="000F2EC0" w:rsidRPr="00097A86">
        <w:t>the greenhouse gas</w:t>
      </w:r>
      <w:r w:rsidRPr="00097A86">
        <w:t xml:space="preserve"> that is captured for permanent storage is estimated in accordance with section</w:t>
      </w:r>
      <w:r w:rsidR="00097A86">
        <w:t> </w:t>
      </w:r>
      <w:r w:rsidRPr="00097A86">
        <w:t>1.19E; and</w:t>
      </w:r>
    </w:p>
    <w:p w14:paraId="586038C4" w14:textId="77777777" w:rsidR="006F0AA1" w:rsidRPr="00097A86" w:rsidRDefault="006F0AA1" w:rsidP="00D22D3F">
      <w:pPr>
        <w:pStyle w:val="paragraph"/>
      </w:pPr>
      <w:r w:rsidRPr="00097A86">
        <w:tab/>
        <w:t>(c)</w:t>
      </w:r>
      <w:r w:rsidRPr="00097A86">
        <w:tab/>
        <w:t xml:space="preserve">the relevant person issues a written certificate that complies with </w:t>
      </w:r>
      <w:r w:rsidR="00097A86">
        <w:t>subsection (</w:t>
      </w:r>
      <w:r w:rsidRPr="00097A86">
        <w:t>2).</w:t>
      </w:r>
    </w:p>
    <w:p w14:paraId="7E6E960F" w14:textId="77777777" w:rsidR="006F0AA1" w:rsidRPr="00097A86" w:rsidRDefault="006F0AA1" w:rsidP="00D22D3F">
      <w:pPr>
        <w:pStyle w:val="subsection"/>
      </w:pPr>
      <w:r w:rsidRPr="00097A86">
        <w:tab/>
        <w:t>(2)</w:t>
      </w:r>
      <w:r w:rsidRPr="00097A86">
        <w:tab/>
        <w:t>The certificate must specify:</w:t>
      </w:r>
    </w:p>
    <w:p w14:paraId="737FBC00" w14:textId="77777777" w:rsidR="006F0AA1" w:rsidRPr="00097A86" w:rsidRDefault="006F0AA1" w:rsidP="00D22D3F">
      <w:pPr>
        <w:pStyle w:val="paragraph"/>
      </w:pPr>
      <w:r w:rsidRPr="00097A86">
        <w:tab/>
        <w:t>(a)</w:t>
      </w:r>
      <w:r w:rsidRPr="00097A86">
        <w:tab/>
        <w:t xml:space="preserve">if the </w:t>
      </w:r>
      <w:r w:rsidR="000F2EC0" w:rsidRPr="00097A86">
        <w:t>greenhouse gas is captured</w:t>
      </w:r>
      <w:r w:rsidRPr="00097A86">
        <w:t xml:space="preserve"> by the relevant person and is neither transferred to the relevant person nor transferred by the relevant person to another person</w:t>
      </w:r>
      <w:r w:rsidR="00D22D3F" w:rsidRPr="00097A86">
        <w:t>—</w:t>
      </w:r>
      <w:r w:rsidRPr="00097A86">
        <w:t>the following information:</w:t>
      </w:r>
    </w:p>
    <w:p w14:paraId="065C4444" w14:textId="77777777" w:rsidR="006F0AA1" w:rsidRPr="00097A86" w:rsidRDefault="006F0AA1" w:rsidP="00D22D3F">
      <w:pPr>
        <w:pStyle w:val="paragraphsub"/>
      </w:pPr>
      <w:r w:rsidRPr="00097A86">
        <w:lastRenderedPageBreak/>
        <w:tab/>
        <w:t>(i)</w:t>
      </w:r>
      <w:r w:rsidRPr="00097A86">
        <w:tab/>
        <w:t xml:space="preserve">the amount of </w:t>
      </w:r>
      <w:r w:rsidR="000F2EC0" w:rsidRPr="00097A86">
        <w:t>the greenhouse gas, measured in CO</w:t>
      </w:r>
      <w:r w:rsidR="000F2EC0" w:rsidRPr="00097A86">
        <w:rPr>
          <w:vertAlign w:val="subscript"/>
        </w:rPr>
        <w:t>2</w:t>
      </w:r>
      <w:r w:rsidR="00097A86">
        <w:noBreakHyphen/>
      </w:r>
      <w:r w:rsidR="000F2EC0" w:rsidRPr="00097A86">
        <w:t>e</w:t>
      </w:r>
      <w:r w:rsidR="000F2EC0" w:rsidRPr="00097A86">
        <w:rPr>
          <w:szCs w:val="22"/>
        </w:rPr>
        <w:t xml:space="preserve"> tonnes</w:t>
      </w:r>
      <w:r w:rsidR="000F2EC0" w:rsidRPr="00097A86">
        <w:t>,</w:t>
      </w:r>
      <w:r w:rsidRPr="00097A86">
        <w:t xml:space="preserve"> captured by the relevant person;</w:t>
      </w:r>
    </w:p>
    <w:p w14:paraId="1CB38659" w14:textId="77777777" w:rsidR="006F0AA1" w:rsidRPr="00097A86" w:rsidRDefault="006F0AA1" w:rsidP="00D22D3F">
      <w:pPr>
        <w:pStyle w:val="paragraphsub"/>
      </w:pPr>
      <w:r w:rsidRPr="00097A86">
        <w:tab/>
        <w:t>(ii)</w:t>
      </w:r>
      <w:r w:rsidRPr="00097A86">
        <w:tab/>
        <w:t xml:space="preserve">the volume of the </w:t>
      </w:r>
      <w:r w:rsidR="000F2EC0" w:rsidRPr="00097A86">
        <w:t>greenhouse gas</w:t>
      </w:r>
      <w:r w:rsidRPr="00097A86">
        <w:t xml:space="preserve"> stream containing the captured </w:t>
      </w:r>
      <w:r w:rsidR="000F2EC0" w:rsidRPr="00097A86">
        <w:t>greenhouse gas</w:t>
      </w:r>
      <w:r w:rsidRPr="00097A86">
        <w:t>;</w:t>
      </w:r>
    </w:p>
    <w:p w14:paraId="2E35CD2A" w14:textId="77777777" w:rsidR="006F0AA1" w:rsidRPr="00097A86" w:rsidRDefault="006F0AA1" w:rsidP="00D22D3F">
      <w:pPr>
        <w:pStyle w:val="paragraphsub"/>
      </w:pPr>
      <w:r w:rsidRPr="00097A86">
        <w:tab/>
        <w:t>(iii)</w:t>
      </w:r>
      <w:r w:rsidRPr="00097A86">
        <w:tab/>
        <w:t xml:space="preserve">the concentration of </w:t>
      </w:r>
      <w:r w:rsidR="000F2EC0" w:rsidRPr="00097A86">
        <w:t>the greenhouse gas</w:t>
      </w:r>
      <w:r w:rsidRPr="00097A86">
        <w:t xml:space="preserve"> in the stream; or</w:t>
      </w:r>
    </w:p>
    <w:p w14:paraId="610C8D03" w14:textId="77777777" w:rsidR="006F0AA1" w:rsidRPr="00097A86" w:rsidRDefault="006F0AA1" w:rsidP="00D22D3F">
      <w:pPr>
        <w:pStyle w:val="paragraph"/>
      </w:pPr>
      <w:r w:rsidRPr="00097A86">
        <w:tab/>
        <w:t>(b)</w:t>
      </w:r>
      <w:r w:rsidRPr="00097A86">
        <w:tab/>
        <w:t xml:space="preserve">if the </w:t>
      </w:r>
      <w:r w:rsidR="000F2EC0" w:rsidRPr="00097A86">
        <w:t>greenhouse gas is transferred</w:t>
      </w:r>
      <w:r w:rsidRPr="00097A86">
        <w:t xml:space="preserve"> to the relevant person</w:t>
      </w:r>
      <w:r w:rsidR="00D22D3F" w:rsidRPr="00097A86">
        <w:t>—</w:t>
      </w:r>
      <w:r w:rsidRPr="00097A86">
        <w:t>the following information:</w:t>
      </w:r>
    </w:p>
    <w:p w14:paraId="398A943E" w14:textId="77777777" w:rsidR="006F0AA1" w:rsidRPr="00097A86" w:rsidRDefault="006F0AA1" w:rsidP="00D22D3F">
      <w:pPr>
        <w:pStyle w:val="paragraphsub"/>
      </w:pPr>
      <w:r w:rsidRPr="00097A86">
        <w:tab/>
        <w:t>(i)</w:t>
      </w:r>
      <w:r w:rsidRPr="00097A86">
        <w:tab/>
        <w:t xml:space="preserve">the amount of </w:t>
      </w:r>
      <w:r w:rsidR="000F2EC0" w:rsidRPr="00097A86">
        <w:t>the greenhouse gas, measured in CO</w:t>
      </w:r>
      <w:r w:rsidR="000F2EC0" w:rsidRPr="00097A86">
        <w:rPr>
          <w:vertAlign w:val="subscript"/>
        </w:rPr>
        <w:t>2</w:t>
      </w:r>
      <w:r w:rsidR="00097A86">
        <w:noBreakHyphen/>
      </w:r>
      <w:r w:rsidR="000F2EC0" w:rsidRPr="00097A86">
        <w:t>e</w:t>
      </w:r>
      <w:r w:rsidR="000F2EC0" w:rsidRPr="00097A86">
        <w:rPr>
          <w:szCs w:val="22"/>
        </w:rPr>
        <w:t xml:space="preserve"> tonnes</w:t>
      </w:r>
      <w:r w:rsidR="000F2EC0" w:rsidRPr="00097A86">
        <w:t>,</w:t>
      </w:r>
      <w:r w:rsidRPr="00097A86">
        <w:t xml:space="preserve"> that was transferred to the relevant person;</w:t>
      </w:r>
    </w:p>
    <w:p w14:paraId="1465D46F" w14:textId="77777777" w:rsidR="006F0AA1" w:rsidRPr="00097A86" w:rsidRDefault="006F0AA1" w:rsidP="00D22D3F">
      <w:pPr>
        <w:pStyle w:val="paragraphsub"/>
      </w:pPr>
      <w:r w:rsidRPr="00097A86">
        <w:tab/>
        <w:t>(ii)</w:t>
      </w:r>
      <w:r w:rsidRPr="00097A86">
        <w:tab/>
        <w:t xml:space="preserve">the volume of the </w:t>
      </w:r>
      <w:r w:rsidR="000F2EC0" w:rsidRPr="00097A86">
        <w:t>greenhouse gas</w:t>
      </w:r>
      <w:r w:rsidRPr="00097A86">
        <w:t xml:space="preserve"> stream containing the transferred </w:t>
      </w:r>
      <w:r w:rsidR="008F0052" w:rsidRPr="00097A86">
        <w:t>greenhouse gas</w:t>
      </w:r>
      <w:r w:rsidRPr="00097A86">
        <w:t>;</w:t>
      </w:r>
    </w:p>
    <w:p w14:paraId="21936BDC" w14:textId="77777777" w:rsidR="006F0AA1" w:rsidRPr="00097A86" w:rsidRDefault="006F0AA1" w:rsidP="00D22D3F">
      <w:pPr>
        <w:pStyle w:val="paragraphsub"/>
      </w:pPr>
      <w:r w:rsidRPr="00097A86">
        <w:tab/>
        <w:t>(iii)</w:t>
      </w:r>
      <w:r w:rsidRPr="00097A86">
        <w:tab/>
        <w:t xml:space="preserve">the concentration of </w:t>
      </w:r>
      <w:r w:rsidR="008F0052" w:rsidRPr="00097A86">
        <w:t xml:space="preserve">the </w:t>
      </w:r>
      <w:r w:rsidR="000F2EC0" w:rsidRPr="00097A86">
        <w:t>greenhouse gas</w:t>
      </w:r>
      <w:r w:rsidRPr="00097A86">
        <w:t xml:space="preserve"> in the stream.</w:t>
      </w:r>
    </w:p>
    <w:p w14:paraId="2F9D9FFA" w14:textId="77777777" w:rsidR="006F0AA1" w:rsidRPr="00097A86" w:rsidRDefault="006F0AA1" w:rsidP="00D22D3F">
      <w:pPr>
        <w:pStyle w:val="subsection"/>
      </w:pPr>
      <w:r w:rsidRPr="00097A86">
        <w:tab/>
        <w:t>(3)</w:t>
      </w:r>
      <w:r w:rsidRPr="00097A86">
        <w:tab/>
        <w:t xml:space="preserve">The amount of </w:t>
      </w:r>
      <w:r w:rsidR="008F0052" w:rsidRPr="00097A86">
        <w:t>the greenhouse gas</w:t>
      </w:r>
      <w:r w:rsidRPr="00097A86">
        <w:t xml:space="preserve"> that may be deducted is the amount specified in the certificate under </w:t>
      </w:r>
      <w:r w:rsidR="00097A86">
        <w:t>paragraph (</w:t>
      </w:r>
      <w:r w:rsidR="0017253A" w:rsidRPr="00097A86">
        <w:t>1)</w:t>
      </w:r>
      <w:r w:rsidRPr="00097A86">
        <w:t>(c).</w:t>
      </w:r>
    </w:p>
    <w:p w14:paraId="4D0F177B" w14:textId="77777777" w:rsidR="006F0AA1" w:rsidRPr="00097A86" w:rsidRDefault="006F0AA1" w:rsidP="00D22D3F">
      <w:pPr>
        <w:pStyle w:val="ActHead5"/>
      </w:pPr>
      <w:bookmarkStart w:id="47" w:name="_Toc13233495"/>
      <w:r w:rsidRPr="00097A86">
        <w:rPr>
          <w:rStyle w:val="CharSectno"/>
        </w:rPr>
        <w:t>1.19C</w:t>
      </w:r>
      <w:r w:rsidR="00D22D3F" w:rsidRPr="00097A86">
        <w:t xml:space="preserve">  </w:t>
      </w:r>
      <w:r w:rsidRPr="00097A86">
        <w:t>Capture from facility with multiple sources jointly generated</w:t>
      </w:r>
      <w:bookmarkEnd w:id="47"/>
    </w:p>
    <w:p w14:paraId="5704A578" w14:textId="77777777" w:rsidR="006F0AA1" w:rsidRPr="00097A86" w:rsidRDefault="006F0AA1" w:rsidP="00D22D3F">
      <w:pPr>
        <w:pStyle w:val="subsection"/>
      </w:pPr>
      <w:r w:rsidRPr="00097A86">
        <w:tab/>
      </w:r>
      <w:r w:rsidRPr="00097A86">
        <w:tab/>
        <w:t xml:space="preserve">If, during the operation of a facility, more than 1 source generates </w:t>
      </w:r>
      <w:r w:rsidR="008F0052" w:rsidRPr="00097A86">
        <w:t>a greenhouse gas</w:t>
      </w:r>
      <w:r w:rsidRPr="00097A86">
        <w:t xml:space="preserve">, the total amount of </w:t>
      </w:r>
      <w:r w:rsidR="008F0052" w:rsidRPr="00097A86">
        <w:t>the greenhouse gas</w:t>
      </w:r>
      <w:r w:rsidRPr="00097A86">
        <w:t xml:space="preserve"> that may be deducted in relation to the facility is to be attributed:</w:t>
      </w:r>
    </w:p>
    <w:p w14:paraId="684CD9FD" w14:textId="77777777" w:rsidR="006F0AA1" w:rsidRPr="00097A86" w:rsidRDefault="006F0AA1" w:rsidP="00D22D3F">
      <w:pPr>
        <w:pStyle w:val="paragraph"/>
      </w:pPr>
      <w:r w:rsidRPr="00097A86">
        <w:tab/>
        <w:t>(a)</w:t>
      </w:r>
      <w:r w:rsidRPr="00097A86">
        <w:tab/>
        <w:t xml:space="preserve">if it is possible to determine the amount of </w:t>
      </w:r>
      <w:r w:rsidR="008F0052" w:rsidRPr="00097A86">
        <w:t>the greenhouse gas</w:t>
      </w:r>
      <w:r w:rsidRPr="00097A86">
        <w:t xml:space="preserve"> that is captured for permanent storage from each source</w:t>
      </w:r>
      <w:r w:rsidR="00D22D3F" w:rsidRPr="00097A86">
        <w:t>—</w:t>
      </w:r>
      <w:r w:rsidRPr="00097A86">
        <w:t xml:space="preserve">to each source from which the </w:t>
      </w:r>
      <w:r w:rsidR="008F0052" w:rsidRPr="00097A86">
        <w:t>greenhouse gas</w:t>
      </w:r>
      <w:r w:rsidRPr="00097A86">
        <w:t xml:space="preserve"> is captured according to the amount captured from the source; or</w:t>
      </w:r>
    </w:p>
    <w:p w14:paraId="6753A03D" w14:textId="77777777" w:rsidR="006F0AA1" w:rsidRPr="00097A86" w:rsidRDefault="006F0AA1" w:rsidP="00D22D3F">
      <w:pPr>
        <w:pStyle w:val="paragraph"/>
      </w:pPr>
      <w:r w:rsidRPr="00097A86">
        <w:tab/>
        <w:t>(b)</w:t>
      </w:r>
      <w:r w:rsidRPr="00097A86">
        <w:tab/>
        <w:t xml:space="preserve">if it is not possible to determine the amount of </w:t>
      </w:r>
      <w:r w:rsidR="008F0052" w:rsidRPr="00097A86">
        <w:t>the greenhouse gas</w:t>
      </w:r>
      <w:r w:rsidRPr="00097A86">
        <w:t xml:space="preserve"> captured for permanent storage from each source</w:t>
      </w:r>
      <w:r w:rsidR="00D22D3F" w:rsidRPr="00097A86">
        <w:t>—</w:t>
      </w:r>
      <w:r w:rsidRPr="00097A86">
        <w:t xml:space="preserve">to the main source that generated the </w:t>
      </w:r>
      <w:r w:rsidR="008F0052" w:rsidRPr="00097A86">
        <w:t>greenhouse gas</w:t>
      </w:r>
      <w:r w:rsidRPr="00097A86">
        <w:t xml:space="preserve"> that is captured during the operation of the facility.</w:t>
      </w:r>
    </w:p>
    <w:p w14:paraId="0E37427E" w14:textId="77777777" w:rsidR="006F0AA1" w:rsidRPr="00097A86" w:rsidRDefault="006F0AA1" w:rsidP="00D22D3F">
      <w:pPr>
        <w:pStyle w:val="ActHead5"/>
      </w:pPr>
      <w:bookmarkStart w:id="48" w:name="_Toc13233496"/>
      <w:r w:rsidRPr="00097A86">
        <w:rPr>
          <w:rStyle w:val="CharSectno"/>
        </w:rPr>
        <w:t>1.19D</w:t>
      </w:r>
      <w:r w:rsidR="00D22D3F" w:rsidRPr="00097A86">
        <w:t xml:space="preserve">  </w:t>
      </w:r>
      <w:r w:rsidRPr="00097A86">
        <w:t>Capture from a source where multiple fuels consumed</w:t>
      </w:r>
      <w:bookmarkEnd w:id="48"/>
    </w:p>
    <w:p w14:paraId="78FE98B0" w14:textId="77777777" w:rsidR="006F0AA1" w:rsidRPr="00097A86" w:rsidRDefault="006F0AA1" w:rsidP="00D22D3F">
      <w:pPr>
        <w:pStyle w:val="subsection"/>
      </w:pPr>
      <w:r w:rsidRPr="00097A86">
        <w:tab/>
      </w:r>
      <w:r w:rsidRPr="00097A86">
        <w:tab/>
        <w:t xml:space="preserve">If more than 1 fuel is consumed for a source that generates </w:t>
      </w:r>
      <w:r w:rsidR="008F0052" w:rsidRPr="00097A86">
        <w:t>a greenhouse gas</w:t>
      </w:r>
      <w:r w:rsidRPr="00097A86">
        <w:t xml:space="preserve"> that is captured for permanent storage, the total amount of </w:t>
      </w:r>
      <w:r w:rsidR="008F0052" w:rsidRPr="00097A86">
        <w:t>the greenhouse gas</w:t>
      </w:r>
      <w:r w:rsidRPr="00097A86">
        <w:t xml:space="preserve"> that may be deducted in relation to the source is to be attributed to each fuel consumed in proportion to the carbon content of the fuel relative to the total carbon content of all fuel consumed for that source.</w:t>
      </w:r>
    </w:p>
    <w:p w14:paraId="5A348BA0" w14:textId="77777777" w:rsidR="008F0052" w:rsidRPr="00097A86" w:rsidRDefault="008F0052" w:rsidP="008F0052">
      <w:pPr>
        <w:pStyle w:val="ActHead5"/>
      </w:pPr>
      <w:bookmarkStart w:id="49" w:name="_Toc13233497"/>
      <w:r w:rsidRPr="00097A86">
        <w:rPr>
          <w:rStyle w:val="CharSectno"/>
        </w:rPr>
        <w:t>1.19E</w:t>
      </w:r>
      <w:r w:rsidRPr="00097A86">
        <w:t xml:space="preserve">  Measure of quantity of captured greenhouse gas</w:t>
      </w:r>
      <w:bookmarkEnd w:id="49"/>
    </w:p>
    <w:p w14:paraId="2CDD6459" w14:textId="77777777" w:rsidR="006F0AA1" w:rsidRPr="00097A86" w:rsidRDefault="006F0AA1" w:rsidP="00D22D3F">
      <w:pPr>
        <w:pStyle w:val="subsection"/>
      </w:pPr>
      <w:r w:rsidRPr="00097A86">
        <w:tab/>
        <w:t>(1)</w:t>
      </w:r>
      <w:r w:rsidRPr="00097A86">
        <w:tab/>
        <w:t>For paragraph</w:t>
      </w:r>
      <w:r w:rsidR="00097A86">
        <w:t> </w:t>
      </w:r>
      <w:r w:rsidR="0017253A" w:rsidRPr="00097A86">
        <w:t>1.19B</w:t>
      </w:r>
      <w:r w:rsidRPr="00097A86">
        <w:t xml:space="preserve">(1)(b), the amount of </w:t>
      </w:r>
      <w:r w:rsidR="008F0052" w:rsidRPr="00097A86">
        <w:t>a greenhouse gas that is captured</w:t>
      </w:r>
      <w:r w:rsidRPr="00097A86">
        <w:t xml:space="preserve"> must be estimated in accordance with this section.</w:t>
      </w:r>
    </w:p>
    <w:p w14:paraId="445F8166" w14:textId="77777777" w:rsidR="006F0AA1" w:rsidRPr="00097A86" w:rsidRDefault="006F0AA1" w:rsidP="00D22D3F">
      <w:pPr>
        <w:pStyle w:val="subsection"/>
      </w:pPr>
      <w:r w:rsidRPr="00097A86">
        <w:tab/>
        <w:t>(2)</w:t>
      </w:r>
      <w:r w:rsidRPr="00097A86">
        <w:tab/>
        <w:t xml:space="preserve">The volume of the </w:t>
      </w:r>
      <w:r w:rsidR="008F0052" w:rsidRPr="00097A86">
        <w:t>greenhouse gas</w:t>
      </w:r>
      <w:r w:rsidRPr="00097A86">
        <w:t xml:space="preserve"> stream containing the captured </w:t>
      </w:r>
      <w:r w:rsidR="008F0052" w:rsidRPr="00097A86">
        <w:t>greenhouse gas</w:t>
      </w:r>
      <w:r w:rsidRPr="00097A86">
        <w:t xml:space="preserve"> must be estimated:</w:t>
      </w:r>
    </w:p>
    <w:p w14:paraId="1EF40272" w14:textId="77777777" w:rsidR="006F0AA1" w:rsidRPr="00097A86" w:rsidRDefault="006F0AA1" w:rsidP="00D22D3F">
      <w:pPr>
        <w:pStyle w:val="paragraph"/>
      </w:pPr>
      <w:r w:rsidRPr="00097A86">
        <w:tab/>
        <w:t>(a)</w:t>
      </w:r>
      <w:r w:rsidRPr="00097A86">
        <w:tab/>
        <w:t xml:space="preserve">if the </w:t>
      </w:r>
      <w:r w:rsidR="008F0052" w:rsidRPr="00097A86">
        <w:t>greenhouse gas</w:t>
      </w:r>
      <w:r w:rsidRPr="00097A86">
        <w:t xml:space="preserve"> stream is transferred to a relevant person</w:t>
      </w:r>
      <w:r w:rsidR="00D22D3F" w:rsidRPr="00097A86">
        <w:t>—</w:t>
      </w:r>
      <w:r w:rsidRPr="00097A86">
        <w:t>using:</w:t>
      </w:r>
    </w:p>
    <w:p w14:paraId="120E8178" w14:textId="77777777" w:rsidR="006F0AA1" w:rsidRPr="00097A86" w:rsidRDefault="006F0AA1" w:rsidP="00D22D3F">
      <w:pPr>
        <w:pStyle w:val="paragraphsub"/>
      </w:pPr>
      <w:r w:rsidRPr="00097A86">
        <w:tab/>
        <w:t>(i)</w:t>
      </w:r>
      <w:r w:rsidRPr="00097A86">
        <w:tab/>
        <w:t>criterion A in section</w:t>
      </w:r>
      <w:r w:rsidR="00097A86">
        <w:t> </w:t>
      </w:r>
      <w:r w:rsidRPr="00097A86">
        <w:t>1.19F; or</w:t>
      </w:r>
    </w:p>
    <w:p w14:paraId="518998F5" w14:textId="77777777" w:rsidR="006F0AA1" w:rsidRPr="00097A86" w:rsidRDefault="006F0AA1" w:rsidP="00D22D3F">
      <w:pPr>
        <w:pStyle w:val="paragraphsub"/>
      </w:pPr>
      <w:r w:rsidRPr="00097A86">
        <w:tab/>
        <w:t>(ii)</w:t>
      </w:r>
      <w:r w:rsidRPr="00097A86">
        <w:tab/>
        <w:t>criterion AAA in section</w:t>
      </w:r>
      <w:r w:rsidR="00097A86">
        <w:t> </w:t>
      </w:r>
      <w:r w:rsidRPr="00097A86">
        <w:t>1.19G; or</w:t>
      </w:r>
    </w:p>
    <w:p w14:paraId="26BDC9F8" w14:textId="77777777" w:rsidR="006F0AA1" w:rsidRPr="00097A86" w:rsidRDefault="006F0AA1" w:rsidP="00D22D3F">
      <w:pPr>
        <w:pStyle w:val="paragraph"/>
      </w:pPr>
      <w:r w:rsidRPr="00097A86">
        <w:lastRenderedPageBreak/>
        <w:tab/>
        <w:t>(b)</w:t>
      </w:r>
      <w:r w:rsidRPr="00097A86">
        <w:tab/>
        <w:t xml:space="preserve">if the </w:t>
      </w:r>
      <w:r w:rsidR="008F0052" w:rsidRPr="00097A86">
        <w:t>greenhouse gas</w:t>
      </w:r>
      <w:r w:rsidRPr="00097A86">
        <w:t xml:space="preserve"> stream is captured by the relevant person and is neither transferred to the relevant person nor transferred by the relevant person to another person</w:t>
      </w:r>
      <w:r w:rsidR="00D22D3F" w:rsidRPr="00097A86">
        <w:t>—</w:t>
      </w:r>
      <w:r w:rsidRPr="00097A86">
        <w:t>using:</w:t>
      </w:r>
    </w:p>
    <w:p w14:paraId="59F9F633" w14:textId="77777777" w:rsidR="006F0AA1" w:rsidRPr="00097A86" w:rsidRDefault="006F0AA1" w:rsidP="00D22D3F">
      <w:pPr>
        <w:pStyle w:val="paragraphsub"/>
      </w:pPr>
      <w:r w:rsidRPr="00097A86">
        <w:tab/>
        <w:t>(i)</w:t>
      </w:r>
      <w:r w:rsidRPr="00097A86">
        <w:tab/>
        <w:t>criterion AAA in section</w:t>
      </w:r>
      <w:r w:rsidR="00097A86">
        <w:t> </w:t>
      </w:r>
      <w:r w:rsidRPr="00097A86">
        <w:t>1.19G; or</w:t>
      </w:r>
    </w:p>
    <w:p w14:paraId="6566EAD3" w14:textId="77777777" w:rsidR="006F0AA1" w:rsidRPr="00097A86" w:rsidRDefault="00F24DBB" w:rsidP="00D22D3F">
      <w:pPr>
        <w:pStyle w:val="paragraphsub"/>
      </w:pPr>
      <w:r w:rsidRPr="00097A86">
        <w:tab/>
        <w:t>(ii)</w:t>
      </w:r>
      <w:r w:rsidRPr="00097A86">
        <w:tab/>
        <w:t xml:space="preserve">criterion BBB in </w:t>
      </w:r>
      <w:r w:rsidR="0029351E" w:rsidRPr="00097A86">
        <w:t>section</w:t>
      </w:r>
      <w:r w:rsidR="00097A86">
        <w:t> </w:t>
      </w:r>
      <w:r w:rsidR="0029351E" w:rsidRPr="00097A86">
        <w:t>1.19GA</w:t>
      </w:r>
      <w:r w:rsidR="006F0AA1" w:rsidRPr="00097A86">
        <w:t>.</w:t>
      </w:r>
    </w:p>
    <w:p w14:paraId="384B9ADC" w14:textId="77777777" w:rsidR="006F0AA1" w:rsidRPr="00097A86" w:rsidRDefault="006F0AA1" w:rsidP="00D22D3F">
      <w:pPr>
        <w:pStyle w:val="subsection"/>
      </w:pPr>
      <w:r w:rsidRPr="00097A86">
        <w:tab/>
        <w:t>(3)</w:t>
      </w:r>
      <w:r w:rsidRPr="00097A86">
        <w:tab/>
        <w:t xml:space="preserve">The </w:t>
      </w:r>
      <w:r w:rsidR="008F0052" w:rsidRPr="00097A86">
        <w:t>greenhouse gas</w:t>
      </w:r>
      <w:r w:rsidRPr="00097A86">
        <w:t xml:space="preserve"> stream must be sampled in accordance with ISO 10715:1997, or an equivalent standard.</w:t>
      </w:r>
    </w:p>
    <w:p w14:paraId="4780CD94" w14:textId="77777777" w:rsidR="006F0AA1" w:rsidRPr="00097A86" w:rsidRDefault="006F0AA1" w:rsidP="00D22D3F">
      <w:pPr>
        <w:pStyle w:val="subsection"/>
      </w:pPr>
      <w:r w:rsidRPr="00097A86">
        <w:tab/>
        <w:t>(4)</w:t>
      </w:r>
      <w:r w:rsidRPr="00097A86">
        <w:tab/>
        <w:t xml:space="preserve">The concentration of </w:t>
      </w:r>
      <w:r w:rsidR="008F0052" w:rsidRPr="00097A86">
        <w:t>the greenhouse gas</w:t>
      </w:r>
      <w:r w:rsidRPr="00097A86">
        <w:t xml:space="preserve"> in the </w:t>
      </w:r>
      <w:r w:rsidR="00161D5B" w:rsidRPr="00097A86">
        <w:t>greenhouse gas</w:t>
      </w:r>
      <w:r w:rsidRPr="00097A86">
        <w:t xml:space="preserve"> stream must be analysed in accordance with the following parts of ISO 6974 or an equivalent standard:</w:t>
      </w:r>
    </w:p>
    <w:p w14:paraId="335B7092" w14:textId="77777777" w:rsidR="006F0AA1" w:rsidRPr="00097A86" w:rsidRDefault="006F0AA1" w:rsidP="00D22D3F">
      <w:pPr>
        <w:pStyle w:val="paragraph"/>
      </w:pPr>
      <w:r w:rsidRPr="00097A86">
        <w:tab/>
        <w:t>(a)</w:t>
      </w:r>
      <w:r w:rsidRPr="00097A86">
        <w:tab/>
        <w:t>Part</w:t>
      </w:r>
      <w:r w:rsidR="00097A86">
        <w:t> </w:t>
      </w:r>
      <w:r w:rsidRPr="00097A86">
        <w:t>1 (2000);</w:t>
      </w:r>
    </w:p>
    <w:p w14:paraId="55FA67A8" w14:textId="77777777" w:rsidR="006F0AA1" w:rsidRPr="00097A86" w:rsidRDefault="006F0AA1" w:rsidP="00D22D3F">
      <w:pPr>
        <w:pStyle w:val="paragraph"/>
      </w:pPr>
      <w:r w:rsidRPr="00097A86">
        <w:tab/>
        <w:t>(b)</w:t>
      </w:r>
      <w:r w:rsidRPr="00097A86">
        <w:tab/>
        <w:t>Part</w:t>
      </w:r>
      <w:r w:rsidR="00097A86">
        <w:t> </w:t>
      </w:r>
      <w:r w:rsidRPr="00097A86">
        <w:t>2 (2001);</w:t>
      </w:r>
    </w:p>
    <w:p w14:paraId="026770FA" w14:textId="77777777" w:rsidR="006F0AA1" w:rsidRPr="00097A86" w:rsidRDefault="006F0AA1" w:rsidP="00D22D3F">
      <w:pPr>
        <w:pStyle w:val="paragraph"/>
      </w:pPr>
      <w:r w:rsidRPr="00097A86">
        <w:tab/>
        <w:t>(c)</w:t>
      </w:r>
      <w:r w:rsidRPr="00097A86">
        <w:tab/>
        <w:t>Part</w:t>
      </w:r>
      <w:r w:rsidR="00097A86">
        <w:t> </w:t>
      </w:r>
      <w:r w:rsidRPr="00097A86">
        <w:t>3 (2000);</w:t>
      </w:r>
    </w:p>
    <w:p w14:paraId="5565CB3C" w14:textId="77777777" w:rsidR="006F0AA1" w:rsidRPr="00097A86" w:rsidRDefault="006F0AA1" w:rsidP="00D22D3F">
      <w:pPr>
        <w:pStyle w:val="paragraph"/>
      </w:pPr>
      <w:r w:rsidRPr="00097A86">
        <w:tab/>
        <w:t>(d)</w:t>
      </w:r>
      <w:r w:rsidRPr="00097A86">
        <w:tab/>
        <w:t>Part</w:t>
      </w:r>
      <w:r w:rsidR="00097A86">
        <w:t> </w:t>
      </w:r>
      <w:r w:rsidRPr="00097A86">
        <w:t>4 (2000);</w:t>
      </w:r>
    </w:p>
    <w:p w14:paraId="3D32A147" w14:textId="77777777" w:rsidR="006F0AA1" w:rsidRPr="00097A86" w:rsidRDefault="006F0AA1" w:rsidP="00D22D3F">
      <w:pPr>
        <w:pStyle w:val="paragraph"/>
      </w:pPr>
      <w:r w:rsidRPr="00097A86">
        <w:tab/>
        <w:t>(e)</w:t>
      </w:r>
      <w:r w:rsidRPr="00097A86">
        <w:tab/>
        <w:t>Part</w:t>
      </w:r>
      <w:r w:rsidR="00097A86">
        <w:t> </w:t>
      </w:r>
      <w:r w:rsidRPr="00097A86">
        <w:t>5 (2000);</w:t>
      </w:r>
    </w:p>
    <w:p w14:paraId="5A620186" w14:textId="77777777" w:rsidR="006F0AA1" w:rsidRPr="00097A86" w:rsidRDefault="006F0AA1" w:rsidP="00D22D3F">
      <w:pPr>
        <w:pStyle w:val="paragraph"/>
      </w:pPr>
      <w:r w:rsidRPr="00097A86">
        <w:tab/>
        <w:t>(f)</w:t>
      </w:r>
      <w:r w:rsidRPr="00097A86">
        <w:tab/>
        <w:t>Part</w:t>
      </w:r>
      <w:r w:rsidR="00097A86">
        <w:t> </w:t>
      </w:r>
      <w:r w:rsidRPr="00097A86">
        <w:t>6 (2002).</w:t>
      </w:r>
    </w:p>
    <w:p w14:paraId="7CE15E9F" w14:textId="77777777" w:rsidR="006F0AA1" w:rsidRPr="00097A86" w:rsidRDefault="006F0AA1" w:rsidP="00D22D3F">
      <w:pPr>
        <w:pStyle w:val="subsection"/>
      </w:pPr>
      <w:r w:rsidRPr="00097A86">
        <w:tab/>
        <w:t>(5)</w:t>
      </w:r>
      <w:r w:rsidRPr="00097A86">
        <w:tab/>
        <w:t xml:space="preserve">The volume of the </w:t>
      </w:r>
      <w:r w:rsidR="00161D5B" w:rsidRPr="00097A86">
        <w:t>greenhouse gas</w:t>
      </w:r>
      <w:r w:rsidRPr="00097A86">
        <w:t xml:space="preserve"> stream must be expressed in cubic metres.</w:t>
      </w:r>
    </w:p>
    <w:p w14:paraId="6CF7FE02" w14:textId="77777777" w:rsidR="006F0AA1" w:rsidRPr="00097A86" w:rsidRDefault="006F0AA1" w:rsidP="00D22D3F">
      <w:pPr>
        <w:pStyle w:val="subsection"/>
      </w:pPr>
      <w:r w:rsidRPr="00097A86">
        <w:tab/>
        <w:t>(6)</w:t>
      </w:r>
      <w:r w:rsidRPr="00097A86">
        <w:tab/>
        <w:t xml:space="preserve">The </w:t>
      </w:r>
      <w:r w:rsidR="00161D5B" w:rsidRPr="00097A86">
        <w:t>greenhouse gas</w:t>
      </w:r>
      <w:r w:rsidRPr="00097A86">
        <w:t xml:space="preserve"> stream must be analysed for </w:t>
      </w:r>
      <w:r w:rsidR="00161D5B" w:rsidRPr="00097A86">
        <w:t>the concentration of the greenhouse gas</w:t>
      </w:r>
      <w:r w:rsidRPr="00097A86">
        <w:t xml:space="preserve"> on at least a monthly basis.</w:t>
      </w:r>
    </w:p>
    <w:p w14:paraId="00D8837F" w14:textId="77777777" w:rsidR="00161D5B" w:rsidRPr="00097A86" w:rsidRDefault="00161D5B" w:rsidP="00161D5B">
      <w:pPr>
        <w:pStyle w:val="ActHead5"/>
      </w:pPr>
      <w:bookmarkStart w:id="50" w:name="_Toc13233498"/>
      <w:r w:rsidRPr="00097A86">
        <w:rPr>
          <w:rStyle w:val="CharSectno"/>
        </w:rPr>
        <w:t>1.19F</w:t>
      </w:r>
      <w:r w:rsidRPr="00097A86">
        <w:t xml:space="preserve">  Volume of greenhouse gas stream—criterion A</w:t>
      </w:r>
      <w:bookmarkEnd w:id="50"/>
    </w:p>
    <w:p w14:paraId="0D3960DA" w14:textId="77777777" w:rsidR="006F0AA1" w:rsidRPr="00097A86" w:rsidRDefault="006F0AA1" w:rsidP="00D22D3F">
      <w:pPr>
        <w:pStyle w:val="subsection"/>
      </w:pPr>
      <w:r w:rsidRPr="00097A86">
        <w:tab/>
        <w:t>(1)</w:t>
      </w:r>
      <w:r w:rsidRPr="00097A86">
        <w:tab/>
        <w:t>For subparagraph</w:t>
      </w:r>
      <w:r w:rsidR="00097A86">
        <w:t> </w:t>
      </w:r>
      <w:r w:rsidRPr="00097A86">
        <w:t xml:space="preserve">1.19E(2)(a)(i), criterion A is the volume of the </w:t>
      </w:r>
      <w:r w:rsidR="00161D5B" w:rsidRPr="00097A86">
        <w:t>greenhouse gas</w:t>
      </w:r>
      <w:r w:rsidRPr="00097A86">
        <w:t xml:space="preserve"> stream that is:</w:t>
      </w:r>
    </w:p>
    <w:p w14:paraId="6D454A22" w14:textId="77777777" w:rsidR="006F0AA1" w:rsidRPr="00097A86" w:rsidRDefault="006F0AA1" w:rsidP="00D22D3F">
      <w:pPr>
        <w:pStyle w:val="paragraph"/>
      </w:pPr>
      <w:r w:rsidRPr="00097A86">
        <w:tab/>
        <w:t>(a)</w:t>
      </w:r>
      <w:r w:rsidRPr="00097A86">
        <w:tab/>
        <w:t>transferred to the relevant person during the year; and</w:t>
      </w:r>
    </w:p>
    <w:p w14:paraId="1639F5E0" w14:textId="77777777" w:rsidR="006F0AA1" w:rsidRPr="00097A86" w:rsidRDefault="006F0AA1" w:rsidP="00D22D3F">
      <w:pPr>
        <w:pStyle w:val="paragraph"/>
      </w:pPr>
      <w:r w:rsidRPr="00097A86">
        <w:tab/>
        <w:t>(b)</w:t>
      </w:r>
      <w:r w:rsidRPr="00097A86">
        <w:tab/>
        <w:t>specified in a certificate issued by the relevant person under paragraph</w:t>
      </w:r>
      <w:r w:rsidR="00097A86">
        <w:t> </w:t>
      </w:r>
      <w:r w:rsidRPr="00097A86">
        <w:t>1.19B</w:t>
      </w:r>
      <w:r w:rsidR="0017253A" w:rsidRPr="00097A86">
        <w:t>(1)</w:t>
      </w:r>
      <w:r w:rsidRPr="00097A86">
        <w:t>(c).</w:t>
      </w:r>
    </w:p>
    <w:p w14:paraId="489A4374" w14:textId="77777777" w:rsidR="006F0AA1" w:rsidRPr="00097A86" w:rsidRDefault="006F0AA1" w:rsidP="00D22D3F">
      <w:pPr>
        <w:pStyle w:val="subsection"/>
      </w:pPr>
      <w:r w:rsidRPr="00097A86">
        <w:tab/>
        <w:t>(2)</w:t>
      </w:r>
      <w:r w:rsidRPr="00097A86">
        <w:tab/>
        <w:t>The volume specified in the certificate must be accurate and must be evidenced by invoices issued by the relevant person.</w:t>
      </w:r>
    </w:p>
    <w:p w14:paraId="611A9201" w14:textId="77777777" w:rsidR="00161D5B" w:rsidRPr="00097A86" w:rsidRDefault="00161D5B" w:rsidP="00161D5B">
      <w:pPr>
        <w:pStyle w:val="ActHead5"/>
      </w:pPr>
      <w:bookmarkStart w:id="51" w:name="_Toc13233499"/>
      <w:r w:rsidRPr="00097A86">
        <w:rPr>
          <w:rStyle w:val="CharSectno"/>
        </w:rPr>
        <w:t>1.19G</w:t>
      </w:r>
      <w:r w:rsidRPr="00097A86">
        <w:t xml:space="preserve">  Volume of greenhouse gas stream—criterion AAA</w:t>
      </w:r>
      <w:bookmarkEnd w:id="51"/>
    </w:p>
    <w:p w14:paraId="53601A89" w14:textId="77777777" w:rsidR="006F0AA1" w:rsidRPr="00097A86" w:rsidRDefault="006F0AA1" w:rsidP="00D22D3F">
      <w:pPr>
        <w:pStyle w:val="subsection"/>
      </w:pPr>
      <w:r w:rsidRPr="00097A86">
        <w:tab/>
        <w:t>(1)</w:t>
      </w:r>
      <w:r w:rsidRPr="00097A86">
        <w:tab/>
        <w:t>For subparagraphs</w:t>
      </w:r>
      <w:r w:rsidR="00097A86">
        <w:t> </w:t>
      </w:r>
      <w:r w:rsidRPr="00097A86">
        <w:t xml:space="preserve">1.19E(2)(a)(ii) and (b)(i), criterion AAA is the measurement during the year of the captured </w:t>
      </w:r>
      <w:r w:rsidR="00161D5B" w:rsidRPr="00097A86">
        <w:t>greenhouse gas</w:t>
      </w:r>
      <w:r w:rsidRPr="00097A86">
        <w:t xml:space="preserve"> stream from the operation of a facility at the point of capture.</w:t>
      </w:r>
    </w:p>
    <w:p w14:paraId="28E6E25F" w14:textId="77777777" w:rsidR="006F0AA1" w:rsidRPr="00097A86" w:rsidRDefault="006F0AA1" w:rsidP="00D22D3F">
      <w:pPr>
        <w:pStyle w:val="subsection"/>
      </w:pPr>
      <w:r w:rsidRPr="00097A86">
        <w:tab/>
        <w:t>(2)</w:t>
      </w:r>
      <w:r w:rsidRPr="00097A86">
        <w:tab/>
        <w:t xml:space="preserve">In measuring the quantity of the </w:t>
      </w:r>
      <w:r w:rsidR="00161D5B" w:rsidRPr="00097A86">
        <w:t>greenhouse gas</w:t>
      </w:r>
      <w:r w:rsidRPr="00097A86">
        <w:t xml:space="preserve"> stream at the point of capture, the quantity of the </w:t>
      </w:r>
      <w:r w:rsidR="00161D5B" w:rsidRPr="00097A86">
        <w:t>greenhouse gas</w:t>
      </w:r>
      <w:r w:rsidRPr="00097A86">
        <w:t xml:space="preserve"> stream must be measured:</w:t>
      </w:r>
    </w:p>
    <w:p w14:paraId="3C871FDE" w14:textId="77777777" w:rsidR="006F0AA1" w:rsidRPr="00097A86" w:rsidRDefault="006F0AA1" w:rsidP="00D22D3F">
      <w:pPr>
        <w:pStyle w:val="paragraph"/>
      </w:pPr>
      <w:r w:rsidRPr="00097A86">
        <w:tab/>
        <w:t>(a)</w:t>
      </w:r>
      <w:r w:rsidRPr="00097A86">
        <w:tab/>
        <w:t>using volumetric measurement in accordance with:</w:t>
      </w:r>
    </w:p>
    <w:p w14:paraId="26DE5AD2" w14:textId="77777777" w:rsidR="00161D5B" w:rsidRPr="00097A86" w:rsidRDefault="00161D5B" w:rsidP="00161D5B">
      <w:pPr>
        <w:pStyle w:val="paragraphsub"/>
      </w:pPr>
      <w:r w:rsidRPr="00097A86">
        <w:tab/>
        <w:t>(i)</w:t>
      </w:r>
      <w:r w:rsidRPr="00097A86">
        <w:tab/>
        <w:t>for a compressed greenhouse gas stream—section</w:t>
      </w:r>
      <w:r w:rsidR="00097A86">
        <w:t> </w:t>
      </w:r>
      <w:r w:rsidRPr="00097A86">
        <w:t>1.19H; and</w:t>
      </w:r>
    </w:p>
    <w:p w14:paraId="3B4EF598" w14:textId="77777777" w:rsidR="006F0AA1" w:rsidRPr="00097A86" w:rsidRDefault="006F0AA1" w:rsidP="00D22D3F">
      <w:pPr>
        <w:pStyle w:val="paragraphsub"/>
      </w:pPr>
      <w:r w:rsidRPr="00097A86">
        <w:tab/>
        <w:t>(ii)</w:t>
      </w:r>
      <w:r w:rsidRPr="00097A86">
        <w:tab/>
        <w:t>for a super</w:t>
      </w:r>
      <w:r w:rsidR="00097A86">
        <w:rPr>
          <w:i/>
        </w:rPr>
        <w:noBreakHyphen/>
      </w:r>
      <w:r w:rsidRPr="00097A86">
        <w:t xml:space="preserve">compressed </w:t>
      </w:r>
      <w:r w:rsidR="00161D5B" w:rsidRPr="00097A86">
        <w:t>greenhouse gas</w:t>
      </w:r>
      <w:r w:rsidRPr="00097A86">
        <w:t xml:space="preserve"> stream</w:t>
      </w:r>
      <w:r w:rsidR="00D22D3F" w:rsidRPr="00097A86">
        <w:t>—</w:t>
      </w:r>
      <w:r w:rsidRPr="00097A86">
        <w:t>section</w:t>
      </w:r>
      <w:r w:rsidR="00097A86">
        <w:t> </w:t>
      </w:r>
      <w:r w:rsidRPr="00097A86">
        <w:t>1.19I; and</w:t>
      </w:r>
    </w:p>
    <w:p w14:paraId="5F3090BF" w14:textId="77777777" w:rsidR="006F0AA1" w:rsidRPr="00097A86" w:rsidRDefault="006F0AA1" w:rsidP="00D22D3F">
      <w:pPr>
        <w:pStyle w:val="paragraph"/>
      </w:pPr>
      <w:r w:rsidRPr="00097A86">
        <w:tab/>
        <w:t>(b)</w:t>
      </w:r>
      <w:r w:rsidRPr="00097A86">
        <w:tab/>
        <w:t>using gas measuring equipment that complies with section</w:t>
      </w:r>
      <w:r w:rsidR="00097A86">
        <w:t> </w:t>
      </w:r>
      <w:r w:rsidRPr="00097A86">
        <w:t>1.19J.</w:t>
      </w:r>
    </w:p>
    <w:p w14:paraId="652DE8FE" w14:textId="77777777" w:rsidR="006F0AA1" w:rsidRPr="00097A86" w:rsidRDefault="006F0AA1" w:rsidP="00D22D3F">
      <w:pPr>
        <w:pStyle w:val="subsection"/>
      </w:pPr>
      <w:r w:rsidRPr="00097A86">
        <w:lastRenderedPageBreak/>
        <w:tab/>
        <w:t>(3)</w:t>
      </w:r>
      <w:r w:rsidRPr="00097A86">
        <w:tab/>
        <w:t>The measurement must be carried out using measuring equipment that:</w:t>
      </w:r>
    </w:p>
    <w:p w14:paraId="2D5050E9" w14:textId="77777777" w:rsidR="006F0AA1" w:rsidRPr="00097A86" w:rsidRDefault="006F0AA1" w:rsidP="00D22D3F">
      <w:pPr>
        <w:pStyle w:val="paragraph"/>
      </w:pPr>
      <w:r w:rsidRPr="00097A86">
        <w:tab/>
        <w:t>(a)</w:t>
      </w:r>
      <w:r w:rsidRPr="00097A86">
        <w:tab/>
        <w:t xml:space="preserve">is in a category specified in column 2 of an item in the table in </w:t>
      </w:r>
      <w:r w:rsidR="00097A86">
        <w:t>subsection (</w:t>
      </w:r>
      <w:r w:rsidRPr="00097A86">
        <w:t xml:space="preserve">4) according to the maximum daily quantity of the </w:t>
      </w:r>
      <w:r w:rsidR="00161D5B" w:rsidRPr="00097A86">
        <w:t>greenhouse gas</w:t>
      </w:r>
      <w:r w:rsidRPr="00097A86">
        <w:t xml:space="preserve"> stream captured specified in column 3 for that item from the operation of the facility; and</w:t>
      </w:r>
    </w:p>
    <w:p w14:paraId="7D3CBF0D" w14:textId="77777777" w:rsidR="006F0AA1" w:rsidRPr="00097A86" w:rsidRDefault="006F0AA1" w:rsidP="00D22D3F">
      <w:pPr>
        <w:pStyle w:val="paragraph"/>
      </w:pPr>
      <w:r w:rsidRPr="00097A86">
        <w:tab/>
        <w:t>(b)</w:t>
      </w:r>
      <w:r w:rsidRPr="00097A86">
        <w:tab/>
        <w:t xml:space="preserve">complies with the transmitter and accuracy requirements for that equipment specified in column 4 for that </w:t>
      </w:r>
      <w:r w:rsidR="00152FF4" w:rsidRPr="00097A86">
        <w:t>item, if the requirements are applicable to the measuring equipment being used</w:t>
      </w:r>
      <w:r w:rsidRPr="00097A86">
        <w:t>.</w:t>
      </w:r>
    </w:p>
    <w:p w14:paraId="1E7A4FB5" w14:textId="77777777" w:rsidR="006F0AA1" w:rsidRPr="00097A86" w:rsidRDefault="006F0AA1" w:rsidP="00D22D3F">
      <w:pPr>
        <w:pStyle w:val="subsection"/>
      </w:pPr>
      <w:r w:rsidRPr="00097A86">
        <w:tab/>
        <w:t>(4)</w:t>
      </w:r>
      <w:r w:rsidRPr="00097A86">
        <w:tab/>
        <w:t xml:space="preserve">For </w:t>
      </w:r>
      <w:r w:rsidR="00097A86">
        <w:t>subsection (</w:t>
      </w:r>
      <w:r w:rsidRPr="00097A86">
        <w:t>3), the table is as follows.</w:t>
      </w:r>
    </w:p>
    <w:p w14:paraId="5550A181"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09"/>
        <w:gridCol w:w="1872"/>
        <w:gridCol w:w="2713"/>
        <w:gridCol w:w="3019"/>
      </w:tblGrid>
      <w:tr w:rsidR="006F0AA1" w:rsidRPr="00097A86" w14:paraId="23FCAF93" w14:textId="77777777" w:rsidTr="00C20CC2">
        <w:trPr>
          <w:tblHeader/>
        </w:trPr>
        <w:tc>
          <w:tcPr>
            <w:tcW w:w="426" w:type="pct"/>
            <w:tcBorders>
              <w:top w:val="single" w:sz="12" w:space="0" w:color="auto"/>
              <w:bottom w:val="single" w:sz="12" w:space="0" w:color="auto"/>
            </w:tcBorders>
            <w:shd w:val="clear" w:color="auto" w:fill="auto"/>
          </w:tcPr>
          <w:p w14:paraId="1150A809" w14:textId="77777777" w:rsidR="006F0AA1" w:rsidRPr="00097A86" w:rsidRDefault="006F0AA1" w:rsidP="00D22D3F">
            <w:pPr>
              <w:pStyle w:val="TableHeading"/>
            </w:pPr>
            <w:r w:rsidRPr="00097A86">
              <w:t>Item</w:t>
            </w:r>
          </w:p>
        </w:tc>
        <w:tc>
          <w:tcPr>
            <w:tcW w:w="1126" w:type="pct"/>
            <w:tcBorders>
              <w:top w:val="single" w:sz="12" w:space="0" w:color="auto"/>
              <w:bottom w:val="single" w:sz="12" w:space="0" w:color="auto"/>
            </w:tcBorders>
            <w:shd w:val="clear" w:color="auto" w:fill="auto"/>
          </w:tcPr>
          <w:p w14:paraId="5E4B1066" w14:textId="77777777" w:rsidR="006F0AA1" w:rsidRPr="00097A86" w:rsidRDefault="006F0AA1" w:rsidP="00D22D3F">
            <w:pPr>
              <w:pStyle w:val="TableHeading"/>
            </w:pPr>
            <w:r w:rsidRPr="00097A86">
              <w:t>Gas measuring equipment category</w:t>
            </w:r>
          </w:p>
        </w:tc>
        <w:tc>
          <w:tcPr>
            <w:tcW w:w="1632" w:type="pct"/>
            <w:tcBorders>
              <w:top w:val="single" w:sz="12" w:space="0" w:color="auto"/>
              <w:bottom w:val="single" w:sz="12" w:space="0" w:color="auto"/>
            </w:tcBorders>
            <w:shd w:val="clear" w:color="auto" w:fill="auto"/>
          </w:tcPr>
          <w:p w14:paraId="00C0FC90" w14:textId="77777777" w:rsidR="006F0AA1" w:rsidRPr="00097A86" w:rsidRDefault="00161D5B" w:rsidP="00D22D3F">
            <w:pPr>
              <w:pStyle w:val="TableHeading"/>
            </w:pPr>
            <w:r w:rsidRPr="00097A86">
              <w:t xml:space="preserve">Maximum daily quantity of greenhouse gas stream </w:t>
            </w:r>
            <w:r w:rsidRPr="00097A86">
              <w:br/>
              <w:t>(cubic metres/day)</w:t>
            </w:r>
          </w:p>
        </w:tc>
        <w:tc>
          <w:tcPr>
            <w:tcW w:w="1816" w:type="pct"/>
            <w:tcBorders>
              <w:top w:val="single" w:sz="12" w:space="0" w:color="auto"/>
              <w:bottom w:val="single" w:sz="12" w:space="0" w:color="auto"/>
            </w:tcBorders>
            <w:shd w:val="clear" w:color="auto" w:fill="auto"/>
          </w:tcPr>
          <w:p w14:paraId="06A5DC2F" w14:textId="77777777" w:rsidR="006F0AA1" w:rsidRPr="00097A86" w:rsidRDefault="006F0AA1" w:rsidP="00D22D3F">
            <w:pPr>
              <w:pStyle w:val="TableHeading"/>
            </w:pPr>
            <w:r w:rsidRPr="00097A86">
              <w:t>Transmitter and accuracy requirements (% of range)</w:t>
            </w:r>
          </w:p>
        </w:tc>
      </w:tr>
      <w:tr w:rsidR="006F0AA1" w:rsidRPr="00097A86" w14:paraId="3385275B" w14:textId="77777777" w:rsidTr="00C20CC2">
        <w:tc>
          <w:tcPr>
            <w:tcW w:w="426" w:type="pct"/>
            <w:tcBorders>
              <w:top w:val="single" w:sz="12" w:space="0" w:color="auto"/>
            </w:tcBorders>
            <w:shd w:val="clear" w:color="auto" w:fill="auto"/>
          </w:tcPr>
          <w:p w14:paraId="2FE857BA" w14:textId="77777777" w:rsidR="006F0AA1" w:rsidRPr="00097A86" w:rsidRDefault="006F0AA1" w:rsidP="00D22D3F">
            <w:pPr>
              <w:pStyle w:val="Tabletext"/>
            </w:pPr>
            <w:r w:rsidRPr="00097A86">
              <w:t>1</w:t>
            </w:r>
          </w:p>
        </w:tc>
        <w:tc>
          <w:tcPr>
            <w:tcW w:w="1126" w:type="pct"/>
            <w:tcBorders>
              <w:top w:val="single" w:sz="12" w:space="0" w:color="auto"/>
            </w:tcBorders>
            <w:shd w:val="clear" w:color="auto" w:fill="auto"/>
          </w:tcPr>
          <w:p w14:paraId="7F7A5365" w14:textId="77777777" w:rsidR="006F0AA1" w:rsidRPr="00097A86" w:rsidRDefault="006F0AA1" w:rsidP="00D22D3F">
            <w:pPr>
              <w:pStyle w:val="Tabletext"/>
            </w:pPr>
            <w:r w:rsidRPr="00097A86">
              <w:t>1</w:t>
            </w:r>
          </w:p>
        </w:tc>
        <w:tc>
          <w:tcPr>
            <w:tcW w:w="1632" w:type="pct"/>
            <w:tcBorders>
              <w:top w:val="single" w:sz="12" w:space="0" w:color="auto"/>
            </w:tcBorders>
            <w:shd w:val="clear" w:color="auto" w:fill="auto"/>
          </w:tcPr>
          <w:p w14:paraId="12DE4391" w14:textId="77777777" w:rsidR="006F0AA1" w:rsidRPr="00097A86" w:rsidRDefault="006F0AA1" w:rsidP="00D22D3F">
            <w:pPr>
              <w:pStyle w:val="Tabletext"/>
            </w:pPr>
            <w:r w:rsidRPr="00097A86">
              <w:t>0–50</w:t>
            </w:r>
            <w:r w:rsidR="00097A86">
              <w:t> </w:t>
            </w:r>
            <w:r w:rsidRPr="00097A86">
              <w:t>000</w:t>
            </w:r>
          </w:p>
        </w:tc>
        <w:tc>
          <w:tcPr>
            <w:tcW w:w="1816" w:type="pct"/>
            <w:tcBorders>
              <w:top w:val="single" w:sz="12" w:space="0" w:color="auto"/>
            </w:tcBorders>
            <w:shd w:val="clear" w:color="auto" w:fill="auto"/>
          </w:tcPr>
          <w:p w14:paraId="73D2C2E7" w14:textId="77777777" w:rsidR="006F0AA1" w:rsidRPr="00097A86" w:rsidRDefault="006F0AA1" w:rsidP="00D22D3F">
            <w:pPr>
              <w:pStyle w:val="Tabletext"/>
            </w:pPr>
            <w:r w:rsidRPr="00097A86">
              <w:t>Pressure &lt;±0.25%</w:t>
            </w:r>
          </w:p>
          <w:p w14:paraId="778BFEB7" w14:textId="77777777" w:rsidR="006F0AA1" w:rsidRPr="00097A86" w:rsidRDefault="006F0AA1" w:rsidP="00D22D3F">
            <w:pPr>
              <w:pStyle w:val="Tabletext"/>
            </w:pPr>
            <w:r w:rsidRPr="00097A86">
              <w:t>Diff. pressure &lt;±0.25%</w:t>
            </w:r>
          </w:p>
          <w:p w14:paraId="50B7BAC6" w14:textId="77777777" w:rsidR="006F0AA1" w:rsidRPr="00097A86" w:rsidRDefault="006F0AA1" w:rsidP="00D22D3F">
            <w:pPr>
              <w:pStyle w:val="Tabletext"/>
            </w:pPr>
            <w:r w:rsidRPr="00097A86">
              <w:t xml:space="preserve">Temperature &lt;±0.50% </w:t>
            </w:r>
          </w:p>
        </w:tc>
      </w:tr>
      <w:tr w:rsidR="006F0AA1" w:rsidRPr="00097A86" w14:paraId="12732B51" w14:textId="77777777" w:rsidTr="00C20CC2">
        <w:tc>
          <w:tcPr>
            <w:tcW w:w="426" w:type="pct"/>
            <w:shd w:val="clear" w:color="auto" w:fill="auto"/>
          </w:tcPr>
          <w:p w14:paraId="16439757" w14:textId="77777777" w:rsidR="006F0AA1" w:rsidRPr="00097A86" w:rsidRDefault="006F0AA1" w:rsidP="00D22D3F">
            <w:pPr>
              <w:pStyle w:val="Tabletext"/>
            </w:pPr>
            <w:r w:rsidRPr="00097A86">
              <w:t>2</w:t>
            </w:r>
          </w:p>
        </w:tc>
        <w:tc>
          <w:tcPr>
            <w:tcW w:w="1126" w:type="pct"/>
            <w:shd w:val="clear" w:color="auto" w:fill="auto"/>
          </w:tcPr>
          <w:p w14:paraId="3A11B0CF" w14:textId="77777777" w:rsidR="006F0AA1" w:rsidRPr="00097A86" w:rsidRDefault="006F0AA1" w:rsidP="00D22D3F">
            <w:pPr>
              <w:pStyle w:val="Tabletext"/>
            </w:pPr>
            <w:r w:rsidRPr="00097A86">
              <w:t>2</w:t>
            </w:r>
          </w:p>
        </w:tc>
        <w:tc>
          <w:tcPr>
            <w:tcW w:w="1632" w:type="pct"/>
            <w:shd w:val="clear" w:color="auto" w:fill="auto"/>
          </w:tcPr>
          <w:p w14:paraId="53B8C49F" w14:textId="77777777" w:rsidR="006F0AA1" w:rsidRPr="00097A86" w:rsidRDefault="006F0AA1" w:rsidP="00D22D3F">
            <w:pPr>
              <w:pStyle w:val="Tabletext"/>
            </w:pPr>
            <w:r w:rsidRPr="00097A86">
              <w:t>50</w:t>
            </w:r>
            <w:r w:rsidR="00097A86">
              <w:t> </w:t>
            </w:r>
            <w:r w:rsidRPr="00097A86">
              <w:t>001–100</w:t>
            </w:r>
            <w:r w:rsidR="00097A86">
              <w:t> </w:t>
            </w:r>
            <w:r w:rsidRPr="00097A86">
              <w:t>000</w:t>
            </w:r>
          </w:p>
        </w:tc>
        <w:tc>
          <w:tcPr>
            <w:tcW w:w="1816" w:type="pct"/>
            <w:shd w:val="clear" w:color="auto" w:fill="auto"/>
          </w:tcPr>
          <w:p w14:paraId="725BF647" w14:textId="77777777" w:rsidR="006F0AA1" w:rsidRPr="00097A86" w:rsidRDefault="006F0AA1" w:rsidP="00D22D3F">
            <w:pPr>
              <w:pStyle w:val="Tabletext"/>
            </w:pPr>
            <w:r w:rsidRPr="00097A86">
              <w:t>Pressure &lt;±0.25%</w:t>
            </w:r>
          </w:p>
          <w:p w14:paraId="4D03FEEC" w14:textId="77777777" w:rsidR="006F0AA1" w:rsidRPr="00097A86" w:rsidRDefault="006F0AA1" w:rsidP="00D22D3F">
            <w:pPr>
              <w:pStyle w:val="Tabletext"/>
            </w:pPr>
            <w:r w:rsidRPr="00097A86">
              <w:t>Diff. pressure &lt;±0.25%</w:t>
            </w:r>
          </w:p>
          <w:p w14:paraId="2D578AC3" w14:textId="77777777" w:rsidR="006F0AA1" w:rsidRPr="00097A86" w:rsidRDefault="006F0AA1" w:rsidP="00D22D3F">
            <w:pPr>
              <w:pStyle w:val="Tabletext"/>
            </w:pPr>
            <w:r w:rsidRPr="00097A86">
              <w:t>Temperature &lt;±0.50%</w:t>
            </w:r>
          </w:p>
        </w:tc>
      </w:tr>
      <w:tr w:rsidR="006F0AA1" w:rsidRPr="00097A86" w14:paraId="3A138121" w14:textId="77777777" w:rsidTr="00C20CC2">
        <w:tc>
          <w:tcPr>
            <w:tcW w:w="426" w:type="pct"/>
            <w:tcBorders>
              <w:bottom w:val="single" w:sz="4" w:space="0" w:color="auto"/>
            </w:tcBorders>
            <w:shd w:val="clear" w:color="auto" w:fill="auto"/>
          </w:tcPr>
          <w:p w14:paraId="6751790C" w14:textId="77777777" w:rsidR="006F0AA1" w:rsidRPr="00097A86" w:rsidRDefault="006F0AA1" w:rsidP="00D22D3F">
            <w:pPr>
              <w:pStyle w:val="Tabletext"/>
            </w:pPr>
            <w:r w:rsidRPr="00097A86">
              <w:t>3</w:t>
            </w:r>
          </w:p>
        </w:tc>
        <w:tc>
          <w:tcPr>
            <w:tcW w:w="1126" w:type="pct"/>
            <w:tcBorders>
              <w:bottom w:val="single" w:sz="4" w:space="0" w:color="auto"/>
            </w:tcBorders>
            <w:shd w:val="clear" w:color="auto" w:fill="auto"/>
          </w:tcPr>
          <w:p w14:paraId="3B9DAB29" w14:textId="77777777" w:rsidR="006F0AA1" w:rsidRPr="00097A86" w:rsidRDefault="006F0AA1" w:rsidP="00D22D3F">
            <w:pPr>
              <w:pStyle w:val="Tabletext"/>
            </w:pPr>
            <w:r w:rsidRPr="00097A86">
              <w:t>3</w:t>
            </w:r>
          </w:p>
        </w:tc>
        <w:tc>
          <w:tcPr>
            <w:tcW w:w="1632" w:type="pct"/>
            <w:tcBorders>
              <w:bottom w:val="single" w:sz="4" w:space="0" w:color="auto"/>
            </w:tcBorders>
            <w:shd w:val="clear" w:color="auto" w:fill="auto"/>
          </w:tcPr>
          <w:p w14:paraId="2ABC09A8" w14:textId="77777777" w:rsidR="006F0AA1" w:rsidRPr="00097A86" w:rsidRDefault="006F0AA1" w:rsidP="00D22D3F">
            <w:pPr>
              <w:pStyle w:val="Tabletext"/>
            </w:pPr>
            <w:r w:rsidRPr="00097A86">
              <w:t>100</w:t>
            </w:r>
            <w:r w:rsidR="00097A86">
              <w:t> </w:t>
            </w:r>
            <w:r w:rsidRPr="00097A86">
              <w:t>001–500</w:t>
            </w:r>
            <w:r w:rsidR="00097A86">
              <w:t> </w:t>
            </w:r>
            <w:r w:rsidRPr="00097A86">
              <w:t>000</w:t>
            </w:r>
          </w:p>
        </w:tc>
        <w:tc>
          <w:tcPr>
            <w:tcW w:w="1816" w:type="pct"/>
            <w:tcBorders>
              <w:bottom w:val="single" w:sz="4" w:space="0" w:color="auto"/>
            </w:tcBorders>
            <w:shd w:val="clear" w:color="auto" w:fill="auto"/>
          </w:tcPr>
          <w:p w14:paraId="0ACB29A2" w14:textId="77777777" w:rsidR="006F0AA1" w:rsidRPr="00097A86" w:rsidRDefault="006F0AA1" w:rsidP="00D22D3F">
            <w:pPr>
              <w:pStyle w:val="Tabletext"/>
            </w:pPr>
            <w:r w:rsidRPr="00097A86">
              <w:t>Smart transmitters:</w:t>
            </w:r>
          </w:p>
          <w:p w14:paraId="2F08D6C9" w14:textId="77777777" w:rsidR="006F0AA1" w:rsidRPr="00097A86" w:rsidRDefault="006F0AA1" w:rsidP="00D22D3F">
            <w:pPr>
              <w:pStyle w:val="Tabletext"/>
            </w:pPr>
            <w:r w:rsidRPr="00097A86">
              <w:t>Pressure &lt;±0.10%</w:t>
            </w:r>
          </w:p>
          <w:p w14:paraId="0124B9EF" w14:textId="77777777" w:rsidR="006F0AA1" w:rsidRPr="00097A86" w:rsidRDefault="006F0AA1" w:rsidP="00D22D3F">
            <w:pPr>
              <w:pStyle w:val="Tabletext"/>
            </w:pPr>
            <w:r w:rsidRPr="00097A86">
              <w:t>Diff. pressure &lt;±0.10%</w:t>
            </w:r>
          </w:p>
          <w:p w14:paraId="78FDC24A" w14:textId="77777777" w:rsidR="006F0AA1" w:rsidRPr="00097A86" w:rsidRDefault="006F0AA1" w:rsidP="00D22D3F">
            <w:pPr>
              <w:pStyle w:val="Tabletext"/>
            </w:pPr>
            <w:r w:rsidRPr="00097A86">
              <w:t>Temperature &lt;±0.25%</w:t>
            </w:r>
          </w:p>
        </w:tc>
      </w:tr>
      <w:tr w:rsidR="006F0AA1" w:rsidRPr="00097A86" w14:paraId="73922638" w14:textId="77777777" w:rsidTr="00C20CC2">
        <w:tc>
          <w:tcPr>
            <w:tcW w:w="426" w:type="pct"/>
            <w:tcBorders>
              <w:bottom w:val="single" w:sz="12" w:space="0" w:color="auto"/>
            </w:tcBorders>
            <w:shd w:val="clear" w:color="auto" w:fill="auto"/>
          </w:tcPr>
          <w:p w14:paraId="194D91C1" w14:textId="77777777" w:rsidR="006F0AA1" w:rsidRPr="00097A86" w:rsidRDefault="006F0AA1" w:rsidP="00D22D3F">
            <w:pPr>
              <w:pStyle w:val="Tabletext"/>
            </w:pPr>
            <w:r w:rsidRPr="00097A86">
              <w:t>4</w:t>
            </w:r>
          </w:p>
        </w:tc>
        <w:tc>
          <w:tcPr>
            <w:tcW w:w="1126" w:type="pct"/>
            <w:tcBorders>
              <w:bottom w:val="single" w:sz="12" w:space="0" w:color="auto"/>
            </w:tcBorders>
            <w:shd w:val="clear" w:color="auto" w:fill="auto"/>
          </w:tcPr>
          <w:p w14:paraId="4FDD4685" w14:textId="77777777" w:rsidR="006F0AA1" w:rsidRPr="00097A86" w:rsidRDefault="006F0AA1" w:rsidP="00D22D3F">
            <w:pPr>
              <w:pStyle w:val="Tabletext"/>
            </w:pPr>
            <w:r w:rsidRPr="00097A86">
              <w:t>4</w:t>
            </w:r>
          </w:p>
        </w:tc>
        <w:tc>
          <w:tcPr>
            <w:tcW w:w="1632" w:type="pct"/>
            <w:tcBorders>
              <w:bottom w:val="single" w:sz="12" w:space="0" w:color="auto"/>
            </w:tcBorders>
            <w:shd w:val="clear" w:color="auto" w:fill="auto"/>
          </w:tcPr>
          <w:p w14:paraId="76E73900" w14:textId="77777777" w:rsidR="006F0AA1" w:rsidRPr="00097A86" w:rsidRDefault="006F0AA1" w:rsidP="00D22D3F">
            <w:pPr>
              <w:pStyle w:val="Tabletext"/>
            </w:pPr>
            <w:r w:rsidRPr="00097A86">
              <w:t>500</w:t>
            </w:r>
            <w:r w:rsidR="00097A86">
              <w:t> </w:t>
            </w:r>
            <w:r w:rsidRPr="00097A86">
              <w:t>001 or more</w:t>
            </w:r>
          </w:p>
        </w:tc>
        <w:tc>
          <w:tcPr>
            <w:tcW w:w="1816" w:type="pct"/>
            <w:tcBorders>
              <w:bottom w:val="single" w:sz="12" w:space="0" w:color="auto"/>
            </w:tcBorders>
            <w:shd w:val="clear" w:color="auto" w:fill="auto"/>
          </w:tcPr>
          <w:p w14:paraId="1F82A94A" w14:textId="77777777" w:rsidR="006F0AA1" w:rsidRPr="00097A86" w:rsidRDefault="006F0AA1" w:rsidP="00D22D3F">
            <w:pPr>
              <w:pStyle w:val="Tabletext"/>
            </w:pPr>
            <w:r w:rsidRPr="00097A86">
              <w:t>Smart transmitters:</w:t>
            </w:r>
          </w:p>
          <w:p w14:paraId="72A5521F" w14:textId="77777777" w:rsidR="006F0AA1" w:rsidRPr="00097A86" w:rsidRDefault="006F0AA1" w:rsidP="00D22D3F">
            <w:pPr>
              <w:pStyle w:val="Tabletext"/>
            </w:pPr>
            <w:r w:rsidRPr="00097A86">
              <w:t>Pressure &lt;±0.10%</w:t>
            </w:r>
          </w:p>
          <w:p w14:paraId="4B4C7216" w14:textId="77777777" w:rsidR="006F0AA1" w:rsidRPr="00097A86" w:rsidRDefault="006F0AA1" w:rsidP="00D22D3F">
            <w:pPr>
              <w:pStyle w:val="Tabletext"/>
            </w:pPr>
            <w:r w:rsidRPr="00097A86">
              <w:t>Diff. pressure &lt;±0.10%</w:t>
            </w:r>
          </w:p>
          <w:p w14:paraId="4EC19586" w14:textId="77777777" w:rsidR="006F0AA1" w:rsidRPr="00097A86" w:rsidRDefault="006F0AA1" w:rsidP="00D22D3F">
            <w:pPr>
              <w:pStyle w:val="Tabletext"/>
            </w:pPr>
            <w:r w:rsidRPr="00097A86">
              <w:t>Temperature &lt;±0.25%</w:t>
            </w:r>
          </w:p>
        </w:tc>
      </w:tr>
    </w:tbl>
    <w:p w14:paraId="48D12BCD" w14:textId="77777777" w:rsidR="00161D5B" w:rsidRPr="00097A86" w:rsidRDefault="00161D5B" w:rsidP="00161D5B">
      <w:pPr>
        <w:pStyle w:val="ActHead5"/>
      </w:pPr>
      <w:bookmarkStart w:id="52" w:name="_Toc13233500"/>
      <w:r w:rsidRPr="00097A86">
        <w:rPr>
          <w:rStyle w:val="CharSectno"/>
        </w:rPr>
        <w:t>1.19GA</w:t>
      </w:r>
      <w:r w:rsidRPr="00097A86">
        <w:t xml:space="preserve">  Volume of greenhouse gas stream—criterion BBB</w:t>
      </w:r>
      <w:bookmarkEnd w:id="52"/>
    </w:p>
    <w:p w14:paraId="1B8A423F" w14:textId="77777777" w:rsidR="00161D5B" w:rsidRPr="00097A86" w:rsidRDefault="00161D5B" w:rsidP="00161D5B">
      <w:pPr>
        <w:pStyle w:val="subsection"/>
      </w:pPr>
      <w:r w:rsidRPr="00097A86">
        <w:tab/>
      </w:r>
      <w:r w:rsidRPr="00097A86">
        <w:tab/>
        <w:t>For subparagraph</w:t>
      </w:r>
      <w:r w:rsidR="00097A86">
        <w:t> </w:t>
      </w:r>
      <w:r w:rsidRPr="00097A86">
        <w:t>1.19E(2)(b)(ii), criterion BBB is the estimation of the volume of the captured greenhouse gas stream from the operation of the facility during a year measured in accordance with industry practice, if the equipment used to measure the volume of the captured greenhouse gas stream does not meet the requirements of criterion AAA.</w:t>
      </w:r>
    </w:p>
    <w:p w14:paraId="221C3E82" w14:textId="77777777" w:rsidR="00161D5B" w:rsidRPr="00097A86" w:rsidRDefault="00161D5B" w:rsidP="00161D5B">
      <w:pPr>
        <w:pStyle w:val="notetext"/>
      </w:pPr>
      <w:r w:rsidRPr="00097A86">
        <w:t>Note:</w:t>
      </w:r>
      <w:r w:rsidRPr="00097A86">
        <w:tab/>
        <w:t>An estimate obtained using industry practice must be considered with the principles in section</w:t>
      </w:r>
      <w:r w:rsidR="00097A86">
        <w:t> </w:t>
      </w:r>
      <w:r w:rsidRPr="00097A86">
        <w:t>1.13.</w:t>
      </w:r>
    </w:p>
    <w:p w14:paraId="3096CFFA" w14:textId="77777777" w:rsidR="00161D5B" w:rsidRPr="00097A86" w:rsidRDefault="00161D5B" w:rsidP="00161D5B">
      <w:pPr>
        <w:pStyle w:val="ActHead5"/>
      </w:pPr>
      <w:bookmarkStart w:id="53" w:name="_Toc13233501"/>
      <w:r w:rsidRPr="00097A86">
        <w:rPr>
          <w:rStyle w:val="CharSectno"/>
        </w:rPr>
        <w:t>1.19H</w:t>
      </w:r>
      <w:r w:rsidRPr="00097A86">
        <w:t xml:space="preserve">  Volumetric measurement—compressed greenhouse gas stream</w:t>
      </w:r>
      <w:bookmarkEnd w:id="53"/>
    </w:p>
    <w:p w14:paraId="24B57FFD" w14:textId="77777777" w:rsidR="006F0AA1" w:rsidRPr="00097A86" w:rsidRDefault="006F0AA1" w:rsidP="00D22D3F">
      <w:pPr>
        <w:pStyle w:val="subsection"/>
      </w:pPr>
      <w:r w:rsidRPr="00097A86">
        <w:tab/>
        <w:t>(1)</w:t>
      </w:r>
      <w:r w:rsidRPr="00097A86">
        <w:tab/>
        <w:t>For subparagraph</w:t>
      </w:r>
      <w:r w:rsidR="00097A86">
        <w:t> </w:t>
      </w:r>
      <w:r w:rsidRPr="00097A86">
        <w:t xml:space="preserve">1.19G(2)(a)(i), volumetric measurement of a </w:t>
      </w:r>
      <w:r w:rsidR="00161D5B" w:rsidRPr="00097A86">
        <w:t>compressed greenhouse gas stream</w:t>
      </w:r>
      <w:r w:rsidRPr="00097A86">
        <w:t xml:space="preserve"> must be in cubic metres at standard conditions.</w:t>
      </w:r>
    </w:p>
    <w:p w14:paraId="61FBE267" w14:textId="77777777" w:rsidR="00161D5B" w:rsidRPr="00097A86" w:rsidRDefault="00161D5B" w:rsidP="00161D5B">
      <w:pPr>
        <w:pStyle w:val="subsection"/>
      </w:pPr>
      <w:r w:rsidRPr="00097A86">
        <w:tab/>
        <w:t>(1A)</w:t>
      </w:r>
      <w:r w:rsidRPr="00097A86">
        <w:tab/>
        <w:t>For this section and subparagraph</w:t>
      </w:r>
      <w:r w:rsidR="00097A86">
        <w:t> </w:t>
      </w:r>
      <w:r w:rsidRPr="00097A86">
        <w:t>1.19G(2)(a)(i), a compressed greenhouse gas stream does not include either of the following:</w:t>
      </w:r>
    </w:p>
    <w:p w14:paraId="17296CED" w14:textId="77777777" w:rsidR="00161D5B" w:rsidRPr="00097A86" w:rsidRDefault="00161D5B" w:rsidP="00161D5B">
      <w:pPr>
        <w:pStyle w:val="paragraph"/>
      </w:pPr>
      <w:r w:rsidRPr="00097A86">
        <w:lastRenderedPageBreak/>
        <w:tab/>
        <w:t>(a)</w:t>
      </w:r>
      <w:r w:rsidRPr="00097A86">
        <w:tab/>
        <w:t>a super</w:t>
      </w:r>
      <w:r w:rsidR="00097A86">
        <w:noBreakHyphen/>
      </w:r>
      <w:r w:rsidRPr="00097A86">
        <w:t>compressed greenhouse gas stream;</w:t>
      </w:r>
    </w:p>
    <w:p w14:paraId="2B447BF8" w14:textId="77777777" w:rsidR="00161D5B" w:rsidRPr="00097A86" w:rsidRDefault="00161D5B" w:rsidP="00161D5B">
      <w:pPr>
        <w:pStyle w:val="paragraph"/>
      </w:pPr>
      <w:r w:rsidRPr="00097A86">
        <w:tab/>
        <w:t>(b)</w:t>
      </w:r>
      <w:r w:rsidRPr="00097A86">
        <w:tab/>
        <w:t>a greenhouse gas stream that is compressed to a super</w:t>
      </w:r>
      <w:r w:rsidR="00097A86">
        <w:noBreakHyphen/>
      </w:r>
      <w:r w:rsidRPr="00097A86">
        <w:t>critical state.</w:t>
      </w:r>
    </w:p>
    <w:p w14:paraId="7D549196" w14:textId="77777777" w:rsidR="006F0AA1" w:rsidRPr="00097A86" w:rsidRDefault="006F0AA1" w:rsidP="00D22D3F">
      <w:pPr>
        <w:pStyle w:val="subsection"/>
      </w:pPr>
      <w:r w:rsidRPr="00097A86">
        <w:tab/>
        <w:t>(2)</w:t>
      </w:r>
      <w:r w:rsidRPr="00097A86">
        <w:tab/>
        <w:t>The volumetric measurement is to be calculated using a flow computer that measures and analyses flow signals and relative density:</w:t>
      </w:r>
    </w:p>
    <w:p w14:paraId="3062260C" w14:textId="77777777" w:rsidR="006F0AA1" w:rsidRPr="00097A86" w:rsidRDefault="006F0AA1" w:rsidP="00D22D3F">
      <w:pPr>
        <w:pStyle w:val="paragraph"/>
      </w:pPr>
      <w:r w:rsidRPr="00097A86">
        <w:tab/>
        <w:t>(a)</w:t>
      </w:r>
      <w:r w:rsidRPr="00097A86">
        <w:tab/>
        <w:t xml:space="preserve">if the </w:t>
      </w:r>
      <w:r w:rsidR="00161D5B" w:rsidRPr="00097A86">
        <w:t>greenhouse gas</w:t>
      </w:r>
      <w:r w:rsidRPr="00097A86">
        <w:t xml:space="preserve"> stream is captured by the relevant person and is neither transferred to the relevant person nor transferred by the relevant person to another person</w:t>
      </w:r>
      <w:r w:rsidR="00D22D3F" w:rsidRPr="00097A86">
        <w:t>—</w:t>
      </w:r>
      <w:r w:rsidRPr="00097A86">
        <w:t xml:space="preserve">at the point of capture of the </w:t>
      </w:r>
      <w:r w:rsidR="00161D5B" w:rsidRPr="00097A86">
        <w:t>greenhouse gas</w:t>
      </w:r>
      <w:r w:rsidRPr="00097A86">
        <w:t xml:space="preserve"> stream; or</w:t>
      </w:r>
    </w:p>
    <w:p w14:paraId="405A6C42" w14:textId="77777777" w:rsidR="006F0AA1" w:rsidRPr="00097A86" w:rsidRDefault="006F0AA1" w:rsidP="00D22D3F">
      <w:pPr>
        <w:pStyle w:val="paragraph"/>
      </w:pPr>
      <w:r w:rsidRPr="00097A86">
        <w:tab/>
        <w:t>(b)</w:t>
      </w:r>
      <w:r w:rsidRPr="00097A86">
        <w:tab/>
        <w:t xml:space="preserve">if the </w:t>
      </w:r>
      <w:r w:rsidR="00161D5B" w:rsidRPr="00097A86">
        <w:t>greenhouse gas</w:t>
      </w:r>
      <w:r w:rsidRPr="00097A86">
        <w:t xml:space="preserve"> stream is transferred to a relevant person</w:t>
      </w:r>
      <w:r w:rsidR="00D22D3F" w:rsidRPr="00097A86">
        <w:t>—</w:t>
      </w:r>
      <w:r w:rsidRPr="00097A86">
        <w:t xml:space="preserve">at the point of transfer of the </w:t>
      </w:r>
      <w:r w:rsidR="00161D5B" w:rsidRPr="00097A86">
        <w:t>greenhouse gas</w:t>
      </w:r>
      <w:r w:rsidRPr="00097A86">
        <w:t xml:space="preserve"> stream.</w:t>
      </w:r>
    </w:p>
    <w:p w14:paraId="67F7E7E8" w14:textId="77777777" w:rsidR="006F0AA1" w:rsidRPr="00097A86" w:rsidRDefault="006F0AA1" w:rsidP="00D22D3F">
      <w:pPr>
        <w:pStyle w:val="subsection"/>
      </w:pPr>
      <w:r w:rsidRPr="00097A86">
        <w:tab/>
        <w:t>(3)</w:t>
      </w:r>
      <w:r w:rsidRPr="00097A86">
        <w:tab/>
        <w:t>The volumetric flow rate must be continuously recorded and integrated using an integration device that is isolated from the flow computer in such a way that if the computer fails, the integration device will retain the last reading, or the previously stored information, that was on the computer immediately before the failure.</w:t>
      </w:r>
    </w:p>
    <w:p w14:paraId="2C889782" w14:textId="77777777" w:rsidR="006F0AA1" w:rsidRPr="00097A86" w:rsidRDefault="006F0AA1" w:rsidP="00D22D3F">
      <w:pPr>
        <w:pStyle w:val="subsection"/>
      </w:pPr>
      <w:r w:rsidRPr="00097A86">
        <w:tab/>
        <w:t>(4)</w:t>
      </w:r>
      <w:r w:rsidRPr="00097A86">
        <w:tab/>
        <w:t xml:space="preserve">Subject to </w:t>
      </w:r>
      <w:r w:rsidR="00097A86">
        <w:t>subsection (</w:t>
      </w:r>
      <w:r w:rsidRPr="00097A86">
        <w:t>5), all measurements, calculations and procedures used in determining volume (except for any correction for deviation from the ideal gas law) must be made in accordance with the instructions contained in the following:</w:t>
      </w:r>
    </w:p>
    <w:p w14:paraId="0F29231B" w14:textId="77777777" w:rsidR="00C6675F" w:rsidRPr="00097A86" w:rsidRDefault="00C6675F" w:rsidP="00D22D3F">
      <w:pPr>
        <w:pStyle w:val="paragraph"/>
      </w:pPr>
      <w:r w:rsidRPr="00097A86">
        <w:tab/>
        <w:t>(a)</w:t>
      </w:r>
      <w:r w:rsidRPr="00097A86">
        <w:tab/>
        <w:t>for orifice plate measuring systems:</w:t>
      </w:r>
    </w:p>
    <w:p w14:paraId="38348439" w14:textId="77777777" w:rsidR="00C6675F" w:rsidRPr="00097A86" w:rsidRDefault="00C6675F" w:rsidP="00D22D3F">
      <w:pPr>
        <w:pStyle w:val="paragraphsub"/>
      </w:pPr>
      <w:r w:rsidRPr="00097A86">
        <w:tab/>
        <w:t>(i)</w:t>
      </w:r>
      <w:r w:rsidRPr="00097A86">
        <w:tab/>
        <w:t xml:space="preserve">the publication entitled </w:t>
      </w:r>
      <w:r w:rsidRPr="00097A86">
        <w:rPr>
          <w:i/>
        </w:rPr>
        <w:t>AGA Report No.</w:t>
      </w:r>
      <w:r w:rsidR="00097A86">
        <w:rPr>
          <w:i/>
        </w:rPr>
        <w:t> </w:t>
      </w:r>
      <w:r w:rsidRPr="00097A86">
        <w:rPr>
          <w:i/>
        </w:rPr>
        <w:t>3</w:t>
      </w:r>
      <w:r w:rsidRPr="00097A86">
        <w:t xml:space="preserve">, </w:t>
      </w:r>
      <w:r w:rsidRPr="00097A86">
        <w:rPr>
          <w:i/>
        </w:rPr>
        <w:t>Orifice Metering of Natural Gas and Other Related Hydrocarbon Fluids Part</w:t>
      </w:r>
      <w:r w:rsidR="00097A86">
        <w:rPr>
          <w:i/>
        </w:rPr>
        <w:t> </w:t>
      </w:r>
      <w:r w:rsidRPr="00097A86">
        <w:rPr>
          <w:i/>
        </w:rPr>
        <w:t xml:space="preserve">3: Natural Gas Applications, </w:t>
      </w:r>
      <w:r w:rsidRPr="00097A86">
        <w:t>published by the American Gas Association in August 1992; or</w:t>
      </w:r>
    </w:p>
    <w:p w14:paraId="51C14823" w14:textId="77777777" w:rsidR="00C6675F" w:rsidRPr="00097A86" w:rsidRDefault="00C6675F" w:rsidP="00D22D3F">
      <w:pPr>
        <w:pStyle w:val="paragraphsub"/>
      </w:pPr>
      <w:r w:rsidRPr="00097A86">
        <w:tab/>
        <w:t>(ii)</w:t>
      </w:r>
      <w:r w:rsidRPr="00097A86">
        <w:tab/>
        <w:t>Parts</w:t>
      </w:r>
      <w:r w:rsidR="00097A86">
        <w:t> </w:t>
      </w:r>
      <w:r w:rsidRPr="00097A86">
        <w:t xml:space="preserve">1 to 4 of the publication entitled </w:t>
      </w:r>
      <w:r w:rsidRPr="00097A86">
        <w:rPr>
          <w:i/>
        </w:rPr>
        <w:t>ANSI/API MPMS Chapter</w:t>
      </w:r>
      <w:r w:rsidR="00097A86">
        <w:rPr>
          <w:i/>
        </w:rPr>
        <w:t> </w:t>
      </w:r>
      <w:r w:rsidRPr="00097A86">
        <w:rPr>
          <w:i/>
        </w:rPr>
        <w:t>14.3 Part</w:t>
      </w:r>
      <w:r w:rsidR="00097A86">
        <w:rPr>
          <w:i/>
        </w:rPr>
        <w:t> </w:t>
      </w:r>
      <w:r w:rsidRPr="00097A86">
        <w:rPr>
          <w:i/>
        </w:rPr>
        <w:t>2 (R2011) Natural Gas Fluids Measurement: Concentric, Square</w:t>
      </w:r>
      <w:r w:rsidR="00097A86">
        <w:rPr>
          <w:i/>
        </w:rPr>
        <w:noBreakHyphen/>
      </w:r>
      <w:r w:rsidRPr="00097A86">
        <w:rPr>
          <w:i/>
        </w:rPr>
        <w:t xml:space="preserve">Edged Orifice Meters </w:t>
      </w:r>
      <w:r w:rsidR="00097A86">
        <w:rPr>
          <w:i/>
        </w:rPr>
        <w:noBreakHyphen/>
      </w:r>
      <w:r w:rsidRPr="00097A86">
        <w:rPr>
          <w:i/>
        </w:rPr>
        <w:t xml:space="preserve"> Part</w:t>
      </w:r>
      <w:r w:rsidR="00097A86">
        <w:rPr>
          <w:i/>
        </w:rPr>
        <w:t> </w:t>
      </w:r>
      <w:r w:rsidRPr="00097A86">
        <w:rPr>
          <w:i/>
        </w:rPr>
        <w:t>2: Specification and Installation Requirements</w:t>
      </w:r>
      <w:r w:rsidRPr="00097A86">
        <w:t>, 4th edition, published by the American Petroleum Institute on 30</w:t>
      </w:r>
      <w:r w:rsidR="00097A86">
        <w:t> </w:t>
      </w:r>
      <w:r w:rsidRPr="00097A86">
        <w:t>April 2000;</w:t>
      </w:r>
    </w:p>
    <w:p w14:paraId="7EF940DA" w14:textId="77777777" w:rsidR="00C6675F" w:rsidRPr="00097A86" w:rsidRDefault="00C6675F" w:rsidP="00D22D3F">
      <w:pPr>
        <w:pStyle w:val="paragraph"/>
        <w:rPr>
          <w:i/>
        </w:rPr>
      </w:pPr>
      <w:r w:rsidRPr="00097A86">
        <w:tab/>
        <w:t>(b)</w:t>
      </w:r>
      <w:r w:rsidRPr="00097A86">
        <w:tab/>
        <w:t xml:space="preserve">for turbine measuring systems—the publication entitled </w:t>
      </w:r>
      <w:r w:rsidRPr="00097A86">
        <w:rPr>
          <w:i/>
        </w:rPr>
        <w:t>AGA Report No.</w:t>
      </w:r>
      <w:r w:rsidR="00097A86">
        <w:rPr>
          <w:i/>
        </w:rPr>
        <w:t> </w:t>
      </w:r>
      <w:r w:rsidRPr="00097A86">
        <w:rPr>
          <w:i/>
        </w:rPr>
        <w:t xml:space="preserve">7, Measurement of Natural Gas by Turbine Meter (2006), </w:t>
      </w:r>
      <w:r w:rsidRPr="00097A86">
        <w:t>published by the American Gas Association on 1</w:t>
      </w:r>
      <w:r w:rsidR="00097A86">
        <w:t> </w:t>
      </w:r>
      <w:r w:rsidRPr="00097A86">
        <w:t>January 2006;</w:t>
      </w:r>
    </w:p>
    <w:p w14:paraId="3B39D8BE" w14:textId="77777777" w:rsidR="00C6675F" w:rsidRPr="00097A86" w:rsidRDefault="00C6675F" w:rsidP="00D22D3F">
      <w:pPr>
        <w:pStyle w:val="paragraph"/>
      </w:pPr>
      <w:r w:rsidRPr="00097A86">
        <w:tab/>
        <w:t>(c)</w:t>
      </w:r>
      <w:r w:rsidRPr="00097A86">
        <w:tab/>
        <w:t xml:space="preserve">for positive displacement measuring systems—the publication entitled </w:t>
      </w:r>
      <w:r w:rsidRPr="00097A86">
        <w:rPr>
          <w:i/>
        </w:rPr>
        <w:t>ANSI B109.3—2000, Rotary Type Gas Displacement Meters</w:t>
      </w:r>
      <w:r w:rsidRPr="00097A86">
        <w:t>, published by the American Gas Association on 13</w:t>
      </w:r>
      <w:r w:rsidR="00097A86">
        <w:t> </w:t>
      </w:r>
      <w:r w:rsidRPr="00097A86">
        <w:t>April 2000.</w:t>
      </w:r>
    </w:p>
    <w:p w14:paraId="353CBA14" w14:textId="77777777" w:rsidR="006F0AA1" w:rsidRPr="00097A86" w:rsidRDefault="006F0AA1" w:rsidP="00D22D3F">
      <w:pPr>
        <w:pStyle w:val="subsection"/>
      </w:pPr>
      <w:r w:rsidRPr="00097A86">
        <w:tab/>
        <w:t>(5)</w:t>
      </w:r>
      <w:r w:rsidRPr="00097A86">
        <w:tab/>
        <w:t>Measurements, calculations and procedures used in determining volume may also be made in accordance with an equivalent internationally recognised documentary standard or code.</w:t>
      </w:r>
    </w:p>
    <w:p w14:paraId="75BB6EEC" w14:textId="77777777" w:rsidR="006F0AA1" w:rsidRPr="00097A86" w:rsidRDefault="006F0AA1" w:rsidP="00D22D3F">
      <w:pPr>
        <w:pStyle w:val="subsection"/>
      </w:pPr>
      <w:r w:rsidRPr="00097A86">
        <w:tab/>
        <w:t>(6)</w:t>
      </w:r>
      <w:r w:rsidRPr="00097A86">
        <w:tab/>
        <w:t xml:space="preserve">Measurements must comply with </w:t>
      </w:r>
      <w:r w:rsidR="00C6675F" w:rsidRPr="00097A86">
        <w:t>Australian legal units of measurement.</w:t>
      </w:r>
    </w:p>
    <w:p w14:paraId="329B55E3" w14:textId="77777777" w:rsidR="00161D5B" w:rsidRPr="00097A86" w:rsidRDefault="00161D5B" w:rsidP="00161D5B">
      <w:pPr>
        <w:pStyle w:val="ActHead5"/>
      </w:pPr>
      <w:bookmarkStart w:id="54" w:name="_Toc13233502"/>
      <w:r w:rsidRPr="00097A86">
        <w:rPr>
          <w:rStyle w:val="CharSectno"/>
        </w:rPr>
        <w:lastRenderedPageBreak/>
        <w:t>1.19I</w:t>
      </w:r>
      <w:r w:rsidRPr="00097A86">
        <w:t xml:space="preserve">  Volumetric measurement—super</w:t>
      </w:r>
      <w:r w:rsidR="00097A86">
        <w:noBreakHyphen/>
      </w:r>
      <w:r w:rsidRPr="00097A86">
        <w:t>compressed greenhouse gas stream</w:t>
      </w:r>
      <w:bookmarkEnd w:id="54"/>
    </w:p>
    <w:p w14:paraId="0C3AAC93" w14:textId="77777777" w:rsidR="006F0AA1" w:rsidRPr="00097A86" w:rsidRDefault="006F0AA1" w:rsidP="00D22D3F">
      <w:pPr>
        <w:pStyle w:val="subsection"/>
      </w:pPr>
      <w:r w:rsidRPr="00097A86">
        <w:tab/>
        <w:t>(1)</w:t>
      </w:r>
      <w:r w:rsidRPr="00097A86">
        <w:tab/>
        <w:t>For subparagraph</w:t>
      </w:r>
      <w:r w:rsidR="00097A86">
        <w:t> </w:t>
      </w:r>
      <w:r w:rsidRPr="00097A86">
        <w:t>1.19G(2)(a)(ii), volumetric measurement of a super</w:t>
      </w:r>
      <w:r w:rsidR="00097A86">
        <w:noBreakHyphen/>
      </w:r>
      <w:r w:rsidRPr="00097A86">
        <w:t xml:space="preserve">compressed </w:t>
      </w:r>
      <w:r w:rsidR="00161D5B" w:rsidRPr="00097A86">
        <w:t>greenhouse gas</w:t>
      </w:r>
      <w:r w:rsidRPr="00097A86">
        <w:t xml:space="preserve"> stream must be in accordance with this section.</w:t>
      </w:r>
    </w:p>
    <w:p w14:paraId="41FB4557" w14:textId="77777777" w:rsidR="00887C65" w:rsidRPr="00097A86" w:rsidRDefault="006F0AA1" w:rsidP="00D22D3F">
      <w:pPr>
        <w:pStyle w:val="subsection"/>
      </w:pPr>
      <w:r w:rsidRPr="00097A86">
        <w:tab/>
        <w:t>(2)</w:t>
      </w:r>
      <w:r w:rsidRPr="00097A86">
        <w:tab/>
        <w:t>If, in determining volume in relation to the super</w:t>
      </w:r>
      <w:r w:rsidR="00097A86">
        <w:rPr>
          <w:i/>
        </w:rPr>
        <w:noBreakHyphen/>
      </w:r>
      <w:r w:rsidRPr="00097A86">
        <w:t xml:space="preserve">compressed </w:t>
      </w:r>
      <w:r w:rsidR="00161D5B" w:rsidRPr="00097A86">
        <w:t>greenhouse gas</w:t>
      </w:r>
      <w:r w:rsidRPr="00097A86">
        <w:t xml:space="preserve"> stream, it is necessary to correct for deviation from the ideal gas law, the correction must be determined using the relevant method contained in the publication entitled </w:t>
      </w:r>
      <w:r w:rsidR="005D59D5" w:rsidRPr="00097A86">
        <w:rPr>
          <w:i/>
        </w:rPr>
        <w:t>AGA Report No.</w:t>
      </w:r>
      <w:r w:rsidR="00097A86">
        <w:rPr>
          <w:i/>
        </w:rPr>
        <w:t> </w:t>
      </w:r>
      <w:r w:rsidR="005D59D5" w:rsidRPr="00097A86">
        <w:rPr>
          <w:i/>
        </w:rPr>
        <w:t>8, Compressibility Factor of Natural Gas and Related Hydrocarbon Gases (1994)</w:t>
      </w:r>
      <w:r w:rsidR="005D59D5" w:rsidRPr="00097A86">
        <w:t>, published by the American Gas Association on 1</w:t>
      </w:r>
      <w:r w:rsidR="00097A86">
        <w:t> </w:t>
      </w:r>
      <w:r w:rsidR="005D59D5" w:rsidRPr="00097A86">
        <w:t>January 1994.</w:t>
      </w:r>
    </w:p>
    <w:p w14:paraId="5F9FEE73" w14:textId="77777777" w:rsidR="006F0AA1" w:rsidRPr="00097A86" w:rsidRDefault="006F0AA1" w:rsidP="00D22D3F">
      <w:pPr>
        <w:pStyle w:val="subsection"/>
      </w:pPr>
      <w:r w:rsidRPr="00097A86">
        <w:tab/>
        <w:t>(3)</w:t>
      </w:r>
      <w:r w:rsidRPr="00097A86">
        <w:tab/>
        <w:t>The measuring equipment used must calculate super</w:t>
      </w:r>
      <w:r w:rsidR="00097A86">
        <w:noBreakHyphen/>
      </w:r>
      <w:r w:rsidRPr="00097A86">
        <w:t>compressibility by:</w:t>
      </w:r>
    </w:p>
    <w:p w14:paraId="158B956F" w14:textId="77777777" w:rsidR="006F0AA1" w:rsidRPr="00097A86" w:rsidRDefault="006F0AA1" w:rsidP="00D22D3F">
      <w:pPr>
        <w:pStyle w:val="paragraph"/>
      </w:pPr>
      <w:r w:rsidRPr="00097A86">
        <w:tab/>
        <w:t>(a)</w:t>
      </w:r>
      <w:r w:rsidRPr="00097A86">
        <w:tab/>
        <w:t>if the measuring equipment is category 3 or 4 equipment in accordance with column 2 the table in subsection</w:t>
      </w:r>
      <w:r w:rsidR="00097A86">
        <w:t> </w:t>
      </w:r>
      <w:r w:rsidRPr="00097A86">
        <w:t>1.19G(4)</w:t>
      </w:r>
      <w:r w:rsidR="00D22D3F" w:rsidRPr="00097A86">
        <w:t>—</w:t>
      </w:r>
      <w:r w:rsidRPr="00097A86">
        <w:t>using composition data; or</w:t>
      </w:r>
    </w:p>
    <w:p w14:paraId="26F08D21" w14:textId="77777777" w:rsidR="003B25C5" w:rsidRPr="00097A86" w:rsidRDefault="006F0AA1" w:rsidP="008A7057">
      <w:pPr>
        <w:pStyle w:val="paragraph"/>
      </w:pPr>
      <w:r w:rsidRPr="00097A86">
        <w:tab/>
        <w:t>(b)</w:t>
      </w:r>
      <w:r w:rsidRPr="00097A86">
        <w:tab/>
        <w:t>if the measuring equipment is category 1 or 2 equipment in accordance with column 2 of the table in subsection</w:t>
      </w:r>
      <w:r w:rsidR="00097A86">
        <w:t> </w:t>
      </w:r>
      <w:r w:rsidRPr="00097A86">
        <w:t>1.19G(4)</w:t>
      </w:r>
      <w:r w:rsidR="00D22D3F" w:rsidRPr="00097A86">
        <w:t>—</w:t>
      </w:r>
      <w:r w:rsidRPr="00097A86">
        <w:t xml:space="preserve">using an alternative method set out in the publication entitled </w:t>
      </w:r>
      <w:r w:rsidR="00E32F75" w:rsidRPr="00097A86">
        <w:rPr>
          <w:i/>
        </w:rPr>
        <w:t>AGA Report No.</w:t>
      </w:r>
      <w:r w:rsidR="00097A86">
        <w:rPr>
          <w:i/>
        </w:rPr>
        <w:t> </w:t>
      </w:r>
      <w:r w:rsidR="00E32F75" w:rsidRPr="00097A86">
        <w:rPr>
          <w:i/>
        </w:rPr>
        <w:t>8, Compressibility Factor of Natural Gas and Related Hydrocarbon Gases (1994)</w:t>
      </w:r>
      <w:r w:rsidR="00E32F75" w:rsidRPr="00097A86">
        <w:t>, published by the American Gas Association on 1</w:t>
      </w:r>
      <w:r w:rsidR="00097A86">
        <w:t> </w:t>
      </w:r>
      <w:r w:rsidR="00E32F75" w:rsidRPr="00097A86">
        <w:t>January 1994.</w:t>
      </w:r>
    </w:p>
    <w:p w14:paraId="7563019A" w14:textId="77777777" w:rsidR="006F0AA1" w:rsidRPr="00097A86" w:rsidRDefault="006F0AA1" w:rsidP="00D22D3F">
      <w:pPr>
        <w:pStyle w:val="ActHead5"/>
      </w:pPr>
      <w:bookmarkStart w:id="55" w:name="_Toc13233503"/>
      <w:r w:rsidRPr="00097A86">
        <w:rPr>
          <w:rStyle w:val="CharSectno"/>
        </w:rPr>
        <w:t>1.19J</w:t>
      </w:r>
      <w:r w:rsidR="00D22D3F" w:rsidRPr="00097A86">
        <w:t xml:space="preserve">  </w:t>
      </w:r>
      <w:r w:rsidRPr="00097A86">
        <w:t>Gas measuring equipment</w:t>
      </w:r>
      <w:r w:rsidR="00D22D3F" w:rsidRPr="00097A86">
        <w:t>—</w:t>
      </w:r>
      <w:r w:rsidRPr="00097A86">
        <w:t>requirements</w:t>
      </w:r>
      <w:bookmarkEnd w:id="55"/>
    </w:p>
    <w:p w14:paraId="7241703F" w14:textId="77777777" w:rsidR="006F0AA1" w:rsidRPr="00097A86" w:rsidRDefault="006F0AA1" w:rsidP="00D22D3F">
      <w:pPr>
        <w:pStyle w:val="subsection"/>
      </w:pPr>
      <w:r w:rsidRPr="00097A86">
        <w:tab/>
      </w:r>
      <w:r w:rsidRPr="00097A86">
        <w:tab/>
        <w:t>For paragraph</w:t>
      </w:r>
      <w:r w:rsidR="00097A86">
        <w:t> </w:t>
      </w:r>
      <w:r w:rsidRPr="00097A86">
        <w:t>1.19G(2)(b), gas measuring equipment that is category 3 or 4 equipment in accordance with column 2 of the table in subsection</w:t>
      </w:r>
      <w:r w:rsidR="00097A86">
        <w:t> </w:t>
      </w:r>
      <w:r w:rsidRPr="00097A86">
        <w:t>1.19G(4) must comply with the following requirements:</w:t>
      </w:r>
    </w:p>
    <w:p w14:paraId="537C121A" w14:textId="77777777" w:rsidR="006F0AA1" w:rsidRPr="00097A86" w:rsidRDefault="006F0AA1" w:rsidP="00D22D3F">
      <w:pPr>
        <w:pStyle w:val="paragraph"/>
      </w:pPr>
      <w:r w:rsidRPr="00097A86">
        <w:tab/>
        <w:t>(a)</w:t>
      </w:r>
      <w:r w:rsidRPr="00097A86">
        <w:tab/>
        <w:t>if the equipment uses flow devices</w:t>
      </w:r>
      <w:r w:rsidR="00D22D3F" w:rsidRPr="00097A86">
        <w:t>—</w:t>
      </w:r>
      <w:r w:rsidRPr="00097A86">
        <w:t>the requirements relating to flow devices set out in section</w:t>
      </w:r>
      <w:r w:rsidR="00097A86">
        <w:t> </w:t>
      </w:r>
      <w:r w:rsidRPr="00097A86">
        <w:t>1.19K;</w:t>
      </w:r>
    </w:p>
    <w:p w14:paraId="59CF5AF7" w14:textId="77777777" w:rsidR="006F0AA1" w:rsidRPr="00097A86" w:rsidRDefault="006F0AA1" w:rsidP="00D22D3F">
      <w:pPr>
        <w:pStyle w:val="paragraph"/>
      </w:pPr>
      <w:r w:rsidRPr="00097A86">
        <w:tab/>
        <w:t>(b)</w:t>
      </w:r>
      <w:r w:rsidRPr="00097A86">
        <w:tab/>
        <w:t>if the equipment uses flow computers</w:t>
      </w:r>
      <w:r w:rsidR="00D22D3F" w:rsidRPr="00097A86">
        <w:t>—</w:t>
      </w:r>
      <w:r w:rsidRPr="00097A86">
        <w:t>the requirement relating to flow computers set out in section</w:t>
      </w:r>
      <w:r w:rsidR="00097A86">
        <w:t> </w:t>
      </w:r>
      <w:r w:rsidRPr="00097A86">
        <w:t>1.19L;</w:t>
      </w:r>
    </w:p>
    <w:p w14:paraId="02E1A8AD" w14:textId="77777777" w:rsidR="006F0AA1" w:rsidRPr="00097A86" w:rsidRDefault="006F0AA1" w:rsidP="00D22D3F">
      <w:pPr>
        <w:pStyle w:val="paragraph"/>
      </w:pPr>
      <w:r w:rsidRPr="00097A86">
        <w:tab/>
        <w:t>(c)</w:t>
      </w:r>
      <w:r w:rsidRPr="00097A86">
        <w:tab/>
        <w:t>if the equipment uses gas chromatographs</w:t>
      </w:r>
      <w:r w:rsidR="00D22D3F" w:rsidRPr="00097A86">
        <w:t>—</w:t>
      </w:r>
      <w:r w:rsidRPr="00097A86">
        <w:t xml:space="preserve">the requirements relating </w:t>
      </w:r>
      <w:r w:rsidR="00A64592" w:rsidRPr="00097A86">
        <w:t xml:space="preserve">to gas chromatographs </w:t>
      </w:r>
      <w:r w:rsidRPr="00097A86">
        <w:t>set out in section</w:t>
      </w:r>
      <w:r w:rsidR="00097A86">
        <w:t> </w:t>
      </w:r>
      <w:r w:rsidRPr="00097A86">
        <w:t>1.19M.</w:t>
      </w:r>
    </w:p>
    <w:p w14:paraId="26109A63" w14:textId="77777777" w:rsidR="006F0AA1" w:rsidRPr="00097A86" w:rsidRDefault="006F0AA1" w:rsidP="00D22D3F">
      <w:pPr>
        <w:pStyle w:val="ActHead5"/>
      </w:pPr>
      <w:bookmarkStart w:id="56" w:name="_Toc13233504"/>
      <w:r w:rsidRPr="00097A86">
        <w:rPr>
          <w:rStyle w:val="CharSectno"/>
        </w:rPr>
        <w:t>1.19K</w:t>
      </w:r>
      <w:r w:rsidR="00D22D3F" w:rsidRPr="00097A86">
        <w:t xml:space="preserve">  </w:t>
      </w:r>
      <w:r w:rsidRPr="00097A86">
        <w:t>Flow devices</w:t>
      </w:r>
      <w:r w:rsidR="00D22D3F" w:rsidRPr="00097A86">
        <w:t>—</w:t>
      </w:r>
      <w:r w:rsidRPr="00097A86">
        <w:t>requirements</w:t>
      </w:r>
      <w:bookmarkEnd w:id="56"/>
      <w:r w:rsidR="00E218C1" w:rsidRPr="00097A86">
        <w:rPr>
          <w:sz w:val="18"/>
        </w:rPr>
        <w:t xml:space="preserve"> </w:t>
      </w:r>
    </w:p>
    <w:p w14:paraId="65FFA1E1" w14:textId="77777777" w:rsidR="006F0AA1" w:rsidRPr="00097A86" w:rsidRDefault="006F0AA1" w:rsidP="00D22D3F">
      <w:pPr>
        <w:pStyle w:val="subsection"/>
      </w:pPr>
      <w:r w:rsidRPr="00097A86">
        <w:tab/>
        <w:t>(1)</w:t>
      </w:r>
      <w:r w:rsidRPr="00097A86">
        <w:tab/>
        <w:t>If the measuring equipment has flow devices that use orifice measuring systems, the flow devices must be constructed in a manner that ensures that the maximum uncertainty of the discharge coefficient is not greater than ±1.5%.</w:t>
      </w:r>
    </w:p>
    <w:p w14:paraId="1AF22462" w14:textId="77777777" w:rsidR="006F0AA1" w:rsidRPr="00097A86" w:rsidRDefault="00D22D3F" w:rsidP="00D22D3F">
      <w:pPr>
        <w:pStyle w:val="notetext"/>
      </w:pPr>
      <w:r w:rsidRPr="00097A86">
        <w:t>Note:</w:t>
      </w:r>
      <w:r w:rsidRPr="00097A86">
        <w:tab/>
      </w:r>
      <w:r w:rsidR="006F0AA1" w:rsidRPr="00097A86">
        <w:t xml:space="preserve">The publication entitled </w:t>
      </w:r>
      <w:r w:rsidR="00A64592" w:rsidRPr="00097A86">
        <w:rPr>
          <w:i/>
        </w:rPr>
        <w:t>AGA Report No.</w:t>
      </w:r>
      <w:r w:rsidR="00097A86">
        <w:rPr>
          <w:i/>
        </w:rPr>
        <w:t> </w:t>
      </w:r>
      <w:r w:rsidR="00A64592" w:rsidRPr="00097A86">
        <w:rPr>
          <w:i/>
        </w:rPr>
        <w:t>3</w:t>
      </w:r>
      <w:r w:rsidR="00A64592" w:rsidRPr="00097A86">
        <w:t xml:space="preserve">, </w:t>
      </w:r>
      <w:r w:rsidR="00A64592" w:rsidRPr="00097A86">
        <w:rPr>
          <w:i/>
        </w:rPr>
        <w:t>Orifice Metering of Natural Gas and Other Related Hydrocarbon Fluids Part</w:t>
      </w:r>
      <w:r w:rsidR="00097A86">
        <w:rPr>
          <w:i/>
        </w:rPr>
        <w:t> </w:t>
      </w:r>
      <w:r w:rsidR="00A64592" w:rsidRPr="00097A86">
        <w:rPr>
          <w:i/>
        </w:rPr>
        <w:t xml:space="preserve">3: Natural Gas Applications, </w:t>
      </w:r>
      <w:r w:rsidR="00A64592" w:rsidRPr="00097A86">
        <w:t xml:space="preserve">published by the American Gas Association in August 1992, </w:t>
      </w:r>
      <w:r w:rsidR="006F0AA1" w:rsidRPr="00097A86">
        <w:t>sets out a manner that ensures that the maximum uncertainty of the discharge coefficient is not greater than ±1.5%.</w:t>
      </w:r>
    </w:p>
    <w:p w14:paraId="566A8FCD" w14:textId="77777777" w:rsidR="006F0AA1" w:rsidRPr="00097A86" w:rsidRDefault="006F0AA1" w:rsidP="00D22D3F">
      <w:pPr>
        <w:pStyle w:val="subsection"/>
      </w:pPr>
      <w:r w:rsidRPr="00097A86">
        <w:tab/>
        <w:t>(2)</w:t>
      </w:r>
      <w:r w:rsidRPr="00097A86">
        <w:tab/>
        <w:t>If the measuring equipment has flow devices that use turbine measuring systems, the flow devices must be installed in a manner that ensures that the maximum uncertainty of the flow measurement is not greater than ±1.5%.</w:t>
      </w:r>
    </w:p>
    <w:p w14:paraId="511BA142" w14:textId="77777777" w:rsidR="006F0AA1" w:rsidRPr="00097A86" w:rsidRDefault="00D22D3F" w:rsidP="00D22D3F">
      <w:pPr>
        <w:pStyle w:val="notetext"/>
      </w:pPr>
      <w:r w:rsidRPr="00097A86">
        <w:lastRenderedPageBreak/>
        <w:t>Note:</w:t>
      </w:r>
      <w:r w:rsidRPr="00097A86">
        <w:tab/>
      </w:r>
      <w:r w:rsidR="006F0AA1" w:rsidRPr="00097A86">
        <w:t xml:space="preserve">The publication entitled </w:t>
      </w:r>
      <w:r w:rsidR="009D4691" w:rsidRPr="00097A86">
        <w:rPr>
          <w:i/>
        </w:rPr>
        <w:t>AGA Report No.</w:t>
      </w:r>
      <w:r w:rsidR="00097A86">
        <w:rPr>
          <w:i/>
        </w:rPr>
        <w:t> </w:t>
      </w:r>
      <w:r w:rsidR="009D4691" w:rsidRPr="00097A86">
        <w:rPr>
          <w:i/>
        </w:rPr>
        <w:t>8, Compressibility Factor of Natural Gas and Related Hydrocarbon Gases (1994),</w:t>
      </w:r>
      <w:r w:rsidR="009D4691" w:rsidRPr="00097A86">
        <w:t xml:space="preserve"> published by the American Gas Association on 1</w:t>
      </w:r>
      <w:r w:rsidR="00097A86">
        <w:t> </w:t>
      </w:r>
      <w:r w:rsidR="009D4691" w:rsidRPr="00097A86">
        <w:t>January 1994,</w:t>
      </w:r>
      <w:r w:rsidR="006F0AA1" w:rsidRPr="00097A86">
        <w:t xml:space="preserve"> sets out a manner that ensures that the maximum uncertainty of the flow measurement is not greater than ±1.5%.</w:t>
      </w:r>
    </w:p>
    <w:p w14:paraId="2C064F7F" w14:textId="77777777" w:rsidR="006F0AA1" w:rsidRPr="00097A86" w:rsidRDefault="006F0AA1" w:rsidP="00D22D3F">
      <w:pPr>
        <w:pStyle w:val="subsection"/>
      </w:pPr>
      <w:r w:rsidRPr="00097A86">
        <w:tab/>
        <w:t>(3)</w:t>
      </w:r>
      <w:r w:rsidRPr="00097A86">
        <w:tab/>
        <w:t>If the measuring equipment has flow devices that use positive displacement measuring systems, the flow devices must be installed in a manner that ensures that the maximum uncertainty of flow is ±1.5%.</w:t>
      </w:r>
    </w:p>
    <w:p w14:paraId="092491E8" w14:textId="77777777" w:rsidR="006F0AA1" w:rsidRPr="00097A86" w:rsidRDefault="00D22D3F" w:rsidP="00D22D3F">
      <w:pPr>
        <w:pStyle w:val="notetext"/>
      </w:pPr>
      <w:r w:rsidRPr="00097A86">
        <w:t>Note:</w:t>
      </w:r>
      <w:r w:rsidRPr="00097A86">
        <w:tab/>
      </w:r>
      <w:r w:rsidR="00A64592" w:rsidRPr="00097A86">
        <w:t xml:space="preserve">The publication entitled </w:t>
      </w:r>
      <w:r w:rsidR="00A64592" w:rsidRPr="00097A86">
        <w:rPr>
          <w:i/>
        </w:rPr>
        <w:t>ANSI B109.3—2000, Rotary Type Gas Displacement Meters</w:t>
      </w:r>
      <w:r w:rsidR="00A64592" w:rsidRPr="00097A86">
        <w:t>, published by the American Gas Association on 13</w:t>
      </w:r>
      <w:r w:rsidR="00097A86">
        <w:t> </w:t>
      </w:r>
      <w:r w:rsidR="00A64592" w:rsidRPr="00097A86">
        <w:t>April 2000,</w:t>
      </w:r>
      <w:r w:rsidR="006F0AA1" w:rsidRPr="00097A86">
        <w:t xml:space="preserve"> sets out a manner for installation that ensures that the maximum uncertainty of flow is ±1.5%.</w:t>
      </w:r>
    </w:p>
    <w:p w14:paraId="5AFE31CB" w14:textId="77777777" w:rsidR="006F0AA1" w:rsidRPr="00097A86" w:rsidRDefault="006F0AA1" w:rsidP="00D22D3F">
      <w:pPr>
        <w:pStyle w:val="subsection"/>
      </w:pPr>
      <w:r w:rsidRPr="00097A86">
        <w:tab/>
        <w:t>(4)</w:t>
      </w:r>
      <w:r w:rsidRPr="00097A86">
        <w:tab/>
        <w:t>If the measuring equipment uses any other type of flow device, the maximum uncertainty of flow measurement must not be greater than ±1.5%.</w:t>
      </w:r>
    </w:p>
    <w:p w14:paraId="64C921A5" w14:textId="77777777" w:rsidR="006F0AA1" w:rsidRPr="00097A86" w:rsidRDefault="006F0AA1" w:rsidP="00D22D3F">
      <w:pPr>
        <w:pStyle w:val="subsection"/>
      </w:pPr>
      <w:r w:rsidRPr="00097A86">
        <w:tab/>
        <w:t>(5)</w:t>
      </w:r>
      <w:r w:rsidRPr="00097A86">
        <w:tab/>
        <w:t>All flow devices that are used by measuring equipment of a category specified in column 2 of the table in subsection</w:t>
      </w:r>
      <w:r w:rsidR="00097A86">
        <w:t> </w:t>
      </w:r>
      <w:r w:rsidRPr="00097A86">
        <w:t>1.19G(4) must, wherever possible, be calibrated for pressure, differential pressure and temperature in accordance with the requirements specified in column 4 for the category of equipment specified in column 2 for that item. The calibrations must take into account the effects of static pressure and ambient temperature.</w:t>
      </w:r>
    </w:p>
    <w:p w14:paraId="131C9C2C" w14:textId="77777777" w:rsidR="006F0AA1" w:rsidRPr="00097A86" w:rsidRDefault="006F0AA1" w:rsidP="00D22D3F">
      <w:pPr>
        <w:pStyle w:val="ActHead5"/>
      </w:pPr>
      <w:bookmarkStart w:id="57" w:name="_Toc13233505"/>
      <w:r w:rsidRPr="00097A86">
        <w:rPr>
          <w:rStyle w:val="CharSectno"/>
        </w:rPr>
        <w:t>1.19L</w:t>
      </w:r>
      <w:r w:rsidR="00D22D3F" w:rsidRPr="00097A86">
        <w:t xml:space="preserve">  </w:t>
      </w:r>
      <w:r w:rsidRPr="00097A86">
        <w:t>Flow computers</w:t>
      </w:r>
      <w:r w:rsidR="00D22D3F" w:rsidRPr="00097A86">
        <w:t>—</w:t>
      </w:r>
      <w:r w:rsidRPr="00097A86">
        <w:t>requirements</w:t>
      </w:r>
      <w:bookmarkEnd w:id="57"/>
    </w:p>
    <w:p w14:paraId="4BA006AC" w14:textId="77777777" w:rsidR="006F0AA1" w:rsidRPr="00097A86" w:rsidRDefault="006F0AA1" w:rsidP="00D22D3F">
      <w:pPr>
        <w:pStyle w:val="subsection"/>
      </w:pPr>
      <w:r w:rsidRPr="00097A86">
        <w:tab/>
      </w:r>
      <w:r w:rsidRPr="00097A86">
        <w:tab/>
        <w:t>For paragraph</w:t>
      </w:r>
      <w:r w:rsidR="00097A86">
        <w:t> </w:t>
      </w:r>
      <w:r w:rsidRPr="00097A86">
        <w:t>1.19J(b), the requirement is that the flow computer that is used by the equipment for measuring purposes must record the instantaneous values for all primary measurement inputs and must also record the following outputs:</w:t>
      </w:r>
    </w:p>
    <w:p w14:paraId="552CC149" w14:textId="77777777" w:rsidR="006F0AA1" w:rsidRPr="00097A86" w:rsidRDefault="006F0AA1" w:rsidP="00D22D3F">
      <w:pPr>
        <w:pStyle w:val="paragraph"/>
      </w:pPr>
      <w:r w:rsidRPr="00097A86">
        <w:tab/>
        <w:t>(a)</w:t>
      </w:r>
      <w:r w:rsidRPr="00097A86">
        <w:tab/>
        <w:t>instantaneous corrected volumetric flow;</w:t>
      </w:r>
    </w:p>
    <w:p w14:paraId="30FFEE54" w14:textId="77777777" w:rsidR="006F0AA1" w:rsidRPr="00097A86" w:rsidRDefault="006F0AA1" w:rsidP="00D22D3F">
      <w:pPr>
        <w:pStyle w:val="paragraph"/>
      </w:pPr>
      <w:r w:rsidRPr="00097A86">
        <w:tab/>
        <w:t>(b)</w:t>
      </w:r>
      <w:r w:rsidRPr="00097A86">
        <w:tab/>
        <w:t>cumulative corrected volumetric flow;</w:t>
      </w:r>
    </w:p>
    <w:p w14:paraId="6566DA10" w14:textId="77777777" w:rsidR="006F0AA1" w:rsidRPr="00097A86" w:rsidRDefault="006F0AA1" w:rsidP="00D22D3F">
      <w:pPr>
        <w:pStyle w:val="paragraph"/>
      </w:pPr>
      <w:r w:rsidRPr="00097A86">
        <w:tab/>
        <w:t>(c)</w:t>
      </w:r>
      <w:r w:rsidRPr="00097A86">
        <w:tab/>
        <w:t>for turbine and positive displacement metering systems</w:t>
      </w:r>
      <w:r w:rsidR="00D22D3F" w:rsidRPr="00097A86">
        <w:t>—</w:t>
      </w:r>
      <w:r w:rsidRPr="00097A86">
        <w:t>instantaneous uncorrected volumetric flow;</w:t>
      </w:r>
    </w:p>
    <w:p w14:paraId="35C897F1" w14:textId="77777777" w:rsidR="006F0AA1" w:rsidRPr="00097A86" w:rsidRDefault="006F0AA1" w:rsidP="00D22D3F">
      <w:pPr>
        <w:pStyle w:val="paragraph"/>
      </w:pPr>
      <w:r w:rsidRPr="00097A86">
        <w:tab/>
        <w:t>(d)</w:t>
      </w:r>
      <w:r w:rsidRPr="00097A86">
        <w:tab/>
        <w:t>for turbine and positive displacement metering systems</w:t>
      </w:r>
      <w:r w:rsidR="00D22D3F" w:rsidRPr="00097A86">
        <w:t>—</w:t>
      </w:r>
      <w:r w:rsidRPr="00097A86">
        <w:t>cumulative uncorrected volumetric flow;</w:t>
      </w:r>
    </w:p>
    <w:p w14:paraId="6B79C341" w14:textId="77777777" w:rsidR="006F0AA1" w:rsidRPr="00097A86" w:rsidRDefault="006F0AA1" w:rsidP="00D22D3F">
      <w:pPr>
        <w:pStyle w:val="paragraph"/>
      </w:pPr>
      <w:r w:rsidRPr="00097A86">
        <w:tab/>
        <w:t>(e)</w:t>
      </w:r>
      <w:r w:rsidRPr="00097A86">
        <w:tab/>
        <w:t>super</w:t>
      </w:r>
      <w:r w:rsidR="00097A86">
        <w:noBreakHyphen/>
      </w:r>
      <w:r w:rsidRPr="00097A86">
        <w:t>compressibility factor.</w:t>
      </w:r>
    </w:p>
    <w:p w14:paraId="39447220" w14:textId="77777777" w:rsidR="006F0AA1" w:rsidRPr="00097A86" w:rsidRDefault="006F0AA1" w:rsidP="00D22D3F">
      <w:pPr>
        <w:pStyle w:val="ActHead5"/>
        <w:rPr>
          <w:sz w:val="18"/>
        </w:rPr>
      </w:pPr>
      <w:bookmarkStart w:id="58" w:name="_Toc13233506"/>
      <w:r w:rsidRPr="00097A86">
        <w:rPr>
          <w:rStyle w:val="CharSectno"/>
        </w:rPr>
        <w:t>1.19M</w:t>
      </w:r>
      <w:r w:rsidR="00D22D3F" w:rsidRPr="00097A86">
        <w:t xml:space="preserve">  </w:t>
      </w:r>
      <w:r w:rsidRPr="00097A86">
        <w:t>Gas chromatographs</w:t>
      </w:r>
      <w:bookmarkEnd w:id="58"/>
    </w:p>
    <w:p w14:paraId="11DB037B" w14:textId="77777777" w:rsidR="006F0AA1" w:rsidRPr="00097A86" w:rsidRDefault="006F0AA1" w:rsidP="00D22D3F">
      <w:pPr>
        <w:pStyle w:val="subsection"/>
      </w:pPr>
      <w:r w:rsidRPr="00097A86">
        <w:tab/>
      </w:r>
      <w:r w:rsidRPr="00097A86">
        <w:tab/>
        <w:t>For paragraph</w:t>
      </w:r>
      <w:r w:rsidR="00097A86">
        <w:t> </w:t>
      </w:r>
      <w:r w:rsidRPr="00097A86">
        <w:t>1.19J(c), the requirements are that gas chromatographs used by the measuring equipment must:</w:t>
      </w:r>
    </w:p>
    <w:p w14:paraId="1A212E99" w14:textId="77777777" w:rsidR="006F0AA1" w:rsidRPr="00097A86" w:rsidRDefault="006F0AA1" w:rsidP="00D22D3F">
      <w:pPr>
        <w:pStyle w:val="paragraph"/>
      </w:pPr>
      <w:r w:rsidRPr="00097A86">
        <w:tab/>
        <w:t>(a)</w:t>
      </w:r>
      <w:r w:rsidRPr="00097A86">
        <w:tab/>
        <w:t xml:space="preserve">be factory tested and calibrated using a measurement standard produced by gravimetric methods and traceable to </w:t>
      </w:r>
      <w:r w:rsidR="00E25177" w:rsidRPr="00097A86">
        <w:t>Australian legal units of measurement</w:t>
      </w:r>
      <w:r w:rsidRPr="00097A86">
        <w:t>; and</w:t>
      </w:r>
    </w:p>
    <w:p w14:paraId="06055DCE" w14:textId="77777777" w:rsidR="006F0AA1" w:rsidRPr="00097A86" w:rsidRDefault="006F0AA1" w:rsidP="00D22D3F">
      <w:pPr>
        <w:pStyle w:val="paragraph"/>
      </w:pPr>
      <w:r w:rsidRPr="00097A86">
        <w:tab/>
        <w:t>(b)</w:t>
      </w:r>
      <w:r w:rsidRPr="00097A86">
        <w:tab/>
        <w:t>perform gas composition analysis with an accuracy of ±0.25% for calculation of relative density; and</w:t>
      </w:r>
    </w:p>
    <w:p w14:paraId="16EC607C" w14:textId="77777777" w:rsidR="006F0AA1" w:rsidRPr="00097A86" w:rsidRDefault="006F0AA1" w:rsidP="00D22D3F">
      <w:pPr>
        <w:pStyle w:val="paragraph"/>
      </w:pPr>
      <w:r w:rsidRPr="00097A86">
        <w:tab/>
        <w:t>(c)</w:t>
      </w:r>
      <w:r w:rsidRPr="00097A86">
        <w:tab/>
        <w:t>include a mechanism for re</w:t>
      </w:r>
      <w:r w:rsidR="00097A86">
        <w:noBreakHyphen/>
      </w:r>
      <w:r w:rsidRPr="00097A86">
        <w:t>calibration against a certified reference gas.</w:t>
      </w:r>
    </w:p>
    <w:p w14:paraId="053E34D1" w14:textId="77777777" w:rsidR="003F0D4E" w:rsidRPr="00097A86" w:rsidRDefault="003F0D4E" w:rsidP="00BB2396">
      <w:pPr>
        <w:pStyle w:val="ActHead2"/>
        <w:pageBreakBefore/>
      </w:pPr>
      <w:bookmarkStart w:id="59" w:name="_Toc13233507"/>
      <w:r w:rsidRPr="00097A86">
        <w:rPr>
          <w:rStyle w:val="CharPartNo"/>
        </w:rPr>
        <w:lastRenderedPageBreak/>
        <w:t>Part</w:t>
      </w:r>
      <w:r w:rsidR="00097A86">
        <w:rPr>
          <w:rStyle w:val="CharPartNo"/>
        </w:rPr>
        <w:t> </w:t>
      </w:r>
      <w:r w:rsidRPr="00097A86">
        <w:rPr>
          <w:rStyle w:val="CharPartNo"/>
        </w:rPr>
        <w:t>1.3</w:t>
      </w:r>
      <w:r w:rsidR="00D22D3F" w:rsidRPr="00097A86">
        <w:t>—</w:t>
      </w:r>
      <w:r w:rsidRPr="00097A86">
        <w:rPr>
          <w:rStyle w:val="CharPartText"/>
        </w:rPr>
        <w:t>Method 4</w:t>
      </w:r>
      <w:r w:rsidR="00D22D3F" w:rsidRPr="00097A86">
        <w:rPr>
          <w:rStyle w:val="CharPartText"/>
        </w:rPr>
        <w:t>—</w:t>
      </w:r>
      <w:r w:rsidRPr="00097A86">
        <w:rPr>
          <w:rStyle w:val="CharPartText"/>
        </w:rPr>
        <w:t>Direct measurement of emissions</w:t>
      </w:r>
      <w:bookmarkEnd w:id="59"/>
    </w:p>
    <w:p w14:paraId="3E7CD924" w14:textId="77777777" w:rsidR="003F0D4E" w:rsidRPr="00097A86" w:rsidRDefault="003F0D4E" w:rsidP="00D22D3F">
      <w:pPr>
        <w:pStyle w:val="ActHead3"/>
      </w:pPr>
      <w:bookmarkStart w:id="60" w:name="_Toc13233508"/>
      <w:r w:rsidRPr="00097A86">
        <w:rPr>
          <w:rStyle w:val="CharDivNo"/>
        </w:rPr>
        <w:t>Division</w:t>
      </w:r>
      <w:r w:rsidR="00097A86">
        <w:rPr>
          <w:rStyle w:val="CharDivNo"/>
        </w:rPr>
        <w:t> </w:t>
      </w:r>
      <w:r w:rsidRPr="00097A86">
        <w:rPr>
          <w:rStyle w:val="CharDivNo"/>
        </w:rPr>
        <w:t>1.3.1</w:t>
      </w:r>
      <w:r w:rsidR="00D22D3F" w:rsidRPr="00097A86">
        <w:t>—</w:t>
      </w:r>
      <w:r w:rsidRPr="00097A86">
        <w:rPr>
          <w:rStyle w:val="CharDivText"/>
        </w:rPr>
        <w:t>Preliminary</w:t>
      </w:r>
      <w:bookmarkEnd w:id="60"/>
    </w:p>
    <w:p w14:paraId="56A32227" w14:textId="77777777" w:rsidR="003F0D4E" w:rsidRPr="00097A86" w:rsidRDefault="003F0D4E" w:rsidP="00D22D3F">
      <w:pPr>
        <w:pStyle w:val="ActHead5"/>
      </w:pPr>
      <w:bookmarkStart w:id="61" w:name="_Toc13233509"/>
      <w:r w:rsidRPr="00097A86">
        <w:rPr>
          <w:rStyle w:val="CharSectno"/>
        </w:rPr>
        <w:t>1.20</w:t>
      </w:r>
      <w:r w:rsidR="00D22D3F" w:rsidRPr="00097A86">
        <w:t xml:space="preserve">  </w:t>
      </w:r>
      <w:r w:rsidRPr="00097A86">
        <w:t>Overview</w:t>
      </w:r>
      <w:bookmarkEnd w:id="61"/>
    </w:p>
    <w:p w14:paraId="4B621778" w14:textId="77777777" w:rsidR="003F0D4E" w:rsidRPr="00097A86" w:rsidRDefault="003F0D4E" w:rsidP="00D22D3F">
      <w:pPr>
        <w:pStyle w:val="subsection"/>
      </w:pPr>
      <w:r w:rsidRPr="00097A86">
        <w:tab/>
        <w:t>(1)</w:t>
      </w:r>
      <w:r w:rsidRPr="00097A86">
        <w:tab/>
        <w:t>This Chapter provides for method 4 for a source.</w:t>
      </w:r>
    </w:p>
    <w:p w14:paraId="0D2B469D" w14:textId="77777777" w:rsidR="003F0D4E" w:rsidRPr="00097A86" w:rsidRDefault="00D22D3F" w:rsidP="00D22D3F">
      <w:pPr>
        <w:pStyle w:val="notetext"/>
      </w:pPr>
      <w:r w:rsidRPr="00097A86">
        <w:t>Note:</w:t>
      </w:r>
      <w:r w:rsidRPr="00097A86">
        <w:tab/>
      </w:r>
      <w:r w:rsidR="003F0D4E" w:rsidRPr="00097A86">
        <w:t>Method 4 as provided for in this Part applies to a source as indicated in the Chapter, Part, Division or Subdivision dealing with the source.</w:t>
      </w:r>
    </w:p>
    <w:p w14:paraId="5040BDB7" w14:textId="77777777" w:rsidR="003F0D4E" w:rsidRPr="00097A86" w:rsidRDefault="003F0D4E" w:rsidP="00D22D3F">
      <w:pPr>
        <w:pStyle w:val="subsection"/>
      </w:pPr>
      <w:r w:rsidRPr="00097A86">
        <w:tab/>
        <w:t>(2)</w:t>
      </w:r>
      <w:r w:rsidRPr="00097A86">
        <w:tab/>
        <w:t>Method 4 requires the direct measurement of emissions released from the source from the operation of a facility during a year by monitoring the gas stream at a site within part of the area (for example, a duct or stack) occupied for the operation of the facility.</w:t>
      </w:r>
    </w:p>
    <w:p w14:paraId="5EBAF6A9" w14:textId="77777777" w:rsidR="003F0D4E" w:rsidRPr="00097A86" w:rsidRDefault="003F0D4E" w:rsidP="00D22D3F">
      <w:pPr>
        <w:pStyle w:val="subsection"/>
      </w:pPr>
      <w:r w:rsidRPr="00097A86">
        <w:tab/>
        <w:t>(3)</w:t>
      </w:r>
      <w:r w:rsidRPr="00097A86">
        <w:tab/>
        <w:t>Method 4 consists of the following:</w:t>
      </w:r>
    </w:p>
    <w:p w14:paraId="4595A1C9" w14:textId="77777777" w:rsidR="003F0D4E" w:rsidRPr="00097A86" w:rsidRDefault="003F0D4E" w:rsidP="00D22D3F">
      <w:pPr>
        <w:pStyle w:val="paragraph"/>
      </w:pPr>
      <w:r w:rsidRPr="00097A86">
        <w:tab/>
        <w:t>(a)</w:t>
      </w:r>
      <w:r w:rsidRPr="00097A86">
        <w:tab/>
        <w:t>method 4 (CEM) as specified in section</w:t>
      </w:r>
      <w:r w:rsidR="00097A86">
        <w:t> </w:t>
      </w:r>
      <w:r w:rsidRPr="00097A86">
        <w:t>1.21 that requires the measurement of emissions using continuous emissions monitoring (</w:t>
      </w:r>
      <w:r w:rsidRPr="00097A86">
        <w:rPr>
          <w:b/>
          <w:i/>
        </w:rPr>
        <w:t>CEM</w:t>
      </w:r>
      <w:r w:rsidRPr="00097A86">
        <w:t>);</w:t>
      </w:r>
    </w:p>
    <w:p w14:paraId="186C878B" w14:textId="77777777" w:rsidR="003F0D4E" w:rsidRPr="00097A86" w:rsidRDefault="003F0D4E" w:rsidP="00D22D3F">
      <w:pPr>
        <w:pStyle w:val="paragraph"/>
      </w:pPr>
      <w:r w:rsidRPr="00097A86">
        <w:tab/>
        <w:t>(b)</w:t>
      </w:r>
      <w:r w:rsidRPr="00097A86">
        <w:tab/>
        <w:t>method 4 (PEM) as specified in section</w:t>
      </w:r>
      <w:r w:rsidR="00097A86">
        <w:t> </w:t>
      </w:r>
      <w:r w:rsidRPr="00097A86">
        <w:t>1.27 that requires the measurement of emissions using periodic emissions monitoring (</w:t>
      </w:r>
      <w:r w:rsidRPr="00097A86">
        <w:rPr>
          <w:b/>
          <w:i/>
        </w:rPr>
        <w:t>PEM</w:t>
      </w:r>
      <w:r w:rsidRPr="00097A86">
        <w:t>).</w:t>
      </w:r>
    </w:p>
    <w:p w14:paraId="1698AC13" w14:textId="77777777" w:rsidR="003F0D4E" w:rsidRPr="00097A86" w:rsidRDefault="003F0D4E" w:rsidP="00BB2396">
      <w:pPr>
        <w:pStyle w:val="ActHead3"/>
        <w:pageBreakBefore/>
      </w:pPr>
      <w:bookmarkStart w:id="62" w:name="_Toc13233510"/>
      <w:r w:rsidRPr="00097A86">
        <w:rPr>
          <w:rStyle w:val="CharDivNo"/>
        </w:rPr>
        <w:lastRenderedPageBreak/>
        <w:t>Division</w:t>
      </w:r>
      <w:r w:rsidR="00097A86">
        <w:rPr>
          <w:rStyle w:val="CharDivNo"/>
        </w:rPr>
        <w:t> </w:t>
      </w:r>
      <w:r w:rsidRPr="00097A86">
        <w:rPr>
          <w:rStyle w:val="CharDivNo"/>
        </w:rPr>
        <w:t>1.3.2</w:t>
      </w:r>
      <w:r w:rsidR="00D22D3F" w:rsidRPr="00097A86">
        <w:t>—</w:t>
      </w:r>
      <w:r w:rsidRPr="00097A86">
        <w:rPr>
          <w:rStyle w:val="CharDivText"/>
        </w:rPr>
        <w:t>Operation of method 4 (CEM)</w:t>
      </w:r>
      <w:bookmarkEnd w:id="62"/>
    </w:p>
    <w:p w14:paraId="7A0E20CD" w14:textId="77777777" w:rsidR="003F0D4E" w:rsidRPr="00097A86" w:rsidRDefault="003F0D4E" w:rsidP="00D22D3F">
      <w:pPr>
        <w:pStyle w:val="ActHead4"/>
      </w:pPr>
      <w:bookmarkStart w:id="63" w:name="_Toc13233511"/>
      <w:r w:rsidRPr="00097A86">
        <w:rPr>
          <w:rStyle w:val="CharSubdNo"/>
        </w:rPr>
        <w:t>Subdivision</w:t>
      </w:r>
      <w:r w:rsidR="00097A86">
        <w:rPr>
          <w:rStyle w:val="CharSubdNo"/>
        </w:rPr>
        <w:t> </w:t>
      </w:r>
      <w:r w:rsidRPr="00097A86">
        <w:rPr>
          <w:rStyle w:val="CharSubdNo"/>
        </w:rPr>
        <w:t>1.3.2.1</w:t>
      </w:r>
      <w:r w:rsidR="00D22D3F" w:rsidRPr="00097A86">
        <w:t>—</w:t>
      </w:r>
      <w:r w:rsidRPr="00097A86">
        <w:rPr>
          <w:rStyle w:val="CharSubdText"/>
        </w:rPr>
        <w:t>Method 4 (CEM)</w:t>
      </w:r>
      <w:bookmarkEnd w:id="63"/>
    </w:p>
    <w:p w14:paraId="0B0D58C1" w14:textId="77777777" w:rsidR="003F0D4E" w:rsidRPr="00097A86" w:rsidRDefault="003F0D4E" w:rsidP="00D22D3F">
      <w:pPr>
        <w:pStyle w:val="ActHead5"/>
      </w:pPr>
      <w:bookmarkStart w:id="64" w:name="_Toc13233512"/>
      <w:r w:rsidRPr="00097A86">
        <w:rPr>
          <w:rStyle w:val="CharSectno"/>
        </w:rPr>
        <w:t>1.21</w:t>
      </w:r>
      <w:r w:rsidR="00D22D3F" w:rsidRPr="00097A86">
        <w:t xml:space="preserve">  </w:t>
      </w:r>
      <w:r w:rsidRPr="00097A86">
        <w:t>Method 4 (CEM)</w:t>
      </w:r>
      <w:r w:rsidR="00D22D3F" w:rsidRPr="00097A86">
        <w:t>—</w:t>
      </w:r>
      <w:r w:rsidRPr="00097A86">
        <w:t>estimation of emissions</w:t>
      </w:r>
      <w:bookmarkEnd w:id="64"/>
    </w:p>
    <w:p w14:paraId="1A129665" w14:textId="77777777" w:rsidR="003F0D4E" w:rsidRPr="00097A86" w:rsidRDefault="003F0D4E" w:rsidP="00D22D3F">
      <w:pPr>
        <w:pStyle w:val="subsection"/>
      </w:pPr>
      <w:r w:rsidRPr="00097A86">
        <w:tab/>
        <w:t>(1)</w:t>
      </w:r>
      <w:r w:rsidRPr="00097A86">
        <w:tab/>
        <w:t>To obtain an estimate of the mass of emissions of a gas type (</w:t>
      </w:r>
      <w:r w:rsidRPr="00097A86">
        <w:rPr>
          <w:b/>
          <w:i/>
        </w:rPr>
        <w:t>j</w:t>
      </w:r>
      <w:r w:rsidRPr="00097A86">
        <w:t>), being methane, carbon dioxide or nitrous oxide, released at the time of measurement at a monitoring site within the area occupied for the operation of a facility, the following formula must be applied:</w:t>
      </w:r>
    </w:p>
    <w:p w14:paraId="56204F98"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9B1DFAE" wp14:editId="57DED945">
            <wp:extent cx="162877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14:paraId="309A6F2F" w14:textId="77777777" w:rsidR="003F0D4E" w:rsidRPr="00097A86" w:rsidRDefault="003F0D4E" w:rsidP="00D22D3F">
      <w:pPr>
        <w:pStyle w:val="subsection2"/>
      </w:pPr>
      <w:r w:rsidRPr="00097A86">
        <w:t>where:</w:t>
      </w:r>
    </w:p>
    <w:p w14:paraId="2FA8264E" w14:textId="77777777" w:rsidR="003F0D4E" w:rsidRPr="00097A86" w:rsidRDefault="003F0D4E" w:rsidP="00D22D3F">
      <w:pPr>
        <w:pStyle w:val="Definition"/>
      </w:pPr>
      <w:r w:rsidRPr="00097A86">
        <w:rPr>
          <w:b/>
          <w:i/>
        </w:rPr>
        <w:t>M</w:t>
      </w:r>
      <w:r w:rsidRPr="00097A86">
        <w:rPr>
          <w:b/>
          <w:i/>
          <w:vertAlign w:val="subscript"/>
        </w:rPr>
        <w:t>jct</w:t>
      </w:r>
      <w:r w:rsidRPr="00097A86">
        <w:rPr>
          <w:b/>
          <w:i/>
        </w:rPr>
        <w:t xml:space="preserve"> </w:t>
      </w:r>
      <w:r w:rsidRPr="00097A86">
        <w:t>is the mass of emissions in tonnes of gas type (</w:t>
      </w:r>
      <w:r w:rsidRPr="00097A86">
        <w:rPr>
          <w:b/>
          <w:i/>
        </w:rPr>
        <w:t>j</w:t>
      </w:r>
      <w:r w:rsidRPr="00097A86">
        <w:t>) released per second.</w:t>
      </w:r>
    </w:p>
    <w:p w14:paraId="60D25C12" w14:textId="77777777" w:rsidR="003F0D4E" w:rsidRPr="00097A86" w:rsidRDefault="003F0D4E" w:rsidP="00D22D3F">
      <w:pPr>
        <w:pStyle w:val="Definition"/>
      </w:pPr>
      <w:r w:rsidRPr="00097A86">
        <w:rPr>
          <w:b/>
          <w:i/>
        </w:rPr>
        <w:t>MM</w:t>
      </w:r>
      <w:r w:rsidRPr="00097A86">
        <w:rPr>
          <w:b/>
          <w:i/>
          <w:vertAlign w:val="subscript"/>
        </w:rPr>
        <w:t>j</w:t>
      </w:r>
      <w:r w:rsidRPr="00097A86">
        <w:rPr>
          <w:b/>
          <w:i/>
        </w:rPr>
        <w:t xml:space="preserve"> </w:t>
      </w:r>
      <w:r w:rsidRPr="00097A86">
        <w:t>is the molecular mass of gas type (</w:t>
      </w:r>
      <w:r w:rsidRPr="00097A86">
        <w:rPr>
          <w:b/>
          <w:i/>
        </w:rPr>
        <w:t>j</w:t>
      </w:r>
      <w:r w:rsidRPr="00097A86">
        <w:t>) measured in tonnes per kilomole which:</w:t>
      </w:r>
    </w:p>
    <w:p w14:paraId="0123014C" w14:textId="77777777" w:rsidR="003F0D4E" w:rsidRPr="00097A86" w:rsidRDefault="003F0D4E" w:rsidP="00D22D3F">
      <w:pPr>
        <w:pStyle w:val="paragraph"/>
      </w:pPr>
      <w:r w:rsidRPr="00097A86">
        <w:tab/>
        <w:t>(a)</w:t>
      </w:r>
      <w:r w:rsidRPr="00097A86">
        <w:tab/>
        <w:t>for methane is 16.04</w:t>
      </w:r>
      <w:r w:rsidR="009E1F90">
        <w:rPr>
          <w:noProof/>
          <w:position w:val="-4"/>
        </w:rPr>
        <w:drawing>
          <wp:inline distT="0" distB="0" distL="0" distR="0" wp14:anchorId="1B421BB6" wp14:editId="522DE152">
            <wp:extent cx="123825" cy="123825"/>
            <wp:effectExtent l="0" t="0" r="9525" b="9525"/>
            <wp:docPr id="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10</w:t>
      </w:r>
      <w:r w:rsidR="00097A86">
        <w:rPr>
          <w:vertAlign w:val="superscript"/>
        </w:rPr>
        <w:noBreakHyphen/>
      </w:r>
      <w:r w:rsidRPr="00097A86">
        <w:rPr>
          <w:vertAlign w:val="superscript"/>
        </w:rPr>
        <w:t>3</w:t>
      </w:r>
      <w:r w:rsidRPr="00097A86">
        <w:t>; or</w:t>
      </w:r>
    </w:p>
    <w:p w14:paraId="36F58385" w14:textId="77777777" w:rsidR="003F0D4E" w:rsidRPr="00097A86" w:rsidRDefault="003F0D4E" w:rsidP="00D22D3F">
      <w:pPr>
        <w:pStyle w:val="paragraph"/>
      </w:pPr>
      <w:r w:rsidRPr="00097A86">
        <w:tab/>
        <w:t>(b)</w:t>
      </w:r>
      <w:r w:rsidRPr="00097A86">
        <w:tab/>
        <w:t>for carbon dioxide is 44.01</w:t>
      </w:r>
      <w:r w:rsidR="009E1F90">
        <w:rPr>
          <w:noProof/>
          <w:position w:val="-4"/>
        </w:rPr>
        <w:drawing>
          <wp:inline distT="0" distB="0" distL="0" distR="0" wp14:anchorId="4529D637" wp14:editId="710BC422">
            <wp:extent cx="123825" cy="123825"/>
            <wp:effectExtent l="0" t="0" r="9525" b="9525"/>
            <wp:docPr id="2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10</w:t>
      </w:r>
      <w:r w:rsidR="00097A86">
        <w:rPr>
          <w:vertAlign w:val="superscript"/>
        </w:rPr>
        <w:noBreakHyphen/>
      </w:r>
      <w:r w:rsidRPr="00097A86">
        <w:rPr>
          <w:vertAlign w:val="superscript"/>
        </w:rPr>
        <w:t>3</w:t>
      </w:r>
      <w:r w:rsidRPr="00097A86">
        <w:t>; or</w:t>
      </w:r>
    </w:p>
    <w:p w14:paraId="03C36707" w14:textId="77777777" w:rsidR="003F0D4E" w:rsidRPr="00097A86" w:rsidRDefault="003F0D4E" w:rsidP="00D22D3F">
      <w:pPr>
        <w:pStyle w:val="paragraph"/>
      </w:pPr>
      <w:r w:rsidRPr="00097A86">
        <w:tab/>
        <w:t>(c)</w:t>
      </w:r>
      <w:r w:rsidRPr="00097A86">
        <w:tab/>
        <w:t>for nitrous oxide is 44.01</w:t>
      </w:r>
      <w:r w:rsidR="009E1F90">
        <w:rPr>
          <w:noProof/>
          <w:position w:val="-4"/>
        </w:rPr>
        <w:drawing>
          <wp:inline distT="0" distB="0" distL="0" distR="0" wp14:anchorId="6B70497B" wp14:editId="4DBFDAB6">
            <wp:extent cx="123825" cy="123825"/>
            <wp:effectExtent l="0" t="0" r="9525" b="9525"/>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10</w:t>
      </w:r>
      <w:r w:rsidR="00097A86">
        <w:rPr>
          <w:vertAlign w:val="superscript"/>
        </w:rPr>
        <w:noBreakHyphen/>
      </w:r>
      <w:r w:rsidRPr="00097A86">
        <w:rPr>
          <w:vertAlign w:val="superscript"/>
        </w:rPr>
        <w:t>3</w:t>
      </w:r>
      <w:r w:rsidRPr="00097A86">
        <w:t>.</w:t>
      </w:r>
    </w:p>
    <w:p w14:paraId="7A543116" w14:textId="77777777" w:rsidR="00B41515" w:rsidRPr="00097A86" w:rsidRDefault="00B41515" w:rsidP="00D22D3F">
      <w:pPr>
        <w:pStyle w:val="Definition"/>
      </w:pPr>
      <w:r w:rsidRPr="00097A86">
        <w:rPr>
          <w:b/>
          <w:i/>
        </w:rPr>
        <w:t>P</w:t>
      </w:r>
      <w:r w:rsidRPr="00097A86">
        <w:rPr>
          <w:b/>
          <w:i/>
          <w:vertAlign w:val="subscript"/>
        </w:rPr>
        <w:t>ct</w:t>
      </w:r>
      <w:r w:rsidRPr="00097A86">
        <w:rPr>
          <w:b/>
          <w:i/>
        </w:rPr>
        <w:t xml:space="preserve"> </w:t>
      </w:r>
      <w:r w:rsidRPr="00097A86">
        <w:rPr>
          <w:i/>
        </w:rPr>
        <w:t xml:space="preserve">is </w:t>
      </w:r>
      <w:r w:rsidRPr="00097A86">
        <w:t>the pressure of the gas stream in kilopascals at the time of measurement.</w:t>
      </w:r>
    </w:p>
    <w:p w14:paraId="0AEC0604" w14:textId="77777777" w:rsidR="003F0D4E" w:rsidRPr="00097A86" w:rsidRDefault="003F0D4E" w:rsidP="00D22D3F">
      <w:pPr>
        <w:pStyle w:val="Definition"/>
      </w:pPr>
      <w:r w:rsidRPr="00097A86">
        <w:rPr>
          <w:b/>
          <w:i/>
        </w:rPr>
        <w:t>FR</w:t>
      </w:r>
      <w:r w:rsidRPr="00097A86">
        <w:rPr>
          <w:b/>
          <w:i/>
          <w:vertAlign w:val="subscript"/>
        </w:rPr>
        <w:t>ct</w:t>
      </w:r>
      <w:r w:rsidRPr="00097A86">
        <w:rPr>
          <w:b/>
          <w:i/>
        </w:rPr>
        <w:t xml:space="preserve"> </w:t>
      </w:r>
      <w:r w:rsidRPr="00097A86">
        <w:t>is the flow rate of the gas stream in cubic metres per second at the time of measurement.</w:t>
      </w:r>
    </w:p>
    <w:p w14:paraId="1BAF8605" w14:textId="77777777" w:rsidR="003F0D4E" w:rsidRPr="00097A86" w:rsidRDefault="003F0D4E" w:rsidP="00D22D3F">
      <w:pPr>
        <w:pStyle w:val="Definition"/>
      </w:pPr>
      <w:r w:rsidRPr="00097A86">
        <w:rPr>
          <w:b/>
          <w:i/>
        </w:rPr>
        <w:t>C</w:t>
      </w:r>
      <w:r w:rsidRPr="00097A86">
        <w:rPr>
          <w:b/>
          <w:i/>
          <w:vertAlign w:val="subscript"/>
        </w:rPr>
        <w:t>jct</w:t>
      </w:r>
      <w:r w:rsidRPr="00097A86">
        <w:rPr>
          <w:b/>
          <w:i/>
        </w:rPr>
        <w:t xml:space="preserve"> </w:t>
      </w:r>
      <w:r w:rsidRPr="00097A86">
        <w:t>is the proportion of gas type (</w:t>
      </w:r>
      <w:r w:rsidRPr="00097A86">
        <w:rPr>
          <w:b/>
          <w:i/>
        </w:rPr>
        <w:t>j</w:t>
      </w:r>
      <w:r w:rsidRPr="00097A86">
        <w:t>) in the volume of the gas stream at the time of measurement.</w:t>
      </w:r>
    </w:p>
    <w:p w14:paraId="37B53AFE" w14:textId="77777777" w:rsidR="003F0D4E" w:rsidRPr="00097A86" w:rsidRDefault="003F0D4E" w:rsidP="00D22D3F">
      <w:pPr>
        <w:pStyle w:val="Definition"/>
      </w:pPr>
      <w:r w:rsidRPr="00097A86">
        <w:rPr>
          <w:b/>
          <w:i/>
        </w:rPr>
        <w:t>T</w:t>
      </w:r>
      <w:r w:rsidRPr="00097A86">
        <w:rPr>
          <w:b/>
          <w:i/>
          <w:vertAlign w:val="subscript"/>
        </w:rPr>
        <w:t>ct</w:t>
      </w:r>
      <w:r w:rsidRPr="00097A86">
        <w:rPr>
          <w:b/>
          <w:i/>
        </w:rPr>
        <w:t xml:space="preserve"> </w:t>
      </w:r>
      <w:r w:rsidRPr="00097A86">
        <w:t>is the temperature, in degrees kelvin, of the gas at the time of measurement.</w:t>
      </w:r>
    </w:p>
    <w:p w14:paraId="3EA4FF8F" w14:textId="77777777" w:rsidR="003F0D4E" w:rsidRPr="00097A86" w:rsidRDefault="003F0D4E" w:rsidP="00D22D3F">
      <w:pPr>
        <w:pStyle w:val="subsection"/>
      </w:pPr>
      <w:r w:rsidRPr="00097A86">
        <w:tab/>
        <w:t>(2)</w:t>
      </w:r>
      <w:r w:rsidRPr="00097A86">
        <w:tab/>
        <w:t xml:space="preserve">The mass of emissions estimated under </w:t>
      </w:r>
      <w:r w:rsidR="00097A86">
        <w:t>subsection (</w:t>
      </w:r>
      <w:r w:rsidRPr="00097A86">
        <w:t>1) must be converted into CO</w:t>
      </w:r>
      <w:r w:rsidRPr="00097A86">
        <w:rPr>
          <w:vertAlign w:val="subscript"/>
        </w:rPr>
        <w:t>2</w:t>
      </w:r>
      <w:r w:rsidR="00097A86">
        <w:noBreakHyphen/>
      </w:r>
      <w:r w:rsidRPr="00097A86">
        <w:t>e tonnes.</w:t>
      </w:r>
    </w:p>
    <w:p w14:paraId="5AECF042" w14:textId="77777777" w:rsidR="003F0D4E" w:rsidRPr="00097A86" w:rsidRDefault="003F0D4E" w:rsidP="00D22D3F">
      <w:pPr>
        <w:pStyle w:val="subsection"/>
      </w:pPr>
      <w:r w:rsidRPr="00097A86">
        <w:tab/>
        <w:t>(3)</w:t>
      </w:r>
      <w:r w:rsidRPr="00097A86">
        <w:tab/>
        <w:t xml:space="preserve">Data on estimates of the mass emissions rates obtained under </w:t>
      </w:r>
      <w:r w:rsidR="00097A86">
        <w:t>subsection (</w:t>
      </w:r>
      <w:r w:rsidRPr="00097A86">
        <w:t>1) during an hour must be converted into a representative and unbiased estimate of mass emissions for that hour.</w:t>
      </w:r>
    </w:p>
    <w:p w14:paraId="4EC9EF9D" w14:textId="77777777" w:rsidR="003F0D4E" w:rsidRPr="00097A86" w:rsidRDefault="003F0D4E" w:rsidP="00D22D3F">
      <w:pPr>
        <w:pStyle w:val="subsection"/>
      </w:pPr>
      <w:r w:rsidRPr="00097A86">
        <w:tab/>
        <w:t>(4)</w:t>
      </w:r>
      <w:r w:rsidRPr="00097A86">
        <w:tab/>
        <w:t>The estimate of emissions of gas type (</w:t>
      </w:r>
      <w:r w:rsidRPr="00097A86">
        <w:rPr>
          <w:b/>
          <w:i/>
        </w:rPr>
        <w:t>j</w:t>
      </w:r>
      <w:r w:rsidRPr="00097A86">
        <w:t xml:space="preserve">) during a year is the sum of the estimates for each hour of the year worked out under </w:t>
      </w:r>
      <w:r w:rsidR="00097A86">
        <w:t>subsection (</w:t>
      </w:r>
      <w:r w:rsidRPr="00097A86">
        <w:t>3).</w:t>
      </w:r>
    </w:p>
    <w:p w14:paraId="33FA397F" w14:textId="77777777" w:rsidR="003F0D4E" w:rsidRPr="00097A86" w:rsidRDefault="003F0D4E" w:rsidP="00D22D3F">
      <w:pPr>
        <w:pStyle w:val="subsection"/>
      </w:pPr>
      <w:r w:rsidRPr="00097A86">
        <w:tab/>
        <w:t>(5)</w:t>
      </w:r>
      <w:r w:rsidRPr="00097A86">
        <w:tab/>
      </w:r>
      <w:r w:rsidR="00D23F89" w:rsidRPr="00097A86">
        <w:t xml:space="preserve">If method 1 is available for the source, the </w:t>
      </w:r>
      <w:r w:rsidRPr="00097A86">
        <w:t>total mass of emissions for a gas from the source for the year calculated under this section must be reconciled against an estimate for that gas from the facility for the same period calculated using method 1 for that source.</w:t>
      </w:r>
    </w:p>
    <w:p w14:paraId="217C8059" w14:textId="77777777" w:rsidR="00310592" w:rsidRPr="00097A86" w:rsidRDefault="00310592" w:rsidP="00310592">
      <w:pPr>
        <w:pStyle w:val="ActHead5"/>
      </w:pPr>
      <w:bookmarkStart w:id="65" w:name="_Toc13233513"/>
      <w:r w:rsidRPr="00097A86">
        <w:rPr>
          <w:rStyle w:val="CharSectno"/>
        </w:rPr>
        <w:lastRenderedPageBreak/>
        <w:t>1.21A</w:t>
      </w:r>
      <w:r w:rsidRPr="00097A86">
        <w:t xml:space="preserve">  Emissions from a source where multiple fuels consumed</w:t>
      </w:r>
      <w:bookmarkEnd w:id="65"/>
    </w:p>
    <w:p w14:paraId="4054AD8D" w14:textId="77777777" w:rsidR="00310592" w:rsidRPr="00097A86" w:rsidRDefault="00310592" w:rsidP="00310592">
      <w:pPr>
        <w:pStyle w:val="subsection"/>
      </w:pPr>
      <w:r w:rsidRPr="00097A86">
        <w:tab/>
      </w:r>
      <w:r w:rsidRPr="00097A86">
        <w:tab/>
        <w:t>If more than one fuel is consumed for a source that generates carbon dioxide that is directly measured using method 4 (CEM), the total amount of carbon dioxide is to be attributed to each fuel consumed in proportion to the carbon content of the fuel relative to the total carbon content of all fuel consumed for that source.</w:t>
      </w:r>
    </w:p>
    <w:p w14:paraId="0B92BE30" w14:textId="77777777" w:rsidR="003F0D4E" w:rsidRPr="00097A86" w:rsidRDefault="003F0D4E" w:rsidP="00D22D3F">
      <w:pPr>
        <w:pStyle w:val="ActHead4"/>
      </w:pPr>
      <w:bookmarkStart w:id="66" w:name="_Toc13233514"/>
      <w:r w:rsidRPr="00097A86">
        <w:rPr>
          <w:rStyle w:val="CharSubdNo"/>
        </w:rPr>
        <w:t>Subdivision</w:t>
      </w:r>
      <w:r w:rsidR="00097A86">
        <w:rPr>
          <w:rStyle w:val="CharSubdNo"/>
        </w:rPr>
        <w:t> </w:t>
      </w:r>
      <w:r w:rsidRPr="00097A86">
        <w:rPr>
          <w:rStyle w:val="CharSubdNo"/>
        </w:rPr>
        <w:t>1.3.2.2</w:t>
      </w:r>
      <w:r w:rsidR="00D22D3F" w:rsidRPr="00097A86">
        <w:t>—</w:t>
      </w:r>
      <w:r w:rsidRPr="00097A86">
        <w:rPr>
          <w:rStyle w:val="CharSubdText"/>
        </w:rPr>
        <w:t>Method 4 (CEM)</w:t>
      </w:r>
      <w:r w:rsidR="00D22D3F" w:rsidRPr="00097A86">
        <w:rPr>
          <w:rStyle w:val="CharSubdText"/>
        </w:rPr>
        <w:t>—</w:t>
      </w:r>
      <w:r w:rsidRPr="00097A86">
        <w:rPr>
          <w:rStyle w:val="CharSubdText"/>
        </w:rPr>
        <w:t>use of equipment</w:t>
      </w:r>
      <w:bookmarkEnd w:id="66"/>
    </w:p>
    <w:p w14:paraId="1796E140" w14:textId="77777777" w:rsidR="003F0D4E" w:rsidRPr="00097A86" w:rsidRDefault="003F0D4E" w:rsidP="00D22D3F">
      <w:pPr>
        <w:pStyle w:val="ActHead5"/>
      </w:pPr>
      <w:bookmarkStart w:id="67" w:name="_Toc13233515"/>
      <w:r w:rsidRPr="00097A86">
        <w:rPr>
          <w:rStyle w:val="CharSectno"/>
        </w:rPr>
        <w:t>1.22</w:t>
      </w:r>
      <w:r w:rsidR="00D22D3F" w:rsidRPr="00097A86">
        <w:t xml:space="preserve">  </w:t>
      </w:r>
      <w:r w:rsidRPr="00097A86">
        <w:t>Overview</w:t>
      </w:r>
      <w:bookmarkEnd w:id="67"/>
    </w:p>
    <w:p w14:paraId="124C155E" w14:textId="77777777" w:rsidR="003F0D4E" w:rsidRPr="00097A86" w:rsidRDefault="003F0D4E" w:rsidP="00D22D3F">
      <w:pPr>
        <w:pStyle w:val="subsection"/>
      </w:pPr>
      <w:r w:rsidRPr="00097A86">
        <w:tab/>
      </w:r>
      <w:r w:rsidRPr="00097A86">
        <w:tab/>
        <w:t>The following apply to the use of equipment for CEM:</w:t>
      </w:r>
    </w:p>
    <w:p w14:paraId="0BDC64B5" w14:textId="77777777" w:rsidR="003F0D4E" w:rsidRPr="00097A86" w:rsidRDefault="003F0D4E" w:rsidP="00D22D3F">
      <w:pPr>
        <w:pStyle w:val="paragraph"/>
      </w:pPr>
      <w:r w:rsidRPr="00097A86">
        <w:tab/>
        <w:t>(a)</w:t>
      </w:r>
      <w:r w:rsidRPr="00097A86">
        <w:tab/>
        <w:t>the requirements in section</w:t>
      </w:r>
      <w:r w:rsidR="00097A86">
        <w:t> </w:t>
      </w:r>
      <w:r w:rsidRPr="00097A86">
        <w:t xml:space="preserve">1.23 about location of the sampling positions for the CEM equipment; </w:t>
      </w:r>
    </w:p>
    <w:p w14:paraId="21103804" w14:textId="77777777" w:rsidR="003F0D4E" w:rsidRPr="00097A86" w:rsidRDefault="003F0D4E" w:rsidP="00D22D3F">
      <w:pPr>
        <w:pStyle w:val="paragraph"/>
      </w:pPr>
      <w:r w:rsidRPr="00097A86">
        <w:tab/>
        <w:t>(b)</w:t>
      </w:r>
      <w:r w:rsidRPr="00097A86">
        <w:tab/>
        <w:t>the requirements in section</w:t>
      </w:r>
      <w:r w:rsidR="00097A86">
        <w:t> </w:t>
      </w:r>
      <w:r w:rsidRPr="00097A86">
        <w:t xml:space="preserve">1.24 about measurement of volumetric flow rates in the gas stream; </w:t>
      </w:r>
    </w:p>
    <w:p w14:paraId="0641B724" w14:textId="77777777" w:rsidR="003F0D4E" w:rsidRPr="00097A86" w:rsidRDefault="003F0D4E" w:rsidP="00D22D3F">
      <w:pPr>
        <w:pStyle w:val="paragraph"/>
      </w:pPr>
      <w:r w:rsidRPr="00097A86">
        <w:tab/>
        <w:t>(c)</w:t>
      </w:r>
      <w:r w:rsidRPr="00097A86">
        <w:tab/>
        <w:t>the requirements in section</w:t>
      </w:r>
      <w:r w:rsidR="00097A86">
        <w:t> </w:t>
      </w:r>
      <w:r w:rsidRPr="00097A86">
        <w:t xml:space="preserve">1.25 about measurement of the concentrations of greenhouse gas in the gas stream; </w:t>
      </w:r>
    </w:p>
    <w:p w14:paraId="221B90B5" w14:textId="77777777" w:rsidR="003F0D4E" w:rsidRPr="00097A86" w:rsidRDefault="003F0D4E" w:rsidP="00D22D3F">
      <w:pPr>
        <w:pStyle w:val="paragraph"/>
      </w:pPr>
      <w:r w:rsidRPr="00097A86">
        <w:tab/>
        <w:t>(d)</w:t>
      </w:r>
      <w:r w:rsidRPr="00097A86">
        <w:tab/>
        <w:t>the requirements in section</w:t>
      </w:r>
      <w:r w:rsidR="00097A86">
        <w:t> </w:t>
      </w:r>
      <w:r w:rsidRPr="00097A86">
        <w:t>1.26 about frequency of measurement.</w:t>
      </w:r>
    </w:p>
    <w:p w14:paraId="168B452D" w14:textId="77777777" w:rsidR="003F0D4E" w:rsidRPr="00097A86" w:rsidRDefault="003F0D4E" w:rsidP="00D22D3F">
      <w:pPr>
        <w:pStyle w:val="ActHead5"/>
      </w:pPr>
      <w:bookmarkStart w:id="68" w:name="_Toc13233516"/>
      <w:r w:rsidRPr="00097A86">
        <w:rPr>
          <w:rStyle w:val="CharSectno"/>
        </w:rPr>
        <w:t>1.23</w:t>
      </w:r>
      <w:r w:rsidR="00D22D3F" w:rsidRPr="00097A86">
        <w:t xml:space="preserve">  </w:t>
      </w:r>
      <w:r w:rsidRPr="00097A86">
        <w:t>Selection of sampling positions for CEM equipment</w:t>
      </w:r>
      <w:bookmarkEnd w:id="68"/>
    </w:p>
    <w:p w14:paraId="77E98585" w14:textId="77777777" w:rsidR="003F0D4E" w:rsidRPr="00097A86" w:rsidRDefault="003F0D4E" w:rsidP="00D22D3F">
      <w:pPr>
        <w:pStyle w:val="subsection"/>
      </w:pPr>
      <w:r w:rsidRPr="00097A86">
        <w:tab/>
      </w:r>
      <w:r w:rsidRPr="00097A86">
        <w:tab/>
        <w:t>For paragraph</w:t>
      </w:r>
      <w:r w:rsidR="00097A86">
        <w:t> </w:t>
      </w:r>
      <w:r w:rsidRPr="00097A86">
        <w:t xml:space="preserve">1.22(a), the location of sampling positions for the CEM equipment in relation to the gas stream must be selected in accordance with an appropriate standard. </w:t>
      </w:r>
    </w:p>
    <w:p w14:paraId="54B425AB" w14:textId="77777777" w:rsidR="003F0D4E" w:rsidRPr="00097A86" w:rsidRDefault="00D22D3F" w:rsidP="00D22D3F">
      <w:pPr>
        <w:pStyle w:val="notetext"/>
      </w:pPr>
      <w:r w:rsidRPr="00097A86">
        <w:t>Note:</w:t>
      </w:r>
      <w:r w:rsidRPr="00097A86">
        <w:tab/>
      </w:r>
      <w:r w:rsidR="003F0D4E" w:rsidRPr="00097A86">
        <w:t>Appropriate standards include:</w:t>
      </w:r>
    </w:p>
    <w:p w14:paraId="1E15EFC2" w14:textId="77777777" w:rsidR="003F0D4E" w:rsidRPr="00097A86" w:rsidRDefault="003F0D4E" w:rsidP="00B41515">
      <w:pPr>
        <w:pStyle w:val="notetext"/>
        <w:numPr>
          <w:ilvl w:val="0"/>
          <w:numId w:val="42"/>
        </w:numPr>
        <w:ind w:left="2345"/>
      </w:pPr>
      <w:r w:rsidRPr="00097A86">
        <w:t xml:space="preserve">AS 4323.1—1995 </w:t>
      </w:r>
      <w:r w:rsidRPr="00097A86">
        <w:rPr>
          <w:i/>
        </w:rPr>
        <w:t xml:space="preserve">Stationary source emissions </w:t>
      </w:r>
      <w:r w:rsidR="00097A86">
        <w:rPr>
          <w:i/>
        </w:rPr>
        <w:noBreakHyphen/>
      </w:r>
      <w:r w:rsidRPr="00097A86">
        <w:rPr>
          <w:i/>
        </w:rPr>
        <w:t xml:space="preserve"> Selection of sampling positions</w:t>
      </w:r>
      <w:r w:rsidRPr="00097A86">
        <w:t>.</w:t>
      </w:r>
    </w:p>
    <w:p w14:paraId="4A9BA8C3" w14:textId="77777777" w:rsidR="003F0D4E" w:rsidRPr="00097A86" w:rsidRDefault="003F0D4E" w:rsidP="00B41515">
      <w:pPr>
        <w:pStyle w:val="notetext"/>
        <w:numPr>
          <w:ilvl w:val="0"/>
          <w:numId w:val="42"/>
        </w:numPr>
        <w:ind w:left="2345"/>
      </w:pPr>
      <w:r w:rsidRPr="00097A86">
        <w:t>AS 4323[1].1—1995 Amdt 1</w:t>
      </w:r>
      <w:r w:rsidR="00097A86">
        <w:noBreakHyphen/>
      </w:r>
      <w:r w:rsidRPr="00097A86">
        <w:t xml:space="preserve">1995 </w:t>
      </w:r>
      <w:r w:rsidRPr="00097A86">
        <w:rPr>
          <w:i/>
        </w:rPr>
        <w:t xml:space="preserve">Stationary source emissions </w:t>
      </w:r>
      <w:r w:rsidR="00097A86">
        <w:rPr>
          <w:i/>
        </w:rPr>
        <w:noBreakHyphen/>
      </w:r>
      <w:r w:rsidRPr="00097A86">
        <w:rPr>
          <w:i/>
        </w:rPr>
        <w:t xml:space="preserve"> Selection of sampling positions</w:t>
      </w:r>
      <w:r w:rsidRPr="00097A86">
        <w:t>.</w:t>
      </w:r>
    </w:p>
    <w:p w14:paraId="50A61F06" w14:textId="77777777" w:rsidR="003F0D4E" w:rsidRPr="00097A86" w:rsidRDefault="003F0D4E" w:rsidP="00B41515">
      <w:pPr>
        <w:pStyle w:val="notetext"/>
        <w:numPr>
          <w:ilvl w:val="0"/>
          <w:numId w:val="42"/>
        </w:numPr>
        <w:ind w:left="2345"/>
      </w:pPr>
      <w:r w:rsidRPr="00097A86">
        <w:t xml:space="preserve">ISO 10396:2007 </w:t>
      </w:r>
      <w:r w:rsidRPr="00097A86">
        <w:rPr>
          <w:i/>
        </w:rPr>
        <w:t xml:space="preserve">Stationary source emissions </w:t>
      </w:r>
      <w:r w:rsidR="00097A86">
        <w:rPr>
          <w:i/>
        </w:rPr>
        <w:noBreakHyphen/>
      </w:r>
      <w:r w:rsidRPr="00097A86">
        <w:rPr>
          <w:i/>
        </w:rPr>
        <w:t xml:space="preserve"> Sampling for the automated determination of gas emission concentrations for permanently</w:t>
      </w:r>
      <w:r w:rsidR="00097A86">
        <w:rPr>
          <w:i/>
        </w:rPr>
        <w:noBreakHyphen/>
      </w:r>
      <w:r w:rsidRPr="00097A86">
        <w:rPr>
          <w:i/>
        </w:rPr>
        <w:t>installed monitoring systems</w:t>
      </w:r>
      <w:r w:rsidRPr="00097A86">
        <w:t>.</w:t>
      </w:r>
    </w:p>
    <w:p w14:paraId="10010F63" w14:textId="77777777" w:rsidR="003F0D4E" w:rsidRPr="00097A86" w:rsidRDefault="003F0D4E" w:rsidP="00B41515">
      <w:pPr>
        <w:pStyle w:val="notetext"/>
        <w:numPr>
          <w:ilvl w:val="0"/>
          <w:numId w:val="42"/>
        </w:numPr>
        <w:ind w:left="2345"/>
      </w:pPr>
      <w:r w:rsidRPr="00097A86">
        <w:t xml:space="preserve">ISO 10012:2003 </w:t>
      </w:r>
      <w:r w:rsidRPr="00097A86">
        <w:rPr>
          <w:i/>
        </w:rPr>
        <w:t xml:space="preserve">Measurement management systems </w:t>
      </w:r>
      <w:r w:rsidR="00097A86">
        <w:rPr>
          <w:i/>
        </w:rPr>
        <w:noBreakHyphen/>
      </w:r>
      <w:r w:rsidRPr="00097A86">
        <w:rPr>
          <w:i/>
        </w:rPr>
        <w:t xml:space="preserve"> Requirements for measurement processes and measuring equipment</w:t>
      </w:r>
      <w:r w:rsidRPr="00097A86">
        <w:t>.</w:t>
      </w:r>
    </w:p>
    <w:p w14:paraId="13B7F327" w14:textId="77777777" w:rsidR="003F0D4E" w:rsidRPr="00097A86" w:rsidRDefault="003F0D4E" w:rsidP="00B41515">
      <w:pPr>
        <w:pStyle w:val="notetext"/>
        <w:numPr>
          <w:ilvl w:val="0"/>
          <w:numId w:val="42"/>
        </w:numPr>
        <w:ind w:left="2345"/>
      </w:pPr>
      <w:r w:rsidRPr="00097A86">
        <w:t xml:space="preserve">USEPA – </w:t>
      </w:r>
      <w:r w:rsidRPr="00097A86">
        <w:rPr>
          <w:i/>
        </w:rPr>
        <w:t>Method 1 – Sample and Velocity Traverses for Stationary Sources</w:t>
      </w:r>
      <w:r w:rsidRPr="00097A86">
        <w:t xml:space="preserve"> (2000).</w:t>
      </w:r>
    </w:p>
    <w:p w14:paraId="12F7DCC3" w14:textId="77777777" w:rsidR="003F0D4E" w:rsidRPr="00097A86" w:rsidRDefault="003F0D4E" w:rsidP="00D22D3F">
      <w:pPr>
        <w:pStyle w:val="ActHead5"/>
      </w:pPr>
      <w:bookmarkStart w:id="69" w:name="_Toc13233517"/>
      <w:r w:rsidRPr="00097A86">
        <w:rPr>
          <w:rStyle w:val="CharSectno"/>
        </w:rPr>
        <w:t>1.24</w:t>
      </w:r>
      <w:r w:rsidR="00D22D3F" w:rsidRPr="00097A86">
        <w:t xml:space="preserve">  </w:t>
      </w:r>
      <w:r w:rsidRPr="00097A86">
        <w:t>Measurement of flow rates by CEM</w:t>
      </w:r>
      <w:bookmarkEnd w:id="69"/>
    </w:p>
    <w:p w14:paraId="49DCE427" w14:textId="77777777" w:rsidR="003F0D4E" w:rsidRPr="00097A86" w:rsidRDefault="003F0D4E" w:rsidP="00D22D3F">
      <w:pPr>
        <w:pStyle w:val="subsection"/>
      </w:pPr>
      <w:r w:rsidRPr="00097A86">
        <w:tab/>
      </w:r>
      <w:r w:rsidRPr="00097A86">
        <w:tab/>
        <w:t>For paragraph</w:t>
      </w:r>
      <w:r w:rsidR="00097A86">
        <w:t> </w:t>
      </w:r>
      <w:r w:rsidRPr="00097A86">
        <w:t>1.22</w:t>
      </w:r>
      <w:r w:rsidR="00045A83" w:rsidRPr="00097A86">
        <w:t>(</w:t>
      </w:r>
      <w:r w:rsidRPr="00097A86">
        <w:t xml:space="preserve">b), the measurement of the volumetric flow rates by CEM of the gas stream must be undertaken in accordance with an appropriate standard. </w:t>
      </w:r>
    </w:p>
    <w:p w14:paraId="3A2998AA" w14:textId="77777777" w:rsidR="003F0D4E" w:rsidRPr="00097A86" w:rsidRDefault="00D22D3F" w:rsidP="00D22D3F">
      <w:pPr>
        <w:pStyle w:val="notetext"/>
      </w:pPr>
      <w:r w:rsidRPr="00097A86">
        <w:t>Note:</w:t>
      </w:r>
      <w:r w:rsidRPr="00097A86">
        <w:tab/>
      </w:r>
      <w:r w:rsidR="003F0D4E" w:rsidRPr="00097A86">
        <w:t>Appropriate standards include:</w:t>
      </w:r>
    </w:p>
    <w:p w14:paraId="68D28C32" w14:textId="77777777" w:rsidR="003F0D4E" w:rsidRPr="00097A86" w:rsidRDefault="003F0D4E" w:rsidP="00B41515">
      <w:pPr>
        <w:pStyle w:val="notetext"/>
        <w:numPr>
          <w:ilvl w:val="0"/>
          <w:numId w:val="43"/>
        </w:numPr>
        <w:ind w:left="2345"/>
      </w:pPr>
      <w:r w:rsidRPr="00097A86">
        <w:t xml:space="preserve">ISO 10780:1994 </w:t>
      </w:r>
      <w:r w:rsidRPr="00097A86">
        <w:rPr>
          <w:i/>
        </w:rPr>
        <w:t>Stationary source emissions</w:t>
      </w:r>
      <w:r w:rsidR="00D22D3F" w:rsidRPr="00097A86">
        <w:rPr>
          <w:i/>
        </w:rPr>
        <w:t>—</w:t>
      </w:r>
      <w:r w:rsidRPr="00097A86">
        <w:rPr>
          <w:i/>
        </w:rPr>
        <w:t>Measurement of velocity and volume flowrate of gas streams in ducts</w:t>
      </w:r>
      <w:r w:rsidRPr="00097A86">
        <w:t>.</w:t>
      </w:r>
    </w:p>
    <w:p w14:paraId="70593D37" w14:textId="77777777" w:rsidR="003F0D4E" w:rsidRPr="00097A86" w:rsidRDefault="003F0D4E" w:rsidP="00B41515">
      <w:pPr>
        <w:pStyle w:val="notetext"/>
        <w:numPr>
          <w:ilvl w:val="0"/>
          <w:numId w:val="43"/>
        </w:numPr>
        <w:ind w:left="2345"/>
      </w:pPr>
      <w:r w:rsidRPr="00097A86">
        <w:t xml:space="preserve">ISO 14164:1999 </w:t>
      </w:r>
      <w:r w:rsidRPr="00097A86">
        <w:rPr>
          <w:i/>
        </w:rPr>
        <w:t>Stationary source emissions</w:t>
      </w:r>
      <w:r w:rsidR="00D22D3F" w:rsidRPr="00097A86">
        <w:rPr>
          <w:i/>
        </w:rPr>
        <w:t>—</w:t>
      </w:r>
      <w:r w:rsidRPr="00097A86">
        <w:rPr>
          <w:i/>
        </w:rPr>
        <w:t xml:space="preserve">Determination of the volume flowrate of gas streams in ducts </w:t>
      </w:r>
      <w:r w:rsidR="00097A86">
        <w:rPr>
          <w:i/>
        </w:rPr>
        <w:noBreakHyphen/>
      </w:r>
      <w:r w:rsidRPr="00097A86">
        <w:rPr>
          <w:i/>
        </w:rPr>
        <w:t xml:space="preserve"> Automated method</w:t>
      </w:r>
      <w:r w:rsidRPr="00097A86">
        <w:t>.</w:t>
      </w:r>
    </w:p>
    <w:p w14:paraId="2A8E6C21" w14:textId="77777777" w:rsidR="003F0D4E" w:rsidRPr="00097A86" w:rsidRDefault="003F0D4E" w:rsidP="00B41515">
      <w:pPr>
        <w:pStyle w:val="notetext"/>
        <w:numPr>
          <w:ilvl w:val="0"/>
          <w:numId w:val="43"/>
        </w:numPr>
        <w:ind w:left="2345"/>
      </w:pPr>
      <w:r w:rsidRPr="00097A86">
        <w:lastRenderedPageBreak/>
        <w:t>USEPA Method 2</w:t>
      </w:r>
      <w:r w:rsidRPr="00097A86">
        <w:rPr>
          <w:i/>
        </w:rPr>
        <w:t xml:space="preserve"> Determination of Stack Gas Velocity and Volumetric flowrate (Type S Pitot tube)</w:t>
      </w:r>
      <w:r w:rsidRPr="00097A86">
        <w:t xml:space="preserve"> (2000).</w:t>
      </w:r>
    </w:p>
    <w:p w14:paraId="34D6FF49" w14:textId="77777777" w:rsidR="003F0D4E" w:rsidRPr="00097A86" w:rsidRDefault="003F0D4E" w:rsidP="00B41515">
      <w:pPr>
        <w:pStyle w:val="notetext"/>
        <w:numPr>
          <w:ilvl w:val="0"/>
          <w:numId w:val="43"/>
        </w:numPr>
        <w:ind w:left="2345"/>
      </w:pPr>
      <w:r w:rsidRPr="00097A86">
        <w:t>USEPA Method 2A</w:t>
      </w:r>
      <w:r w:rsidRPr="00097A86">
        <w:rPr>
          <w:i/>
        </w:rPr>
        <w:t xml:space="preserve"> Direct Measurement of Gas Volume Through Pipes and Small Ducts</w:t>
      </w:r>
      <w:r w:rsidRPr="00097A86">
        <w:t xml:space="preserve"> (2000).</w:t>
      </w:r>
    </w:p>
    <w:p w14:paraId="370C706E" w14:textId="77777777" w:rsidR="003F0D4E" w:rsidRPr="00097A86" w:rsidRDefault="003F0D4E" w:rsidP="00D22D3F">
      <w:pPr>
        <w:pStyle w:val="ActHead5"/>
      </w:pPr>
      <w:bookmarkStart w:id="70" w:name="_Toc13233518"/>
      <w:r w:rsidRPr="00097A86">
        <w:rPr>
          <w:rStyle w:val="CharSectno"/>
        </w:rPr>
        <w:t>1.25</w:t>
      </w:r>
      <w:r w:rsidR="00D22D3F" w:rsidRPr="00097A86">
        <w:t xml:space="preserve">  </w:t>
      </w:r>
      <w:r w:rsidRPr="00097A86">
        <w:t>Measurement of gas concentrations by CEM</w:t>
      </w:r>
      <w:bookmarkEnd w:id="70"/>
    </w:p>
    <w:p w14:paraId="73420ECA" w14:textId="77777777" w:rsidR="003F0D4E" w:rsidRPr="00097A86" w:rsidRDefault="003F0D4E" w:rsidP="00D22D3F">
      <w:pPr>
        <w:pStyle w:val="subsection"/>
      </w:pPr>
      <w:r w:rsidRPr="00097A86">
        <w:tab/>
      </w:r>
      <w:r w:rsidRPr="00097A86">
        <w:tab/>
        <w:t>For paragraph</w:t>
      </w:r>
      <w:r w:rsidR="00097A86">
        <w:t> </w:t>
      </w:r>
      <w:r w:rsidRPr="00097A86">
        <w:t xml:space="preserve">1.22(c), the measurement of the concentrations of gas in the gas stream by CEM must be undertaken in accordance with an appropriate standard. </w:t>
      </w:r>
    </w:p>
    <w:p w14:paraId="483E4BA0" w14:textId="77777777" w:rsidR="003F0D4E" w:rsidRPr="00097A86" w:rsidRDefault="00D22D3F" w:rsidP="00D22D3F">
      <w:pPr>
        <w:pStyle w:val="notetext"/>
      </w:pPr>
      <w:r w:rsidRPr="00097A86">
        <w:t>Note:</w:t>
      </w:r>
      <w:r w:rsidRPr="00097A86">
        <w:tab/>
      </w:r>
      <w:r w:rsidR="003F0D4E" w:rsidRPr="00097A86">
        <w:t>Appropriate standards include:</w:t>
      </w:r>
    </w:p>
    <w:p w14:paraId="18E816DD" w14:textId="77777777" w:rsidR="003F0D4E" w:rsidRPr="00097A86" w:rsidRDefault="003F0D4E" w:rsidP="00B41515">
      <w:pPr>
        <w:pStyle w:val="notetext"/>
        <w:numPr>
          <w:ilvl w:val="0"/>
          <w:numId w:val="44"/>
        </w:numPr>
        <w:ind w:left="2345"/>
      </w:pPr>
      <w:r w:rsidRPr="00097A86">
        <w:t>USEPA Method 3A</w:t>
      </w:r>
      <w:r w:rsidRPr="00097A86">
        <w:rPr>
          <w:i/>
        </w:rPr>
        <w:t xml:space="preserve"> Determination of oxygen and carbon dioxide concentrations in emissions from stationary sources (instrumental analyzer procedure)</w:t>
      </w:r>
      <w:r w:rsidRPr="00097A86">
        <w:t xml:space="preserve"> (2006).</w:t>
      </w:r>
    </w:p>
    <w:p w14:paraId="1AC1D8AE" w14:textId="77777777" w:rsidR="003F0D4E" w:rsidRPr="00097A86" w:rsidRDefault="003F0D4E" w:rsidP="00B41515">
      <w:pPr>
        <w:pStyle w:val="notetext"/>
        <w:numPr>
          <w:ilvl w:val="0"/>
          <w:numId w:val="44"/>
        </w:numPr>
        <w:ind w:left="2345"/>
      </w:pPr>
      <w:r w:rsidRPr="00097A86">
        <w:t>USEPA Method 3C</w:t>
      </w:r>
      <w:r w:rsidRPr="00097A86">
        <w:rPr>
          <w:i/>
        </w:rPr>
        <w:t xml:space="preserve"> Determination of carbon dioxide, methane, nitrogen, and oxygen from stationary sources</w:t>
      </w:r>
      <w:r w:rsidRPr="00097A86">
        <w:t xml:space="preserve"> (1996).</w:t>
      </w:r>
    </w:p>
    <w:p w14:paraId="19A24E20" w14:textId="77777777" w:rsidR="003F0D4E" w:rsidRPr="00097A86" w:rsidRDefault="003F0D4E" w:rsidP="00B41515">
      <w:pPr>
        <w:pStyle w:val="notetext"/>
        <w:numPr>
          <w:ilvl w:val="0"/>
          <w:numId w:val="44"/>
        </w:numPr>
        <w:ind w:left="2345"/>
      </w:pPr>
      <w:r w:rsidRPr="00097A86">
        <w:t>ISO 12039:2001</w:t>
      </w:r>
      <w:r w:rsidRPr="00097A86">
        <w:rPr>
          <w:i/>
        </w:rPr>
        <w:t xml:space="preserve"> Stationary source emissions</w:t>
      </w:r>
      <w:r w:rsidR="00D22D3F" w:rsidRPr="00097A86">
        <w:rPr>
          <w:i/>
        </w:rPr>
        <w:t>—</w:t>
      </w:r>
      <w:r w:rsidRPr="00097A86">
        <w:rPr>
          <w:i/>
        </w:rPr>
        <w:t>Determination of carbon monoxide, carbon dioxide and oxygen</w:t>
      </w:r>
      <w:r w:rsidR="00D22D3F" w:rsidRPr="00097A86">
        <w:rPr>
          <w:i/>
        </w:rPr>
        <w:t>—</w:t>
      </w:r>
      <w:r w:rsidRPr="00097A86">
        <w:rPr>
          <w:i/>
        </w:rPr>
        <w:t>Performance characteristics and calibration of automated measuring system</w:t>
      </w:r>
      <w:r w:rsidRPr="00097A86">
        <w:t>.</w:t>
      </w:r>
    </w:p>
    <w:p w14:paraId="029BDCF9" w14:textId="77777777" w:rsidR="003F0D4E" w:rsidRPr="00097A86" w:rsidRDefault="003F0D4E" w:rsidP="00D22D3F">
      <w:pPr>
        <w:pStyle w:val="ActHead5"/>
      </w:pPr>
      <w:bookmarkStart w:id="71" w:name="_Toc13233519"/>
      <w:r w:rsidRPr="00097A86">
        <w:rPr>
          <w:rStyle w:val="CharSectno"/>
        </w:rPr>
        <w:t>1.26</w:t>
      </w:r>
      <w:r w:rsidR="00D22D3F" w:rsidRPr="00097A86">
        <w:t xml:space="preserve">  </w:t>
      </w:r>
      <w:r w:rsidRPr="00097A86">
        <w:t>Frequency of measurement by CEM</w:t>
      </w:r>
      <w:bookmarkEnd w:id="71"/>
    </w:p>
    <w:p w14:paraId="3078EA8A" w14:textId="77777777" w:rsidR="003F0D4E" w:rsidRPr="00097A86" w:rsidRDefault="003F0D4E" w:rsidP="00D22D3F">
      <w:pPr>
        <w:pStyle w:val="subsection"/>
      </w:pPr>
      <w:r w:rsidRPr="00097A86">
        <w:tab/>
        <w:t>(1)</w:t>
      </w:r>
      <w:r w:rsidRPr="00097A86">
        <w:tab/>
        <w:t>For paragraph</w:t>
      </w:r>
      <w:r w:rsidR="00097A86">
        <w:t> </w:t>
      </w:r>
      <w:r w:rsidRPr="00097A86">
        <w:t>1.22(d), measurements by CEM must be taken frequently enough to produce data that is representative and unbiased.</w:t>
      </w:r>
    </w:p>
    <w:p w14:paraId="29CA7ED0" w14:textId="77777777" w:rsidR="003F0D4E" w:rsidRPr="00097A86" w:rsidRDefault="003F0D4E" w:rsidP="00D22D3F">
      <w:pPr>
        <w:pStyle w:val="subsection"/>
      </w:pPr>
      <w:r w:rsidRPr="00097A86">
        <w:tab/>
        <w:t>(2)</w:t>
      </w:r>
      <w:r w:rsidRPr="00097A86">
        <w:tab/>
        <w:t xml:space="preserve">For </w:t>
      </w:r>
      <w:r w:rsidR="00097A86">
        <w:t>subsection (</w:t>
      </w:r>
      <w:r w:rsidRPr="00097A86">
        <w:t>1), if part of the CEM equipment is not operating for a period, readings taken during periods when the equipment was operating</w:t>
      </w:r>
      <w:r w:rsidRPr="00097A86">
        <w:rPr>
          <w:b/>
        </w:rPr>
        <w:t xml:space="preserve"> </w:t>
      </w:r>
      <w:r w:rsidRPr="00097A86">
        <w:t>may be used to estimate data on a pro rata basis for the period that the equipment was not operating.</w:t>
      </w:r>
    </w:p>
    <w:p w14:paraId="586FB166" w14:textId="77777777" w:rsidR="003F0D4E" w:rsidRPr="00097A86" w:rsidRDefault="003F0D4E" w:rsidP="00D22D3F">
      <w:pPr>
        <w:pStyle w:val="subsection"/>
      </w:pPr>
      <w:r w:rsidRPr="00097A86">
        <w:tab/>
        <w:t>(3)</w:t>
      </w:r>
      <w:r w:rsidRPr="00097A86">
        <w:tab/>
        <w:t>Frequency of measurement will also be affected by the nature of the equipment.</w:t>
      </w:r>
    </w:p>
    <w:p w14:paraId="4FF58CF7" w14:textId="77777777" w:rsidR="003F0D4E" w:rsidRPr="00097A86" w:rsidRDefault="003F0D4E" w:rsidP="00D22D3F">
      <w:pPr>
        <w:pStyle w:val="notetext"/>
      </w:pPr>
      <w:r w:rsidRPr="00097A86">
        <w:t>Example</w:t>
      </w:r>
      <w:r w:rsidR="00B44179" w:rsidRPr="00097A86">
        <w:t>:</w:t>
      </w:r>
      <w:r w:rsidR="0086261E" w:rsidRPr="00097A86">
        <w:tab/>
      </w:r>
      <w:r w:rsidRPr="00097A86">
        <w:t>If the equipment is designed to measure only one substance, for example, carbon dioxide or methane, measurements might be made every minute. However, if the equipment is designed to measure different substances in alternate time periods, measurements might be made much less frequently, for example, every 15 minutes.</w:t>
      </w:r>
    </w:p>
    <w:p w14:paraId="1A2DC3B0" w14:textId="77777777" w:rsidR="003F0D4E" w:rsidRPr="00097A86" w:rsidRDefault="003F0D4E" w:rsidP="00D22D3F">
      <w:pPr>
        <w:pStyle w:val="subsection"/>
      </w:pPr>
      <w:r w:rsidRPr="00097A86">
        <w:tab/>
        <w:t>(4)</w:t>
      </w:r>
      <w:r w:rsidRPr="00097A86">
        <w:tab/>
        <w:t>The CEM equipment must operate for more than 90% of the period for which it is used to monitor an emission.</w:t>
      </w:r>
    </w:p>
    <w:p w14:paraId="68B8F640" w14:textId="77777777" w:rsidR="003F0D4E" w:rsidRPr="00097A86" w:rsidRDefault="003F0D4E" w:rsidP="00D22D3F">
      <w:pPr>
        <w:pStyle w:val="subsection"/>
      </w:pPr>
      <w:r w:rsidRPr="00097A86">
        <w:tab/>
        <w:t>(5)</w:t>
      </w:r>
      <w:r w:rsidRPr="00097A86">
        <w:tab/>
        <w:t xml:space="preserve">In working out the period during which CEM equipment is being used to monitor for the purposes of </w:t>
      </w:r>
      <w:r w:rsidR="00097A86">
        <w:t>subsection (</w:t>
      </w:r>
      <w:r w:rsidRPr="00097A86">
        <w:t>4), exclude downtime taken for the calibration of equipment.</w:t>
      </w:r>
    </w:p>
    <w:p w14:paraId="1ACBE1C0" w14:textId="77777777" w:rsidR="003F0D4E" w:rsidRPr="00097A86" w:rsidRDefault="003F0D4E" w:rsidP="00D22D3F">
      <w:pPr>
        <w:pStyle w:val="ActHead3"/>
        <w:pageBreakBefore/>
      </w:pPr>
      <w:bookmarkStart w:id="72" w:name="_Toc13233520"/>
      <w:r w:rsidRPr="00097A86">
        <w:rPr>
          <w:rStyle w:val="CharDivNo"/>
        </w:rPr>
        <w:lastRenderedPageBreak/>
        <w:t>Division</w:t>
      </w:r>
      <w:r w:rsidR="00097A86">
        <w:rPr>
          <w:rStyle w:val="CharDivNo"/>
        </w:rPr>
        <w:t> </w:t>
      </w:r>
      <w:r w:rsidRPr="00097A86">
        <w:rPr>
          <w:rStyle w:val="CharDivNo"/>
        </w:rPr>
        <w:t>1.3.3</w:t>
      </w:r>
      <w:r w:rsidR="00D22D3F" w:rsidRPr="00097A86">
        <w:t>—</w:t>
      </w:r>
      <w:r w:rsidRPr="00097A86">
        <w:rPr>
          <w:rStyle w:val="CharDivText"/>
        </w:rPr>
        <w:t>Operation of method 4 (PEM)</w:t>
      </w:r>
      <w:bookmarkEnd w:id="72"/>
    </w:p>
    <w:p w14:paraId="1AA036D4" w14:textId="77777777" w:rsidR="003F0D4E" w:rsidRPr="00097A86" w:rsidRDefault="003F0D4E" w:rsidP="00D22D3F">
      <w:pPr>
        <w:pStyle w:val="ActHead4"/>
      </w:pPr>
      <w:bookmarkStart w:id="73" w:name="_Toc13233521"/>
      <w:r w:rsidRPr="00097A86">
        <w:rPr>
          <w:rStyle w:val="CharSubdNo"/>
        </w:rPr>
        <w:t>Subdivision</w:t>
      </w:r>
      <w:r w:rsidR="00097A86">
        <w:rPr>
          <w:rStyle w:val="CharSubdNo"/>
        </w:rPr>
        <w:t> </w:t>
      </w:r>
      <w:r w:rsidRPr="00097A86">
        <w:rPr>
          <w:rStyle w:val="CharSubdNo"/>
        </w:rPr>
        <w:t>1.3.3.1</w:t>
      </w:r>
      <w:r w:rsidR="00D22D3F" w:rsidRPr="00097A86">
        <w:t>—</w:t>
      </w:r>
      <w:r w:rsidRPr="00097A86">
        <w:rPr>
          <w:rStyle w:val="CharSubdText"/>
        </w:rPr>
        <w:t>Method 4 (PEM)</w:t>
      </w:r>
      <w:bookmarkEnd w:id="73"/>
    </w:p>
    <w:p w14:paraId="0F641FB6" w14:textId="77777777" w:rsidR="003F0D4E" w:rsidRPr="00097A86" w:rsidRDefault="003F0D4E" w:rsidP="00D22D3F">
      <w:pPr>
        <w:pStyle w:val="ActHead5"/>
      </w:pPr>
      <w:bookmarkStart w:id="74" w:name="_Toc13233522"/>
      <w:r w:rsidRPr="00097A86">
        <w:rPr>
          <w:rStyle w:val="CharSectno"/>
        </w:rPr>
        <w:t>1.27</w:t>
      </w:r>
      <w:r w:rsidR="00D22D3F" w:rsidRPr="00097A86">
        <w:t xml:space="preserve">  </w:t>
      </w:r>
      <w:r w:rsidRPr="00097A86">
        <w:t>Method 4 (PEM)</w:t>
      </w:r>
      <w:r w:rsidR="00D22D3F" w:rsidRPr="00097A86">
        <w:t>—</w:t>
      </w:r>
      <w:r w:rsidRPr="00097A86">
        <w:t>estimation of emissions</w:t>
      </w:r>
      <w:bookmarkEnd w:id="74"/>
    </w:p>
    <w:p w14:paraId="0F21418B" w14:textId="77777777" w:rsidR="003F0D4E" w:rsidRPr="00097A86" w:rsidRDefault="003F0D4E" w:rsidP="00D22D3F">
      <w:pPr>
        <w:pStyle w:val="subsection"/>
      </w:pPr>
      <w:r w:rsidRPr="00097A86">
        <w:tab/>
        <w:t>(1)</w:t>
      </w:r>
      <w:r w:rsidRPr="00097A86">
        <w:tab/>
        <w:t>To obtain an estimate of the mass emissions rate of methane, carbon dioxide or nitrous oxide released at the time of measurement at a monitoring site within the area occupied for the operation of a facility, the formula in subsection</w:t>
      </w:r>
      <w:r w:rsidR="00097A86">
        <w:t> </w:t>
      </w:r>
      <w:r w:rsidRPr="00097A86">
        <w:t>1.21(1) must be applied.</w:t>
      </w:r>
    </w:p>
    <w:p w14:paraId="09DC1C5C" w14:textId="77777777" w:rsidR="003F0D4E" w:rsidRPr="00097A86" w:rsidRDefault="003F0D4E" w:rsidP="00D22D3F">
      <w:pPr>
        <w:pStyle w:val="subsection"/>
      </w:pPr>
      <w:r w:rsidRPr="00097A86">
        <w:tab/>
        <w:t>(2)</w:t>
      </w:r>
      <w:r w:rsidRPr="00097A86">
        <w:tab/>
        <w:t>The mass of emissions estimated under the formula must be converted into CO</w:t>
      </w:r>
      <w:r w:rsidRPr="00097A86">
        <w:rPr>
          <w:vertAlign w:val="subscript"/>
        </w:rPr>
        <w:t>2</w:t>
      </w:r>
      <w:r w:rsidR="00097A86">
        <w:noBreakHyphen/>
      </w:r>
      <w:r w:rsidRPr="00097A86">
        <w:t>e tonnes.</w:t>
      </w:r>
    </w:p>
    <w:p w14:paraId="5C38A500" w14:textId="77777777" w:rsidR="003F0D4E" w:rsidRPr="00097A86" w:rsidRDefault="003F0D4E" w:rsidP="00D22D3F">
      <w:pPr>
        <w:pStyle w:val="subsection"/>
      </w:pPr>
      <w:r w:rsidRPr="00097A86">
        <w:tab/>
        <w:t>(3)</w:t>
      </w:r>
      <w:r w:rsidRPr="00097A86">
        <w:tab/>
        <w:t>The average mass emissions rate for the gas measured in CO</w:t>
      </w:r>
      <w:r w:rsidRPr="00097A86">
        <w:rPr>
          <w:vertAlign w:val="subscript"/>
        </w:rPr>
        <w:t>2</w:t>
      </w:r>
      <w:r w:rsidR="00097A86">
        <w:noBreakHyphen/>
      </w:r>
      <w:r w:rsidRPr="00097A86">
        <w:t xml:space="preserve">e tonnes per hour for a year must be calculated from the estimates obtained under </w:t>
      </w:r>
      <w:r w:rsidR="00097A86">
        <w:t>subsection (</w:t>
      </w:r>
      <w:r w:rsidRPr="00097A86">
        <w:t>1).</w:t>
      </w:r>
    </w:p>
    <w:p w14:paraId="041ED7F5" w14:textId="77777777" w:rsidR="003F0D4E" w:rsidRPr="00097A86" w:rsidRDefault="003F0D4E" w:rsidP="00D22D3F">
      <w:pPr>
        <w:pStyle w:val="subsection"/>
      </w:pPr>
      <w:r w:rsidRPr="00097A86">
        <w:tab/>
        <w:t>(4)</w:t>
      </w:r>
      <w:r w:rsidRPr="00097A86">
        <w:tab/>
        <w:t xml:space="preserve">The total mass of emissions of the gas for the year is calculated by multiplying the average emissions rate obtained under </w:t>
      </w:r>
      <w:r w:rsidR="00097A86">
        <w:t>subsection (</w:t>
      </w:r>
      <w:r w:rsidRPr="00097A86">
        <w:t>3) by the number of hours during the year when the site was operating.</w:t>
      </w:r>
    </w:p>
    <w:p w14:paraId="2E4F7526" w14:textId="77777777" w:rsidR="003F0D4E" w:rsidRPr="00097A86" w:rsidRDefault="003F0D4E" w:rsidP="00D22D3F">
      <w:pPr>
        <w:pStyle w:val="subsection"/>
      </w:pPr>
      <w:r w:rsidRPr="00097A86">
        <w:tab/>
        <w:t>(5)</w:t>
      </w:r>
      <w:r w:rsidRPr="00097A86">
        <w:tab/>
      </w:r>
      <w:r w:rsidR="005F3060" w:rsidRPr="00097A86">
        <w:t xml:space="preserve">If method 1 is available for the source, the </w:t>
      </w:r>
      <w:r w:rsidRPr="00097A86">
        <w:t>total mass of emissions of the gas for a year calculated under this section must be reconciled against an estimate for that gas from the site for the same period calculated using method 1 for that source.</w:t>
      </w:r>
    </w:p>
    <w:p w14:paraId="394DED8D" w14:textId="77777777" w:rsidR="00310592" w:rsidRPr="00097A86" w:rsidRDefault="00310592" w:rsidP="00310592">
      <w:pPr>
        <w:pStyle w:val="ActHead5"/>
      </w:pPr>
      <w:bookmarkStart w:id="75" w:name="_Toc13233523"/>
      <w:r w:rsidRPr="00097A86">
        <w:rPr>
          <w:rStyle w:val="CharSectno"/>
        </w:rPr>
        <w:t>1.27A</w:t>
      </w:r>
      <w:r w:rsidRPr="00097A86">
        <w:t xml:space="preserve">  Emissions from a source where multiple fuels consumed</w:t>
      </w:r>
      <w:bookmarkEnd w:id="75"/>
    </w:p>
    <w:p w14:paraId="7D9EFD48" w14:textId="77777777" w:rsidR="00310592" w:rsidRPr="00097A86" w:rsidRDefault="00310592" w:rsidP="00310592">
      <w:pPr>
        <w:pStyle w:val="subsection"/>
      </w:pPr>
      <w:r w:rsidRPr="00097A86">
        <w:tab/>
      </w:r>
      <w:r w:rsidRPr="00097A86">
        <w:tab/>
        <w:t>If more than one fuel is consumed for a source that generates carbon dioxide that is directly measured using method 4 (PEM), the total amount of carbon dioxide is to be attributed to each fuel consumed in proportion to the carbon content of the fuel relative to the total carbon content of all fuel consumed for that source.</w:t>
      </w:r>
    </w:p>
    <w:p w14:paraId="5767A2CC" w14:textId="77777777" w:rsidR="003F0D4E" w:rsidRPr="00097A86" w:rsidRDefault="003F0D4E" w:rsidP="00D22D3F">
      <w:pPr>
        <w:pStyle w:val="ActHead5"/>
      </w:pPr>
      <w:bookmarkStart w:id="76" w:name="_Toc13233524"/>
      <w:r w:rsidRPr="00097A86">
        <w:rPr>
          <w:rStyle w:val="CharSectno"/>
        </w:rPr>
        <w:t>1.28</w:t>
      </w:r>
      <w:r w:rsidR="00D22D3F" w:rsidRPr="00097A86">
        <w:t xml:space="preserve">  </w:t>
      </w:r>
      <w:r w:rsidRPr="00097A86">
        <w:t>Calculation of emission factors</w:t>
      </w:r>
      <w:bookmarkEnd w:id="76"/>
    </w:p>
    <w:p w14:paraId="3DDD5ED3" w14:textId="77777777" w:rsidR="003F0D4E" w:rsidRPr="00097A86" w:rsidRDefault="003F0D4E" w:rsidP="00D22D3F">
      <w:pPr>
        <w:pStyle w:val="subsection"/>
      </w:pPr>
      <w:r w:rsidRPr="00097A86">
        <w:tab/>
        <w:t>(1)</w:t>
      </w:r>
      <w:r w:rsidRPr="00097A86">
        <w:tab/>
        <w:t>Data obtained from periodic emissions monitoring of a gas stream may be used to estimate the average emission factor for the gas per unit of fuel consumed or material produced.</w:t>
      </w:r>
    </w:p>
    <w:p w14:paraId="708BA203" w14:textId="77777777" w:rsidR="003F0D4E" w:rsidRPr="00097A86" w:rsidRDefault="003F0D4E" w:rsidP="00D22D3F">
      <w:pPr>
        <w:pStyle w:val="subsection"/>
      </w:pPr>
      <w:r w:rsidRPr="00097A86">
        <w:tab/>
        <w:t>(2)</w:t>
      </w:r>
      <w:r w:rsidRPr="00097A86">
        <w:tab/>
        <w:t xml:space="preserve">In this section, </w:t>
      </w:r>
      <w:r w:rsidRPr="00097A86">
        <w:rPr>
          <w:b/>
          <w:i/>
        </w:rPr>
        <w:t>data</w:t>
      </w:r>
      <w:r w:rsidRPr="00097A86">
        <w:t xml:space="preserve"> means data about:</w:t>
      </w:r>
    </w:p>
    <w:p w14:paraId="37D3335E" w14:textId="77777777" w:rsidR="00FF3DC6" w:rsidRPr="00097A86" w:rsidRDefault="00FF3DC6" w:rsidP="00D22D3F">
      <w:pPr>
        <w:pStyle w:val="paragraph"/>
      </w:pPr>
      <w:r w:rsidRPr="00097A86">
        <w:tab/>
        <w:t>(a)</w:t>
      </w:r>
      <w:r w:rsidRPr="00097A86">
        <w:tab/>
        <w:t>volumetric flow rates estimated in accordance with section</w:t>
      </w:r>
      <w:r w:rsidR="00097A86">
        <w:t> </w:t>
      </w:r>
      <w:r w:rsidRPr="00097A86">
        <w:t>1.31; or</w:t>
      </w:r>
    </w:p>
    <w:p w14:paraId="3C6674BD" w14:textId="77777777" w:rsidR="00FF3DC6" w:rsidRPr="00097A86" w:rsidRDefault="00FF3DC6" w:rsidP="00D22D3F">
      <w:pPr>
        <w:pStyle w:val="paragraph"/>
      </w:pPr>
      <w:r w:rsidRPr="00097A86">
        <w:tab/>
        <w:t>(b)</w:t>
      </w:r>
      <w:r w:rsidRPr="00097A86">
        <w:tab/>
        <w:t>gas concentrations estimated in accordance with section</w:t>
      </w:r>
      <w:r w:rsidR="00097A86">
        <w:t> </w:t>
      </w:r>
      <w:r w:rsidRPr="00097A86">
        <w:t>1.32; or</w:t>
      </w:r>
    </w:p>
    <w:p w14:paraId="41995D76" w14:textId="77777777" w:rsidR="00FF3DC6" w:rsidRPr="00097A86" w:rsidRDefault="00FF3DC6" w:rsidP="00D22D3F">
      <w:pPr>
        <w:pStyle w:val="paragraph"/>
      </w:pPr>
      <w:r w:rsidRPr="00097A86">
        <w:tab/>
        <w:t>(c)</w:t>
      </w:r>
      <w:r w:rsidRPr="00097A86">
        <w:tab/>
        <w:t>consumption of fuel or material input, estimated in accordance with Chapters</w:t>
      </w:r>
      <w:r w:rsidR="00097A86">
        <w:t> </w:t>
      </w:r>
      <w:r w:rsidRPr="00097A86">
        <w:t>2 to 7; or</w:t>
      </w:r>
    </w:p>
    <w:p w14:paraId="33A359CD" w14:textId="77777777" w:rsidR="00FF3DC6" w:rsidRPr="00097A86" w:rsidRDefault="00FF3DC6" w:rsidP="00D22D3F">
      <w:pPr>
        <w:pStyle w:val="paragraph"/>
      </w:pPr>
      <w:r w:rsidRPr="00097A86">
        <w:tab/>
        <w:t>(d)</w:t>
      </w:r>
      <w:r w:rsidRPr="00097A86">
        <w:tab/>
        <w:t>material produced, estimated in accordance with Chapters</w:t>
      </w:r>
      <w:r w:rsidR="00097A86">
        <w:t> </w:t>
      </w:r>
      <w:r w:rsidRPr="00097A86">
        <w:t>2 to 7.</w:t>
      </w:r>
    </w:p>
    <w:p w14:paraId="1CB8D076" w14:textId="77777777" w:rsidR="003F0D4E" w:rsidRPr="00097A86" w:rsidRDefault="003F0D4E" w:rsidP="00D22D3F">
      <w:pPr>
        <w:pStyle w:val="ActHead4"/>
      </w:pPr>
      <w:bookmarkStart w:id="77" w:name="_Toc13233525"/>
      <w:r w:rsidRPr="00097A86">
        <w:rPr>
          <w:rStyle w:val="CharSubdNo"/>
        </w:rPr>
        <w:lastRenderedPageBreak/>
        <w:t>Subdivision</w:t>
      </w:r>
      <w:r w:rsidR="00097A86">
        <w:rPr>
          <w:rStyle w:val="CharSubdNo"/>
        </w:rPr>
        <w:t> </w:t>
      </w:r>
      <w:r w:rsidRPr="00097A86">
        <w:rPr>
          <w:rStyle w:val="CharSubdNo"/>
        </w:rPr>
        <w:t>1.3.3.2</w:t>
      </w:r>
      <w:r w:rsidR="00D22D3F" w:rsidRPr="00097A86">
        <w:t>—</w:t>
      </w:r>
      <w:r w:rsidRPr="00097A86">
        <w:rPr>
          <w:rStyle w:val="CharSubdText"/>
        </w:rPr>
        <w:t>Method 4 (PEM)</w:t>
      </w:r>
      <w:r w:rsidR="00D22D3F" w:rsidRPr="00097A86">
        <w:rPr>
          <w:rStyle w:val="CharSubdText"/>
        </w:rPr>
        <w:t>—</w:t>
      </w:r>
      <w:r w:rsidRPr="00097A86">
        <w:rPr>
          <w:rStyle w:val="CharSubdText"/>
        </w:rPr>
        <w:t>use of equipment</w:t>
      </w:r>
      <w:bookmarkEnd w:id="77"/>
    </w:p>
    <w:p w14:paraId="7922012D" w14:textId="77777777" w:rsidR="003F0D4E" w:rsidRPr="00097A86" w:rsidRDefault="003F0D4E" w:rsidP="00D22D3F">
      <w:pPr>
        <w:pStyle w:val="ActHead5"/>
      </w:pPr>
      <w:bookmarkStart w:id="78" w:name="_Toc13233526"/>
      <w:r w:rsidRPr="00097A86">
        <w:rPr>
          <w:rStyle w:val="CharSectno"/>
        </w:rPr>
        <w:t>1.29</w:t>
      </w:r>
      <w:r w:rsidR="00D22D3F" w:rsidRPr="00097A86">
        <w:t xml:space="preserve">  </w:t>
      </w:r>
      <w:r w:rsidRPr="00097A86">
        <w:t>Overview</w:t>
      </w:r>
      <w:bookmarkEnd w:id="78"/>
    </w:p>
    <w:p w14:paraId="28941209" w14:textId="77777777" w:rsidR="003F0D4E" w:rsidRPr="00097A86" w:rsidRDefault="003F0D4E" w:rsidP="00D22D3F">
      <w:pPr>
        <w:pStyle w:val="subsection"/>
      </w:pPr>
      <w:r w:rsidRPr="00097A86">
        <w:tab/>
      </w:r>
      <w:r w:rsidRPr="00097A86">
        <w:tab/>
        <w:t>The following requirements apply to the use of equipment for PEM:</w:t>
      </w:r>
    </w:p>
    <w:p w14:paraId="5384B251" w14:textId="77777777" w:rsidR="003F0D4E" w:rsidRPr="00097A86" w:rsidRDefault="003F0D4E" w:rsidP="00D22D3F">
      <w:pPr>
        <w:pStyle w:val="paragraph"/>
      </w:pPr>
      <w:r w:rsidRPr="00097A86">
        <w:tab/>
        <w:t>(a)</w:t>
      </w:r>
      <w:r w:rsidRPr="00097A86">
        <w:tab/>
        <w:t>the requirements in section</w:t>
      </w:r>
      <w:r w:rsidR="00097A86">
        <w:t> </w:t>
      </w:r>
      <w:r w:rsidRPr="00097A86">
        <w:t xml:space="preserve">1.30 about location of the sampling positions for the PEM equipment; </w:t>
      </w:r>
    </w:p>
    <w:p w14:paraId="24B9BF78" w14:textId="77777777" w:rsidR="003F0D4E" w:rsidRPr="00097A86" w:rsidRDefault="003F0D4E" w:rsidP="00D22D3F">
      <w:pPr>
        <w:pStyle w:val="paragraph"/>
      </w:pPr>
      <w:r w:rsidRPr="00097A86">
        <w:tab/>
        <w:t>(b)</w:t>
      </w:r>
      <w:r w:rsidRPr="00097A86">
        <w:tab/>
        <w:t>the requirements in section</w:t>
      </w:r>
      <w:r w:rsidR="00097A86">
        <w:t> </w:t>
      </w:r>
      <w:r w:rsidRPr="00097A86">
        <w:t>1.31 about measurement of volumetric flow rates in a gas stream;</w:t>
      </w:r>
    </w:p>
    <w:p w14:paraId="04F3239B" w14:textId="77777777" w:rsidR="003F0D4E" w:rsidRPr="00097A86" w:rsidRDefault="003F0D4E" w:rsidP="00D22D3F">
      <w:pPr>
        <w:pStyle w:val="paragraph"/>
      </w:pPr>
      <w:r w:rsidRPr="00097A86">
        <w:tab/>
        <w:t>(c)</w:t>
      </w:r>
      <w:r w:rsidRPr="00097A86">
        <w:tab/>
        <w:t>the requirements in section</w:t>
      </w:r>
      <w:r w:rsidR="00097A86">
        <w:t> </w:t>
      </w:r>
      <w:r w:rsidRPr="00097A86">
        <w:t xml:space="preserve">1.32 about measurement of the concentrations of greenhouse gas in the gas stream; </w:t>
      </w:r>
    </w:p>
    <w:p w14:paraId="7EA9AFF2" w14:textId="77777777" w:rsidR="003F0D4E" w:rsidRPr="00097A86" w:rsidRDefault="003F0D4E" w:rsidP="00D22D3F">
      <w:pPr>
        <w:pStyle w:val="paragraph"/>
      </w:pPr>
      <w:r w:rsidRPr="00097A86">
        <w:tab/>
        <w:t>(d)</w:t>
      </w:r>
      <w:r w:rsidRPr="00097A86">
        <w:tab/>
        <w:t>the requirements in section</w:t>
      </w:r>
      <w:r w:rsidR="00097A86">
        <w:t> </w:t>
      </w:r>
      <w:r w:rsidRPr="00097A86">
        <w:t>1.33 about representative data.</w:t>
      </w:r>
    </w:p>
    <w:p w14:paraId="4ECFD16C" w14:textId="77777777" w:rsidR="003F0D4E" w:rsidRPr="00097A86" w:rsidRDefault="003F0D4E" w:rsidP="00D22D3F">
      <w:pPr>
        <w:pStyle w:val="ActHead5"/>
      </w:pPr>
      <w:bookmarkStart w:id="79" w:name="_Toc13233527"/>
      <w:r w:rsidRPr="00097A86">
        <w:rPr>
          <w:rStyle w:val="CharSectno"/>
        </w:rPr>
        <w:t>1.30</w:t>
      </w:r>
      <w:r w:rsidR="00D22D3F" w:rsidRPr="00097A86">
        <w:t xml:space="preserve">  </w:t>
      </w:r>
      <w:r w:rsidRPr="00097A86">
        <w:t>Selection of sampling positions for PEM equipment</w:t>
      </w:r>
      <w:bookmarkEnd w:id="79"/>
    </w:p>
    <w:p w14:paraId="15A1F57A" w14:textId="77777777" w:rsidR="003F0D4E" w:rsidRPr="00097A86" w:rsidRDefault="003F0D4E" w:rsidP="00D22D3F">
      <w:pPr>
        <w:pStyle w:val="subsection"/>
      </w:pPr>
      <w:r w:rsidRPr="00097A86">
        <w:tab/>
      </w:r>
      <w:r w:rsidRPr="00097A86">
        <w:tab/>
        <w:t>For paragraph</w:t>
      </w:r>
      <w:r w:rsidR="00097A86">
        <w:t> </w:t>
      </w:r>
      <w:r w:rsidRPr="00097A86">
        <w:t>1.29</w:t>
      </w:r>
      <w:r w:rsidR="00045A83" w:rsidRPr="00097A86">
        <w:t>(</w:t>
      </w:r>
      <w:r w:rsidRPr="00097A86">
        <w:t xml:space="preserve">a), the location of sampling positions for PEM equipment must be selected in accordance with an appropriate standard. </w:t>
      </w:r>
    </w:p>
    <w:p w14:paraId="0153099D" w14:textId="77777777" w:rsidR="003F0D4E" w:rsidRPr="00097A86" w:rsidRDefault="00D22D3F" w:rsidP="00D22D3F">
      <w:pPr>
        <w:pStyle w:val="notetext"/>
      </w:pPr>
      <w:r w:rsidRPr="00097A86">
        <w:t>Note:</w:t>
      </w:r>
      <w:r w:rsidRPr="00097A86">
        <w:tab/>
      </w:r>
      <w:r w:rsidR="003F0D4E" w:rsidRPr="00097A86">
        <w:t>Appropriate standards include:</w:t>
      </w:r>
    </w:p>
    <w:p w14:paraId="69A479AA" w14:textId="77777777" w:rsidR="003F0D4E" w:rsidRPr="00097A86" w:rsidRDefault="003F0D4E" w:rsidP="00B41515">
      <w:pPr>
        <w:pStyle w:val="notetext"/>
        <w:numPr>
          <w:ilvl w:val="0"/>
          <w:numId w:val="45"/>
        </w:numPr>
        <w:ind w:left="2345"/>
      </w:pPr>
      <w:r w:rsidRPr="00097A86">
        <w:t xml:space="preserve">AS 4323.1—1995 </w:t>
      </w:r>
      <w:r w:rsidRPr="00097A86">
        <w:rPr>
          <w:i/>
        </w:rPr>
        <w:t>Stationary source emissions</w:t>
      </w:r>
      <w:r w:rsidR="00D22D3F" w:rsidRPr="00097A86">
        <w:rPr>
          <w:i/>
        </w:rPr>
        <w:t>—</w:t>
      </w:r>
      <w:r w:rsidRPr="00097A86">
        <w:rPr>
          <w:i/>
        </w:rPr>
        <w:t>Selection of sampling positions</w:t>
      </w:r>
      <w:r w:rsidRPr="00097A86">
        <w:t>.</w:t>
      </w:r>
    </w:p>
    <w:p w14:paraId="65DC6059" w14:textId="77777777" w:rsidR="003F0D4E" w:rsidRPr="00097A86" w:rsidRDefault="003F0D4E" w:rsidP="00B41515">
      <w:pPr>
        <w:pStyle w:val="notetext"/>
        <w:numPr>
          <w:ilvl w:val="0"/>
          <w:numId w:val="45"/>
        </w:numPr>
        <w:ind w:left="2345"/>
      </w:pPr>
      <w:r w:rsidRPr="00097A86">
        <w:t>AS 4323.1</w:t>
      </w:r>
      <w:r w:rsidR="00097A86">
        <w:noBreakHyphen/>
      </w:r>
      <w:r w:rsidRPr="00097A86">
        <w:t>1995 Amdt 1</w:t>
      </w:r>
      <w:r w:rsidR="00097A86">
        <w:noBreakHyphen/>
      </w:r>
      <w:r w:rsidRPr="00097A86">
        <w:t xml:space="preserve">1995 </w:t>
      </w:r>
      <w:r w:rsidRPr="00097A86">
        <w:rPr>
          <w:i/>
        </w:rPr>
        <w:t>Stationary source emissions</w:t>
      </w:r>
      <w:r w:rsidR="00D22D3F" w:rsidRPr="00097A86">
        <w:rPr>
          <w:i/>
        </w:rPr>
        <w:t>—</w:t>
      </w:r>
      <w:r w:rsidRPr="00097A86">
        <w:rPr>
          <w:i/>
        </w:rPr>
        <w:t>Selection of sampling positions</w:t>
      </w:r>
      <w:r w:rsidRPr="00097A86">
        <w:t>.</w:t>
      </w:r>
    </w:p>
    <w:p w14:paraId="526929B9" w14:textId="77777777" w:rsidR="003F0D4E" w:rsidRPr="00097A86" w:rsidRDefault="003F0D4E" w:rsidP="00B41515">
      <w:pPr>
        <w:pStyle w:val="notetext"/>
        <w:numPr>
          <w:ilvl w:val="0"/>
          <w:numId w:val="45"/>
        </w:numPr>
        <w:ind w:left="2345"/>
      </w:pPr>
      <w:r w:rsidRPr="00097A86">
        <w:t xml:space="preserve">ISO 10396:2007 </w:t>
      </w:r>
      <w:r w:rsidRPr="00097A86">
        <w:rPr>
          <w:i/>
        </w:rPr>
        <w:t>Stationary source emissions</w:t>
      </w:r>
      <w:r w:rsidR="00D22D3F" w:rsidRPr="00097A86">
        <w:rPr>
          <w:i/>
        </w:rPr>
        <w:t>—</w:t>
      </w:r>
      <w:r w:rsidRPr="00097A86">
        <w:rPr>
          <w:i/>
        </w:rPr>
        <w:t>Sampling for the automated determination of gas emission concentrations for permanently</w:t>
      </w:r>
      <w:r w:rsidR="00097A86">
        <w:rPr>
          <w:i/>
        </w:rPr>
        <w:noBreakHyphen/>
      </w:r>
      <w:r w:rsidRPr="00097A86">
        <w:rPr>
          <w:i/>
        </w:rPr>
        <w:t>installed monitoring systems</w:t>
      </w:r>
      <w:r w:rsidRPr="00097A86">
        <w:t>.</w:t>
      </w:r>
    </w:p>
    <w:p w14:paraId="27726D8F" w14:textId="77777777" w:rsidR="003F0D4E" w:rsidRPr="00097A86" w:rsidRDefault="003F0D4E" w:rsidP="00B41515">
      <w:pPr>
        <w:pStyle w:val="notetext"/>
        <w:numPr>
          <w:ilvl w:val="0"/>
          <w:numId w:val="45"/>
        </w:numPr>
        <w:ind w:left="2345"/>
      </w:pPr>
      <w:r w:rsidRPr="00097A86">
        <w:t xml:space="preserve">ISO 10012:2003 </w:t>
      </w:r>
      <w:r w:rsidRPr="00097A86">
        <w:rPr>
          <w:i/>
        </w:rPr>
        <w:t>Measurement management systems</w:t>
      </w:r>
      <w:r w:rsidR="00D22D3F" w:rsidRPr="00097A86">
        <w:rPr>
          <w:i/>
        </w:rPr>
        <w:t>—</w:t>
      </w:r>
      <w:r w:rsidRPr="00097A86">
        <w:rPr>
          <w:i/>
        </w:rPr>
        <w:t>Requirements for measurement processes and measuring equipment</w:t>
      </w:r>
      <w:r w:rsidRPr="00097A86">
        <w:t>.</w:t>
      </w:r>
    </w:p>
    <w:p w14:paraId="6BE1C822" w14:textId="77777777" w:rsidR="003F0D4E" w:rsidRPr="00097A86" w:rsidRDefault="003F0D4E" w:rsidP="00B41515">
      <w:pPr>
        <w:pStyle w:val="notetext"/>
        <w:numPr>
          <w:ilvl w:val="0"/>
          <w:numId w:val="45"/>
        </w:numPr>
        <w:ind w:left="2345"/>
      </w:pPr>
      <w:r w:rsidRPr="00097A86">
        <w:t>USEPA Method 1</w:t>
      </w:r>
      <w:r w:rsidRPr="00097A86">
        <w:rPr>
          <w:i/>
        </w:rPr>
        <w:t xml:space="preserve"> Sample and Velocity Traverses for Stationary Sources</w:t>
      </w:r>
      <w:r w:rsidRPr="00097A86">
        <w:t xml:space="preserve"> (2000).</w:t>
      </w:r>
    </w:p>
    <w:p w14:paraId="4FC7C19A" w14:textId="77777777" w:rsidR="003F0D4E" w:rsidRPr="00097A86" w:rsidRDefault="003F0D4E" w:rsidP="00D22D3F">
      <w:pPr>
        <w:pStyle w:val="ActHead5"/>
      </w:pPr>
      <w:bookmarkStart w:id="80" w:name="_Toc13233528"/>
      <w:r w:rsidRPr="00097A86">
        <w:rPr>
          <w:rStyle w:val="CharSectno"/>
        </w:rPr>
        <w:t>1.31</w:t>
      </w:r>
      <w:r w:rsidR="00D22D3F" w:rsidRPr="00097A86">
        <w:t xml:space="preserve">  </w:t>
      </w:r>
      <w:r w:rsidRPr="00097A86">
        <w:t>Measurement of flow rates by PEM equipment</w:t>
      </w:r>
      <w:bookmarkEnd w:id="80"/>
    </w:p>
    <w:p w14:paraId="3D5B1786" w14:textId="77777777" w:rsidR="003F0D4E" w:rsidRPr="00097A86" w:rsidRDefault="003F0D4E" w:rsidP="00D22D3F">
      <w:pPr>
        <w:pStyle w:val="subsection"/>
      </w:pPr>
      <w:r w:rsidRPr="00097A86">
        <w:tab/>
      </w:r>
      <w:r w:rsidRPr="00097A86">
        <w:tab/>
        <w:t>For paragraph</w:t>
      </w:r>
      <w:r w:rsidR="00097A86">
        <w:t> </w:t>
      </w:r>
      <w:r w:rsidRPr="00097A86">
        <w:t>1.29</w:t>
      </w:r>
      <w:r w:rsidR="00045A83" w:rsidRPr="00097A86">
        <w:t>(</w:t>
      </w:r>
      <w:r w:rsidRPr="00097A86">
        <w:t xml:space="preserve">b), the measurement of the volumetric flow rates by PEM of the gas stream must be undertaken in accordance with an appropriate standard. </w:t>
      </w:r>
    </w:p>
    <w:p w14:paraId="6AA23CB4" w14:textId="77777777" w:rsidR="003F0D4E" w:rsidRPr="00097A86" w:rsidRDefault="00D22D3F" w:rsidP="00D22D3F">
      <w:pPr>
        <w:pStyle w:val="notetext"/>
      </w:pPr>
      <w:r w:rsidRPr="00097A86">
        <w:t>Note:</w:t>
      </w:r>
      <w:r w:rsidRPr="00097A86">
        <w:tab/>
      </w:r>
      <w:r w:rsidR="003F0D4E" w:rsidRPr="00097A86">
        <w:t>Appropriate standards include:</w:t>
      </w:r>
    </w:p>
    <w:p w14:paraId="6CFFBB1A" w14:textId="77777777" w:rsidR="003F0D4E" w:rsidRPr="00097A86" w:rsidRDefault="003F0D4E" w:rsidP="00B41515">
      <w:pPr>
        <w:pStyle w:val="notetext"/>
        <w:numPr>
          <w:ilvl w:val="0"/>
          <w:numId w:val="46"/>
        </w:numPr>
        <w:ind w:left="2345"/>
      </w:pPr>
      <w:r w:rsidRPr="00097A86">
        <w:t xml:space="preserve">ISO 10780:1994 </w:t>
      </w:r>
      <w:r w:rsidRPr="00097A86">
        <w:rPr>
          <w:i/>
        </w:rPr>
        <w:t>Stationary source emissions – Measurement of velocity and volume flowrate of gas streams in ducts</w:t>
      </w:r>
      <w:r w:rsidRPr="00097A86">
        <w:t>.</w:t>
      </w:r>
    </w:p>
    <w:p w14:paraId="29B9BBFF" w14:textId="77777777" w:rsidR="003F0D4E" w:rsidRPr="00097A86" w:rsidRDefault="003F0D4E" w:rsidP="00B41515">
      <w:pPr>
        <w:pStyle w:val="notetext"/>
        <w:numPr>
          <w:ilvl w:val="0"/>
          <w:numId w:val="46"/>
        </w:numPr>
        <w:ind w:left="2345"/>
      </w:pPr>
      <w:r w:rsidRPr="00097A86">
        <w:t xml:space="preserve">ISO 14164:1999 </w:t>
      </w:r>
      <w:r w:rsidRPr="00097A86">
        <w:rPr>
          <w:i/>
        </w:rPr>
        <w:t xml:space="preserve">Stationary source emissions. Determination of the volume flow rate of gas streams in ducts </w:t>
      </w:r>
      <w:r w:rsidR="005C3E39" w:rsidRPr="00097A86">
        <w:rPr>
          <w:i/>
        </w:rPr>
        <w:t>–</w:t>
      </w:r>
      <w:r w:rsidRPr="00097A86">
        <w:rPr>
          <w:i/>
        </w:rPr>
        <w:t xml:space="preserve"> automated method</w:t>
      </w:r>
      <w:r w:rsidRPr="00097A86">
        <w:t>.</w:t>
      </w:r>
    </w:p>
    <w:p w14:paraId="556E00AC" w14:textId="77777777" w:rsidR="003F0D4E" w:rsidRPr="00097A86" w:rsidRDefault="003F0D4E" w:rsidP="00B41515">
      <w:pPr>
        <w:pStyle w:val="notetext"/>
        <w:numPr>
          <w:ilvl w:val="0"/>
          <w:numId w:val="46"/>
        </w:numPr>
        <w:ind w:left="2345"/>
      </w:pPr>
      <w:r w:rsidRPr="00097A86">
        <w:t>USEPA Method 2</w:t>
      </w:r>
      <w:r w:rsidRPr="00097A86">
        <w:rPr>
          <w:i/>
        </w:rPr>
        <w:t xml:space="preserve"> Determination of stack velocity and volumetric flow rate (Type S Pitot tube) (2000)</w:t>
      </w:r>
      <w:r w:rsidRPr="00097A86">
        <w:t>.</w:t>
      </w:r>
    </w:p>
    <w:p w14:paraId="781CBAEB" w14:textId="77777777" w:rsidR="003F0D4E" w:rsidRPr="00097A86" w:rsidRDefault="003F0D4E" w:rsidP="00B41515">
      <w:pPr>
        <w:pStyle w:val="notetext"/>
        <w:numPr>
          <w:ilvl w:val="0"/>
          <w:numId w:val="46"/>
        </w:numPr>
        <w:ind w:left="2345"/>
      </w:pPr>
      <w:r w:rsidRPr="00097A86">
        <w:t>USEPA Method 2A</w:t>
      </w:r>
      <w:r w:rsidRPr="00097A86">
        <w:rPr>
          <w:i/>
        </w:rPr>
        <w:t xml:space="preserve"> Direct measurement of gas volume through pipes and small ducts (2000)</w:t>
      </w:r>
      <w:r w:rsidRPr="00097A86">
        <w:t>.</w:t>
      </w:r>
    </w:p>
    <w:p w14:paraId="013BD3EB" w14:textId="77777777" w:rsidR="003F0D4E" w:rsidRPr="00097A86" w:rsidRDefault="003F0D4E" w:rsidP="00D22D3F">
      <w:pPr>
        <w:pStyle w:val="ActHead5"/>
      </w:pPr>
      <w:bookmarkStart w:id="81" w:name="_Toc13233529"/>
      <w:r w:rsidRPr="00097A86">
        <w:rPr>
          <w:rStyle w:val="CharSectno"/>
        </w:rPr>
        <w:lastRenderedPageBreak/>
        <w:t>1.32</w:t>
      </w:r>
      <w:r w:rsidR="00D22D3F" w:rsidRPr="00097A86">
        <w:t xml:space="preserve">  </w:t>
      </w:r>
      <w:r w:rsidRPr="00097A86">
        <w:t>Measurement of gas concentrations by PEM</w:t>
      </w:r>
      <w:bookmarkEnd w:id="81"/>
    </w:p>
    <w:p w14:paraId="6F3D8C4D" w14:textId="77777777" w:rsidR="003F0D4E" w:rsidRPr="00097A86" w:rsidRDefault="003F0D4E" w:rsidP="00D22D3F">
      <w:pPr>
        <w:pStyle w:val="subsection"/>
      </w:pPr>
      <w:r w:rsidRPr="00097A86">
        <w:tab/>
      </w:r>
      <w:r w:rsidRPr="00097A86">
        <w:tab/>
        <w:t>For paragraph</w:t>
      </w:r>
      <w:r w:rsidR="00097A86">
        <w:t> </w:t>
      </w:r>
      <w:r w:rsidRPr="00097A86">
        <w:t>1.29</w:t>
      </w:r>
      <w:r w:rsidR="00045A83" w:rsidRPr="00097A86">
        <w:t>(</w:t>
      </w:r>
      <w:r w:rsidRPr="00097A86">
        <w:t xml:space="preserve">c), the measurement of the concentrations of greenhouse gas in the gas stream by PEM must be undertaken in accordance with an appropriate standard. </w:t>
      </w:r>
    </w:p>
    <w:p w14:paraId="273C4D14" w14:textId="77777777" w:rsidR="003F0D4E" w:rsidRPr="00097A86" w:rsidRDefault="00D22D3F" w:rsidP="00D22D3F">
      <w:pPr>
        <w:pStyle w:val="notetext"/>
      </w:pPr>
      <w:r w:rsidRPr="00097A86">
        <w:t>Note:</w:t>
      </w:r>
      <w:r w:rsidRPr="00097A86">
        <w:tab/>
      </w:r>
      <w:r w:rsidR="003F0D4E" w:rsidRPr="00097A86">
        <w:t>Appropriate standards include:</w:t>
      </w:r>
    </w:p>
    <w:p w14:paraId="4F65B4E2" w14:textId="77777777" w:rsidR="003F0D4E" w:rsidRPr="00097A86" w:rsidRDefault="003F0D4E" w:rsidP="00B41515">
      <w:pPr>
        <w:pStyle w:val="notetext"/>
        <w:numPr>
          <w:ilvl w:val="0"/>
          <w:numId w:val="47"/>
        </w:numPr>
        <w:ind w:left="2345"/>
      </w:pPr>
      <w:r w:rsidRPr="00097A86">
        <w:t>USEPA Method 3A</w:t>
      </w:r>
      <w:r w:rsidRPr="00097A86">
        <w:rPr>
          <w:i/>
        </w:rPr>
        <w:t xml:space="preserve"> Determination of oxygen and carbon dioxide concentrations in emissions from stationary sources (instrumental analyser procedure)</w:t>
      </w:r>
      <w:r w:rsidRPr="00097A86">
        <w:t xml:space="preserve"> (2006).</w:t>
      </w:r>
    </w:p>
    <w:p w14:paraId="0BD919EC" w14:textId="77777777" w:rsidR="003F0D4E" w:rsidRPr="00097A86" w:rsidRDefault="003F0D4E" w:rsidP="00B41515">
      <w:pPr>
        <w:pStyle w:val="notetext"/>
        <w:numPr>
          <w:ilvl w:val="0"/>
          <w:numId w:val="47"/>
        </w:numPr>
        <w:ind w:left="2345"/>
      </w:pPr>
      <w:r w:rsidRPr="00097A86">
        <w:t>USEPA Method 3C</w:t>
      </w:r>
      <w:r w:rsidRPr="00097A86">
        <w:rPr>
          <w:i/>
        </w:rPr>
        <w:t xml:space="preserve"> Determination of carbon dioxide, methane, nitrogen, and oxygen from stationary sources</w:t>
      </w:r>
      <w:r w:rsidRPr="00097A86">
        <w:t xml:space="preserve"> (1996).</w:t>
      </w:r>
    </w:p>
    <w:p w14:paraId="22C421B7" w14:textId="77777777" w:rsidR="003F0D4E" w:rsidRPr="00097A86" w:rsidRDefault="003F0D4E" w:rsidP="00B41515">
      <w:pPr>
        <w:pStyle w:val="notetext"/>
        <w:numPr>
          <w:ilvl w:val="0"/>
          <w:numId w:val="47"/>
        </w:numPr>
        <w:ind w:left="2345"/>
      </w:pPr>
      <w:r w:rsidRPr="00097A86">
        <w:t xml:space="preserve">ISO12039:2001 </w:t>
      </w:r>
      <w:r w:rsidRPr="00097A86">
        <w:rPr>
          <w:i/>
        </w:rPr>
        <w:t xml:space="preserve">Stationary source emissions – Determination of carbon monoxide, carbon dioxide and oxygen </w:t>
      </w:r>
      <w:r w:rsidR="005C3E39" w:rsidRPr="00097A86">
        <w:rPr>
          <w:i/>
        </w:rPr>
        <w:t>–</w:t>
      </w:r>
      <w:r w:rsidRPr="00097A86">
        <w:rPr>
          <w:i/>
        </w:rPr>
        <w:t xml:space="preserve"> Performance characteristics and calibration of an automated measuring method</w:t>
      </w:r>
      <w:r w:rsidRPr="00097A86">
        <w:t>.</w:t>
      </w:r>
    </w:p>
    <w:p w14:paraId="594E3F0C" w14:textId="77777777" w:rsidR="003F0D4E" w:rsidRPr="00097A86" w:rsidRDefault="003F0D4E" w:rsidP="00D22D3F">
      <w:pPr>
        <w:pStyle w:val="ActHead5"/>
      </w:pPr>
      <w:bookmarkStart w:id="82" w:name="_Toc13233530"/>
      <w:r w:rsidRPr="00097A86">
        <w:rPr>
          <w:rStyle w:val="CharSectno"/>
        </w:rPr>
        <w:t>1.33</w:t>
      </w:r>
      <w:r w:rsidR="00D22D3F" w:rsidRPr="00097A86">
        <w:t xml:space="preserve">  </w:t>
      </w:r>
      <w:r w:rsidRPr="00097A86">
        <w:t>Representative data for PEM</w:t>
      </w:r>
      <w:bookmarkEnd w:id="82"/>
    </w:p>
    <w:p w14:paraId="29D599D6" w14:textId="77777777" w:rsidR="003F0D4E" w:rsidRPr="00097A86" w:rsidRDefault="003F0D4E" w:rsidP="00D22D3F">
      <w:pPr>
        <w:pStyle w:val="subsection"/>
      </w:pPr>
      <w:r w:rsidRPr="00097A86">
        <w:tab/>
        <w:t>(1)</w:t>
      </w:r>
      <w:r w:rsidRPr="00097A86">
        <w:tab/>
        <w:t>For paragraph</w:t>
      </w:r>
      <w:r w:rsidR="00097A86">
        <w:t> </w:t>
      </w:r>
      <w:r w:rsidRPr="00097A86">
        <w:t>1.29</w:t>
      </w:r>
      <w:r w:rsidR="00045A83" w:rsidRPr="00097A86">
        <w:t>(</w:t>
      </w:r>
      <w:r w:rsidRPr="00097A86">
        <w:t>d), sampling by PEM must be undertaken during the year for a sufficient duration to produce representative data that may be reliably extrapolated to provide estimates of emissions across the full range of operating conditions for that year.</w:t>
      </w:r>
    </w:p>
    <w:p w14:paraId="027B5E7E" w14:textId="77777777" w:rsidR="003F0D4E" w:rsidRPr="00097A86" w:rsidRDefault="003F0D4E" w:rsidP="00D22D3F">
      <w:pPr>
        <w:pStyle w:val="subsection"/>
      </w:pPr>
      <w:r w:rsidRPr="00097A86">
        <w:tab/>
        <w:t>(2)</w:t>
      </w:r>
      <w:r w:rsidRPr="00097A86">
        <w:tab/>
        <w:t>Emission estimates using PEM equipment must also be consistent with the principles in section</w:t>
      </w:r>
      <w:r w:rsidR="00097A86">
        <w:t> </w:t>
      </w:r>
      <w:r w:rsidRPr="00097A86">
        <w:t>1.13.</w:t>
      </w:r>
    </w:p>
    <w:p w14:paraId="51E4C0A5" w14:textId="77777777" w:rsidR="003F0D4E" w:rsidRPr="00097A86" w:rsidRDefault="003F0D4E" w:rsidP="00BB2396">
      <w:pPr>
        <w:pStyle w:val="ActHead3"/>
        <w:pageBreakBefore/>
      </w:pPr>
      <w:bookmarkStart w:id="83" w:name="_Toc13233531"/>
      <w:r w:rsidRPr="00097A86">
        <w:rPr>
          <w:rStyle w:val="CharDivNo"/>
        </w:rPr>
        <w:lastRenderedPageBreak/>
        <w:t>Division</w:t>
      </w:r>
      <w:r w:rsidR="00097A86">
        <w:rPr>
          <w:rStyle w:val="CharDivNo"/>
        </w:rPr>
        <w:t> </w:t>
      </w:r>
      <w:r w:rsidRPr="00097A86">
        <w:rPr>
          <w:rStyle w:val="CharDivNo"/>
        </w:rPr>
        <w:t>1.3.4</w:t>
      </w:r>
      <w:r w:rsidR="00D22D3F" w:rsidRPr="00097A86">
        <w:t>—</w:t>
      </w:r>
      <w:r w:rsidRPr="00097A86">
        <w:rPr>
          <w:rStyle w:val="CharDivText"/>
        </w:rPr>
        <w:t>Performance characteristics of equipment</w:t>
      </w:r>
      <w:bookmarkEnd w:id="83"/>
    </w:p>
    <w:p w14:paraId="4FBF4E9D" w14:textId="77777777" w:rsidR="003F0D4E" w:rsidRPr="00097A86" w:rsidRDefault="00D22D3F" w:rsidP="003F0D4E">
      <w:pPr>
        <w:pStyle w:val="Header"/>
      </w:pPr>
      <w:r w:rsidRPr="00097A86">
        <w:rPr>
          <w:rStyle w:val="CharSubdNo"/>
        </w:rPr>
        <w:t xml:space="preserve"> </w:t>
      </w:r>
      <w:r w:rsidRPr="00097A86">
        <w:rPr>
          <w:rStyle w:val="CharSubdText"/>
        </w:rPr>
        <w:t xml:space="preserve"> </w:t>
      </w:r>
    </w:p>
    <w:p w14:paraId="7937B140" w14:textId="77777777" w:rsidR="003F0D4E" w:rsidRPr="00097A86" w:rsidRDefault="003F0D4E" w:rsidP="00D22D3F">
      <w:pPr>
        <w:pStyle w:val="ActHead5"/>
      </w:pPr>
      <w:bookmarkStart w:id="84" w:name="_Toc13233532"/>
      <w:r w:rsidRPr="00097A86">
        <w:rPr>
          <w:rStyle w:val="CharSectno"/>
        </w:rPr>
        <w:t>1.34</w:t>
      </w:r>
      <w:r w:rsidR="00D22D3F" w:rsidRPr="00097A86">
        <w:t xml:space="preserve">  </w:t>
      </w:r>
      <w:r w:rsidRPr="00097A86">
        <w:t>Performance characteristics of CEM or PEM equipment</w:t>
      </w:r>
      <w:bookmarkEnd w:id="84"/>
    </w:p>
    <w:p w14:paraId="6897EABE" w14:textId="77777777" w:rsidR="003F0D4E" w:rsidRPr="00097A86" w:rsidRDefault="003F0D4E" w:rsidP="00D22D3F">
      <w:pPr>
        <w:pStyle w:val="subsection"/>
      </w:pPr>
      <w:r w:rsidRPr="00097A86">
        <w:tab/>
        <w:t>(1)</w:t>
      </w:r>
      <w:r w:rsidRPr="00097A86">
        <w:tab/>
        <w:t>The performance characteristics of CEM or PEM equipment must be measured in accordance with this section.</w:t>
      </w:r>
    </w:p>
    <w:p w14:paraId="27157D07" w14:textId="77777777" w:rsidR="003F0D4E" w:rsidRPr="00097A86" w:rsidRDefault="003F0D4E" w:rsidP="00D22D3F">
      <w:pPr>
        <w:pStyle w:val="subsection"/>
      </w:pPr>
      <w:r w:rsidRPr="00097A86">
        <w:tab/>
        <w:t>(2)</w:t>
      </w:r>
      <w:r w:rsidRPr="00097A86">
        <w:tab/>
        <w:t>The test procedure specified in an appropriate standard must be used for measuring the performance characteristics of CEM or PEM equipment.</w:t>
      </w:r>
    </w:p>
    <w:p w14:paraId="7E6A2EA3" w14:textId="77777777" w:rsidR="003F0D4E" w:rsidRPr="00097A86" w:rsidRDefault="003F0D4E" w:rsidP="00D22D3F">
      <w:pPr>
        <w:pStyle w:val="subsection"/>
      </w:pPr>
      <w:r w:rsidRPr="00097A86">
        <w:tab/>
        <w:t>(3)</w:t>
      </w:r>
      <w:r w:rsidRPr="00097A86">
        <w:tab/>
        <w:t>For the calibration of CEM or PEM equipment, the test procedure must be:</w:t>
      </w:r>
    </w:p>
    <w:p w14:paraId="4A8C0CCA" w14:textId="77777777" w:rsidR="003F0D4E" w:rsidRPr="00097A86" w:rsidRDefault="003F0D4E" w:rsidP="00D22D3F">
      <w:pPr>
        <w:pStyle w:val="paragraph"/>
      </w:pPr>
      <w:r w:rsidRPr="00097A86">
        <w:tab/>
        <w:t>(a)</w:t>
      </w:r>
      <w:r w:rsidRPr="00097A86">
        <w:tab/>
        <w:t>undertaken by an accredited laboratory; or</w:t>
      </w:r>
    </w:p>
    <w:p w14:paraId="79D378AC" w14:textId="77777777" w:rsidR="003F0D4E" w:rsidRPr="00097A86" w:rsidRDefault="003F0D4E" w:rsidP="00D22D3F">
      <w:pPr>
        <w:pStyle w:val="paragraph"/>
      </w:pPr>
      <w:r w:rsidRPr="00097A86">
        <w:tab/>
        <w:t>(b)</w:t>
      </w:r>
      <w:r w:rsidRPr="00097A86">
        <w:tab/>
        <w:t>undertaken by a laboratory that meets requirements equivalent to ISO 17025; or</w:t>
      </w:r>
    </w:p>
    <w:p w14:paraId="40C94FC7" w14:textId="77777777" w:rsidR="003F0D4E" w:rsidRPr="00097A86" w:rsidRDefault="003F0D4E" w:rsidP="00D22D3F">
      <w:pPr>
        <w:pStyle w:val="paragraph"/>
      </w:pPr>
      <w:r w:rsidRPr="00097A86">
        <w:tab/>
        <w:t>(c)</w:t>
      </w:r>
      <w:r w:rsidRPr="00097A86">
        <w:tab/>
        <w:t>undertaken in accordance with applicable State or Territory legislation.</w:t>
      </w:r>
    </w:p>
    <w:p w14:paraId="06065159" w14:textId="77777777" w:rsidR="003F0D4E" w:rsidRPr="00097A86" w:rsidRDefault="003F0D4E" w:rsidP="00D22D3F">
      <w:pPr>
        <w:pStyle w:val="subsection"/>
      </w:pPr>
      <w:r w:rsidRPr="00097A86">
        <w:tab/>
        <w:t>(4)</w:t>
      </w:r>
      <w:r w:rsidRPr="00097A86">
        <w:tab/>
        <w:t>As a minimum requirement, a cylinder of calibration gas must be certified by an accredited laboratory accredited to ISO Guide 34:2000 as being within 2% of the concentration specified on the cylinder label.</w:t>
      </w:r>
    </w:p>
    <w:p w14:paraId="3B6B84D2" w14:textId="77777777" w:rsidR="00493264" w:rsidRPr="00097A86" w:rsidRDefault="00493264" w:rsidP="00BB2396">
      <w:pPr>
        <w:pStyle w:val="ActHead1"/>
        <w:pageBreakBefore/>
      </w:pPr>
      <w:bookmarkStart w:id="85" w:name="_Toc13233533"/>
      <w:r w:rsidRPr="00097A86">
        <w:rPr>
          <w:rStyle w:val="CharChapNo"/>
        </w:rPr>
        <w:lastRenderedPageBreak/>
        <w:t>Chapter</w:t>
      </w:r>
      <w:r w:rsidR="00097A86">
        <w:rPr>
          <w:rStyle w:val="CharChapNo"/>
        </w:rPr>
        <w:t> </w:t>
      </w:r>
      <w:r w:rsidRPr="00097A86">
        <w:rPr>
          <w:rStyle w:val="CharChapNo"/>
        </w:rPr>
        <w:t>2</w:t>
      </w:r>
      <w:r w:rsidR="00D22D3F" w:rsidRPr="00097A86">
        <w:t>—</w:t>
      </w:r>
      <w:r w:rsidRPr="00097A86">
        <w:rPr>
          <w:rStyle w:val="CharChapText"/>
        </w:rPr>
        <w:t>Fuel combustion</w:t>
      </w:r>
      <w:bookmarkEnd w:id="85"/>
    </w:p>
    <w:p w14:paraId="26D33CB0" w14:textId="77777777" w:rsidR="003F0D4E" w:rsidRPr="00097A86" w:rsidRDefault="003F0D4E" w:rsidP="00D22D3F">
      <w:pPr>
        <w:pStyle w:val="ActHead2"/>
      </w:pPr>
      <w:bookmarkStart w:id="86" w:name="_Toc13233534"/>
      <w:r w:rsidRPr="00097A86">
        <w:rPr>
          <w:rStyle w:val="CharPartNo"/>
        </w:rPr>
        <w:t>Part</w:t>
      </w:r>
      <w:r w:rsidR="00097A86">
        <w:rPr>
          <w:rStyle w:val="CharPartNo"/>
        </w:rPr>
        <w:t> </w:t>
      </w:r>
      <w:r w:rsidRPr="00097A86">
        <w:rPr>
          <w:rStyle w:val="CharPartNo"/>
        </w:rPr>
        <w:t>2.1</w:t>
      </w:r>
      <w:r w:rsidR="00D22D3F" w:rsidRPr="00097A86">
        <w:t>—</w:t>
      </w:r>
      <w:r w:rsidRPr="00097A86">
        <w:rPr>
          <w:rStyle w:val="CharPartText"/>
        </w:rPr>
        <w:t>Preliminary</w:t>
      </w:r>
      <w:bookmarkEnd w:id="86"/>
    </w:p>
    <w:p w14:paraId="10CC01F5"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7D73DB8F" w14:textId="77777777" w:rsidR="00493264" w:rsidRPr="00097A86" w:rsidRDefault="00493264" w:rsidP="00D22D3F">
      <w:pPr>
        <w:pStyle w:val="ActHead5"/>
      </w:pPr>
      <w:bookmarkStart w:id="87" w:name="_Toc13233535"/>
      <w:r w:rsidRPr="00097A86">
        <w:rPr>
          <w:rStyle w:val="CharSectno"/>
        </w:rPr>
        <w:t>2.1</w:t>
      </w:r>
      <w:r w:rsidR="00D22D3F" w:rsidRPr="00097A86">
        <w:t xml:space="preserve">  </w:t>
      </w:r>
      <w:r w:rsidRPr="00097A86">
        <w:t>Outline of Chapter</w:t>
      </w:r>
      <w:bookmarkEnd w:id="87"/>
    </w:p>
    <w:p w14:paraId="60BAE8B2" w14:textId="77777777" w:rsidR="00493264" w:rsidRPr="00097A86" w:rsidRDefault="00493264" w:rsidP="00D22D3F">
      <w:pPr>
        <w:pStyle w:val="subsection"/>
      </w:pPr>
      <w:r w:rsidRPr="00097A86">
        <w:tab/>
      </w:r>
      <w:r w:rsidRPr="00097A86">
        <w:tab/>
        <w:t>This Chapter provides for the following matters:</w:t>
      </w:r>
    </w:p>
    <w:p w14:paraId="7D7DD64B" w14:textId="77777777" w:rsidR="00493264" w:rsidRPr="00097A86" w:rsidRDefault="00493264" w:rsidP="00D22D3F">
      <w:pPr>
        <w:pStyle w:val="paragraph"/>
      </w:pPr>
      <w:r w:rsidRPr="00097A86">
        <w:tab/>
        <w:t>(a)</w:t>
      </w:r>
      <w:r w:rsidRPr="00097A86">
        <w:tab/>
        <w:t>emissions released from the following sources:</w:t>
      </w:r>
    </w:p>
    <w:p w14:paraId="5F92EF15" w14:textId="77777777" w:rsidR="00493264" w:rsidRPr="00097A86" w:rsidRDefault="00493264" w:rsidP="00D22D3F">
      <w:pPr>
        <w:pStyle w:val="paragraphsub"/>
      </w:pPr>
      <w:r w:rsidRPr="00097A86">
        <w:tab/>
        <w:t>(i)</w:t>
      </w:r>
      <w:r w:rsidRPr="00097A86">
        <w:tab/>
        <w:t>the combustion of solid fuels (see Part</w:t>
      </w:r>
      <w:r w:rsidR="00097A86">
        <w:t> </w:t>
      </w:r>
      <w:r w:rsidRPr="00097A86">
        <w:t>2.2);</w:t>
      </w:r>
    </w:p>
    <w:p w14:paraId="22EAF1F1" w14:textId="77777777" w:rsidR="00493264" w:rsidRPr="00097A86" w:rsidRDefault="00493264" w:rsidP="00D22D3F">
      <w:pPr>
        <w:pStyle w:val="paragraphsub"/>
      </w:pPr>
      <w:r w:rsidRPr="00097A86">
        <w:tab/>
        <w:t>(ii)</w:t>
      </w:r>
      <w:r w:rsidRPr="00097A86">
        <w:tab/>
        <w:t>the combustion of gaseous fuels (Part</w:t>
      </w:r>
      <w:r w:rsidR="00097A86">
        <w:t> </w:t>
      </w:r>
      <w:r w:rsidRPr="00097A86">
        <w:t>2.3);</w:t>
      </w:r>
    </w:p>
    <w:p w14:paraId="2A5060F3" w14:textId="77777777" w:rsidR="00493264" w:rsidRPr="00097A86" w:rsidRDefault="00493264" w:rsidP="00D22D3F">
      <w:pPr>
        <w:pStyle w:val="paragraphsub"/>
      </w:pPr>
      <w:r w:rsidRPr="00097A86">
        <w:tab/>
        <w:t>(iii)</w:t>
      </w:r>
      <w:r w:rsidRPr="00097A86">
        <w:tab/>
        <w:t>the combustion of liquid fuels (Part</w:t>
      </w:r>
      <w:r w:rsidR="00097A86">
        <w:t> </w:t>
      </w:r>
      <w:r w:rsidRPr="00097A86">
        <w:t>2.4);</w:t>
      </w:r>
    </w:p>
    <w:p w14:paraId="68A41F2B" w14:textId="77777777" w:rsidR="00493264" w:rsidRPr="00097A86" w:rsidRDefault="00493264" w:rsidP="00D22D3F">
      <w:pPr>
        <w:pStyle w:val="paragraphsub"/>
      </w:pPr>
      <w:r w:rsidRPr="00097A86">
        <w:tab/>
        <w:t>(iv)</w:t>
      </w:r>
      <w:r w:rsidRPr="00097A86">
        <w:tab/>
        <w:t>fuel use by certain industries (Part</w:t>
      </w:r>
      <w:r w:rsidR="00097A86">
        <w:t> </w:t>
      </w:r>
      <w:r w:rsidRPr="00097A86">
        <w:t>2.5);</w:t>
      </w:r>
    </w:p>
    <w:p w14:paraId="7B4CAD1A" w14:textId="77777777" w:rsidR="00493264" w:rsidRPr="00097A86" w:rsidRDefault="00493264" w:rsidP="00D22D3F">
      <w:pPr>
        <w:pStyle w:val="paragraph"/>
      </w:pPr>
      <w:r w:rsidRPr="00097A86">
        <w:tab/>
        <w:t>(b)</w:t>
      </w:r>
      <w:r w:rsidRPr="00097A86">
        <w:tab/>
        <w:t>the measurement of fuels in blended fuels (Part</w:t>
      </w:r>
      <w:r w:rsidR="00097A86">
        <w:t> </w:t>
      </w:r>
      <w:r w:rsidRPr="00097A86">
        <w:t>2.6);</w:t>
      </w:r>
    </w:p>
    <w:p w14:paraId="4799C1A5" w14:textId="77777777" w:rsidR="00493264" w:rsidRPr="00097A86" w:rsidRDefault="00493264" w:rsidP="00D22D3F">
      <w:pPr>
        <w:pStyle w:val="paragraph"/>
      </w:pPr>
      <w:r w:rsidRPr="00097A86">
        <w:tab/>
        <w:t>(c)</w:t>
      </w:r>
      <w:r w:rsidRPr="00097A86">
        <w:tab/>
        <w:t>the estimation of energy for certain purposes (Part</w:t>
      </w:r>
      <w:r w:rsidR="00097A86">
        <w:t> </w:t>
      </w:r>
      <w:r w:rsidRPr="00097A86">
        <w:t>2.7).</w:t>
      </w:r>
    </w:p>
    <w:p w14:paraId="70A6B2E0" w14:textId="77777777" w:rsidR="003F0D4E" w:rsidRPr="00097A86" w:rsidRDefault="003F0D4E" w:rsidP="00D22D3F">
      <w:pPr>
        <w:pStyle w:val="ActHead2"/>
        <w:pageBreakBefore/>
      </w:pPr>
      <w:bookmarkStart w:id="88" w:name="_Toc13233536"/>
      <w:r w:rsidRPr="00097A86">
        <w:rPr>
          <w:rStyle w:val="CharPartNo"/>
        </w:rPr>
        <w:lastRenderedPageBreak/>
        <w:t>Part</w:t>
      </w:r>
      <w:r w:rsidR="00097A86">
        <w:rPr>
          <w:rStyle w:val="CharPartNo"/>
        </w:rPr>
        <w:t> </w:t>
      </w:r>
      <w:r w:rsidRPr="00097A86">
        <w:rPr>
          <w:rStyle w:val="CharPartNo"/>
        </w:rPr>
        <w:t>2.2</w:t>
      </w:r>
      <w:r w:rsidR="00D22D3F" w:rsidRPr="00097A86">
        <w:t>—</w:t>
      </w:r>
      <w:r w:rsidRPr="00097A86">
        <w:rPr>
          <w:rStyle w:val="CharPartText"/>
        </w:rPr>
        <w:t>Emissions released from the combustion of solid fuels</w:t>
      </w:r>
      <w:bookmarkEnd w:id="88"/>
    </w:p>
    <w:p w14:paraId="462936B5" w14:textId="77777777" w:rsidR="003F0D4E" w:rsidRPr="00097A86" w:rsidRDefault="003F0D4E" w:rsidP="00D22D3F">
      <w:pPr>
        <w:pStyle w:val="ActHead3"/>
      </w:pPr>
      <w:bookmarkStart w:id="89" w:name="_Toc13233537"/>
      <w:r w:rsidRPr="00097A86">
        <w:rPr>
          <w:rStyle w:val="CharDivNo"/>
        </w:rPr>
        <w:t>Division</w:t>
      </w:r>
      <w:r w:rsidR="00097A86">
        <w:rPr>
          <w:rStyle w:val="CharDivNo"/>
        </w:rPr>
        <w:t> </w:t>
      </w:r>
      <w:r w:rsidRPr="00097A86">
        <w:rPr>
          <w:rStyle w:val="CharDivNo"/>
        </w:rPr>
        <w:t>2.2.1</w:t>
      </w:r>
      <w:r w:rsidR="00D22D3F" w:rsidRPr="00097A86">
        <w:t>—</w:t>
      </w:r>
      <w:r w:rsidRPr="00097A86">
        <w:rPr>
          <w:rStyle w:val="CharDivText"/>
        </w:rPr>
        <w:t>Preliminary</w:t>
      </w:r>
      <w:bookmarkEnd w:id="89"/>
    </w:p>
    <w:p w14:paraId="362496FF" w14:textId="77777777" w:rsidR="00310592" w:rsidRPr="00097A86" w:rsidRDefault="00310592" w:rsidP="00310592">
      <w:pPr>
        <w:pStyle w:val="ActHead5"/>
      </w:pPr>
      <w:bookmarkStart w:id="90" w:name="_Toc13233538"/>
      <w:r w:rsidRPr="00097A86">
        <w:rPr>
          <w:rStyle w:val="CharSectno"/>
        </w:rPr>
        <w:t>2.2</w:t>
      </w:r>
      <w:r w:rsidRPr="00097A86">
        <w:t xml:space="preserve">  Application</w:t>
      </w:r>
      <w:bookmarkEnd w:id="90"/>
    </w:p>
    <w:p w14:paraId="34C174ED" w14:textId="77777777" w:rsidR="00310592" w:rsidRPr="00097A86" w:rsidRDefault="00310592" w:rsidP="00310592">
      <w:pPr>
        <w:pStyle w:val="subsection"/>
      </w:pPr>
      <w:r w:rsidRPr="00097A86">
        <w:tab/>
      </w:r>
      <w:r w:rsidRPr="00097A86">
        <w:tab/>
        <w:t>This Part applies to emissions released from the combustion of solid fuel in relation to a separate instance of a source if the amount of solid fuel combusted in relation to the separate instance of the source is more than 1 tonne.</w:t>
      </w:r>
    </w:p>
    <w:p w14:paraId="7CAF7C17" w14:textId="77777777" w:rsidR="003F0D4E" w:rsidRPr="00097A86" w:rsidRDefault="003F0D4E" w:rsidP="00D22D3F">
      <w:pPr>
        <w:pStyle w:val="ActHead5"/>
      </w:pPr>
      <w:bookmarkStart w:id="91" w:name="_Toc13233539"/>
      <w:r w:rsidRPr="00097A86">
        <w:rPr>
          <w:rStyle w:val="CharSectno"/>
        </w:rPr>
        <w:t>2.3</w:t>
      </w:r>
      <w:r w:rsidR="00D22D3F" w:rsidRPr="00097A86">
        <w:t xml:space="preserve">  </w:t>
      </w:r>
      <w:r w:rsidRPr="00097A86">
        <w:t>Available methods for estimating emissions of carbon dioxide, methane and nitrous oxide</w:t>
      </w:r>
      <w:bookmarkEnd w:id="91"/>
    </w:p>
    <w:p w14:paraId="73386FF2" w14:textId="77777777" w:rsidR="003F0D4E" w:rsidRPr="00097A86" w:rsidRDefault="003F0D4E" w:rsidP="00D22D3F">
      <w:pPr>
        <w:pStyle w:val="subsection"/>
      </w:pPr>
      <w:r w:rsidRPr="00097A86">
        <w:tab/>
        <w:t>(1)</w:t>
      </w:r>
      <w:r w:rsidRPr="00097A86">
        <w:tab/>
        <w:t>Subject to section</w:t>
      </w:r>
      <w:r w:rsidR="00097A86">
        <w:t> </w:t>
      </w:r>
      <w:r w:rsidRPr="00097A86">
        <w:t xml:space="preserve">1.18, for estimating emissions released from the combustion of a solid fuel consumed from the operation of a facility during a year: </w:t>
      </w:r>
    </w:p>
    <w:p w14:paraId="572B7ED7" w14:textId="77777777" w:rsidR="003F0D4E" w:rsidRPr="00097A86" w:rsidRDefault="003F0D4E" w:rsidP="00D22D3F">
      <w:pPr>
        <w:pStyle w:val="paragraph"/>
      </w:pPr>
      <w:r w:rsidRPr="00097A86">
        <w:tab/>
        <w:t>(a)</w:t>
      </w:r>
      <w:r w:rsidRPr="00097A86">
        <w:tab/>
        <w:t>one of the following methods must be used for estimating emissions of carbon dioxide:</w:t>
      </w:r>
    </w:p>
    <w:p w14:paraId="3AADD58C" w14:textId="77777777" w:rsidR="003F0D4E" w:rsidRPr="00097A86" w:rsidRDefault="003F0D4E" w:rsidP="00D22D3F">
      <w:pPr>
        <w:pStyle w:val="paragraphsub"/>
      </w:pPr>
      <w:r w:rsidRPr="00097A86">
        <w:tab/>
        <w:t>(i)</w:t>
      </w:r>
      <w:r w:rsidRPr="00097A86">
        <w:tab/>
        <w:t xml:space="preserve"> subject to </w:t>
      </w:r>
      <w:r w:rsidR="00097A86">
        <w:t>subsection (</w:t>
      </w:r>
      <w:r w:rsidRPr="00097A86">
        <w:t>3), method 1 under section</w:t>
      </w:r>
      <w:r w:rsidR="00097A86">
        <w:t> </w:t>
      </w:r>
      <w:r w:rsidRPr="00097A86">
        <w:t>2.4;</w:t>
      </w:r>
    </w:p>
    <w:p w14:paraId="39E634BA" w14:textId="77777777" w:rsidR="003F0D4E" w:rsidRPr="00097A86" w:rsidRDefault="003F0D4E" w:rsidP="00D22D3F">
      <w:pPr>
        <w:pStyle w:val="paragraphsub"/>
      </w:pPr>
      <w:r w:rsidRPr="00097A86">
        <w:tab/>
        <w:t>(ii)</w:t>
      </w:r>
      <w:r w:rsidRPr="00097A86">
        <w:tab/>
        <w:t>method 2 using an oxidation factor under section</w:t>
      </w:r>
      <w:r w:rsidR="00097A86">
        <w:t> </w:t>
      </w:r>
      <w:r w:rsidRPr="00097A86">
        <w:t>2.5 or an estimated oxidation factor under section</w:t>
      </w:r>
      <w:r w:rsidR="00097A86">
        <w:t> </w:t>
      </w:r>
      <w:r w:rsidRPr="00097A86">
        <w:t>2.6;</w:t>
      </w:r>
    </w:p>
    <w:p w14:paraId="4F818761" w14:textId="77777777" w:rsidR="003F0D4E" w:rsidRPr="00097A86" w:rsidRDefault="003F0D4E" w:rsidP="00D22D3F">
      <w:pPr>
        <w:pStyle w:val="paragraphsub"/>
      </w:pPr>
      <w:r w:rsidRPr="00097A86">
        <w:tab/>
        <w:t>(iii)</w:t>
      </w:r>
      <w:r w:rsidRPr="00097A86">
        <w:tab/>
        <w:t>method 3 using an oxidation factor or an estimated oxidation factor under section</w:t>
      </w:r>
      <w:r w:rsidR="00097A86">
        <w:t> </w:t>
      </w:r>
      <w:r w:rsidRPr="00097A86">
        <w:t>2.12;</w:t>
      </w:r>
    </w:p>
    <w:p w14:paraId="37337CD7" w14:textId="77777777" w:rsidR="003F0D4E" w:rsidRPr="00097A86" w:rsidRDefault="003F0D4E" w:rsidP="00D22D3F">
      <w:pPr>
        <w:pStyle w:val="paragraphsub"/>
      </w:pPr>
      <w:r w:rsidRPr="00097A86">
        <w:tab/>
        <w:t>(iv)</w:t>
      </w:r>
      <w:r w:rsidRPr="00097A86">
        <w:tab/>
        <w:t>method 4 under Part</w:t>
      </w:r>
      <w:r w:rsidR="00097A86">
        <w:t> </w:t>
      </w:r>
      <w:r w:rsidRPr="00097A86">
        <w:t>1.3; and</w:t>
      </w:r>
    </w:p>
    <w:p w14:paraId="4D490D76" w14:textId="77777777" w:rsidR="003F0D4E" w:rsidRPr="00097A86" w:rsidRDefault="003F0D4E" w:rsidP="00D22D3F">
      <w:pPr>
        <w:pStyle w:val="paragraph"/>
      </w:pPr>
      <w:r w:rsidRPr="00097A86">
        <w:tab/>
        <w:t>(b)</w:t>
      </w:r>
      <w:r w:rsidRPr="00097A86">
        <w:tab/>
        <w:t>method 1 under section</w:t>
      </w:r>
      <w:r w:rsidR="00097A86">
        <w:t> </w:t>
      </w:r>
      <w:r w:rsidRPr="00097A86">
        <w:t>2.4 must be used for estimating emissions of methane and nitrous oxide.</w:t>
      </w:r>
    </w:p>
    <w:p w14:paraId="06963B0B" w14:textId="77777777" w:rsidR="003F0D4E" w:rsidRPr="00097A86" w:rsidRDefault="003F0D4E" w:rsidP="00D22D3F">
      <w:pPr>
        <w:pStyle w:val="subsection"/>
      </w:pPr>
      <w:r w:rsidRPr="00097A86">
        <w:tab/>
        <w:t>(2)</w:t>
      </w:r>
      <w:r w:rsidRPr="00097A86">
        <w:tab/>
        <w:t xml:space="preserve">However, for </w:t>
      </w:r>
      <w:r w:rsidR="005E0545" w:rsidRPr="00097A86">
        <w:t>incidental emissions</w:t>
      </w:r>
      <w:r w:rsidRPr="00097A86">
        <w:t xml:space="preserve"> another method may be used that is consistent with the principles in section</w:t>
      </w:r>
      <w:r w:rsidR="00097A86">
        <w:t> </w:t>
      </w:r>
      <w:r w:rsidRPr="00097A86">
        <w:t>1.13.</w:t>
      </w:r>
    </w:p>
    <w:p w14:paraId="4C63B9EF" w14:textId="77777777" w:rsidR="00D23F89" w:rsidRPr="00097A86" w:rsidRDefault="00D23F89" w:rsidP="00D22D3F">
      <w:pPr>
        <w:pStyle w:val="subsection"/>
      </w:pPr>
      <w:r w:rsidRPr="00097A86">
        <w:tab/>
        <w:t>(3)</w:t>
      </w:r>
      <w:r w:rsidRPr="00097A86">
        <w:tab/>
        <w:t>Method 1 must not be used for estimating emissions of carbon dioxide for the main fuel combusted from the operation of the facility if:</w:t>
      </w:r>
    </w:p>
    <w:p w14:paraId="28E0F4B8" w14:textId="77777777" w:rsidR="00D23F89" w:rsidRPr="00097A86" w:rsidRDefault="00D23F89" w:rsidP="00D22D3F">
      <w:pPr>
        <w:pStyle w:val="paragraph"/>
      </w:pPr>
      <w:r w:rsidRPr="00097A86">
        <w:tab/>
        <w:t>(a)</w:t>
      </w:r>
      <w:r w:rsidRPr="00097A86">
        <w:tab/>
        <w:t>the principal activity of the facility is electricity generation (ANZSIC industry classification and code 2611); and</w:t>
      </w:r>
    </w:p>
    <w:p w14:paraId="59190A16" w14:textId="77777777" w:rsidR="00D23F89" w:rsidRPr="00097A86" w:rsidRDefault="00D23F89" w:rsidP="00D22D3F">
      <w:pPr>
        <w:pStyle w:val="paragraph"/>
      </w:pPr>
      <w:r w:rsidRPr="00097A86">
        <w:tab/>
        <w:t>(b)</w:t>
      </w:r>
      <w:r w:rsidRPr="00097A86">
        <w:tab/>
        <w:t>the generating unit:</w:t>
      </w:r>
    </w:p>
    <w:p w14:paraId="30A4E6A1" w14:textId="77777777" w:rsidR="00D23F89" w:rsidRPr="00097A86" w:rsidRDefault="00D23F89" w:rsidP="00D22D3F">
      <w:pPr>
        <w:pStyle w:val="paragraphsub"/>
      </w:pPr>
      <w:r w:rsidRPr="00097A86">
        <w:tab/>
        <w:t>(i)</w:t>
      </w:r>
      <w:r w:rsidRPr="00097A86">
        <w:tab/>
        <w:t>has the capacity to produce 30 megawatts or more of electricity; and</w:t>
      </w:r>
    </w:p>
    <w:p w14:paraId="413072E6" w14:textId="77777777" w:rsidR="00D23F89" w:rsidRPr="00097A86" w:rsidRDefault="00D23F89" w:rsidP="00D22D3F">
      <w:pPr>
        <w:pStyle w:val="paragraphsub"/>
      </w:pPr>
      <w:r w:rsidRPr="00097A86">
        <w:tab/>
        <w:t>(ii)</w:t>
      </w:r>
      <w:r w:rsidRPr="00097A86">
        <w:tab/>
        <w:t xml:space="preserve">generates more than </w:t>
      </w:r>
      <w:r w:rsidR="00B96490" w:rsidRPr="00097A86">
        <w:t>50</w:t>
      </w:r>
      <w:r w:rsidR="00097A86">
        <w:t> </w:t>
      </w:r>
      <w:r w:rsidR="00B96490" w:rsidRPr="00097A86">
        <w:t xml:space="preserve">000 megawatt hours </w:t>
      </w:r>
      <w:r w:rsidRPr="00097A86">
        <w:t>of electricity in a reporting year.</w:t>
      </w:r>
    </w:p>
    <w:p w14:paraId="7AB4B52C" w14:textId="77777777" w:rsidR="003F0D4E" w:rsidRPr="00097A86" w:rsidRDefault="00D22D3F" w:rsidP="00D22D3F">
      <w:pPr>
        <w:pStyle w:val="notetext"/>
      </w:pPr>
      <w:r w:rsidRPr="00097A86">
        <w:t>Note:</w:t>
      </w:r>
      <w:r w:rsidRPr="00097A86">
        <w:tab/>
      </w:r>
      <w:r w:rsidR="003F0D4E" w:rsidRPr="00097A86">
        <w:t xml:space="preserve">There is no method 2, 3 or 4 for </w:t>
      </w:r>
      <w:r w:rsidR="00097A86">
        <w:t>paragraph (</w:t>
      </w:r>
      <w:r w:rsidR="00B41515" w:rsidRPr="00097A86">
        <w:t>1)</w:t>
      </w:r>
      <w:r w:rsidR="003F0D4E" w:rsidRPr="00097A86">
        <w:t>(b).</w:t>
      </w:r>
    </w:p>
    <w:p w14:paraId="01974E1A" w14:textId="77777777" w:rsidR="003F0D4E" w:rsidRPr="00097A86" w:rsidRDefault="003F0D4E" w:rsidP="00D22D3F">
      <w:pPr>
        <w:pStyle w:val="ActHead3"/>
        <w:pageBreakBefore/>
      </w:pPr>
      <w:bookmarkStart w:id="92" w:name="_Toc13233540"/>
      <w:r w:rsidRPr="00097A86">
        <w:rPr>
          <w:rStyle w:val="CharDivNo"/>
        </w:rPr>
        <w:lastRenderedPageBreak/>
        <w:t>Division</w:t>
      </w:r>
      <w:r w:rsidR="00097A86">
        <w:rPr>
          <w:rStyle w:val="CharDivNo"/>
        </w:rPr>
        <w:t> </w:t>
      </w:r>
      <w:r w:rsidRPr="00097A86">
        <w:rPr>
          <w:rStyle w:val="CharDivNo"/>
        </w:rPr>
        <w:t>2.2.2</w:t>
      </w:r>
      <w:r w:rsidR="00D22D3F" w:rsidRPr="00097A86">
        <w:t>—</w:t>
      </w:r>
      <w:r w:rsidRPr="00097A86">
        <w:rPr>
          <w:rStyle w:val="CharDivText"/>
        </w:rPr>
        <w:t>Method 1</w:t>
      </w:r>
      <w:r w:rsidR="00D22D3F" w:rsidRPr="00097A86">
        <w:rPr>
          <w:rStyle w:val="CharDivText"/>
        </w:rPr>
        <w:t>—</w:t>
      </w:r>
      <w:r w:rsidRPr="00097A86">
        <w:rPr>
          <w:rStyle w:val="CharDivText"/>
        </w:rPr>
        <w:t>emissions of carbon dioxide, methane and nitrous oxide from solid fuels</w:t>
      </w:r>
      <w:bookmarkEnd w:id="92"/>
    </w:p>
    <w:p w14:paraId="249BEB54" w14:textId="77777777" w:rsidR="003F0D4E" w:rsidRPr="00097A86" w:rsidRDefault="003F0D4E" w:rsidP="00D22D3F">
      <w:pPr>
        <w:pStyle w:val="ActHead5"/>
      </w:pPr>
      <w:bookmarkStart w:id="93" w:name="_Toc13233541"/>
      <w:r w:rsidRPr="00097A86">
        <w:rPr>
          <w:rStyle w:val="CharSectno"/>
        </w:rPr>
        <w:t>2.4</w:t>
      </w:r>
      <w:r w:rsidR="00D22D3F" w:rsidRPr="00097A86">
        <w:t xml:space="preserve">  </w:t>
      </w:r>
      <w:r w:rsidRPr="00097A86">
        <w:t>Method 1</w:t>
      </w:r>
      <w:r w:rsidR="00D22D3F" w:rsidRPr="00097A86">
        <w:t>—</w:t>
      </w:r>
      <w:r w:rsidRPr="00097A86">
        <w:t>solid fuels</w:t>
      </w:r>
      <w:bookmarkEnd w:id="93"/>
    </w:p>
    <w:p w14:paraId="0C9FAB9E" w14:textId="77777777" w:rsidR="003F0D4E" w:rsidRPr="00097A86" w:rsidRDefault="003F0D4E" w:rsidP="00D22D3F">
      <w:pPr>
        <w:pStyle w:val="subsection"/>
      </w:pPr>
      <w:r w:rsidRPr="00097A86">
        <w:tab/>
      </w:r>
      <w:r w:rsidRPr="00097A86">
        <w:tab/>
        <w:t>For subparagraph</w:t>
      </w:r>
      <w:r w:rsidR="00097A86">
        <w:t> </w:t>
      </w:r>
      <w:r w:rsidRPr="00097A86">
        <w:t>2.3(1)(a)(i), method 1 is:</w:t>
      </w:r>
    </w:p>
    <w:p w14:paraId="648790EB"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43648AA" wp14:editId="418E85B6">
            <wp:extent cx="16478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p w14:paraId="3FCF78A0" w14:textId="77777777" w:rsidR="003F0D4E" w:rsidRPr="00097A86" w:rsidRDefault="003F0D4E" w:rsidP="00D22D3F">
      <w:pPr>
        <w:pStyle w:val="subsection2"/>
      </w:pPr>
      <w:r w:rsidRPr="00097A86">
        <w:t>where:</w:t>
      </w:r>
    </w:p>
    <w:p w14:paraId="15536DD7" w14:textId="77777777" w:rsidR="003F0D4E" w:rsidRPr="00097A86" w:rsidRDefault="003F0D4E" w:rsidP="00D22D3F">
      <w:pPr>
        <w:pStyle w:val="Definition"/>
      </w:pPr>
      <w:r w:rsidRPr="00097A86">
        <w:rPr>
          <w:b/>
          <w:i/>
        </w:rPr>
        <w:t>E</w:t>
      </w:r>
      <w:r w:rsidRPr="00097A86">
        <w:rPr>
          <w:rStyle w:val="charSubscript"/>
          <w:b/>
          <w:i/>
          <w:iCs/>
          <w:sz w:val="16"/>
        </w:rPr>
        <w:t xml:space="preserve">ij </w:t>
      </w:r>
      <w:r w:rsidRPr="00097A86">
        <w:t>is the emissions of gas type (</w:t>
      </w:r>
      <w:r w:rsidRPr="00097A86">
        <w:rPr>
          <w:b/>
          <w:i/>
        </w:rPr>
        <w:t>j</w:t>
      </w:r>
      <w:r w:rsidRPr="00097A86">
        <w:t>), being carbon dioxide, methane or nitrous oxide, released from the combustion of fuel type (</w:t>
      </w:r>
      <w:r w:rsidRPr="00097A86">
        <w:rPr>
          <w:b/>
          <w:i/>
        </w:rPr>
        <w:t>i</w:t>
      </w:r>
      <w:r w:rsidRPr="00097A86">
        <w:t>) from the operation of the facility during the year measured in CO</w:t>
      </w:r>
      <w:r w:rsidRPr="00097A86">
        <w:rPr>
          <w:vertAlign w:val="subscript"/>
        </w:rPr>
        <w:t>2</w:t>
      </w:r>
      <w:r w:rsidR="00097A86">
        <w:noBreakHyphen/>
      </w:r>
      <w:r w:rsidRPr="00097A86">
        <w:t>e tonnes.</w:t>
      </w:r>
    </w:p>
    <w:p w14:paraId="3CA9912B" w14:textId="77777777" w:rsidR="003F0D4E" w:rsidRPr="00097A86" w:rsidRDefault="003F0D4E" w:rsidP="00D22D3F">
      <w:pPr>
        <w:pStyle w:val="Definition"/>
      </w:pPr>
      <w:r w:rsidRPr="00097A86">
        <w:rPr>
          <w:b/>
          <w:i/>
        </w:rPr>
        <w:t>Q</w:t>
      </w:r>
      <w:r w:rsidRPr="00097A86">
        <w:rPr>
          <w:b/>
          <w:i/>
          <w:vertAlign w:val="subscript"/>
        </w:rPr>
        <w:t xml:space="preserve">i </w:t>
      </w:r>
      <w:r w:rsidRPr="00097A86">
        <w:t xml:space="preserve">is the quantity of fuel type </w:t>
      </w:r>
      <w:r w:rsidRPr="00097A86">
        <w:rPr>
          <w:i/>
        </w:rPr>
        <w:t>(</w:t>
      </w:r>
      <w:r w:rsidRPr="00097A86">
        <w:rPr>
          <w:b/>
          <w:i/>
        </w:rPr>
        <w:t>i</w:t>
      </w:r>
      <w:r w:rsidRPr="00097A86">
        <w:rPr>
          <w:i/>
        </w:rPr>
        <w:t xml:space="preserve">) </w:t>
      </w:r>
      <w:r w:rsidRPr="00097A86">
        <w:t>measured in tonnes and estimated under Division</w:t>
      </w:r>
      <w:r w:rsidR="00097A86">
        <w:t> </w:t>
      </w:r>
      <w:r w:rsidRPr="00097A86">
        <w:t>2.2.5.</w:t>
      </w:r>
    </w:p>
    <w:p w14:paraId="50330413" w14:textId="77777777" w:rsidR="00FF3DC6" w:rsidRPr="00097A86" w:rsidRDefault="00FF3DC6"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5030247E" w14:textId="77777777" w:rsidR="003F0D4E" w:rsidRPr="00097A86" w:rsidRDefault="003F0D4E" w:rsidP="00D22D3F">
      <w:pPr>
        <w:pStyle w:val="Definition"/>
      </w:pPr>
      <w:r w:rsidRPr="00097A86">
        <w:rPr>
          <w:b/>
          <w:i/>
        </w:rPr>
        <w:t>EF</w:t>
      </w:r>
      <w:r w:rsidRPr="00097A86">
        <w:rPr>
          <w:b/>
          <w:i/>
          <w:vertAlign w:val="subscript"/>
        </w:rPr>
        <w:t>ijoxec</w:t>
      </w:r>
      <w:r w:rsidRPr="00097A86">
        <w:rPr>
          <w:b/>
          <w:i/>
        </w:rPr>
        <w:t xml:space="preserve"> </w:t>
      </w:r>
      <w:r w:rsidRPr="00097A86">
        <w:t>is the emission factor for each gas type (</w:t>
      </w:r>
      <w:r w:rsidRPr="00097A86">
        <w:rPr>
          <w:b/>
          <w:i/>
        </w:rPr>
        <w:t>j</w:t>
      </w:r>
      <w:r w:rsidRPr="00097A86">
        <w:t>) (which includes the effect of an oxidation factor) released from the combustion of fuel type (</w:t>
      </w:r>
      <w:r w:rsidRPr="00097A86">
        <w:rPr>
          <w:b/>
          <w:i/>
        </w:rPr>
        <w:t>i</w:t>
      </w:r>
      <w:r w:rsidRPr="00097A86">
        <w:t>) measured in kilograms of CO</w:t>
      </w:r>
      <w:r w:rsidRPr="00097A86">
        <w:rPr>
          <w:rStyle w:val="charSubscript"/>
        </w:rPr>
        <w:t>2</w:t>
      </w:r>
      <w:r w:rsidR="00097A86">
        <w:noBreakHyphen/>
      </w:r>
      <w:r w:rsidRPr="00097A86">
        <w:t>e per gigajoule according to source as mentioned in Schedule</w:t>
      </w:r>
      <w:r w:rsidR="00097A86">
        <w:t> </w:t>
      </w:r>
      <w:r w:rsidRPr="00097A86">
        <w:t>1.</w:t>
      </w:r>
    </w:p>
    <w:p w14:paraId="61F4DC93" w14:textId="77777777" w:rsidR="003F0D4E" w:rsidRPr="00097A86" w:rsidRDefault="003F0D4E" w:rsidP="00D22D3F">
      <w:pPr>
        <w:pStyle w:val="ActHead3"/>
        <w:pageBreakBefore/>
      </w:pPr>
      <w:bookmarkStart w:id="94" w:name="_Toc13233542"/>
      <w:r w:rsidRPr="00097A86">
        <w:rPr>
          <w:rStyle w:val="CharDivNo"/>
        </w:rPr>
        <w:lastRenderedPageBreak/>
        <w:t>Division</w:t>
      </w:r>
      <w:r w:rsidR="00097A86">
        <w:rPr>
          <w:rStyle w:val="CharDivNo"/>
        </w:rPr>
        <w:t> </w:t>
      </w:r>
      <w:r w:rsidRPr="00097A86">
        <w:rPr>
          <w:rStyle w:val="CharDivNo"/>
        </w:rPr>
        <w:t>2.2.3</w:t>
      </w:r>
      <w:r w:rsidR="00D22D3F" w:rsidRPr="00097A86">
        <w:t>—</w:t>
      </w:r>
      <w:r w:rsidRPr="00097A86">
        <w:rPr>
          <w:rStyle w:val="CharDivText"/>
        </w:rPr>
        <w:t>Method 2</w:t>
      </w:r>
      <w:r w:rsidR="00D22D3F" w:rsidRPr="00097A86">
        <w:rPr>
          <w:rStyle w:val="CharDivText"/>
        </w:rPr>
        <w:t>—</w:t>
      </w:r>
      <w:r w:rsidRPr="00097A86">
        <w:rPr>
          <w:rStyle w:val="CharDivText"/>
        </w:rPr>
        <w:t>emissions from solid fuels</w:t>
      </w:r>
      <w:bookmarkEnd w:id="94"/>
    </w:p>
    <w:p w14:paraId="09BED556" w14:textId="77777777" w:rsidR="003F0D4E" w:rsidRPr="00097A86" w:rsidRDefault="003F0D4E" w:rsidP="00D22D3F">
      <w:pPr>
        <w:pStyle w:val="ActHead4"/>
      </w:pPr>
      <w:bookmarkStart w:id="95" w:name="_Toc13233543"/>
      <w:r w:rsidRPr="00097A86">
        <w:rPr>
          <w:rStyle w:val="CharSubdNo"/>
        </w:rPr>
        <w:t>Subdivision</w:t>
      </w:r>
      <w:r w:rsidR="00097A86">
        <w:rPr>
          <w:rStyle w:val="CharSubdNo"/>
        </w:rPr>
        <w:t> </w:t>
      </w:r>
      <w:r w:rsidRPr="00097A86">
        <w:rPr>
          <w:rStyle w:val="CharSubdNo"/>
        </w:rPr>
        <w:t>2.2.3.1</w:t>
      </w:r>
      <w:r w:rsidR="00D22D3F" w:rsidRPr="00097A86">
        <w:t>—</w:t>
      </w:r>
      <w:r w:rsidRPr="00097A86">
        <w:rPr>
          <w:rStyle w:val="CharSubdText"/>
        </w:rPr>
        <w:t>Method 2</w:t>
      </w:r>
      <w:r w:rsidR="00D22D3F" w:rsidRPr="00097A86">
        <w:rPr>
          <w:rStyle w:val="CharSubdText"/>
        </w:rPr>
        <w:t>—</w:t>
      </w:r>
      <w:r w:rsidRPr="00097A86">
        <w:rPr>
          <w:rStyle w:val="CharSubdText"/>
        </w:rPr>
        <w:t>estimating carbon dioxide using default oxidation factor</w:t>
      </w:r>
      <w:bookmarkEnd w:id="95"/>
    </w:p>
    <w:p w14:paraId="790B073A" w14:textId="77777777" w:rsidR="003F0D4E" w:rsidRPr="00097A86" w:rsidRDefault="003F0D4E" w:rsidP="00D22D3F">
      <w:pPr>
        <w:pStyle w:val="ActHead5"/>
      </w:pPr>
      <w:bookmarkStart w:id="96" w:name="_Toc13233544"/>
      <w:r w:rsidRPr="00097A86">
        <w:rPr>
          <w:rStyle w:val="CharSectno"/>
        </w:rPr>
        <w:t>2.5</w:t>
      </w:r>
      <w:r w:rsidR="00D22D3F" w:rsidRPr="00097A86">
        <w:t xml:space="preserve">  </w:t>
      </w:r>
      <w:r w:rsidRPr="00097A86">
        <w:t>Method 2</w:t>
      </w:r>
      <w:r w:rsidR="00D22D3F" w:rsidRPr="00097A86">
        <w:t>—</w:t>
      </w:r>
      <w:r w:rsidRPr="00097A86">
        <w:t>estimating carbon dioxide using oxidation factor</w:t>
      </w:r>
      <w:bookmarkEnd w:id="96"/>
    </w:p>
    <w:p w14:paraId="372124BF" w14:textId="77777777" w:rsidR="003F0D4E" w:rsidRPr="00097A86" w:rsidRDefault="003F0D4E" w:rsidP="00D22D3F">
      <w:pPr>
        <w:pStyle w:val="subsection"/>
      </w:pPr>
      <w:r w:rsidRPr="00097A86">
        <w:tab/>
        <w:t>(1)</w:t>
      </w:r>
      <w:r w:rsidRPr="00097A86">
        <w:tab/>
        <w:t>For subparagraph</w:t>
      </w:r>
      <w:r w:rsidR="00097A86">
        <w:t> </w:t>
      </w:r>
      <w:r w:rsidR="00B41515" w:rsidRPr="00097A86">
        <w:t>2.3(1)(a)</w:t>
      </w:r>
      <w:r w:rsidRPr="00097A86">
        <w:t>(ii), method 2 is:</w:t>
      </w:r>
    </w:p>
    <w:p w14:paraId="0D8B83CA" w14:textId="77777777" w:rsidR="007B5B70" w:rsidRPr="00097A86" w:rsidRDefault="00D22D3F" w:rsidP="00D22D3F">
      <w:pPr>
        <w:pStyle w:val="subsection"/>
        <w:spacing w:before="120" w:after="120"/>
      </w:pPr>
      <w:r w:rsidRPr="00097A86">
        <w:tab/>
      </w:r>
      <w:r w:rsidRPr="00097A86">
        <w:tab/>
      </w:r>
      <w:r w:rsidR="009E1F90">
        <w:rPr>
          <w:noProof/>
        </w:rPr>
        <w:drawing>
          <wp:inline distT="0" distB="0" distL="0" distR="0" wp14:anchorId="13AC7CCC" wp14:editId="5B3C643E">
            <wp:extent cx="2447925" cy="409575"/>
            <wp:effectExtent l="0" t="0" r="0" b="9525"/>
            <wp:docPr id="2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p w14:paraId="3C4B8C0A" w14:textId="77777777" w:rsidR="003F0D4E" w:rsidRPr="00097A86" w:rsidRDefault="003F0D4E" w:rsidP="00D22D3F">
      <w:pPr>
        <w:pStyle w:val="subsection2"/>
      </w:pPr>
      <w:r w:rsidRPr="00097A86">
        <w:t>where:</w:t>
      </w:r>
    </w:p>
    <w:p w14:paraId="39482331" w14:textId="77777777" w:rsidR="003F0D4E" w:rsidRPr="00097A86" w:rsidRDefault="003F0D4E" w:rsidP="00D22D3F">
      <w:pPr>
        <w:pStyle w:val="Definition"/>
      </w:pPr>
      <w:r w:rsidRPr="00097A86">
        <w:rPr>
          <w:b/>
          <w:i/>
        </w:rPr>
        <w:t>E</w:t>
      </w:r>
      <w:r w:rsidR="000D14EC" w:rsidRPr="00097A86">
        <w:rPr>
          <w:b/>
          <w:i/>
          <w:vertAlign w:val="subscript"/>
        </w:rPr>
        <w:t>ico</w:t>
      </w:r>
      <w:r w:rsidR="000D14EC" w:rsidRPr="00097A86">
        <w:rPr>
          <w:b/>
          <w:i/>
          <w:position w:val="-6"/>
          <w:szCs w:val="22"/>
          <w:vertAlign w:val="subscript"/>
        </w:rPr>
        <w:t>2</w:t>
      </w:r>
      <w:r w:rsidR="000D14EC" w:rsidRPr="00097A86">
        <w:rPr>
          <w:b/>
          <w:i/>
          <w:vertAlign w:val="subscript"/>
        </w:rPr>
        <w:t xml:space="preserve"> </w:t>
      </w:r>
      <w:r w:rsidRPr="00097A86">
        <w:t>means the emissions of carbon dioxide released from the combustion of fuel type (</w:t>
      </w:r>
      <w:r w:rsidRPr="00097A86">
        <w:rPr>
          <w:b/>
          <w:i/>
        </w:rPr>
        <w:t>i</w:t>
      </w:r>
      <w:r w:rsidRPr="00097A86">
        <w:t>) from the operation of the facility during the year measured in CO</w:t>
      </w:r>
      <w:r w:rsidRPr="00097A86">
        <w:rPr>
          <w:vertAlign w:val="subscript"/>
        </w:rPr>
        <w:t>2</w:t>
      </w:r>
      <w:r w:rsidR="00097A86">
        <w:noBreakHyphen/>
      </w:r>
      <w:r w:rsidRPr="00097A86">
        <w:t>e tonnes.</w:t>
      </w:r>
    </w:p>
    <w:p w14:paraId="1F7AD430"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fuel type (</w:t>
      </w:r>
      <w:r w:rsidRPr="00097A86">
        <w:rPr>
          <w:b/>
          <w:i/>
        </w:rPr>
        <w:t>i</w:t>
      </w:r>
      <w:r w:rsidRPr="00097A86">
        <w:t>) measured in tonnes and estimated under Division</w:t>
      </w:r>
      <w:r w:rsidR="00097A86">
        <w:t> </w:t>
      </w:r>
      <w:r w:rsidRPr="00097A86">
        <w:t>2.2.5.</w:t>
      </w:r>
    </w:p>
    <w:p w14:paraId="462AF08E" w14:textId="77777777" w:rsidR="00FF3DC6" w:rsidRPr="00097A86" w:rsidRDefault="00FF3DC6"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785B5D7C" w14:textId="77777777" w:rsidR="003F0D4E" w:rsidRPr="00097A86" w:rsidRDefault="003F0D4E" w:rsidP="00D22D3F">
      <w:pPr>
        <w:pStyle w:val="Definition"/>
      </w:pPr>
      <w:r w:rsidRPr="00097A86">
        <w:rPr>
          <w:b/>
          <w:i/>
          <w:szCs w:val="22"/>
        </w:rPr>
        <w:t>EF</w:t>
      </w:r>
      <w:r w:rsidRPr="00097A86">
        <w:rPr>
          <w:b/>
          <w:i/>
          <w:szCs w:val="22"/>
          <w:vertAlign w:val="subscript"/>
        </w:rPr>
        <w:t>ico</w:t>
      </w:r>
      <w:r w:rsidRPr="00097A86">
        <w:rPr>
          <w:b/>
          <w:i/>
          <w:position w:val="-6"/>
          <w:szCs w:val="22"/>
          <w:vertAlign w:val="subscript"/>
        </w:rPr>
        <w:t>2</w:t>
      </w:r>
      <w:r w:rsidRPr="00097A86">
        <w:rPr>
          <w:b/>
          <w:i/>
          <w:szCs w:val="22"/>
          <w:vertAlign w:val="subscript"/>
        </w:rPr>
        <w:t>oxec</w:t>
      </w:r>
      <w:r w:rsidRPr="00097A86">
        <w:rPr>
          <w:b/>
          <w:i/>
        </w:rPr>
        <w:t xml:space="preserve"> </w:t>
      </w:r>
      <w:r w:rsidRPr="00097A86">
        <w:t>is the carbon dioxide emission factor for fuel type (</w:t>
      </w:r>
      <w:r w:rsidRPr="00097A86">
        <w:rPr>
          <w:b/>
          <w:i/>
        </w:rPr>
        <w:t>i</w:t>
      </w:r>
      <w:r w:rsidRPr="00097A86">
        <w:t>) measured in kilograms of CO</w:t>
      </w:r>
      <w:r w:rsidRPr="00097A86">
        <w:rPr>
          <w:vertAlign w:val="subscript"/>
        </w:rPr>
        <w:t>2</w:t>
      </w:r>
      <w:r w:rsidR="00097A86">
        <w:noBreakHyphen/>
      </w:r>
      <w:r w:rsidRPr="00097A86">
        <w:t xml:space="preserve">e per gigajoule as worked out under </w:t>
      </w:r>
      <w:r w:rsidR="00097A86">
        <w:t>subsection (</w:t>
      </w:r>
      <w:r w:rsidRPr="00097A86">
        <w:t>2).</w:t>
      </w:r>
    </w:p>
    <w:p w14:paraId="641E5F72" w14:textId="77777777" w:rsidR="007B5B70" w:rsidRPr="00097A86" w:rsidRDefault="007B5B70"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7C408CED" w14:textId="77777777" w:rsidR="007B5B70" w:rsidRPr="00097A86" w:rsidRDefault="007B5B70" w:rsidP="00D22D3F">
      <w:pPr>
        <w:pStyle w:val="Definition"/>
      </w:pPr>
      <w:r w:rsidRPr="00097A86">
        <w:rPr>
          <w:b/>
          <w:i/>
        </w:rPr>
        <w:t>RCCS</w:t>
      </w:r>
      <w:r w:rsidRPr="00097A86">
        <w:rPr>
          <w:b/>
          <w:i/>
          <w:vertAlign w:val="subscript"/>
        </w:rPr>
        <w:t>CO</w:t>
      </w:r>
      <w:r w:rsidRPr="00097A86">
        <w:rPr>
          <w:b/>
          <w:i/>
          <w:position w:val="-6"/>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536B4B3F" w14:textId="77777777" w:rsidR="003F0D4E" w:rsidRPr="00097A86" w:rsidRDefault="003F0D4E" w:rsidP="00D22D3F">
      <w:pPr>
        <w:pStyle w:val="subsection"/>
      </w:pPr>
      <w:r w:rsidRPr="00097A86">
        <w:tab/>
        <w:t>(2)</w:t>
      </w:r>
      <w:r w:rsidRPr="00097A86">
        <w:tab/>
        <w:t xml:space="preserve">For </w:t>
      </w:r>
      <w:r w:rsidRPr="00097A86">
        <w:rPr>
          <w:b/>
          <w:i/>
          <w:szCs w:val="22"/>
        </w:rPr>
        <w:t>EF</w:t>
      </w:r>
      <w:r w:rsidRPr="00097A86">
        <w:rPr>
          <w:b/>
          <w:i/>
          <w:szCs w:val="22"/>
          <w:vertAlign w:val="subscript"/>
        </w:rPr>
        <w:t>ico</w:t>
      </w:r>
      <w:r w:rsidRPr="00097A86">
        <w:rPr>
          <w:b/>
          <w:i/>
          <w:position w:val="-6"/>
          <w:szCs w:val="22"/>
          <w:vertAlign w:val="subscript"/>
        </w:rPr>
        <w:t>2</w:t>
      </w:r>
      <w:r w:rsidRPr="00097A86">
        <w:rPr>
          <w:b/>
          <w:i/>
          <w:szCs w:val="22"/>
          <w:vertAlign w:val="subscript"/>
        </w:rPr>
        <w:t>oxec</w:t>
      </w:r>
      <w:r w:rsidRPr="00097A86">
        <w:t xml:space="preserve"> in </w:t>
      </w:r>
      <w:r w:rsidR="00097A86">
        <w:t>subsection (</w:t>
      </w:r>
      <w:r w:rsidRPr="00097A86">
        <w:t>1), estimate as follows:</w:t>
      </w:r>
    </w:p>
    <w:p w14:paraId="56328022"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6DE78F6" wp14:editId="0FD3586D">
            <wp:extent cx="1857375" cy="45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14:paraId="6A6A86CB" w14:textId="77777777" w:rsidR="003F0D4E" w:rsidRPr="00097A86" w:rsidRDefault="003F0D4E" w:rsidP="00D22D3F">
      <w:pPr>
        <w:pStyle w:val="subsection2"/>
      </w:pPr>
      <w:r w:rsidRPr="00097A86">
        <w:t>where:</w:t>
      </w:r>
    </w:p>
    <w:p w14:paraId="13C20FE9" w14:textId="77777777" w:rsidR="003F0D4E" w:rsidRPr="00097A86" w:rsidRDefault="003F0D4E" w:rsidP="00D22D3F">
      <w:pPr>
        <w:pStyle w:val="Definition"/>
      </w:pPr>
      <w:r w:rsidRPr="00097A86">
        <w:rPr>
          <w:b/>
          <w:i/>
        </w:rPr>
        <w:t>EF</w:t>
      </w:r>
      <w:r w:rsidRPr="00097A86">
        <w:rPr>
          <w:b/>
          <w:i/>
          <w:szCs w:val="22"/>
          <w:vertAlign w:val="subscript"/>
        </w:rPr>
        <w:t>ico</w:t>
      </w:r>
      <w:r w:rsidRPr="00097A86">
        <w:rPr>
          <w:b/>
          <w:i/>
          <w:position w:val="-6"/>
          <w:szCs w:val="22"/>
          <w:vertAlign w:val="subscript"/>
        </w:rPr>
        <w:t>2</w:t>
      </w:r>
      <w:r w:rsidRPr="00097A86">
        <w:rPr>
          <w:b/>
          <w:i/>
          <w:szCs w:val="22"/>
          <w:vertAlign w:val="subscript"/>
        </w:rPr>
        <w:t>ox,kg</w:t>
      </w:r>
      <w:r w:rsidRPr="00097A86">
        <w:rPr>
          <w:b/>
          <w:i/>
          <w:vertAlign w:val="subscript"/>
        </w:rPr>
        <w:t xml:space="preserve"> </w:t>
      </w:r>
      <w:r w:rsidRPr="00097A86">
        <w:t>is the carbon dioxide emission factor for fuel type (</w:t>
      </w:r>
      <w:r w:rsidRPr="00097A86">
        <w:rPr>
          <w:b/>
          <w:i/>
        </w:rPr>
        <w:t>i</w:t>
      </w:r>
      <w:r w:rsidRPr="00097A86">
        <w:t>) measured in kilograms of CO</w:t>
      </w:r>
      <w:r w:rsidRPr="00097A86">
        <w:rPr>
          <w:vertAlign w:val="subscript"/>
        </w:rPr>
        <w:t>2</w:t>
      </w:r>
      <w:r w:rsidR="00097A86">
        <w:noBreakHyphen/>
      </w:r>
      <w:r w:rsidRPr="00097A86">
        <w:t xml:space="preserve">e per kilogram of fuel as worked out under </w:t>
      </w:r>
      <w:r w:rsidR="00097A86">
        <w:t>subsection (</w:t>
      </w:r>
      <w:r w:rsidRPr="00097A86">
        <w:t>3).</w:t>
      </w:r>
    </w:p>
    <w:p w14:paraId="16E92248" w14:textId="77777777" w:rsidR="003F0D4E" w:rsidRPr="00097A86" w:rsidRDefault="003F0D4E" w:rsidP="00D22D3F">
      <w:pPr>
        <w:pStyle w:val="Definition"/>
      </w:pPr>
      <w:r w:rsidRPr="00097A86">
        <w:rPr>
          <w:b/>
          <w:i/>
        </w:rPr>
        <w:t>EC</w:t>
      </w:r>
      <w:r w:rsidRPr="00097A86">
        <w:rPr>
          <w:b/>
          <w:i/>
          <w:szCs w:val="22"/>
          <w:vertAlign w:val="subscript"/>
        </w:rPr>
        <w:t>i</w:t>
      </w:r>
      <w:r w:rsidRPr="00097A86">
        <w:rPr>
          <w:b/>
          <w:i/>
        </w:rPr>
        <w:t xml:space="preserve"> </w:t>
      </w:r>
      <w:r w:rsidRPr="00097A86">
        <w:t>is the energy content factor of fuel type (</w:t>
      </w:r>
      <w:r w:rsidRPr="00097A86">
        <w:rPr>
          <w:b/>
          <w:i/>
        </w:rPr>
        <w:t>i</w:t>
      </w:r>
      <w:r w:rsidRPr="00097A86">
        <w:t xml:space="preserve">) as obtained under </w:t>
      </w:r>
      <w:r w:rsidR="00097A86">
        <w:t>subsection (</w:t>
      </w:r>
      <w:r w:rsidRPr="00097A86">
        <w:t>1).</w:t>
      </w:r>
    </w:p>
    <w:p w14:paraId="08D4E652" w14:textId="77777777" w:rsidR="003F0D4E" w:rsidRPr="00097A86" w:rsidRDefault="003F0D4E" w:rsidP="00D22D3F">
      <w:pPr>
        <w:pStyle w:val="subsection"/>
      </w:pPr>
      <w:r w:rsidRPr="00097A86">
        <w:tab/>
        <w:t>(3)</w:t>
      </w:r>
      <w:r w:rsidRPr="00097A86">
        <w:tab/>
        <w:t xml:space="preserve">For </w:t>
      </w:r>
      <w:r w:rsidRPr="00097A86">
        <w:rPr>
          <w:b/>
          <w:i/>
        </w:rPr>
        <w:t>EF</w:t>
      </w:r>
      <w:r w:rsidRPr="00097A86">
        <w:rPr>
          <w:b/>
          <w:i/>
          <w:szCs w:val="22"/>
          <w:vertAlign w:val="subscript"/>
        </w:rPr>
        <w:t>ico</w:t>
      </w:r>
      <w:r w:rsidRPr="00097A86">
        <w:rPr>
          <w:b/>
          <w:i/>
          <w:position w:val="-6"/>
          <w:szCs w:val="22"/>
          <w:vertAlign w:val="subscript"/>
        </w:rPr>
        <w:t>2</w:t>
      </w:r>
      <w:r w:rsidRPr="00097A86">
        <w:rPr>
          <w:b/>
          <w:i/>
          <w:szCs w:val="22"/>
          <w:vertAlign w:val="subscript"/>
        </w:rPr>
        <w:t>ox,kg</w:t>
      </w:r>
      <w:r w:rsidRPr="00097A86">
        <w:t xml:space="preserve"> in </w:t>
      </w:r>
      <w:r w:rsidR="00097A86">
        <w:t>subsection (</w:t>
      </w:r>
      <w:r w:rsidRPr="00097A86">
        <w:t>2), work out as follows:</w:t>
      </w:r>
    </w:p>
    <w:p w14:paraId="6A949A2C"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9F40605" wp14:editId="6197BF09">
            <wp:extent cx="2047875" cy="409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p>
    <w:p w14:paraId="61EB87A3" w14:textId="77777777" w:rsidR="003F0D4E" w:rsidRPr="00097A86" w:rsidRDefault="003F0D4E" w:rsidP="00D22D3F">
      <w:pPr>
        <w:pStyle w:val="subsection2"/>
      </w:pPr>
      <w:r w:rsidRPr="00097A86">
        <w:t>where:</w:t>
      </w:r>
    </w:p>
    <w:p w14:paraId="23BF6982" w14:textId="77777777" w:rsidR="003F0D4E" w:rsidRPr="00097A86" w:rsidRDefault="003F0D4E" w:rsidP="00D22D3F">
      <w:pPr>
        <w:pStyle w:val="Definition"/>
      </w:pPr>
      <w:r w:rsidRPr="00097A86">
        <w:rPr>
          <w:b/>
          <w:i/>
        </w:rPr>
        <w:lastRenderedPageBreak/>
        <w:t>C</w:t>
      </w:r>
      <w:r w:rsidRPr="00097A86">
        <w:rPr>
          <w:rStyle w:val="charSubscript"/>
          <w:b/>
          <w:i/>
        </w:rPr>
        <w:t xml:space="preserve">ar </w:t>
      </w:r>
      <w:r w:rsidRPr="00097A86">
        <w:t>is the percentage of carbon in fuel type (</w:t>
      </w:r>
      <w:r w:rsidRPr="00097A86">
        <w:rPr>
          <w:b/>
          <w:i/>
        </w:rPr>
        <w:t>i</w:t>
      </w:r>
      <w:r w:rsidRPr="00097A86">
        <w:t xml:space="preserve">), as received for the facility or as </w:t>
      </w:r>
      <w:r w:rsidR="00FF3DC6" w:rsidRPr="00097A86">
        <w:t>combusted</w:t>
      </w:r>
      <w:r w:rsidRPr="00097A86">
        <w:t xml:space="preserve"> from the operation of the facility, worked out under </w:t>
      </w:r>
      <w:r w:rsidR="00097A86">
        <w:t>subsection (</w:t>
      </w:r>
      <w:r w:rsidRPr="00097A86">
        <w:t>4).</w:t>
      </w:r>
    </w:p>
    <w:p w14:paraId="013F6C48" w14:textId="77777777" w:rsidR="00B41F69" w:rsidRPr="00097A86" w:rsidRDefault="00B41F69" w:rsidP="00B41F69">
      <w:pPr>
        <w:pStyle w:val="Definition"/>
      </w:pPr>
      <w:r w:rsidRPr="00097A86">
        <w:rPr>
          <w:b/>
          <w:i/>
        </w:rPr>
        <w:t>OF</w:t>
      </w:r>
      <w:r w:rsidRPr="00097A86">
        <w:rPr>
          <w:b/>
          <w:i/>
          <w:vertAlign w:val="subscript"/>
        </w:rPr>
        <w:t>s</w:t>
      </w:r>
      <w:r w:rsidRPr="00097A86">
        <w:t>, or oxidation factor, is 1.0.</w:t>
      </w:r>
    </w:p>
    <w:p w14:paraId="7929C7A4" w14:textId="77777777" w:rsidR="003F0D4E" w:rsidRPr="00097A86" w:rsidRDefault="003F0D4E" w:rsidP="00D22D3F">
      <w:pPr>
        <w:pStyle w:val="subsection"/>
      </w:pPr>
      <w:r w:rsidRPr="00097A86">
        <w:tab/>
        <w:t>(4)</w:t>
      </w:r>
      <w:r w:rsidRPr="00097A86">
        <w:tab/>
        <w:t xml:space="preserve">For </w:t>
      </w:r>
      <w:r w:rsidRPr="00097A86">
        <w:rPr>
          <w:b/>
          <w:i/>
        </w:rPr>
        <w:t>C</w:t>
      </w:r>
      <w:r w:rsidRPr="00097A86">
        <w:rPr>
          <w:rStyle w:val="charSubscript"/>
          <w:b/>
          <w:i/>
          <w:sz w:val="22"/>
        </w:rPr>
        <w:t>ar</w:t>
      </w:r>
      <w:r w:rsidRPr="00097A86">
        <w:rPr>
          <w:rStyle w:val="charSubscript"/>
          <w:sz w:val="22"/>
        </w:rPr>
        <w:t xml:space="preserve"> </w:t>
      </w:r>
      <w:r w:rsidRPr="00097A86">
        <w:t xml:space="preserve">in </w:t>
      </w:r>
      <w:r w:rsidR="00097A86">
        <w:t>subsection (</w:t>
      </w:r>
      <w:r w:rsidRPr="00097A86">
        <w:t>3),</w:t>
      </w:r>
      <w:r w:rsidRPr="00097A86">
        <w:rPr>
          <w:rStyle w:val="charSubscript"/>
          <w:sz w:val="22"/>
        </w:rPr>
        <w:t xml:space="preserve"> </w:t>
      </w:r>
      <w:r w:rsidRPr="00097A86">
        <w:t>work out as follows:</w:t>
      </w:r>
    </w:p>
    <w:p w14:paraId="52DCD557"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588B894" wp14:editId="391DC65B">
            <wp:extent cx="2009775" cy="409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9775" cy="409575"/>
                    </a:xfrm>
                    <a:prstGeom prst="rect">
                      <a:avLst/>
                    </a:prstGeom>
                    <a:noFill/>
                    <a:ln>
                      <a:noFill/>
                    </a:ln>
                  </pic:spPr>
                </pic:pic>
              </a:graphicData>
            </a:graphic>
          </wp:inline>
        </w:drawing>
      </w:r>
    </w:p>
    <w:p w14:paraId="7CF14C3C" w14:textId="77777777" w:rsidR="003F0D4E" w:rsidRPr="00097A86" w:rsidRDefault="003F0D4E" w:rsidP="00D22D3F">
      <w:pPr>
        <w:pStyle w:val="subsection2"/>
      </w:pPr>
      <w:r w:rsidRPr="00097A86">
        <w:t>where:</w:t>
      </w:r>
    </w:p>
    <w:p w14:paraId="50068DA3" w14:textId="77777777" w:rsidR="003F0D4E" w:rsidRPr="00097A86" w:rsidRDefault="003F0D4E" w:rsidP="00D22D3F">
      <w:pPr>
        <w:pStyle w:val="Definition"/>
      </w:pPr>
      <w:r w:rsidRPr="00097A86">
        <w:rPr>
          <w:b/>
          <w:i/>
        </w:rPr>
        <w:t>C</w:t>
      </w:r>
      <w:r w:rsidRPr="00097A86">
        <w:rPr>
          <w:rStyle w:val="charSubscript"/>
          <w:b/>
          <w:i/>
        </w:rPr>
        <w:t>daf</w:t>
      </w:r>
      <w:r w:rsidRPr="00097A86">
        <w:rPr>
          <w:b/>
          <w:i/>
        </w:rPr>
        <w:t xml:space="preserve"> </w:t>
      </w:r>
      <w:r w:rsidRPr="00097A86">
        <w:t>is the amount of carbon in fuel type (</w:t>
      </w:r>
      <w:r w:rsidRPr="00097A86">
        <w:rPr>
          <w:b/>
          <w:i/>
        </w:rPr>
        <w:t>i</w:t>
      </w:r>
      <w:r w:rsidRPr="00097A86">
        <w:t>) as a percentage of the dry ash</w:t>
      </w:r>
      <w:r w:rsidR="00097A86">
        <w:noBreakHyphen/>
      </w:r>
      <w:r w:rsidRPr="00097A86">
        <w:t>free mass of the fuel estimated using the sampling and analysis provided for in Subdivision</w:t>
      </w:r>
      <w:r w:rsidR="00097A86">
        <w:t> </w:t>
      </w:r>
      <w:r w:rsidRPr="00097A86">
        <w:t>2.2.3.3.</w:t>
      </w:r>
    </w:p>
    <w:p w14:paraId="2674792A" w14:textId="77777777" w:rsidR="003F0D4E" w:rsidRPr="00097A86" w:rsidRDefault="003F0D4E" w:rsidP="00D22D3F">
      <w:pPr>
        <w:pStyle w:val="Definition"/>
      </w:pPr>
      <w:r w:rsidRPr="00097A86">
        <w:rPr>
          <w:b/>
          <w:i/>
        </w:rPr>
        <w:t>M</w:t>
      </w:r>
      <w:r w:rsidRPr="00097A86">
        <w:rPr>
          <w:rStyle w:val="charSubscript"/>
          <w:b/>
          <w:i/>
        </w:rPr>
        <w:t>ar</w:t>
      </w:r>
      <w:r w:rsidRPr="00097A86">
        <w:rPr>
          <w:b/>
          <w:i/>
        </w:rPr>
        <w:t xml:space="preserve"> </w:t>
      </w:r>
      <w:r w:rsidRPr="00097A86">
        <w:t>is the amount of moisture in fuel type (</w:t>
      </w:r>
      <w:r w:rsidRPr="00097A86">
        <w:rPr>
          <w:b/>
          <w:i/>
        </w:rPr>
        <w:t>i</w:t>
      </w:r>
      <w:r w:rsidRPr="00097A86">
        <w:t xml:space="preserve">) as a percentage of the as received or as </w:t>
      </w:r>
      <w:r w:rsidR="00FF3DC6" w:rsidRPr="00097A86">
        <w:t>combusted</w:t>
      </w:r>
      <w:r w:rsidRPr="00097A86">
        <w:t xml:space="preserve"> mass of the fuel estimated using the sampling and analysis provided for in Subdivision</w:t>
      </w:r>
      <w:r w:rsidR="00097A86">
        <w:t> </w:t>
      </w:r>
      <w:r w:rsidRPr="00097A86">
        <w:t>2.2.3.3.</w:t>
      </w:r>
    </w:p>
    <w:p w14:paraId="5D58F6A7" w14:textId="77777777" w:rsidR="003F0D4E" w:rsidRPr="00097A86" w:rsidRDefault="003F0D4E" w:rsidP="00D22D3F">
      <w:pPr>
        <w:pStyle w:val="Definition"/>
      </w:pPr>
      <w:r w:rsidRPr="00097A86">
        <w:rPr>
          <w:b/>
          <w:i/>
        </w:rPr>
        <w:t>A</w:t>
      </w:r>
      <w:r w:rsidRPr="00097A86">
        <w:rPr>
          <w:rStyle w:val="charSubscript"/>
          <w:b/>
          <w:i/>
        </w:rPr>
        <w:t>ar</w:t>
      </w:r>
      <w:r w:rsidRPr="00097A86">
        <w:rPr>
          <w:b/>
          <w:i/>
        </w:rPr>
        <w:t xml:space="preserve"> </w:t>
      </w:r>
      <w:r w:rsidRPr="00097A86">
        <w:t>is the amount of ash in fuel type (</w:t>
      </w:r>
      <w:r w:rsidRPr="00097A86">
        <w:rPr>
          <w:b/>
          <w:i/>
        </w:rPr>
        <w:t>i</w:t>
      </w:r>
      <w:r w:rsidRPr="00097A86">
        <w:t xml:space="preserve">) as a percentage of the as received or as </w:t>
      </w:r>
      <w:r w:rsidR="00FF3DC6" w:rsidRPr="00097A86">
        <w:t>combusted</w:t>
      </w:r>
      <w:r w:rsidRPr="00097A86">
        <w:t xml:space="preserve"> mass of the fuel estimated using the sampling and analysis provided for in Subdivision</w:t>
      </w:r>
      <w:r w:rsidR="00097A86">
        <w:t> </w:t>
      </w:r>
      <w:r w:rsidRPr="00097A86">
        <w:t>2.2.3.3.</w:t>
      </w:r>
    </w:p>
    <w:p w14:paraId="38FB5FED" w14:textId="77777777" w:rsidR="003F0D4E" w:rsidRPr="00097A86" w:rsidRDefault="003F0D4E" w:rsidP="00D22D3F">
      <w:pPr>
        <w:pStyle w:val="ActHead4"/>
      </w:pPr>
      <w:bookmarkStart w:id="97" w:name="_Toc13233545"/>
      <w:r w:rsidRPr="00097A86">
        <w:rPr>
          <w:rStyle w:val="CharSubdNo"/>
        </w:rPr>
        <w:t>Subdivision</w:t>
      </w:r>
      <w:r w:rsidR="00097A86">
        <w:rPr>
          <w:rStyle w:val="CharSubdNo"/>
        </w:rPr>
        <w:t> </w:t>
      </w:r>
      <w:r w:rsidRPr="00097A86">
        <w:rPr>
          <w:rStyle w:val="CharSubdNo"/>
        </w:rPr>
        <w:t>2.2.3.2</w:t>
      </w:r>
      <w:r w:rsidR="00D22D3F" w:rsidRPr="00097A86">
        <w:t>—</w:t>
      </w:r>
      <w:r w:rsidRPr="00097A86">
        <w:rPr>
          <w:rStyle w:val="CharSubdText"/>
        </w:rPr>
        <w:t>Method 2</w:t>
      </w:r>
      <w:r w:rsidR="00D22D3F" w:rsidRPr="00097A86">
        <w:rPr>
          <w:rStyle w:val="CharSubdText"/>
        </w:rPr>
        <w:t>—</w:t>
      </w:r>
      <w:r w:rsidRPr="00097A86">
        <w:rPr>
          <w:rStyle w:val="CharSubdText"/>
        </w:rPr>
        <w:t>estimating carbon dioxide using an estimated oxidation factor</w:t>
      </w:r>
      <w:bookmarkEnd w:id="97"/>
    </w:p>
    <w:p w14:paraId="1E9BD939" w14:textId="77777777" w:rsidR="003F0D4E" w:rsidRPr="00097A86" w:rsidRDefault="003F0D4E" w:rsidP="00D22D3F">
      <w:pPr>
        <w:pStyle w:val="ActHead5"/>
      </w:pPr>
      <w:bookmarkStart w:id="98" w:name="_Toc13233546"/>
      <w:r w:rsidRPr="00097A86">
        <w:rPr>
          <w:rStyle w:val="CharSectno"/>
        </w:rPr>
        <w:t>2.6</w:t>
      </w:r>
      <w:r w:rsidR="00D22D3F" w:rsidRPr="00097A86">
        <w:t xml:space="preserve">  </w:t>
      </w:r>
      <w:r w:rsidRPr="00097A86">
        <w:t>Method 2</w:t>
      </w:r>
      <w:r w:rsidR="00D22D3F" w:rsidRPr="00097A86">
        <w:t>—</w:t>
      </w:r>
      <w:r w:rsidRPr="00097A86">
        <w:t>estimating carbon dioxide using an estimated oxidation factor</w:t>
      </w:r>
      <w:bookmarkEnd w:id="98"/>
    </w:p>
    <w:p w14:paraId="5BE9162E" w14:textId="77777777" w:rsidR="003F0D4E" w:rsidRPr="00097A86" w:rsidRDefault="003F0D4E" w:rsidP="00D22D3F">
      <w:pPr>
        <w:pStyle w:val="subsection"/>
      </w:pPr>
      <w:r w:rsidRPr="00097A86">
        <w:tab/>
        <w:t>(1)</w:t>
      </w:r>
      <w:r w:rsidRPr="00097A86">
        <w:tab/>
        <w:t>For subparagraph</w:t>
      </w:r>
      <w:r w:rsidR="00097A86">
        <w:t> </w:t>
      </w:r>
      <w:r w:rsidRPr="00097A86">
        <w:t>2.3(1)(a)(ii), method 2 is:</w:t>
      </w:r>
    </w:p>
    <w:p w14:paraId="1804BE93" w14:textId="77777777" w:rsidR="007B5B70" w:rsidRPr="00097A86" w:rsidRDefault="00D22D3F" w:rsidP="00D22D3F">
      <w:pPr>
        <w:pStyle w:val="subsection"/>
        <w:spacing w:before="120" w:after="120"/>
      </w:pPr>
      <w:r w:rsidRPr="00097A86">
        <w:tab/>
      </w:r>
      <w:r w:rsidRPr="00097A86">
        <w:tab/>
      </w:r>
      <w:r w:rsidR="009E1F90">
        <w:rPr>
          <w:noProof/>
        </w:rPr>
        <w:drawing>
          <wp:inline distT="0" distB="0" distL="0" distR="0" wp14:anchorId="464F5A90" wp14:editId="6D52276B">
            <wp:extent cx="2447925" cy="409575"/>
            <wp:effectExtent l="0" t="0" r="0" b="9525"/>
            <wp:docPr id="2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p w14:paraId="090FDB68" w14:textId="77777777" w:rsidR="003F0D4E" w:rsidRPr="00097A86" w:rsidRDefault="003F0D4E" w:rsidP="00D22D3F">
      <w:pPr>
        <w:pStyle w:val="subsection2"/>
      </w:pPr>
      <w:r w:rsidRPr="00097A86">
        <w:t>where:</w:t>
      </w:r>
    </w:p>
    <w:p w14:paraId="4060DBA1" w14:textId="77777777" w:rsidR="003F0D4E" w:rsidRPr="00097A86" w:rsidRDefault="003F0D4E" w:rsidP="00D22D3F">
      <w:pPr>
        <w:pStyle w:val="Definition"/>
        <w:rPr>
          <w:b/>
          <w:i/>
        </w:rPr>
      </w:pPr>
      <w:r w:rsidRPr="00097A86">
        <w:rPr>
          <w:b/>
          <w:i/>
        </w:rPr>
        <w:t>E</w:t>
      </w:r>
      <w:r w:rsidRPr="00097A86">
        <w:rPr>
          <w:b/>
          <w:i/>
          <w:vertAlign w:val="subscript"/>
        </w:rPr>
        <w:t>ico</w:t>
      </w:r>
      <w:r w:rsidRPr="00097A86">
        <w:rPr>
          <w:b/>
          <w:i/>
          <w:position w:val="-6"/>
          <w:szCs w:val="22"/>
          <w:vertAlign w:val="subscript"/>
        </w:rPr>
        <w:t>2</w:t>
      </w:r>
      <w:r w:rsidRPr="00097A86">
        <w:rPr>
          <w:b/>
          <w:i/>
          <w:vertAlign w:val="subscript"/>
        </w:rPr>
        <w:t xml:space="preserve"> </w:t>
      </w:r>
      <w:r w:rsidRPr="00097A86">
        <w:t>means the emissions of carbon dioxide released from the combustion of fuel type (</w:t>
      </w:r>
      <w:r w:rsidRPr="00097A86">
        <w:rPr>
          <w:b/>
          <w:i/>
        </w:rPr>
        <w:t>i</w:t>
      </w:r>
      <w:r w:rsidRPr="00097A86">
        <w:t>) from the operation of the facility during the year measured in CO</w:t>
      </w:r>
      <w:r w:rsidRPr="00097A86">
        <w:rPr>
          <w:vertAlign w:val="subscript"/>
        </w:rPr>
        <w:t>2</w:t>
      </w:r>
      <w:r w:rsidR="00097A86">
        <w:noBreakHyphen/>
      </w:r>
      <w:r w:rsidRPr="00097A86">
        <w:t>e tonnes.</w:t>
      </w:r>
    </w:p>
    <w:p w14:paraId="5ED687D4"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fuel type (</w:t>
      </w:r>
      <w:r w:rsidRPr="00097A86">
        <w:rPr>
          <w:b/>
          <w:i/>
        </w:rPr>
        <w:t>i</w:t>
      </w:r>
      <w:r w:rsidRPr="00097A86">
        <w:t>) measured in tonnes and estimated under Division</w:t>
      </w:r>
      <w:r w:rsidR="00097A86">
        <w:t> </w:t>
      </w:r>
      <w:r w:rsidRPr="00097A86">
        <w:t>2.2.5.</w:t>
      </w:r>
    </w:p>
    <w:p w14:paraId="6725AFC6" w14:textId="77777777" w:rsidR="00FF3DC6" w:rsidRPr="00097A86" w:rsidRDefault="00FF3DC6"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2BD51E04" w14:textId="77777777" w:rsidR="003F0D4E" w:rsidRPr="00097A86" w:rsidRDefault="003F0D4E" w:rsidP="00D22D3F">
      <w:pPr>
        <w:pStyle w:val="Definition"/>
      </w:pPr>
      <w:r w:rsidRPr="00097A86">
        <w:rPr>
          <w:b/>
          <w:i/>
          <w:szCs w:val="22"/>
        </w:rPr>
        <w:t>EF</w:t>
      </w:r>
      <w:r w:rsidRPr="00097A86">
        <w:rPr>
          <w:b/>
          <w:i/>
          <w:szCs w:val="22"/>
          <w:vertAlign w:val="subscript"/>
        </w:rPr>
        <w:t>ico</w:t>
      </w:r>
      <w:r w:rsidRPr="00097A86">
        <w:rPr>
          <w:b/>
          <w:i/>
          <w:position w:val="-6"/>
          <w:szCs w:val="22"/>
          <w:vertAlign w:val="subscript"/>
        </w:rPr>
        <w:t>2</w:t>
      </w:r>
      <w:r w:rsidRPr="00097A86">
        <w:rPr>
          <w:b/>
          <w:i/>
          <w:szCs w:val="22"/>
          <w:vertAlign w:val="subscript"/>
        </w:rPr>
        <w:t>oxec</w:t>
      </w:r>
      <w:r w:rsidRPr="00097A86">
        <w:rPr>
          <w:b/>
          <w:i/>
        </w:rPr>
        <w:t xml:space="preserve"> </w:t>
      </w:r>
      <w:r w:rsidRPr="00097A86">
        <w:t xml:space="preserve">is the amount worked out under </w:t>
      </w:r>
      <w:r w:rsidR="00097A86">
        <w:t>subsection (</w:t>
      </w:r>
      <w:r w:rsidRPr="00097A86">
        <w:t>2).</w:t>
      </w:r>
    </w:p>
    <w:p w14:paraId="29ED4630" w14:textId="77777777" w:rsidR="007B5B70" w:rsidRPr="00097A86" w:rsidRDefault="007B5B70"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0EAA64E6" w14:textId="77777777" w:rsidR="007B5B70" w:rsidRPr="00097A86" w:rsidRDefault="007B5B70" w:rsidP="00D22D3F">
      <w:pPr>
        <w:pStyle w:val="Definition"/>
      </w:pPr>
      <w:r w:rsidRPr="00097A86">
        <w:rPr>
          <w:b/>
          <w:i/>
        </w:rPr>
        <w:t>RCCS</w:t>
      </w:r>
      <w:r w:rsidRPr="00097A86">
        <w:rPr>
          <w:b/>
          <w:i/>
          <w:vertAlign w:val="subscript"/>
        </w:rPr>
        <w:t>CO</w:t>
      </w:r>
      <w:r w:rsidRPr="00097A86">
        <w:rPr>
          <w:b/>
          <w:i/>
          <w:position w:val="-6"/>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39ED8DA4" w14:textId="77777777" w:rsidR="003F0D4E" w:rsidRPr="00097A86" w:rsidRDefault="003F0D4E" w:rsidP="00D22D3F">
      <w:pPr>
        <w:pStyle w:val="subsection"/>
      </w:pPr>
      <w:r w:rsidRPr="00097A86">
        <w:lastRenderedPageBreak/>
        <w:tab/>
        <w:t>(2)</w:t>
      </w:r>
      <w:r w:rsidRPr="00097A86">
        <w:tab/>
        <w:t xml:space="preserve">For </w:t>
      </w:r>
      <w:r w:rsidRPr="00097A86">
        <w:rPr>
          <w:b/>
          <w:i/>
          <w:szCs w:val="22"/>
        </w:rPr>
        <w:t>EF</w:t>
      </w:r>
      <w:r w:rsidRPr="00097A86">
        <w:rPr>
          <w:b/>
          <w:i/>
          <w:szCs w:val="22"/>
          <w:vertAlign w:val="subscript"/>
        </w:rPr>
        <w:t>ico</w:t>
      </w:r>
      <w:r w:rsidRPr="00097A86">
        <w:rPr>
          <w:b/>
          <w:i/>
          <w:position w:val="-6"/>
          <w:szCs w:val="22"/>
          <w:vertAlign w:val="subscript"/>
        </w:rPr>
        <w:t>2</w:t>
      </w:r>
      <w:r w:rsidRPr="00097A86">
        <w:rPr>
          <w:b/>
          <w:i/>
          <w:szCs w:val="22"/>
          <w:vertAlign w:val="subscript"/>
        </w:rPr>
        <w:t>oxec</w:t>
      </w:r>
      <w:r w:rsidRPr="00097A86">
        <w:t xml:space="preserve"> in </w:t>
      </w:r>
      <w:r w:rsidR="00097A86">
        <w:t>subsection (</w:t>
      </w:r>
      <w:r w:rsidRPr="00097A86">
        <w:t>1), work out as follows:</w:t>
      </w:r>
    </w:p>
    <w:p w14:paraId="695FAE5B"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03BF1D4D" wp14:editId="55D3B5F7">
            <wp:extent cx="185737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14:paraId="16B0DAD6" w14:textId="77777777" w:rsidR="003F0D4E" w:rsidRPr="00097A86" w:rsidRDefault="003F0D4E" w:rsidP="00D22D3F">
      <w:pPr>
        <w:pStyle w:val="Definition"/>
      </w:pPr>
      <w:r w:rsidRPr="00097A86">
        <w:t>where:</w:t>
      </w:r>
    </w:p>
    <w:p w14:paraId="19C80E4C" w14:textId="77777777" w:rsidR="003F0D4E" w:rsidRPr="00097A86" w:rsidRDefault="003F0D4E" w:rsidP="00D22D3F">
      <w:pPr>
        <w:pStyle w:val="Definition"/>
      </w:pPr>
      <w:r w:rsidRPr="00097A86">
        <w:rPr>
          <w:b/>
          <w:i/>
        </w:rPr>
        <w:t>EF</w:t>
      </w:r>
      <w:r w:rsidRPr="00097A86">
        <w:rPr>
          <w:b/>
          <w:i/>
          <w:szCs w:val="22"/>
          <w:vertAlign w:val="subscript"/>
        </w:rPr>
        <w:t>ico</w:t>
      </w:r>
      <w:r w:rsidRPr="00097A86">
        <w:rPr>
          <w:b/>
          <w:i/>
          <w:position w:val="-6"/>
          <w:szCs w:val="22"/>
          <w:vertAlign w:val="subscript"/>
        </w:rPr>
        <w:t>2</w:t>
      </w:r>
      <w:r w:rsidRPr="00097A86">
        <w:rPr>
          <w:b/>
          <w:i/>
          <w:szCs w:val="22"/>
          <w:vertAlign w:val="subscript"/>
        </w:rPr>
        <w:t>ox,kg</w:t>
      </w:r>
      <w:r w:rsidRPr="00097A86">
        <w:rPr>
          <w:b/>
          <w:i/>
          <w:vertAlign w:val="subscript"/>
        </w:rPr>
        <w:t xml:space="preserve"> </w:t>
      </w:r>
      <w:r w:rsidRPr="00097A86">
        <w:t>is the carbon dioxide emission factor for the type of fuel measured in kilograms of CO</w:t>
      </w:r>
      <w:r w:rsidRPr="00097A86">
        <w:rPr>
          <w:vertAlign w:val="subscript"/>
        </w:rPr>
        <w:t>2</w:t>
      </w:r>
      <w:r w:rsidR="00097A86">
        <w:noBreakHyphen/>
      </w:r>
      <w:r w:rsidRPr="00097A86">
        <w:t xml:space="preserve">e per kilogram of the type of fuel as worked out under </w:t>
      </w:r>
      <w:r w:rsidR="00097A86">
        <w:t>subsection (</w:t>
      </w:r>
      <w:r w:rsidRPr="00097A86">
        <w:t>3).</w:t>
      </w:r>
    </w:p>
    <w:p w14:paraId="2AD9492F" w14:textId="77777777" w:rsidR="003F0D4E" w:rsidRPr="00097A86" w:rsidRDefault="003F0D4E" w:rsidP="00D22D3F">
      <w:pPr>
        <w:pStyle w:val="Definition"/>
      </w:pPr>
      <w:r w:rsidRPr="00097A86">
        <w:rPr>
          <w:b/>
          <w:i/>
        </w:rPr>
        <w:t>EC</w:t>
      </w:r>
      <w:r w:rsidRPr="00097A86">
        <w:rPr>
          <w:b/>
          <w:i/>
          <w:szCs w:val="22"/>
          <w:vertAlign w:val="subscript"/>
        </w:rPr>
        <w:t>i</w:t>
      </w:r>
      <w:r w:rsidRPr="00097A86">
        <w:rPr>
          <w:b/>
          <w:i/>
        </w:rPr>
        <w:t xml:space="preserve"> </w:t>
      </w:r>
      <w:r w:rsidRPr="00097A86">
        <w:t>is the energy content factor of fuel type (</w:t>
      </w:r>
      <w:r w:rsidRPr="00097A86">
        <w:rPr>
          <w:b/>
          <w:i/>
        </w:rPr>
        <w:t>i</w:t>
      </w:r>
      <w:r w:rsidRPr="00097A86">
        <w:t xml:space="preserve">) as obtained under </w:t>
      </w:r>
      <w:r w:rsidR="00097A86">
        <w:t>subsection (</w:t>
      </w:r>
      <w:r w:rsidRPr="00097A86">
        <w:t>1).</w:t>
      </w:r>
    </w:p>
    <w:p w14:paraId="6CD9662A" w14:textId="77777777" w:rsidR="003F0D4E" w:rsidRPr="00097A86" w:rsidRDefault="003F0D4E" w:rsidP="00D22D3F">
      <w:pPr>
        <w:pStyle w:val="subsection"/>
      </w:pPr>
      <w:r w:rsidRPr="00097A86">
        <w:tab/>
        <w:t>(3)</w:t>
      </w:r>
      <w:r w:rsidRPr="00097A86">
        <w:tab/>
        <w:t xml:space="preserve">For </w:t>
      </w:r>
      <w:r w:rsidRPr="00097A86">
        <w:rPr>
          <w:b/>
          <w:i/>
        </w:rPr>
        <w:t>EF</w:t>
      </w:r>
      <w:r w:rsidRPr="00097A86">
        <w:rPr>
          <w:b/>
          <w:i/>
          <w:szCs w:val="22"/>
          <w:vertAlign w:val="subscript"/>
        </w:rPr>
        <w:t>ico</w:t>
      </w:r>
      <w:r w:rsidRPr="00097A86">
        <w:rPr>
          <w:b/>
          <w:i/>
          <w:position w:val="-6"/>
          <w:szCs w:val="22"/>
          <w:vertAlign w:val="subscript"/>
        </w:rPr>
        <w:t>2</w:t>
      </w:r>
      <w:r w:rsidRPr="00097A86">
        <w:rPr>
          <w:b/>
          <w:i/>
          <w:szCs w:val="22"/>
          <w:vertAlign w:val="subscript"/>
        </w:rPr>
        <w:t>ox,kg</w:t>
      </w:r>
      <w:r w:rsidRPr="00097A86">
        <w:t xml:space="preserve"> in </w:t>
      </w:r>
      <w:r w:rsidR="00097A86">
        <w:t>subsection (</w:t>
      </w:r>
      <w:r w:rsidRPr="00097A86">
        <w:t>2), estimate as follows:</w:t>
      </w:r>
    </w:p>
    <w:p w14:paraId="6B314E25" w14:textId="77777777" w:rsidR="003F0D4E" w:rsidRPr="00097A86" w:rsidRDefault="00D22D3F" w:rsidP="00127D4D">
      <w:pPr>
        <w:pStyle w:val="subsection"/>
        <w:spacing w:before="120" w:after="120"/>
      </w:pPr>
      <w:r w:rsidRPr="00097A86">
        <w:tab/>
      </w:r>
      <w:r w:rsidR="005A1961" w:rsidRPr="00097A86">
        <w:rPr>
          <w:noProof/>
        </w:rPr>
        <w:drawing>
          <wp:inline distT="0" distB="0" distL="0" distR="0" wp14:anchorId="35F897E7" wp14:editId="1CE84439">
            <wp:extent cx="4562475" cy="676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2475" cy="676275"/>
                    </a:xfrm>
                    <a:prstGeom prst="rect">
                      <a:avLst/>
                    </a:prstGeom>
                    <a:noFill/>
                    <a:ln>
                      <a:noFill/>
                    </a:ln>
                  </pic:spPr>
                </pic:pic>
              </a:graphicData>
            </a:graphic>
          </wp:inline>
        </w:drawing>
      </w:r>
    </w:p>
    <w:p w14:paraId="5D8FC911" w14:textId="77777777" w:rsidR="003F0D4E" w:rsidRPr="00097A86" w:rsidRDefault="003F0D4E" w:rsidP="00D22D3F">
      <w:pPr>
        <w:pStyle w:val="subsection2"/>
      </w:pPr>
      <w:r w:rsidRPr="00097A86">
        <w:t>where:</w:t>
      </w:r>
    </w:p>
    <w:p w14:paraId="7021731B" w14:textId="77777777" w:rsidR="003F0D4E" w:rsidRPr="00097A86" w:rsidRDefault="003F0D4E" w:rsidP="00D22D3F">
      <w:pPr>
        <w:pStyle w:val="Definition"/>
      </w:pPr>
      <w:r w:rsidRPr="00097A86">
        <w:rPr>
          <w:b/>
          <w:i/>
        </w:rPr>
        <w:t>C</w:t>
      </w:r>
      <w:r w:rsidRPr="00097A86">
        <w:rPr>
          <w:rStyle w:val="charSubscript"/>
          <w:b/>
          <w:i/>
        </w:rPr>
        <w:t xml:space="preserve">ar </w:t>
      </w:r>
      <w:r w:rsidRPr="00097A86">
        <w:t>is the percentage of carbon in fuel type (</w:t>
      </w:r>
      <w:r w:rsidRPr="00097A86">
        <w:rPr>
          <w:b/>
          <w:i/>
        </w:rPr>
        <w:t>i</w:t>
      </w:r>
      <w:r w:rsidRPr="00097A86">
        <w:t xml:space="preserve">), as received for the facility or as </w:t>
      </w:r>
      <w:r w:rsidR="00FF3DC6" w:rsidRPr="00097A86">
        <w:t>combusted</w:t>
      </w:r>
      <w:r w:rsidRPr="00097A86">
        <w:t xml:space="preserve"> from the operation of the facility, worked out under </w:t>
      </w:r>
      <w:r w:rsidR="00097A86">
        <w:t>subsection (</w:t>
      </w:r>
      <w:r w:rsidRPr="00097A86">
        <w:t>4).</w:t>
      </w:r>
    </w:p>
    <w:p w14:paraId="4E49BC28" w14:textId="77777777" w:rsidR="003F0D4E" w:rsidRPr="00097A86" w:rsidRDefault="003F0D4E" w:rsidP="00D22D3F">
      <w:pPr>
        <w:pStyle w:val="Definition"/>
      </w:pPr>
      <w:r w:rsidRPr="00097A86">
        <w:rPr>
          <w:b/>
          <w:i/>
        </w:rPr>
        <w:t>C</w:t>
      </w:r>
      <w:r w:rsidRPr="00097A86">
        <w:rPr>
          <w:rStyle w:val="charSubscript"/>
          <w:b/>
          <w:i/>
        </w:rPr>
        <w:t>a</w:t>
      </w:r>
      <w:r w:rsidRPr="00097A86">
        <w:rPr>
          <w:b/>
          <w:i/>
        </w:rPr>
        <w:t xml:space="preserve"> </w:t>
      </w:r>
      <w:r w:rsidRPr="00097A86">
        <w:t>is the amount of carbon in the ash estimated as a percentage of the as</w:t>
      </w:r>
      <w:r w:rsidR="00097A86">
        <w:noBreakHyphen/>
      </w:r>
      <w:r w:rsidRPr="00097A86">
        <w:t>sampled mass that is the weighted average of fly ash and ash by sampling and analysis in accordance with Subdivision</w:t>
      </w:r>
      <w:r w:rsidR="00097A86">
        <w:t> </w:t>
      </w:r>
      <w:r w:rsidRPr="00097A86">
        <w:t>2.2.3.3.</w:t>
      </w:r>
    </w:p>
    <w:p w14:paraId="7DC4335A" w14:textId="77777777" w:rsidR="003F0D4E" w:rsidRPr="00097A86" w:rsidRDefault="003F0D4E" w:rsidP="00D22D3F">
      <w:pPr>
        <w:pStyle w:val="Definition"/>
      </w:pPr>
      <w:r w:rsidRPr="00097A86">
        <w:rPr>
          <w:b/>
          <w:i/>
        </w:rPr>
        <w:t>A</w:t>
      </w:r>
      <w:r w:rsidRPr="00097A86">
        <w:rPr>
          <w:rStyle w:val="charSubscript"/>
          <w:b/>
          <w:i/>
        </w:rPr>
        <w:t>ar</w:t>
      </w:r>
      <w:r w:rsidRPr="00097A86">
        <w:rPr>
          <w:b/>
          <w:i/>
        </w:rPr>
        <w:t xml:space="preserve"> </w:t>
      </w:r>
      <w:r w:rsidRPr="00097A86">
        <w:t>is the amount of ash in fuel type (</w:t>
      </w:r>
      <w:r w:rsidRPr="00097A86">
        <w:rPr>
          <w:b/>
          <w:i/>
        </w:rPr>
        <w:t>i</w:t>
      </w:r>
      <w:r w:rsidRPr="00097A86">
        <w:t xml:space="preserve">) as a percentage of the as received or as </w:t>
      </w:r>
      <w:r w:rsidR="00FF3DC6" w:rsidRPr="00097A86">
        <w:t>combusted</w:t>
      </w:r>
      <w:r w:rsidRPr="00097A86">
        <w:t xml:space="preserve"> mass of the fuel estimated using the sampling and analysis provided for in Subdivision</w:t>
      </w:r>
      <w:r w:rsidR="00097A86">
        <w:t> </w:t>
      </w:r>
      <w:r w:rsidRPr="00097A86">
        <w:t>2.2.3.3.</w:t>
      </w:r>
    </w:p>
    <w:p w14:paraId="6AF30851" w14:textId="77777777" w:rsidR="003F0D4E" w:rsidRPr="00097A86" w:rsidRDefault="003F0D4E" w:rsidP="00D22D3F">
      <w:pPr>
        <w:pStyle w:val="subsection"/>
      </w:pPr>
      <w:r w:rsidRPr="00097A86">
        <w:tab/>
        <w:t>(4)</w:t>
      </w:r>
      <w:r w:rsidRPr="00097A86">
        <w:tab/>
        <w:t xml:space="preserve">For </w:t>
      </w:r>
      <w:r w:rsidRPr="00097A86">
        <w:rPr>
          <w:b/>
          <w:i/>
        </w:rPr>
        <w:t>C</w:t>
      </w:r>
      <w:r w:rsidRPr="00097A86">
        <w:rPr>
          <w:rStyle w:val="charSubscript"/>
          <w:b/>
          <w:i/>
          <w:sz w:val="22"/>
        </w:rPr>
        <w:t>ar</w:t>
      </w:r>
      <w:r w:rsidRPr="00097A86">
        <w:t xml:space="preserve">, in </w:t>
      </w:r>
      <w:r w:rsidR="00097A86">
        <w:t>subsection (</w:t>
      </w:r>
      <w:r w:rsidRPr="00097A86">
        <w:t>3), estimate as follows:</w:t>
      </w:r>
    </w:p>
    <w:p w14:paraId="0892F8C0"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58E073E" wp14:editId="04B88269">
            <wp:extent cx="200977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9775" cy="409575"/>
                    </a:xfrm>
                    <a:prstGeom prst="rect">
                      <a:avLst/>
                    </a:prstGeom>
                    <a:noFill/>
                    <a:ln>
                      <a:noFill/>
                    </a:ln>
                  </pic:spPr>
                </pic:pic>
              </a:graphicData>
            </a:graphic>
          </wp:inline>
        </w:drawing>
      </w:r>
    </w:p>
    <w:p w14:paraId="095D91D4" w14:textId="77777777" w:rsidR="003F0D4E" w:rsidRPr="00097A86" w:rsidRDefault="003F0D4E" w:rsidP="00D22D3F">
      <w:pPr>
        <w:pStyle w:val="subsection2"/>
      </w:pPr>
      <w:r w:rsidRPr="00097A86">
        <w:t>where:</w:t>
      </w:r>
    </w:p>
    <w:p w14:paraId="65B02EB5" w14:textId="77777777" w:rsidR="003F0D4E" w:rsidRPr="00097A86" w:rsidRDefault="003F0D4E" w:rsidP="00D22D3F">
      <w:pPr>
        <w:pStyle w:val="Definition"/>
      </w:pPr>
      <w:r w:rsidRPr="00097A86">
        <w:rPr>
          <w:b/>
          <w:i/>
        </w:rPr>
        <w:t>C</w:t>
      </w:r>
      <w:r w:rsidRPr="00097A86">
        <w:rPr>
          <w:rStyle w:val="charSubscript"/>
          <w:b/>
          <w:i/>
        </w:rPr>
        <w:t>daf</w:t>
      </w:r>
      <w:r w:rsidRPr="00097A86">
        <w:rPr>
          <w:b/>
          <w:i/>
        </w:rPr>
        <w:t xml:space="preserve"> </w:t>
      </w:r>
      <w:r w:rsidRPr="00097A86">
        <w:t>is the amount of carbon in fuel type (</w:t>
      </w:r>
      <w:r w:rsidRPr="00097A86">
        <w:rPr>
          <w:b/>
          <w:i/>
        </w:rPr>
        <w:t>i</w:t>
      </w:r>
      <w:r w:rsidRPr="00097A86">
        <w:t>) as a percentage of the dry ash</w:t>
      </w:r>
      <w:r w:rsidR="00097A86">
        <w:noBreakHyphen/>
      </w:r>
      <w:r w:rsidRPr="00097A86">
        <w:t>free mass of the fuel estimated using the sampling and analysis provided for in Subdivision</w:t>
      </w:r>
      <w:r w:rsidR="00097A86">
        <w:t> </w:t>
      </w:r>
      <w:r w:rsidRPr="00097A86">
        <w:t>2.2.3.3.</w:t>
      </w:r>
    </w:p>
    <w:p w14:paraId="32FCB48A" w14:textId="77777777" w:rsidR="003F0D4E" w:rsidRPr="00097A86" w:rsidRDefault="003F0D4E" w:rsidP="00D22D3F">
      <w:pPr>
        <w:pStyle w:val="Definition"/>
      </w:pPr>
      <w:r w:rsidRPr="00097A86">
        <w:rPr>
          <w:b/>
          <w:i/>
        </w:rPr>
        <w:t>M</w:t>
      </w:r>
      <w:r w:rsidRPr="00097A86">
        <w:rPr>
          <w:rStyle w:val="charSubscript"/>
          <w:b/>
          <w:i/>
        </w:rPr>
        <w:t>ar</w:t>
      </w:r>
      <w:r w:rsidRPr="00097A86">
        <w:rPr>
          <w:b/>
          <w:i/>
        </w:rPr>
        <w:t xml:space="preserve"> </w:t>
      </w:r>
      <w:r w:rsidRPr="00097A86">
        <w:t>is the amount of moisture in fuel type (</w:t>
      </w:r>
      <w:r w:rsidRPr="00097A86">
        <w:rPr>
          <w:b/>
          <w:i/>
        </w:rPr>
        <w:t>i</w:t>
      </w:r>
      <w:r w:rsidRPr="00097A86">
        <w:t xml:space="preserve">) as a percentage of the as received or as </w:t>
      </w:r>
      <w:r w:rsidR="00FF3DC6" w:rsidRPr="00097A86">
        <w:t>combusted</w:t>
      </w:r>
      <w:r w:rsidRPr="00097A86">
        <w:t xml:space="preserve"> mass of the fuel estimated using the sampling and analysis provided for in Subdivision</w:t>
      </w:r>
      <w:r w:rsidR="00097A86">
        <w:t> </w:t>
      </w:r>
      <w:r w:rsidRPr="00097A86">
        <w:t>2.2.3.3.</w:t>
      </w:r>
    </w:p>
    <w:p w14:paraId="23A6E35B" w14:textId="77777777" w:rsidR="003F0D4E" w:rsidRPr="00097A86" w:rsidRDefault="003F0D4E" w:rsidP="00D22D3F">
      <w:pPr>
        <w:pStyle w:val="Definition"/>
      </w:pPr>
      <w:r w:rsidRPr="00097A86">
        <w:rPr>
          <w:b/>
          <w:i/>
        </w:rPr>
        <w:t>A</w:t>
      </w:r>
      <w:r w:rsidRPr="00097A86">
        <w:rPr>
          <w:rStyle w:val="charSubscript"/>
          <w:b/>
          <w:i/>
        </w:rPr>
        <w:t>ar</w:t>
      </w:r>
      <w:r w:rsidRPr="00097A86">
        <w:rPr>
          <w:b/>
          <w:i/>
        </w:rPr>
        <w:t xml:space="preserve"> </w:t>
      </w:r>
      <w:r w:rsidRPr="00097A86">
        <w:t>is the amount of ash in fuel type (</w:t>
      </w:r>
      <w:r w:rsidRPr="00097A86">
        <w:rPr>
          <w:b/>
          <w:i/>
        </w:rPr>
        <w:t>i</w:t>
      </w:r>
      <w:r w:rsidRPr="00097A86">
        <w:t xml:space="preserve">) as a percentage of the as received or as </w:t>
      </w:r>
      <w:r w:rsidR="00FF3DC6" w:rsidRPr="00097A86">
        <w:t>combusted</w:t>
      </w:r>
      <w:r w:rsidRPr="00097A86">
        <w:t xml:space="preserve"> mass of the fuel estimated using the sampling and analysis provided for in Subdivision</w:t>
      </w:r>
      <w:r w:rsidR="00097A86">
        <w:t> </w:t>
      </w:r>
      <w:r w:rsidRPr="00097A86">
        <w:t>2.2.3.3.</w:t>
      </w:r>
    </w:p>
    <w:p w14:paraId="546CF000" w14:textId="77777777" w:rsidR="003F0D4E" w:rsidRPr="00097A86" w:rsidRDefault="003F0D4E" w:rsidP="00D22D3F">
      <w:pPr>
        <w:pStyle w:val="ActHead4"/>
      </w:pPr>
      <w:bookmarkStart w:id="99" w:name="_Toc13233547"/>
      <w:r w:rsidRPr="00097A86">
        <w:rPr>
          <w:rStyle w:val="CharSubdNo"/>
        </w:rPr>
        <w:lastRenderedPageBreak/>
        <w:t>Subdivision</w:t>
      </w:r>
      <w:r w:rsidR="00097A86">
        <w:rPr>
          <w:rStyle w:val="CharSubdNo"/>
        </w:rPr>
        <w:t> </w:t>
      </w:r>
      <w:r w:rsidRPr="00097A86">
        <w:rPr>
          <w:rStyle w:val="CharSubdNo"/>
        </w:rPr>
        <w:t>2.2.3.3</w:t>
      </w:r>
      <w:r w:rsidR="00D22D3F" w:rsidRPr="00097A86">
        <w:t>—</w:t>
      </w:r>
      <w:r w:rsidRPr="00097A86">
        <w:rPr>
          <w:rStyle w:val="CharSubdText"/>
        </w:rPr>
        <w:t>Sampling and analysis for method 2 under sections</w:t>
      </w:r>
      <w:r w:rsidR="00097A86">
        <w:rPr>
          <w:rStyle w:val="CharSubdText"/>
        </w:rPr>
        <w:t> </w:t>
      </w:r>
      <w:r w:rsidRPr="00097A86">
        <w:rPr>
          <w:rStyle w:val="CharSubdText"/>
        </w:rPr>
        <w:t>2.5 and 2.6</w:t>
      </w:r>
      <w:bookmarkEnd w:id="99"/>
    </w:p>
    <w:p w14:paraId="724016F3" w14:textId="77777777" w:rsidR="003F0D4E" w:rsidRPr="00097A86" w:rsidRDefault="003F0D4E" w:rsidP="00D22D3F">
      <w:pPr>
        <w:pStyle w:val="ActHead5"/>
      </w:pPr>
      <w:bookmarkStart w:id="100" w:name="_Toc13233548"/>
      <w:r w:rsidRPr="00097A86">
        <w:rPr>
          <w:rStyle w:val="CharSectno"/>
        </w:rPr>
        <w:t>2.7</w:t>
      </w:r>
      <w:r w:rsidR="00D22D3F" w:rsidRPr="00097A86">
        <w:t xml:space="preserve">  </w:t>
      </w:r>
      <w:r w:rsidRPr="00097A86">
        <w:t>General requirements for sampling solid fuels</w:t>
      </w:r>
      <w:bookmarkEnd w:id="100"/>
    </w:p>
    <w:p w14:paraId="1FBD5826" w14:textId="77777777" w:rsidR="003F0D4E" w:rsidRPr="00097A86" w:rsidRDefault="003F0D4E" w:rsidP="00D22D3F">
      <w:pPr>
        <w:pStyle w:val="subsection"/>
      </w:pPr>
      <w:r w:rsidRPr="00097A86">
        <w:tab/>
        <w:t>(1)</w:t>
      </w:r>
      <w:r w:rsidRPr="00097A86">
        <w:tab/>
        <w:t>A sample of the solid fuel must be derived from a composite of amounts of the solid fuel combusted.</w:t>
      </w:r>
    </w:p>
    <w:p w14:paraId="3DEB64A0"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0A801828"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6F2B7BB0" w14:textId="77777777" w:rsidR="003F0D4E" w:rsidRPr="00097A86" w:rsidRDefault="003F0D4E" w:rsidP="00D22D3F">
      <w:pPr>
        <w:pStyle w:val="subsection"/>
      </w:pPr>
      <w:r w:rsidRPr="00097A86">
        <w:tab/>
        <w:t>(4)</w:t>
      </w:r>
      <w:r w:rsidRPr="00097A86">
        <w:tab/>
        <w:t xml:space="preserve">Bias must be tested in accordance with an appropriate </w:t>
      </w:r>
      <w:r w:rsidR="003754F3" w:rsidRPr="00097A86">
        <w:t>standard (if any).</w:t>
      </w:r>
    </w:p>
    <w:p w14:paraId="723501E0" w14:textId="77777777" w:rsidR="003754F3" w:rsidRPr="00097A86" w:rsidRDefault="00D22D3F" w:rsidP="00D22D3F">
      <w:pPr>
        <w:pStyle w:val="notetext"/>
      </w:pPr>
      <w:r w:rsidRPr="00097A86">
        <w:t>Note:</w:t>
      </w:r>
      <w:r w:rsidRPr="00097A86">
        <w:tab/>
      </w:r>
      <w:r w:rsidR="003754F3" w:rsidRPr="00097A86">
        <w:t xml:space="preserve">An appropriate standard for most solid mineral fuels is AS 4264.4—1996 </w:t>
      </w:r>
      <w:r w:rsidR="003754F3" w:rsidRPr="00097A86">
        <w:rPr>
          <w:i/>
        </w:rPr>
        <w:t>Coal and coke</w:t>
      </w:r>
      <w:r w:rsidRPr="00097A86">
        <w:rPr>
          <w:i/>
        </w:rPr>
        <w:t>—</w:t>
      </w:r>
      <w:r w:rsidR="003754F3" w:rsidRPr="00097A86">
        <w:rPr>
          <w:i/>
        </w:rPr>
        <w:t>Sampling</w:t>
      </w:r>
      <w:r w:rsidRPr="00097A86">
        <w:rPr>
          <w:i/>
        </w:rPr>
        <w:t>—</w:t>
      </w:r>
      <w:r w:rsidR="003754F3" w:rsidRPr="00097A86">
        <w:rPr>
          <w:i/>
        </w:rPr>
        <w:t>Determination of precision and bias.</w:t>
      </w:r>
    </w:p>
    <w:p w14:paraId="7695E0CA" w14:textId="77777777" w:rsidR="003F0D4E" w:rsidRPr="00097A86" w:rsidRDefault="003F0D4E" w:rsidP="00D22D3F">
      <w:pPr>
        <w:pStyle w:val="subsection"/>
      </w:pPr>
      <w:r w:rsidRPr="00097A86">
        <w:tab/>
        <w:t>(5)</w:t>
      </w:r>
      <w:r w:rsidRPr="00097A86">
        <w:tab/>
        <w:t>The value obtained from the sample must only be used for the delivery period or consignment of the fuel for which it was intended to be representative.</w:t>
      </w:r>
    </w:p>
    <w:p w14:paraId="6EDD8D4E" w14:textId="77777777" w:rsidR="003F0D4E" w:rsidRPr="00097A86" w:rsidRDefault="003F0D4E" w:rsidP="00D22D3F">
      <w:pPr>
        <w:pStyle w:val="ActHead5"/>
      </w:pPr>
      <w:bookmarkStart w:id="101" w:name="_Toc13233549"/>
      <w:r w:rsidRPr="00097A86">
        <w:rPr>
          <w:rStyle w:val="CharSectno"/>
        </w:rPr>
        <w:t>2.8</w:t>
      </w:r>
      <w:r w:rsidR="00D22D3F" w:rsidRPr="00097A86">
        <w:t xml:space="preserve">  </w:t>
      </w:r>
      <w:r w:rsidRPr="00097A86">
        <w:t>General requirements for analysis of solid fuels</w:t>
      </w:r>
      <w:bookmarkEnd w:id="101"/>
    </w:p>
    <w:p w14:paraId="4482E724" w14:textId="77777777" w:rsidR="003F0D4E" w:rsidRPr="00097A86" w:rsidRDefault="003F0D4E" w:rsidP="00D22D3F">
      <w:pPr>
        <w:pStyle w:val="subsection"/>
      </w:pPr>
      <w:r w:rsidRPr="00097A86">
        <w:tab/>
        <w:t>(1)</w:t>
      </w:r>
      <w:r w:rsidRPr="00097A86">
        <w:tab/>
        <w:t>A standard for analysis of a parameter of a solid fuel, and the minimum frequency of analysis of a solid fuel, is as set out in Schedule</w:t>
      </w:r>
      <w:r w:rsidR="00097A86">
        <w:t> </w:t>
      </w:r>
      <w:r w:rsidRPr="00097A86">
        <w:t>2.</w:t>
      </w:r>
    </w:p>
    <w:p w14:paraId="6CEA2904" w14:textId="77777777" w:rsidR="003F0D4E" w:rsidRPr="00097A86" w:rsidRDefault="003F0D4E" w:rsidP="00D22D3F">
      <w:pPr>
        <w:pStyle w:val="subsection"/>
      </w:pPr>
      <w:r w:rsidRPr="00097A86">
        <w:tab/>
        <w:t>(2)</w:t>
      </w:r>
      <w:r w:rsidRPr="00097A86">
        <w:tab/>
        <w:t>A parameter of a solid fuel may also be analysed in accordance with a standard that is equivalent to a standard set out in Schedule</w:t>
      </w:r>
      <w:r w:rsidR="00097A86">
        <w:t> </w:t>
      </w:r>
      <w:r w:rsidRPr="00097A86">
        <w:t>2.</w:t>
      </w:r>
    </w:p>
    <w:p w14:paraId="6E346F98" w14:textId="77777777" w:rsidR="003754F3" w:rsidRPr="00097A86" w:rsidRDefault="003754F3" w:rsidP="00D22D3F">
      <w:pPr>
        <w:pStyle w:val="subsection"/>
      </w:pPr>
      <w:r w:rsidRPr="00097A86">
        <w:tab/>
        <w:t>(3)</w:t>
      </w:r>
      <w:r w:rsidRPr="00097A86">
        <w:tab/>
        <w:t>Analysis must be undertaken by an accredited laboratory that meets the requirements equivalent to those in AS ISO/IEC 17025:2005. However, analysis may be undertaken by an on</w:t>
      </w:r>
      <w:r w:rsidR="00097A86">
        <w:noBreakHyphen/>
      </w:r>
      <w:r w:rsidRPr="00097A86">
        <w:t>line analyser if:</w:t>
      </w:r>
    </w:p>
    <w:p w14:paraId="6CA9FED8" w14:textId="77777777" w:rsidR="003754F3" w:rsidRPr="00097A86" w:rsidRDefault="003754F3" w:rsidP="00D22D3F">
      <w:pPr>
        <w:pStyle w:val="paragraph"/>
      </w:pPr>
      <w:r w:rsidRPr="00097A86">
        <w:tab/>
        <w:t>(a)</w:t>
      </w:r>
      <w:r w:rsidRPr="00097A86">
        <w:tab/>
        <w:t>the analyser is calibrated in accordance with an appropriate standard; and</w:t>
      </w:r>
    </w:p>
    <w:p w14:paraId="50A2A293" w14:textId="77777777" w:rsidR="003754F3" w:rsidRPr="00097A86" w:rsidRDefault="003754F3" w:rsidP="00D22D3F">
      <w:pPr>
        <w:pStyle w:val="paragraph"/>
      </w:pPr>
      <w:r w:rsidRPr="00097A86">
        <w:tab/>
        <w:t>(b)</w:t>
      </w:r>
      <w:r w:rsidRPr="00097A86">
        <w:tab/>
        <w:t xml:space="preserve">analysis undertaken to meet the standard is done by a laboratory that meets the requirements equivalent to those in AS ISO/IEC 17025:2005. </w:t>
      </w:r>
    </w:p>
    <w:p w14:paraId="0A43AFDB" w14:textId="77777777" w:rsidR="003754F3" w:rsidRPr="00097A86" w:rsidRDefault="00D22D3F" w:rsidP="00D22D3F">
      <w:pPr>
        <w:pStyle w:val="notetext"/>
      </w:pPr>
      <w:r w:rsidRPr="00097A86">
        <w:t>Note:</w:t>
      </w:r>
      <w:r w:rsidRPr="00097A86">
        <w:tab/>
      </w:r>
      <w:r w:rsidR="003754F3" w:rsidRPr="00097A86">
        <w:t>An appropriate standard is AS 1038.24—1998,</w:t>
      </w:r>
      <w:r w:rsidR="003754F3" w:rsidRPr="00097A86">
        <w:rPr>
          <w:i/>
        </w:rPr>
        <w:t xml:space="preserve"> Coal and coke—Analysis and testing</w:t>
      </w:r>
      <w:r w:rsidR="003754F3" w:rsidRPr="00097A86">
        <w:t>, Part</w:t>
      </w:r>
      <w:r w:rsidR="00097A86">
        <w:t> </w:t>
      </w:r>
      <w:r w:rsidR="003754F3" w:rsidRPr="00097A86">
        <w:t xml:space="preserve">24: </w:t>
      </w:r>
      <w:r w:rsidR="003754F3" w:rsidRPr="00097A86">
        <w:rPr>
          <w:i/>
        </w:rPr>
        <w:t>Guide to the evaluation of measurements made by on</w:t>
      </w:r>
      <w:r w:rsidR="00097A86">
        <w:rPr>
          <w:i/>
        </w:rPr>
        <w:noBreakHyphen/>
      </w:r>
      <w:r w:rsidR="003754F3" w:rsidRPr="00097A86">
        <w:rPr>
          <w:i/>
        </w:rPr>
        <w:t>line coal analysers</w:t>
      </w:r>
      <w:r w:rsidR="003754F3" w:rsidRPr="00097A86">
        <w:t>.</w:t>
      </w:r>
    </w:p>
    <w:p w14:paraId="61BE1EDA" w14:textId="77777777" w:rsidR="003F0D4E" w:rsidRPr="00097A86" w:rsidRDefault="003F0D4E" w:rsidP="00D22D3F">
      <w:pPr>
        <w:pStyle w:val="subsection"/>
      </w:pPr>
      <w:r w:rsidRPr="00097A86">
        <w:tab/>
        <w:t>(4)</w:t>
      </w:r>
      <w:r w:rsidRPr="00097A86">
        <w:tab/>
        <w:t>If a delivery of fuel lasts for a month or less, analysis must be conducted on a delivery basis.</w:t>
      </w:r>
    </w:p>
    <w:p w14:paraId="55B2772C" w14:textId="77777777" w:rsidR="003F0D4E" w:rsidRPr="00097A86" w:rsidRDefault="003F0D4E" w:rsidP="00D22D3F">
      <w:pPr>
        <w:pStyle w:val="subsection"/>
      </w:pPr>
      <w:r w:rsidRPr="00097A86">
        <w:tab/>
        <w:t>(5)</w:t>
      </w:r>
      <w:r w:rsidRPr="00097A86">
        <w:tab/>
        <w:t>However, if the properties of the fuel do not change significantly between deliveries over a period of a month, analysis may be conducted on a monthly basis.</w:t>
      </w:r>
    </w:p>
    <w:p w14:paraId="3A92B4FE" w14:textId="77777777" w:rsidR="003F0D4E" w:rsidRPr="00097A86" w:rsidRDefault="003F0D4E" w:rsidP="00D22D3F">
      <w:pPr>
        <w:pStyle w:val="subsection"/>
      </w:pPr>
      <w:r w:rsidRPr="00097A86">
        <w:tab/>
        <w:t>(6)</w:t>
      </w:r>
      <w:r w:rsidRPr="00097A86">
        <w:tab/>
        <w:t>If a delivery of fuel lasts for more than a month, and the properties of the fuel do not change significantly before the next delivery, analysis of the fuel may be conducted on a delivery basis rather than monthly basis.</w:t>
      </w:r>
    </w:p>
    <w:p w14:paraId="29363E3B" w14:textId="77777777" w:rsidR="003F0D4E" w:rsidRPr="00097A86" w:rsidRDefault="003F0D4E" w:rsidP="00D22D3F">
      <w:pPr>
        <w:pStyle w:val="ActHead5"/>
      </w:pPr>
      <w:bookmarkStart w:id="102" w:name="_Toc13233550"/>
      <w:r w:rsidRPr="00097A86">
        <w:rPr>
          <w:rStyle w:val="CharSectno"/>
        </w:rPr>
        <w:lastRenderedPageBreak/>
        <w:t>2.9</w:t>
      </w:r>
      <w:r w:rsidR="00D22D3F" w:rsidRPr="00097A86">
        <w:t xml:space="preserve">  </w:t>
      </w:r>
      <w:r w:rsidRPr="00097A86">
        <w:t>Requirements for analysis of furnace ash and fly ash</w:t>
      </w:r>
      <w:bookmarkEnd w:id="102"/>
    </w:p>
    <w:p w14:paraId="20FE1BA0" w14:textId="77777777" w:rsidR="003F0D4E" w:rsidRPr="00097A86" w:rsidRDefault="003F0D4E" w:rsidP="00D22D3F">
      <w:pPr>
        <w:pStyle w:val="subsection"/>
      </w:pPr>
      <w:r w:rsidRPr="00097A86">
        <w:tab/>
      </w:r>
      <w:r w:rsidRPr="00097A86">
        <w:tab/>
        <w:t xml:space="preserve">For furnace ash and fly ash, analysis of the carbon content must be undertaken in accordance with AS 3583.2—1991 </w:t>
      </w:r>
      <w:r w:rsidRPr="00097A86">
        <w:rPr>
          <w:i/>
        </w:rPr>
        <w:t xml:space="preserve">Determination of moisture content </w:t>
      </w:r>
      <w:r w:rsidRPr="00097A86">
        <w:t xml:space="preserve">and AS 3583.3—1991 </w:t>
      </w:r>
      <w:r w:rsidRPr="00097A86">
        <w:rPr>
          <w:i/>
        </w:rPr>
        <w:t>Determination of loss on ignition</w:t>
      </w:r>
      <w:r w:rsidR="003754F3" w:rsidRPr="00097A86">
        <w:rPr>
          <w:i/>
        </w:rPr>
        <w:t xml:space="preserve"> </w:t>
      </w:r>
      <w:r w:rsidR="003754F3" w:rsidRPr="00097A86">
        <w:t>or a standard that is equivalent to those standards</w:t>
      </w:r>
      <w:r w:rsidRPr="00097A86">
        <w:t>.</w:t>
      </w:r>
    </w:p>
    <w:p w14:paraId="4F7699D2" w14:textId="77777777" w:rsidR="003F0D4E" w:rsidRPr="00097A86" w:rsidRDefault="003F0D4E" w:rsidP="00D22D3F">
      <w:pPr>
        <w:pStyle w:val="ActHead5"/>
      </w:pPr>
      <w:bookmarkStart w:id="103" w:name="_Toc13233551"/>
      <w:r w:rsidRPr="00097A86">
        <w:rPr>
          <w:rStyle w:val="CharSectno"/>
        </w:rPr>
        <w:t>2.10</w:t>
      </w:r>
      <w:r w:rsidR="00D22D3F" w:rsidRPr="00097A86">
        <w:t xml:space="preserve">  </w:t>
      </w:r>
      <w:r w:rsidRPr="00097A86">
        <w:t>Requirements for sampling for carbon in furnace ash</w:t>
      </w:r>
      <w:bookmarkEnd w:id="103"/>
    </w:p>
    <w:p w14:paraId="13F7FF2F" w14:textId="77777777" w:rsidR="003F0D4E" w:rsidRPr="00097A86" w:rsidRDefault="003F0D4E" w:rsidP="00D22D3F">
      <w:pPr>
        <w:pStyle w:val="subsection"/>
      </w:pPr>
      <w:r w:rsidRPr="00097A86">
        <w:tab/>
        <w:t>(1)</w:t>
      </w:r>
      <w:r w:rsidRPr="00097A86">
        <w:tab/>
        <w:t>This section applies to furnace ash sampled for its carbon content if the ash is produced from the operation of a facility that is constituted by a plant.</w:t>
      </w:r>
    </w:p>
    <w:p w14:paraId="2C056526" w14:textId="77777777" w:rsidR="003F0D4E" w:rsidRPr="00097A86" w:rsidRDefault="003F0D4E" w:rsidP="00D22D3F">
      <w:pPr>
        <w:pStyle w:val="subsection"/>
      </w:pPr>
      <w:r w:rsidRPr="00097A86">
        <w:tab/>
        <w:t>(2)</w:t>
      </w:r>
      <w:r w:rsidRPr="00097A86">
        <w:tab/>
        <w:t>A sample of the ash must be derived from representative operating conditions in the plant.</w:t>
      </w:r>
    </w:p>
    <w:p w14:paraId="660629AF" w14:textId="77777777" w:rsidR="003F0D4E" w:rsidRPr="00097A86" w:rsidRDefault="003F0D4E" w:rsidP="00D22D3F">
      <w:pPr>
        <w:pStyle w:val="subsection"/>
      </w:pPr>
      <w:r w:rsidRPr="00097A86">
        <w:tab/>
        <w:t>(3)</w:t>
      </w:r>
      <w:r w:rsidRPr="00097A86">
        <w:tab/>
        <w:t>A sample of ash may be collected:</w:t>
      </w:r>
    </w:p>
    <w:p w14:paraId="157A1856" w14:textId="77777777" w:rsidR="003F0D4E" w:rsidRPr="00097A86" w:rsidRDefault="003F0D4E" w:rsidP="00D22D3F">
      <w:pPr>
        <w:pStyle w:val="paragraph"/>
      </w:pPr>
      <w:r w:rsidRPr="00097A86">
        <w:tab/>
        <w:t>(a)</w:t>
      </w:r>
      <w:r w:rsidRPr="00097A86">
        <w:tab/>
        <w:t>if contained in a wet extraction system</w:t>
      </w:r>
      <w:r w:rsidR="00D22D3F" w:rsidRPr="00097A86">
        <w:t>—</w:t>
      </w:r>
      <w:r w:rsidRPr="00097A86">
        <w:t>by using sampling ladles to collect it from sluiceways; or</w:t>
      </w:r>
    </w:p>
    <w:p w14:paraId="08045517" w14:textId="77777777" w:rsidR="003F0D4E" w:rsidRPr="00097A86" w:rsidRDefault="003F0D4E" w:rsidP="00D22D3F">
      <w:pPr>
        <w:pStyle w:val="paragraph"/>
      </w:pPr>
      <w:r w:rsidRPr="00097A86">
        <w:tab/>
        <w:t>(b)</w:t>
      </w:r>
      <w:r w:rsidRPr="00097A86">
        <w:tab/>
        <w:t>if contained in a dry extraction system</w:t>
      </w:r>
      <w:r w:rsidR="00D22D3F" w:rsidRPr="00097A86">
        <w:t>—</w:t>
      </w:r>
      <w:r w:rsidRPr="00097A86">
        <w:t xml:space="preserve">directly from the </w:t>
      </w:r>
      <w:r w:rsidR="00D23F89" w:rsidRPr="00097A86">
        <w:t>conveyer; or</w:t>
      </w:r>
    </w:p>
    <w:p w14:paraId="29410F86" w14:textId="77777777" w:rsidR="00D23F89" w:rsidRPr="00097A86" w:rsidRDefault="00D23F89" w:rsidP="00D22D3F">
      <w:pPr>
        <w:pStyle w:val="paragraph"/>
      </w:pPr>
      <w:r w:rsidRPr="00097A86">
        <w:tab/>
        <w:t>(c)</w:t>
      </w:r>
      <w:r w:rsidRPr="00097A86">
        <w:tab/>
        <w:t xml:space="preserve">if it is not feasible to use one of the collection methods mentioned in </w:t>
      </w:r>
      <w:r w:rsidR="00097A86">
        <w:t>paragraph (</w:t>
      </w:r>
      <w:r w:rsidRPr="00097A86">
        <w:t>a) or (b)</w:t>
      </w:r>
      <w:r w:rsidR="00D22D3F" w:rsidRPr="00097A86">
        <w:t>—</w:t>
      </w:r>
      <w:r w:rsidRPr="00097A86">
        <w:t>by using another collection method that provides representative ash sampling.</w:t>
      </w:r>
    </w:p>
    <w:p w14:paraId="3FFD5C0D" w14:textId="77777777" w:rsidR="00D23F89" w:rsidRPr="00097A86" w:rsidRDefault="00D23F89" w:rsidP="00D22D3F">
      <w:pPr>
        <w:pStyle w:val="ActHead5"/>
      </w:pPr>
      <w:bookmarkStart w:id="104" w:name="_Toc13233552"/>
      <w:r w:rsidRPr="00097A86">
        <w:rPr>
          <w:rStyle w:val="CharSectno"/>
        </w:rPr>
        <w:t>2.11</w:t>
      </w:r>
      <w:r w:rsidR="00D22D3F" w:rsidRPr="00097A86">
        <w:t xml:space="preserve">  </w:t>
      </w:r>
      <w:r w:rsidRPr="00097A86">
        <w:t>Sampling for carbon in fly ash</w:t>
      </w:r>
      <w:bookmarkEnd w:id="104"/>
    </w:p>
    <w:p w14:paraId="75C1266D" w14:textId="77777777" w:rsidR="00D23F89" w:rsidRPr="00097A86" w:rsidRDefault="00D23F89" w:rsidP="00D22D3F">
      <w:pPr>
        <w:pStyle w:val="subsection"/>
      </w:pPr>
      <w:r w:rsidRPr="00097A86">
        <w:tab/>
      </w:r>
      <w:r w:rsidRPr="00097A86">
        <w:tab/>
        <w:t xml:space="preserve">Fly ash must be sampled for its carbon content in accordance with: </w:t>
      </w:r>
    </w:p>
    <w:p w14:paraId="0DEC1D49" w14:textId="77777777" w:rsidR="00D23F89" w:rsidRPr="00097A86" w:rsidRDefault="00D23F89" w:rsidP="00D22D3F">
      <w:pPr>
        <w:pStyle w:val="paragraph"/>
      </w:pPr>
      <w:r w:rsidRPr="00097A86">
        <w:tab/>
        <w:t>(a)</w:t>
      </w:r>
      <w:r w:rsidRPr="00097A86">
        <w:tab/>
        <w:t>a procedure set out in column 2 of an item in the following table, and at a frequency set out in column 3 for that item; or</w:t>
      </w:r>
    </w:p>
    <w:p w14:paraId="362C2C66" w14:textId="77777777" w:rsidR="00D23F89" w:rsidRPr="00097A86" w:rsidRDefault="00D23F89" w:rsidP="00353254">
      <w:pPr>
        <w:pStyle w:val="paragraph"/>
      </w:pPr>
      <w:r w:rsidRPr="00097A86">
        <w:tab/>
        <w:t>(b)</w:t>
      </w:r>
      <w:r w:rsidRPr="00097A86">
        <w:tab/>
        <w:t xml:space="preserve">if it is not feasible to use one of the procedures mentioned in </w:t>
      </w:r>
      <w:r w:rsidR="00097A86">
        <w:t>paragraph (</w:t>
      </w:r>
      <w:r w:rsidRPr="00097A86">
        <w:t>a)</w:t>
      </w:r>
      <w:r w:rsidR="00D22D3F" w:rsidRPr="00097A86">
        <w:t>—</w:t>
      </w:r>
      <w:r w:rsidRPr="00097A86">
        <w:t>another procedure that provides representative ash sampling, at least every two years, or after significant changes in operating conditions.</w:t>
      </w:r>
    </w:p>
    <w:p w14:paraId="57B00558" w14:textId="77777777" w:rsidR="005047C9" w:rsidRPr="00097A86" w:rsidRDefault="005047C9" w:rsidP="005047C9">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80"/>
        <w:gridCol w:w="4687"/>
        <w:gridCol w:w="2946"/>
      </w:tblGrid>
      <w:tr w:rsidR="00D23F89" w:rsidRPr="00097A86" w14:paraId="066CC9D5" w14:textId="77777777" w:rsidTr="00C20CC2">
        <w:trPr>
          <w:tblHeader/>
        </w:trPr>
        <w:tc>
          <w:tcPr>
            <w:tcW w:w="409" w:type="pct"/>
            <w:tcBorders>
              <w:top w:val="single" w:sz="12" w:space="0" w:color="auto"/>
              <w:bottom w:val="single" w:sz="12" w:space="0" w:color="auto"/>
            </w:tcBorders>
            <w:shd w:val="clear" w:color="auto" w:fill="auto"/>
            <w:hideMark/>
          </w:tcPr>
          <w:p w14:paraId="16C9D4F7" w14:textId="77777777" w:rsidR="00D23F89" w:rsidRPr="00097A86" w:rsidRDefault="00D23F89" w:rsidP="00D22D3F">
            <w:pPr>
              <w:pStyle w:val="TableHeading"/>
              <w:rPr>
                <w:szCs w:val="18"/>
              </w:rPr>
            </w:pPr>
            <w:r w:rsidRPr="00097A86">
              <w:rPr>
                <w:szCs w:val="18"/>
              </w:rPr>
              <w:t>Item</w:t>
            </w:r>
          </w:p>
        </w:tc>
        <w:tc>
          <w:tcPr>
            <w:tcW w:w="2819" w:type="pct"/>
            <w:tcBorders>
              <w:top w:val="single" w:sz="12" w:space="0" w:color="auto"/>
              <w:bottom w:val="single" w:sz="12" w:space="0" w:color="auto"/>
            </w:tcBorders>
            <w:shd w:val="clear" w:color="auto" w:fill="auto"/>
            <w:hideMark/>
          </w:tcPr>
          <w:p w14:paraId="57FBD2F5" w14:textId="77777777" w:rsidR="00D23F89" w:rsidRPr="00097A86" w:rsidRDefault="00D23F89" w:rsidP="00D22D3F">
            <w:pPr>
              <w:pStyle w:val="TableHeading"/>
              <w:rPr>
                <w:szCs w:val="18"/>
              </w:rPr>
            </w:pPr>
            <w:r w:rsidRPr="00097A86">
              <w:rPr>
                <w:szCs w:val="18"/>
              </w:rPr>
              <w:t>Procedure</w:t>
            </w:r>
          </w:p>
        </w:tc>
        <w:tc>
          <w:tcPr>
            <w:tcW w:w="1772" w:type="pct"/>
            <w:tcBorders>
              <w:top w:val="single" w:sz="12" w:space="0" w:color="auto"/>
              <w:bottom w:val="single" w:sz="12" w:space="0" w:color="auto"/>
            </w:tcBorders>
            <w:shd w:val="clear" w:color="auto" w:fill="auto"/>
            <w:hideMark/>
          </w:tcPr>
          <w:p w14:paraId="72D8E8ED" w14:textId="77777777" w:rsidR="00D23F89" w:rsidRPr="00097A86" w:rsidRDefault="00D23F89" w:rsidP="00D22D3F">
            <w:pPr>
              <w:pStyle w:val="TableHeading"/>
              <w:rPr>
                <w:szCs w:val="18"/>
              </w:rPr>
            </w:pPr>
            <w:r w:rsidRPr="00097A86">
              <w:rPr>
                <w:szCs w:val="18"/>
              </w:rPr>
              <w:t>Frequency</w:t>
            </w:r>
          </w:p>
        </w:tc>
      </w:tr>
      <w:tr w:rsidR="00D23F89" w:rsidRPr="00097A86" w14:paraId="3956F1DE" w14:textId="77777777" w:rsidTr="00C20CC2">
        <w:tc>
          <w:tcPr>
            <w:tcW w:w="409" w:type="pct"/>
            <w:tcBorders>
              <w:top w:val="single" w:sz="12" w:space="0" w:color="auto"/>
            </w:tcBorders>
            <w:shd w:val="clear" w:color="auto" w:fill="auto"/>
            <w:hideMark/>
          </w:tcPr>
          <w:p w14:paraId="16879C11" w14:textId="77777777" w:rsidR="00D23F89" w:rsidRPr="00097A86" w:rsidRDefault="00D23F89" w:rsidP="00D22D3F">
            <w:pPr>
              <w:pStyle w:val="Tabletext"/>
            </w:pPr>
            <w:r w:rsidRPr="00097A86">
              <w:t>1</w:t>
            </w:r>
          </w:p>
        </w:tc>
        <w:tc>
          <w:tcPr>
            <w:tcW w:w="2819" w:type="pct"/>
            <w:tcBorders>
              <w:top w:val="single" w:sz="12" w:space="0" w:color="auto"/>
            </w:tcBorders>
            <w:shd w:val="clear" w:color="auto" w:fill="auto"/>
            <w:hideMark/>
          </w:tcPr>
          <w:p w14:paraId="6B7AE7AE" w14:textId="77777777" w:rsidR="00D23F89" w:rsidRPr="00097A86" w:rsidRDefault="00D23F89" w:rsidP="00D22D3F">
            <w:pPr>
              <w:pStyle w:val="Tabletext"/>
            </w:pPr>
            <w:r w:rsidRPr="00097A86">
              <w:t>At the outlet of a boiler air heater or the inlet to a flue gas cleaning plant using the isokinetic sampling method in AS 4323.1—1995 or AS 4323.2—1995, or in a standard that is equivalent to one of those standards</w:t>
            </w:r>
          </w:p>
        </w:tc>
        <w:tc>
          <w:tcPr>
            <w:tcW w:w="1772" w:type="pct"/>
            <w:tcBorders>
              <w:top w:val="single" w:sz="12" w:space="0" w:color="auto"/>
            </w:tcBorders>
            <w:shd w:val="clear" w:color="auto" w:fill="auto"/>
            <w:hideMark/>
          </w:tcPr>
          <w:p w14:paraId="6516DE31" w14:textId="77777777" w:rsidR="00D23F89" w:rsidRPr="00097A86" w:rsidRDefault="00D23F89" w:rsidP="00D22D3F">
            <w:pPr>
              <w:pStyle w:val="Tabletext"/>
            </w:pPr>
            <w:r w:rsidRPr="00097A86">
              <w:t>At least every 2 years, or after significant changes in operating conditions</w:t>
            </w:r>
          </w:p>
        </w:tc>
      </w:tr>
      <w:tr w:rsidR="00D23F89" w:rsidRPr="00097A86" w14:paraId="1763CABD" w14:textId="77777777" w:rsidTr="00C20CC2">
        <w:tc>
          <w:tcPr>
            <w:tcW w:w="409" w:type="pct"/>
            <w:shd w:val="clear" w:color="auto" w:fill="auto"/>
            <w:hideMark/>
          </w:tcPr>
          <w:p w14:paraId="578992FC" w14:textId="77777777" w:rsidR="00D23F89" w:rsidRPr="00097A86" w:rsidRDefault="00D23F89" w:rsidP="00D22D3F">
            <w:pPr>
              <w:pStyle w:val="Tabletext"/>
            </w:pPr>
            <w:r w:rsidRPr="00097A86">
              <w:t>2</w:t>
            </w:r>
          </w:p>
        </w:tc>
        <w:tc>
          <w:tcPr>
            <w:tcW w:w="2819" w:type="pct"/>
            <w:shd w:val="clear" w:color="auto" w:fill="auto"/>
            <w:hideMark/>
          </w:tcPr>
          <w:p w14:paraId="53D8B65F" w14:textId="77777777" w:rsidR="00D23F89" w:rsidRPr="00097A86" w:rsidRDefault="00D23F89" w:rsidP="00D22D3F">
            <w:pPr>
              <w:pStyle w:val="Tabletext"/>
            </w:pPr>
            <w:r w:rsidRPr="00097A86">
              <w:t>By using standard industry ‘cegrit’ extraction equipment</w:t>
            </w:r>
          </w:p>
        </w:tc>
        <w:tc>
          <w:tcPr>
            <w:tcW w:w="1772" w:type="pct"/>
            <w:shd w:val="clear" w:color="auto" w:fill="auto"/>
            <w:hideMark/>
          </w:tcPr>
          <w:p w14:paraId="3BD938C6" w14:textId="77777777" w:rsidR="00D23F89" w:rsidRPr="00097A86" w:rsidRDefault="00D23F89" w:rsidP="00D22D3F">
            <w:pPr>
              <w:pStyle w:val="Tabletext"/>
            </w:pPr>
            <w:r w:rsidRPr="00097A86">
              <w:t>At least every year, or after significant changes in operating conditions</w:t>
            </w:r>
          </w:p>
        </w:tc>
      </w:tr>
      <w:tr w:rsidR="00D23F89" w:rsidRPr="00097A86" w14:paraId="2D861941" w14:textId="77777777" w:rsidTr="00C20CC2">
        <w:tc>
          <w:tcPr>
            <w:tcW w:w="409" w:type="pct"/>
            <w:tcBorders>
              <w:bottom w:val="single" w:sz="4" w:space="0" w:color="auto"/>
            </w:tcBorders>
            <w:shd w:val="clear" w:color="auto" w:fill="auto"/>
            <w:hideMark/>
          </w:tcPr>
          <w:p w14:paraId="6A658116" w14:textId="77777777" w:rsidR="00D23F89" w:rsidRPr="00097A86" w:rsidRDefault="00D23F89" w:rsidP="00D22D3F">
            <w:pPr>
              <w:pStyle w:val="Tabletext"/>
            </w:pPr>
            <w:r w:rsidRPr="00097A86">
              <w:t>3</w:t>
            </w:r>
          </w:p>
        </w:tc>
        <w:tc>
          <w:tcPr>
            <w:tcW w:w="2819" w:type="pct"/>
            <w:tcBorders>
              <w:bottom w:val="single" w:sz="4" w:space="0" w:color="auto"/>
            </w:tcBorders>
            <w:shd w:val="clear" w:color="auto" w:fill="auto"/>
            <w:hideMark/>
          </w:tcPr>
          <w:p w14:paraId="53160D52" w14:textId="77777777" w:rsidR="00D23F89" w:rsidRPr="00097A86" w:rsidRDefault="00D23F89" w:rsidP="00D22D3F">
            <w:pPr>
              <w:pStyle w:val="Tabletext"/>
            </w:pPr>
            <w:r w:rsidRPr="00097A86">
              <w:t>By collecting fly ash from:</w:t>
            </w:r>
          </w:p>
          <w:p w14:paraId="1009E4F3" w14:textId="77777777" w:rsidR="00D23F89" w:rsidRPr="00097A86" w:rsidRDefault="00D22D3F" w:rsidP="00D22D3F">
            <w:pPr>
              <w:pStyle w:val="Tablea"/>
            </w:pPr>
            <w:r w:rsidRPr="00097A86">
              <w:t>(</w:t>
            </w:r>
            <w:r w:rsidR="00D23F89" w:rsidRPr="00097A86">
              <w:t>a</w:t>
            </w:r>
            <w:r w:rsidRPr="00097A86">
              <w:t xml:space="preserve">) </w:t>
            </w:r>
            <w:r w:rsidR="00D23F89" w:rsidRPr="00097A86">
              <w:t>the fly ash collection hoppers of a flue gas cleaning plant; or</w:t>
            </w:r>
          </w:p>
          <w:p w14:paraId="66A0EFCE" w14:textId="77777777" w:rsidR="00D23F89" w:rsidRPr="00097A86" w:rsidRDefault="00D22D3F" w:rsidP="00D22D3F">
            <w:pPr>
              <w:pStyle w:val="Tablea"/>
            </w:pPr>
            <w:r w:rsidRPr="00097A86">
              <w:t>(</w:t>
            </w:r>
            <w:r w:rsidR="00D23F89" w:rsidRPr="00097A86">
              <w:t>b</w:t>
            </w:r>
            <w:r w:rsidRPr="00097A86">
              <w:t xml:space="preserve">) </w:t>
            </w:r>
            <w:r w:rsidR="00D23F89" w:rsidRPr="00097A86">
              <w:t>downstream of fly ash collection hoppers from ash silos or sluiceways</w:t>
            </w:r>
          </w:p>
        </w:tc>
        <w:tc>
          <w:tcPr>
            <w:tcW w:w="1772" w:type="pct"/>
            <w:tcBorders>
              <w:bottom w:val="single" w:sz="4" w:space="0" w:color="auto"/>
            </w:tcBorders>
            <w:shd w:val="clear" w:color="auto" w:fill="auto"/>
            <w:hideMark/>
          </w:tcPr>
          <w:p w14:paraId="471C8E26" w14:textId="77777777" w:rsidR="00D23F89" w:rsidRPr="00097A86" w:rsidRDefault="00D23F89" w:rsidP="00D22D3F">
            <w:pPr>
              <w:pStyle w:val="Tabletext"/>
            </w:pPr>
            <w:r w:rsidRPr="00097A86">
              <w:t>At least once a year, or after significant changes in operating conditions</w:t>
            </w:r>
          </w:p>
        </w:tc>
      </w:tr>
      <w:tr w:rsidR="00D23F89" w:rsidRPr="00097A86" w14:paraId="5B20F013" w14:textId="77777777" w:rsidTr="00C20CC2">
        <w:trPr>
          <w:cantSplit/>
        </w:trPr>
        <w:tc>
          <w:tcPr>
            <w:tcW w:w="409" w:type="pct"/>
            <w:tcBorders>
              <w:bottom w:val="single" w:sz="12" w:space="0" w:color="auto"/>
            </w:tcBorders>
            <w:shd w:val="clear" w:color="auto" w:fill="auto"/>
            <w:hideMark/>
          </w:tcPr>
          <w:p w14:paraId="0C83971A" w14:textId="77777777" w:rsidR="00D23F89" w:rsidRPr="00097A86" w:rsidRDefault="00D23F89" w:rsidP="00D22D3F">
            <w:pPr>
              <w:pStyle w:val="Tabletext"/>
            </w:pPr>
            <w:r w:rsidRPr="00097A86">
              <w:lastRenderedPageBreak/>
              <w:t>4</w:t>
            </w:r>
          </w:p>
        </w:tc>
        <w:tc>
          <w:tcPr>
            <w:tcW w:w="2819" w:type="pct"/>
            <w:tcBorders>
              <w:bottom w:val="single" w:sz="12" w:space="0" w:color="auto"/>
            </w:tcBorders>
            <w:shd w:val="clear" w:color="auto" w:fill="auto"/>
            <w:hideMark/>
          </w:tcPr>
          <w:p w14:paraId="2F4874AC" w14:textId="77777777" w:rsidR="00D23F89" w:rsidRPr="00097A86" w:rsidRDefault="00D23F89" w:rsidP="00D22D3F">
            <w:pPr>
              <w:pStyle w:val="Tabletext"/>
            </w:pPr>
            <w:r w:rsidRPr="00097A86">
              <w:t>From on</w:t>
            </w:r>
            <w:r w:rsidR="00097A86">
              <w:noBreakHyphen/>
            </w:r>
            <w:r w:rsidRPr="00097A86">
              <w:t>line carbon in ash analysers using sample extraction probes and infrared analysers</w:t>
            </w:r>
          </w:p>
        </w:tc>
        <w:tc>
          <w:tcPr>
            <w:tcW w:w="1772" w:type="pct"/>
            <w:tcBorders>
              <w:bottom w:val="single" w:sz="12" w:space="0" w:color="auto"/>
            </w:tcBorders>
            <w:shd w:val="clear" w:color="auto" w:fill="auto"/>
            <w:hideMark/>
          </w:tcPr>
          <w:p w14:paraId="09B0B51E" w14:textId="77777777" w:rsidR="00D23F89" w:rsidRPr="00097A86" w:rsidRDefault="00D23F89" w:rsidP="00D22D3F">
            <w:pPr>
              <w:pStyle w:val="Tabletext"/>
            </w:pPr>
            <w:r w:rsidRPr="00097A86">
              <w:t>At least every 2 years, or after significant changes in operating conditions</w:t>
            </w:r>
          </w:p>
        </w:tc>
      </w:tr>
    </w:tbl>
    <w:p w14:paraId="19A7013D" w14:textId="77777777" w:rsidR="003F0D4E" w:rsidRPr="00097A86" w:rsidRDefault="003F0D4E" w:rsidP="00D22D3F">
      <w:pPr>
        <w:pStyle w:val="ActHead3"/>
        <w:pageBreakBefore/>
      </w:pPr>
      <w:bookmarkStart w:id="105" w:name="_Toc13233553"/>
      <w:r w:rsidRPr="00097A86">
        <w:rPr>
          <w:rStyle w:val="CharDivNo"/>
        </w:rPr>
        <w:lastRenderedPageBreak/>
        <w:t>Division</w:t>
      </w:r>
      <w:r w:rsidR="00097A86">
        <w:rPr>
          <w:rStyle w:val="CharDivNo"/>
        </w:rPr>
        <w:t> </w:t>
      </w:r>
      <w:r w:rsidRPr="00097A86">
        <w:rPr>
          <w:rStyle w:val="CharDivNo"/>
        </w:rPr>
        <w:t>2.2.4</w:t>
      </w:r>
      <w:r w:rsidR="00D22D3F" w:rsidRPr="00097A86">
        <w:t>—</w:t>
      </w:r>
      <w:r w:rsidRPr="00097A86">
        <w:rPr>
          <w:rStyle w:val="CharDivText"/>
        </w:rPr>
        <w:t>Method 3</w:t>
      </w:r>
      <w:r w:rsidR="00D22D3F" w:rsidRPr="00097A86">
        <w:rPr>
          <w:rStyle w:val="CharDivText"/>
        </w:rPr>
        <w:t>—</w:t>
      </w:r>
      <w:r w:rsidRPr="00097A86">
        <w:rPr>
          <w:rStyle w:val="CharDivText"/>
        </w:rPr>
        <w:t>Solid fuels</w:t>
      </w:r>
      <w:bookmarkEnd w:id="105"/>
    </w:p>
    <w:p w14:paraId="36E7500F" w14:textId="77777777" w:rsidR="003F0D4E" w:rsidRPr="00097A86" w:rsidRDefault="003F0D4E" w:rsidP="00D22D3F">
      <w:pPr>
        <w:pStyle w:val="ActHead5"/>
      </w:pPr>
      <w:bookmarkStart w:id="106" w:name="_Toc13233554"/>
      <w:r w:rsidRPr="00097A86">
        <w:rPr>
          <w:rStyle w:val="CharSectno"/>
        </w:rPr>
        <w:t>2.12</w:t>
      </w:r>
      <w:r w:rsidR="00D22D3F" w:rsidRPr="00097A86">
        <w:t xml:space="preserve">  </w:t>
      </w:r>
      <w:r w:rsidRPr="00097A86">
        <w:t>Method 3</w:t>
      </w:r>
      <w:r w:rsidR="00D22D3F" w:rsidRPr="00097A86">
        <w:t>—</w:t>
      </w:r>
      <w:r w:rsidRPr="00097A86">
        <w:t>solid fuels using oxidation factor or an estimated oxidation factor</w:t>
      </w:r>
      <w:bookmarkEnd w:id="106"/>
    </w:p>
    <w:p w14:paraId="62F7338D" w14:textId="77777777" w:rsidR="003F0D4E" w:rsidRPr="00097A86" w:rsidRDefault="003F0D4E" w:rsidP="00D22D3F">
      <w:pPr>
        <w:pStyle w:val="subsection"/>
      </w:pPr>
      <w:r w:rsidRPr="00097A86">
        <w:tab/>
        <w:t>(1)</w:t>
      </w:r>
      <w:r w:rsidRPr="00097A86">
        <w:tab/>
        <w:t>For subparagraph</w:t>
      </w:r>
      <w:r w:rsidR="00097A86">
        <w:t> </w:t>
      </w:r>
      <w:r w:rsidRPr="00097A86">
        <w:t>2.3</w:t>
      </w:r>
      <w:r w:rsidR="00F06CCB" w:rsidRPr="00097A86">
        <w:t>(1)(a)</w:t>
      </w:r>
      <w:r w:rsidRPr="00097A86">
        <w:t>(iii) and subject to this section, method 3 is the same as method 2 whether using the oxidation factor under section</w:t>
      </w:r>
      <w:r w:rsidR="00097A86">
        <w:t> </w:t>
      </w:r>
      <w:r w:rsidRPr="00097A86">
        <w:t>2.5 or using an estimated oxidation factor under section</w:t>
      </w:r>
      <w:r w:rsidR="00097A86">
        <w:t> </w:t>
      </w:r>
      <w:r w:rsidRPr="00097A86">
        <w:t>2.6.</w:t>
      </w:r>
    </w:p>
    <w:p w14:paraId="40819BD6" w14:textId="77777777" w:rsidR="003F0D4E" w:rsidRPr="00097A86" w:rsidRDefault="003F0D4E" w:rsidP="00D22D3F">
      <w:pPr>
        <w:pStyle w:val="subsection"/>
      </w:pPr>
      <w:r w:rsidRPr="00097A86">
        <w:tab/>
        <w:t>(2)</w:t>
      </w:r>
      <w:r w:rsidRPr="00097A86">
        <w:tab/>
        <w:t xml:space="preserve">In applying method 2 as mentioned in </w:t>
      </w:r>
      <w:r w:rsidR="00097A86">
        <w:t>subsection (</w:t>
      </w:r>
      <w:r w:rsidRPr="00097A86">
        <w:t xml:space="preserve">1), solid fuels must be sampled in accordance with the appropriate standard mentioned in the table in </w:t>
      </w:r>
      <w:r w:rsidR="00097A86">
        <w:t>subsection (</w:t>
      </w:r>
      <w:r w:rsidRPr="00097A86">
        <w:t>3).</w:t>
      </w:r>
    </w:p>
    <w:p w14:paraId="474444FF" w14:textId="77777777" w:rsidR="003F0D4E" w:rsidRPr="00097A86" w:rsidRDefault="003F0D4E" w:rsidP="00D22D3F">
      <w:pPr>
        <w:pStyle w:val="subsection"/>
      </w:pPr>
      <w:r w:rsidRPr="00097A86">
        <w:tab/>
        <w:t>(3)</w:t>
      </w:r>
      <w:r w:rsidRPr="00097A86">
        <w:tab/>
        <w:t>A standard for sampling a solid fuel mentioned in column 2 of an item in the following table is as set out in column 3 for that item:</w:t>
      </w:r>
    </w:p>
    <w:p w14:paraId="2117C5D4"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4"/>
        <w:gridCol w:w="5124"/>
        <w:gridCol w:w="2245"/>
      </w:tblGrid>
      <w:tr w:rsidR="003F0D4E" w:rsidRPr="00097A86" w14:paraId="6857F0F0" w14:textId="77777777" w:rsidTr="00C20CC2">
        <w:trPr>
          <w:tblHeader/>
        </w:trPr>
        <w:tc>
          <w:tcPr>
            <w:tcW w:w="568" w:type="pct"/>
            <w:tcBorders>
              <w:top w:val="single" w:sz="12" w:space="0" w:color="auto"/>
              <w:bottom w:val="single" w:sz="12" w:space="0" w:color="auto"/>
            </w:tcBorders>
            <w:shd w:val="clear" w:color="auto" w:fill="auto"/>
          </w:tcPr>
          <w:p w14:paraId="280D0BAB" w14:textId="77777777" w:rsidR="003F0D4E" w:rsidRPr="00097A86" w:rsidRDefault="003F0D4E" w:rsidP="00D22D3F">
            <w:pPr>
              <w:pStyle w:val="TableHeading"/>
            </w:pPr>
            <w:r w:rsidRPr="00097A86">
              <w:t>Item</w:t>
            </w:r>
          </w:p>
        </w:tc>
        <w:tc>
          <w:tcPr>
            <w:tcW w:w="3082" w:type="pct"/>
            <w:tcBorders>
              <w:top w:val="single" w:sz="12" w:space="0" w:color="auto"/>
              <w:bottom w:val="single" w:sz="12" w:space="0" w:color="auto"/>
            </w:tcBorders>
            <w:shd w:val="clear" w:color="auto" w:fill="auto"/>
          </w:tcPr>
          <w:p w14:paraId="178554B3" w14:textId="77777777" w:rsidR="003F0D4E" w:rsidRPr="00097A86" w:rsidRDefault="003F0D4E" w:rsidP="00D22D3F">
            <w:pPr>
              <w:pStyle w:val="TableHeading"/>
            </w:pPr>
            <w:r w:rsidRPr="00097A86">
              <w:t>Fuel</w:t>
            </w:r>
          </w:p>
        </w:tc>
        <w:tc>
          <w:tcPr>
            <w:tcW w:w="1350" w:type="pct"/>
            <w:tcBorders>
              <w:top w:val="single" w:sz="12" w:space="0" w:color="auto"/>
              <w:bottom w:val="single" w:sz="12" w:space="0" w:color="auto"/>
            </w:tcBorders>
            <w:shd w:val="clear" w:color="auto" w:fill="auto"/>
          </w:tcPr>
          <w:p w14:paraId="710F05A1" w14:textId="77777777" w:rsidR="003F0D4E" w:rsidRPr="00097A86" w:rsidRDefault="003F0D4E" w:rsidP="00D22D3F">
            <w:pPr>
              <w:pStyle w:val="TableHeading"/>
            </w:pPr>
            <w:r w:rsidRPr="00097A86">
              <w:t>Standard</w:t>
            </w:r>
          </w:p>
        </w:tc>
      </w:tr>
      <w:tr w:rsidR="00310592" w:rsidRPr="00097A86" w:rsidDel="00310592" w14:paraId="1A02BDB8" w14:textId="77777777" w:rsidTr="00C20CC2">
        <w:tc>
          <w:tcPr>
            <w:tcW w:w="568" w:type="pct"/>
            <w:tcBorders>
              <w:top w:val="single" w:sz="12" w:space="0" w:color="auto"/>
              <w:bottom w:val="single" w:sz="2" w:space="0" w:color="auto"/>
            </w:tcBorders>
            <w:shd w:val="clear" w:color="auto" w:fill="auto"/>
          </w:tcPr>
          <w:p w14:paraId="10C32658" w14:textId="77777777" w:rsidR="00310592" w:rsidRPr="00097A86" w:rsidDel="00310592" w:rsidRDefault="00310592" w:rsidP="00D22D3F">
            <w:pPr>
              <w:pStyle w:val="Tabletext"/>
            </w:pPr>
            <w:r w:rsidRPr="00097A86">
              <w:t>1</w:t>
            </w:r>
          </w:p>
        </w:tc>
        <w:tc>
          <w:tcPr>
            <w:tcW w:w="3082" w:type="pct"/>
            <w:tcBorders>
              <w:top w:val="single" w:sz="12" w:space="0" w:color="auto"/>
              <w:bottom w:val="single" w:sz="2" w:space="0" w:color="auto"/>
            </w:tcBorders>
            <w:shd w:val="clear" w:color="auto" w:fill="auto"/>
          </w:tcPr>
          <w:p w14:paraId="29A2BAD0" w14:textId="77777777" w:rsidR="00310592" w:rsidRPr="00097A86" w:rsidDel="00310592" w:rsidRDefault="00310592" w:rsidP="00D22D3F">
            <w:pPr>
              <w:pStyle w:val="Tabletext"/>
              <w:rPr>
                <w:snapToGrid w:val="0"/>
              </w:rPr>
            </w:pPr>
            <w:r w:rsidRPr="00097A86">
              <w:t>Bituminous coal</w:t>
            </w:r>
          </w:p>
        </w:tc>
        <w:tc>
          <w:tcPr>
            <w:tcW w:w="1350" w:type="pct"/>
            <w:tcBorders>
              <w:top w:val="single" w:sz="12" w:space="0" w:color="auto"/>
              <w:bottom w:val="single" w:sz="2" w:space="0" w:color="auto"/>
            </w:tcBorders>
            <w:shd w:val="clear" w:color="auto" w:fill="auto"/>
          </w:tcPr>
          <w:p w14:paraId="62E583EB" w14:textId="77777777" w:rsidR="00310592" w:rsidRPr="00097A86" w:rsidDel="00310592" w:rsidRDefault="00BB002F" w:rsidP="00D22D3F">
            <w:pPr>
              <w:pStyle w:val="Tabletext"/>
            </w:pPr>
            <w:r w:rsidRPr="00097A86">
              <w:t>AS 4264.1—2009</w:t>
            </w:r>
          </w:p>
        </w:tc>
      </w:tr>
      <w:tr w:rsidR="00310592" w:rsidRPr="00097A86" w:rsidDel="00310592" w14:paraId="0E3ECFB0" w14:textId="77777777" w:rsidTr="00C20CC2">
        <w:tc>
          <w:tcPr>
            <w:tcW w:w="568" w:type="pct"/>
            <w:tcBorders>
              <w:top w:val="single" w:sz="2" w:space="0" w:color="auto"/>
              <w:bottom w:val="single" w:sz="2" w:space="0" w:color="auto"/>
            </w:tcBorders>
            <w:shd w:val="clear" w:color="auto" w:fill="auto"/>
          </w:tcPr>
          <w:p w14:paraId="7634EC2B" w14:textId="77777777" w:rsidR="00310592" w:rsidRPr="00097A86" w:rsidDel="00310592" w:rsidRDefault="00310592" w:rsidP="00D22D3F">
            <w:pPr>
              <w:pStyle w:val="Tabletext"/>
            </w:pPr>
            <w:r w:rsidRPr="00097A86">
              <w:t>1A</w:t>
            </w:r>
          </w:p>
        </w:tc>
        <w:tc>
          <w:tcPr>
            <w:tcW w:w="3082" w:type="pct"/>
            <w:tcBorders>
              <w:top w:val="single" w:sz="2" w:space="0" w:color="auto"/>
              <w:bottom w:val="single" w:sz="2" w:space="0" w:color="auto"/>
            </w:tcBorders>
            <w:shd w:val="clear" w:color="auto" w:fill="auto"/>
          </w:tcPr>
          <w:p w14:paraId="675533E4" w14:textId="77777777" w:rsidR="00310592" w:rsidRPr="00097A86" w:rsidDel="00310592" w:rsidRDefault="00310592" w:rsidP="00D22D3F">
            <w:pPr>
              <w:pStyle w:val="Tabletext"/>
              <w:rPr>
                <w:snapToGrid w:val="0"/>
              </w:rPr>
            </w:pPr>
            <w:r w:rsidRPr="00097A86">
              <w:t>Sub</w:t>
            </w:r>
            <w:r w:rsidR="00097A86">
              <w:noBreakHyphen/>
            </w:r>
            <w:r w:rsidRPr="00097A86">
              <w:t>bituminous coal</w:t>
            </w:r>
          </w:p>
        </w:tc>
        <w:tc>
          <w:tcPr>
            <w:tcW w:w="1350" w:type="pct"/>
            <w:tcBorders>
              <w:top w:val="single" w:sz="2" w:space="0" w:color="auto"/>
              <w:bottom w:val="single" w:sz="2" w:space="0" w:color="auto"/>
            </w:tcBorders>
            <w:shd w:val="clear" w:color="auto" w:fill="auto"/>
          </w:tcPr>
          <w:p w14:paraId="4AB49ED9" w14:textId="77777777" w:rsidR="00310592" w:rsidRPr="00097A86" w:rsidDel="00310592" w:rsidRDefault="001F4E93" w:rsidP="00D22D3F">
            <w:pPr>
              <w:pStyle w:val="Tabletext"/>
            </w:pPr>
            <w:r w:rsidRPr="00097A86">
              <w:t>AS 4264.1—2009</w:t>
            </w:r>
          </w:p>
        </w:tc>
      </w:tr>
      <w:tr w:rsidR="00310592" w:rsidRPr="00097A86" w:rsidDel="00310592" w14:paraId="5C8FBE5C" w14:textId="77777777" w:rsidTr="00C20CC2">
        <w:tc>
          <w:tcPr>
            <w:tcW w:w="568" w:type="pct"/>
            <w:tcBorders>
              <w:top w:val="single" w:sz="2" w:space="0" w:color="auto"/>
              <w:bottom w:val="nil"/>
            </w:tcBorders>
            <w:shd w:val="clear" w:color="auto" w:fill="auto"/>
          </w:tcPr>
          <w:p w14:paraId="1AB25926" w14:textId="77777777" w:rsidR="00310592" w:rsidRPr="00097A86" w:rsidDel="00310592" w:rsidRDefault="00310592" w:rsidP="00D22D3F">
            <w:pPr>
              <w:pStyle w:val="Tabletext"/>
            </w:pPr>
            <w:r w:rsidRPr="00097A86">
              <w:t>1B</w:t>
            </w:r>
          </w:p>
        </w:tc>
        <w:tc>
          <w:tcPr>
            <w:tcW w:w="3082" w:type="pct"/>
            <w:tcBorders>
              <w:top w:val="single" w:sz="2" w:space="0" w:color="auto"/>
              <w:bottom w:val="nil"/>
            </w:tcBorders>
            <w:shd w:val="clear" w:color="auto" w:fill="auto"/>
          </w:tcPr>
          <w:p w14:paraId="4712C1D9" w14:textId="77777777" w:rsidR="00310592" w:rsidRPr="00097A86" w:rsidDel="00310592" w:rsidRDefault="00310592" w:rsidP="00D22D3F">
            <w:pPr>
              <w:pStyle w:val="Tabletext"/>
              <w:rPr>
                <w:snapToGrid w:val="0"/>
              </w:rPr>
            </w:pPr>
            <w:r w:rsidRPr="00097A86">
              <w:t>Anthracite</w:t>
            </w:r>
          </w:p>
        </w:tc>
        <w:tc>
          <w:tcPr>
            <w:tcW w:w="1350" w:type="pct"/>
            <w:tcBorders>
              <w:top w:val="single" w:sz="2" w:space="0" w:color="auto"/>
              <w:bottom w:val="nil"/>
            </w:tcBorders>
            <w:shd w:val="clear" w:color="auto" w:fill="auto"/>
          </w:tcPr>
          <w:p w14:paraId="35A380C4" w14:textId="77777777" w:rsidR="00310592" w:rsidRPr="00097A86" w:rsidDel="00310592" w:rsidRDefault="00A35563" w:rsidP="00D22D3F">
            <w:pPr>
              <w:pStyle w:val="Tabletext"/>
            </w:pPr>
            <w:r w:rsidRPr="00097A86">
              <w:t>AS 4264.1—2009</w:t>
            </w:r>
          </w:p>
        </w:tc>
      </w:tr>
      <w:tr w:rsidR="00310592" w:rsidRPr="00097A86" w14:paraId="0A9988F5" w14:textId="77777777" w:rsidTr="00C20CC2">
        <w:tc>
          <w:tcPr>
            <w:tcW w:w="568" w:type="pct"/>
            <w:tcBorders>
              <w:top w:val="nil"/>
            </w:tcBorders>
            <w:shd w:val="clear" w:color="auto" w:fill="auto"/>
          </w:tcPr>
          <w:p w14:paraId="1186C37D" w14:textId="77777777" w:rsidR="00310592" w:rsidRPr="00097A86" w:rsidRDefault="00310592" w:rsidP="00D22D3F">
            <w:pPr>
              <w:pStyle w:val="Tabletext"/>
            </w:pPr>
            <w:r w:rsidRPr="00097A86">
              <w:t>2</w:t>
            </w:r>
          </w:p>
        </w:tc>
        <w:tc>
          <w:tcPr>
            <w:tcW w:w="3082" w:type="pct"/>
            <w:tcBorders>
              <w:top w:val="nil"/>
            </w:tcBorders>
            <w:shd w:val="clear" w:color="auto" w:fill="auto"/>
          </w:tcPr>
          <w:p w14:paraId="7A0653BF" w14:textId="77777777" w:rsidR="00310592" w:rsidRPr="00097A86" w:rsidRDefault="00310592" w:rsidP="00D22D3F">
            <w:pPr>
              <w:pStyle w:val="Tabletext"/>
            </w:pPr>
            <w:r w:rsidRPr="00097A86">
              <w:t xml:space="preserve">Brown coal </w:t>
            </w:r>
          </w:p>
        </w:tc>
        <w:tc>
          <w:tcPr>
            <w:tcW w:w="1350" w:type="pct"/>
            <w:tcBorders>
              <w:top w:val="nil"/>
            </w:tcBorders>
            <w:shd w:val="clear" w:color="auto" w:fill="auto"/>
          </w:tcPr>
          <w:p w14:paraId="5FC7AF36" w14:textId="77777777" w:rsidR="00310592" w:rsidRPr="00097A86" w:rsidRDefault="00310592" w:rsidP="00D22D3F">
            <w:pPr>
              <w:pStyle w:val="Tabletext"/>
            </w:pPr>
            <w:r w:rsidRPr="00097A86">
              <w:t>AS 4264.3—1996</w:t>
            </w:r>
          </w:p>
        </w:tc>
      </w:tr>
      <w:tr w:rsidR="00310592" w:rsidRPr="00097A86" w14:paraId="5AC6FF5B" w14:textId="77777777" w:rsidTr="00C20CC2">
        <w:tc>
          <w:tcPr>
            <w:tcW w:w="568" w:type="pct"/>
            <w:shd w:val="clear" w:color="auto" w:fill="auto"/>
          </w:tcPr>
          <w:p w14:paraId="3F27C66B" w14:textId="77777777" w:rsidR="00310592" w:rsidRPr="00097A86" w:rsidRDefault="00310592" w:rsidP="00D22D3F">
            <w:pPr>
              <w:pStyle w:val="Tabletext"/>
            </w:pPr>
            <w:r w:rsidRPr="00097A86">
              <w:t>3</w:t>
            </w:r>
          </w:p>
        </w:tc>
        <w:tc>
          <w:tcPr>
            <w:tcW w:w="3082" w:type="pct"/>
            <w:shd w:val="clear" w:color="auto" w:fill="auto"/>
          </w:tcPr>
          <w:p w14:paraId="73F3BF2D" w14:textId="77777777" w:rsidR="00310592" w:rsidRPr="00097A86" w:rsidRDefault="00310592" w:rsidP="00D22D3F">
            <w:pPr>
              <w:pStyle w:val="Tabletext"/>
            </w:pPr>
            <w:r w:rsidRPr="00097A86">
              <w:t xml:space="preserve">Coking coal (metallurgical coal) </w:t>
            </w:r>
          </w:p>
        </w:tc>
        <w:tc>
          <w:tcPr>
            <w:tcW w:w="1350" w:type="pct"/>
            <w:shd w:val="clear" w:color="auto" w:fill="auto"/>
          </w:tcPr>
          <w:p w14:paraId="68FA060D" w14:textId="77777777" w:rsidR="00310592" w:rsidRPr="00097A86" w:rsidRDefault="00A35563" w:rsidP="00D22D3F">
            <w:pPr>
              <w:pStyle w:val="Tabletext"/>
            </w:pPr>
            <w:r w:rsidRPr="00097A86">
              <w:t>AS 4264.1—2009</w:t>
            </w:r>
          </w:p>
        </w:tc>
      </w:tr>
      <w:tr w:rsidR="00310592" w:rsidRPr="00097A86" w14:paraId="0DCCA5E1" w14:textId="77777777" w:rsidTr="00C20CC2">
        <w:tc>
          <w:tcPr>
            <w:tcW w:w="568" w:type="pct"/>
            <w:shd w:val="clear" w:color="auto" w:fill="auto"/>
          </w:tcPr>
          <w:p w14:paraId="1F3F2FB6" w14:textId="77777777" w:rsidR="00310592" w:rsidRPr="00097A86" w:rsidRDefault="00310592" w:rsidP="00D22D3F">
            <w:pPr>
              <w:pStyle w:val="Tabletext"/>
            </w:pPr>
            <w:r w:rsidRPr="00097A86">
              <w:t>4</w:t>
            </w:r>
          </w:p>
        </w:tc>
        <w:tc>
          <w:tcPr>
            <w:tcW w:w="3082" w:type="pct"/>
            <w:shd w:val="clear" w:color="auto" w:fill="auto"/>
          </w:tcPr>
          <w:p w14:paraId="561610F0" w14:textId="77777777" w:rsidR="00310592" w:rsidRPr="00097A86" w:rsidRDefault="00310592" w:rsidP="00D22D3F">
            <w:pPr>
              <w:pStyle w:val="Tabletext"/>
            </w:pPr>
            <w:r w:rsidRPr="00097A86">
              <w:t>Coal briquettes</w:t>
            </w:r>
          </w:p>
        </w:tc>
        <w:tc>
          <w:tcPr>
            <w:tcW w:w="1350" w:type="pct"/>
            <w:shd w:val="clear" w:color="auto" w:fill="auto"/>
          </w:tcPr>
          <w:p w14:paraId="2794AD64" w14:textId="77777777" w:rsidR="00310592" w:rsidRPr="00097A86" w:rsidRDefault="00310592" w:rsidP="00D22D3F">
            <w:pPr>
              <w:pStyle w:val="Tabletext"/>
            </w:pPr>
            <w:r w:rsidRPr="00097A86">
              <w:t>AS 4264.3—1996</w:t>
            </w:r>
          </w:p>
        </w:tc>
      </w:tr>
      <w:tr w:rsidR="00310592" w:rsidRPr="00097A86" w14:paraId="0BE42BEC" w14:textId="77777777" w:rsidTr="00C20CC2">
        <w:tc>
          <w:tcPr>
            <w:tcW w:w="568" w:type="pct"/>
            <w:shd w:val="clear" w:color="auto" w:fill="auto"/>
          </w:tcPr>
          <w:p w14:paraId="7F046653" w14:textId="77777777" w:rsidR="00310592" w:rsidRPr="00097A86" w:rsidRDefault="00310592" w:rsidP="00D22D3F">
            <w:pPr>
              <w:pStyle w:val="Tabletext"/>
            </w:pPr>
            <w:r w:rsidRPr="00097A86">
              <w:t>5</w:t>
            </w:r>
          </w:p>
        </w:tc>
        <w:tc>
          <w:tcPr>
            <w:tcW w:w="3082" w:type="pct"/>
            <w:shd w:val="clear" w:color="auto" w:fill="auto"/>
          </w:tcPr>
          <w:p w14:paraId="66D68A31" w14:textId="77777777" w:rsidR="00310592" w:rsidRPr="00097A86" w:rsidRDefault="00310592" w:rsidP="00D22D3F">
            <w:pPr>
              <w:pStyle w:val="Tabletext"/>
            </w:pPr>
            <w:r w:rsidRPr="00097A86">
              <w:t>Coal coke</w:t>
            </w:r>
          </w:p>
        </w:tc>
        <w:tc>
          <w:tcPr>
            <w:tcW w:w="1350" w:type="pct"/>
            <w:shd w:val="clear" w:color="auto" w:fill="auto"/>
          </w:tcPr>
          <w:p w14:paraId="4F80665F" w14:textId="77777777" w:rsidR="00310592" w:rsidRPr="00097A86" w:rsidRDefault="00310592" w:rsidP="00D22D3F">
            <w:pPr>
              <w:pStyle w:val="Tabletext"/>
            </w:pPr>
            <w:r w:rsidRPr="00097A86">
              <w:t>AS 4264.2—1996</w:t>
            </w:r>
          </w:p>
        </w:tc>
      </w:tr>
      <w:tr w:rsidR="00310592" w:rsidRPr="00097A86" w14:paraId="65EB2A84" w14:textId="77777777" w:rsidTr="00C20CC2">
        <w:tc>
          <w:tcPr>
            <w:tcW w:w="568" w:type="pct"/>
            <w:shd w:val="clear" w:color="auto" w:fill="auto"/>
          </w:tcPr>
          <w:p w14:paraId="4B75B54E" w14:textId="77777777" w:rsidR="00310592" w:rsidRPr="00097A86" w:rsidRDefault="00310592" w:rsidP="00D22D3F">
            <w:pPr>
              <w:pStyle w:val="Tabletext"/>
            </w:pPr>
            <w:r w:rsidRPr="00097A86">
              <w:t>6</w:t>
            </w:r>
          </w:p>
        </w:tc>
        <w:tc>
          <w:tcPr>
            <w:tcW w:w="3082" w:type="pct"/>
            <w:shd w:val="clear" w:color="auto" w:fill="auto"/>
          </w:tcPr>
          <w:p w14:paraId="7DB9507E" w14:textId="77777777" w:rsidR="00310592" w:rsidRPr="00097A86" w:rsidRDefault="00310592" w:rsidP="00D22D3F">
            <w:pPr>
              <w:pStyle w:val="Tabletext"/>
            </w:pPr>
            <w:r w:rsidRPr="00097A86">
              <w:t>Coal tar</w:t>
            </w:r>
          </w:p>
        </w:tc>
        <w:tc>
          <w:tcPr>
            <w:tcW w:w="1350" w:type="pct"/>
            <w:shd w:val="clear" w:color="auto" w:fill="auto"/>
          </w:tcPr>
          <w:p w14:paraId="4951E5D6" w14:textId="77777777" w:rsidR="00310592" w:rsidRPr="00097A86" w:rsidRDefault="00310592" w:rsidP="00D22D3F">
            <w:pPr>
              <w:pStyle w:val="Tabletext"/>
            </w:pPr>
          </w:p>
        </w:tc>
      </w:tr>
      <w:tr w:rsidR="00310592" w:rsidRPr="00097A86" w14:paraId="3D95739F" w14:textId="77777777" w:rsidTr="00C20CC2">
        <w:tc>
          <w:tcPr>
            <w:tcW w:w="568" w:type="pct"/>
            <w:shd w:val="clear" w:color="auto" w:fill="auto"/>
          </w:tcPr>
          <w:p w14:paraId="09CAF9C0" w14:textId="77777777" w:rsidR="00310592" w:rsidRPr="00097A86" w:rsidRDefault="00310592" w:rsidP="00D22D3F">
            <w:pPr>
              <w:pStyle w:val="Tabletext"/>
            </w:pPr>
            <w:r w:rsidRPr="00097A86">
              <w:t>7</w:t>
            </w:r>
          </w:p>
        </w:tc>
        <w:tc>
          <w:tcPr>
            <w:tcW w:w="3082" w:type="pct"/>
            <w:shd w:val="clear" w:color="auto" w:fill="auto"/>
          </w:tcPr>
          <w:p w14:paraId="4ADBEE86" w14:textId="77777777" w:rsidR="00310592" w:rsidRPr="00097A86" w:rsidRDefault="00310592" w:rsidP="00D22D3F">
            <w:pPr>
              <w:pStyle w:val="Tabletext"/>
            </w:pPr>
            <w:r w:rsidRPr="00097A86">
              <w:rPr>
                <w:snapToGrid w:val="0"/>
              </w:rPr>
              <w:t>Industrial materials and tyres that are derived from fossil fuels, if recycled and combusted to produce heat or electricity</w:t>
            </w:r>
          </w:p>
        </w:tc>
        <w:tc>
          <w:tcPr>
            <w:tcW w:w="1350" w:type="pct"/>
            <w:shd w:val="clear" w:color="auto" w:fill="auto"/>
          </w:tcPr>
          <w:p w14:paraId="725A7839" w14:textId="77777777" w:rsidR="00310592" w:rsidRPr="00097A86" w:rsidRDefault="00310592" w:rsidP="00D22D3F">
            <w:pPr>
              <w:pStyle w:val="Tabletext"/>
            </w:pPr>
            <w:r w:rsidRPr="00097A86">
              <w:t>CEN/TS 14778 – 1:2006</w:t>
            </w:r>
          </w:p>
          <w:p w14:paraId="13C311FB" w14:textId="77777777" w:rsidR="00310592" w:rsidRPr="00097A86" w:rsidRDefault="00310592" w:rsidP="00D22D3F">
            <w:pPr>
              <w:pStyle w:val="Tabletext"/>
            </w:pPr>
            <w:r w:rsidRPr="00097A86">
              <w:t>CEN/TS 15442:2006</w:t>
            </w:r>
          </w:p>
        </w:tc>
      </w:tr>
      <w:tr w:rsidR="00310592" w:rsidRPr="00097A86" w14:paraId="15606100" w14:textId="77777777" w:rsidTr="00C20CC2">
        <w:tc>
          <w:tcPr>
            <w:tcW w:w="568" w:type="pct"/>
            <w:shd w:val="clear" w:color="auto" w:fill="auto"/>
          </w:tcPr>
          <w:p w14:paraId="29815F66" w14:textId="77777777" w:rsidR="00310592" w:rsidRPr="00097A86" w:rsidRDefault="00310592" w:rsidP="00D22D3F">
            <w:pPr>
              <w:pStyle w:val="Tabletext"/>
            </w:pPr>
            <w:r w:rsidRPr="00097A86">
              <w:t>8</w:t>
            </w:r>
          </w:p>
        </w:tc>
        <w:tc>
          <w:tcPr>
            <w:tcW w:w="3082" w:type="pct"/>
            <w:shd w:val="clear" w:color="auto" w:fill="auto"/>
          </w:tcPr>
          <w:p w14:paraId="63358E37" w14:textId="77777777" w:rsidR="00310592" w:rsidRPr="00097A86" w:rsidRDefault="00310592" w:rsidP="00D22D3F">
            <w:pPr>
              <w:pStyle w:val="Tabletext"/>
            </w:pPr>
            <w:r w:rsidRPr="00097A86">
              <w:rPr>
                <w:snapToGrid w:val="0"/>
              </w:rPr>
              <w:t>Non</w:t>
            </w:r>
            <w:r w:rsidR="00097A86">
              <w:rPr>
                <w:snapToGrid w:val="0"/>
              </w:rPr>
              <w:noBreakHyphen/>
            </w:r>
            <w:r w:rsidRPr="00097A86">
              <w:rPr>
                <w:snapToGrid w:val="0"/>
              </w:rPr>
              <w:t>biomass municipal materials, if recycled and combusted to produce heat or electricity</w:t>
            </w:r>
          </w:p>
        </w:tc>
        <w:tc>
          <w:tcPr>
            <w:tcW w:w="1350" w:type="pct"/>
            <w:shd w:val="clear" w:color="auto" w:fill="auto"/>
          </w:tcPr>
          <w:p w14:paraId="189DBCBC" w14:textId="77777777" w:rsidR="00310592" w:rsidRPr="00097A86" w:rsidRDefault="00310592" w:rsidP="00D22D3F">
            <w:pPr>
              <w:pStyle w:val="Tabletext"/>
            </w:pPr>
            <w:r w:rsidRPr="00097A86">
              <w:t>CEN/TS 14778 – 1:2005</w:t>
            </w:r>
          </w:p>
          <w:p w14:paraId="765E2939" w14:textId="77777777" w:rsidR="00310592" w:rsidRPr="00097A86" w:rsidRDefault="00310592" w:rsidP="00D22D3F">
            <w:pPr>
              <w:pStyle w:val="Tabletext"/>
            </w:pPr>
            <w:r w:rsidRPr="00097A86">
              <w:t>CEN/TS 15442:2006</w:t>
            </w:r>
          </w:p>
        </w:tc>
      </w:tr>
      <w:tr w:rsidR="00310592" w:rsidRPr="00097A86" w14:paraId="6BB2A954" w14:textId="77777777" w:rsidTr="00C20CC2">
        <w:tc>
          <w:tcPr>
            <w:tcW w:w="568" w:type="pct"/>
            <w:shd w:val="clear" w:color="auto" w:fill="auto"/>
          </w:tcPr>
          <w:p w14:paraId="2D76090E" w14:textId="77777777" w:rsidR="00310592" w:rsidRPr="00097A86" w:rsidRDefault="00310592" w:rsidP="00D22D3F">
            <w:pPr>
              <w:pStyle w:val="Tabletext"/>
            </w:pPr>
            <w:r w:rsidRPr="00097A86">
              <w:t>9</w:t>
            </w:r>
          </w:p>
        </w:tc>
        <w:tc>
          <w:tcPr>
            <w:tcW w:w="3082" w:type="pct"/>
            <w:shd w:val="clear" w:color="auto" w:fill="auto"/>
          </w:tcPr>
          <w:p w14:paraId="24461F93" w14:textId="77777777" w:rsidR="00310592" w:rsidRPr="00097A86" w:rsidRDefault="00310592" w:rsidP="00D22D3F">
            <w:pPr>
              <w:pStyle w:val="Tabletext"/>
            </w:pPr>
            <w:r w:rsidRPr="00097A86">
              <w:t>Dry wood</w:t>
            </w:r>
          </w:p>
        </w:tc>
        <w:tc>
          <w:tcPr>
            <w:tcW w:w="1350" w:type="pct"/>
            <w:shd w:val="clear" w:color="auto" w:fill="auto"/>
          </w:tcPr>
          <w:p w14:paraId="31361ACD" w14:textId="77777777" w:rsidR="00310592" w:rsidRPr="00097A86" w:rsidRDefault="00310592" w:rsidP="00D22D3F">
            <w:pPr>
              <w:pStyle w:val="Tabletext"/>
            </w:pPr>
            <w:r w:rsidRPr="00097A86">
              <w:t>CEN/TS 14778 – 1:2005</w:t>
            </w:r>
          </w:p>
          <w:p w14:paraId="03AF007F" w14:textId="77777777" w:rsidR="00310592" w:rsidRPr="00097A86" w:rsidRDefault="00310592" w:rsidP="00D22D3F">
            <w:pPr>
              <w:pStyle w:val="Tabletext"/>
            </w:pPr>
            <w:r w:rsidRPr="00097A86">
              <w:t>CEN/TS 15442:2006</w:t>
            </w:r>
          </w:p>
        </w:tc>
      </w:tr>
      <w:tr w:rsidR="00310592" w:rsidRPr="00097A86" w14:paraId="3A71CCA9" w14:textId="77777777" w:rsidTr="00C20CC2">
        <w:tc>
          <w:tcPr>
            <w:tcW w:w="568" w:type="pct"/>
            <w:shd w:val="clear" w:color="auto" w:fill="auto"/>
          </w:tcPr>
          <w:p w14:paraId="4016E743" w14:textId="77777777" w:rsidR="00310592" w:rsidRPr="00097A86" w:rsidRDefault="00310592" w:rsidP="00D22D3F">
            <w:pPr>
              <w:pStyle w:val="Tabletext"/>
            </w:pPr>
            <w:r w:rsidRPr="00097A86">
              <w:t>10</w:t>
            </w:r>
          </w:p>
        </w:tc>
        <w:tc>
          <w:tcPr>
            <w:tcW w:w="3082" w:type="pct"/>
            <w:shd w:val="clear" w:color="auto" w:fill="auto"/>
          </w:tcPr>
          <w:p w14:paraId="49B2D6F9" w14:textId="77777777" w:rsidR="00310592" w:rsidRPr="00097A86" w:rsidRDefault="00310592" w:rsidP="00D22D3F">
            <w:pPr>
              <w:pStyle w:val="Tabletext"/>
            </w:pPr>
            <w:r w:rsidRPr="00097A86">
              <w:t>Green and air dried wood</w:t>
            </w:r>
          </w:p>
        </w:tc>
        <w:tc>
          <w:tcPr>
            <w:tcW w:w="1350" w:type="pct"/>
            <w:shd w:val="clear" w:color="auto" w:fill="auto"/>
          </w:tcPr>
          <w:p w14:paraId="6CEDDBEE" w14:textId="77777777" w:rsidR="00310592" w:rsidRPr="00097A86" w:rsidRDefault="00310592" w:rsidP="00D22D3F">
            <w:pPr>
              <w:pStyle w:val="Tabletext"/>
            </w:pPr>
            <w:r w:rsidRPr="00097A86">
              <w:t>CEN/TS 14778 – 1:2005</w:t>
            </w:r>
          </w:p>
          <w:p w14:paraId="7C1B329E" w14:textId="77777777" w:rsidR="00310592" w:rsidRPr="00097A86" w:rsidRDefault="00310592" w:rsidP="00D22D3F">
            <w:pPr>
              <w:pStyle w:val="Tabletext"/>
            </w:pPr>
            <w:r w:rsidRPr="00097A86">
              <w:t>CEN/TS 15442:2006</w:t>
            </w:r>
          </w:p>
        </w:tc>
      </w:tr>
      <w:tr w:rsidR="00310592" w:rsidRPr="00097A86" w14:paraId="7410559A" w14:textId="77777777" w:rsidTr="00C20CC2">
        <w:tc>
          <w:tcPr>
            <w:tcW w:w="568" w:type="pct"/>
            <w:shd w:val="clear" w:color="auto" w:fill="auto"/>
          </w:tcPr>
          <w:p w14:paraId="3AC55393" w14:textId="77777777" w:rsidR="00310592" w:rsidRPr="00097A86" w:rsidRDefault="00310592" w:rsidP="00D22D3F">
            <w:pPr>
              <w:pStyle w:val="Tabletext"/>
            </w:pPr>
            <w:r w:rsidRPr="00097A86">
              <w:t>11</w:t>
            </w:r>
          </w:p>
        </w:tc>
        <w:tc>
          <w:tcPr>
            <w:tcW w:w="3082" w:type="pct"/>
            <w:shd w:val="clear" w:color="auto" w:fill="auto"/>
          </w:tcPr>
          <w:p w14:paraId="3F24029F" w14:textId="77777777" w:rsidR="00310592" w:rsidRPr="00097A86" w:rsidRDefault="00310592" w:rsidP="00D22D3F">
            <w:pPr>
              <w:pStyle w:val="Tabletext"/>
            </w:pPr>
            <w:r w:rsidRPr="00097A86">
              <w:t>Sulphite lyes</w:t>
            </w:r>
          </w:p>
        </w:tc>
        <w:tc>
          <w:tcPr>
            <w:tcW w:w="1350" w:type="pct"/>
            <w:shd w:val="clear" w:color="auto" w:fill="auto"/>
          </w:tcPr>
          <w:p w14:paraId="63856DE5" w14:textId="77777777" w:rsidR="00310592" w:rsidRPr="00097A86" w:rsidRDefault="00310592" w:rsidP="00D22D3F">
            <w:pPr>
              <w:pStyle w:val="Tabletext"/>
            </w:pPr>
            <w:r w:rsidRPr="00097A86">
              <w:t>CEN/TS 14778 – 1:2005</w:t>
            </w:r>
          </w:p>
          <w:p w14:paraId="10D5C5C2" w14:textId="77777777" w:rsidR="00310592" w:rsidRPr="00097A86" w:rsidRDefault="00310592" w:rsidP="00D22D3F">
            <w:pPr>
              <w:pStyle w:val="Tabletext"/>
            </w:pPr>
            <w:r w:rsidRPr="00097A86">
              <w:t>CEN/TS 15442:2006</w:t>
            </w:r>
          </w:p>
        </w:tc>
      </w:tr>
      <w:tr w:rsidR="00310592" w:rsidRPr="00097A86" w14:paraId="46FEF094" w14:textId="77777777" w:rsidTr="00C20CC2">
        <w:tc>
          <w:tcPr>
            <w:tcW w:w="568" w:type="pct"/>
            <w:shd w:val="clear" w:color="auto" w:fill="auto"/>
          </w:tcPr>
          <w:p w14:paraId="31B0E2A4" w14:textId="77777777" w:rsidR="00310592" w:rsidRPr="00097A86" w:rsidRDefault="00310592" w:rsidP="00D22D3F">
            <w:pPr>
              <w:pStyle w:val="Tabletext"/>
            </w:pPr>
            <w:r w:rsidRPr="00097A86">
              <w:t>12</w:t>
            </w:r>
          </w:p>
        </w:tc>
        <w:tc>
          <w:tcPr>
            <w:tcW w:w="3082" w:type="pct"/>
            <w:shd w:val="clear" w:color="auto" w:fill="auto"/>
          </w:tcPr>
          <w:p w14:paraId="69F3846B" w14:textId="77777777" w:rsidR="00310592" w:rsidRPr="00097A86" w:rsidRDefault="00310592" w:rsidP="00D22D3F">
            <w:pPr>
              <w:pStyle w:val="Tabletext"/>
            </w:pPr>
            <w:r w:rsidRPr="00097A86">
              <w:t>Bagasse</w:t>
            </w:r>
          </w:p>
        </w:tc>
        <w:tc>
          <w:tcPr>
            <w:tcW w:w="1350" w:type="pct"/>
            <w:shd w:val="clear" w:color="auto" w:fill="auto"/>
          </w:tcPr>
          <w:p w14:paraId="3E2BEAB7" w14:textId="77777777" w:rsidR="00310592" w:rsidRPr="00097A86" w:rsidRDefault="00310592" w:rsidP="00D22D3F">
            <w:pPr>
              <w:pStyle w:val="Tabletext"/>
            </w:pPr>
            <w:r w:rsidRPr="00097A86">
              <w:t>CEN/TS 14778 – 1:2005</w:t>
            </w:r>
          </w:p>
          <w:p w14:paraId="35D85343" w14:textId="77777777" w:rsidR="00310592" w:rsidRPr="00097A86" w:rsidRDefault="00310592" w:rsidP="00D22D3F">
            <w:pPr>
              <w:pStyle w:val="Tabletext"/>
            </w:pPr>
            <w:r w:rsidRPr="00097A86">
              <w:t>CEN/TS 15442:2006</w:t>
            </w:r>
          </w:p>
        </w:tc>
      </w:tr>
      <w:tr w:rsidR="00310592" w:rsidRPr="00097A86" w14:paraId="45244ECE" w14:textId="77777777" w:rsidTr="00C20CC2">
        <w:trPr>
          <w:cantSplit/>
        </w:trPr>
        <w:tc>
          <w:tcPr>
            <w:tcW w:w="568" w:type="pct"/>
            <w:shd w:val="clear" w:color="auto" w:fill="auto"/>
          </w:tcPr>
          <w:p w14:paraId="3D60434B" w14:textId="77777777" w:rsidR="00310592" w:rsidRPr="00097A86" w:rsidRDefault="00310592" w:rsidP="00D22D3F">
            <w:pPr>
              <w:pStyle w:val="Tabletext"/>
            </w:pPr>
            <w:r w:rsidRPr="00097A86">
              <w:t>13</w:t>
            </w:r>
          </w:p>
        </w:tc>
        <w:tc>
          <w:tcPr>
            <w:tcW w:w="3082" w:type="pct"/>
            <w:shd w:val="clear" w:color="auto" w:fill="auto"/>
          </w:tcPr>
          <w:p w14:paraId="310272CF" w14:textId="77777777" w:rsidR="00310592" w:rsidRPr="00097A86" w:rsidRDefault="00310592" w:rsidP="00D22D3F">
            <w:pPr>
              <w:pStyle w:val="Tabletext"/>
            </w:pPr>
            <w:r w:rsidRPr="00097A86">
              <w:t>Primary solid biomass other than items</w:t>
            </w:r>
            <w:r w:rsidR="00097A86">
              <w:t> </w:t>
            </w:r>
            <w:r w:rsidRPr="00097A86">
              <w:t>9 to 12 and 14 to 15</w:t>
            </w:r>
          </w:p>
        </w:tc>
        <w:tc>
          <w:tcPr>
            <w:tcW w:w="1350" w:type="pct"/>
            <w:shd w:val="clear" w:color="auto" w:fill="auto"/>
          </w:tcPr>
          <w:p w14:paraId="45FB2B84" w14:textId="77777777" w:rsidR="00310592" w:rsidRPr="00097A86" w:rsidRDefault="00310592" w:rsidP="00D22D3F">
            <w:pPr>
              <w:pStyle w:val="Tabletext"/>
            </w:pPr>
            <w:r w:rsidRPr="00097A86">
              <w:t>CEN/TS 14778 – 1:2005</w:t>
            </w:r>
          </w:p>
          <w:p w14:paraId="4FC14942" w14:textId="77777777" w:rsidR="00310592" w:rsidRPr="00097A86" w:rsidRDefault="00310592" w:rsidP="00D22D3F">
            <w:pPr>
              <w:pStyle w:val="Tabletext"/>
            </w:pPr>
            <w:r w:rsidRPr="00097A86">
              <w:t>CEN/TS 15442:2006</w:t>
            </w:r>
          </w:p>
        </w:tc>
      </w:tr>
      <w:tr w:rsidR="00310592" w:rsidRPr="00097A86" w14:paraId="3BF71D99" w14:textId="77777777" w:rsidTr="00C20CC2">
        <w:tc>
          <w:tcPr>
            <w:tcW w:w="568" w:type="pct"/>
            <w:tcBorders>
              <w:bottom w:val="single" w:sz="4" w:space="0" w:color="auto"/>
            </w:tcBorders>
            <w:shd w:val="clear" w:color="auto" w:fill="auto"/>
          </w:tcPr>
          <w:p w14:paraId="1CF008E8" w14:textId="77777777" w:rsidR="00310592" w:rsidRPr="00097A86" w:rsidRDefault="00310592" w:rsidP="00D22D3F">
            <w:pPr>
              <w:pStyle w:val="Tabletext"/>
            </w:pPr>
            <w:r w:rsidRPr="00097A86">
              <w:t>14</w:t>
            </w:r>
          </w:p>
        </w:tc>
        <w:tc>
          <w:tcPr>
            <w:tcW w:w="3082" w:type="pct"/>
            <w:tcBorders>
              <w:bottom w:val="single" w:sz="4" w:space="0" w:color="auto"/>
            </w:tcBorders>
            <w:shd w:val="clear" w:color="auto" w:fill="auto"/>
          </w:tcPr>
          <w:p w14:paraId="3F927E7A" w14:textId="77777777" w:rsidR="00310592" w:rsidRPr="00097A86" w:rsidRDefault="00310592" w:rsidP="00D22D3F">
            <w:pPr>
              <w:pStyle w:val="Tabletext"/>
            </w:pPr>
            <w:r w:rsidRPr="00097A86">
              <w:t xml:space="preserve">Charcoal </w:t>
            </w:r>
          </w:p>
        </w:tc>
        <w:tc>
          <w:tcPr>
            <w:tcW w:w="1350" w:type="pct"/>
            <w:tcBorders>
              <w:bottom w:val="single" w:sz="4" w:space="0" w:color="auto"/>
            </w:tcBorders>
            <w:shd w:val="clear" w:color="auto" w:fill="auto"/>
          </w:tcPr>
          <w:p w14:paraId="720AF21F" w14:textId="77777777" w:rsidR="00310592" w:rsidRPr="00097A86" w:rsidRDefault="00310592" w:rsidP="00D22D3F">
            <w:pPr>
              <w:pStyle w:val="Tabletext"/>
            </w:pPr>
            <w:r w:rsidRPr="00097A86">
              <w:t>CEN/TS 14778 – 1:2005</w:t>
            </w:r>
          </w:p>
          <w:p w14:paraId="28F78D5E" w14:textId="77777777" w:rsidR="00310592" w:rsidRPr="00097A86" w:rsidRDefault="00310592" w:rsidP="00D22D3F">
            <w:pPr>
              <w:pStyle w:val="Tabletext"/>
            </w:pPr>
            <w:r w:rsidRPr="00097A86">
              <w:t>CEN/TS 15442:2006</w:t>
            </w:r>
          </w:p>
        </w:tc>
      </w:tr>
      <w:tr w:rsidR="00310592" w:rsidRPr="00097A86" w14:paraId="7F84F972" w14:textId="77777777" w:rsidTr="00C20CC2">
        <w:trPr>
          <w:cantSplit/>
        </w:trPr>
        <w:tc>
          <w:tcPr>
            <w:tcW w:w="568" w:type="pct"/>
            <w:tcBorders>
              <w:bottom w:val="single" w:sz="12" w:space="0" w:color="auto"/>
            </w:tcBorders>
            <w:shd w:val="clear" w:color="auto" w:fill="auto"/>
          </w:tcPr>
          <w:p w14:paraId="1237573E" w14:textId="77777777" w:rsidR="00310592" w:rsidRPr="00097A86" w:rsidRDefault="00310592" w:rsidP="00D22D3F">
            <w:pPr>
              <w:pStyle w:val="Tabletext"/>
            </w:pPr>
            <w:r w:rsidRPr="00097A86">
              <w:lastRenderedPageBreak/>
              <w:t>15</w:t>
            </w:r>
          </w:p>
        </w:tc>
        <w:tc>
          <w:tcPr>
            <w:tcW w:w="3082" w:type="pct"/>
            <w:tcBorders>
              <w:bottom w:val="single" w:sz="12" w:space="0" w:color="auto"/>
            </w:tcBorders>
            <w:shd w:val="clear" w:color="auto" w:fill="auto"/>
          </w:tcPr>
          <w:p w14:paraId="701AA523" w14:textId="77777777" w:rsidR="00310592" w:rsidRPr="00097A86" w:rsidRDefault="00310592" w:rsidP="00D22D3F">
            <w:pPr>
              <w:pStyle w:val="Tabletext"/>
            </w:pPr>
            <w:r w:rsidRPr="00097A86">
              <w:t>Biomass municipal and industrial materials, if recycled and combusted to produce heat or electricity</w:t>
            </w:r>
          </w:p>
        </w:tc>
        <w:tc>
          <w:tcPr>
            <w:tcW w:w="1350" w:type="pct"/>
            <w:tcBorders>
              <w:bottom w:val="single" w:sz="12" w:space="0" w:color="auto"/>
            </w:tcBorders>
            <w:shd w:val="clear" w:color="auto" w:fill="auto"/>
          </w:tcPr>
          <w:p w14:paraId="493E11B9" w14:textId="77777777" w:rsidR="00310592" w:rsidRPr="00097A86" w:rsidRDefault="00310592" w:rsidP="00D22D3F">
            <w:pPr>
              <w:pStyle w:val="Tabletext"/>
            </w:pPr>
            <w:r w:rsidRPr="00097A86">
              <w:t>CEN/TS 14778 – 1:2005</w:t>
            </w:r>
          </w:p>
          <w:p w14:paraId="6D3AB029" w14:textId="77777777" w:rsidR="00310592" w:rsidRPr="00097A86" w:rsidRDefault="00310592" w:rsidP="00D22D3F">
            <w:pPr>
              <w:pStyle w:val="Tabletext"/>
            </w:pPr>
            <w:r w:rsidRPr="00097A86">
              <w:t>CEN/TS 15442:2006</w:t>
            </w:r>
          </w:p>
        </w:tc>
      </w:tr>
    </w:tbl>
    <w:p w14:paraId="2B6281A0" w14:textId="77777777" w:rsidR="003F0D4E" w:rsidRPr="00097A86" w:rsidRDefault="003F0D4E" w:rsidP="00D22D3F">
      <w:pPr>
        <w:pStyle w:val="subsection"/>
      </w:pPr>
      <w:r w:rsidRPr="00097A86">
        <w:tab/>
        <w:t>(4)</w:t>
      </w:r>
      <w:r w:rsidRPr="00097A86">
        <w:tab/>
        <w:t xml:space="preserve">A solid fuel may also be sampled in accordance with a standard that is equivalent to a standard set out in the table in </w:t>
      </w:r>
      <w:r w:rsidR="00097A86">
        <w:t>subsection (</w:t>
      </w:r>
      <w:r w:rsidRPr="00097A86">
        <w:t>3).</w:t>
      </w:r>
    </w:p>
    <w:p w14:paraId="7D13B0A9" w14:textId="77777777" w:rsidR="003F0D4E" w:rsidRPr="00097A86" w:rsidRDefault="00D22D3F" w:rsidP="00D22D3F">
      <w:pPr>
        <w:pStyle w:val="notetext"/>
      </w:pPr>
      <w:r w:rsidRPr="00097A86">
        <w:t>Note:</w:t>
      </w:r>
      <w:r w:rsidRPr="00097A86">
        <w:tab/>
      </w:r>
      <w:r w:rsidR="003F0D4E" w:rsidRPr="00097A86">
        <w:t>The analysis is carried out in accordance with the same requirements as for method 2.</w:t>
      </w:r>
    </w:p>
    <w:p w14:paraId="776D45EB" w14:textId="77777777" w:rsidR="003F0D4E" w:rsidRPr="00097A86" w:rsidRDefault="003F0D4E" w:rsidP="00D22D3F">
      <w:pPr>
        <w:pStyle w:val="ActHead3"/>
        <w:pageBreakBefore/>
      </w:pPr>
      <w:bookmarkStart w:id="107" w:name="_Toc13233555"/>
      <w:r w:rsidRPr="00097A86">
        <w:rPr>
          <w:rStyle w:val="CharDivNo"/>
        </w:rPr>
        <w:lastRenderedPageBreak/>
        <w:t>Division</w:t>
      </w:r>
      <w:r w:rsidR="00097A86">
        <w:rPr>
          <w:rStyle w:val="CharDivNo"/>
        </w:rPr>
        <w:t> </w:t>
      </w:r>
      <w:r w:rsidRPr="00097A86">
        <w:rPr>
          <w:rStyle w:val="CharDivNo"/>
        </w:rPr>
        <w:t>2.2.5</w:t>
      </w:r>
      <w:r w:rsidR="00D22D3F" w:rsidRPr="00097A86">
        <w:t>—</w:t>
      </w:r>
      <w:r w:rsidRPr="00097A86">
        <w:rPr>
          <w:rStyle w:val="CharDivText"/>
        </w:rPr>
        <w:t>Measurement of consumption of solid fuels</w:t>
      </w:r>
      <w:bookmarkEnd w:id="107"/>
    </w:p>
    <w:p w14:paraId="36203265" w14:textId="77777777" w:rsidR="003F0D4E" w:rsidRPr="00097A86" w:rsidRDefault="003F0D4E" w:rsidP="00D22D3F">
      <w:pPr>
        <w:pStyle w:val="ActHead5"/>
      </w:pPr>
      <w:bookmarkStart w:id="108" w:name="_Toc13233556"/>
      <w:r w:rsidRPr="00097A86">
        <w:rPr>
          <w:rStyle w:val="CharSectno"/>
        </w:rPr>
        <w:t>2.13</w:t>
      </w:r>
      <w:r w:rsidR="00D22D3F" w:rsidRPr="00097A86">
        <w:t xml:space="preserve">  </w:t>
      </w:r>
      <w:r w:rsidRPr="00097A86">
        <w:t>Purpose of Division</w:t>
      </w:r>
      <w:bookmarkEnd w:id="108"/>
    </w:p>
    <w:p w14:paraId="0C3A276F" w14:textId="77777777" w:rsidR="003F0D4E" w:rsidRPr="00097A86" w:rsidRDefault="003F0D4E" w:rsidP="00D22D3F">
      <w:pPr>
        <w:pStyle w:val="subsection"/>
      </w:pPr>
      <w:r w:rsidRPr="00097A86">
        <w:tab/>
      </w:r>
      <w:r w:rsidRPr="00097A86">
        <w:tab/>
        <w:t>This Division sets out how quantities of solid fuels combusted from the operation of a facility are to be estimated for the purpose of working out the</w:t>
      </w:r>
      <w:r w:rsidRPr="00097A86">
        <w:rPr>
          <w:strike/>
        </w:rPr>
        <w:t xml:space="preserve"> </w:t>
      </w:r>
      <w:r w:rsidRPr="00097A86">
        <w:t>emissions released from the combustion of that fuel</w:t>
      </w:r>
      <w:r w:rsidRPr="00097A86">
        <w:rPr>
          <w:i/>
        </w:rPr>
        <w:t>.</w:t>
      </w:r>
    </w:p>
    <w:p w14:paraId="2E077F87" w14:textId="77777777" w:rsidR="003F0D4E" w:rsidRPr="00097A86" w:rsidRDefault="003F0D4E" w:rsidP="00D22D3F">
      <w:pPr>
        <w:pStyle w:val="ActHead5"/>
      </w:pPr>
      <w:bookmarkStart w:id="109" w:name="_Toc13233557"/>
      <w:r w:rsidRPr="00097A86">
        <w:rPr>
          <w:rStyle w:val="CharSectno"/>
        </w:rPr>
        <w:t>2.14</w:t>
      </w:r>
      <w:r w:rsidR="00D22D3F" w:rsidRPr="00097A86">
        <w:t xml:space="preserve">  </w:t>
      </w:r>
      <w:r w:rsidRPr="00097A86">
        <w:t>Criteria for measurement</w:t>
      </w:r>
      <w:bookmarkEnd w:id="109"/>
    </w:p>
    <w:p w14:paraId="70B42C57" w14:textId="77777777" w:rsidR="003F0D4E" w:rsidRPr="00097A86" w:rsidRDefault="003754F3" w:rsidP="00D22D3F">
      <w:pPr>
        <w:pStyle w:val="subsection"/>
      </w:pPr>
      <w:r w:rsidRPr="00097A86">
        <w:tab/>
        <w:t>(1)</w:t>
      </w:r>
      <w:r w:rsidRPr="00097A86">
        <w:tab/>
        <w:t>For the purpose</w:t>
      </w:r>
      <w:r w:rsidR="003F0D4E" w:rsidRPr="00097A86">
        <w:t xml:space="preserve"> of calculating the amount of solid fuel combusted from the operation of a facility during a year and, in particular, for </w:t>
      </w:r>
      <w:r w:rsidR="003F0D4E" w:rsidRPr="00097A86">
        <w:rPr>
          <w:b/>
          <w:i/>
        </w:rPr>
        <w:t>Q</w:t>
      </w:r>
      <w:r w:rsidR="003F0D4E" w:rsidRPr="00097A86">
        <w:rPr>
          <w:b/>
          <w:i/>
          <w:vertAlign w:val="subscript"/>
        </w:rPr>
        <w:t>i</w:t>
      </w:r>
      <w:r w:rsidR="003F0D4E" w:rsidRPr="00097A86">
        <w:t xml:space="preserve"> in sections</w:t>
      </w:r>
      <w:r w:rsidR="00097A86">
        <w:t> </w:t>
      </w:r>
      <w:r w:rsidR="003F0D4E" w:rsidRPr="00097A86">
        <w:t xml:space="preserve">2.4, 2.5 and 2.6, the quantity of combustion must be estimated </w:t>
      </w:r>
      <w:r w:rsidR="001F1AFC" w:rsidRPr="00097A86">
        <w:t>in accordance with this section.</w:t>
      </w:r>
    </w:p>
    <w:p w14:paraId="4B15FEB0" w14:textId="77777777" w:rsidR="001F1AFC" w:rsidRPr="00097A86" w:rsidRDefault="001F1AFC" w:rsidP="00D22D3F">
      <w:pPr>
        <w:pStyle w:val="SubsectionHead"/>
      </w:pPr>
      <w:r w:rsidRPr="00097A86">
        <w:t>Acquisition involves commercial transaction</w:t>
      </w:r>
    </w:p>
    <w:p w14:paraId="25D89429" w14:textId="77777777" w:rsidR="001F1AFC" w:rsidRPr="00097A86" w:rsidRDefault="001F1AFC" w:rsidP="00D22D3F">
      <w:pPr>
        <w:pStyle w:val="subsection"/>
      </w:pPr>
      <w:r w:rsidRPr="00097A86">
        <w:tab/>
        <w:t>(2)</w:t>
      </w:r>
      <w:r w:rsidRPr="00097A86">
        <w:tab/>
        <w:t>If the acquisition of the solid fuel involves a commercial transaction, the quantity of fuel combusted must be estimated using one of the following criteria:</w:t>
      </w:r>
    </w:p>
    <w:p w14:paraId="00B8A3CB" w14:textId="77777777" w:rsidR="001F1AFC" w:rsidRPr="00097A86" w:rsidRDefault="001F1AFC" w:rsidP="00D22D3F">
      <w:pPr>
        <w:pStyle w:val="paragraph"/>
      </w:pPr>
      <w:r w:rsidRPr="00097A86">
        <w:tab/>
        <w:t>(a)</w:t>
      </w:r>
      <w:r w:rsidRPr="00097A86">
        <w:tab/>
        <w:t>the amount of the solid fuel delivered for the facility during the year as evidenced by invoices issued by the vendor of the fuel (</w:t>
      </w:r>
      <w:r w:rsidRPr="00097A86">
        <w:rPr>
          <w:b/>
          <w:bCs/>
          <w:i/>
          <w:iCs/>
        </w:rPr>
        <w:t>criterion A</w:t>
      </w:r>
      <w:r w:rsidRPr="00097A86">
        <w:t>);</w:t>
      </w:r>
    </w:p>
    <w:p w14:paraId="46704D61" w14:textId="77777777" w:rsidR="001F1AFC" w:rsidRPr="00097A86" w:rsidRDefault="001F1AFC" w:rsidP="00D22D3F">
      <w:pPr>
        <w:pStyle w:val="paragraph"/>
      </w:pPr>
      <w:r w:rsidRPr="00097A86">
        <w:tab/>
        <w:t>(b)</w:t>
      </w:r>
      <w:r w:rsidRPr="00097A86">
        <w:tab/>
        <w:t>as provided in section</w:t>
      </w:r>
      <w:r w:rsidR="00097A86">
        <w:t> </w:t>
      </w:r>
      <w:r w:rsidRPr="00097A86">
        <w:t>2.15 (</w:t>
      </w:r>
      <w:r w:rsidRPr="00097A86">
        <w:rPr>
          <w:b/>
          <w:bCs/>
          <w:i/>
          <w:iCs/>
        </w:rPr>
        <w:t>criterion AA</w:t>
      </w:r>
      <w:r w:rsidRPr="00097A86">
        <w:t>);</w:t>
      </w:r>
    </w:p>
    <w:p w14:paraId="5D5569A4" w14:textId="77777777" w:rsidR="001F1AFC" w:rsidRPr="00097A86" w:rsidRDefault="001F1AFC" w:rsidP="00D22D3F">
      <w:pPr>
        <w:pStyle w:val="paragraph"/>
      </w:pPr>
      <w:r w:rsidRPr="00097A86">
        <w:tab/>
        <w:t>(c)</w:t>
      </w:r>
      <w:r w:rsidRPr="00097A86">
        <w:tab/>
        <w:t>as provided in section</w:t>
      </w:r>
      <w:r w:rsidR="00097A86">
        <w:t> </w:t>
      </w:r>
      <w:r w:rsidRPr="00097A86">
        <w:t>2.16 (</w:t>
      </w:r>
      <w:r w:rsidRPr="00097A86">
        <w:rPr>
          <w:b/>
          <w:bCs/>
          <w:i/>
          <w:iCs/>
        </w:rPr>
        <w:t>criterion AAA</w:t>
      </w:r>
      <w:r w:rsidRPr="00097A86">
        <w:t>).</w:t>
      </w:r>
    </w:p>
    <w:p w14:paraId="30C290FF" w14:textId="77777777" w:rsidR="001F1AFC" w:rsidRPr="00097A86" w:rsidRDefault="001F1AFC" w:rsidP="00D22D3F">
      <w:pPr>
        <w:pStyle w:val="subsection"/>
      </w:pPr>
      <w:r w:rsidRPr="00097A86">
        <w:tab/>
        <w:t>(3)</w:t>
      </w:r>
      <w:r w:rsidRPr="00097A86">
        <w:tab/>
        <w:t>If, during a year, criterion AA, or criterion AAA using paragraph</w:t>
      </w:r>
      <w:r w:rsidR="00097A86">
        <w:t> </w:t>
      </w:r>
      <w:r w:rsidRPr="00097A86">
        <w:t>2.16</w:t>
      </w:r>
      <w:r w:rsidR="00045A83" w:rsidRPr="00097A86">
        <w:t>(</w:t>
      </w:r>
      <w:r w:rsidRPr="00097A86">
        <w:t>2)</w:t>
      </w:r>
      <w:r w:rsidR="00045A83" w:rsidRPr="00097A86">
        <w:t>(</w:t>
      </w:r>
      <w:r w:rsidRPr="00097A86">
        <w:t>a), is used to estimate the quantity of fuel combusted, then, in each year following that year, only criterion AA, or criterion AAA using paragraph</w:t>
      </w:r>
      <w:r w:rsidR="00097A86">
        <w:t> </w:t>
      </w:r>
      <w:r w:rsidRPr="00097A86">
        <w:t>2.16(2)(a), (respectively) is to be used.</w:t>
      </w:r>
    </w:p>
    <w:p w14:paraId="33414700" w14:textId="77777777" w:rsidR="001F1AFC" w:rsidRPr="00097A86" w:rsidRDefault="001F1AFC" w:rsidP="00D22D3F">
      <w:pPr>
        <w:pStyle w:val="SubsectionHead"/>
      </w:pPr>
      <w:r w:rsidRPr="00097A86">
        <w:t>Acquisition does not involve commercial transaction</w:t>
      </w:r>
    </w:p>
    <w:p w14:paraId="6A4DA5F6" w14:textId="77777777" w:rsidR="001F1AFC" w:rsidRPr="00097A86" w:rsidRDefault="001F1AFC" w:rsidP="00D22D3F">
      <w:pPr>
        <w:pStyle w:val="subsection"/>
      </w:pPr>
      <w:r w:rsidRPr="00097A86">
        <w:tab/>
        <w:t>(4)</w:t>
      </w:r>
      <w:r w:rsidRPr="00097A86">
        <w:tab/>
        <w:t>If the acquisition of the solid fuel does not involve a commercial transaction, the quantity of fuel combusted must be estimated using one of the following criteria:</w:t>
      </w:r>
    </w:p>
    <w:p w14:paraId="3FE4BBD6" w14:textId="77777777" w:rsidR="001F1AFC" w:rsidRPr="00097A86" w:rsidRDefault="001F1AFC" w:rsidP="00D22D3F">
      <w:pPr>
        <w:pStyle w:val="paragraph"/>
      </w:pPr>
      <w:r w:rsidRPr="00097A86">
        <w:tab/>
        <w:t>(a)</w:t>
      </w:r>
      <w:r w:rsidRPr="00097A86">
        <w:tab/>
        <w:t>as provided in paragraph</w:t>
      </w:r>
      <w:r w:rsidR="00097A86">
        <w:t> </w:t>
      </w:r>
      <w:r w:rsidRPr="00097A86">
        <w:t>2.16(2)(a) (</w:t>
      </w:r>
      <w:r w:rsidRPr="00097A86">
        <w:rPr>
          <w:b/>
          <w:i/>
        </w:rPr>
        <w:t>criterion AAA</w:t>
      </w:r>
      <w:r w:rsidRPr="00097A86">
        <w:t>);</w:t>
      </w:r>
    </w:p>
    <w:p w14:paraId="4506E90B" w14:textId="77777777" w:rsidR="001F1AFC" w:rsidRPr="00097A86" w:rsidRDefault="001F1AFC" w:rsidP="00D22D3F">
      <w:pPr>
        <w:pStyle w:val="paragraph"/>
      </w:pPr>
      <w:r w:rsidRPr="00097A86">
        <w:tab/>
        <w:t>(b)</w:t>
      </w:r>
      <w:r w:rsidRPr="00097A86">
        <w:tab/>
        <w:t>as provided in section</w:t>
      </w:r>
      <w:r w:rsidR="00097A86">
        <w:t> </w:t>
      </w:r>
      <w:r w:rsidRPr="00097A86">
        <w:t>2.17 (</w:t>
      </w:r>
      <w:r w:rsidRPr="00097A86">
        <w:rPr>
          <w:b/>
          <w:i/>
        </w:rPr>
        <w:t>criterion BBB</w:t>
      </w:r>
      <w:r w:rsidRPr="00097A86">
        <w:t>).</w:t>
      </w:r>
    </w:p>
    <w:p w14:paraId="35271ED8" w14:textId="77777777" w:rsidR="003F0D4E" w:rsidRPr="00097A86" w:rsidRDefault="003F0D4E" w:rsidP="00D22D3F">
      <w:pPr>
        <w:pStyle w:val="ActHead5"/>
      </w:pPr>
      <w:bookmarkStart w:id="110" w:name="_Toc13233558"/>
      <w:r w:rsidRPr="00097A86">
        <w:rPr>
          <w:rStyle w:val="CharSectno"/>
        </w:rPr>
        <w:t>2.15</w:t>
      </w:r>
      <w:r w:rsidR="00D22D3F" w:rsidRPr="00097A86">
        <w:t xml:space="preserve">  </w:t>
      </w:r>
      <w:r w:rsidRPr="00097A86">
        <w:t>Indirect measurement at point of consumption</w:t>
      </w:r>
      <w:r w:rsidR="00D22D3F" w:rsidRPr="00097A86">
        <w:t>—</w:t>
      </w:r>
      <w:r w:rsidRPr="00097A86">
        <w:t>criterion AA</w:t>
      </w:r>
      <w:bookmarkEnd w:id="110"/>
    </w:p>
    <w:p w14:paraId="38D701C3" w14:textId="77777777" w:rsidR="003F0D4E" w:rsidRPr="00097A86" w:rsidRDefault="003F0D4E" w:rsidP="00D22D3F">
      <w:pPr>
        <w:pStyle w:val="subsection"/>
      </w:pPr>
      <w:r w:rsidRPr="00097A86">
        <w:tab/>
        <w:t>(1)</w:t>
      </w:r>
      <w:r w:rsidRPr="00097A86">
        <w:tab/>
        <w:t>For paragraph</w:t>
      </w:r>
      <w:r w:rsidR="00097A86">
        <w:t> </w:t>
      </w:r>
      <w:r w:rsidR="00931406" w:rsidRPr="00097A86">
        <w:t>2.14(2)(b)</w:t>
      </w:r>
      <w:r w:rsidRPr="00097A86">
        <w:t>, criterion AA is the amount of the solid fuel combusted from the operation of the facility during a year based on amounts delivered for the facility during the year as adjusted for the estimated change in the quantity of the stockpile of the fuel for the facility during the year.</w:t>
      </w:r>
    </w:p>
    <w:p w14:paraId="2B6B5FA5" w14:textId="77777777" w:rsidR="00310592" w:rsidRPr="00097A86" w:rsidRDefault="00310592" w:rsidP="00310592">
      <w:pPr>
        <w:pStyle w:val="subsection"/>
      </w:pPr>
      <w:r w:rsidRPr="00097A86">
        <w:tab/>
        <w:t>(2)</w:t>
      </w:r>
      <w:r w:rsidRPr="00097A86">
        <w:tab/>
        <w:t>To work out the adjustment for the estimated change in the quantity of the stockpile of the fuel for the facility during the year, one of the following approaches must be used:</w:t>
      </w:r>
    </w:p>
    <w:p w14:paraId="5141138F" w14:textId="77777777" w:rsidR="00310592" w:rsidRPr="00097A86" w:rsidRDefault="00310592" w:rsidP="00310592">
      <w:pPr>
        <w:pStyle w:val="paragraph"/>
      </w:pPr>
      <w:r w:rsidRPr="00097A86">
        <w:tab/>
        <w:t>(a)</w:t>
      </w:r>
      <w:r w:rsidRPr="00097A86">
        <w:tab/>
        <w:t xml:space="preserve">the survey approach mentioned in </w:t>
      </w:r>
      <w:r w:rsidR="00097A86">
        <w:t>subsection (</w:t>
      </w:r>
      <w:r w:rsidRPr="00097A86">
        <w:t>2C);</w:t>
      </w:r>
    </w:p>
    <w:p w14:paraId="48982DE4" w14:textId="77777777" w:rsidR="00310592" w:rsidRPr="00097A86" w:rsidRDefault="00310592" w:rsidP="00310592">
      <w:pPr>
        <w:pStyle w:val="paragraph"/>
      </w:pPr>
      <w:r w:rsidRPr="00097A86">
        <w:tab/>
        <w:t>(b)</w:t>
      </w:r>
      <w:r w:rsidRPr="00097A86">
        <w:tab/>
        <w:t xml:space="preserve">the error allowance approach mentioned in </w:t>
      </w:r>
      <w:r w:rsidR="00097A86">
        <w:t>subsection (</w:t>
      </w:r>
      <w:r w:rsidRPr="00097A86">
        <w:t>2D).</w:t>
      </w:r>
    </w:p>
    <w:p w14:paraId="11254E9C" w14:textId="77777777" w:rsidR="00310592" w:rsidRPr="00097A86" w:rsidRDefault="00310592" w:rsidP="00310592">
      <w:pPr>
        <w:pStyle w:val="subsection"/>
      </w:pPr>
      <w:r w:rsidRPr="00097A86">
        <w:lastRenderedPageBreak/>
        <w:tab/>
        <w:t>(2A)</w:t>
      </w:r>
      <w:r w:rsidRPr="00097A86">
        <w:tab/>
        <w:t>The approach selected must be consistent with the principles mentioned in section</w:t>
      </w:r>
      <w:r w:rsidR="00097A86">
        <w:t> </w:t>
      </w:r>
      <w:r w:rsidRPr="00097A86">
        <w:t>1.13.</w:t>
      </w:r>
    </w:p>
    <w:p w14:paraId="5F4574C9" w14:textId="77777777" w:rsidR="00310592" w:rsidRPr="00097A86" w:rsidRDefault="00310592" w:rsidP="00310592">
      <w:pPr>
        <w:pStyle w:val="subsection"/>
      </w:pPr>
      <w:r w:rsidRPr="00097A86">
        <w:tab/>
        <w:t>(2B)</w:t>
      </w:r>
      <w:r w:rsidRPr="00097A86">
        <w:tab/>
        <w:t>The same approach, once selected, must be used for the facility for each year unless:</w:t>
      </w:r>
    </w:p>
    <w:p w14:paraId="069E331E" w14:textId="77777777" w:rsidR="00310592" w:rsidRPr="00097A86" w:rsidRDefault="00310592" w:rsidP="00310592">
      <w:pPr>
        <w:pStyle w:val="paragraph"/>
      </w:pPr>
      <w:r w:rsidRPr="00097A86">
        <w:tab/>
        <w:t>(a)</w:t>
      </w:r>
      <w:r w:rsidRPr="00097A86">
        <w:tab/>
        <w:t>there has been a material change in the management of the stockpile during the year; and</w:t>
      </w:r>
    </w:p>
    <w:p w14:paraId="7E1BAF2E" w14:textId="77777777" w:rsidR="00310592" w:rsidRPr="00097A86" w:rsidRDefault="00310592" w:rsidP="00310592">
      <w:pPr>
        <w:pStyle w:val="paragraph"/>
      </w:pPr>
      <w:r w:rsidRPr="00097A86">
        <w:tab/>
        <w:t>(b)</w:t>
      </w:r>
      <w:r w:rsidRPr="00097A86">
        <w:tab/>
        <w:t>the change in the management of the stockpile results in the approach selected being less accurate than the alternative approach.</w:t>
      </w:r>
    </w:p>
    <w:p w14:paraId="071C7B24" w14:textId="77777777" w:rsidR="00310592" w:rsidRPr="00097A86" w:rsidRDefault="00310592" w:rsidP="00310592">
      <w:pPr>
        <w:pStyle w:val="subsection"/>
      </w:pPr>
      <w:r w:rsidRPr="00097A86">
        <w:t xml:space="preserve"> </w:t>
      </w:r>
      <w:r w:rsidRPr="00097A86">
        <w:tab/>
        <w:t>(2C)</w:t>
      </w:r>
      <w:r w:rsidRPr="00097A86">
        <w:tab/>
        <w:t>The survey approach is as follows:</w:t>
      </w:r>
    </w:p>
    <w:p w14:paraId="6AACB844" w14:textId="77777777" w:rsidR="00310592" w:rsidRPr="00097A86" w:rsidRDefault="00310592" w:rsidP="00310592">
      <w:pPr>
        <w:pStyle w:val="BoxStep"/>
      </w:pPr>
      <w:r w:rsidRPr="00097A86">
        <w:t>Step 1.</w:t>
      </w:r>
      <w:r w:rsidRPr="00097A86">
        <w:tab/>
        <w:t>Estimate the quantity of solid fuel in the stockpile by:</w:t>
      </w:r>
    </w:p>
    <w:p w14:paraId="7F25FEA3" w14:textId="77777777" w:rsidR="00310592" w:rsidRPr="00097A86" w:rsidRDefault="00310592" w:rsidP="00310592">
      <w:pPr>
        <w:pStyle w:val="BoxPara"/>
      </w:pPr>
      <w:r w:rsidRPr="00097A86">
        <w:tab/>
        <w:t>(a)</w:t>
      </w:r>
      <w:r w:rsidRPr="00097A86">
        <w:tab/>
        <w:t>working out the volume of the solid fuel in the stockpile using aerial or general survey in accordance with industry practice; and</w:t>
      </w:r>
    </w:p>
    <w:p w14:paraId="6FA6AFAB" w14:textId="77777777" w:rsidR="00310592" w:rsidRPr="00097A86" w:rsidRDefault="00310592" w:rsidP="00310592">
      <w:pPr>
        <w:pStyle w:val="BoxPara"/>
      </w:pPr>
      <w:r w:rsidRPr="00097A86">
        <w:tab/>
        <w:t>(b)</w:t>
      </w:r>
      <w:r w:rsidRPr="00097A86">
        <w:tab/>
        <w:t>measuring the bulk density of the stockpile in accordance with subregulation</w:t>
      </w:r>
      <w:r w:rsidR="00A15D57" w:rsidRPr="00097A86">
        <w:t> </w:t>
      </w:r>
      <w:r w:rsidRPr="00097A86">
        <w:t>(3).</w:t>
      </w:r>
    </w:p>
    <w:p w14:paraId="68AE2815" w14:textId="77777777" w:rsidR="00310592" w:rsidRPr="00097A86" w:rsidRDefault="00310592" w:rsidP="00310592">
      <w:pPr>
        <w:pStyle w:val="BoxStep"/>
      </w:pPr>
      <w:r w:rsidRPr="00097A86">
        <w:t>Step 2.</w:t>
      </w:r>
      <w:r w:rsidRPr="00097A86">
        <w:tab/>
        <w:t>Replace the current book quantity with the quantity estimated under step 1.</w:t>
      </w:r>
    </w:p>
    <w:p w14:paraId="7C449C4B" w14:textId="77777777" w:rsidR="00310592" w:rsidRPr="00097A86" w:rsidRDefault="00310592" w:rsidP="00310592">
      <w:pPr>
        <w:pStyle w:val="BoxStep"/>
      </w:pPr>
      <w:r w:rsidRPr="00097A86">
        <w:t>Step 3.</w:t>
      </w:r>
      <w:r w:rsidRPr="00097A86">
        <w:tab/>
        <w:t>Maintain the book quantity replaced under step 2 by:</w:t>
      </w:r>
    </w:p>
    <w:p w14:paraId="6F2CF44F" w14:textId="77777777" w:rsidR="00310592" w:rsidRPr="00097A86" w:rsidRDefault="00310592" w:rsidP="00310592">
      <w:pPr>
        <w:pStyle w:val="BoxPara"/>
      </w:pPr>
      <w:r w:rsidRPr="00097A86">
        <w:tab/>
        <w:t>(a)</w:t>
      </w:r>
      <w:r w:rsidRPr="00097A86">
        <w:tab/>
        <w:t>adding deliveries made during the year, using:</w:t>
      </w:r>
    </w:p>
    <w:p w14:paraId="2AA57FB3" w14:textId="77777777" w:rsidR="00310592" w:rsidRPr="00097A86" w:rsidRDefault="00310592" w:rsidP="00310592">
      <w:pPr>
        <w:pStyle w:val="BoxPara"/>
      </w:pPr>
      <w:r w:rsidRPr="00097A86">
        <w:tab/>
      </w:r>
      <w:r w:rsidRPr="00097A86">
        <w:tab/>
        <w:t>(i)</w:t>
      </w:r>
      <w:r w:rsidRPr="00097A86">
        <w:tab/>
        <w:t>invoices received for solid fuel delivered to the facility; or</w:t>
      </w:r>
    </w:p>
    <w:p w14:paraId="2A20B964" w14:textId="77777777" w:rsidR="00310592" w:rsidRPr="00097A86" w:rsidRDefault="00310592" w:rsidP="00310592">
      <w:pPr>
        <w:pStyle w:val="BoxPara"/>
      </w:pPr>
      <w:r w:rsidRPr="00097A86">
        <w:tab/>
      </w:r>
      <w:r w:rsidRPr="00097A86">
        <w:tab/>
        <w:t>(ii)</w:t>
      </w:r>
      <w:r w:rsidRPr="00097A86">
        <w:tab/>
        <w:t xml:space="preserve">solid fuel sampling and measurements provided by </w:t>
      </w:r>
      <w:r w:rsidRPr="00097A86">
        <w:tab/>
        <w:t xml:space="preserve">measuring equipment calibrated to a measurement </w:t>
      </w:r>
      <w:r w:rsidRPr="00097A86">
        <w:tab/>
        <w:t>requirement; and</w:t>
      </w:r>
    </w:p>
    <w:p w14:paraId="4474F01E" w14:textId="77777777" w:rsidR="00310592" w:rsidRPr="00097A86" w:rsidRDefault="00310592" w:rsidP="00310592">
      <w:pPr>
        <w:pStyle w:val="BoxPara"/>
      </w:pPr>
      <w:r w:rsidRPr="00097A86">
        <w:tab/>
        <w:t>(b)</w:t>
      </w:r>
      <w:r w:rsidRPr="00097A86">
        <w:tab/>
        <w:t xml:space="preserve">deducting from the amount calculated under </w:t>
      </w:r>
      <w:r w:rsidR="00097A86">
        <w:t>paragraph (</w:t>
      </w:r>
      <w:r w:rsidRPr="00097A86">
        <w:t>a), solid fuel consumed by the facility.</w:t>
      </w:r>
    </w:p>
    <w:p w14:paraId="552C90FB" w14:textId="77777777" w:rsidR="00310592" w:rsidRPr="00097A86" w:rsidRDefault="00310592" w:rsidP="00310592">
      <w:pPr>
        <w:pStyle w:val="BoxStep"/>
      </w:pPr>
      <w:r w:rsidRPr="00097A86">
        <w:t>Step 4.</w:t>
      </w:r>
      <w:r w:rsidRPr="00097A86">
        <w:tab/>
        <w:t>Use the book quantity maintained under step 3 to estimate the change in the quantity of the stockpile of the fuel.</w:t>
      </w:r>
    </w:p>
    <w:p w14:paraId="29C2BE1C" w14:textId="77777777" w:rsidR="00310592" w:rsidRPr="00097A86" w:rsidRDefault="00310592" w:rsidP="00310592">
      <w:pPr>
        <w:pStyle w:val="subsection"/>
      </w:pPr>
      <w:r w:rsidRPr="00097A86">
        <w:tab/>
        <w:t>(2D)</w:t>
      </w:r>
      <w:r w:rsidRPr="00097A86">
        <w:tab/>
        <w:t>The error allowance approach is as follows:</w:t>
      </w:r>
    </w:p>
    <w:p w14:paraId="2F03F23E" w14:textId="77777777" w:rsidR="00310592" w:rsidRPr="00097A86" w:rsidRDefault="00310592" w:rsidP="00310592">
      <w:pPr>
        <w:pStyle w:val="BoxStep"/>
      </w:pPr>
      <w:r w:rsidRPr="00097A86">
        <w:t>Step 1.</w:t>
      </w:r>
      <w:r w:rsidRPr="00097A86">
        <w:tab/>
        <w:t>Estimate the quantity of the stockpile by:</w:t>
      </w:r>
    </w:p>
    <w:p w14:paraId="45710599" w14:textId="77777777" w:rsidR="00310592" w:rsidRPr="00097A86" w:rsidRDefault="00310592" w:rsidP="00310592">
      <w:pPr>
        <w:pStyle w:val="BoxPara"/>
      </w:pPr>
      <w:r w:rsidRPr="00097A86">
        <w:tab/>
        <w:t>(a)</w:t>
      </w:r>
      <w:r w:rsidRPr="00097A86">
        <w:tab/>
        <w:t>working out the volume of the solid fuel in the stockpile using aerial or general survey in accordance with industry practice; and</w:t>
      </w:r>
    </w:p>
    <w:p w14:paraId="1BF08697" w14:textId="77777777" w:rsidR="00310592" w:rsidRPr="00097A86" w:rsidRDefault="00310592" w:rsidP="00310592">
      <w:pPr>
        <w:pStyle w:val="BoxPara"/>
      </w:pPr>
      <w:r w:rsidRPr="00097A86">
        <w:tab/>
        <w:t>(b)</w:t>
      </w:r>
      <w:r w:rsidRPr="00097A86">
        <w:tab/>
        <w:t>measuring the bulk density of the stockpile in accordance with subregulation</w:t>
      </w:r>
      <w:r w:rsidR="00A15D57" w:rsidRPr="00097A86">
        <w:t> </w:t>
      </w:r>
      <w:r w:rsidRPr="00097A86">
        <w:t>(3).</w:t>
      </w:r>
    </w:p>
    <w:p w14:paraId="756817AF" w14:textId="77777777" w:rsidR="00310592" w:rsidRPr="00097A86" w:rsidRDefault="00310592" w:rsidP="00310592">
      <w:pPr>
        <w:pStyle w:val="BoxStep"/>
      </w:pPr>
      <w:r w:rsidRPr="00097A86">
        <w:lastRenderedPageBreak/>
        <w:t>Step 2.</w:t>
      </w:r>
      <w:r w:rsidRPr="00097A86">
        <w:tab/>
        <w:t>Estimate an error tolerance for the quantity of solid fuel in the stockpile. The error tolerance is an estimate of the uncertainty of the quantity of solid fuel in the stockpile and must be:</w:t>
      </w:r>
    </w:p>
    <w:p w14:paraId="356183B2" w14:textId="77777777" w:rsidR="00310592" w:rsidRPr="00097A86" w:rsidRDefault="00310592" w:rsidP="00310592">
      <w:pPr>
        <w:pStyle w:val="BoxPara"/>
      </w:pPr>
      <w:r w:rsidRPr="00097A86">
        <w:tab/>
        <w:t>(a)</w:t>
      </w:r>
      <w:r w:rsidRPr="00097A86">
        <w:tab/>
        <w:t>based on stockpile management practices at the facility and the uncertainty associated with the energy content and proportion of carbon in the solid fuel; and</w:t>
      </w:r>
    </w:p>
    <w:p w14:paraId="79060586" w14:textId="77777777" w:rsidR="00310592" w:rsidRPr="00097A86" w:rsidRDefault="00310592" w:rsidP="00310592">
      <w:pPr>
        <w:pStyle w:val="BoxPara"/>
      </w:pPr>
      <w:r w:rsidRPr="00097A86">
        <w:tab/>
        <w:t>(b)</w:t>
      </w:r>
      <w:r w:rsidRPr="00097A86">
        <w:tab/>
        <w:t>consistent with the general principles in section</w:t>
      </w:r>
      <w:r w:rsidR="00097A86">
        <w:t> </w:t>
      </w:r>
      <w:r w:rsidRPr="00097A86">
        <w:t>1.13; and</w:t>
      </w:r>
    </w:p>
    <w:p w14:paraId="770ED8EB" w14:textId="77777777" w:rsidR="00310592" w:rsidRPr="00097A86" w:rsidRDefault="00310592" w:rsidP="00310592">
      <w:pPr>
        <w:pStyle w:val="BoxPara"/>
      </w:pPr>
      <w:r w:rsidRPr="00097A86">
        <w:tab/>
        <w:t>(c)</w:t>
      </w:r>
      <w:r w:rsidRPr="00097A86">
        <w:tab/>
        <w:t>not more than 6% of the estimated value of the solid fuel in the stockpile worked out under step 1.</w:t>
      </w:r>
    </w:p>
    <w:p w14:paraId="0FA4974D" w14:textId="77777777" w:rsidR="00310592" w:rsidRPr="00097A86" w:rsidRDefault="00310592" w:rsidP="00310592">
      <w:pPr>
        <w:pStyle w:val="BoxStep"/>
      </w:pPr>
      <w:r w:rsidRPr="00097A86">
        <w:t>Step 3.</w:t>
      </w:r>
      <w:r w:rsidRPr="00097A86">
        <w:tab/>
        <w:t>Work out the percentage difference between the current book quantity and the quantity of solid fuel in the stockpile estimated under step 1.</w:t>
      </w:r>
    </w:p>
    <w:p w14:paraId="384D160D" w14:textId="77777777" w:rsidR="00310592" w:rsidRPr="00097A86" w:rsidRDefault="00310592" w:rsidP="00310592">
      <w:pPr>
        <w:pStyle w:val="BoxStep"/>
      </w:pPr>
      <w:r w:rsidRPr="00097A86">
        <w:t>Step 4.</w:t>
      </w:r>
      <w:r w:rsidRPr="00097A86">
        <w:tab/>
        <w:t>If the percentage difference worked out under step 3 is within the error tolerance worked out under step 2, use the book quantity to estimate the change in the quantity of the stockpile of the fuel.</w:t>
      </w:r>
    </w:p>
    <w:p w14:paraId="0053C998" w14:textId="77777777" w:rsidR="00310592" w:rsidRPr="00097A86" w:rsidRDefault="00310592" w:rsidP="00310592">
      <w:pPr>
        <w:pStyle w:val="BoxStep"/>
      </w:pPr>
      <w:r w:rsidRPr="00097A86">
        <w:t>Step 5.</w:t>
      </w:r>
      <w:r w:rsidRPr="00097A86">
        <w:tab/>
        <w:t>If the percentage difference worked out in step 3 is more than the error tolerance worked out in step 2:</w:t>
      </w:r>
    </w:p>
    <w:p w14:paraId="296969AB" w14:textId="77777777" w:rsidR="00310592" w:rsidRPr="00097A86" w:rsidRDefault="00310592" w:rsidP="00310592">
      <w:pPr>
        <w:pStyle w:val="BoxPara"/>
      </w:pPr>
      <w:r w:rsidRPr="00097A86">
        <w:tab/>
        <w:t>(a)</w:t>
      </w:r>
      <w:r w:rsidRPr="00097A86">
        <w:tab/>
        <w:t>adjust the book quantity by the difference between the percentage worked out under step 3 and the error tolerance worked out under step 2; and</w:t>
      </w:r>
    </w:p>
    <w:p w14:paraId="4C07875C" w14:textId="77777777" w:rsidR="00310592" w:rsidRPr="00097A86" w:rsidRDefault="00310592" w:rsidP="00310592">
      <w:pPr>
        <w:pStyle w:val="BoxPara"/>
      </w:pPr>
      <w:r w:rsidRPr="00097A86">
        <w:tab/>
        <w:t>(b)</w:t>
      </w:r>
      <w:r w:rsidRPr="00097A86">
        <w:tab/>
        <w:t xml:space="preserve">use the book quantity adjusted under </w:t>
      </w:r>
      <w:r w:rsidR="00097A86">
        <w:t>paragraph (</w:t>
      </w:r>
      <w:r w:rsidRPr="00097A86">
        <w:t>a) to estimate the change in the quantity of the stockpile of the fuel.</w:t>
      </w:r>
    </w:p>
    <w:p w14:paraId="57E0AC29" w14:textId="77777777" w:rsidR="003F0D4E" w:rsidRPr="00097A86" w:rsidRDefault="003F0D4E" w:rsidP="00D22D3F">
      <w:pPr>
        <w:pStyle w:val="subsection"/>
      </w:pPr>
      <w:r w:rsidRPr="00097A86">
        <w:tab/>
        <w:t>(3)</w:t>
      </w:r>
      <w:r w:rsidRPr="00097A86">
        <w:tab/>
        <w:t>The bulk density of the stockpile must be measured in accordance with:</w:t>
      </w:r>
    </w:p>
    <w:p w14:paraId="613995A2" w14:textId="77777777" w:rsidR="003F0D4E" w:rsidRPr="00097A86" w:rsidRDefault="003F0D4E" w:rsidP="00D22D3F">
      <w:pPr>
        <w:pStyle w:val="paragraph"/>
      </w:pPr>
      <w:r w:rsidRPr="00097A86">
        <w:tab/>
        <w:t>(a)</w:t>
      </w:r>
      <w:r w:rsidRPr="00097A86">
        <w:tab/>
        <w:t>the procedure in ASTM D/6347/D 6347M</w:t>
      </w:r>
      <w:r w:rsidR="00097A86">
        <w:noBreakHyphen/>
      </w:r>
      <w:r w:rsidRPr="00097A86">
        <w:t>99; or</w:t>
      </w:r>
    </w:p>
    <w:p w14:paraId="792E418A" w14:textId="77777777" w:rsidR="003F0D4E" w:rsidRPr="00097A86" w:rsidRDefault="003F0D4E" w:rsidP="00705FFE">
      <w:pPr>
        <w:pStyle w:val="paragraph"/>
      </w:pPr>
      <w:r w:rsidRPr="00097A86">
        <w:tab/>
        <w:t>(b)</w:t>
      </w:r>
      <w:r w:rsidRPr="00097A86">
        <w:tab/>
        <w:t>the following procedure:</w:t>
      </w:r>
    </w:p>
    <w:p w14:paraId="7E95353A" w14:textId="77777777" w:rsidR="00DF39AD" w:rsidRPr="00097A86" w:rsidRDefault="00DF39AD" w:rsidP="00DF39AD">
      <w:pPr>
        <w:pStyle w:val="BoxStep"/>
        <w:spacing w:before="120"/>
      </w:pPr>
      <w:r w:rsidRPr="00097A86">
        <w:t>Step 1</w:t>
      </w:r>
      <w:r w:rsidRPr="00097A86">
        <w:rPr>
          <w:rFonts w:eastAsiaTheme="minorHAnsi"/>
        </w:rPr>
        <w:tab/>
      </w:r>
      <w:r w:rsidRPr="00097A86">
        <w:t>If the mass of the stockpile:</w:t>
      </w:r>
    </w:p>
    <w:p w14:paraId="3D27FA11" w14:textId="77777777" w:rsidR="00DF39AD" w:rsidRPr="00097A86" w:rsidRDefault="00DF39AD" w:rsidP="00DF39AD">
      <w:pPr>
        <w:pStyle w:val="BoxPara"/>
      </w:pPr>
      <w:r w:rsidRPr="00097A86">
        <w:tab/>
        <w:t>(a)</w:t>
      </w:r>
      <w:r w:rsidRPr="00097A86">
        <w:tab/>
        <w:t>does not exceed 10% of the annual solid fuel combustion f</w:t>
      </w:r>
      <w:r w:rsidR="00D159B4" w:rsidRPr="00097A86">
        <w:t>rom the operation of a facility</w:t>
      </w:r>
      <w:r w:rsidRPr="00097A86">
        <w:t>—extract a sample from the stockpile using a mechanical auger in accordance with ASTM D 4916</w:t>
      </w:r>
      <w:r w:rsidR="00097A86">
        <w:noBreakHyphen/>
      </w:r>
      <w:r w:rsidRPr="00097A86">
        <w:t>89; or</w:t>
      </w:r>
    </w:p>
    <w:p w14:paraId="41B12BBA" w14:textId="77777777" w:rsidR="00DF39AD" w:rsidRPr="00097A86" w:rsidRDefault="00DF39AD" w:rsidP="00DF39AD">
      <w:pPr>
        <w:pStyle w:val="BoxPara"/>
        <w:spacing w:before="120"/>
      </w:pPr>
      <w:r w:rsidRPr="00097A86">
        <w:tab/>
        <w:t>(b)</w:t>
      </w:r>
      <w:r w:rsidRPr="00097A86">
        <w:tab/>
        <w:t>exceeds 10% of the annual solid fuel combustion — extract a sample from the stockpile by coring.</w:t>
      </w:r>
    </w:p>
    <w:p w14:paraId="44E75856" w14:textId="77777777" w:rsidR="00DF39AD" w:rsidRPr="00097A86" w:rsidRDefault="00DF39AD" w:rsidP="00DF39AD">
      <w:pPr>
        <w:pStyle w:val="BoxStep"/>
        <w:spacing w:before="120"/>
      </w:pPr>
      <w:r w:rsidRPr="00097A86">
        <w:t>Step 2</w:t>
      </w:r>
      <w:r w:rsidRPr="00097A86">
        <w:rPr>
          <w:rFonts w:eastAsiaTheme="minorHAnsi"/>
        </w:rPr>
        <w:tab/>
      </w:r>
      <w:r w:rsidRPr="00097A86">
        <w:t>Weigh the mass of the sample extracted.</w:t>
      </w:r>
    </w:p>
    <w:p w14:paraId="7A34A5F1" w14:textId="77777777" w:rsidR="00DF39AD" w:rsidRPr="00097A86" w:rsidRDefault="00DF39AD" w:rsidP="00DF39AD">
      <w:pPr>
        <w:pStyle w:val="BoxStep"/>
        <w:spacing w:before="120"/>
      </w:pPr>
      <w:r w:rsidRPr="00097A86">
        <w:t>Step 3</w:t>
      </w:r>
      <w:r w:rsidRPr="00097A86">
        <w:rPr>
          <w:rFonts w:eastAsiaTheme="minorHAnsi"/>
        </w:rPr>
        <w:tab/>
      </w:r>
      <w:r w:rsidRPr="00097A86">
        <w:t>Measure the volume of the hole from which the sample has been extracted.</w:t>
      </w:r>
    </w:p>
    <w:p w14:paraId="50CF126D" w14:textId="77777777" w:rsidR="00DF39AD" w:rsidRPr="00097A86" w:rsidRDefault="00DF39AD" w:rsidP="00DF39AD">
      <w:pPr>
        <w:pStyle w:val="BoxStep"/>
        <w:spacing w:before="120"/>
      </w:pPr>
      <w:r w:rsidRPr="00097A86">
        <w:lastRenderedPageBreak/>
        <w:t>Step 4</w:t>
      </w:r>
      <w:r w:rsidRPr="00097A86">
        <w:rPr>
          <w:rFonts w:eastAsiaTheme="minorHAnsi"/>
        </w:rPr>
        <w:tab/>
      </w:r>
      <w:r w:rsidRPr="00097A86">
        <w:t>Divide the mass obtained in step 2 by the volume measured in step 3.</w:t>
      </w:r>
    </w:p>
    <w:p w14:paraId="3302AD73" w14:textId="77777777" w:rsidR="00D22D3F" w:rsidRPr="00097A86" w:rsidRDefault="00D22D3F" w:rsidP="00D22D3F">
      <w:pPr>
        <w:pStyle w:val="Tabletext"/>
      </w:pPr>
    </w:p>
    <w:p w14:paraId="08C4E40E" w14:textId="77777777" w:rsidR="003F0D4E" w:rsidRPr="00097A86" w:rsidRDefault="003F0D4E" w:rsidP="00D22D3F">
      <w:pPr>
        <w:pStyle w:val="subsection"/>
      </w:pPr>
      <w:r w:rsidRPr="00097A86">
        <w:tab/>
        <w:t>(4)</w:t>
      </w:r>
      <w:r w:rsidRPr="00097A86">
        <w:tab/>
        <w:t>Quantities of solid fuel delivered for the facility must be evidenced by invoices issued by the vendor of the fuel.</w:t>
      </w:r>
    </w:p>
    <w:p w14:paraId="046DA74F" w14:textId="77777777" w:rsidR="00DE7F9E" w:rsidRPr="00097A86" w:rsidRDefault="00DE7F9E" w:rsidP="00DE7F9E">
      <w:pPr>
        <w:pStyle w:val="subsection"/>
      </w:pPr>
      <w:r w:rsidRPr="00097A86">
        <w:tab/>
        <w:t>(5)</w:t>
      </w:r>
      <w:r w:rsidRPr="00097A86">
        <w:tab/>
        <w:t>In this section:</w:t>
      </w:r>
    </w:p>
    <w:p w14:paraId="7DB83A57" w14:textId="77777777" w:rsidR="00DE7F9E" w:rsidRPr="00097A86" w:rsidRDefault="00DE7F9E" w:rsidP="00DE7F9E">
      <w:pPr>
        <w:pStyle w:val="Definition"/>
      </w:pPr>
      <w:r w:rsidRPr="00097A86">
        <w:rPr>
          <w:b/>
          <w:i/>
        </w:rPr>
        <w:t xml:space="preserve">book quantity </w:t>
      </w:r>
      <w:r w:rsidRPr="00097A86">
        <w:t>means the quantity recorded and maintained by the facility operator as the quantity of solid fuel in the stockpile.</w:t>
      </w:r>
    </w:p>
    <w:p w14:paraId="1FA32819" w14:textId="77777777" w:rsidR="003F0D4E" w:rsidRPr="00097A86" w:rsidRDefault="003F0D4E" w:rsidP="00D22D3F">
      <w:pPr>
        <w:pStyle w:val="ActHead5"/>
      </w:pPr>
      <w:bookmarkStart w:id="111" w:name="_Toc13233559"/>
      <w:r w:rsidRPr="00097A86">
        <w:rPr>
          <w:rStyle w:val="CharSectno"/>
        </w:rPr>
        <w:t>2.16</w:t>
      </w:r>
      <w:r w:rsidR="00D22D3F" w:rsidRPr="00097A86">
        <w:t xml:space="preserve">  </w:t>
      </w:r>
      <w:r w:rsidRPr="00097A86">
        <w:t>Direct measurement at point of consumption</w:t>
      </w:r>
      <w:r w:rsidR="00D22D3F" w:rsidRPr="00097A86">
        <w:t>—</w:t>
      </w:r>
      <w:r w:rsidRPr="00097A86">
        <w:t>criterion AAA</w:t>
      </w:r>
      <w:bookmarkEnd w:id="111"/>
    </w:p>
    <w:p w14:paraId="514610BC" w14:textId="77777777" w:rsidR="003F0D4E" w:rsidRPr="00097A86" w:rsidRDefault="003F0D4E" w:rsidP="00D22D3F">
      <w:pPr>
        <w:pStyle w:val="subsection"/>
      </w:pPr>
      <w:r w:rsidRPr="00097A86">
        <w:tab/>
        <w:t>(1)</w:t>
      </w:r>
      <w:r w:rsidRPr="00097A86">
        <w:tab/>
        <w:t>For paragraph</w:t>
      </w:r>
      <w:r w:rsidR="00097A86">
        <w:t> </w:t>
      </w:r>
      <w:r w:rsidR="00931406" w:rsidRPr="00097A86">
        <w:t>2.14(2)(c)</w:t>
      </w:r>
      <w:r w:rsidRPr="00097A86">
        <w:t>, criterion AAA is the measurement during a year of the solid fuel combusted from the operation of the facility.</w:t>
      </w:r>
    </w:p>
    <w:p w14:paraId="07FCEB58" w14:textId="77777777" w:rsidR="003F0D4E" w:rsidRPr="00097A86" w:rsidRDefault="003F0D4E" w:rsidP="00D22D3F">
      <w:pPr>
        <w:pStyle w:val="subsection"/>
      </w:pPr>
      <w:r w:rsidRPr="00097A86">
        <w:tab/>
        <w:t>(2)</w:t>
      </w:r>
      <w:r w:rsidRPr="00097A86">
        <w:tab/>
        <w:t>The measurement must be carried out either:</w:t>
      </w:r>
    </w:p>
    <w:p w14:paraId="0CDD49CA" w14:textId="77777777" w:rsidR="003F0D4E" w:rsidRPr="00097A86" w:rsidRDefault="003F0D4E" w:rsidP="00D22D3F">
      <w:pPr>
        <w:pStyle w:val="paragraph"/>
      </w:pPr>
      <w:r w:rsidRPr="00097A86">
        <w:tab/>
        <w:t>(a)</w:t>
      </w:r>
      <w:r w:rsidRPr="00097A86">
        <w:tab/>
        <w:t>at the point of combustion using measuring equipment calibrated to a measurement requirement; or</w:t>
      </w:r>
    </w:p>
    <w:p w14:paraId="2064946A" w14:textId="77777777" w:rsidR="003F0D4E" w:rsidRPr="00097A86" w:rsidRDefault="003F0D4E" w:rsidP="00D22D3F">
      <w:pPr>
        <w:pStyle w:val="paragraph"/>
      </w:pPr>
      <w:r w:rsidRPr="00097A86">
        <w:tab/>
        <w:t>(b)</w:t>
      </w:r>
      <w:r w:rsidRPr="00097A86">
        <w:tab/>
        <w:t>at the point of sale using measuring equipment calibrated to a measurement requirement.</w:t>
      </w:r>
    </w:p>
    <w:p w14:paraId="4D9E6BAB" w14:textId="77777777" w:rsidR="003F0D4E" w:rsidRPr="00097A86" w:rsidRDefault="003F0D4E" w:rsidP="00D22D3F">
      <w:pPr>
        <w:pStyle w:val="subsection"/>
      </w:pPr>
      <w:r w:rsidRPr="00097A86">
        <w:tab/>
        <w:t>(3)</w:t>
      </w:r>
      <w:r w:rsidRPr="00097A86">
        <w:tab/>
      </w:r>
      <w:r w:rsidR="00097A86">
        <w:t>Paragraph (</w:t>
      </w:r>
      <w:r w:rsidRPr="00097A86">
        <w:t>2)(b) only applies if:</w:t>
      </w:r>
    </w:p>
    <w:p w14:paraId="51954BB2" w14:textId="77777777" w:rsidR="003F0D4E" w:rsidRPr="00097A86" w:rsidRDefault="003F0D4E" w:rsidP="00D22D3F">
      <w:pPr>
        <w:pStyle w:val="paragraph"/>
      </w:pPr>
      <w:r w:rsidRPr="00097A86">
        <w:tab/>
        <w:t>(a)</w:t>
      </w:r>
      <w:r w:rsidRPr="00097A86">
        <w:tab/>
        <w:t>the change in the stockpile of the fuel for the facility for the year is less than 1% of total combustion on average for the facility during the year; and</w:t>
      </w:r>
    </w:p>
    <w:p w14:paraId="6785DDED" w14:textId="77777777" w:rsidR="003F0D4E" w:rsidRPr="00097A86" w:rsidRDefault="003F0D4E" w:rsidP="00D22D3F">
      <w:pPr>
        <w:pStyle w:val="paragraph"/>
      </w:pPr>
      <w:r w:rsidRPr="00097A86">
        <w:tab/>
        <w:t>(b)</w:t>
      </w:r>
      <w:r w:rsidRPr="00097A86">
        <w:tab/>
        <w:t>the stockpile of the fuel for the facility at the beginning of the year is less than 5% of total combustion for the year.</w:t>
      </w:r>
    </w:p>
    <w:p w14:paraId="159FCD61" w14:textId="77777777" w:rsidR="003F0D4E" w:rsidRPr="00097A86" w:rsidRDefault="003F0D4E" w:rsidP="00D22D3F">
      <w:pPr>
        <w:pStyle w:val="ActHead5"/>
      </w:pPr>
      <w:bookmarkStart w:id="112" w:name="_Toc13233560"/>
      <w:r w:rsidRPr="00097A86">
        <w:rPr>
          <w:rStyle w:val="CharSectno"/>
        </w:rPr>
        <w:t>2.17</w:t>
      </w:r>
      <w:r w:rsidR="00D22D3F" w:rsidRPr="00097A86">
        <w:t xml:space="preserve">  </w:t>
      </w:r>
      <w:r w:rsidRPr="00097A86">
        <w:t>Simplified consumption measurements</w:t>
      </w:r>
      <w:r w:rsidR="00D22D3F" w:rsidRPr="00097A86">
        <w:t>—</w:t>
      </w:r>
      <w:r w:rsidRPr="00097A86">
        <w:t>criterion BBB</w:t>
      </w:r>
      <w:bookmarkEnd w:id="112"/>
    </w:p>
    <w:p w14:paraId="2E96B484" w14:textId="77777777" w:rsidR="003F0D4E" w:rsidRPr="00097A86" w:rsidRDefault="003F0D4E" w:rsidP="00D22D3F">
      <w:pPr>
        <w:pStyle w:val="subsection"/>
      </w:pPr>
      <w:r w:rsidRPr="00097A86">
        <w:tab/>
      </w:r>
      <w:r w:rsidRPr="00097A86">
        <w:tab/>
        <w:t>For paragraph</w:t>
      </w:r>
      <w:r w:rsidR="00097A86">
        <w:t> </w:t>
      </w:r>
      <w:r w:rsidRPr="00097A86">
        <w:t>2.14(d), criterion BBB is the estimation of the solid fuel combusted during a year from the operation of the facility in accordance with industry practice if</w:t>
      </w:r>
      <w:r w:rsidR="001F1AFC" w:rsidRPr="00097A86">
        <w:t xml:space="preserve"> the equipment used to measure combustion of the fuel is not calibrated to a measurement requirement.</w:t>
      </w:r>
    </w:p>
    <w:p w14:paraId="66980138" w14:textId="77777777" w:rsidR="003F0D4E" w:rsidRPr="00097A86" w:rsidRDefault="00D22D3F" w:rsidP="00D22D3F">
      <w:pPr>
        <w:pStyle w:val="notetext"/>
      </w:pPr>
      <w:r w:rsidRPr="00097A86">
        <w:t>Note:</w:t>
      </w:r>
      <w:r w:rsidRPr="00097A86">
        <w:tab/>
      </w:r>
      <w:r w:rsidR="003F0D4E" w:rsidRPr="00097A86">
        <w:t>An estimate obtained using industry practice must be consistent with the principles in section</w:t>
      </w:r>
      <w:r w:rsidR="00097A86">
        <w:t> </w:t>
      </w:r>
      <w:r w:rsidR="003F0D4E" w:rsidRPr="00097A86">
        <w:t>1.13.</w:t>
      </w:r>
    </w:p>
    <w:p w14:paraId="7073B64E" w14:textId="77777777" w:rsidR="003F0D4E" w:rsidRPr="00097A86" w:rsidRDefault="003F0D4E" w:rsidP="00593C89">
      <w:pPr>
        <w:pStyle w:val="ActHead2"/>
        <w:pageBreakBefore/>
      </w:pPr>
      <w:bookmarkStart w:id="113" w:name="_Toc13233561"/>
      <w:r w:rsidRPr="00097A86">
        <w:rPr>
          <w:rStyle w:val="CharPartNo"/>
        </w:rPr>
        <w:lastRenderedPageBreak/>
        <w:t>Part</w:t>
      </w:r>
      <w:r w:rsidR="00097A86">
        <w:rPr>
          <w:rStyle w:val="CharPartNo"/>
        </w:rPr>
        <w:t> </w:t>
      </w:r>
      <w:r w:rsidRPr="00097A86">
        <w:rPr>
          <w:rStyle w:val="CharPartNo"/>
        </w:rPr>
        <w:t>2.3</w:t>
      </w:r>
      <w:r w:rsidR="00D22D3F" w:rsidRPr="00097A86">
        <w:t>—</w:t>
      </w:r>
      <w:r w:rsidRPr="00097A86">
        <w:rPr>
          <w:rStyle w:val="CharPartText"/>
        </w:rPr>
        <w:t>Emissions released from the combustion of gaseous fuels</w:t>
      </w:r>
      <w:bookmarkEnd w:id="113"/>
    </w:p>
    <w:p w14:paraId="2225BCEF" w14:textId="77777777" w:rsidR="003F0D4E" w:rsidRPr="00097A86" w:rsidRDefault="003F0D4E" w:rsidP="00D22D3F">
      <w:pPr>
        <w:pStyle w:val="ActHead3"/>
      </w:pPr>
      <w:bookmarkStart w:id="114" w:name="_Toc13233562"/>
      <w:r w:rsidRPr="00097A86">
        <w:rPr>
          <w:rStyle w:val="CharDivNo"/>
        </w:rPr>
        <w:t>Division</w:t>
      </w:r>
      <w:r w:rsidR="00097A86">
        <w:rPr>
          <w:rStyle w:val="CharDivNo"/>
        </w:rPr>
        <w:t> </w:t>
      </w:r>
      <w:r w:rsidRPr="00097A86">
        <w:rPr>
          <w:rStyle w:val="CharDivNo"/>
        </w:rPr>
        <w:t>2.3.1</w:t>
      </w:r>
      <w:r w:rsidR="00D22D3F" w:rsidRPr="00097A86">
        <w:t>—</w:t>
      </w:r>
      <w:r w:rsidRPr="00097A86">
        <w:rPr>
          <w:rStyle w:val="CharDivText"/>
        </w:rPr>
        <w:t>Preliminary</w:t>
      </w:r>
      <w:bookmarkEnd w:id="114"/>
    </w:p>
    <w:p w14:paraId="1CCDD433" w14:textId="77777777" w:rsidR="00DE7F9E" w:rsidRPr="00097A86" w:rsidRDefault="00DE7F9E" w:rsidP="00DE7F9E">
      <w:pPr>
        <w:pStyle w:val="ActHead5"/>
      </w:pPr>
      <w:bookmarkStart w:id="115" w:name="_Toc13233563"/>
      <w:r w:rsidRPr="00097A86">
        <w:rPr>
          <w:rStyle w:val="CharSectno"/>
        </w:rPr>
        <w:t>2.18</w:t>
      </w:r>
      <w:r w:rsidRPr="00097A86">
        <w:t xml:space="preserve">  Application</w:t>
      </w:r>
      <w:bookmarkEnd w:id="115"/>
    </w:p>
    <w:p w14:paraId="1F5264EC" w14:textId="77777777" w:rsidR="00DE7F9E" w:rsidRPr="00097A86" w:rsidRDefault="00DE7F9E" w:rsidP="00DE7F9E">
      <w:pPr>
        <w:pStyle w:val="subsection"/>
      </w:pPr>
      <w:r w:rsidRPr="00097A86">
        <w:tab/>
      </w:r>
      <w:r w:rsidRPr="00097A86">
        <w:tab/>
        <w:t>This Part applies to emissions released from the combustion of gaseous fuels in relation to a separate instance of a source if the amount of gaseous fuel combusted in relation to the separate instance of the source is more than 1000 cubic metres.</w:t>
      </w:r>
    </w:p>
    <w:p w14:paraId="36F674A5" w14:textId="77777777" w:rsidR="003F0D4E" w:rsidRPr="00097A86" w:rsidRDefault="003F0D4E" w:rsidP="00D22D3F">
      <w:pPr>
        <w:pStyle w:val="ActHead5"/>
      </w:pPr>
      <w:bookmarkStart w:id="116" w:name="_Toc13233564"/>
      <w:r w:rsidRPr="00097A86">
        <w:rPr>
          <w:rStyle w:val="CharSectno"/>
        </w:rPr>
        <w:t>2.19</w:t>
      </w:r>
      <w:r w:rsidR="00D22D3F" w:rsidRPr="00097A86">
        <w:t xml:space="preserve">  </w:t>
      </w:r>
      <w:r w:rsidRPr="00097A86">
        <w:t>Available methods</w:t>
      </w:r>
      <w:bookmarkEnd w:id="116"/>
    </w:p>
    <w:p w14:paraId="27E5BFA6"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from the combustion of a gaseous fuel consumed from the operation of a facility during a year:</w:t>
      </w:r>
    </w:p>
    <w:p w14:paraId="33F617C0" w14:textId="77777777" w:rsidR="003F0D4E" w:rsidRPr="00097A86" w:rsidRDefault="003F0D4E" w:rsidP="00D22D3F">
      <w:pPr>
        <w:pStyle w:val="paragraph"/>
        <w:rPr>
          <w:vertAlign w:val="subscript"/>
        </w:rPr>
      </w:pPr>
      <w:r w:rsidRPr="00097A86">
        <w:tab/>
        <w:t>(a)</w:t>
      </w:r>
      <w:r w:rsidRPr="00097A86">
        <w:tab/>
        <w:t>one of the following methods must be used for estimating emissions of carbon dioxide:</w:t>
      </w:r>
    </w:p>
    <w:p w14:paraId="02F9EF6E" w14:textId="77777777" w:rsidR="003F0D4E" w:rsidRPr="00097A86" w:rsidRDefault="003F0D4E" w:rsidP="00D22D3F">
      <w:pPr>
        <w:pStyle w:val="paragraphsub"/>
      </w:pPr>
      <w:r w:rsidRPr="00097A86">
        <w:rPr>
          <w:vertAlign w:val="subscript"/>
        </w:rPr>
        <w:tab/>
      </w:r>
      <w:r w:rsidRPr="00097A86">
        <w:t>(i)</w:t>
      </w:r>
      <w:r w:rsidRPr="00097A86">
        <w:tab/>
        <w:t>method 1 under section</w:t>
      </w:r>
      <w:r w:rsidR="00097A86">
        <w:t> </w:t>
      </w:r>
      <w:r w:rsidRPr="00097A86">
        <w:t>2.20;</w:t>
      </w:r>
    </w:p>
    <w:p w14:paraId="4962F7CC" w14:textId="77777777" w:rsidR="003F0D4E" w:rsidRPr="00097A86" w:rsidRDefault="003F0D4E" w:rsidP="00D22D3F">
      <w:pPr>
        <w:pStyle w:val="paragraphsub"/>
      </w:pPr>
      <w:r w:rsidRPr="00097A86">
        <w:tab/>
        <w:t>(ii)</w:t>
      </w:r>
      <w:r w:rsidRPr="00097A86">
        <w:tab/>
        <w:t>method 2 under section</w:t>
      </w:r>
      <w:r w:rsidR="00097A86">
        <w:t> </w:t>
      </w:r>
      <w:r w:rsidRPr="00097A86">
        <w:t>2.21;</w:t>
      </w:r>
    </w:p>
    <w:p w14:paraId="74C926B9" w14:textId="77777777" w:rsidR="003F0D4E" w:rsidRPr="00097A86" w:rsidRDefault="003F0D4E" w:rsidP="00D22D3F">
      <w:pPr>
        <w:pStyle w:val="paragraphsub"/>
      </w:pPr>
      <w:r w:rsidRPr="00097A86">
        <w:tab/>
        <w:t>(iii)</w:t>
      </w:r>
      <w:r w:rsidRPr="00097A86">
        <w:tab/>
        <w:t>method 3 under section</w:t>
      </w:r>
      <w:r w:rsidR="00097A86">
        <w:t> </w:t>
      </w:r>
      <w:r w:rsidRPr="00097A86">
        <w:t>2.26;</w:t>
      </w:r>
    </w:p>
    <w:p w14:paraId="63DF8157" w14:textId="77777777" w:rsidR="003F0D4E" w:rsidRPr="00097A86" w:rsidRDefault="003F0D4E" w:rsidP="00D22D3F">
      <w:pPr>
        <w:pStyle w:val="paragraphsub"/>
      </w:pPr>
      <w:r w:rsidRPr="00097A86">
        <w:tab/>
        <w:t>(iv)</w:t>
      </w:r>
      <w:r w:rsidRPr="00097A86">
        <w:tab/>
        <w:t>method 4 under Part</w:t>
      </w:r>
      <w:r w:rsidR="00097A86">
        <w:t> </w:t>
      </w:r>
      <w:r w:rsidRPr="00097A86">
        <w:t>1.3; and</w:t>
      </w:r>
    </w:p>
    <w:p w14:paraId="1071C372" w14:textId="77777777" w:rsidR="003F0D4E" w:rsidRPr="00097A86" w:rsidRDefault="003F0D4E" w:rsidP="00D22D3F">
      <w:pPr>
        <w:pStyle w:val="paragraph"/>
      </w:pPr>
      <w:r w:rsidRPr="00097A86">
        <w:tab/>
        <w:t>(b)</w:t>
      </w:r>
      <w:r w:rsidRPr="00097A86">
        <w:tab/>
        <w:t>one of the following methods must be used for estimating emissions of methane:</w:t>
      </w:r>
    </w:p>
    <w:p w14:paraId="7763A1E9" w14:textId="77777777" w:rsidR="003F0D4E" w:rsidRPr="00097A86" w:rsidRDefault="003F0D4E" w:rsidP="00D22D3F">
      <w:pPr>
        <w:pStyle w:val="paragraphsub"/>
      </w:pPr>
      <w:r w:rsidRPr="00097A86">
        <w:tab/>
        <w:t>(i)</w:t>
      </w:r>
      <w:r w:rsidRPr="00097A86">
        <w:tab/>
        <w:t>method 1 under section</w:t>
      </w:r>
      <w:r w:rsidR="00097A86">
        <w:t> </w:t>
      </w:r>
      <w:r w:rsidRPr="00097A86">
        <w:t>2.20;</w:t>
      </w:r>
    </w:p>
    <w:p w14:paraId="44475C02" w14:textId="77777777" w:rsidR="003F0D4E" w:rsidRPr="00097A86" w:rsidRDefault="003F0D4E" w:rsidP="00D22D3F">
      <w:pPr>
        <w:pStyle w:val="paragraphsub"/>
      </w:pPr>
      <w:r w:rsidRPr="00097A86">
        <w:tab/>
        <w:t>(ii)</w:t>
      </w:r>
      <w:r w:rsidRPr="00097A86">
        <w:tab/>
        <w:t>method 2 under section</w:t>
      </w:r>
      <w:r w:rsidR="00097A86">
        <w:t> </w:t>
      </w:r>
      <w:r w:rsidRPr="00097A86">
        <w:t>2.27; and</w:t>
      </w:r>
    </w:p>
    <w:p w14:paraId="00A19604" w14:textId="77777777" w:rsidR="003F0D4E" w:rsidRPr="00097A86" w:rsidRDefault="003F0D4E" w:rsidP="00D22D3F">
      <w:pPr>
        <w:pStyle w:val="paragraph"/>
      </w:pPr>
      <w:r w:rsidRPr="00097A86">
        <w:tab/>
        <w:t>(c)</w:t>
      </w:r>
      <w:r w:rsidRPr="00097A86">
        <w:tab/>
        <w:t>method 1 under section</w:t>
      </w:r>
      <w:r w:rsidR="00097A86">
        <w:t> </w:t>
      </w:r>
      <w:r w:rsidRPr="00097A86">
        <w:t>2.20 must be used for estimating emissions of nitrous oxide.</w:t>
      </w:r>
    </w:p>
    <w:p w14:paraId="5204D066" w14:textId="77777777" w:rsidR="003F0D4E" w:rsidRPr="00097A86" w:rsidRDefault="00D22D3F" w:rsidP="00D22D3F">
      <w:pPr>
        <w:pStyle w:val="notetext"/>
      </w:pPr>
      <w:r w:rsidRPr="00097A86">
        <w:t>Note:</w:t>
      </w:r>
      <w:r w:rsidRPr="00097A86">
        <w:tab/>
      </w:r>
      <w:r w:rsidR="003F0D4E" w:rsidRPr="00097A86">
        <w:t>The combustion of gaseous fuels releases emissions of carbon dioxide, methane and nitrous oxide. Method 1 is used to estimate emissions of each of these gases. There is no method 3 or 4 for emissions of methane and no method 2, 3 or 4 for emissions of nitrous oxide.</w:t>
      </w:r>
    </w:p>
    <w:p w14:paraId="1DBBB4B2" w14:textId="77777777" w:rsidR="003F0D4E" w:rsidRPr="00097A86" w:rsidRDefault="003F0D4E" w:rsidP="00D22D3F">
      <w:pPr>
        <w:pStyle w:val="subsection"/>
      </w:pPr>
      <w:r w:rsidRPr="00097A86">
        <w:tab/>
        <w:t>(2)</w:t>
      </w:r>
      <w:r w:rsidRPr="00097A86">
        <w:tab/>
        <w:t xml:space="preserve">However, for </w:t>
      </w:r>
      <w:r w:rsidR="005E0545" w:rsidRPr="00097A86">
        <w:t>incidental emissions</w:t>
      </w:r>
      <w:r w:rsidRPr="00097A86">
        <w:t xml:space="preserve"> another method may be used that is consistent with the principles in section</w:t>
      </w:r>
      <w:r w:rsidR="00097A86">
        <w:t> </w:t>
      </w:r>
      <w:r w:rsidRPr="00097A86">
        <w:t>1.13.</w:t>
      </w:r>
    </w:p>
    <w:p w14:paraId="450FD539" w14:textId="77777777" w:rsidR="00D23F89" w:rsidRPr="00097A86" w:rsidRDefault="00D23F89" w:rsidP="00D22D3F">
      <w:pPr>
        <w:pStyle w:val="subsection"/>
      </w:pPr>
      <w:r w:rsidRPr="00097A86">
        <w:tab/>
        <w:t>(3)</w:t>
      </w:r>
      <w:r w:rsidRPr="00097A86">
        <w:tab/>
        <w:t>Method 1 must not be used for estimating emissions of carbon dioxide for the main fuel combusted from the operation of the facility if:</w:t>
      </w:r>
    </w:p>
    <w:p w14:paraId="0B73CD44" w14:textId="77777777" w:rsidR="00D23F89" w:rsidRPr="00097A86" w:rsidRDefault="00D23F89" w:rsidP="00D22D3F">
      <w:pPr>
        <w:pStyle w:val="paragraph"/>
      </w:pPr>
      <w:r w:rsidRPr="00097A86">
        <w:tab/>
        <w:t>(a)</w:t>
      </w:r>
      <w:r w:rsidRPr="00097A86">
        <w:tab/>
        <w:t>the principal activity of the facility is electricity generation (ANZSIC industry classification and code 2611); and</w:t>
      </w:r>
    </w:p>
    <w:p w14:paraId="74967035" w14:textId="77777777" w:rsidR="00D23F89" w:rsidRPr="00097A86" w:rsidRDefault="00D23F89" w:rsidP="00D22D3F">
      <w:pPr>
        <w:pStyle w:val="paragraph"/>
      </w:pPr>
      <w:r w:rsidRPr="00097A86">
        <w:tab/>
        <w:t>(b)</w:t>
      </w:r>
      <w:r w:rsidRPr="00097A86">
        <w:tab/>
        <w:t>the generating unit:</w:t>
      </w:r>
    </w:p>
    <w:p w14:paraId="4A5B9E89" w14:textId="77777777" w:rsidR="00D23F89" w:rsidRPr="00097A86" w:rsidRDefault="00D23F89" w:rsidP="00D22D3F">
      <w:pPr>
        <w:pStyle w:val="paragraphsub"/>
      </w:pPr>
      <w:r w:rsidRPr="00097A86">
        <w:tab/>
        <w:t>(i)</w:t>
      </w:r>
      <w:r w:rsidRPr="00097A86">
        <w:tab/>
        <w:t>has the capacity to produce 30 megawatts or more of electricity; and</w:t>
      </w:r>
    </w:p>
    <w:p w14:paraId="37DDBC38" w14:textId="77777777" w:rsidR="00D23F89" w:rsidRPr="00097A86" w:rsidRDefault="00D23F89" w:rsidP="00D22D3F">
      <w:pPr>
        <w:pStyle w:val="paragraphsub"/>
      </w:pPr>
      <w:r w:rsidRPr="00097A86">
        <w:tab/>
        <w:t>(ii)</w:t>
      </w:r>
      <w:r w:rsidRPr="00097A86">
        <w:tab/>
        <w:t xml:space="preserve">generates more than </w:t>
      </w:r>
      <w:r w:rsidR="00B96490" w:rsidRPr="00097A86">
        <w:t>50</w:t>
      </w:r>
      <w:r w:rsidR="00097A86">
        <w:t> </w:t>
      </w:r>
      <w:r w:rsidR="00B96490" w:rsidRPr="00097A86">
        <w:t xml:space="preserve">000 megawatt hours </w:t>
      </w:r>
      <w:r w:rsidRPr="00097A86">
        <w:t>of electricity in a reporting year.</w:t>
      </w:r>
    </w:p>
    <w:p w14:paraId="508A9100" w14:textId="77777777" w:rsidR="003F0D4E" w:rsidRPr="00097A86" w:rsidRDefault="003F0D4E" w:rsidP="00D22D3F">
      <w:pPr>
        <w:pStyle w:val="ActHead3"/>
        <w:pageBreakBefore/>
      </w:pPr>
      <w:bookmarkStart w:id="117" w:name="_Toc13233565"/>
      <w:r w:rsidRPr="00097A86">
        <w:rPr>
          <w:rStyle w:val="CharDivNo"/>
        </w:rPr>
        <w:lastRenderedPageBreak/>
        <w:t>Division</w:t>
      </w:r>
      <w:r w:rsidR="00097A86">
        <w:rPr>
          <w:rStyle w:val="CharDivNo"/>
        </w:rPr>
        <w:t> </w:t>
      </w:r>
      <w:r w:rsidRPr="00097A86">
        <w:rPr>
          <w:rStyle w:val="CharDivNo"/>
        </w:rPr>
        <w:t>2.3.2</w:t>
      </w:r>
      <w:r w:rsidR="00D22D3F" w:rsidRPr="00097A86">
        <w:t>—</w:t>
      </w:r>
      <w:r w:rsidRPr="00097A86">
        <w:rPr>
          <w:rStyle w:val="CharDivText"/>
        </w:rPr>
        <w:t>Method 1</w:t>
      </w:r>
      <w:r w:rsidR="00D22D3F" w:rsidRPr="00097A86">
        <w:rPr>
          <w:rStyle w:val="CharDivText"/>
        </w:rPr>
        <w:t>—</w:t>
      </w:r>
      <w:r w:rsidRPr="00097A86">
        <w:rPr>
          <w:rStyle w:val="CharDivText"/>
        </w:rPr>
        <w:t>emissions of carbon dioxide, methane and nitrous oxide</w:t>
      </w:r>
      <w:bookmarkEnd w:id="117"/>
    </w:p>
    <w:p w14:paraId="6EE992FA" w14:textId="77777777" w:rsidR="003F0D4E" w:rsidRPr="00097A86" w:rsidRDefault="003F0D4E" w:rsidP="00D22D3F">
      <w:pPr>
        <w:pStyle w:val="ActHead5"/>
      </w:pPr>
      <w:bookmarkStart w:id="118" w:name="_Toc13233566"/>
      <w:r w:rsidRPr="00097A86">
        <w:rPr>
          <w:rStyle w:val="CharSectno"/>
        </w:rPr>
        <w:t>2.20</w:t>
      </w:r>
      <w:r w:rsidR="00D22D3F" w:rsidRPr="00097A86">
        <w:t xml:space="preserve">  </w:t>
      </w:r>
      <w:r w:rsidRPr="00097A86">
        <w:t>Method 1</w:t>
      </w:r>
      <w:r w:rsidR="00D22D3F" w:rsidRPr="00097A86">
        <w:t>—</w:t>
      </w:r>
      <w:r w:rsidRPr="00097A86">
        <w:t>emissions of carbon dioxide, methane and nitrous oxide</w:t>
      </w:r>
      <w:bookmarkEnd w:id="118"/>
    </w:p>
    <w:p w14:paraId="11B862D4" w14:textId="77777777" w:rsidR="003F0D4E" w:rsidRPr="00097A86" w:rsidRDefault="003F0D4E" w:rsidP="00D22D3F">
      <w:pPr>
        <w:pStyle w:val="subsection"/>
      </w:pPr>
      <w:r w:rsidRPr="00097A86">
        <w:tab/>
        <w:t>(1)</w:t>
      </w:r>
      <w:r w:rsidRPr="00097A86">
        <w:tab/>
        <w:t>For subparagraphs</w:t>
      </w:r>
      <w:r w:rsidR="00097A86">
        <w:t> </w:t>
      </w:r>
      <w:r w:rsidRPr="00097A86">
        <w:t>2.19(1)(a)(i) and (b)(i) and paragraph</w:t>
      </w:r>
      <w:r w:rsidR="00097A86">
        <w:t> </w:t>
      </w:r>
      <w:r w:rsidRPr="00097A86">
        <w:t>2.19(1)(c), method 1 for estimating emissions of carbon dioxide, methane and nitrous oxide is:</w:t>
      </w:r>
    </w:p>
    <w:p w14:paraId="69B428F8"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56FA20E" wp14:editId="16A8B780">
            <wp:extent cx="1647825" cy="409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p w14:paraId="3F9496A6" w14:textId="77777777" w:rsidR="003F0D4E" w:rsidRPr="00097A86" w:rsidRDefault="003F0D4E" w:rsidP="00D22D3F">
      <w:pPr>
        <w:pStyle w:val="subsection2"/>
      </w:pPr>
      <w:r w:rsidRPr="00097A86">
        <w:t>where:</w:t>
      </w:r>
    </w:p>
    <w:p w14:paraId="42642F01" w14:textId="77777777" w:rsidR="003F0D4E" w:rsidRPr="00097A86" w:rsidRDefault="003F0D4E" w:rsidP="00D22D3F">
      <w:pPr>
        <w:pStyle w:val="Definition"/>
      </w:pPr>
      <w:r w:rsidRPr="00097A86">
        <w:rPr>
          <w:b/>
          <w:i/>
        </w:rPr>
        <w:t>E</w:t>
      </w:r>
      <w:r w:rsidRPr="00097A86">
        <w:rPr>
          <w:rStyle w:val="charSubscript"/>
          <w:b/>
          <w:i/>
          <w:iCs/>
          <w:sz w:val="16"/>
        </w:rPr>
        <w:t xml:space="preserve">ij </w:t>
      </w:r>
      <w:r w:rsidRPr="00097A86">
        <w:t>is the emissions of gas type (</w:t>
      </w:r>
      <w:r w:rsidRPr="00097A86">
        <w:rPr>
          <w:b/>
          <w:i/>
        </w:rPr>
        <w:t>j</w:t>
      </w:r>
      <w:r w:rsidRPr="00097A86">
        <w:t>), being carbon dioxide, methane or nitrous oxide, from each gaseous fuel type (</w:t>
      </w:r>
      <w:r w:rsidRPr="00097A86">
        <w:rPr>
          <w:b/>
          <w:i/>
        </w:rPr>
        <w:t>i</w:t>
      </w:r>
      <w:r w:rsidRPr="00097A86">
        <w:t>) released from the operation of the facility during the year measured in CO</w:t>
      </w:r>
      <w:r w:rsidRPr="00097A86">
        <w:rPr>
          <w:rStyle w:val="charSubscript"/>
          <w:iCs/>
        </w:rPr>
        <w:t>2</w:t>
      </w:r>
      <w:r w:rsidR="00097A86">
        <w:noBreakHyphen/>
      </w:r>
      <w:r w:rsidRPr="00097A86">
        <w:t>e tonnes.</w:t>
      </w:r>
    </w:p>
    <w:p w14:paraId="186C04E5" w14:textId="77777777" w:rsidR="003F0D4E" w:rsidRPr="00097A86" w:rsidRDefault="003F0D4E" w:rsidP="00D22D3F">
      <w:pPr>
        <w:pStyle w:val="Definition"/>
      </w:pPr>
      <w:r w:rsidRPr="00097A86">
        <w:rPr>
          <w:b/>
          <w:i/>
        </w:rPr>
        <w:t>Q</w:t>
      </w:r>
      <w:r w:rsidRPr="00097A86">
        <w:rPr>
          <w:b/>
          <w:i/>
          <w:vertAlign w:val="subscript"/>
        </w:rPr>
        <w:t xml:space="preserve">i </w:t>
      </w:r>
      <w:r w:rsidRPr="00097A86">
        <w:t>is the quantity of fuel type (</w:t>
      </w:r>
      <w:r w:rsidRPr="00097A86">
        <w:rPr>
          <w:b/>
          <w:i/>
        </w:rPr>
        <w:t>i</w:t>
      </w:r>
      <w:r w:rsidRPr="00097A86">
        <w:t>) combusted</w:t>
      </w:r>
      <w:r w:rsidR="007B5B70" w:rsidRPr="00097A86">
        <w:t>, whether for stationary energy purposes or transport energy purposes,</w:t>
      </w:r>
      <w:r w:rsidRPr="00097A86">
        <w:t xml:space="preserve"> from the operation of the facility during the year measured in cubic metres or gigajoules and estimated under Division</w:t>
      </w:r>
      <w:r w:rsidR="00097A86">
        <w:t> </w:t>
      </w:r>
      <w:r w:rsidRPr="00097A86">
        <w:t>2.3.6.</w:t>
      </w:r>
    </w:p>
    <w:p w14:paraId="03047C45" w14:textId="77777777" w:rsidR="001F1AFC" w:rsidRPr="00097A86" w:rsidRDefault="001F1AFC"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5E200395" w14:textId="77777777" w:rsidR="003F0D4E" w:rsidRPr="00097A86" w:rsidRDefault="003F0D4E" w:rsidP="00D22D3F">
      <w:pPr>
        <w:pStyle w:val="Definition"/>
      </w:pPr>
      <w:r w:rsidRPr="00097A86">
        <w:rPr>
          <w:b/>
          <w:i/>
        </w:rPr>
        <w:t>EF</w:t>
      </w:r>
      <w:r w:rsidRPr="00097A86">
        <w:rPr>
          <w:b/>
          <w:i/>
          <w:vertAlign w:val="subscript"/>
        </w:rPr>
        <w:t>ijoxec</w:t>
      </w:r>
      <w:r w:rsidRPr="00097A86">
        <w:rPr>
          <w:b/>
          <w:i/>
        </w:rPr>
        <w:t xml:space="preserve"> </w:t>
      </w:r>
      <w:r w:rsidRPr="00097A86">
        <w:t>is the emission factor for each gas type (</w:t>
      </w:r>
      <w:r w:rsidRPr="00097A86">
        <w:rPr>
          <w:b/>
          <w:i/>
        </w:rPr>
        <w:t>j</w:t>
      </w:r>
      <w:r w:rsidRPr="00097A86">
        <w:t>) released during the year (which includes the effect of an oxidation factor) measured in kilograms CO</w:t>
      </w:r>
      <w:r w:rsidRPr="00097A86">
        <w:rPr>
          <w:rStyle w:val="charSubscript"/>
        </w:rPr>
        <w:t>2</w:t>
      </w:r>
      <w:r w:rsidR="00097A86">
        <w:noBreakHyphen/>
      </w:r>
      <w:r w:rsidRPr="00097A86">
        <w:t>e per gigajoule of fuel type (</w:t>
      </w:r>
      <w:r w:rsidRPr="00097A86">
        <w:rPr>
          <w:b/>
          <w:i/>
        </w:rPr>
        <w:t>i</w:t>
      </w:r>
      <w:r w:rsidRPr="00097A86">
        <w:t>) according to source</w:t>
      </w:r>
      <w:r w:rsidR="00774109" w:rsidRPr="00097A86">
        <w:t xml:space="preserve"> as mentioned in:</w:t>
      </w:r>
    </w:p>
    <w:p w14:paraId="0D3664E5" w14:textId="77777777" w:rsidR="00774109" w:rsidRPr="00097A86" w:rsidRDefault="00774109" w:rsidP="00D22D3F">
      <w:pPr>
        <w:pStyle w:val="paragraph"/>
      </w:pPr>
      <w:r w:rsidRPr="00097A86">
        <w:tab/>
        <w:t>(a)</w:t>
      </w:r>
      <w:r w:rsidRPr="00097A86">
        <w:tab/>
        <w:t>for stationary energy purposes</w:t>
      </w:r>
      <w:r w:rsidR="00D22D3F" w:rsidRPr="00097A86">
        <w:t>—</w:t>
      </w:r>
      <w:r w:rsidRPr="00097A86">
        <w:t>Part</w:t>
      </w:r>
      <w:r w:rsidR="00097A86">
        <w:t> </w:t>
      </w:r>
      <w:r w:rsidRPr="00097A86">
        <w:t>2 of Schedule</w:t>
      </w:r>
      <w:r w:rsidR="00097A86">
        <w:t> </w:t>
      </w:r>
      <w:r w:rsidRPr="00097A86">
        <w:t>1; and</w:t>
      </w:r>
    </w:p>
    <w:p w14:paraId="7AC94FAC" w14:textId="77777777" w:rsidR="00774109" w:rsidRPr="00097A86" w:rsidRDefault="00774109" w:rsidP="00D22D3F">
      <w:pPr>
        <w:pStyle w:val="paragraph"/>
      </w:pPr>
      <w:r w:rsidRPr="00097A86">
        <w:tab/>
        <w:t>(b)</w:t>
      </w:r>
      <w:r w:rsidRPr="00097A86">
        <w:tab/>
        <w:t>for transport energy purposes</w:t>
      </w:r>
      <w:r w:rsidR="00D22D3F" w:rsidRPr="00097A86">
        <w:t>—</w:t>
      </w:r>
      <w:r w:rsidRPr="00097A86">
        <w:t>Division</w:t>
      </w:r>
      <w:r w:rsidR="00097A86">
        <w:t> </w:t>
      </w:r>
      <w:r w:rsidRPr="00097A86">
        <w:t>4.1 of Schedule</w:t>
      </w:r>
      <w:r w:rsidR="00097A86">
        <w:t> </w:t>
      </w:r>
      <w:r w:rsidRPr="00097A86">
        <w:t>1.</w:t>
      </w:r>
    </w:p>
    <w:p w14:paraId="18027951" w14:textId="77777777" w:rsidR="003F0D4E" w:rsidRPr="00097A86" w:rsidRDefault="00D22D3F" w:rsidP="00D22D3F">
      <w:pPr>
        <w:pStyle w:val="notetext"/>
      </w:pPr>
      <w:r w:rsidRPr="00097A86">
        <w:t>Note:</w:t>
      </w:r>
      <w:r w:rsidRPr="00097A86">
        <w:tab/>
      </w:r>
      <w:r w:rsidR="003F0D4E" w:rsidRPr="00097A86">
        <w:t>The combustion of gaseous fuels releases emissions of carbon dioxide, methane and nitrous oxide.</w:t>
      </w:r>
    </w:p>
    <w:p w14:paraId="31F4C768" w14:textId="77777777" w:rsidR="00774109" w:rsidRPr="00097A86" w:rsidRDefault="00774109" w:rsidP="00D22D3F">
      <w:pPr>
        <w:pStyle w:val="subsection"/>
      </w:pPr>
      <w:r w:rsidRPr="00097A86">
        <w:tab/>
        <w:t>(2)</w:t>
      </w:r>
      <w:r w:rsidRPr="00097A86">
        <w:tab/>
        <w:t>In this section:</w:t>
      </w:r>
    </w:p>
    <w:p w14:paraId="1692B65A" w14:textId="77777777" w:rsidR="00774109" w:rsidRPr="00097A86" w:rsidRDefault="00774109" w:rsidP="00D22D3F">
      <w:pPr>
        <w:pStyle w:val="Definition"/>
      </w:pPr>
      <w:r w:rsidRPr="00097A86">
        <w:rPr>
          <w:b/>
          <w:i/>
        </w:rPr>
        <w:t xml:space="preserve">stationary energy purposes </w:t>
      </w:r>
      <w:r w:rsidRPr="00097A86">
        <w:t>means purposes for which fuel is combusted that do not involve transport energy purposes.</w:t>
      </w:r>
    </w:p>
    <w:p w14:paraId="156A5ECF" w14:textId="77777777" w:rsidR="00774109" w:rsidRPr="00097A86" w:rsidRDefault="00774109" w:rsidP="00D22D3F">
      <w:pPr>
        <w:pStyle w:val="Definition"/>
      </w:pPr>
      <w:r w:rsidRPr="00097A86">
        <w:rPr>
          <w:b/>
          <w:i/>
        </w:rPr>
        <w:t xml:space="preserve">transport energy purposes </w:t>
      </w:r>
      <w:r w:rsidRPr="00097A86">
        <w:t>includes purposes for which fuel is combusted that consist of any of the following:</w:t>
      </w:r>
    </w:p>
    <w:p w14:paraId="2CC3E2F3" w14:textId="77777777" w:rsidR="00774109" w:rsidRPr="00097A86" w:rsidRDefault="00774109" w:rsidP="00D22D3F">
      <w:pPr>
        <w:pStyle w:val="paragraph"/>
      </w:pPr>
      <w:r w:rsidRPr="00097A86">
        <w:tab/>
        <w:t>(a)</w:t>
      </w:r>
      <w:r w:rsidRPr="00097A86">
        <w:tab/>
        <w:t>transport by vehicles registered for road use;</w:t>
      </w:r>
    </w:p>
    <w:p w14:paraId="71E63D25" w14:textId="77777777" w:rsidR="00774109" w:rsidRPr="00097A86" w:rsidRDefault="00774109" w:rsidP="00D22D3F">
      <w:pPr>
        <w:pStyle w:val="paragraph"/>
      </w:pPr>
      <w:r w:rsidRPr="00097A86">
        <w:tab/>
        <w:t>(b)</w:t>
      </w:r>
      <w:r w:rsidRPr="00097A86">
        <w:tab/>
        <w:t>rail transport;</w:t>
      </w:r>
    </w:p>
    <w:p w14:paraId="28C4AF7A" w14:textId="77777777" w:rsidR="00774109" w:rsidRPr="00097A86" w:rsidRDefault="00774109" w:rsidP="00D22D3F">
      <w:pPr>
        <w:pStyle w:val="paragraph"/>
      </w:pPr>
      <w:r w:rsidRPr="00097A86">
        <w:tab/>
        <w:t>(c)</w:t>
      </w:r>
      <w:r w:rsidRPr="00097A86">
        <w:tab/>
        <w:t>marine navigation;</w:t>
      </w:r>
    </w:p>
    <w:p w14:paraId="1C8C98B0" w14:textId="77777777" w:rsidR="00774109" w:rsidRPr="00097A86" w:rsidRDefault="00774109" w:rsidP="00D22D3F">
      <w:pPr>
        <w:pStyle w:val="paragraph"/>
      </w:pPr>
      <w:r w:rsidRPr="00097A86">
        <w:tab/>
        <w:t>(d)</w:t>
      </w:r>
      <w:r w:rsidRPr="00097A86">
        <w:tab/>
        <w:t>air transport.</w:t>
      </w:r>
    </w:p>
    <w:p w14:paraId="58CA68B6" w14:textId="77777777" w:rsidR="00774109" w:rsidRPr="00097A86" w:rsidRDefault="00D22D3F" w:rsidP="00D22D3F">
      <w:pPr>
        <w:pStyle w:val="notetext"/>
      </w:pPr>
      <w:r w:rsidRPr="00097A86">
        <w:t>Note:</w:t>
      </w:r>
      <w:r w:rsidRPr="00097A86">
        <w:tab/>
      </w:r>
      <w:r w:rsidR="00774109" w:rsidRPr="00097A86">
        <w:t>The combustion of gaseous fuels releases emissions of carbon dioxide, methane and nitrous oxide.</w:t>
      </w:r>
    </w:p>
    <w:p w14:paraId="681FE09C" w14:textId="77777777" w:rsidR="003F0D4E" w:rsidRPr="00097A86" w:rsidRDefault="003F0D4E" w:rsidP="00593C89">
      <w:pPr>
        <w:pStyle w:val="ActHead3"/>
        <w:pageBreakBefore/>
      </w:pPr>
      <w:bookmarkStart w:id="119" w:name="_Toc13233567"/>
      <w:r w:rsidRPr="00097A86">
        <w:rPr>
          <w:rStyle w:val="CharDivNo"/>
        </w:rPr>
        <w:lastRenderedPageBreak/>
        <w:t>Division</w:t>
      </w:r>
      <w:r w:rsidR="00097A86">
        <w:rPr>
          <w:rStyle w:val="CharDivNo"/>
        </w:rPr>
        <w:t> </w:t>
      </w:r>
      <w:r w:rsidRPr="00097A86">
        <w:rPr>
          <w:rStyle w:val="CharDivNo"/>
        </w:rPr>
        <w:t>2.3.3</w:t>
      </w:r>
      <w:r w:rsidR="00D22D3F" w:rsidRPr="00097A86">
        <w:t>—</w:t>
      </w:r>
      <w:r w:rsidRPr="00097A86">
        <w:rPr>
          <w:rStyle w:val="CharDivText"/>
        </w:rPr>
        <w:t>Method 2</w:t>
      </w:r>
      <w:r w:rsidR="00D22D3F" w:rsidRPr="00097A86">
        <w:rPr>
          <w:rStyle w:val="CharDivText"/>
        </w:rPr>
        <w:t>—</w:t>
      </w:r>
      <w:r w:rsidRPr="00097A86">
        <w:rPr>
          <w:rStyle w:val="CharDivText"/>
        </w:rPr>
        <w:t>emissions of carbon dioxide from the combustion of gaseous fuels</w:t>
      </w:r>
      <w:bookmarkEnd w:id="119"/>
    </w:p>
    <w:p w14:paraId="29F8C05A" w14:textId="77777777" w:rsidR="003F0D4E" w:rsidRPr="00097A86" w:rsidRDefault="003F0D4E" w:rsidP="00D22D3F">
      <w:pPr>
        <w:pStyle w:val="ActHead4"/>
      </w:pPr>
      <w:bookmarkStart w:id="120" w:name="_Toc13233568"/>
      <w:r w:rsidRPr="00097A86">
        <w:rPr>
          <w:rStyle w:val="CharSubdNo"/>
        </w:rPr>
        <w:t>Subdivision</w:t>
      </w:r>
      <w:r w:rsidR="00097A86">
        <w:rPr>
          <w:rStyle w:val="CharSubdNo"/>
        </w:rPr>
        <w:t> </w:t>
      </w:r>
      <w:r w:rsidRPr="00097A86">
        <w:rPr>
          <w:rStyle w:val="CharSubdNo"/>
        </w:rPr>
        <w:t>2.3.3.1</w:t>
      </w:r>
      <w:r w:rsidR="00D22D3F" w:rsidRPr="00097A86">
        <w:t>—</w:t>
      </w:r>
      <w:r w:rsidRPr="00097A86">
        <w:rPr>
          <w:rStyle w:val="CharSubdText"/>
        </w:rPr>
        <w:t>Method 2</w:t>
      </w:r>
      <w:r w:rsidR="00D22D3F" w:rsidRPr="00097A86">
        <w:rPr>
          <w:rStyle w:val="CharSubdText"/>
        </w:rPr>
        <w:t>—</w:t>
      </w:r>
      <w:r w:rsidRPr="00097A86">
        <w:rPr>
          <w:rStyle w:val="CharSubdText"/>
        </w:rPr>
        <w:t>emissions of carbon dioxide from the combustion of gaseous fuels</w:t>
      </w:r>
      <w:bookmarkEnd w:id="120"/>
    </w:p>
    <w:p w14:paraId="46F803F4" w14:textId="77777777" w:rsidR="003F0D4E" w:rsidRPr="00097A86" w:rsidRDefault="003F0D4E" w:rsidP="00D22D3F">
      <w:pPr>
        <w:pStyle w:val="ActHead5"/>
      </w:pPr>
      <w:bookmarkStart w:id="121" w:name="_Toc13233569"/>
      <w:r w:rsidRPr="00097A86">
        <w:rPr>
          <w:rStyle w:val="CharSectno"/>
        </w:rPr>
        <w:t>2.21</w:t>
      </w:r>
      <w:r w:rsidR="00D22D3F" w:rsidRPr="00097A86">
        <w:t xml:space="preserve">  </w:t>
      </w:r>
      <w:r w:rsidRPr="00097A86">
        <w:t>Method 2</w:t>
      </w:r>
      <w:r w:rsidR="00D22D3F" w:rsidRPr="00097A86">
        <w:t>—</w:t>
      </w:r>
      <w:r w:rsidRPr="00097A86">
        <w:t>emissions of carbon dioxide from the combustion of gaseous fuels</w:t>
      </w:r>
      <w:bookmarkEnd w:id="121"/>
    </w:p>
    <w:p w14:paraId="33BC7784" w14:textId="77777777" w:rsidR="003F0D4E" w:rsidRPr="00097A86" w:rsidRDefault="003F0D4E" w:rsidP="00D22D3F">
      <w:pPr>
        <w:pStyle w:val="subsection"/>
      </w:pPr>
      <w:r w:rsidRPr="00097A86">
        <w:tab/>
        <w:t>(1)</w:t>
      </w:r>
      <w:r w:rsidRPr="00097A86">
        <w:tab/>
        <w:t>For subparagraph</w:t>
      </w:r>
      <w:r w:rsidR="00097A86">
        <w:t> </w:t>
      </w:r>
      <w:r w:rsidRPr="00097A86">
        <w:t>2.19(1)(a)(ii), method 2 for estimating emissions of carbon dioxide</w:t>
      </w:r>
      <w:r w:rsidRPr="00097A86">
        <w:rPr>
          <w:vertAlign w:val="subscript"/>
        </w:rPr>
        <w:t xml:space="preserve"> </w:t>
      </w:r>
      <w:r w:rsidRPr="00097A86">
        <w:t>is:</w:t>
      </w:r>
    </w:p>
    <w:p w14:paraId="6041CE8E" w14:textId="77777777" w:rsidR="00A960A7" w:rsidRPr="00097A86" w:rsidRDefault="00D22D3F" w:rsidP="00D22D3F">
      <w:pPr>
        <w:pStyle w:val="subsection"/>
        <w:spacing w:before="120" w:after="120"/>
      </w:pPr>
      <w:r w:rsidRPr="00097A86">
        <w:tab/>
      </w:r>
      <w:r w:rsidRPr="00097A86">
        <w:tab/>
      </w:r>
      <w:r w:rsidR="009E1F90">
        <w:rPr>
          <w:noProof/>
        </w:rPr>
        <w:drawing>
          <wp:inline distT="0" distB="0" distL="0" distR="0" wp14:anchorId="619456C1" wp14:editId="12D11F3B">
            <wp:extent cx="2352675" cy="409575"/>
            <wp:effectExtent l="0" t="0" r="9525" b="9525"/>
            <wp:docPr id="2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14:paraId="579E01FD" w14:textId="77777777" w:rsidR="003F0D4E" w:rsidRPr="00097A86" w:rsidRDefault="003F0D4E" w:rsidP="00D22D3F">
      <w:pPr>
        <w:pStyle w:val="subsection2"/>
      </w:pPr>
      <w:r w:rsidRPr="00097A86">
        <w:t>where:</w:t>
      </w:r>
    </w:p>
    <w:p w14:paraId="63BF3008" w14:textId="77777777" w:rsidR="00A960A7" w:rsidRPr="00097A86" w:rsidRDefault="00A960A7" w:rsidP="00D22D3F">
      <w:pPr>
        <w:pStyle w:val="Definition"/>
      </w:pPr>
      <w:r w:rsidRPr="00097A86">
        <w:rPr>
          <w:b/>
          <w:i/>
        </w:rPr>
        <w:t>E</w:t>
      </w:r>
      <w:r w:rsidRPr="00097A86">
        <w:rPr>
          <w:rStyle w:val="charSubscript"/>
          <w:b/>
          <w:i/>
          <w:iCs/>
        </w:rPr>
        <w:t>iCO</w:t>
      </w:r>
      <w:r w:rsidRPr="00097A86">
        <w:rPr>
          <w:b/>
          <w:i/>
          <w:position w:val="-6"/>
          <w:vertAlign w:val="subscript"/>
        </w:rPr>
        <w:t>2</w:t>
      </w:r>
      <w:r w:rsidRPr="00097A86">
        <w:rPr>
          <w:rStyle w:val="charSubscript"/>
          <w:b/>
          <w:i/>
          <w:iCs/>
        </w:rPr>
        <w:t xml:space="preserve"> </w:t>
      </w:r>
      <w:r w:rsidRPr="00097A86">
        <w:t>is emissions of carbon dioxide released from fuel type (</w:t>
      </w:r>
      <w:r w:rsidRPr="00097A86">
        <w:rPr>
          <w:b/>
          <w:i/>
        </w:rPr>
        <w:t>i</w:t>
      </w:r>
      <w:r w:rsidRPr="00097A86">
        <w:t>) combusted from the operation of the facility during the year measured in CO</w:t>
      </w:r>
      <w:r w:rsidRPr="00097A86">
        <w:rPr>
          <w:rStyle w:val="charSubscript"/>
          <w:iCs/>
        </w:rPr>
        <w:t>2</w:t>
      </w:r>
      <w:r w:rsidR="00097A86">
        <w:noBreakHyphen/>
      </w:r>
      <w:r w:rsidRPr="00097A86">
        <w:t>e tonnes.</w:t>
      </w:r>
    </w:p>
    <w:p w14:paraId="38A29D0A"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fuel type (</w:t>
      </w:r>
      <w:r w:rsidRPr="00097A86">
        <w:rPr>
          <w:b/>
          <w:i/>
        </w:rPr>
        <w:t>i</w:t>
      </w:r>
      <w:r w:rsidRPr="00097A86">
        <w:t>) combusted from the operation of the facility during the year measured in cubic metres or gigajoules and estimated under Division</w:t>
      </w:r>
      <w:r w:rsidR="00097A86">
        <w:t> </w:t>
      </w:r>
      <w:r w:rsidRPr="00097A86">
        <w:t>2.3.6.</w:t>
      </w:r>
    </w:p>
    <w:p w14:paraId="516F6552" w14:textId="77777777" w:rsidR="001F1AFC" w:rsidRPr="00097A86" w:rsidRDefault="001F1AFC"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398EC8B7" w14:textId="77777777" w:rsidR="00A960A7" w:rsidRPr="00097A86" w:rsidRDefault="00A960A7" w:rsidP="00D22D3F">
      <w:pPr>
        <w:pStyle w:val="Definition"/>
      </w:pPr>
      <w:r w:rsidRPr="00097A86">
        <w:rPr>
          <w:b/>
          <w:i/>
        </w:rPr>
        <w:t>EF</w:t>
      </w:r>
      <w:r w:rsidRPr="00097A86">
        <w:rPr>
          <w:b/>
          <w:i/>
          <w:vertAlign w:val="subscript"/>
        </w:rPr>
        <w:t>iCO</w:t>
      </w:r>
      <w:r w:rsidRPr="00097A86">
        <w:rPr>
          <w:b/>
          <w:i/>
          <w:position w:val="-6"/>
          <w:vertAlign w:val="subscript"/>
        </w:rPr>
        <w:t>2</w:t>
      </w:r>
      <w:r w:rsidRPr="00097A86">
        <w:rPr>
          <w:b/>
          <w:i/>
          <w:vertAlign w:val="subscript"/>
        </w:rPr>
        <w:t>oxec</w:t>
      </w:r>
      <w:r w:rsidRPr="00097A86">
        <w:rPr>
          <w:b/>
          <w:i/>
        </w:rPr>
        <w:t xml:space="preserve"> </w:t>
      </w:r>
      <w:r w:rsidRPr="00097A86">
        <w:t>is the carbon dioxide emission factor for fuel type (</w:t>
      </w:r>
      <w:r w:rsidRPr="00097A86">
        <w:rPr>
          <w:b/>
          <w:i/>
        </w:rPr>
        <w:t>i</w:t>
      </w:r>
      <w:r w:rsidRPr="00097A86">
        <w:t>) measured in kilograms CO</w:t>
      </w:r>
      <w:r w:rsidRPr="00097A86">
        <w:rPr>
          <w:rStyle w:val="charSubscript"/>
        </w:rPr>
        <w:t>2</w:t>
      </w:r>
      <w:r w:rsidR="00097A86">
        <w:noBreakHyphen/>
      </w:r>
      <w:r w:rsidRPr="00097A86">
        <w:t>e per gigajoule and calculated in accordance with section</w:t>
      </w:r>
      <w:r w:rsidR="00097A86">
        <w:t> </w:t>
      </w:r>
      <w:r w:rsidRPr="00097A86">
        <w:t>2.22.</w:t>
      </w:r>
    </w:p>
    <w:p w14:paraId="35B6EAB9" w14:textId="77777777" w:rsidR="00A960A7" w:rsidRPr="00097A86" w:rsidRDefault="00A960A7"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455797AB" w14:textId="77777777" w:rsidR="00A960A7" w:rsidRPr="00097A86" w:rsidRDefault="00A960A7" w:rsidP="00D22D3F">
      <w:pPr>
        <w:pStyle w:val="Definition"/>
      </w:pPr>
      <w:r w:rsidRPr="00097A86">
        <w:rPr>
          <w:b/>
          <w:i/>
        </w:rPr>
        <w:t>RCCS</w:t>
      </w:r>
      <w:r w:rsidRPr="00097A86">
        <w:rPr>
          <w:b/>
          <w:i/>
          <w:vertAlign w:val="subscript"/>
        </w:rPr>
        <w:t>CO</w:t>
      </w:r>
      <w:r w:rsidRPr="00097A86">
        <w:rPr>
          <w:b/>
          <w:i/>
          <w:position w:val="-6"/>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4C625A81" w14:textId="77777777" w:rsidR="003F0D4E" w:rsidRPr="00097A86" w:rsidRDefault="003F0D4E" w:rsidP="00D22D3F">
      <w:pPr>
        <w:pStyle w:val="ActHead5"/>
      </w:pPr>
      <w:bookmarkStart w:id="122" w:name="_Toc13233570"/>
      <w:r w:rsidRPr="00097A86">
        <w:rPr>
          <w:rStyle w:val="CharSectno"/>
        </w:rPr>
        <w:t>2.22</w:t>
      </w:r>
      <w:r w:rsidR="00D22D3F" w:rsidRPr="00097A86">
        <w:t xml:space="preserve">  </w:t>
      </w:r>
      <w:r w:rsidRPr="00097A86">
        <w:t>Calculation of emission factors from combustion of gaseous fuel</w:t>
      </w:r>
      <w:bookmarkEnd w:id="122"/>
    </w:p>
    <w:p w14:paraId="7436E977" w14:textId="77777777" w:rsidR="003F0D4E" w:rsidRPr="00097A86" w:rsidRDefault="003F0D4E" w:rsidP="00D22D3F">
      <w:pPr>
        <w:pStyle w:val="subsection"/>
      </w:pPr>
      <w:r w:rsidRPr="00097A86">
        <w:tab/>
        <w:t>(1)</w:t>
      </w:r>
      <w:r w:rsidRPr="00097A86">
        <w:tab/>
        <w:t>For section</w:t>
      </w:r>
      <w:r w:rsidR="00097A86">
        <w:t> </w:t>
      </w:r>
      <w:r w:rsidRPr="00097A86">
        <w:t xml:space="preserve">2.21, the emission </w:t>
      </w:r>
      <w:r w:rsidR="00C30BA1" w:rsidRPr="00097A86">
        <w:t xml:space="preserve">factor </w:t>
      </w:r>
      <w:r w:rsidR="00C30BA1" w:rsidRPr="00097A86">
        <w:rPr>
          <w:b/>
          <w:i/>
        </w:rPr>
        <w:t>EF</w:t>
      </w:r>
      <w:r w:rsidR="00C30BA1" w:rsidRPr="00097A86">
        <w:rPr>
          <w:b/>
          <w:i/>
          <w:vertAlign w:val="subscript"/>
        </w:rPr>
        <w:t>iCO</w:t>
      </w:r>
      <w:r w:rsidR="00C30BA1" w:rsidRPr="00097A86">
        <w:rPr>
          <w:b/>
          <w:i/>
          <w:position w:val="-6"/>
          <w:vertAlign w:val="subscript"/>
        </w:rPr>
        <w:t>2</w:t>
      </w:r>
      <w:r w:rsidR="00C30BA1" w:rsidRPr="00097A86">
        <w:rPr>
          <w:b/>
          <w:i/>
          <w:vertAlign w:val="subscript"/>
        </w:rPr>
        <w:t>oxec</w:t>
      </w:r>
      <w:r w:rsidR="00C30BA1" w:rsidRPr="00097A86">
        <w:t xml:space="preserve"> </w:t>
      </w:r>
      <w:r w:rsidRPr="00097A86">
        <w:t>from the combustion of fuel type (</w:t>
      </w:r>
      <w:r w:rsidRPr="00097A86">
        <w:rPr>
          <w:b/>
          <w:i/>
        </w:rPr>
        <w:t>i</w:t>
      </w:r>
      <w:r w:rsidRPr="00097A86">
        <w:t>) must be calculated from information on the composition of each component gas type (</w:t>
      </w:r>
      <w:r w:rsidRPr="00097A86">
        <w:rPr>
          <w:b/>
          <w:i/>
        </w:rPr>
        <w:t>y</w:t>
      </w:r>
      <w:r w:rsidRPr="00097A86">
        <w:t xml:space="preserve">) and must first </w:t>
      </w:r>
      <w:r w:rsidR="00C30BA1" w:rsidRPr="00097A86">
        <w:t xml:space="preserve">estimate </w:t>
      </w:r>
      <w:r w:rsidR="00C30BA1" w:rsidRPr="00097A86">
        <w:rPr>
          <w:b/>
          <w:i/>
        </w:rPr>
        <w:t>EF</w:t>
      </w:r>
      <w:r w:rsidR="00C30BA1" w:rsidRPr="00097A86">
        <w:rPr>
          <w:b/>
          <w:i/>
          <w:vertAlign w:val="subscript"/>
        </w:rPr>
        <w:t>i,CO</w:t>
      </w:r>
      <w:r w:rsidR="00C30BA1" w:rsidRPr="00097A86">
        <w:rPr>
          <w:b/>
          <w:i/>
          <w:position w:val="-6"/>
          <w:vertAlign w:val="subscript"/>
        </w:rPr>
        <w:t>2</w:t>
      </w:r>
      <w:r w:rsidR="00C30BA1" w:rsidRPr="00097A86">
        <w:rPr>
          <w:b/>
          <w:i/>
          <w:vertAlign w:val="subscript"/>
        </w:rPr>
        <w:t xml:space="preserve">,ox,kg </w:t>
      </w:r>
      <w:r w:rsidRPr="00097A86">
        <w:t>in accordance with the following formula:</w:t>
      </w:r>
    </w:p>
    <w:p w14:paraId="79A77BEE"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7BA7CA3C" wp14:editId="6F065BA7">
            <wp:extent cx="4781550" cy="790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81550" cy="790575"/>
                    </a:xfrm>
                    <a:prstGeom prst="rect">
                      <a:avLst/>
                    </a:prstGeom>
                    <a:noFill/>
                    <a:ln>
                      <a:noFill/>
                    </a:ln>
                  </pic:spPr>
                </pic:pic>
              </a:graphicData>
            </a:graphic>
          </wp:inline>
        </w:drawing>
      </w:r>
    </w:p>
    <w:p w14:paraId="294A437C" w14:textId="77777777" w:rsidR="003F0D4E" w:rsidRPr="00097A86" w:rsidRDefault="003F0D4E" w:rsidP="00D22D3F">
      <w:pPr>
        <w:pStyle w:val="subsection2"/>
      </w:pPr>
      <w:r w:rsidRPr="00097A86">
        <w:lastRenderedPageBreak/>
        <w:t>where:</w:t>
      </w:r>
    </w:p>
    <w:p w14:paraId="210BC6CA" w14:textId="77777777" w:rsidR="003F0D4E" w:rsidRPr="00097A86" w:rsidRDefault="003F0D4E" w:rsidP="00D22D3F">
      <w:pPr>
        <w:pStyle w:val="Definition"/>
      </w:pPr>
      <w:r w:rsidRPr="00097A86">
        <w:rPr>
          <w:b/>
          <w:i/>
        </w:rPr>
        <w:t>EF</w:t>
      </w:r>
      <w:r w:rsidRPr="00097A86">
        <w:rPr>
          <w:b/>
          <w:i/>
          <w:vertAlign w:val="subscript"/>
        </w:rPr>
        <w:t>i,</w:t>
      </w:r>
      <w:r w:rsidRPr="00097A86">
        <w:rPr>
          <w:rStyle w:val="charSubscript"/>
          <w:b/>
          <w:i/>
        </w:rPr>
        <w:t>CO2,</w:t>
      </w:r>
      <w:r w:rsidRPr="00097A86">
        <w:rPr>
          <w:b/>
          <w:i/>
          <w:vertAlign w:val="subscript"/>
        </w:rPr>
        <w:t>ox</w:t>
      </w:r>
      <w:r w:rsidRPr="00097A86">
        <w:rPr>
          <w:rStyle w:val="charSubscript"/>
          <w:b/>
          <w:i/>
        </w:rPr>
        <w:t>,kg</w:t>
      </w:r>
      <w:r w:rsidRPr="00097A86">
        <w:rPr>
          <w:b/>
          <w:i/>
          <w:vertAlign w:val="subscript"/>
        </w:rPr>
        <w:t xml:space="preserve"> </w:t>
      </w:r>
      <w:r w:rsidRPr="00097A86">
        <w:t>is the carbon dioxide emission factor for fuel type (</w:t>
      </w:r>
      <w:r w:rsidRPr="00097A86">
        <w:rPr>
          <w:b/>
          <w:i/>
        </w:rPr>
        <w:t>i</w:t>
      </w:r>
      <w:r w:rsidRPr="00097A86">
        <w:t>), incorporating the effects of a default oxidation factor expressed as kilograms of carbon dioxide per kilogram of fuel.</w:t>
      </w:r>
    </w:p>
    <w:p w14:paraId="5BD5E595" w14:textId="77777777" w:rsidR="003F0D4E" w:rsidRPr="00097A86" w:rsidRDefault="003F0D4E" w:rsidP="00D22D3F">
      <w:pPr>
        <w:pStyle w:val="Definition"/>
        <w:rPr>
          <w:szCs w:val="22"/>
        </w:rPr>
      </w:pPr>
      <w:r w:rsidRPr="00097A86">
        <w:rPr>
          <w:b/>
          <w:i/>
        </w:rPr>
        <w:t>mol</w:t>
      </w:r>
      <w:r w:rsidRPr="00097A86">
        <w:rPr>
          <w:b/>
          <w:i/>
          <w:vertAlign w:val="subscript"/>
        </w:rPr>
        <w:t>y</w:t>
      </w:r>
      <w:r w:rsidRPr="00097A86">
        <w:rPr>
          <w:b/>
          <w:i/>
        </w:rPr>
        <w:t>%</w:t>
      </w:r>
      <w:r w:rsidRPr="00097A86">
        <w:t>, for each component gas type (</w:t>
      </w:r>
      <w:r w:rsidRPr="00097A86">
        <w:rPr>
          <w:b/>
          <w:i/>
        </w:rPr>
        <w:t>y</w:t>
      </w:r>
      <w:r w:rsidRPr="00097A86">
        <w:t>), is that gas type’s share of 1 mole of fuel type (</w:t>
      </w:r>
      <w:r w:rsidRPr="00097A86">
        <w:rPr>
          <w:b/>
          <w:i/>
        </w:rPr>
        <w:t>i</w:t>
      </w:r>
      <w:r w:rsidRPr="00097A86">
        <w:t>), or that gas type’s share of the total volume of fuel type (</w:t>
      </w:r>
      <w:r w:rsidRPr="00097A86">
        <w:rPr>
          <w:b/>
          <w:i/>
        </w:rPr>
        <w:t>i</w:t>
      </w:r>
      <w:r w:rsidRPr="00097A86">
        <w:t>), expressed as a percentage</w:t>
      </w:r>
      <w:r w:rsidRPr="00097A86">
        <w:rPr>
          <w:szCs w:val="22"/>
        </w:rPr>
        <w:t>.</w:t>
      </w:r>
    </w:p>
    <w:p w14:paraId="37D579CB" w14:textId="77777777" w:rsidR="003F0D4E" w:rsidRPr="00097A86" w:rsidRDefault="003F0D4E" w:rsidP="00D22D3F">
      <w:pPr>
        <w:pStyle w:val="Definition"/>
      </w:pPr>
      <w:r w:rsidRPr="00097A86">
        <w:rPr>
          <w:b/>
          <w:i/>
        </w:rPr>
        <w:t>mw</w:t>
      </w:r>
      <w:r w:rsidRPr="00097A86">
        <w:rPr>
          <w:b/>
          <w:i/>
          <w:vertAlign w:val="subscript"/>
        </w:rPr>
        <w:t>y</w:t>
      </w:r>
      <w:r w:rsidRPr="00097A86">
        <w:t>, for each component gas type (</w:t>
      </w:r>
      <w:r w:rsidRPr="00097A86">
        <w:rPr>
          <w:b/>
          <w:i/>
        </w:rPr>
        <w:t>y</w:t>
      </w:r>
      <w:r w:rsidRPr="00097A86">
        <w:t>), is the molecular weight of the component gas type (</w:t>
      </w:r>
      <w:r w:rsidRPr="00097A86">
        <w:rPr>
          <w:b/>
          <w:i/>
        </w:rPr>
        <w:t>y</w:t>
      </w:r>
      <w:r w:rsidRPr="00097A86">
        <w:t>) measured in kilograms per kilomole.</w:t>
      </w:r>
    </w:p>
    <w:p w14:paraId="13AE3378" w14:textId="77777777" w:rsidR="003F0D4E" w:rsidRPr="00097A86" w:rsidRDefault="003F0D4E" w:rsidP="00D22D3F">
      <w:pPr>
        <w:pStyle w:val="Definition"/>
      </w:pPr>
      <w:r w:rsidRPr="00097A86">
        <w:rPr>
          <w:b/>
          <w:i/>
        </w:rPr>
        <w:t xml:space="preserve">V </w:t>
      </w:r>
      <w:r w:rsidRPr="00097A86">
        <w:t>is the volume of 1 kilomole of the gas at standard conditions and equal to 23.6444 cubic metres.</w:t>
      </w:r>
    </w:p>
    <w:p w14:paraId="1CF94A74" w14:textId="77777777" w:rsidR="003F0D4E" w:rsidRPr="00097A86" w:rsidRDefault="003F0D4E" w:rsidP="00D22D3F">
      <w:pPr>
        <w:pStyle w:val="Definition"/>
      </w:pPr>
      <w:r w:rsidRPr="00097A86">
        <w:rPr>
          <w:b/>
          <w:i/>
        </w:rPr>
        <w:t>d</w:t>
      </w:r>
      <w:r w:rsidRPr="00097A86">
        <w:rPr>
          <w:b/>
          <w:i/>
          <w:vertAlign w:val="subscript"/>
        </w:rPr>
        <w:t xml:space="preserve">y, total </w:t>
      </w:r>
      <w:r w:rsidRPr="00097A86">
        <w:t xml:space="preserve">is as set out in </w:t>
      </w:r>
      <w:r w:rsidR="00097A86">
        <w:t>subsection (</w:t>
      </w:r>
      <w:r w:rsidRPr="00097A86">
        <w:t>2).</w:t>
      </w:r>
    </w:p>
    <w:p w14:paraId="22A9FF09" w14:textId="77777777" w:rsidR="003F0D4E" w:rsidRPr="00097A86" w:rsidRDefault="003F0D4E" w:rsidP="00D22D3F">
      <w:pPr>
        <w:pStyle w:val="Definition"/>
      </w:pPr>
      <w:r w:rsidRPr="00097A86">
        <w:rPr>
          <w:b/>
          <w:i/>
        </w:rPr>
        <w:t>f</w:t>
      </w:r>
      <w:r w:rsidRPr="00097A86">
        <w:rPr>
          <w:b/>
          <w:i/>
          <w:vertAlign w:val="subscript"/>
        </w:rPr>
        <w:t>y</w:t>
      </w:r>
      <w:r w:rsidRPr="00097A86">
        <w:rPr>
          <w:b/>
          <w:i/>
        </w:rPr>
        <w:t xml:space="preserve"> </w:t>
      </w:r>
      <w:r w:rsidRPr="00097A86">
        <w:t>for each component gas type (</w:t>
      </w:r>
      <w:r w:rsidRPr="00097A86">
        <w:rPr>
          <w:b/>
          <w:i/>
        </w:rPr>
        <w:t>y</w:t>
      </w:r>
      <w:r w:rsidRPr="00097A86">
        <w:t>), is the number of carbon atoms in a molecule of the component gas type (</w:t>
      </w:r>
      <w:r w:rsidRPr="00097A86">
        <w:rPr>
          <w:b/>
          <w:i/>
        </w:rPr>
        <w:t>y</w:t>
      </w:r>
      <w:r w:rsidRPr="00097A86">
        <w:t>).</w:t>
      </w:r>
    </w:p>
    <w:p w14:paraId="6EA9CD44" w14:textId="77777777" w:rsidR="003F0D4E" w:rsidRPr="00097A86" w:rsidRDefault="003F0D4E" w:rsidP="00D22D3F">
      <w:pPr>
        <w:pStyle w:val="Definition"/>
        <w:rPr>
          <w:strike/>
        </w:rPr>
      </w:pPr>
      <w:r w:rsidRPr="00097A86">
        <w:rPr>
          <w:b/>
          <w:i/>
        </w:rPr>
        <w:t>OF</w:t>
      </w:r>
      <w:r w:rsidRPr="00097A86">
        <w:rPr>
          <w:b/>
          <w:i/>
          <w:vertAlign w:val="subscript"/>
        </w:rPr>
        <w:t>g</w:t>
      </w:r>
      <w:r w:rsidRPr="00097A86">
        <w:rPr>
          <w:b/>
          <w:i/>
        </w:rPr>
        <w:t xml:space="preserve"> </w:t>
      </w:r>
      <w:r w:rsidRPr="00097A86">
        <w:t xml:space="preserve">is the oxidation factor </w:t>
      </w:r>
      <w:r w:rsidR="00B41F69" w:rsidRPr="00097A86">
        <w:t>1.0</w:t>
      </w:r>
      <w:r w:rsidRPr="00097A86">
        <w:t xml:space="preserve"> applicable to gaseous fuels.</w:t>
      </w:r>
    </w:p>
    <w:p w14:paraId="0334911C" w14:textId="77777777" w:rsidR="003F0D4E" w:rsidRPr="00097A86" w:rsidRDefault="003F0D4E" w:rsidP="00D22D3F">
      <w:pPr>
        <w:pStyle w:val="subsection"/>
      </w:pPr>
      <w:r w:rsidRPr="00097A86">
        <w:tab/>
        <w:t>(2)</w:t>
      </w:r>
      <w:r w:rsidRPr="00097A86">
        <w:tab/>
        <w:t xml:space="preserve">For </w:t>
      </w:r>
      <w:r w:rsidR="00097A86">
        <w:t>subsection (</w:t>
      </w:r>
      <w:r w:rsidRPr="00097A86">
        <w:t xml:space="preserve">1), the factor </w:t>
      </w:r>
      <w:r w:rsidRPr="00097A86">
        <w:rPr>
          <w:b/>
          <w:i/>
        </w:rPr>
        <w:t>d</w:t>
      </w:r>
      <w:r w:rsidRPr="00097A86">
        <w:rPr>
          <w:b/>
          <w:i/>
          <w:vertAlign w:val="subscript"/>
        </w:rPr>
        <w:t xml:space="preserve">y, total </w:t>
      </w:r>
      <w:r w:rsidRPr="00097A86">
        <w:t>is worked out using the following formula:</w:t>
      </w:r>
    </w:p>
    <w:p w14:paraId="12AF85C3"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61F6F93F" wp14:editId="5AC4CF29">
            <wp:extent cx="168592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5925" cy="390525"/>
                    </a:xfrm>
                    <a:prstGeom prst="rect">
                      <a:avLst/>
                    </a:prstGeom>
                    <a:noFill/>
                    <a:ln>
                      <a:noFill/>
                    </a:ln>
                  </pic:spPr>
                </pic:pic>
              </a:graphicData>
            </a:graphic>
          </wp:inline>
        </w:drawing>
      </w:r>
    </w:p>
    <w:p w14:paraId="72AB5238" w14:textId="77777777" w:rsidR="003F0D4E" w:rsidRPr="00097A86" w:rsidRDefault="003F0D4E" w:rsidP="00D22D3F">
      <w:pPr>
        <w:pStyle w:val="subsection2"/>
      </w:pPr>
      <w:r w:rsidRPr="00097A86">
        <w:t>where:</w:t>
      </w:r>
    </w:p>
    <w:p w14:paraId="317E3105" w14:textId="77777777" w:rsidR="003F0D4E" w:rsidRPr="00097A86" w:rsidRDefault="003F0D4E" w:rsidP="00D22D3F">
      <w:pPr>
        <w:pStyle w:val="Definition"/>
        <w:rPr>
          <w:szCs w:val="22"/>
        </w:rPr>
      </w:pPr>
      <w:r w:rsidRPr="00097A86">
        <w:rPr>
          <w:b/>
          <w:i/>
        </w:rPr>
        <w:t>mol</w:t>
      </w:r>
      <w:r w:rsidRPr="00097A86">
        <w:rPr>
          <w:b/>
          <w:i/>
          <w:vertAlign w:val="subscript"/>
        </w:rPr>
        <w:t>y</w:t>
      </w:r>
      <w:r w:rsidRPr="00097A86">
        <w:rPr>
          <w:b/>
          <w:i/>
        </w:rPr>
        <w:t>%</w:t>
      </w:r>
      <w:r w:rsidRPr="00097A86">
        <w:t>, for each component gas type (</w:t>
      </w:r>
      <w:r w:rsidRPr="00097A86">
        <w:rPr>
          <w:b/>
          <w:i/>
        </w:rPr>
        <w:t>y</w:t>
      </w:r>
      <w:r w:rsidRPr="00097A86">
        <w:t>), is that gas type’s share of 1 mole of fuel type (</w:t>
      </w:r>
      <w:r w:rsidRPr="00097A86">
        <w:rPr>
          <w:b/>
          <w:i/>
        </w:rPr>
        <w:t>i</w:t>
      </w:r>
      <w:r w:rsidRPr="00097A86">
        <w:t>), or that gas type’s share of the total volume of fuel type (</w:t>
      </w:r>
      <w:r w:rsidRPr="00097A86">
        <w:rPr>
          <w:b/>
          <w:i/>
        </w:rPr>
        <w:t>i</w:t>
      </w:r>
      <w:r w:rsidRPr="00097A86">
        <w:t>), expressed as a percentage</w:t>
      </w:r>
      <w:r w:rsidRPr="00097A86">
        <w:rPr>
          <w:szCs w:val="22"/>
        </w:rPr>
        <w:t>.</w:t>
      </w:r>
    </w:p>
    <w:p w14:paraId="512B5E43" w14:textId="77777777" w:rsidR="003F0D4E" w:rsidRPr="00097A86" w:rsidRDefault="003F0D4E" w:rsidP="00D22D3F">
      <w:pPr>
        <w:pStyle w:val="Definition"/>
      </w:pPr>
      <w:r w:rsidRPr="00097A86">
        <w:rPr>
          <w:b/>
          <w:i/>
        </w:rPr>
        <w:t>mw</w:t>
      </w:r>
      <w:r w:rsidRPr="00097A86">
        <w:rPr>
          <w:b/>
          <w:i/>
          <w:vertAlign w:val="subscript"/>
        </w:rPr>
        <w:t>y</w:t>
      </w:r>
      <w:r w:rsidRPr="00097A86">
        <w:t>, for each component gas type (</w:t>
      </w:r>
      <w:r w:rsidRPr="00097A86">
        <w:rPr>
          <w:b/>
          <w:i/>
        </w:rPr>
        <w:t>y</w:t>
      </w:r>
      <w:r w:rsidRPr="00097A86">
        <w:t>), is the molecular weight of the component gas type (</w:t>
      </w:r>
      <w:r w:rsidRPr="00097A86">
        <w:rPr>
          <w:b/>
          <w:i/>
        </w:rPr>
        <w:t>y</w:t>
      </w:r>
      <w:r w:rsidRPr="00097A86">
        <w:t>) measured in kilograms per kilomole.</w:t>
      </w:r>
    </w:p>
    <w:p w14:paraId="07CC1B31" w14:textId="77777777" w:rsidR="003F0D4E" w:rsidRPr="00097A86" w:rsidRDefault="003F0D4E" w:rsidP="00D22D3F">
      <w:pPr>
        <w:pStyle w:val="subsection"/>
      </w:pPr>
      <w:r w:rsidRPr="00097A86">
        <w:tab/>
        <w:t>(3)</w:t>
      </w:r>
      <w:r w:rsidRPr="00097A86">
        <w:tab/>
        <w:t xml:space="preserve">For </w:t>
      </w:r>
      <w:r w:rsidR="00097A86">
        <w:t>subsection (</w:t>
      </w:r>
      <w:r w:rsidRPr="00097A86">
        <w:t>1), the molecular weight and number of carbon atoms in a molecule of each component gas type (</w:t>
      </w:r>
      <w:r w:rsidRPr="00097A86">
        <w:rPr>
          <w:b/>
          <w:i/>
        </w:rPr>
        <w:t>y</w:t>
      </w:r>
      <w:r w:rsidRPr="00097A86">
        <w:t>) mentioned in column 2 of an item in the following table is as set out in columns 3 and 4, respectively, for the item:</w:t>
      </w:r>
    </w:p>
    <w:p w14:paraId="3C3BDB07"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1"/>
        <w:gridCol w:w="2682"/>
        <w:gridCol w:w="2145"/>
        <w:gridCol w:w="2545"/>
      </w:tblGrid>
      <w:tr w:rsidR="003F0D4E" w:rsidRPr="00097A86" w14:paraId="4C51C9CD" w14:textId="77777777" w:rsidTr="00C20CC2">
        <w:trPr>
          <w:tblHeader/>
        </w:trPr>
        <w:tc>
          <w:tcPr>
            <w:tcW w:w="566" w:type="pct"/>
            <w:tcBorders>
              <w:top w:val="single" w:sz="12" w:space="0" w:color="auto"/>
              <w:bottom w:val="single" w:sz="12" w:space="0" w:color="auto"/>
            </w:tcBorders>
            <w:shd w:val="clear" w:color="auto" w:fill="auto"/>
          </w:tcPr>
          <w:p w14:paraId="5F4E662C" w14:textId="77777777" w:rsidR="003F0D4E" w:rsidRPr="00097A86" w:rsidRDefault="003F0D4E" w:rsidP="00D22D3F">
            <w:pPr>
              <w:pStyle w:val="TableHeading"/>
            </w:pPr>
            <w:r w:rsidRPr="00097A86">
              <w:t>Item</w:t>
            </w:r>
          </w:p>
        </w:tc>
        <w:tc>
          <w:tcPr>
            <w:tcW w:w="1613" w:type="pct"/>
            <w:tcBorders>
              <w:top w:val="single" w:sz="12" w:space="0" w:color="auto"/>
              <w:bottom w:val="single" w:sz="12" w:space="0" w:color="auto"/>
            </w:tcBorders>
            <w:shd w:val="clear" w:color="auto" w:fill="auto"/>
          </w:tcPr>
          <w:p w14:paraId="5DB27C86" w14:textId="77777777" w:rsidR="003F0D4E" w:rsidRPr="00097A86" w:rsidRDefault="003F0D4E" w:rsidP="00D22D3F">
            <w:pPr>
              <w:pStyle w:val="TableHeading"/>
            </w:pPr>
            <w:r w:rsidRPr="00097A86">
              <w:t>Component gas y</w:t>
            </w:r>
          </w:p>
        </w:tc>
        <w:tc>
          <w:tcPr>
            <w:tcW w:w="1290" w:type="pct"/>
            <w:tcBorders>
              <w:top w:val="single" w:sz="12" w:space="0" w:color="auto"/>
              <w:bottom w:val="single" w:sz="12" w:space="0" w:color="auto"/>
            </w:tcBorders>
            <w:shd w:val="clear" w:color="auto" w:fill="auto"/>
          </w:tcPr>
          <w:p w14:paraId="23601904" w14:textId="77777777" w:rsidR="003F0D4E" w:rsidRPr="00097A86" w:rsidRDefault="003F0D4E" w:rsidP="00D22D3F">
            <w:pPr>
              <w:pStyle w:val="TableHeading"/>
            </w:pPr>
            <w:r w:rsidRPr="00097A86">
              <w:t>Molecular Wt (kg/kmole)</w:t>
            </w:r>
          </w:p>
        </w:tc>
        <w:tc>
          <w:tcPr>
            <w:tcW w:w="1532" w:type="pct"/>
            <w:tcBorders>
              <w:top w:val="single" w:sz="12" w:space="0" w:color="auto"/>
              <w:bottom w:val="single" w:sz="12" w:space="0" w:color="auto"/>
            </w:tcBorders>
            <w:shd w:val="clear" w:color="auto" w:fill="auto"/>
          </w:tcPr>
          <w:p w14:paraId="38AC7D5A" w14:textId="77777777" w:rsidR="003F0D4E" w:rsidRPr="00097A86" w:rsidRDefault="003F0D4E" w:rsidP="00D22D3F">
            <w:pPr>
              <w:pStyle w:val="TableHeading"/>
            </w:pPr>
            <w:r w:rsidRPr="00097A86">
              <w:t>Number of carbon atoms in component molecules</w:t>
            </w:r>
          </w:p>
        </w:tc>
      </w:tr>
      <w:tr w:rsidR="003F0D4E" w:rsidRPr="00097A86" w14:paraId="211784CD" w14:textId="77777777" w:rsidTr="00C20CC2">
        <w:tc>
          <w:tcPr>
            <w:tcW w:w="566" w:type="pct"/>
            <w:tcBorders>
              <w:top w:val="single" w:sz="12" w:space="0" w:color="auto"/>
            </w:tcBorders>
            <w:shd w:val="clear" w:color="auto" w:fill="auto"/>
          </w:tcPr>
          <w:p w14:paraId="78B78AB8" w14:textId="77777777" w:rsidR="003F0D4E" w:rsidRPr="00097A86" w:rsidRDefault="003F0D4E" w:rsidP="00D22D3F">
            <w:pPr>
              <w:pStyle w:val="Tabletext"/>
            </w:pPr>
            <w:r w:rsidRPr="00097A86">
              <w:t>1</w:t>
            </w:r>
          </w:p>
        </w:tc>
        <w:tc>
          <w:tcPr>
            <w:tcW w:w="1613" w:type="pct"/>
            <w:tcBorders>
              <w:top w:val="single" w:sz="12" w:space="0" w:color="auto"/>
            </w:tcBorders>
            <w:shd w:val="clear" w:color="auto" w:fill="auto"/>
          </w:tcPr>
          <w:p w14:paraId="3451BF76" w14:textId="77777777" w:rsidR="003F0D4E" w:rsidRPr="00097A86" w:rsidRDefault="003F0D4E" w:rsidP="00D22D3F">
            <w:pPr>
              <w:pStyle w:val="Tabletext"/>
            </w:pPr>
            <w:r w:rsidRPr="00097A86">
              <w:t xml:space="preserve">Methane </w:t>
            </w:r>
          </w:p>
        </w:tc>
        <w:tc>
          <w:tcPr>
            <w:tcW w:w="1290" w:type="pct"/>
            <w:tcBorders>
              <w:top w:val="single" w:sz="12" w:space="0" w:color="auto"/>
            </w:tcBorders>
            <w:shd w:val="clear" w:color="auto" w:fill="auto"/>
          </w:tcPr>
          <w:p w14:paraId="3F2AED35" w14:textId="77777777" w:rsidR="003F0D4E" w:rsidRPr="00097A86" w:rsidRDefault="003F0D4E" w:rsidP="00D22D3F">
            <w:pPr>
              <w:pStyle w:val="Tabletext"/>
            </w:pPr>
            <w:r w:rsidRPr="00097A86">
              <w:t>16.043</w:t>
            </w:r>
          </w:p>
        </w:tc>
        <w:tc>
          <w:tcPr>
            <w:tcW w:w="1532" w:type="pct"/>
            <w:tcBorders>
              <w:top w:val="single" w:sz="12" w:space="0" w:color="auto"/>
            </w:tcBorders>
            <w:shd w:val="clear" w:color="auto" w:fill="auto"/>
          </w:tcPr>
          <w:p w14:paraId="6CDACDD6" w14:textId="77777777" w:rsidR="003F0D4E" w:rsidRPr="00097A86" w:rsidRDefault="003F0D4E" w:rsidP="00D22D3F">
            <w:pPr>
              <w:pStyle w:val="Tabletext"/>
            </w:pPr>
            <w:r w:rsidRPr="00097A86">
              <w:t>1</w:t>
            </w:r>
          </w:p>
        </w:tc>
      </w:tr>
      <w:tr w:rsidR="003F0D4E" w:rsidRPr="00097A86" w14:paraId="028CB817" w14:textId="77777777" w:rsidTr="00C20CC2">
        <w:tc>
          <w:tcPr>
            <w:tcW w:w="566" w:type="pct"/>
            <w:shd w:val="clear" w:color="auto" w:fill="auto"/>
          </w:tcPr>
          <w:p w14:paraId="1E4E8245" w14:textId="77777777" w:rsidR="003F0D4E" w:rsidRPr="00097A86" w:rsidRDefault="003F0D4E" w:rsidP="00D22D3F">
            <w:pPr>
              <w:pStyle w:val="Tabletext"/>
            </w:pPr>
            <w:r w:rsidRPr="00097A86">
              <w:t>2</w:t>
            </w:r>
          </w:p>
        </w:tc>
        <w:tc>
          <w:tcPr>
            <w:tcW w:w="1613" w:type="pct"/>
            <w:shd w:val="clear" w:color="auto" w:fill="auto"/>
          </w:tcPr>
          <w:p w14:paraId="44E843B8" w14:textId="77777777" w:rsidR="003F0D4E" w:rsidRPr="00097A86" w:rsidRDefault="003F0D4E" w:rsidP="00D22D3F">
            <w:pPr>
              <w:pStyle w:val="Tabletext"/>
            </w:pPr>
            <w:r w:rsidRPr="00097A86">
              <w:t xml:space="preserve">Ethane </w:t>
            </w:r>
          </w:p>
        </w:tc>
        <w:tc>
          <w:tcPr>
            <w:tcW w:w="1290" w:type="pct"/>
            <w:shd w:val="clear" w:color="auto" w:fill="auto"/>
          </w:tcPr>
          <w:p w14:paraId="1D7ABB98" w14:textId="77777777" w:rsidR="003F0D4E" w:rsidRPr="00097A86" w:rsidRDefault="003F0D4E" w:rsidP="00D22D3F">
            <w:pPr>
              <w:pStyle w:val="Tabletext"/>
            </w:pPr>
            <w:r w:rsidRPr="00097A86">
              <w:t>30.070</w:t>
            </w:r>
          </w:p>
        </w:tc>
        <w:tc>
          <w:tcPr>
            <w:tcW w:w="1532" w:type="pct"/>
            <w:shd w:val="clear" w:color="auto" w:fill="auto"/>
          </w:tcPr>
          <w:p w14:paraId="087B7038" w14:textId="77777777" w:rsidR="003F0D4E" w:rsidRPr="00097A86" w:rsidRDefault="003F0D4E" w:rsidP="00D22D3F">
            <w:pPr>
              <w:pStyle w:val="Tabletext"/>
            </w:pPr>
            <w:r w:rsidRPr="00097A86">
              <w:t>2</w:t>
            </w:r>
          </w:p>
        </w:tc>
      </w:tr>
      <w:tr w:rsidR="003F0D4E" w:rsidRPr="00097A86" w14:paraId="19BC2460" w14:textId="77777777" w:rsidTr="00C20CC2">
        <w:tc>
          <w:tcPr>
            <w:tcW w:w="566" w:type="pct"/>
            <w:shd w:val="clear" w:color="auto" w:fill="auto"/>
          </w:tcPr>
          <w:p w14:paraId="6B7EF01E" w14:textId="77777777" w:rsidR="003F0D4E" w:rsidRPr="00097A86" w:rsidRDefault="003F0D4E" w:rsidP="00D22D3F">
            <w:pPr>
              <w:pStyle w:val="Tabletext"/>
            </w:pPr>
            <w:r w:rsidRPr="00097A86">
              <w:t>3</w:t>
            </w:r>
          </w:p>
        </w:tc>
        <w:tc>
          <w:tcPr>
            <w:tcW w:w="1613" w:type="pct"/>
            <w:shd w:val="clear" w:color="auto" w:fill="auto"/>
          </w:tcPr>
          <w:p w14:paraId="7FCE9DB7" w14:textId="77777777" w:rsidR="003F0D4E" w:rsidRPr="00097A86" w:rsidRDefault="003F0D4E" w:rsidP="00D22D3F">
            <w:pPr>
              <w:pStyle w:val="Tabletext"/>
            </w:pPr>
            <w:r w:rsidRPr="00097A86">
              <w:t>Propane</w:t>
            </w:r>
          </w:p>
        </w:tc>
        <w:tc>
          <w:tcPr>
            <w:tcW w:w="1290" w:type="pct"/>
            <w:shd w:val="clear" w:color="auto" w:fill="auto"/>
          </w:tcPr>
          <w:p w14:paraId="34857F20" w14:textId="77777777" w:rsidR="003F0D4E" w:rsidRPr="00097A86" w:rsidRDefault="003F0D4E" w:rsidP="00D22D3F">
            <w:pPr>
              <w:pStyle w:val="Tabletext"/>
            </w:pPr>
            <w:r w:rsidRPr="00097A86">
              <w:t>44.097</w:t>
            </w:r>
          </w:p>
        </w:tc>
        <w:tc>
          <w:tcPr>
            <w:tcW w:w="1532" w:type="pct"/>
            <w:shd w:val="clear" w:color="auto" w:fill="auto"/>
          </w:tcPr>
          <w:p w14:paraId="006ABC08" w14:textId="77777777" w:rsidR="003F0D4E" w:rsidRPr="00097A86" w:rsidRDefault="003F0D4E" w:rsidP="00D22D3F">
            <w:pPr>
              <w:pStyle w:val="Tabletext"/>
            </w:pPr>
            <w:r w:rsidRPr="00097A86">
              <w:t>3</w:t>
            </w:r>
          </w:p>
        </w:tc>
      </w:tr>
      <w:tr w:rsidR="003F0D4E" w:rsidRPr="00097A86" w14:paraId="269E9468" w14:textId="77777777" w:rsidTr="00C20CC2">
        <w:tc>
          <w:tcPr>
            <w:tcW w:w="566" w:type="pct"/>
            <w:shd w:val="clear" w:color="auto" w:fill="auto"/>
          </w:tcPr>
          <w:p w14:paraId="61CC2375" w14:textId="77777777" w:rsidR="003F0D4E" w:rsidRPr="00097A86" w:rsidRDefault="003F0D4E" w:rsidP="00D22D3F">
            <w:pPr>
              <w:pStyle w:val="Tabletext"/>
            </w:pPr>
            <w:r w:rsidRPr="00097A86">
              <w:t>4</w:t>
            </w:r>
          </w:p>
        </w:tc>
        <w:tc>
          <w:tcPr>
            <w:tcW w:w="1613" w:type="pct"/>
            <w:shd w:val="clear" w:color="auto" w:fill="auto"/>
          </w:tcPr>
          <w:p w14:paraId="6F7927C4" w14:textId="77777777" w:rsidR="003F0D4E" w:rsidRPr="00097A86" w:rsidRDefault="003F0D4E" w:rsidP="00D22D3F">
            <w:pPr>
              <w:pStyle w:val="Tabletext"/>
            </w:pPr>
            <w:r w:rsidRPr="00097A86">
              <w:t xml:space="preserve">Butane </w:t>
            </w:r>
          </w:p>
        </w:tc>
        <w:tc>
          <w:tcPr>
            <w:tcW w:w="1290" w:type="pct"/>
            <w:shd w:val="clear" w:color="auto" w:fill="auto"/>
          </w:tcPr>
          <w:p w14:paraId="15F76DB6" w14:textId="77777777" w:rsidR="003F0D4E" w:rsidRPr="00097A86" w:rsidRDefault="003F0D4E" w:rsidP="00D22D3F">
            <w:pPr>
              <w:pStyle w:val="Tabletext"/>
            </w:pPr>
            <w:r w:rsidRPr="00097A86">
              <w:t>58.123</w:t>
            </w:r>
          </w:p>
        </w:tc>
        <w:tc>
          <w:tcPr>
            <w:tcW w:w="1532" w:type="pct"/>
            <w:shd w:val="clear" w:color="auto" w:fill="auto"/>
          </w:tcPr>
          <w:p w14:paraId="50389AFC" w14:textId="77777777" w:rsidR="003F0D4E" w:rsidRPr="00097A86" w:rsidRDefault="003F0D4E" w:rsidP="00D22D3F">
            <w:pPr>
              <w:pStyle w:val="Tabletext"/>
            </w:pPr>
            <w:r w:rsidRPr="00097A86">
              <w:t>4</w:t>
            </w:r>
          </w:p>
        </w:tc>
      </w:tr>
      <w:tr w:rsidR="003F0D4E" w:rsidRPr="00097A86" w14:paraId="1A83CA43" w14:textId="77777777" w:rsidTr="00C20CC2">
        <w:tc>
          <w:tcPr>
            <w:tcW w:w="566" w:type="pct"/>
            <w:shd w:val="clear" w:color="auto" w:fill="auto"/>
          </w:tcPr>
          <w:p w14:paraId="2CB031F9" w14:textId="77777777" w:rsidR="003F0D4E" w:rsidRPr="00097A86" w:rsidRDefault="003F0D4E" w:rsidP="00D22D3F">
            <w:pPr>
              <w:pStyle w:val="Tabletext"/>
            </w:pPr>
            <w:r w:rsidRPr="00097A86">
              <w:t>5</w:t>
            </w:r>
          </w:p>
        </w:tc>
        <w:tc>
          <w:tcPr>
            <w:tcW w:w="1613" w:type="pct"/>
            <w:shd w:val="clear" w:color="auto" w:fill="auto"/>
          </w:tcPr>
          <w:p w14:paraId="7E79EF46" w14:textId="77777777" w:rsidR="003F0D4E" w:rsidRPr="00097A86" w:rsidRDefault="003F0D4E" w:rsidP="00D22D3F">
            <w:pPr>
              <w:pStyle w:val="Tabletext"/>
            </w:pPr>
            <w:r w:rsidRPr="00097A86">
              <w:t xml:space="preserve">Pentane </w:t>
            </w:r>
          </w:p>
        </w:tc>
        <w:tc>
          <w:tcPr>
            <w:tcW w:w="1290" w:type="pct"/>
            <w:shd w:val="clear" w:color="auto" w:fill="auto"/>
          </w:tcPr>
          <w:p w14:paraId="26DD5E1F" w14:textId="77777777" w:rsidR="003F0D4E" w:rsidRPr="00097A86" w:rsidRDefault="003F0D4E" w:rsidP="00D22D3F">
            <w:pPr>
              <w:pStyle w:val="Tabletext"/>
            </w:pPr>
            <w:r w:rsidRPr="00097A86">
              <w:t>72.150</w:t>
            </w:r>
          </w:p>
        </w:tc>
        <w:tc>
          <w:tcPr>
            <w:tcW w:w="1532" w:type="pct"/>
            <w:shd w:val="clear" w:color="auto" w:fill="auto"/>
          </w:tcPr>
          <w:p w14:paraId="15709153" w14:textId="77777777" w:rsidR="003F0D4E" w:rsidRPr="00097A86" w:rsidRDefault="003F0D4E" w:rsidP="00D22D3F">
            <w:pPr>
              <w:pStyle w:val="Tabletext"/>
            </w:pPr>
            <w:r w:rsidRPr="00097A86">
              <w:t>5</w:t>
            </w:r>
          </w:p>
        </w:tc>
      </w:tr>
      <w:tr w:rsidR="003F0D4E" w:rsidRPr="00097A86" w14:paraId="5B141F02" w14:textId="77777777" w:rsidTr="00C20CC2">
        <w:tc>
          <w:tcPr>
            <w:tcW w:w="566" w:type="pct"/>
            <w:shd w:val="clear" w:color="auto" w:fill="auto"/>
          </w:tcPr>
          <w:p w14:paraId="4CF32D27" w14:textId="77777777" w:rsidR="003F0D4E" w:rsidRPr="00097A86" w:rsidRDefault="003F0D4E" w:rsidP="00D22D3F">
            <w:pPr>
              <w:pStyle w:val="Tabletext"/>
            </w:pPr>
            <w:r w:rsidRPr="00097A86">
              <w:t>6</w:t>
            </w:r>
          </w:p>
        </w:tc>
        <w:tc>
          <w:tcPr>
            <w:tcW w:w="1613" w:type="pct"/>
            <w:shd w:val="clear" w:color="auto" w:fill="auto"/>
          </w:tcPr>
          <w:p w14:paraId="28180F94" w14:textId="77777777" w:rsidR="003F0D4E" w:rsidRPr="00097A86" w:rsidRDefault="003F0D4E" w:rsidP="00D22D3F">
            <w:pPr>
              <w:pStyle w:val="Tabletext"/>
            </w:pPr>
            <w:r w:rsidRPr="00097A86">
              <w:t xml:space="preserve">Carbon monoxide </w:t>
            </w:r>
          </w:p>
        </w:tc>
        <w:tc>
          <w:tcPr>
            <w:tcW w:w="1290" w:type="pct"/>
            <w:shd w:val="clear" w:color="auto" w:fill="auto"/>
          </w:tcPr>
          <w:p w14:paraId="3E1A7583" w14:textId="77777777" w:rsidR="003F0D4E" w:rsidRPr="00097A86" w:rsidRDefault="003F0D4E" w:rsidP="00D22D3F">
            <w:pPr>
              <w:pStyle w:val="Tabletext"/>
            </w:pPr>
            <w:r w:rsidRPr="00097A86">
              <w:t>28.016</w:t>
            </w:r>
          </w:p>
        </w:tc>
        <w:tc>
          <w:tcPr>
            <w:tcW w:w="1532" w:type="pct"/>
            <w:shd w:val="clear" w:color="auto" w:fill="auto"/>
          </w:tcPr>
          <w:p w14:paraId="181AE6C7" w14:textId="77777777" w:rsidR="003F0D4E" w:rsidRPr="00097A86" w:rsidRDefault="003F0D4E" w:rsidP="00D22D3F">
            <w:pPr>
              <w:pStyle w:val="Tabletext"/>
            </w:pPr>
            <w:r w:rsidRPr="00097A86">
              <w:t>1</w:t>
            </w:r>
          </w:p>
        </w:tc>
      </w:tr>
      <w:tr w:rsidR="003F0D4E" w:rsidRPr="00097A86" w14:paraId="4E482259" w14:textId="77777777" w:rsidTr="00C20CC2">
        <w:tc>
          <w:tcPr>
            <w:tcW w:w="566" w:type="pct"/>
            <w:shd w:val="clear" w:color="auto" w:fill="auto"/>
          </w:tcPr>
          <w:p w14:paraId="2DF66AD7" w14:textId="77777777" w:rsidR="003F0D4E" w:rsidRPr="00097A86" w:rsidRDefault="003F0D4E" w:rsidP="00D22D3F">
            <w:pPr>
              <w:pStyle w:val="Tabletext"/>
            </w:pPr>
            <w:r w:rsidRPr="00097A86">
              <w:t>7</w:t>
            </w:r>
          </w:p>
        </w:tc>
        <w:tc>
          <w:tcPr>
            <w:tcW w:w="1613" w:type="pct"/>
            <w:shd w:val="clear" w:color="auto" w:fill="auto"/>
          </w:tcPr>
          <w:p w14:paraId="616D8F26" w14:textId="77777777" w:rsidR="003F0D4E" w:rsidRPr="00097A86" w:rsidRDefault="003F0D4E" w:rsidP="00D22D3F">
            <w:pPr>
              <w:pStyle w:val="Tabletext"/>
            </w:pPr>
            <w:r w:rsidRPr="00097A86">
              <w:t xml:space="preserve">Hydrogen </w:t>
            </w:r>
          </w:p>
        </w:tc>
        <w:tc>
          <w:tcPr>
            <w:tcW w:w="1290" w:type="pct"/>
            <w:shd w:val="clear" w:color="auto" w:fill="auto"/>
          </w:tcPr>
          <w:p w14:paraId="431984DD" w14:textId="77777777" w:rsidR="003F0D4E" w:rsidRPr="00097A86" w:rsidRDefault="003F0D4E" w:rsidP="00D22D3F">
            <w:pPr>
              <w:pStyle w:val="Tabletext"/>
            </w:pPr>
            <w:r w:rsidRPr="00097A86">
              <w:t>2.016</w:t>
            </w:r>
          </w:p>
        </w:tc>
        <w:tc>
          <w:tcPr>
            <w:tcW w:w="1532" w:type="pct"/>
            <w:shd w:val="clear" w:color="auto" w:fill="auto"/>
          </w:tcPr>
          <w:p w14:paraId="450AE6E1" w14:textId="77777777" w:rsidR="003F0D4E" w:rsidRPr="00097A86" w:rsidRDefault="003F0D4E" w:rsidP="00D22D3F">
            <w:pPr>
              <w:pStyle w:val="Tabletext"/>
            </w:pPr>
            <w:r w:rsidRPr="00097A86">
              <w:t>0</w:t>
            </w:r>
          </w:p>
        </w:tc>
      </w:tr>
      <w:tr w:rsidR="003F0D4E" w:rsidRPr="00097A86" w14:paraId="4EB46C6E" w14:textId="77777777" w:rsidTr="00C20CC2">
        <w:tc>
          <w:tcPr>
            <w:tcW w:w="566" w:type="pct"/>
            <w:shd w:val="clear" w:color="auto" w:fill="auto"/>
          </w:tcPr>
          <w:p w14:paraId="405A9DA7" w14:textId="77777777" w:rsidR="003F0D4E" w:rsidRPr="00097A86" w:rsidRDefault="003F0D4E" w:rsidP="00D22D3F">
            <w:pPr>
              <w:pStyle w:val="Tabletext"/>
            </w:pPr>
            <w:r w:rsidRPr="00097A86">
              <w:lastRenderedPageBreak/>
              <w:t>8</w:t>
            </w:r>
          </w:p>
        </w:tc>
        <w:tc>
          <w:tcPr>
            <w:tcW w:w="1613" w:type="pct"/>
            <w:shd w:val="clear" w:color="auto" w:fill="auto"/>
          </w:tcPr>
          <w:p w14:paraId="6F5EEA07" w14:textId="77777777" w:rsidR="003F0D4E" w:rsidRPr="00097A86" w:rsidRDefault="003F0D4E" w:rsidP="00D22D3F">
            <w:pPr>
              <w:pStyle w:val="Tabletext"/>
            </w:pPr>
            <w:r w:rsidRPr="00097A86">
              <w:t xml:space="preserve">Hydrogen sulphide </w:t>
            </w:r>
          </w:p>
        </w:tc>
        <w:tc>
          <w:tcPr>
            <w:tcW w:w="1290" w:type="pct"/>
            <w:shd w:val="clear" w:color="auto" w:fill="auto"/>
          </w:tcPr>
          <w:p w14:paraId="274510FF" w14:textId="77777777" w:rsidR="003F0D4E" w:rsidRPr="00097A86" w:rsidRDefault="003F0D4E" w:rsidP="00D22D3F">
            <w:pPr>
              <w:pStyle w:val="Tabletext"/>
            </w:pPr>
            <w:r w:rsidRPr="00097A86">
              <w:t>34.082</w:t>
            </w:r>
          </w:p>
        </w:tc>
        <w:tc>
          <w:tcPr>
            <w:tcW w:w="1532" w:type="pct"/>
            <w:shd w:val="clear" w:color="auto" w:fill="auto"/>
          </w:tcPr>
          <w:p w14:paraId="1FA9C342" w14:textId="77777777" w:rsidR="003F0D4E" w:rsidRPr="00097A86" w:rsidRDefault="003F0D4E" w:rsidP="00D22D3F">
            <w:pPr>
              <w:pStyle w:val="Tabletext"/>
            </w:pPr>
            <w:r w:rsidRPr="00097A86">
              <w:t>0</w:t>
            </w:r>
          </w:p>
        </w:tc>
      </w:tr>
      <w:tr w:rsidR="003F0D4E" w:rsidRPr="00097A86" w14:paraId="7C1F2BD9" w14:textId="77777777" w:rsidTr="00C20CC2">
        <w:tc>
          <w:tcPr>
            <w:tcW w:w="566" w:type="pct"/>
            <w:shd w:val="clear" w:color="auto" w:fill="auto"/>
          </w:tcPr>
          <w:p w14:paraId="7AB08D4D" w14:textId="77777777" w:rsidR="003F0D4E" w:rsidRPr="00097A86" w:rsidRDefault="003F0D4E" w:rsidP="00D22D3F">
            <w:pPr>
              <w:pStyle w:val="Tabletext"/>
            </w:pPr>
            <w:r w:rsidRPr="00097A86">
              <w:t>9</w:t>
            </w:r>
          </w:p>
        </w:tc>
        <w:tc>
          <w:tcPr>
            <w:tcW w:w="1613" w:type="pct"/>
            <w:shd w:val="clear" w:color="auto" w:fill="auto"/>
          </w:tcPr>
          <w:p w14:paraId="6229BEE7" w14:textId="77777777" w:rsidR="003F0D4E" w:rsidRPr="00097A86" w:rsidRDefault="003F0D4E" w:rsidP="00D22D3F">
            <w:pPr>
              <w:pStyle w:val="Tabletext"/>
            </w:pPr>
            <w:r w:rsidRPr="00097A86">
              <w:t xml:space="preserve">Oxygen </w:t>
            </w:r>
          </w:p>
        </w:tc>
        <w:tc>
          <w:tcPr>
            <w:tcW w:w="1290" w:type="pct"/>
            <w:shd w:val="clear" w:color="auto" w:fill="auto"/>
          </w:tcPr>
          <w:p w14:paraId="768D8E8A" w14:textId="77777777" w:rsidR="003F0D4E" w:rsidRPr="00097A86" w:rsidRDefault="003F0D4E" w:rsidP="00D22D3F">
            <w:pPr>
              <w:pStyle w:val="Tabletext"/>
            </w:pPr>
            <w:r w:rsidRPr="00097A86">
              <w:t>31.999</w:t>
            </w:r>
          </w:p>
        </w:tc>
        <w:tc>
          <w:tcPr>
            <w:tcW w:w="1532" w:type="pct"/>
            <w:shd w:val="clear" w:color="auto" w:fill="auto"/>
          </w:tcPr>
          <w:p w14:paraId="2FA2302E" w14:textId="77777777" w:rsidR="003F0D4E" w:rsidRPr="00097A86" w:rsidRDefault="003F0D4E" w:rsidP="00D22D3F">
            <w:pPr>
              <w:pStyle w:val="Tabletext"/>
            </w:pPr>
            <w:r w:rsidRPr="00097A86">
              <w:t>0</w:t>
            </w:r>
          </w:p>
        </w:tc>
      </w:tr>
      <w:tr w:rsidR="003F0D4E" w:rsidRPr="00097A86" w14:paraId="7576D14F" w14:textId="77777777" w:rsidTr="00C20CC2">
        <w:tc>
          <w:tcPr>
            <w:tcW w:w="566" w:type="pct"/>
            <w:shd w:val="clear" w:color="auto" w:fill="auto"/>
          </w:tcPr>
          <w:p w14:paraId="52E22D8D" w14:textId="77777777" w:rsidR="003F0D4E" w:rsidRPr="00097A86" w:rsidRDefault="003F0D4E" w:rsidP="00D22D3F">
            <w:pPr>
              <w:pStyle w:val="Tabletext"/>
            </w:pPr>
            <w:r w:rsidRPr="00097A86">
              <w:t>10</w:t>
            </w:r>
          </w:p>
        </w:tc>
        <w:tc>
          <w:tcPr>
            <w:tcW w:w="1613" w:type="pct"/>
            <w:shd w:val="clear" w:color="auto" w:fill="auto"/>
          </w:tcPr>
          <w:p w14:paraId="49FA4EAB" w14:textId="77777777" w:rsidR="003F0D4E" w:rsidRPr="00097A86" w:rsidRDefault="003F0D4E" w:rsidP="00D22D3F">
            <w:pPr>
              <w:pStyle w:val="Tabletext"/>
            </w:pPr>
            <w:r w:rsidRPr="00097A86">
              <w:t xml:space="preserve">Water </w:t>
            </w:r>
          </w:p>
        </w:tc>
        <w:tc>
          <w:tcPr>
            <w:tcW w:w="1290" w:type="pct"/>
            <w:shd w:val="clear" w:color="auto" w:fill="auto"/>
          </w:tcPr>
          <w:p w14:paraId="22A8C4CC" w14:textId="77777777" w:rsidR="003F0D4E" w:rsidRPr="00097A86" w:rsidRDefault="003F0D4E" w:rsidP="00D22D3F">
            <w:pPr>
              <w:pStyle w:val="Tabletext"/>
            </w:pPr>
            <w:r w:rsidRPr="00097A86">
              <w:t>18.015</w:t>
            </w:r>
          </w:p>
        </w:tc>
        <w:tc>
          <w:tcPr>
            <w:tcW w:w="1532" w:type="pct"/>
            <w:shd w:val="clear" w:color="auto" w:fill="auto"/>
          </w:tcPr>
          <w:p w14:paraId="3F92954F" w14:textId="77777777" w:rsidR="003F0D4E" w:rsidRPr="00097A86" w:rsidRDefault="003F0D4E" w:rsidP="00D22D3F">
            <w:pPr>
              <w:pStyle w:val="Tabletext"/>
            </w:pPr>
            <w:r w:rsidRPr="00097A86">
              <w:t>0</w:t>
            </w:r>
          </w:p>
        </w:tc>
      </w:tr>
      <w:tr w:rsidR="003F0D4E" w:rsidRPr="00097A86" w14:paraId="7E22D13E" w14:textId="77777777" w:rsidTr="00C20CC2">
        <w:tc>
          <w:tcPr>
            <w:tcW w:w="566" w:type="pct"/>
            <w:shd w:val="clear" w:color="auto" w:fill="auto"/>
          </w:tcPr>
          <w:p w14:paraId="6A48CD31" w14:textId="77777777" w:rsidR="003F0D4E" w:rsidRPr="00097A86" w:rsidRDefault="003F0D4E" w:rsidP="00D22D3F">
            <w:pPr>
              <w:pStyle w:val="Tabletext"/>
            </w:pPr>
            <w:r w:rsidRPr="00097A86">
              <w:t>11</w:t>
            </w:r>
          </w:p>
        </w:tc>
        <w:tc>
          <w:tcPr>
            <w:tcW w:w="1613" w:type="pct"/>
            <w:shd w:val="clear" w:color="auto" w:fill="auto"/>
          </w:tcPr>
          <w:p w14:paraId="05F4B6A2" w14:textId="77777777" w:rsidR="003F0D4E" w:rsidRPr="00097A86" w:rsidRDefault="003F0D4E" w:rsidP="00D22D3F">
            <w:pPr>
              <w:pStyle w:val="Tabletext"/>
            </w:pPr>
            <w:r w:rsidRPr="00097A86">
              <w:t xml:space="preserve">Nitrogen </w:t>
            </w:r>
          </w:p>
        </w:tc>
        <w:tc>
          <w:tcPr>
            <w:tcW w:w="1290" w:type="pct"/>
            <w:shd w:val="clear" w:color="auto" w:fill="auto"/>
          </w:tcPr>
          <w:p w14:paraId="180F1290" w14:textId="77777777" w:rsidR="003F0D4E" w:rsidRPr="00097A86" w:rsidRDefault="003F0D4E" w:rsidP="00D22D3F">
            <w:pPr>
              <w:pStyle w:val="Tabletext"/>
            </w:pPr>
            <w:r w:rsidRPr="00097A86">
              <w:t>28.013</w:t>
            </w:r>
          </w:p>
        </w:tc>
        <w:tc>
          <w:tcPr>
            <w:tcW w:w="1532" w:type="pct"/>
            <w:shd w:val="clear" w:color="auto" w:fill="auto"/>
          </w:tcPr>
          <w:p w14:paraId="1547CA26" w14:textId="77777777" w:rsidR="003F0D4E" w:rsidRPr="00097A86" w:rsidRDefault="003F0D4E" w:rsidP="00D22D3F">
            <w:pPr>
              <w:pStyle w:val="Tabletext"/>
            </w:pPr>
            <w:r w:rsidRPr="00097A86">
              <w:t>0</w:t>
            </w:r>
          </w:p>
        </w:tc>
      </w:tr>
      <w:tr w:rsidR="003F0D4E" w:rsidRPr="00097A86" w14:paraId="094A252A" w14:textId="77777777" w:rsidTr="00C20CC2">
        <w:tc>
          <w:tcPr>
            <w:tcW w:w="566" w:type="pct"/>
            <w:tcBorders>
              <w:bottom w:val="single" w:sz="4" w:space="0" w:color="auto"/>
            </w:tcBorders>
            <w:shd w:val="clear" w:color="auto" w:fill="auto"/>
          </w:tcPr>
          <w:p w14:paraId="18C235A1" w14:textId="77777777" w:rsidR="003F0D4E" w:rsidRPr="00097A86" w:rsidRDefault="003F0D4E" w:rsidP="00D22D3F">
            <w:pPr>
              <w:pStyle w:val="Tabletext"/>
            </w:pPr>
            <w:r w:rsidRPr="00097A86">
              <w:t>12</w:t>
            </w:r>
          </w:p>
        </w:tc>
        <w:tc>
          <w:tcPr>
            <w:tcW w:w="1613" w:type="pct"/>
            <w:tcBorders>
              <w:bottom w:val="single" w:sz="4" w:space="0" w:color="auto"/>
            </w:tcBorders>
            <w:shd w:val="clear" w:color="auto" w:fill="auto"/>
          </w:tcPr>
          <w:p w14:paraId="6D902FF0" w14:textId="77777777" w:rsidR="003F0D4E" w:rsidRPr="00097A86" w:rsidRDefault="003F0D4E" w:rsidP="00D22D3F">
            <w:pPr>
              <w:pStyle w:val="Tabletext"/>
            </w:pPr>
            <w:r w:rsidRPr="00097A86">
              <w:t>Argon</w:t>
            </w:r>
          </w:p>
        </w:tc>
        <w:tc>
          <w:tcPr>
            <w:tcW w:w="1290" w:type="pct"/>
            <w:tcBorders>
              <w:bottom w:val="single" w:sz="4" w:space="0" w:color="auto"/>
            </w:tcBorders>
            <w:shd w:val="clear" w:color="auto" w:fill="auto"/>
          </w:tcPr>
          <w:p w14:paraId="4F8BEAD8" w14:textId="77777777" w:rsidR="003F0D4E" w:rsidRPr="00097A86" w:rsidRDefault="003F0D4E" w:rsidP="00D22D3F">
            <w:pPr>
              <w:pStyle w:val="Tabletext"/>
            </w:pPr>
            <w:r w:rsidRPr="00097A86">
              <w:t>39.948</w:t>
            </w:r>
          </w:p>
        </w:tc>
        <w:tc>
          <w:tcPr>
            <w:tcW w:w="1532" w:type="pct"/>
            <w:tcBorders>
              <w:bottom w:val="single" w:sz="4" w:space="0" w:color="auto"/>
            </w:tcBorders>
            <w:shd w:val="clear" w:color="auto" w:fill="auto"/>
          </w:tcPr>
          <w:p w14:paraId="45BD4699" w14:textId="77777777" w:rsidR="003F0D4E" w:rsidRPr="00097A86" w:rsidRDefault="003F0D4E" w:rsidP="00D22D3F">
            <w:pPr>
              <w:pStyle w:val="Tabletext"/>
            </w:pPr>
            <w:r w:rsidRPr="00097A86">
              <w:t>0</w:t>
            </w:r>
          </w:p>
        </w:tc>
      </w:tr>
      <w:tr w:rsidR="003F0D4E" w:rsidRPr="00097A86" w14:paraId="5304034A" w14:textId="77777777" w:rsidTr="00C20CC2">
        <w:tc>
          <w:tcPr>
            <w:tcW w:w="566" w:type="pct"/>
            <w:tcBorders>
              <w:bottom w:val="single" w:sz="12" w:space="0" w:color="auto"/>
            </w:tcBorders>
            <w:shd w:val="clear" w:color="auto" w:fill="auto"/>
          </w:tcPr>
          <w:p w14:paraId="7C807DF7" w14:textId="77777777" w:rsidR="003F0D4E" w:rsidRPr="00097A86" w:rsidRDefault="003F0D4E" w:rsidP="00D22D3F">
            <w:pPr>
              <w:pStyle w:val="Tabletext"/>
            </w:pPr>
            <w:r w:rsidRPr="00097A86">
              <w:t>13</w:t>
            </w:r>
          </w:p>
        </w:tc>
        <w:tc>
          <w:tcPr>
            <w:tcW w:w="1613" w:type="pct"/>
            <w:tcBorders>
              <w:bottom w:val="single" w:sz="12" w:space="0" w:color="auto"/>
            </w:tcBorders>
            <w:shd w:val="clear" w:color="auto" w:fill="auto"/>
          </w:tcPr>
          <w:p w14:paraId="686D7865" w14:textId="77777777" w:rsidR="003F0D4E" w:rsidRPr="00097A86" w:rsidRDefault="003F0D4E" w:rsidP="00D22D3F">
            <w:pPr>
              <w:pStyle w:val="Tabletext"/>
            </w:pPr>
            <w:r w:rsidRPr="00097A86">
              <w:t xml:space="preserve">Carbon dioxide </w:t>
            </w:r>
          </w:p>
        </w:tc>
        <w:tc>
          <w:tcPr>
            <w:tcW w:w="1290" w:type="pct"/>
            <w:tcBorders>
              <w:bottom w:val="single" w:sz="12" w:space="0" w:color="auto"/>
            </w:tcBorders>
            <w:shd w:val="clear" w:color="auto" w:fill="auto"/>
          </w:tcPr>
          <w:p w14:paraId="4AB0AAB5" w14:textId="77777777" w:rsidR="003F0D4E" w:rsidRPr="00097A86" w:rsidRDefault="003F0D4E" w:rsidP="00D22D3F">
            <w:pPr>
              <w:pStyle w:val="Tabletext"/>
            </w:pPr>
            <w:r w:rsidRPr="00097A86">
              <w:t>44.010</w:t>
            </w:r>
          </w:p>
        </w:tc>
        <w:tc>
          <w:tcPr>
            <w:tcW w:w="1532" w:type="pct"/>
            <w:tcBorders>
              <w:bottom w:val="single" w:sz="12" w:space="0" w:color="auto"/>
            </w:tcBorders>
            <w:shd w:val="clear" w:color="auto" w:fill="auto"/>
          </w:tcPr>
          <w:p w14:paraId="7691D0CB" w14:textId="77777777" w:rsidR="003F0D4E" w:rsidRPr="00097A86" w:rsidRDefault="003F0D4E" w:rsidP="00D22D3F">
            <w:pPr>
              <w:pStyle w:val="Tabletext"/>
            </w:pPr>
            <w:r w:rsidRPr="00097A86">
              <w:t>1</w:t>
            </w:r>
          </w:p>
        </w:tc>
      </w:tr>
    </w:tbl>
    <w:p w14:paraId="5BFF1E59" w14:textId="77777777" w:rsidR="003F0D4E" w:rsidRPr="00097A86" w:rsidRDefault="003F0D4E" w:rsidP="00D22D3F">
      <w:pPr>
        <w:pStyle w:val="subsection"/>
      </w:pPr>
      <w:r w:rsidRPr="00097A86">
        <w:tab/>
        <w:t>(4)</w:t>
      </w:r>
      <w:r w:rsidRPr="00097A86">
        <w:tab/>
        <w:t>The carbon dioxide</w:t>
      </w:r>
      <w:r w:rsidRPr="00097A86">
        <w:rPr>
          <w:vertAlign w:val="subscript"/>
        </w:rPr>
        <w:t xml:space="preserve"> </w:t>
      </w:r>
      <w:r w:rsidRPr="00097A86">
        <w:t xml:space="preserve">emission </w:t>
      </w:r>
      <w:r w:rsidR="004B0A3D" w:rsidRPr="00097A86">
        <w:t xml:space="preserve">factor </w:t>
      </w:r>
      <w:r w:rsidR="004B0A3D" w:rsidRPr="00097A86">
        <w:rPr>
          <w:b/>
          <w:i/>
        </w:rPr>
        <w:t>EF</w:t>
      </w:r>
      <w:r w:rsidR="004B0A3D" w:rsidRPr="00097A86">
        <w:rPr>
          <w:b/>
          <w:i/>
          <w:vertAlign w:val="subscript"/>
        </w:rPr>
        <w:t>iCO</w:t>
      </w:r>
      <w:r w:rsidR="004B0A3D" w:rsidRPr="00097A86">
        <w:rPr>
          <w:b/>
          <w:i/>
          <w:position w:val="-6"/>
          <w:vertAlign w:val="subscript"/>
        </w:rPr>
        <w:t>2</w:t>
      </w:r>
      <w:r w:rsidR="004B0A3D" w:rsidRPr="00097A86">
        <w:rPr>
          <w:b/>
          <w:i/>
          <w:vertAlign w:val="subscript"/>
        </w:rPr>
        <w:t>oxec</w:t>
      </w:r>
      <w:r w:rsidR="004B0A3D" w:rsidRPr="00097A86">
        <w:t xml:space="preserve"> </w:t>
      </w:r>
      <w:r w:rsidRPr="00097A86">
        <w:t xml:space="preserve">derived from the calculation in </w:t>
      </w:r>
      <w:r w:rsidR="00097A86">
        <w:t>subsection (</w:t>
      </w:r>
      <w:r w:rsidRPr="00097A86">
        <w:t>1) must be expressed in terms of kilograms of carbon dioxide</w:t>
      </w:r>
      <w:r w:rsidRPr="00097A86">
        <w:rPr>
          <w:vertAlign w:val="subscript"/>
        </w:rPr>
        <w:t xml:space="preserve"> </w:t>
      </w:r>
      <w:r w:rsidRPr="00097A86">
        <w:t>per gigajoule calculated using the following formula:</w:t>
      </w:r>
    </w:p>
    <w:p w14:paraId="653C2ED2" w14:textId="77777777" w:rsidR="004B0A3D" w:rsidRPr="00097A86" w:rsidRDefault="00D22D3F" w:rsidP="00D22D3F">
      <w:pPr>
        <w:pStyle w:val="subsection"/>
        <w:spacing w:before="120" w:after="120"/>
      </w:pPr>
      <w:r w:rsidRPr="00097A86">
        <w:tab/>
      </w:r>
      <w:r w:rsidRPr="00097A86">
        <w:tab/>
      </w:r>
      <w:r w:rsidR="009E1F90">
        <w:rPr>
          <w:noProof/>
        </w:rPr>
        <w:drawing>
          <wp:inline distT="0" distB="0" distL="0" distR="0" wp14:anchorId="4B4C399A" wp14:editId="464A9D64">
            <wp:extent cx="2152650" cy="495300"/>
            <wp:effectExtent l="0" t="0" r="0" b="0"/>
            <wp:docPr id="2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14:paraId="50DD1D1B" w14:textId="77777777" w:rsidR="003F0D4E" w:rsidRPr="00097A86" w:rsidRDefault="003F0D4E" w:rsidP="00D22D3F">
      <w:pPr>
        <w:pStyle w:val="subsection2"/>
      </w:pPr>
      <w:r w:rsidRPr="00097A86">
        <w:t>where:</w:t>
      </w:r>
    </w:p>
    <w:p w14:paraId="4DB28773" w14:textId="77777777" w:rsidR="00B96490" w:rsidRPr="00097A86" w:rsidRDefault="00B96490" w:rsidP="00D22D3F">
      <w:pPr>
        <w:pStyle w:val="Definition"/>
      </w:pPr>
      <w:r w:rsidRPr="00097A86">
        <w:rPr>
          <w:b/>
          <w:bCs/>
          <w:i/>
          <w:iCs/>
        </w:rPr>
        <w:t>EC</w:t>
      </w:r>
      <w:r w:rsidRPr="00097A86">
        <w:rPr>
          <w:rStyle w:val="charsubscript0"/>
          <w:b/>
          <w:bCs/>
          <w:i/>
          <w:iCs/>
        </w:rPr>
        <w:t xml:space="preserve">i </w:t>
      </w:r>
      <w:r w:rsidRPr="00097A86">
        <w:t xml:space="preserve">is the energy content factor of fuel type </w:t>
      </w:r>
      <w:r w:rsidRPr="00097A86">
        <w:rPr>
          <w:b/>
          <w:i/>
        </w:rPr>
        <w:t>(i)</w:t>
      </w:r>
      <w:r w:rsidRPr="00097A86">
        <w:t>, measured in gigajoules per cubic metre that is:</w:t>
      </w:r>
    </w:p>
    <w:p w14:paraId="55031D2B" w14:textId="77777777" w:rsidR="00B96490" w:rsidRPr="00097A86" w:rsidRDefault="00B96490" w:rsidP="00D22D3F">
      <w:pPr>
        <w:pStyle w:val="paragraph"/>
      </w:pPr>
      <w:r w:rsidRPr="00097A86">
        <w:tab/>
        <w:t>(a)</w:t>
      </w:r>
      <w:r w:rsidRPr="00097A86">
        <w:tab/>
        <w:t>mentioned in column 3 of Part</w:t>
      </w:r>
      <w:r w:rsidR="00097A86">
        <w:t> </w:t>
      </w:r>
      <w:r w:rsidRPr="00097A86">
        <w:t>2 of Schedule</w:t>
      </w:r>
      <w:r w:rsidR="00097A86">
        <w:t> </w:t>
      </w:r>
      <w:r w:rsidRPr="00097A86">
        <w:t>1; or</w:t>
      </w:r>
    </w:p>
    <w:p w14:paraId="7382E504" w14:textId="77777777" w:rsidR="00B96490" w:rsidRPr="00097A86" w:rsidRDefault="00B96490" w:rsidP="00D22D3F">
      <w:pPr>
        <w:pStyle w:val="paragraph"/>
      </w:pPr>
      <w:r w:rsidRPr="00097A86">
        <w:tab/>
        <w:t>(b)</w:t>
      </w:r>
      <w:r w:rsidRPr="00097A86">
        <w:tab/>
        <w:t>estimated by analysis under Subdivision</w:t>
      </w:r>
      <w:r w:rsidR="00097A86">
        <w:t> </w:t>
      </w:r>
      <w:r w:rsidRPr="00097A86">
        <w:t>2.3.3.2.</w:t>
      </w:r>
    </w:p>
    <w:p w14:paraId="7F98C7F4" w14:textId="77777777" w:rsidR="003F0D4E" w:rsidRPr="00097A86" w:rsidRDefault="003F0D4E" w:rsidP="00D22D3F">
      <w:pPr>
        <w:pStyle w:val="Definition"/>
      </w:pPr>
      <w:r w:rsidRPr="00097A86">
        <w:rPr>
          <w:b/>
          <w:i/>
        </w:rPr>
        <w:t>C</w:t>
      </w:r>
      <w:r w:rsidRPr="00097A86">
        <w:rPr>
          <w:b/>
          <w:i/>
          <w:vertAlign w:val="subscript"/>
        </w:rPr>
        <w:t xml:space="preserve">i </w:t>
      </w:r>
      <w:r w:rsidRPr="00097A86">
        <w:t>is the density of fuel type (</w:t>
      </w:r>
      <w:r w:rsidRPr="00097A86">
        <w:rPr>
          <w:b/>
          <w:i/>
        </w:rPr>
        <w:t>i</w:t>
      </w:r>
      <w:r w:rsidRPr="00097A86">
        <w:t xml:space="preserve">) expressed in kilograms of fuel per cubic </w:t>
      </w:r>
      <w:r w:rsidR="001F1AFC" w:rsidRPr="00097A86">
        <w:t>metre as obtained under subsection</w:t>
      </w:r>
      <w:r w:rsidR="00097A86">
        <w:t> </w:t>
      </w:r>
      <w:r w:rsidR="001F1AFC" w:rsidRPr="00097A86">
        <w:t>2.24(4).</w:t>
      </w:r>
    </w:p>
    <w:p w14:paraId="233BE570" w14:textId="77777777" w:rsidR="003F0D4E" w:rsidRPr="00097A86" w:rsidRDefault="003F0D4E" w:rsidP="00D22D3F">
      <w:pPr>
        <w:pStyle w:val="ActHead4"/>
      </w:pPr>
      <w:bookmarkStart w:id="123" w:name="_Toc13233571"/>
      <w:r w:rsidRPr="00097A86">
        <w:rPr>
          <w:rStyle w:val="CharSubdNo"/>
        </w:rPr>
        <w:t>Subdivision</w:t>
      </w:r>
      <w:r w:rsidR="00097A86">
        <w:rPr>
          <w:rStyle w:val="CharSubdNo"/>
        </w:rPr>
        <w:t> </w:t>
      </w:r>
      <w:r w:rsidRPr="00097A86">
        <w:rPr>
          <w:rStyle w:val="CharSubdNo"/>
        </w:rPr>
        <w:t>2.3.3.2</w:t>
      </w:r>
      <w:r w:rsidR="00D22D3F" w:rsidRPr="00097A86">
        <w:t>—</w:t>
      </w:r>
      <w:r w:rsidRPr="00097A86">
        <w:rPr>
          <w:rStyle w:val="CharSubdText"/>
        </w:rPr>
        <w:t>Sampling and analysis</w:t>
      </w:r>
      <w:bookmarkEnd w:id="123"/>
    </w:p>
    <w:p w14:paraId="4BDDAEA9" w14:textId="77777777" w:rsidR="003F0D4E" w:rsidRPr="00097A86" w:rsidRDefault="003F0D4E" w:rsidP="00D22D3F">
      <w:pPr>
        <w:pStyle w:val="ActHead5"/>
      </w:pPr>
      <w:bookmarkStart w:id="124" w:name="_Toc13233572"/>
      <w:r w:rsidRPr="00097A86">
        <w:rPr>
          <w:rStyle w:val="CharSectno"/>
        </w:rPr>
        <w:t>2.23</w:t>
      </w:r>
      <w:r w:rsidR="00D22D3F" w:rsidRPr="00097A86">
        <w:t xml:space="preserve">  </w:t>
      </w:r>
      <w:r w:rsidRPr="00097A86">
        <w:t>General requirements for sampling under method 2</w:t>
      </w:r>
      <w:bookmarkEnd w:id="124"/>
    </w:p>
    <w:p w14:paraId="12827359" w14:textId="77777777" w:rsidR="003F0D4E" w:rsidRPr="00097A86" w:rsidRDefault="003F0D4E" w:rsidP="00D22D3F">
      <w:pPr>
        <w:pStyle w:val="subsection"/>
      </w:pPr>
      <w:r w:rsidRPr="00097A86">
        <w:tab/>
        <w:t>(1)</w:t>
      </w:r>
      <w:r w:rsidRPr="00097A86">
        <w:tab/>
        <w:t>A sample of the gaseous fuel must be derived from a composite of amounts of the gaseous fuel combusted.</w:t>
      </w:r>
    </w:p>
    <w:p w14:paraId="318FCAAA"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745EB179"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6FCB675D" w14:textId="77777777" w:rsidR="003F0D4E" w:rsidRPr="00097A86" w:rsidRDefault="003F0D4E" w:rsidP="00D22D3F">
      <w:pPr>
        <w:pStyle w:val="subsection"/>
      </w:pPr>
      <w:r w:rsidRPr="00097A86">
        <w:tab/>
        <w:t>(4)</w:t>
      </w:r>
      <w:r w:rsidRPr="00097A86">
        <w:tab/>
        <w:t>Bias must be tested in accordance with an appropriate standard (if any).</w:t>
      </w:r>
    </w:p>
    <w:p w14:paraId="69495717" w14:textId="77777777" w:rsidR="003F0D4E" w:rsidRPr="00097A86" w:rsidRDefault="003F0D4E" w:rsidP="00D22D3F">
      <w:pPr>
        <w:pStyle w:val="subsection"/>
      </w:pPr>
      <w:r w:rsidRPr="00097A86">
        <w:tab/>
        <w:t>(5)</w:t>
      </w:r>
      <w:r w:rsidRPr="00097A86">
        <w:tab/>
        <w:t>The value obtained from the samples must only be used for the delivery period, usage period or consignment of the gaseous fuel for which it was intended to be representative.</w:t>
      </w:r>
    </w:p>
    <w:p w14:paraId="3D9EF462" w14:textId="77777777" w:rsidR="003F0D4E" w:rsidRPr="00097A86" w:rsidRDefault="003F0D4E" w:rsidP="00D22D3F">
      <w:pPr>
        <w:pStyle w:val="ActHead5"/>
      </w:pPr>
      <w:bookmarkStart w:id="125" w:name="_Toc13233573"/>
      <w:r w:rsidRPr="00097A86">
        <w:rPr>
          <w:rStyle w:val="CharSectno"/>
        </w:rPr>
        <w:lastRenderedPageBreak/>
        <w:t>2.24</w:t>
      </w:r>
      <w:r w:rsidR="00D22D3F" w:rsidRPr="00097A86">
        <w:t xml:space="preserve">  </w:t>
      </w:r>
      <w:r w:rsidRPr="00097A86">
        <w:t>Standards for analysing samples of gaseous fuels</w:t>
      </w:r>
      <w:bookmarkEnd w:id="125"/>
    </w:p>
    <w:p w14:paraId="16122414" w14:textId="77777777" w:rsidR="003F0D4E" w:rsidRPr="00097A86" w:rsidRDefault="003F0D4E" w:rsidP="00D22D3F">
      <w:pPr>
        <w:pStyle w:val="subsection"/>
      </w:pPr>
      <w:r w:rsidRPr="00097A86">
        <w:tab/>
        <w:t>(1)</w:t>
      </w:r>
      <w:r w:rsidRPr="00097A86">
        <w:tab/>
        <w:t>Samples of gaseous fuels of a type mentioned in column 2 of an item in the following table must be analysed in accordance with one of the standards mentioned in:</w:t>
      </w:r>
    </w:p>
    <w:p w14:paraId="50FEC9E3" w14:textId="77777777" w:rsidR="003F0D4E" w:rsidRPr="00097A86" w:rsidRDefault="003F0D4E" w:rsidP="00D22D3F">
      <w:pPr>
        <w:pStyle w:val="paragraph"/>
      </w:pPr>
      <w:r w:rsidRPr="00097A86">
        <w:tab/>
        <w:t>(a)</w:t>
      </w:r>
      <w:r w:rsidRPr="00097A86">
        <w:tab/>
        <w:t>for analysis of energy content</w:t>
      </w:r>
      <w:r w:rsidR="00D22D3F" w:rsidRPr="00097A86">
        <w:t>—</w:t>
      </w:r>
      <w:r w:rsidRPr="00097A86">
        <w:t>column 3 for that item; and</w:t>
      </w:r>
    </w:p>
    <w:p w14:paraId="5993F343" w14:textId="77777777" w:rsidR="003F0D4E" w:rsidRPr="00097A86" w:rsidRDefault="003F0D4E" w:rsidP="00D22D3F">
      <w:pPr>
        <w:pStyle w:val="paragraph"/>
      </w:pPr>
      <w:r w:rsidRPr="00097A86">
        <w:tab/>
        <w:t>(b)</w:t>
      </w:r>
      <w:r w:rsidRPr="00097A86">
        <w:tab/>
        <w:t>for analysis of gas composition</w:t>
      </w:r>
      <w:r w:rsidR="00D22D3F" w:rsidRPr="00097A86">
        <w:t>—</w:t>
      </w:r>
      <w:r w:rsidRPr="00097A86">
        <w:t>column 4 for that item.</w:t>
      </w:r>
    </w:p>
    <w:p w14:paraId="1BE83D77"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7"/>
        <w:gridCol w:w="1819"/>
        <w:gridCol w:w="2303"/>
        <w:gridCol w:w="3294"/>
      </w:tblGrid>
      <w:tr w:rsidR="003F0D4E" w:rsidRPr="00097A86" w14:paraId="3BBD7BC3" w14:textId="77777777" w:rsidTr="00C20CC2">
        <w:trPr>
          <w:trHeight w:val="340"/>
          <w:tblHeader/>
        </w:trPr>
        <w:tc>
          <w:tcPr>
            <w:tcW w:w="540" w:type="pct"/>
            <w:tcBorders>
              <w:top w:val="single" w:sz="12" w:space="0" w:color="auto"/>
              <w:bottom w:val="single" w:sz="12" w:space="0" w:color="auto"/>
            </w:tcBorders>
            <w:shd w:val="clear" w:color="auto" w:fill="auto"/>
          </w:tcPr>
          <w:p w14:paraId="378AB5D4" w14:textId="77777777" w:rsidR="003F0D4E" w:rsidRPr="00097A86" w:rsidRDefault="003F0D4E" w:rsidP="00D22D3F">
            <w:pPr>
              <w:pStyle w:val="TableHeading"/>
            </w:pPr>
            <w:r w:rsidRPr="00097A86">
              <w:t>Item</w:t>
            </w:r>
          </w:p>
        </w:tc>
        <w:tc>
          <w:tcPr>
            <w:tcW w:w="1094" w:type="pct"/>
            <w:tcBorders>
              <w:top w:val="single" w:sz="12" w:space="0" w:color="auto"/>
              <w:bottom w:val="single" w:sz="12" w:space="0" w:color="auto"/>
            </w:tcBorders>
            <w:shd w:val="clear" w:color="auto" w:fill="auto"/>
          </w:tcPr>
          <w:p w14:paraId="5F6E5750" w14:textId="77777777" w:rsidR="003F0D4E" w:rsidRPr="00097A86" w:rsidRDefault="003F0D4E" w:rsidP="00D22D3F">
            <w:pPr>
              <w:pStyle w:val="TableHeading"/>
            </w:pPr>
            <w:r w:rsidRPr="00097A86">
              <w:t>Fuel type</w:t>
            </w:r>
          </w:p>
        </w:tc>
        <w:tc>
          <w:tcPr>
            <w:tcW w:w="1385" w:type="pct"/>
            <w:tcBorders>
              <w:top w:val="single" w:sz="12" w:space="0" w:color="auto"/>
              <w:bottom w:val="single" w:sz="12" w:space="0" w:color="auto"/>
            </w:tcBorders>
            <w:shd w:val="clear" w:color="auto" w:fill="auto"/>
          </w:tcPr>
          <w:p w14:paraId="271874FA" w14:textId="77777777" w:rsidR="003F0D4E" w:rsidRPr="00097A86" w:rsidRDefault="003F0D4E" w:rsidP="00D22D3F">
            <w:pPr>
              <w:pStyle w:val="TableHeading"/>
            </w:pPr>
            <w:r w:rsidRPr="00097A86">
              <w:t>Energy content</w:t>
            </w:r>
          </w:p>
        </w:tc>
        <w:tc>
          <w:tcPr>
            <w:tcW w:w="1981" w:type="pct"/>
            <w:tcBorders>
              <w:top w:val="single" w:sz="12" w:space="0" w:color="auto"/>
              <w:bottom w:val="single" w:sz="12" w:space="0" w:color="auto"/>
            </w:tcBorders>
            <w:shd w:val="clear" w:color="auto" w:fill="auto"/>
          </w:tcPr>
          <w:p w14:paraId="704C5749" w14:textId="77777777" w:rsidR="003F0D4E" w:rsidRPr="00097A86" w:rsidRDefault="003F0D4E" w:rsidP="00D22D3F">
            <w:pPr>
              <w:pStyle w:val="TableHeading"/>
            </w:pPr>
            <w:r w:rsidRPr="00097A86">
              <w:t>Gas Composition</w:t>
            </w:r>
          </w:p>
        </w:tc>
      </w:tr>
      <w:tr w:rsidR="003F0D4E" w:rsidRPr="00097A86" w14:paraId="0382A191" w14:textId="77777777" w:rsidTr="00C20CC2">
        <w:tc>
          <w:tcPr>
            <w:tcW w:w="540" w:type="pct"/>
            <w:tcBorders>
              <w:top w:val="single" w:sz="12" w:space="0" w:color="auto"/>
              <w:bottom w:val="single" w:sz="4" w:space="0" w:color="auto"/>
            </w:tcBorders>
            <w:shd w:val="clear" w:color="auto" w:fill="auto"/>
          </w:tcPr>
          <w:p w14:paraId="6F41C593" w14:textId="77777777" w:rsidR="003F0D4E" w:rsidRPr="00097A86" w:rsidRDefault="003F0D4E" w:rsidP="00D22D3F">
            <w:pPr>
              <w:pStyle w:val="Tabletext"/>
            </w:pPr>
            <w:r w:rsidRPr="00097A86">
              <w:t>1</w:t>
            </w:r>
          </w:p>
        </w:tc>
        <w:tc>
          <w:tcPr>
            <w:tcW w:w="1094" w:type="pct"/>
            <w:tcBorders>
              <w:top w:val="single" w:sz="12" w:space="0" w:color="auto"/>
              <w:bottom w:val="single" w:sz="4" w:space="0" w:color="auto"/>
            </w:tcBorders>
            <w:shd w:val="clear" w:color="auto" w:fill="auto"/>
          </w:tcPr>
          <w:p w14:paraId="49457B28" w14:textId="77777777" w:rsidR="003F0D4E" w:rsidRPr="00097A86" w:rsidRDefault="003F0D4E" w:rsidP="00D22D3F">
            <w:pPr>
              <w:pStyle w:val="Tabletext"/>
            </w:pPr>
            <w:r w:rsidRPr="00097A86">
              <w:t>Natural gas if distributed in a pipeline</w:t>
            </w:r>
          </w:p>
        </w:tc>
        <w:tc>
          <w:tcPr>
            <w:tcW w:w="1385" w:type="pct"/>
            <w:tcBorders>
              <w:top w:val="single" w:sz="12" w:space="0" w:color="auto"/>
              <w:bottom w:val="single" w:sz="4" w:space="0" w:color="auto"/>
            </w:tcBorders>
            <w:shd w:val="clear" w:color="auto" w:fill="auto"/>
          </w:tcPr>
          <w:p w14:paraId="099296F6" w14:textId="77777777" w:rsidR="003F0D4E" w:rsidRPr="00097A86" w:rsidRDefault="003F0D4E" w:rsidP="00D22D3F">
            <w:pPr>
              <w:pStyle w:val="Tabletext"/>
            </w:pPr>
            <w:r w:rsidRPr="00097A86">
              <w:t>ASTM D 1826</w:t>
            </w:r>
            <w:r w:rsidR="00D22D3F" w:rsidRPr="00097A86">
              <w:t>—</w:t>
            </w:r>
            <w:r w:rsidRPr="00097A86">
              <w:t>94 (2003)</w:t>
            </w:r>
          </w:p>
          <w:p w14:paraId="57B5FE48" w14:textId="77777777" w:rsidR="003F0D4E" w:rsidRPr="00097A86" w:rsidRDefault="003F0D4E" w:rsidP="00D22D3F">
            <w:pPr>
              <w:pStyle w:val="Tabletext"/>
            </w:pPr>
            <w:r w:rsidRPr="00097A86">
              <w:t>ASTM D 7164</w:t>
            </w:r>
            <w:r w:rsidR="00D22D3F" w:rsidRPr="00097A86">
              <w:t>—</w:t>
            </w:r>
            <w:r w:rsidRPr="00097A86">
              <w:t>05</w:t>
            </w:r>
          </w:p>
          <w:p w14:paraId="7BE902B8" w14:textId="77777777" w:rsidR="003F0D4E" w:rsidRPr="00097A86" w:rsidRDefault="003F0D4E" w:rsidP="00D22D3F">
            <w:pPr>
              <w:pStyle w:val="Tabletext"/>
            </w:pPr>
            <w:r w:rsidRPr="00097A86">
              <w:t>ASTM 3588</w:t>
            </w:r>
            <w:r w:rsidR="00D22D3F" w:rsidRPr="00097A86">
              <w:t>—</w:t>
            </w:r>
            <w:r w:rsidRPr="00097A86">
              <w:t>98 (2003)</w:t>
            </w:r>
          </w:p>
          <w:p w14:paraId="351A42A2" w14:textId="77777777" w:rsidR="003F0D4E" w:rsidRPr="00097A86" w:rsidRDefault="003F0D4E" w:rsidP="00D22D3F">
            <w:pPr>
              <w:pStyle w:val="Tabletext"/>
            </w:pPr>
            <w:r w:rsidRPr="00097A86">
              <w:t>ISO 6974</w:t>
            </w:r>
          </w:p>
          <w:p w14:paraId="4B7B0902" w14:textId="77777777" w:rsidR="003F0D4E" w:rsidRPr="00097A86" w:rsidRDefault="003F0D4E" w:rsidP="002929D1">
            <w:pPr>
              <w:pStyle w:val="Tabletext"/>
              <w:ind w:left="177"/>
            </w:pPr>
            <w:r w:rsidRPr="00097A86">
              <w:t>part 1 (2000)</w:t>
            </w:r>
          </w:p>
          <w:p w14:paraId="4A15687E" w14:textId="77777777" w:rsidR="003F0D4E" w:rsidRPr="00097A86" w:rsidRDefault="003F0D4E" w:rsidP="002929D1">
            <w:pPr>
              <w:pStyle w:val="Tabletext"/>
              <w:ind w:left="177"/>
            </w:pPr>
            <w:r w:rsidRPr="00097A86">
              <w:t xml:space="preserve">part 2 (2001) </w:t>
            </w:r>
          </w:p>
          <w:p w14:paraId="325690A7" w14:textId="77777777" w:rsidR="003F0D4E" w:rsidRPr="00097A86" w:rsidRDefault="003F0D4E" w:rsidP="002929D1">
            <w:pPr>
              <w:pStyle w:val="Tabletext"/>
              <w:ind w:left="177"/>
            </w:pPr>
            <w:r w:rsidRPr="00097A86">
              <w:t xml:space="preserve">part 3 (2000) </w:t>
            </w:r>
          </w:p>
          <w:p w14:paraId="3DF81934" w14:textId="77777777" w:rsidR="003F0D4E" w:rsidRPr="00097A86" w:rsidRDefault="003F0D4E" w:rsidP="002929D1">
            <w:pPr>
              <w:pStyle w:val="Tabletext"/>
              <w:ind w:left="177"/>
            </w:pPr>
            <w:r w:rsidRPr="00097A86">
              <w:t xml:space="preserve">part 4 (2000) </w:t>
            </w:r>
          </w:p>
          <w:p w14:paraId="71EBC51E" w14:textId="77777777" w:rsidR="003F0D4E" w:rsidRPr="00097A86" w:rsidRDefault="003F0D4E" w:rsidP="002929D1">
            <w:pPr>
              <w:pStyle w:val="Tabletext"/>
              <w:ind w:left="177"/>
            </w:pPr>
            <w:r w:rsidRPr="00097A86">
              <w:t>part 5 (2000)</w:t>
            </w:r>
          </w:p>
          <w:p w14:paraId="7CF5F8F2" w14:textId="77777777" w:rsidR="003F0D4E" w:rsidRPr="00097A86" w:rsidRDefault="003F0D4E" w:rsidP="002929D1">
            <w:pPr>
              <w:pStyle w:val="Tabletext"/>
              <w:ind w:left="177"/>
            </w:pPr>
            <w:r w:rsidRPr="00097A86">
              <w:t>part 6 (2002)</w:t>
            </w:r>
          </w:p>
          <w:p w14:paraId="035C4F3C" w14:textId="77777777" w:rsidR="003F0D4E" w:rsidRPr="00097A86" w:rsidRDefault="003F0D4E" w:rsidP="00D22D3F">
            <w:pPr>
              <w:pStyle w:val="Tabletext"/>
            </w:pPr>
            <w:r w:rsidRPr="00097A86">
              <w:t>ISO 6976:1995</w:t>
            </w:r>
          </w:p>
          <w:p w14:paraId="075852E5" w14:textId="77777777" w:rsidR="003F0D4E" w:rsidRPr="00097A86" w:rsidRDefault="003F0D4E" w:rsidP="00D22D3F">
            <w:pPr>
              <w:pStyle w:val="Tabletext"/>
            </w:pPr>
            <w:r w:rsidRPr="00097A86">
              <w:t>GPA 2172</w:t>
            </w:r>
            <w:r w:rsidR="00D22D3F" w:rsidRPr="00097A86">
              <w:t>—</w:t>
            </w:r>
            <w:r w:rsidRPr="00097A86">
              <w:t>96</w:t>
            </w:r>
          </w:p>
        </w:tc>
        <w:tc>
          <w:tcPr>
            <w:tcW w:w="1981" w:type="pct"/>
            <w:tcBorders>
              <w:top w:val="single" w:sz="12" w:space="0" w:color="auto"/>
              <w:bottom w:val="single" w:sz="4" w:space="0" w:color="auto"/>
            </w:tcBorders>
            <w:shd w:val="clear" w:color="auto" w:fill="auto"/>
          </w:tcPr>
          <w:p w14:paraId="6270C11A" w14:textId="77777777" w:rsidR="003F0D4E" w:rsidRPr="00097A86" w:rsidRDefault="003F0D4E" w:rsidP="00D22D3F">
            <w:pPr>
              <w:pStyle w:val="Tabletext"/>
            </w:pPr>
            <w:r w:rsidRPr="00097A86">
              <w:t>ASTM D 1945</w:t>
            </w:r>
            <w:r w:rsidR="00D22D3F" w:rsidRPr="00097A86">
              <w:t>—</w:t>
            </w:r>
            <w:r w:rsidRPr="00097A86">
              <w:t>03</w:t>
            </w:r>
          </w:p>
          <w:p w14:paraId="1AACFF34" w14:textId="77777777" w:rsidR="003F0D4E" w:rsidRPr="00097A86" w:rsidRDefault="003F0D4E" w:rsidP="00D22D3F">
            <w:pPr>
              <w:pStyle w:val="Tabletext"/>
            </w:pPr>
            <w:r w:rsidRPr="00097A86">
              <w:t>ASTM D 1946</w:t>
            </w:r>
            <w:r w:rsidR="00D22D3F" w:rsidRPr="00097A86">
              <w:t>—</w:t>
            </w:r>
            <w:r w:rsidRPr="00097A86">
              <w:t>90 (2006)</w:t>
            </w:r>
          </w:p>
          <w:p w14:paraId="79C731EC" w14:textId="77777777" w:rsidR="003F0D4E" w:rsidRPr="00097A86" w:rsidRDefault="003F0D4E" w:rsidP="00D22D3F">
            <w:pPr>
              <w:pStyle w:val="Tabletext"/>
            </w:pPr>
            <w:r w:rsidRPr="00097A86">
              <w:t>ISO 6974</w:t>
            </w:r>
          </w:p>
          <w:p w14:paraId="69D3283D" w14:textId="77777777" w:rsidR="003F0D4E" w:rsidRPr="00097A86" w:rsidRDefault="003F0D4E" w:rsidP="002929D1">
            <w:pPr>
              <w:pStyle w:val="Tabletext"/>
              <w:ind w:left="177"/>
            </w:pPr>
            <w:r w:rsidRPr="00097A86">
              <w:t>part 1 (2000)</w:t>
            </w:r>
          </w:p>
          <w:p w14:paraId="64BB8F97" w14:textId="77777777" w:rsidR="003F0D4E" w:rsidRPr="00097A86" w:rsidRDefault="003F0D4E" w:rsidP="002929D1">
            <w:pPr>
              <w:pStyle w:val="Tabletext"/>
              <w:ind w:left="177"/>
            </w:pPr>
            <w:r w:rsidRPr="00097A86">
              <w:t xml:space="preserve">part 2 (2001) </w:t>
            </w:r>
          </w:p>
          <w:p w14:paraId="0A806F1F" w14:textId="77777777" w:rsidR="003F0D4E" w:rsidRPr="00097A86" w:rsidRDefault="003F0D4E" w:rsidP="002929D1">
            <w:pPr>
              <w:pStyle w:val="Tabletext"/>
              <w:ind w:left="177"/>
            </w:pPr>
            <w:r w:rsidRPr="00097A86">
              <w:t xml:space="preserve">part 3 (2000) </w:t>
            </w:r>
          </w:p>
          <w:p w14:paraId="7C33B4E0" w14:textId="77777777" w:rsidR="003F0D4E" w:rsidRPr="00097A86" w:rsidRDefault="003F0D4E" w:rsidP="002929D1">
            <w:pPr>
              <w:pStyle w:val="Tabletext"/>
              <w:ind w:left="177"/>
            </w:pPr>
            <w:r w:rsidRPr="00097A86">
              <w:t>part 4 (2000)</w:t>
            </w:r>
          </w:p>
          <w:p w14:paraId="66AEF38D" w14:textId="77777777" w:rsidR="003F0D4E" w:rsidRPr="00097A86" w:rsidRDefault="003F0D4E" w:rsidP="002929D1">
            <w:pPr>
              <w:pStyle w:val="Tabletext"/>
              <w:ind w:left="177"/>
            </w:pPr>
            <w:r w:rsidRPr="00097A86">
              <w:t xml:space="preserve">part 5 (2000) </w:t>
            </w:r>
          </w:p>
          <w:p w14:paraId="60C263ED" w14:textId="77777777" w:rsidR="003F0D4E" w:rsidRPr="00097A86" w:rsidRDefault="003F0D4E" w:rsidP="002929D1">
            <w:pPr>
              <w:pStyle w:val="Tabletext"/>
              <w:ind w:left="177"/>
            </w:pPr>
            <w:r w:rsidRPr="00097A86">
              <w:t>part 6 (2002)</w:t>
            </w:r>
          </w:p>
          <w:p w14:paraId="1C807708" w14:textId="77777777" w:rsidR="003F0D4E" w:rsidRPr="00097A86" w:rsidRDefault="003F0D4E" w:rsidP="00D22D3F">
            <w:pPr>
              <w:pStyle w:val="Tabletext"/>
            </w:pPr>
            <w:r w:rsidRPr="00097A86">
              <w:t>GPA 2145 – 03</w:t>
            </w:r>
          </w:p>
          <w:p w14:paraId="07633205" w14:textId="77777777" w:rsidR="003F0D4E" w:rsidRPr="00097A86" w:rsidRDefault="003F0D4E" w:rsidP="00D22D3F">
            <w:pPr>
              <w:pStyle w:val="Tabletext"/>
            </w:pPr>
            <w:r w:rsidRPr="00097A86">
              <w:t>GPA 2261 – 00</w:t>
            </w:r>
          </w:p>
        </w:tc>
      </w:tr>
      <w:tr w:rsidR="003F0D4E" w:rsidRPr="00097A86" w14:paraId="67234C7F" w14:textId="77777777" w:rsidTr="00C20CC2">
        <w:tc>
          <w:tcPr>
            <w:tcW w:w="540" w:type="pct"/>
            <w:tcBorders>
              <w:bottom w:val="single" w:sz="4" w:space="0" w:color="auto"/>
            </w:tcBorders>
            <w:shd w:val="clear" w:color="auto" w:fill="auto"/>
          </w:tcPr>
          <w:p w14:paraId="457CF08C" w14:textId="77777777" w:rsidR="003F0D4E" w:rsidRPr="00097A86" w:rsidRDefault="003F0D4E" w:rsidP="00D22D3F">
            <w:pPr>
              <w:pStyle w:val="Tabletext"/>
            </w:pPr>
            <w:r w:rsidRPr="00097A86">
              <w:t>2</w:t>
            </w:r>
          </w:p>
        </w:tc>
        <w:tc>
          <w:tcPr>
            <w:tcW w:w="1094" w:type="pct"/>
            <w:tcBorders>
              <w:bottom w:val="single" w:sz="4" w:space="0" w:color="auto"/>
            </w:tcBorders>
            <w:shd w:val="clear" w:color="auto" w:fill="auto"/>
          </w:tcPr>
          <w:p w14:paraId="6524FF87" w14:textId="77777777" w:rsidR="003F0D4E" w:rsidRPr="00097A86" w:rsidRDefault="003F0D4E" w:rsidP="00D22D3F">
            <w:pPr>
              <w:pStyle w:val="Tabletext"/>
            </w:pPr>
            <w:r w:rsidRPr="00097A86">
              <w:t>Coal seam methane that is captured for combustion</w:t>
            </w:r>
          </w:p>
        </w:tc>
        <w:tc>
          <w:tcPr>
            <w:tcW w:w="1385" w:type="pct"/>
            <w:tcBorders>
              <w:bottom w:val="single" w:sz="4" w:space="0" w:color="auto"/>
            </w:tcBorders>
            <w:shd w:val="clear" w:color="auto" w:fill="auto"/>
          </w:tcPr>
          <w:p w14:paraId="576BC19F" w14:textId="77777777" w:rsidR="003F0D4E" w:rsidRPr="00097A86" w:rsidRDefault="003F0D4E" w:rsidP="00D22D3F">
            <w:pPr>
              <w:pStyle w:val="Tabletext"/>
            </w:pPr>
            <w:r w:rsidRPr="00097A86">
              <w:t>ASTM D 1826</w:t>
            </w:r>
            <w:r w:rsidR="00D22D3F" w:rsidRPr="00097A86">
              <w:t>—</w:t>
            </w:r>
            <w:r w:rsidRPr="00097A86">
              <w:t>94 (2003)</w:t>
            </w:r>
          </w:p>
          <w:p w14:paraId="5BEFD9F6" w14:textId="77777777" w:rsidR="003F0D4E" w:rsidRPr="00097A86" w:rsidRDefault="003F0D4E" w:rsidP="00D22D3F">
            <w:pPr>
              <w:pStyle w:val="Tabletext"/>
            </w:pPr>
            <w:r w:rsidRPr="00097A86">
              <w:t>ASTM D 7164</w:t>
            </w:r>
            <w:r w:rsidR="00D22D3F" w:rsidRPr="00097A86">
              <w:t>—</w:t>
            </w:r>
            <w:r w:rsidRPr="00097A86">
              <w:t xml:space="preserve">05 </w:t>
            </w:r>
          </w:p>
          <w:p w14:paraId="1B898D1C" w14:textId="77777777" w:rsidR="003F0D4E" w:rsidRPr="00097A86" w:rsidRDefault="003F0D4E" w:rsidP="00D22D3F">
            <w:pPr>
              <w:pStyle w:val="Tabletext"/>
            </w:pPr>
            <w:r w:rsidRPr="00097A86">
              <w:t>ISO 6974</w:t>
            </w:r>
          </w:p>
          <w:p w14:paraId="06F71D61" w14:textId="77777777" w:rsidR="003F0D4E" w:rsidRPr="00097A86" w:rsidRDefault="003F0D4E" w:rsidP="002929D1">
            <w:pPr>
              <w:pStyle w:val="Tabletext"/>
              <w:ind w:left="177"/>
            </w:pPr>
            <w:r w:rsidRPr="00097A86">
              <w:t>part 1 (2000)</w:t>
            </w:r>
          </w:p>
          <w:p w14:paraId="512EBA2D" w14:textId="77777777" w:rsidR="003F0D4E" w:rsidRPr="00097A86" w:rsidRDefault="003F0D4E" w:rsidP="002929D1">
            <w:pPr>
              <w:pStyle w:val="Tabletext"/>
              <w:ind w:left="177"/>
            </w:pPr>
            <w:r w:rsidRPr="00097A86">
              <w:t xml:space="preserve">part 2 (2001) </w:t>
            </w:r>
          </w:p>
          <w:p w14:paraId="08A92312" w14:textId="77777777" w:rsidR="003F0D4E" w:rsidRPr="00097A86" w:rsidRDefault="003F0D4E" w:rsidP="002929D1">
            <w:pPr>
              <w:pStyle w:val="Tabletext"/>
              <w:ind w:left="177"/>
            </w:pPr>
            <w:r w:rsidRPr="00097A86">
              <w:t xml:space="preserve">part 3 (2000) </w:t>
            </w:r>
          </w:p>
          <w:p w14:paraId="5BB33165" w14:textId="77777777" w:rsidR="003F0D4E" w:rsidRPr="00097A86" w:rsidRDefault="003F0D4E" w:rsidP="002929D1">
            <w:pPr>
              <w:pStyle w:val="Tabletext"/>
              <w:ind w:left="177"/>
            </w:pPr>
            <w:r w:rsidRPr="00097A86">
              <w:t xml:space="preserve">part 4 (2000) </w:t>
            </w:r>
          </w:p>
          <w:p w14:paraId="047AD0F4" w14:textId="77777777" w:rsidR="003F0D4E" w:rsidRPr="00097A86" w:rsidRDefault="003F0D4E" w:rsidP="002929D1">
            <w:pPr>
              <w:pStyle w:val="Tabletext"/>
              <w:ind w:left="177"/>
            </w:pPr>
            <w:r w:rsidRPr="00097A86">
              <w:t>part 5 (2000)</w:t>
            </w:r>
          </w:p>
          <w:p w14:paraId="76AECB46" w14:textId="77777777" w:rsidR="003F0D4E" w:rsidRPr="00097A86" w:rsidRDefault="003F0D4E" w:rsidP="002929D1">
            <w:pPr>
              <w:pStyle w:val="Tabletext"/>
              <w:ind w:left="177"/>
            </w:pPr>
            <w:r w:rsidRPr="00097A86">
              <w:t>part 6 (2002)</w:t>
            </w:r>
          </w:p>
          <w:p w14:paraId="2AB923D5" w14:textId="77777777" w:rsidR="003F0D4E" w:rsidRPr="00097A86" w:rsidRDefault="003F0D4E" w:rsidP="00D22D3F">
            <w:pPr>
              <w:pStyle w:val="Tabletext"/>
            </w:pPr>
            <w:r w:rsidRPr="00097A86">
              <w:t>ISO 6976:1995</w:t>
            </w:r>
          </w:p>
          <w:p w14:paraId="1BA06F55" w14:textId="77777777" w:rsidR="003F0D4E" w:rsidRPr="00097A86" w:rsidRDefault="003F0D4E" w:rsidP="00D22D3F">
            <w:pPr>
              <w:pStyle w:val="Tabletext"/>
            </w:pPr>
            <w:r w:rsidRPr="00097A86">
              <w:t>GPA 2172</w:t>
            </w:r>
            <w:r w:rsidR="00D22D3F" w:rsidRPr="00097A86">
              <w:t>—</w:t>
            </w:r>
            <w:r w:rsidRPr="00097A86">
              <w:t>96</w:t>
            </w:r>
          </w:p>
        </w:tc>
        <w:tc>
          <w:tcPr>
            <w:tcW w:w="1981" w:type="pct"/>
            <w:tcBorders>
              <w:bottom w:val="single" w:sz="4" w:space="0" w:color="auto"/>
            </w:tcBorders>
            <w:shd w:val="clear" w:color="auto" w:fill="auto"/>
          </w:tcPr>
          <w:p w14:paraId="74DBD842" w14:textId="77777777" w:rsidR="003F0D4E" w:rsidRPr="00097A86" w:rsidRDefault="003F0D4E" w:rsidP="00D22D3F">
            <w:pPr>
              <w:pStyle w:val="Tabletext"/>
            </w:pPr>
            <w:r w:rsidRPr="00097A86">
              <w:t>ASTM D 1945</w:t>
            </w:r>
            <w:r w:rsidR="00D22D3F" w:rsidRPr="00097A86">
              <w:t>—</w:t>
            </w:r>
            <w:r w:rsidRPr="00097A86">
              <w:t>03</w:t>
            </w:r>
          </w:p>
          <w:p w14:paraId="310447A6" w14:textId="77777777" w:rsidR="003F0D4E" w:rsidRPr="00097A86" w:rsidRDefault="003F0D4E" w:rsidP="00D22D3F">
            <w:pPr>
              <w:pStyle w:val="Tabletext"/>
            </w:pPr>
            <w:r w:rsidRPr="00097A86">
              <w:t>ASTM D 1946</w:t>
            </w:r>
            <w:r w:rsidR="00D22D3F" w:rsidRPr="00097A86">
              <w:t>—</w:t>
            </w:r>
            <w:r w:rsidRPr="00097A86">
              <w:t>90 (2006)</w:t>
            </w:r>
          </w:p>
          <w:p w14:paraId="0C3D85E5" w14:textId="77777777" w:rsidR="003F0D4E" w:rsidRPr="00097A86" w:rsidRDefault="003F0D4E" w:rsidP="00D22D3F">
            <w:pPr>
              <w:pStyle w:val="Tabletext"/>
            </w:pPr>
            <w:r w:rsidRPr="00097A86">
              <w:t>ISO 6974</w:t>
            </w:r>
          </w:p>
          <w:p w14:paraId="2F466CD2" w14:textId="77777777" w:rsidR="003F0D4E" w:rsidRPr="00097A86" w:rsidRDefault="003F0D4E" w:rsidP="002929D1">
            <w:pPr>
              <w:pStyle w:val="Tabletext"/>
              <w:ind w:left="177"/>
            </w:pPr>
            <w:r w:rsidRPr="00097A86">
              <w:t>part 1 (2000)</w:t>
            </w:r>
          </w:p>
          <w:p w14:paraId="3BC98AD5" w14:textId="77777777" w:rsidR="003F0D4E" w:rsidRPr="00097A86" w:rsidRDefault="003F0D4E" w:rsidP="002929D1">
            <w:pPr>
              <w:pStyle w:val="Tabletext"/>
              <w:ind w:left="177"/>
            </w:pPr>
            <w:r w:rsidRPr="00097A86">
              <w:t xml:space="preserve">part 2 (2001) </w:t>
            </w:r>
          </w:p>
          <w:p w14:paraId="3DDFDF5A" w14:textId="77777777" w:rsidR="003F0D4E" w:rsidRPr="00097A86" w:rsidRDefault="003F0D4E" w:rsidP="002929D1">
            <w:pPr>
              <w:pStyle w:val="Tabletext"/>
              <w:ind w:left="177"/>
            </w:pPr>
            <w:r w:rsidRPr="00097A86">
              <w:t xml:space="preserve">part 3 (2000) </w:t>
            </w:r>
          </w:p>
          <w:p w14:paraId="50884E98" w14:textId="77777777" w:rsidR="003F0D4E" w:rsidRPr="00097A86" w:rsidRDefault="003F0D4E" w:rsidP="002929D1">
            <w:pPr>
              <w:pStyle w:val="Tabletext"/>
              <w:ind w:left="177"/>
            </w:pPr>
            <w:r w:rsidRPr="00097A86">
              <w:t xml:space="preserve">part 4 (2000) </w:t>
            </w:r>
          </w:p>
          <w:p w14:paraId="183C0153" w14:textId="77777777" w:rsidR="003F0D4E" w:rsidRPr="00097A86" w:rsidRDefault="003F0D4E" w:rsidP="002929D1">
            <w:pPr>
              <w:pStyle w:val="Tabletext"/>
              <w:ind w:left="177"/>
            </w:pPr>
            <w:r w:rsidRPr="00097A86">
              <w:t>part 5 (2000)</w:t>
            </w:r>
          </w:p>
          <w:p w14:paraId="510B9A67" w14:textId="77777777" w:rsidR="003F0D4E" w:rsidRPr="00097A86" w:rsidRDefault="003F0D4E" w:rsidP="002929D1">
            <w:pPr>
              <w:pStyle w:val="Tabletext"/>
              <w:ind w:left="177"/>
            </w:pPr>
            <w:r w:rsidRPr="00097A86">
              <w:t>part 6 (2002)</w:t>
            </w:r>
          </w:p>
          <w:p w14:paraId="452F45AC" w14:textId="77777777" w:rsidR="003F0D4E" w:rsidRPr="00097A86" w:rsidRDefault="003F0D4E" w:rsidP="00D22D3F">
            <w:pPr>
              <w:pStyle w:val="Tabletext"/>
            </w:pPr>
            <w:r w:rsidRPr="00097A86">
              <w:t>GPA 2145 – 03</w:t>
            </w:r>
          </w:p>
          <w:p w14:paraId="4190B2AC" w14:textId="77777777" w:rsidR="003F0D4E" w:rsidRPr="00097A86" w:rsidRDefault="003F0D4E" w:rsidP="00D22D3F">
            <w:pPr>
              <w:pStyle w:val="Tabletext"/>
            </w:pPr>
            <w:r w:rsidRPr="00097A86">
              <w:t>GPA 2261 – 00</w:t>
            </w:r>
          </w:p>
        </w:tc>
      </w:tr>
      <w:tr w:rsidR="003F0D4E" w:rsidRPr="00097A86" w14:paraId="62CCCF6B" w14:textId="77777777" w:rsidTr="00C20CC2">
        <w:tc>
          <w:tcPr>
            <w:tcW w:w="540" w:type="pct"/>
            <w:tcBorders>
              <w:top w:val="single" w:sz="4" w:space="0" w:color="auto"/>
              <w:bottom w:val="single" w:sz="4" w:space="0" w:color="auto"/>
            </w:tcBorders>
            <w:shd w:val="clear" w:color="auto" w:fill="auto"/>
          </w:tcPr>
          <w:p w14:paraId="503A8013" w14:textId="77777777" w:rsidR="003F0D4E" w:rsidRPr="00097A86" w:rsidRDefault="003F0D4E" w:rsidP="00D22D3F">
            <w:pPr>
              <w:pStyle w:val="Tabletext"/>
            </w:pPr>
            <w:bookmarkStart w:id="126" w:name="CU_4216922"/>
            <w:bookmarkEnd w:id="126"/>
            <w:r w:rsidRPr="00097A86">
              <w:t>3</w:t>
            </w:r>
          </w:p>
        </w:tc>
        <w:tc>
          <w:tcPr>
            <w:tcW w:w="1094" w:type="pct"/>
            <w:tcBorders>
              <w:top w:val="single" w:sz="4" w:space="0" w:color="auto"/>
              <w:bottom w:val="single" w:sz="4" w:space="0" w:color="auto"/>
            </w:tcBorders>
            <w:shd w:val="clear" w:color="auto" w:fill="auto"/>
          </w:tcPr>
          <w:p w14:paraId="6F502DDE" w14:textId="77777777" w:rsidR="003F0D4E" w:rsidRPr="00097A86" w:rsidRDefault="003F0D4E" w:rsidP="00D22D3F">
            <w:pPr>
              <w:pStyle w:val="Tabletext"/>
            </w:pPr>
            <w:r w:rsidRPr="00097A86">
              <w:t>Coal mine waste gas that is captured for combustion</w:t>
            </w:r>
          </w:p>
        </w:tc>
        <w:tc>
          <w:tcPr>
            <w:tcW w:w="1385" w:type="pct"/>
            <w:tcBorders>
              <w:top w:val="single" w:sz="4" w:space="0" w:color="auto"/>
              <w:bottom w:val="single" w:sz="4" w:space="0" w:color="auto"/>
            </w:tcBorders>
            <w:shd w:val="clear" w:color="auto" w:fill="auto"/>
          </w:tcPr>
          <w:p w14:paraId="71FC9D19" w14:textId="77777777" w:rsidR="003F0D4E" w:rsidRPr="00097A86" w:rsidRDefault="003F0D4E" w:rsidP="00D22D3F">
            <w:pPr>
              <w:pStyle w:val="Tabletext"/>
            </w:pPr>
            <w:r w:rsidRPr="00097A86">
              <w:t>ASTM D 1826 – 94 (2003)</w:t>
            </w:r>
          </w:p>
          <w:p w14:paraId="0323C73D" w14:textId="77777777" w:rsidR="003F0D4E" w:rsidRPr="00097A86" w:rsidRDefault="003F0D4E" w:rsidP="00D22D3F">
            <w:pPr>
              <w:pStyle w:val="Tabletext"/>
            </w:pPr>
            <w:r w:rsidRPr="00097A86">
              <w:t>ASTM D 7164 – 05</w:t>
            </w:r>
          </w:p>
          <w:p w14:paraId="0E9F2C15" w14:textId="77777777" w:rsidR="003F0D4E" w:rsidRPr="00097A86" w:rsidRDefault="003F0D4E" w:rsidP="00D22D3F">
            <w:pPr>
              <w:pStyle w:val="Tabletext"/>
            </w:pPr>
            <w:r w:rsidRPr="00097A86">
              <w:t>ASTM 3588</w:t>
            </w:r>
            <w:r w:rsidR="00D22D3F" w:rsidRPr="00097A86">
              <w:t>—</w:t>
            </w:r>
            <w:r w:rsidRPr="00097A86">
              <w:t>98 (2003)</w:t>
            </w:r>
          </w:p>
          <w:p w14:paraId="0B6AC899" w14:textId="77777777" w:rsidR="003F0D4E" w:rsidRPr="00097A86" w:rsidRDefault="003F0D4E" w:rsidP="00D22D3F">
            <w:pPr>
              <w:pStyle w:val="Tabletext"/>
            </w:pPr>
            <w:r w:rsidRPr="00097A86">
              <w:t>ISO 6974</w:t>
            </w:r>
          </w:p>
          <w:p w14:paraId="1A9E4B15" w14:textId="77777777" w:rsidR="003F0D4E" w:rsidRPr="00097A86" w:rsidRDefault="003F0D4E" w:rsidP="002929D1">
            <w:pPr>
              <w:pStyle w:val="Tabletext"/>
              <w:ind w:left="177"/>
            </w:pPr>
            <w:r w:rsidRPr="00097A86">
              <w:t>part 1 (2000)</w:t>
            </w:r>
          </w:p>
          <w:p w14:paraId="45B332A1" w14:textId="77777777" w:rsidR="003F0D4E" w:rsidRPr="00097A86" w:rsidRDefault="003F0D4E" w:rsidP="002929D1">
            <w:pPr>
              <w:pStyle w:val="Tabletext"/>
              <w:ind w:left="177"/>
            </w:pPr>
            <w:r w:rsidRPr="00097A86">
              <w:t xml:space="preserve">part 2 (2001) </w:t>
            </w:r>
          </w:p>
          <w:p w14:paraId="06AA27B4" w14:textId="77777777" w:rsidR="003F0D4E" w:rsidRPr="00097A86" w:rsidRDefault="003F0D4E" w:rsidP="002929D1">
            <w:pPr>
              <w:pStyle w:val="Tabletext"/>
              <w:ind w:left="177"/>
            </w:pPr>
            <w:r w:rsidRPr="00097A86">
              <w:t xml:space="preserve">part 3 (2000) </w:t>
            </w:r>
          </w:p>
          <w:p w14:paraId="48C1D65E" w14:textId="77777777" w:rsidR="003F0D4E" w:rsidRPr="00097A86" w:rsidRDefault="003F0D4E" w:rsidP="002929D1">
            <w:pPr>
              <w:pStyle w:val="Tabletext"/>
              <w:ind w:left="177"/>
            </w:pPr>
            <w:r w:rsidRPr="00097A86">
              <w:lastRenderedPageBreak/>
              <w:t xml:space="preserve">part 4 (2000) </w:t>
            </w:r>
          </w:p>
          <w:p w14:paraId="4F49B3E8" w14:textId="77777777" w:rsidR="003F0D4E" w:rsidRPr="00097A86" w:rsidRDefault="003F0D4E" w:rsidP="002929D1">
            <w:pPr>
              <w:pStyle w:val="Tabletext"/>
              <w:ind w:left="177"/>
            </w:pPr>
            <w:r w:rsidRPr="00097A86">
              <w:t>part 5 (2000)</w:t>
            </w:r>
          </w:p>
          <w:p w14:paraId="5987AA5D" w14:textId="77777777" w:rsidR="003F0D4E" w:rsidRPr="00097A86" w:rsidRDefault="003F0D4E" w:rsidP="002929D1">
            <w:pPr>
              <w:pStyle w:val="Tabletext"/>
              <w:ind w:left="177"/>
            </w:pPr>
            <w:r w:rsidRPr="00097A86">
              <w:t>part 6 (2002)</w:t>
            </w:r>
          </w:p>
          <w:p w14:paraId="449F9EE1" w14:textId="77777777" w:rsidR="003F0D4E" w:rsidRPr="00097A86" w:rsidRDefault="003F0D4E" w:rsidP="00D22D3F">
            <w:pPr>
              <w:pStyle w:val="Tabletext"/>
            </w:pPr>
            <w:r w:rsidRPr="00097A86">
              <w:t>ISO 6976:1995</w:t>
            </w:r>
          </w:p>
          <w:p w14:paraId="3A9F0990" w14:textId="77777777" w:rsidR="003F0D4E" w:rsidRPr="00097A86" w:rsidRDefault="003F0D4E" w:rsidP="00D22D3F">
            <w:pPr>
              <w:pStyle w:val="Tabletext"/>
            </w:pPr>
            <w:r w:rsidRPr="00097A86">
              <w:t>GPA 2172</w:t>
            </w:r>
            <w:r w:rsidR="00D22D3F" w:rsidRPr="00097A86">
              <w:t>—</w:t>
            </w:r>
            <w:r w:rsidRPr="00097A86">
              <w:t>96</w:t>
            </w:r>
          </w:p>
        </w:tc>
        <w:tc>
          <w:tcPr>
            <w:tcW w:w="1981" w:type="pct"/>
            <w:tcBorders>
              <w:top w:val="single" w:sz="4" w:space="0" w:color="auto"/>
              <w:bottom w:val="single" w:sz="4" w:space="0" w:color="auto"/>
            </w:tcBorders>
            <w:shd w:val="clear" w:color="auto" w:fill="auto"/>
          </w:tcPr>
          <w:p w14:paraId="023E9B67" w14:textId="77777777" w:rsidR="003F0D4E" w:rsidRPr="00097A86" w:rsidRDefault="003F0D4E" w:rsidP="00D22D3F">
            <w:pPr>
              <w:pStyle w:val="Tabletext"/>
            </w:pPr>
            <w:r w:rsidRPr="00097A86">
              <w:lastRenderedPageBreak/>
              <w:t>ASTM D 1945 – 03</w:t>
            </w:r>
          </w:p>
          <w:p w14:paraId="36DC79D6" w14:textId="77777777" w:rsidR="003F0D4E" w:rsidRPr="00097A86" w:rsidRDefault="003F0D4E" w:rsidP="00D22D3F">
            <w:pPr>
              <w:pStyle w:val="Tabletext"/>
            </w:pPr>
            <w:r w:rsidRPr="00097A86">
              <w:t>ASTM D 1946 – 90 (2006)</w:t>
            </w:r>
          </w:p>
          <w:p w14:paraId="433AE228" w14:textId="77777777" w:rsidR="003F0D4E" w:rsidRPr="00097A86" w:rsidRDefault="003F0D4E" w:rsidP="00D22D3F">
            <w:pPr>
              <w:pStyle w:val="Tabletext"/>
            </w:pPr>
            <w:r w:rsidRPr="00097A86">
              <w:t>ISO 6974</w:t>
            </w:r>
          </w:p>
          <w:p w14:paraId="4502FA17" w14:textId="77777777" w:rsidR="003F0D4E" w:rsidRPr="00097A86" w:rsidRDefault="003F0D4E" w:rsidP="002929D1">
            <w:pPr>
              <w:pStyle w:val="Tabletext"/>
              <w:ind w:left="177"/>
            </w:pPr>
            <w:r w:rsidRPr="00097A86">
              <w:t>part 1 (2000)</w:t>
            </w:r>
          </w:p>
          <w:p w14:paraId="1E410ADE" w14:textId="77777777" w:rsidR="003F0D4E" w:rsidRPr="00097A86" w:rsidRDefault="003F0D4E" w:rsidP="002929D1">
            <w:pPr>
              <w:pStyle w:val="Tabletext"/>
              <w:ind w:left="177"/>
            </w:pPr>
            <w:r w:rsidRPr="00097A86">
              <w:t xml:space="preserve">part 2 (2001) </w:t>
            </w:r>
          </w:p>
          <w:p w14:paraId="404A9734" w14:textId="77777777" w:rsidR="003F0D4E" w:rsidRPr="00097A86" w:rsidRDefault="003F0D4E" w:rsidP="002929D1">
            <w:pPr>
              <w:pStyle w:val="Tabletext"/>
              <w:ind w:left="177"/>
            </w:pPr>
            <w:r w:rsidRPr="00097A86">
              <w:t xml:space="preserve">part 3 (2000) </w:t>
            </w:r>
          </w:p>
          <w:p w14:paraId="08977458" w14:textId="77777777" w:rsidR="003F0D4E" w:rsidRPr="00097A86" w:rsidRDefault="003F0D4E" w:rsidP="002929D1">
            <w:pPr>
              <w:pStyle w:val="Tabletext"/>
              <w:ind w:left="177"/>
            </w:pPr>
            <w:r w:rsidRPr="00097A86">
              <w:t xml:space="preserve">part 4 (2000) </w:t>
            </w:r>
          </w:p>
          <w:p w14:paraId="35570E44" w14:textId="77777777" w:rsidR="003F0D4E" w:rsidRPr="00097A86" w:rsidRDefault="003F0D4E" w:rsidP="002929D1">
            <w:pPr>
              <w:pStyle w:val="Tabletext"/>
              <w:ind w:left="177"/>
            </w:pPr>
            <w:r w:rsidRPr="00097A86">
              <w:t>part 5 (2000)</w:t>
            </w:r>
          </w:p>
          <w:p w14:paraId="67CB0651" w14:textId="77777777" w:rsidR="003F0D4E" w:rsidRPr="00097A86" w:rsidRDefault="003F0D4E" w:rsidP="002929D1">
            <w:pPr>
              <w:pStyle w:val="Tabletext"/>
              <w:ind w:left="177"/>
            </w:pPr>
            <w:r w:rsidRPr="00097A86">
              <w:lastRenderedPageBreak/>
              <w:t>part 6 (2002)</w:t>
            </w:r>
          </w:p>
          <w:p w14:paraId="72BE336E" w14:textId="77777777" w:rsidR="003F0D4E" w:rsidRPr="00097A86" w:rsidRDefault="003F0D4E" w:rsidP="00D22D3F">
            <w:pPr>
              <w:pStyle w:val="Tabletext"/>
            </w:pPr>
            <w:r w:rsidRPr="00097A86">
              <w:t>GPA 2145 – 03</w:t>
            </w:r>
          </w:p>
          <w:p w14:paraId="05C7F348" w14:textId="77777777" w:rsidR="003F0D4E" w:rsidRPr="00097A86" w:rsidRDefault="003F0D4E" w:rsidP="00D22D3F">
            <w:pPr>
              <w:pStyle w:val="Tabletext"/>
            </w:pPr>
            <w:r w:rsidRPr="00097A86">
              <w:t>GPA 2261 – 00</w:t>
            </w:r>
          </w:p>
        </w:tc>
      </w:tr>
      <w:tr w:rsidR="003F0D4E" w:rsidRPr="00097A86" w14:paraId="36F69982" w14:textId="77777777" w:rsidTr="00C20CC2">
        <w:trPr>
          <w:cantSplit/>
        </w:trPr>
        <w:tc>
          <w:tcPr>
            <w:tcW w:w="540" w:type="pct"/>
            <w:tcBorders>
              <w:top w:val="single" w:sz="4" w:space="0" w:color="auto"/>
            </w:tcBorders>
            <w:shd w:val="clear" w:color="auto" w:fill="auto"/>
          </w:tcPr>
          <w:p w14:paraId="663E39E6" w14:textId="77777777" w:rsidR="003F0D4E" w:rsidRPr="00097A86" w:rsidRDefault="003F0D4E" w:rsidP="00D22D3F">
            <w:pPr>
              <w:pStyle w:val="Tabletext"/>
            </w:pPr>
            <w:r w:rsidRPr="00097A86">
              <w:lastRenderedPageBreak/>
              <w:t>4</w:t>
            </w:r>
          </w:p>
        </w:tc>
        <w:tc>
          <w:tcPr>
            <w:tcW w:w="1094" w:type="pct"/>
            <w:tcBorders>
              <w:top w:val="single" w:sz="4" w:space="0" w:color="auto"/>
            </w:tcBorders>
            <w:shd w:val="clear" w:color="auto" w:fill="auto"/>
          </w:tcPr>
          <w:p w14:paraId="7C401A52" w14:textId="77777777" w:rsidR="003F0D4E" w:rsidRPr="00097A86" w:rsidRDefault="003F0D4E" w:rsidP="00D22D3F">
            <w:pPr>
              <w:pStyle w:val="Tabletext"/>
            </w:pPr>
            <w:r w:rsidRPr="00097A86">
              <w:t>Compressed natural gas</w:t>
            </w:r>
          </w:p>
        </w:tc>
        <w:tc>
          <w:tcPr>
            <w:tcW w:w="1385" w:type="pct"/>
            <w:tcBorders>
              <w:top w:val="single" w:sz="4" w:space="0" w:color="auto"/>
            </w:tcBorders>
            <w:shd w:val="clear" w:color="auto" w:fill="auto"/>
          </w:tcPr>
          <w:p w14:paraId="423EBFF6" w14:textId="77777777" w:rsidR="003F0D4E" w:rsidRPr="00097A86" w:rsidRDefault="003F0D4E" w:rsidP="00D22D3F">
            <w:pPr>
              <w:pStyle w:val="Tabletext"/>
            </w:pPr>
            <w:r w:rsidRPr="00097A86">
              <w:t>ASTM 3588</w:t>
            </w:r>
            <w:r w:rsidR="00D22D3F" w:rsidRPr="00097A86">
              <w:t>—</w:t>
            </w:r>
            <w:r w:rsidRPr="00097A86">
              <w:t>98 (2003)</w:t>
            </w:r>
          </w:p>
        </w:tc>
        <w:tc>
          <w:tcPr>
            <w:tcW w:w="1981" w:type="pct"/>
            <w:tcBorders>
              <w:top w:val="single" w:sz="4" w:space="0" w:color="auto"/>
            </w:tcBorders>
            <w:shd w:val="clear" w:color="auto" w:fill="auto"/>
          </w:tcPr>
          <w:p w14:paraId="7C572A16" w14:textId="77777777" w:rsidR="003F0D4E" w:rsidRPr="00097A86" w:rsidRDefault="003F0D4E" w:rsidP="00D22D3F">
            <w:pPr>
              <w:pStyle w:val="Tabletext"/>
            </w:pPr>
            <w:r w:rsidRPr="00097A86">
              <w:t>N/A</w:t>
            </w:r>
          </w:p>
        </w:tc>
      </w:tr>
      <w:tr w:rsidR="003F0D4E" w:rsidRPr="00097A86" w14:paraId="2F60CF1C" w14:textId="77777777" w:rsidTr="00C20CC2">
        <w:tc>
          <w:tcPr>
            <w:tcW w:w="540" w:type="pct"/>
            <w:shd w:val="clear" w:color="auto" w:fill="auto"/>
          </w:tcPr>
          <w:p w14:paraId="2D6BF276" w14:textId="77777777" w:rsidR="003F0D4E" w:rsidRPr="00097A86" w:rsidRDefault="003F0D4E" w:rsidP="00D22D3F">
            <w:pPr>
              <w:pStyle w:val="Tabletext"/>
            </w:pPr>
            <w:r w:rsidRPr="00097A86">
              <w:t>5</w:t>
            </w:r>
          </w:p>
        </w:tc>
        <w:tc>
          <w:tcPr>
            <w:tcW w:w="1094" w:type="pct"/>
            <w:shd w:val="clear" w:color="auto" w:fill="auto"/>
          </w:tcPr>
          <w:p w14:paraId="2141515E" w14:textId="77777777" w:rsidR="003F0D4E" w:rsidRPr="00097A86" w:rsidRDefault="003F0D4E" w:rsidP="00D22D3F">
            <w:pPr>
              <w:pStyle w:val="Tabletext"/>
            </w:pPr>
            <w:r w:rsidRPr="00097A86">
              <w:t>Unprocessed natural gas</w:t>
            </w:r>
          </w:p>
        </w:tc>
        <w:tc>
          <w:tcPr>
            <w:tcW w:w="1385" w:type="pct"/>
            <w:shd w:val="clear" w:color="auto" w:fill="auto"/>
          </w:tcPr>
          <w:p w14:paraId="61DB34F9" w14:textId="77777777" w:rsidR="003F0D4E" w:rsidRPr="00097A86" w:rsidRDefault="003F0D4E" w:rsidP="00D22D3F">
            <w:pPr>
              <w:pStyle w:val="Tabletext"/>
            </w:pPr>
            <w:r w:rsidRPr="00097A86">
              <w:t>ASTM D 1826</w:t>
            </w:r>
            <w:r w:rsidR="00D22D3F" w:rsidRPr="00097A86">
              <w:t>—</w:t>
            </w:r>
            <w:r w:rsidRPr="00097A86">
              <w:t>94 (2003)</w:t>
            </w:r>
          </w:p>
          <w:p w14:paraId="318C2CA5" w14:textId="77777777" w:rsidR="003F0D4E" w:rsidRPr="00097A86" w:rsidRDefault="003F0D4E" w:rsidP="00D22D3F">
            <w:pPr>
              <w:pStyle w:val="Tabletext"/>
            </w:pPr>
            <w:r w:rsidRPr="00097A86">
              <w:t>ASTM D 7164</w:t>
            </w:r>
            <w:r w:rsidR="00D22D3F" w:rsidRPr="00097A86">
              <w:t>—</w:t>
            </w:r>
            <w:r w:rsidRPr="00097A86">
              <w:t>05</w:t>
            </w:r>
          </w:p>
          <w:p w14:paraId="699976E7" w14:textId="77777777" w:rsidR="003F0D4E" w:rsidRPr="00097A86" w:rsidRDefault="003F0D4E" w:rsidP="00D22D3F">
            <w:pPr>
              <w:pStyle w:val="Tabletext"/>
            </w:pPr>
            <w:r w:rsidRPr="00097A86">
              <w:t>ISO 6974</w:t>
            </w:r>
          </w:p>
          <w:p w14:paraId="3F736844" w14:textId="77777777" w:rsidR="003F0D4E" w:rsidRPr="00097A86" w:rsidRDefault="003F0D4E" w:rsidP="002929D1">
            <w:pPr>
              <w:pStyle w:val="Tabletext"/>
              <w:ind w:left="177"/>
            </w:pPr>
            <w:r w:rsidRPr="00097A86">
              <w:t>part 1 (2000)</w:t>
            </w:r>
          </w:p>
          <w:p w14:paraId="4973C534" w14:textId="77777777" w:rsidR="003F0D4E" w:rsidRPr="00097A86" w:rsidRDefault="003F0D4E" w:rsidP="002929D1">
            <w:pPr>
              <w:pStyle w:val="Tabletext"/>
              <w:ind w:left="177"/>
            </w:pPr>
            <w:r w:rsidRPr="00097A86">
              <w:t xml:space="preserve">part 2 (2001) </w:t>
            </w:r>
          </w:p>
          <w:p w14:paraId="7961472F" w14:textId="77777777" w:rsidR="003F0D4E" w:rsidRPr="00097A86" w:rsidRDefault="003F0D4E" w:rsidP="002929D1">
            <w:pPr>
              <w:pStyle w:val="Tabletext"/>
              <w:ind w:left="177"/>
            </w:pPr>
            <w:r w:rsidRPr="00097A86">
              <w:t xml:space="preserve">part 3 (2000) </w:t>
            </w:r>
          </w:p>
          <w:p w14:paraId="23F4DA79" w14:textId="77777777" w:rsidR="003F0D4E" w:rsidRPr="00097A86" w:rsidRDefault="003F0D4E" w:rsidP="002929D1">
            <w:pPr>
              <w:pStyle w:val="Tabletext"/>
              <w:ind w:left="177"/>
            </w:pPr>
            <w:r w:rsidRPr="00097A86">
              <w:t xml:space="preserve">part 4 (2000) </w:t>
            </w:r>
          </w:p>
          <w:p w14:paraId="036E2C4D" w14:textId="77777777" w:rsidR="003F0D4E" w:rsidRPr="00097A86" w:rsidRDefault="003F0D4E" w:rsidP="002929D1">
            <w:pPr>
              <w:pStyle w:val="Tabletext"/>
              <w:ind w:left="177"/>
            </w:pPr>
            <w:r w:rsidRPr="00097A86">
              <w:t>part 5 (2000)</w:t>
            </w:r>
          </w:p>
          <w:p w14:paraId="34A63F5E" w14:textId="77777777" w:rsidR="003F0D4E" w:rsidRPr="00097A86" w:rsidRDefault="003F0D4E" w:rsidP="002929D1">
            <w:pPr>
              <w:pStyle w:val="Tabletext"/>
              <w:ind w:left="177"/>
            </w:pPr>
            <w:r w:rsidRPr="00097A86">
              <w:t>part 6 (2002)</w:t>
            </w:r>
          </w:p>
          <w:p w14:paraId="68D9D83B" w14:textId="77777777" w:rsidR="003F0D4E" w:rsidRPr="00097A86" w:rsidRDefault="003F0D4E" w:rsidP="00D22D3F">
            <w:pPr>
              <w:pStyle w:val="Tabletext"/>
            </w:pPr>
            <w:r w:rsidRPr="00097A86">
              <w:t>ISO 6976:1995</w:t>
            </w:r>
          </w:p>
          <w:p w14:paraId="08493C88" w14:textId="77777777" w:rsidR="003F0D4E" w:rsidRPr="00097A86" w:rsidRDefault="003F0D4E" w:rsidP="00D22D3F">
            <w:pPr>
              <w:pStyle w:val="Tabletext"/>
            </w:pPr>
            <w:r w:rsidRPr="00097A86">
              <w:t>GPA 2172</w:t>
            </w:r>
            <w:r w:rsidR="00D22D3F" w:rsidRPr="00097A86">
              <w:t>—</w:t>
            </w:r>
            <w:r w:rsidRPr="00097A86">
              <w:t>96</w:t>
            </w:r>
          </w:p>
        </w:tc>
        <w:tc>
          <w:tcPr>
            <w:tcW w:w="1981" w:type="pct"/>
            <w:shd w:val="clear" w:color="auto" w:fill="auto"/>
          </w:tcPr>
          <w:p w14:paraId="7CA3F2DD" w14:textId="77777777" w:rsidR="003F0D4E" w:rsidRPr="00097A86" w:rsidRDefault="003F0D4E" w:rsidP="00D22D3F">
            <w:pPr>
              <w:pStyle w:val="Tabletext"/>
            </w:pPr>
            <w:r w:rsidRPr="00097A86">
              <w:t>ASTM D 1945</w:t>
            </w:r>
            <w:r w:rsidR="00D22D3F" w:rsidRPr="00097A86">
              <w:t>—</w:t>
            </w:r>
            <w:r w:rsidRPr="00097A86">
              <w:t>03</w:t>
            </w:r>
          </w:p>
          <w:p w14:paraId="38A8F0BC" w14:textId="77777777" w:rsidR="003F0D4E" w:rsidRPr="00097A86" w:rsidRDefault="003F0D4E" w:rsidP="00D22D3F">
            <w:pPr>
              <w:pStyle w:val="Tabletext"/>
            </w:pPr>
            <w:r w:rsidRPr="00097A86">
              <w:t>ASTM D 1946</w:t>
            </w:r>
            <w:r w:rsidR="00D22D3F" w:rsidRPr="00097A86">
              <w:t>—</w:t>
            </w:r>
            <w:r w:rsidRPr="00097A86">
              <w:t>90 (2006)</w:t>
            </w:r>
          </w:p>
          <w:p w14:paraId="44283E3A" w14:textId="77777777" w:rsidR="003F0D4E" w:rsidRPr="00097A86" w:rsidRDefault="003F0D4E" w:rsidP="00D22D3F">
            <w:pPr>
              <w:pStyle w:val="Tabletext"/>
            </w:pPr>
            <w:r w:rsidRPr="00097A86">
              <w:t>ISO 6974</w:t>
            </w:r>
          </w:p>
          <w:p w14:paraId="56E8206B" w14:textId="77777777" w:rsidR="003F0D4E" w:rsidRPr="00097A86" w:rsidRDefault="003F0D4E" w:rsidP="002929D1">
            <w:pPr>
              <w:pStyle w:val="Tabletext"/>
              <w:ind w:left="177"/>
            </w:pPr>
            <w:r w:rsidRPr="00097A86">
              <w:t>part 1 (2000)</w:t>
            </w:r>
          </w:p>
          <w:p w14:paraId="2230918C" w14:textId="77777777" w:rsidR="003F0D4E" w:rsidRPr="00097A86" w:rsidRDefault="003F0D4E" w:rsidP="002929D1">
            <w:pPr>
              <w:pStyle w:val="Tabletext"/>
              <w:ind w:left="177"/>
            </w:pPr>
            <w:r w:rsidRPr="00097A86">
              <w:t xml:space="preserve">part 2 (2001) </w:t>
            </w:r>
          </w:p>
          <w:p w14:paraId="3C4C782F" w14:textId="77777777" w:rsidR="003F0D4E" w:rsidRPr="00097A86" w:rsidRDefault="003F0D4E" w:rsidP="002929D1">
            <w:pPr>
              <w:pStyle w:val="Tabletext"/>
              <w:ind w:left="177"/>
            </w:pPr>
            <w:r w:rsidRPr="00097A86">
              <w:t xml:space="preserve">part 3 (2000) </w:t>
            </w:r>
          </w:p>
          <w:p w14:paraId="5CAB721F" w14:textId="77777777" w:rsidR="003F0D4E" w:rsidRPr="00097A86" w:rsidRDefault="003F0D4E" w:rsidP="002929D1">
            <w:pPr>
              <w:pStyle w:val="Tabletext"/>
              <w:ind w:left="177"/>
            </w:pPr>
            <w:r w:rsidRPr="00097A86">
              <w:t>part 4 (2000)</w:t>
            </w:r>
          </w:p>
          <w:p w14:paraId="3846014E" w14:textId="77777777" w:rsidR="003F0D4E" w:rsidRPr="00097A86" w:rsidRDefault="003F0D4E" w:rsidP="002929D1">
            <w:pPr>
              <w:pStyle w:val="Tabletext"/>
              <w:ind w:left="177"/>
            </w:pPr>
            <w:r w:rsidRPr="00097A86">
              <w:t xml:space="preserve">part 5 (2000) </w:t>
            </w:r>
          </w:p>
          <w:p w14:paraId="70ACD258" w14:textId="77777777" w:rsidR="003F0D4E" w:rsidRPr="00097A86" w:rsidRDefault="003F0D4E" w:rsidP="002929D1">
            <w:pPr>
              <w:pStyle w:val="Tabletext"/>
              <w:ind w:left="177"/>
            </w:pPr>
            <w:r w:rsidRPr="00097A86">
              <w:t>part 6 (2002)</w:t>
            </w:r>
          </w:p>
          <w:p w14:paraId="310E5EF9" w14:textId="77777777" w:rsidR="003F0D4E" w:rsidRPr="00097A86" w:rsidRDefault="003F0D4E" w:rsidP="00D22D3F">
            <w:pPr>
              <w:pStyle w:val="Tabletext"/>
            </w:pPr>
            <w:r w:rsidRPr="00097A86">
              <w:t>GPA 2145 – 03</w:t>
            </w:r>
          </w:p>
          <w:p w14:paraId="0F5E4A9B" w14:textId="77777777" w:rsidR="003F0D4E" w:rsidRPr="00097A86" w:rsidRDefault="003F0D4E" w:rsidP="00D22D3F">
            <w:pPr>
              <w:pStyle w:val="Tabletext"/>
            </w:pPr>
            <w:r w:rsidRPr="00097A86">
              <w:t>GPA 2261 – 00</w:t>
            </w:r>
          </w:p>
        </w:tc>
      </w:tr>
      <w:tr w:rsidR="003F0D4E" w:rsidRPr="00097A86" w14:paraId="6B7FFF5D" w14:textId="77777777" w:rsidTr="00C20CC2">
        <w:tc>
          <w:tcPr>
            <w:tcW w:w="540" w:type="pct"/>
            <w:shd w:val="clear" w:color="auto" w:fill="auto"/>
          </w:tcPr>
          <w:p w14:paraId="2FF644DB" w14:textId="77777777" w:rsidR="003F0D4E" w:rsidRPr="00097A86" w:rsidRDefault="003F0D4E" w:rsidP="00D22D3F">
            <w:pPr>
              <w:pStyle w:val="Tabletext"/>
            </w:pPr>
            <w:r w:rsidRPr="00097A86">
              <w:t>6</w:t>
            </w:r>
          </w:p>
        </w:tc>
        <w:tc>
          <w:tcPr>
            <w:tcW w:w="1094" w:type="pct"/>
            <w:shd w:val="clear" w:color="auto" w:fill="auto"/>
          </w:tcPr>
          <w:p w14:paraId="15BC5DAD" w14:textId="77777777" w:rsidR="003F0D4E" w:rsidRPr="00097A86" w:rsidRDefault="003F0D4E" w:rsidP="00D22D3F">
            <w:pPr>
              <w:pStyle w:val="Tabletext"/>
            </w:pPr>
            <w:r w:rsidRPr="00097A86">
              <w:t>Ethane</w:t>
            </w:r>
          </w:p>
        </w:tc>
        <w:tc>
          <w:tcPr>
            <w:tcW w:w="1385" w:type="pct"/>
            <w:shd w:val="clear" w:color="auto" w:fill="auto"/>
          </w:tcPr>
          <w:p w14:paraId="766280B3" w14:textId="77777777" w:rsidR="003F0D4E" w:rsidRPr="00097A86" w:rsidRDefault="003F0D4E" w:rsidP="00D22D3F">
            <w:pPr>
              <w:pStyle w:val="Tabletext"/>
            </w:pPr>
            <w:r w:rsidRPr="00097A86">
              <w:t>ASTM D 3588 – 98 (2003)</w:t>
            </w:r>
          </w:p>
          <w:p w14:paraId="3BF03E7A" w14:textId="77777777" w:rsidR="003F0D4E" w:rsidRPr="00097A86" w:rsidRDefault="003F0D4E" w:rsidP="00D22D3F">
            <w:pPr>
              <w:pStyle w:val="Tabletext"/>
            </w:pPr>
            <w:r w:rsidRPr="00097A86">
              <w:t>IS0</w:t>
            </w:r>
            <w:r w:rsidR="00097A86">
              <w:t> </w:t>
            </w:r>
            <w:r w:rsidRPr="00097A86">
              <w:t>6976:1995</w:t>
            </w:r>
          </w:p>
        </w:tc>
        <w:tc>
          <w:tcPr>
            <w:tcW w:w="1981" w:type="pct"/>
            <w:shd w:val="clear" w:color="auto" w:fill="auto"/>
          </w:tcPr>
          <w:p w14:paraId="0A999415" w14:textId="77777777" w:rsidR="003F0D4E" w:rsidRPr="00097A86" w:rsidRDefault="003F0D4E" w:rsidP="00D22D3F">
            <w:pPr>
              <w:pStyle w:val="Tabletext"/>
            </w:pPr>
            <w:r w:rsidRPr="00097A86">
              <w:t>ASTM D 1945 – 03</w:t>
            </w:r>
          </w:p>
          <w:p w14:paraId="40D2A13A" w14:textId="77777777" w:rsidR="003F0D4E" w:rsidRPr="00097A86" w:rsidRDefault="003F0D4E" w:rsidP="00D22D3F">
            <w:pPr>
              <w:pStyle w:val="Tabletext"/>
            </w:pPr>
            <w:r w:rsidRPr="00097A86">
              <w:t>ASTM D 1946 – 90 (2006)</w:t>
            </w:r>
          </w:p>
        </w:tc>
      </w:tr>
      <w:tr w:rsidR="003F0D4E" w:rsidRPr="00097A86" w14:paraId="74AD232C" w14:textId="77777777" w:rsidTr="00C20CC2">
        <w:tc>
          <w:tcPr>
            <w:tcW w:w="540" w:type="pct"/>
            <w:shd w:val="clear" w:color="auto" w:fill="auto"/>
          </w:tcPr>
          <w:p w14:paraId="28749610" w14:textId="77777777" w:rsidR="003F0D4E" w:rsidRPr="00097A86" w:rsidRDefault="003F0D4E" w:rsidP="00D22D3F">
            <w:pPr>
              <w:pStyle w:val="Tabletext"/>
            </w:pPr>
            <w:r w:rsidRPr="00097A86">
              <w:t>7</w:t>
            </w:r>
          </w:p>
        </w:tc>
        <w:tc>
          <w:tcPr>
            <w:tcW w:w="1094" w:type="pct"/>
            <w:shd w:val="clear" w:color="auto" w:fill="auto"/>
          </w:tcPr>
          <w:p w14:paraId="1BADA048" w14:textId="77777777" w:rsidR="003F0D4E" w:rsidRPr="00097A86" w:rsidRDefault="003F0D4E" w:rsidP="00D22D3F">
            <w:pPr>
              <w:pStyle w:val="Tabletext"/>
            </w:pPr>
            <w:r w:rsidRPr="00097A86">
              <w:t>Coke oven gas</w:t>
            </w:r>
          </w:p>
        </w:tc>
        <w:tc>
          <w:tcPr>
            <w:tcW w:w="1385" w:type="pct"/>
            <w:shd w:val="clear" w:color="auto" w:fill="auto"/>
          </w:tcPr>
          <w:p w14:paraId="6EEAB408" w14:textId="77777777" w:rsidR="003F0D4E" w:rsidRPr="00097A86" w:rsidRDefault="003F0D4E" w:rsidP="00D22D3F">
            <w:pPr>
              <w:pStyle w:val="Tabletext"/>
            </w:pPr>
            <w:r w:rsidRPr="00097A86">
              <w:t>ASTM D 3588</w:t>
            </w:r>
            <w:r w:rsidR="00D22D3F" w:rsidRPr="00097A86">
              <w:t>—</w:t>
            </w:r>
            <w:r w:rsidRPr="00097A86">
              <w:t>98 (2003)</w:t>
            </w:r>
          </w:p>
          <w:p w14:paraId="3D099ADB" w14:textId="77777777" w:rsidR="003F0D4E" w:rsidRPr="00097A86" w:rsidRDefault="003F0D4E" w:rsidP="00D22D3F">
            <w:pPr>
              <w:pStyle w:val="Tabletext"/>
            </w:pPr>
            <w:r w:rsidRPr="00097A86">
              <w:t>ISO 6976:1995</w:t>
            </w:r>
          </w:p>
        </w:tc>
        <w:tc>
          <w:tcPr>
            <w:tcW w:w="1981" w:type="pct"/>
            <w:shd w:val="clear" w:color="auto" w:fill="auto"/>
          </w:tcPr>
          <w:p w14:paraId="34869874" w14:textId="77777777" w:rsidR="003F0D4E" w:rsidRPr="00097A86" w:rsidRDefault="003F0D4E" w:rsidP="00D22D3F">
            <w:pPr>
              <w:pStyle w:val="Tabletext"/>
            </w:pPr>
            <w:r w:rsidRPr="00097A86">
              <w:t>ASTM D 1945</w:t>
            </w:r>
            <w:r w:rsidR="00D22D3F" w:rsidRPr="00097A86">
              <w:t>—</w:t>
            </w:r>
            <w:r w:rsidRPr="00097A86">
              <w:t>03</w:t>
            </w:r>
          </w:p>
          <w:p w14:paraId="2A936C43" w14:textId="77777777" w:rsidR="003F0D4E" w:rsidRPr="00097A86" w:rsidRDefault="003F0D4E" w:rsidP="00D22D3F">
            <w:pPr>
              <w:pStyle w:val="Tabletext"/>
            </w:pPr>
            <w:r w:rsidRPr="00097A86">
              <w:t>ASTM D 1946</w:t>
            </w:r>
            <w:r w:rsidR="00D22D3F" w:rsidRPr="00097A86">
              <w:t>—</w:t>
            </w:r>
            <w:r w:rsidRPr="00097A86">
              <w:t>90 (2006)</w:t>
            </w:r>
          </w:p>
        </w:tc>
      </w:tr>
      <w:tr w:rsidR="003F0D4E" w:rsidRPr="00097A86" w14:paraId="19518DEB" w14:textId="77777777" w:rsidTr="00C20CC2">
        <w:tc>
          <w:tcPr>
            <w:tcW w:w="540" w:type="pct"/>
            <w:tcBorders>
              <w:bottom w:val="single" w:sz="4" w:space="0" w:color="auto"/>
            </w:tcBorders>
            <w:shd w:val="clear" w:color="auto" w:fill="auto"/>
          </w:tcPr>
          <w:p w14:paraId="312B5136" w14:textId="77777777" w:rsidR="003F0D4E" w:rsidRPr="00097A86" w:rsidRDefault="003F0D4E" w:rsidP="00D22D3F">
            <w:pPr>
              <w:pStyle w:val="Tabletext"/>
            </w:pPr>
            <w:r w:rsidRPr="00097A86">
              <w:t>8</w:t>
            </w:r>
          </w:p>
        </w:tc>
        <w:tc>
          <w:tcPr>
            <w:tcW w:w="1094" w:type="pct"/>
            <w:tcBorders>
              <w:bottom w:val="single" w:sz="4" w:space="0" w:color="auto"/>
            </w:tcBorders>
            <w:shd w:val="clear" w:color="auto" w:fill="auto"/>
          </w:tcPr>
          <w:p w14:paraId="65D752C4" w14:textId="77777777" w:rsidR="003F0D4E" w:rsidRPr="00097A86" w:rsidRDefault="003F0D4E" w:rsidP="00D22D3F">
            <w:pPr>
              <w:pStyle w:val="Tabletext"/>
            </w:pPr>
            <w:r w:rsidRPr="00097A86">
              <w:t>Blast furnace gas</w:t>
            </w:r>
          </w:p>
        </w:tc>
        <w:tc>
          <w:tcPr>
            <w:tcW w:w="1385" w:type="pct"/>
            <w:tcBorders>
              <w:bottom w:val="single" w:sz="4" w:space="0" w:color="auto"/>
            </w:tcBorders>
            <w:shd w:val="clear" w:color="auto" w:fill="auto"/>
          </w:tcPr>
          <w:p w14:paraId="108F145B" w14:textId="77777777" w:rsidR="003F0D4E" w:rsidRPr="00097A86" w:rsidRDefault="003F0D4E" w:rsidP="00D22D3F">
            <w:pPr>
              <w:pStyle w:val="Tabletext"/>
            </w:pPr>
            <w:r w:rsidRPr="00097A86">
              <w:t>ASTM D 3588</w:t>
            </w:r>
            <w:r w:rsidR="00D22D3F" w:rsidRPr="00097A86">
              <w:t>—</w:t>
            </w:r>
            <w:r w:rsidRPr="00097A86">
              <w:t>98 (2003)</w:t>
            </w:r>
          </w:p>
          <w:p w14:paraId="5C0C90CB" w14:textId="77777777" w:rsidR="003F0D4E" w:rsidRPr="00097A86" w:rsidRDefault="003F0D4E" w:rsidP="00D22D3F">
            <w:pPr>
              <w:pStyle w:val="Tabletext"/>
            </w:pPr>
            <w:r w:rsidRPr="00097A86">
              <w:t>ISO 6976:1995</w:t>
            </w:r>
          </w:p>
        </w:tc>
        <w:tc>
          <w:tcPr>
            <w:tcW w:w="1981" w:type="pct"/>
            <w:tcBorders>
              <w:bottom w:val="single" w:sz="4" w:space="0" w:color="auto"/>
            </w:tcBorders>
            <w:shd w:val="clear" w:color="auto" w:fill="auto"/>
          </w:tcPr>
          <w:p w14:paraId="691B9C40" w14:textId="77777777" w:rsidR="003F0D4E" w:rsidRPr="00097A86" w:rsidRDefault="003F0D4E" w:rsidP="00D22D3F">
            <w:pPr>
              <w:pStyle w:val="Tabletext"/>
            </w:pPr>
            <w:r w:rsidRPr="00097A86">
              <w:t>ASTM D 1945</w:t>
            </w:r>
            <w:r w:rsidR="00D22D3F" w:rsidRPr="00097A86">
              <w:t>—</w:t>
            </w:r>
            <w:r w:rsidRPr="00097A86">
              <w:t>03</w:t>
            </w:r>
          </w:p>
          <w:p w14:paraId="634641A7" w14:textId="77777777" w:rsidR="003F0D4E" w:rsidRPr="00097A86" w:rsidRDefault="003F0D4E" w:rsidP="00D22D3F">
            <w:pPr>
              <w:pStyle w:val="Tabletext"/>
            </w:pPr>
            <w:r w:rsidRPr="00097A86">
              <w:t>ASTM D 1946</w:t>
            </w:r>
            <w:r w:rsidR="00D22D3F" w:rsidRPr="00097A86">
              <w:t>—</w:t>
            </w:r>
            <w:r w:rsidRPr="00097A86">
              <w:t>90 (2006)</w:t>
            </w:r>
          </w:p>
        </w:tc>
      </w:tr>
      <w:tr w:rsidR="003F0D4E" w:rsidRPr="00097A86" w14:paraId="6BD0173C" w14:textId="77777777" w:rsidTr="00C20CC2">
        <w:tc>
          <w:tcPr>
            <w:tcW w:w="540" w:type="pct"/>
            <w:tcBorders>
              <w:bottom w:val="single" w:sz="4" w:space="0" w:color="auto"/>
            </w:tcBorders>
            <w:shd w:val="clear" w:color="auto" w:fill="auto"/>
          </w:tcPr>
          <w:p w14:paraId="68BE3993" w14:textId="77777777" w:rsidR="003F0D4E" w:rsidRPr="00097A86" w:rsidRDefault="003F0D4E" w:rsidP="00D22D3F">
            <w:pPr>
              <w:pStyle w:val="Tabletext"/>
            </w:pPr>
            <w:bookmarkStart w:id="127" w:name="CU_10217995"/>
            <w:bookmarkEnd w:id="127"/>
            <w:r w:rsidRPr="00097A86">
              <w:t>9</w:t>
            </w:r>
          </w:p>
        </w:tc>
        <w:tc>
          <w:tcPr>
            <w:tcW w:w="1094" w:type="pct"/>
            <w:tcBorders>
              <w:bottom w:val="single" w:sz="4" w:space="0" w:color="auto"/>
            </w:tcBorders>
            <w:shd w:val="clear" w:color="auto" w:fill="auto"/>
          </w:tcPr>
          <w:p w14:paraId="64B3A7FF" w14:textId="77777777" w:rsidR="003F0D4E" w:rsidRPr="00097A86" w:rsidRDefault="003F0D4E" w:rsidP="00D22D3F">
            <w:pPr>
              <w:pStyle w:val="Tabletext"/>
            </w:pPr>
            <w:r w:rsidRPr="00097A86">
              <w:t>Town gas</w:t>
            </w:r>
          </w:p>
        </w:tc>
        <w:tc>
          <w:tcPr>
            <w:tcW w:w="1385" w:type="pct"/>
            <w:tcBorders>
              <w:bottom w:val="single" w:sz="4" w:space="0" w:color="auto"/>
            </w:tcBorders>
            <w:shd w:val="clear" w:color="auto" w:fill="auto"/>
          </w:tcPr>
          <w:p w14:paraId="5B40DB8B" w14:textId="77777777" w:rsidR="003F0D4E" w:rsidRPr="00097A86" w:rsidRDefault="003F0D4E" w:rsidP="00D22D3F">
            <w:pPr>
              <w:pStyle w:val="Tabletext"/>
            </w:pPr>
            <w:r w:rsidRPr="00097A86">
              <w:t>ASTM D 1826</w:t>
            </w:r>
            <w:r w:rsidR="00D22D3F" w:rsidRPr="00097A86">
              <w:t>—</w:t>
            </w:r>
            <w:r w:rsidRPr="00097A86">
              <w:t>94 (2003)</w:t>
            </w:r>
          </w:p>
          <w:p w14:paraId="623351A4" w14:textId="77777777" w:rsidR="003F0D4E" w:rsidRPr="00097A86" w:rsidRDefault="003F0D4E" w:rsidP="00D22D3F">
            <w:pPr>
              <w:pStyle w:val="Tabletext"/>
            </w:pPr>
            <w:r w:rsidRPr="00097A86">
              <w:t>ASTM D 7164</w:t>
            </w:r>
            <w:r w:rsidR="00D22D3F" w:rsidRPr="00097A86">
              <w:t>—</w:t>
            </w:r>
            <w:r w:rsidRPr="00097A86">
              <w:t>05</w:t>
            </w:r>
          </w:p>
          <w:p w14:paraId="65CFDADD" w14:textId="77777777" w:rsidR="003F0D4E" w:rsidRPr="00097A86" w:rsidRDefault="003F0D4E" w:rsidP="00D22D3F">
            <w:pPr>
              <w:pStyle w:val="Tabletext"/>
            </w:pPr>
            <w:r w:rsidRPr="00097A86">
              <w:t>ISO 6974</w:t>
            </w:r>
          </w:p>
          <w:p w14:paraId="720C4BC4" w14:textId="77777777" w:rsidR="003F0D4E" w:rsidRPr="00097A86" w:rsidRDefault="003F0D4E" w:rsidP="002929D1">
            <w:pPr>
              <w:pStyle w:val="Tabletext"/>
              <w:ind w:left="177"/>
            </w:pPr>
            <w:r w:rsidRPr="00097A86">
              <w:t>part 1 (2000)</w:t>
            </w:r>
          </w:p>
          <w:p w14:paraId="5CC3853A" w14:textId="77777777" w:rsidR="003F0D4E" w:rsidRPr="00097A86" w:rsidRDefault="003F0D4E" w:rsidP="002929D1">
            <w:pPr>
              <w:pStyle w:val="Tabletext"/>
              <w:ind w:left="177"/>
            </w:pPr>
            <w:r w:rsidRPr="00097A86">
              <w:t xml:space="preserve">part 2 (2001) </w:t>
            </w:r>
          </w:p>
          <w:p w14:paraId="53DAF8FB" w14:textId="77777777" w:rsidR="003F0D4E" w:rsidRPr="00097A86" w:rsidRDefault="003F0D4E" w:rsidP="002929D1">
            <w:pPr>
              <w:pStyle w:val="Tabletext"/>
              <w:ind w:left="177"/>
            </w:pPr>
            <w:r w:rsidRPr="00097A86">
              <w:t xml:space="preserve">part 3 (2000) </w:t>
            </w:r>
          </w:p>
          <w:p w14:paraId="128E9924" w14:textId="77777777" w:rsidR="003F0D4E" w:rsidRPr="00097A86" w:rsidRDefault="003F0D4E" w:rsidP="002929D1">
            <w:pPr>
              <w:pStyle w:val="Tabletext"/>
              <w:ind w:left="177"/>
            </w:pPr>
            <w:r w:rsidRPr="00097A86">
              <w:t xml:space="preserve">part 4 (2000) </w:t>
            </w:r>
          </w:p>
          <w:p w14:paraId="0395B966" w14:textId="77777777" w:rsidR="003F0D4E" w:rsidRPr="00097A86" w:rsidRDefault="003F0D4E" w:rsidP="002929D1">
            <w:pPr>
              <w:pStyle w:val="Tabletext"/>
              <w:ind w:left="177"/>
            </w:pPr>
            <w:r w:rsidRPr="00097A86">
              <w:t>part 5 (2000)</w:t>
            </w:r>
          </w:p>
          <w:p w14:paraId="21F61DD4" w14:textId="77777777" w:rsidR="003F0D4E" w:rsidRPr="00097A86" w:rsidRDefault="003F0D4E" w:rsidP="002929D1">
            <w:pPr>
              <w:pStyle w:val="Tabletext"/>
              <w:ind w:left="177"/>
            </w:pPr>
            <w:r w:rsidRPr="00097A86">
              <w:t>part 6 (2002)</w:t>
            </w:r>
          </w:p>
          <w:p w14:paraId="79E30216" w14:textId="77777777" w:rsidR="003F0D4E" w:rsidRPr="00097A86" w:rsidRDefault="003F0D4E" w:rsidP="00D22D3F">
            <w:pPr>
              <w:pStyle w:val="Tabletext"/>
            </w:pPr>
            <w:r w:rsidRPr="00097A86">
              <w:t>ISO 6976:1995</w:t>
            </w:r>
          </w:p>
          <w:p w14:paraId="14D40F6A" w14:textId="77777777" w:rsidR="003F0D4E" w:rsidRPr="00097A86" w:rsidRDefault="003F0D4E" w:rsidP="00D22D3F">
            <w:pPr>
              <w:pStyle w:val="Tabletext"/>
            </w:pPr>
            <w:r w:rsidRPr="00097A86">
              <w:t>GPA 2172</w:t>
            </w:r>
            <w:r w:rsidR="00D22D3F" w:rsidRPr="00097A86">
              <w:t>—</w:t>
            </w:r>
            <w:r w:rsidRPr="00097A86">
              <w:t>96</w:t>
            </w:r>
          </w:p>
        </w:tc>
        <w:tc>
          <w:tcPr>
            <w:tcW w:w="1981" w:type="pct"/>
            <w:tcBorders>
              <w:bottom w:val="single" w:sz="4" w:space="0" w:color="auto"/>
            </w:tcBorders>
            <w:shd w:val="clear" w:color="auto" w:fill="auto"/>
          </w:tcPr>
          <w:p w14:paraId="26600E15" w14:textId="77777777" w:rsidR="003F0D4E" w:rsidRPr="00097A86" w:rsidRDefault="003F0D4E" w:rsidP="00D22D3F">
            <w:pPr>
              <w:pStyle w:val="Tabletext"/>
            </w:pPr>
            <w:r w:rsidRPr="00097A86">
              <w:t>ASTM D 1945</w:t>
            </w:r>
            <w:r w:rsidR="00D22D3F" w:rsidRPr="00097A86">
              <w:t>—</w:t>
            </w:r>
            <w:r w:rsidRPr="00097A86">
              <w:t>03</w:t>
            </w:r>
          </w:p>
          <w:p w14:paraId="4E08F46D" w14:textId="77777777" w:rsidR="003F0D4E" w:rsidRPr="00097A86" w:rsidRDefault="003F0D4E" w:rsidP="00D22D3F">
            <w:pPr>
              <w:pStyle w:val="Tabletext"/>
            </w:pPr>
            <w:r w:rsidRPr="00097A86">
              <w:t>ASTM D 1946</w:t>
            </w:r>
            <w:r w:rsidR="00D22D3F" w:rsidRPr="00097A86">
              <w:t>—</w:t>
            </w:r>
            <w:r w:rsidRPr="00097A86">
              <w:t>90 (2006)</w:t>
            </w:r>
          </w:p>
          <w:p w14:paraId="4895C74C" w14:textId="77777777" w:rsidR="003F0D4E" w:rsidRPr="00097A86" w:rsidRDefault="003F0D4E" w:rsidP="00D22D3F">
            <w:pPr>
              <w:pStyle w:val="Tabletext"/>
            </w:pPr>
            <w:r w:rsidRPr="00097A86">
              <w:t>ISO 6974</w:t>
            </w:r>
          </w:p>
          <w:p w14:paraId="350B9650" w14:textId="77777777" w:rsidR="003F0D4E" w:rsidRPr="00097A86" w:rsidRDefault="003F0D4E" w:rsidP="002929D1">
            <w:pPr>
              <w:pStyle w:val="Tabletext"/>
              <w:ind w:left="177"/>
            </w:pPr>
            <w:r w:rsidRPr="00097A86">
              <w:t>part 1 (2000)</w:t>
            </w:r>
          </w:p>
          <w:p w14:paraId="18923D87" w14:textId="77777777" w:rsidR="003F0D4E" w:rsidRPr="00097A86" w:rsidRDefault="003F0D4E" w:rsidP="002929D1">
            <w:pPr>
              <w:pStyle w:val="Tabletext"/>
              <w:ind w:left="177"/>
            </w:pPr>
            <w:r w:rsidRPr="00097A86">
              <w:t xml:space="preserve">part 2 (2001) </w:t>
            </w:r>
          </w:p>
          <w:p w14:paraId="3D4F1BF1" w14:textId="77777777" w:rsidR="003F0D4E" w:rsidRPr="00097A86" w:rsidRDefault="003F0D4E" w:rsidP="002929D1">
            <w:pPr>
              <w:pStyle w:val="Tabletext"/>
              <w:ind w:left="177"/>
            </w:pPr>
            <w:r w:rsidRPr="00097A86">
              <w:t xml:space="preserve">part 3 (2000) </w:t>
            </w:r>
          </w:p>
          <w:p w14:paraId="1EEFB35C" w14:textId="77777777" w:rsidR="003F0D4E" w:rsidRPr="00097A86" w:rsidRDefault="003F0D4E" w:rsidP="002929D1">
            <w:pPr>
              <w:pStyle w:val="Tabletext"/>
              <w:ind w:left="177"/>
            </w:pPr>
            <w:r w:rsidRPr="00097A86">
              <w:t xml:space="preserve">part 4 (2000) </w:t>
            </w:r>
          </w:p>
          <w:p w14:paraId="6CC09CD9" w14:textId="77777777" w:rsidR="003F0D4E" w:rsidRPr="00097A86" w:rsidRDefault="003F0D4E" w:rsidP="002929D1">
            <w:pPr>
              <w:pStyle w:val="Tabletext"/>
              <w:ind w:left="177"/>
            </w:pPr>
            <w:r w:rsidRPr="00097A86">
              <w:t>part 5 (2000)</w:t>
            </w:r>
          </w:p>
          <w:p w14:paraId="344E1529" w14:textId="77777777" w:rsidR="003F0D4E" w:rsidRPr="00097A86" w:rsidRDefault="003F0D4E" w:rsidP="002929D1">
            <w:pPr>
              <w:pStyle w:val="Tabletext"/>
              <w:ind w:left="177"/>
            </w:pPr>
            <w:r w:rsidRPr="00097A86">
              <w:t>part 6 (2002)</w:t>
            </w:r>
          </w:p>
          <w:p w14:paraId="328EA820" w14:textId="77777777" w:rsidR="003F0D4E" w:rsidRPr="00097A86" w:rsidRDefault="003F0D4E" w:rsidP="00D22D3F">
            <w:pPr>
              <w:pStyle w:val="Tabletext"/>
            </w:pPr>
            <w:r w:rsidRPr="00097A86">
              <w:t>GPA 2145 – 03</w:t>
            </w:r>
          </w:p>
          <w:p w14:paraId="25D4B27C" w14:textId="77777777" w:rsidR="003F0D4E" w:rsidRPr="00097A86" w:rsidRDefault="003F0D4E" w:rsidP="00D22D3F">
            <w:pPr>
              <w:pStyle w:val="Tabletext"/>
            </w:pPr>
            <w:r w:rsidRPr="00097A86">
              <w:t>GPA 2261 – 00</w:t>
            </w:r>
          </w:p>
        </w:tc>
      </w:tr>
      <w:tr w:rsidR="003F0D4E" w:rsidRPr="00097A86" w14:paraId="4A6EF367" w14:textId="77777777" w:rsidTr="00C20CC2">
        <w:tc>
          <w:tcPr>
            <w:tcW w:w="540" w:type="pct"/>
            <w:tcBorders>
              <w:top w:val="single" w:sz="4" w:space="0" w:color="auto"/>
            </w:tcBorders>
            <w:shd w:val="clear" w:color="auto" w:fill="auto"/>
          </w:tcPr>
          <w:p w14:paraId="291850FC" w14:textId="77777777" w:rsidR="003F0D4E" w:rsidRPr="00097A86" w:rsidRDefault="003F0D4E" w:rsidP="00D22D3F">
            <w:pPr>
              <w:pStyle w:val="Tabletext"/>
            </w:pPr>
            <w:r w:rsidRPr="00097A86">
              <w:lastRenderedPageBreak/>
              <w:t>10</w:t>
            </w:r>
          </w:p>
        </w:tc>
        <w:tc>
          <w:tcPr>
            <w:tcW w:w="1094" w:type="pct"/>
            <w:tcBorders>
              <w:top w:val="single" w:sz="4" w:space="0" w:color="auto"/>
            </w:tcBorders>
            <w:shd w:val="clear" w:color="auto" w:fill="auto"/>
          </w:tcPr>
          <w:p w14:paraId="24E79483" w14:textId="77777777" w:rsidR="003F0D4E" w:rsidRPr="00097A86" w:rsidRDefault="003F0D4E" w:rsidP="00D22D3F">
            <w:pPr>
              <w:pStyle w:val="Tabletext"/>
            </w:pPr>
            <w:r w:rsidRPr="00097A86">
              <w:t>Liquefied natural gas</w:t>
            </w:r>
          </w:p>
        </w:tc>
        <w:tc>
          <w:tcPr>
            <w:tcW w:w="1385" w:type="pct"/>
            <w:tcBorders>
              <w:top w:val="single" w:sz="4" w:space="0" w:color="auto"/>
            </w:tcBorders>
            <w:shd w:val="clear" w:color="auto" w:fill="auto"/>
          </w:tcPr>
          <w:p w14:paraId="63392B92" w14:textId="77777777" w:rsidR="003F0D4E" w:rsidRPr="00097A86" w:rsidRDefault="003F0D4E" w:rsidP="00D22D3F">
            <w:pPr>
              <w:pStyle w:val="Tabletext"/>
            </w:pPr>
            <w:r w:rsidRPr="00097A86">
              <w:t>ISO 6976:1995</w:t>
            </w:r>
          </w:p>
        </w:tc>
        <w:tc>
          <w:tcPr>
            <w:tcW w:w="1981" w:type="pct"/>
            <w:tcBorders>
              <w:top w:val="single" w:sz="4" w:space="0" w:color="auto"/>
            </w:tcBorders>
            <w:shd w:val="clear" w:color="auto" w:fill="auto"/>
          </w:tcPr>
          <w:p w14:paraId="234972E8" w14:textId="77777777" w:rsidR="003F0D4E" w:rsidRPr="00097A86" w:rsidRDefault="003F0D4E" w:rsidP="00D22D3F">
            <w:pPr>
              <w:pStyle w:val="Tabletext"/>
            </w:pPr>
            <w:r w:rsidRPr="00097A86">
              <w:t>ASTM D 1945 – 03</w:t>
            </w:r>
          </w:p>
          <w:p w14:paraId="53C9F337" w14:textId="77777777" w:rsidR="003F0D4E" w:rsidRPr="00097A86" w:rsidRDefault="003F0D4E" w:rsidP="00D22D3F">
            <w:pPr>
              <w:pStyle w:val="Tabletext"/>
            </w:pPr>
            <w:r w:rsidRPr="00097A86">
              <w:t>ISO 6974</w:t>
            </w:r>
          </w:p>
          <w:p w14:paraId="05846305" w14:textId="77777777" w:rsidR="003F0D4E" w:rsidRPr="00097A86" w:rsidRDefault="003F0D4E" w:rsidP="002929D1">
            <w:pPr>
              <w:pStyle w:val="Tabletext"/>
              <w:ind w:left="177"/>
            </w:pPr>
            <w:r w:rsidRPr="00097A86">
              <w:t>part 1 (2000)</w:t>
            </w:r>
          </w:p>
          <w:p w14:paraId="42D768B8" w14:textId="77777777" w:rsidR="003F0D4E" w:rsidRPr="00097A86" w:rsidRDefault="003F0D4E" w:rsidP="002929D1">
            <w:pPr>
              <w:pStyle w:val="Tabletext"/>
              <w:ind w:left="177"/>
            </w:pPr>
            <w:r w:rsidRPr="00097A86">
              <w:t xml:space="preserve">part 2 (2001) </w:t>
            </w:r>
          </w:p>
          <w:p w14:paraId="5CD933A2" w14:textId="77777777" w:rsidR="003F0D4E" w:rsidRPr="00097A86" w:rsidRDefault="003F0D4E" w:rsidP="002929D1">
            <w:pPr>
              <w:pStyle w:val="Tabletext"/>
              <w:ind w:left="177"/>
            </w:pPr>
            <w:r w:rsidRPr="00097A86">
              <w:t xml:space="preserve">part 3 (2000) </w:t>
            </w:r>
          </w:p>
          <w:p w14:paraId="139EB10F" w14:textId="77777777" w:rsidR="003F0D4E" w:rsidRPr="00097A86" w:rsidRDefault="003F0D4E" w:rsidP="002929D1">
            <w:pPr>
              <w:pStyle w:val="Tabletext"/>
              <w:ind w:left="177"/>
            </w:pPr>
            <w:r w:rsidRPr="00097A86">
              <w:t xml:space="preserve">part 4 (2000) </w:t>
            </w:r>
          </w:p>
          <w:p w14:paraId="49FB52CE" w14:textId="77777777" w:rsidR="003F0D4E" w:rsidRPr="00097A86" w:rsidRDefault="003F0D4E" w:rsidP="002929D1">
            <w:pPr>
              <w:pStyle w:val="Tabletext"/>
              <w:ind w:left="177"/>
            </w:pPr>
            <w:r w:rsidRPr="00097A86">
              <w:t>part 5 (2000)</w:t>
            </w:r>
          </w:p>
          <w:p w14:paraId="49A4982E" w14:textId="77777777" w:rsidR="003F0D4E" w:rsidRPr="00097A86" w:rsidRDefault="003F0D4E" w:rsidP="002929D1">
            <w:pPr>
              <w:pStyle w:val="Tabletext"/>
              <w:ind w:left="177"/>
            </w:pPr>
            <w:r w:rsidRPr="00097A86">
              <w:t>part 6 (2002)</w:t>
            </w:r>
          </w:p>
        </w:tc>
      </w:tr>
      <w:tr w:rsidR="003F0D4E" w:rsidRPr="00097A86" w14:paraId="0E80EB65" w14:textId="77777777" w:rsidTr="00C20CC2">
        <w:trPr>
          <w:cantSplit/>
        </w:trPr>
        <w:tc>
          <w:tcPr>
            <w:tcW w:w="540" w:type="pct"/>
            <w:shd w:val="clear" w:color="auto" w:fill="auto"/>
          </w:tcPr>
          <w:p w14:paraId="1D7C9654" w14:textId="77777777" w:rsidR="003F0D4E" w:rsidRPr="00097A86" w:rsidRDefault="003F0D4E" w:rsidP="00D22D3F">
            <w:pPr>
              <w:pStyle w:val="Tabletext"/>
            </w:pPr>
            <w:r w:rsidRPr="00097A86">
              <w:t>11</w:t>
            </w:r>
          </w:p>
        </w:tc>
        <w:tc>
          <w:tcPr>
            <w:tcW w:w="1094" w:type="pct"/>
            <w:shd w:val="clear" w:color="auto" w:fill="auto"/>
          </w:tcPr>
          <w:p w14:paraId="4F9FDB2C" w14:textId="77777777" w:rsidR="003F0D4E" w:rsidRPr="00097A86" w:rsidRDefault="003F0D4E" w:rsidP="00D22D3F">
            <w:pPr>
              <w:pStyle w:val="Tabletext"/>
            </w:pPr>
            <w:r w:rsidRPr="00097A86">
              <w:t>Landfill biogas that is captured for combustion</w:t>
            </w:r>
          </w:p>
        </w:tc>
        <w:tc>
          <w:tcPr>
            <w:tcW w:w="1385" w:type="pct"/>
            <w:shd w:val="clear" w:color="auto" w:fill="auto"/>
          </w:tcPr>
          <w:p w14:paraId="42A80BD7" w14:textId="77777777" w:rsidR="003F0D4E" w:rsidRPr="00097A86" w:rsidRDefault="003F0D4E" w:rsidP="00D22D3F">
            <w:pPr>
              <w:pStyle w:val="Tabletext"/>
            </w:pPr>
            <w:r w:rsidRPr="00097A86">
              <w:t>ASTM D 1826</w:t>
            </w:r>
            <w:r w:rsidR="00D22D3F" w:rsidRPr="00097A86">
              <w:t>—</w:t>
            </w:r>
            <w:r w:rsidRPr="00097A86">
              <w:t>94 (2003)</w:t>
            </w:r>
          </w:p>
          <w:p w14:paraId="43DAFD50" w14:textId="77777777" w:rsidR="003F0D4E" w:rsidRPr="00097A86" w:rsidRDefault="003F0D4E" w:rsidP="00D22D3F">
            <w:pPr>
              <w:pStyle w:val="Tabletext"/>
            </w:pPr>
            <w:r w:rsidRPr="00097A86">
              <w:t>ASTM D 7164</w:t>
            </w:r>
            <w:r w:rsidR="00D22D3F" w:rsidRPr="00097A86">
              <w:t>—</w:t>
            </w:r>
            <w:r w:rsidRPr="00097A86">
              <w:t>05</w:t>
            </w:r>
          </w:p>
          <w:p w14:paraId="4334C778" w14:textId="77777777" w:rsidR="003F0D4E" w:rsidRPr="00097A86" w:rsidRDefault="003F0D4E" w:rsidP="00D22D3F">
            <w:pPr>
              <w:pStyle w:val="Tabletext"/>
            </w:pPr>
            <w:r w:rsidRPr="00097A86">
              <w:t>ISO 6974</w:t>
            </w:r>
          </w:p>
          <w:p w14:paraId="5AD52587" w14:textId="77777777" w:rsidR="003F0D4E" w:rsidRPr="00097A86" w:rsidRDefault="003F0D4E" w:rsidP="002929D1">
            <w:pPr>
              <w:pStyle w:val="Tabletext"/>
              <w:ind w:left="177"/>
            </w:pPr>
            <w:r w:rsidRPr="00097A86">
              <w:t>part 1 (2000)</w:t>
            </w:r>
          </w:p>
          <w:p w14:paraId="3E0D8B34" w14:textId="77777777" w:rsidR="003F0D4E" w:rsidRPr="00097A86" w:rsidRDefault="003F0D4E" w:rsidP="002929D1">
            <w:pPr>
              <w:pStyle w:val="Tabletext"/>
              <w:ind w:left="177"/>
            </w:pPr>
            <w:r w:rsidRPr="00097A86">
              <w:t xml:space="preserve">part 2 (2001) </w:t>
            </w:r>
          </w:p>
          <w:p w14:paraId="28A21798" w14:textId="77777777" w:rsidR="003F0D4E" w:rsidRPr="00097A86" w:rsidRDefault="003F0D4E" w:rsidP="002929D1">
            <w:pPr>
              <w:pStyle w:val="Tabletext"/>
              <w:ind w:left="177"/>
            </w:pPr>
            <w:r w:rsidRPr="00097A86">
              <w:t xml:space="preserve">part 3 (2000) </w:t>
            </w:r>
          </w:p>
          <w:p w14:paraId="6D6FE38E" w14:textId="77777777" w:rsidR="003F0D4E" w:rsidRPr="00097A86" w:rsidRDefault="003F0D4E" w:rsidP="002929D1">
            <w:pPr>
              <w:pStyle w:val="Tabletext"/>
              <w:ind w:left="177"/>
            </w:pPr>
            <w:r w:rsidRPr="00097A86">
              <w:t xml:space="preserve">part 4 (2000) </w:t>
            </w:r>
          </w:p>
          <w:p w14:paraId="7879A768" w14:textId="77777777" w:rsidR="003F0D4E" w:rsidRPr="00097A86" w:rsidRDefault="003F0D4E" w:rsidP="002929D1">
            <w:pPr>
              <w:pStyle w:val="Tabletext"/>
              <w:ind w:left="177"/>
            </w:pPr>
            <w:r w:rsidRPr="00097A86">
              <w:t>part 5 (2000)</w:t>
            </w:r>
          </w:p>
          <w:p w14:paraId="6E18457A" w14:textId="77777777" w:rsidR="003F0D4E" w:rsidRPr="00097A86" w:rsidRDefault="003F0D4E" w:rsidP="002929D1">
            <w:pPr>
              <w:pStyle w:val="Tabletext"/>
              <w:ind w:left="177"/>
            </w:pPr>
            <w:r w:rsidRPr="00097A86">
              <w:t>part 6 (2002)</w:t>
            </w:r>
          </w:p>
          <w:p w14:paraId="342E4D89" w14:textId="77777777" w:rsidR="003F0D4E" w:rsidRPr="00097A86" w:rsidRDefault="003F0D4E" w:rsidP="00D22D3F">
            <w:pPr>
              <w:pStyle w:val="Tabletext"/>
            </w:pPr>
            <w:r w:rsidRPr="00097A86">
              <w:t>ISO 6976:1995</w:t>
            </w:r>
          </w:p>
          <w:p w14:paraId="6F61501E" w14:textId="77777777" w:rsidR="003F0D4E" w:rsidRPr="00097A86" w:rsidRDefault="003F0D4E" w:rsidP="00D22D3F">
            <w:pPr>
              <w:pStyle w:val="Tabletext"/>
            </w:pPr>
            <w:r w:rsidRPr="00097A86">
              <w:t>GPA 2172</w:t>
            </w:r>
            <w:r w:rsidR="00D22D3F" w:rsidRPr="00097A86">
              <w:t>—</w:t>
            </w:r>
            <w:r w:rsidRPr="00097A86">
              <w:t>96</w:t>
            </w:r>
          </w:p>
        </w:tc>
        <w:tc>
          <w:tcPr>
            <w:tcW w:w="1981" w:type="pct"/>
            <w:shd w:val="clear" w:color="auto" w:fill="auto"/>
          </w:tcPr>
          <w:p w14:paraId="034B7674" w14:textId="77777777" w:rsidR="003F0D4E" w:rsidRPr="00097A86" w:rsidRDefault="003F0D4E" w:rsidP="00D22D3F">
            <w:pPr>
              <w:pStyle w:val="Tabletext"/>
            </w:pPr>
            <w:r w:rsidRPr="00097A86">
              <w:t>ASTM D 1945</w:t>
            </w:r>
            <w:r w:rsidR="00D22D3F" w:rsidRPr="00097A86">
              <w:t>—</w:t>
            </w:r>
            <w:r w:rsidRPr="00097A86">
              <w:t>03</w:t>
            </w:r>
          </w:p>
          <w:p w14:paraId="010BF4D2" w14:textId="77777777" w:rsidR="003F0D4E" w:rsidRPr="00097A86" w:rsidRDefault="003F0D4E" w:rsidP="00D22D3F">
            <w:pPr>
              <w:pStyle w:val="Tabletext"/>
            </w:pPr>
            <w:r w:rsidRPr="00097A86">
              <w:t>ASTM D 1946</w:t>
            </w:r>
            <w:r w:rsidR="00D22D3F" w:rsidRPr="00097A86">
              <w:t>—</w:t>
            </w:r>
            <w:r w:rsidRPr="00097A86">
              <w:t>90 (2006)</w:t>
            </w:r>
          </w:p>
          <w:p w14:paraId="42BBC401" w14:textId="77777777" w:rsidR="003F0D4E" w:rsidRPr="00097A86" w:rsidRDefault="003F0D4E" w:rsidP="00D22D3F">
            <w:pPr>
              <w:pStyle w:val="Tabletext"/>
            </w:pPr>
            <w:r w:rsidRPr="00097A86">
              <w:t>ISO 6974</w:t>
            </w:r>
          </w:p>
          <w:p w14:paraId="385B2F2D" w14:textId="77777777" w:rsidR="003F0D4E" w:rsidRPr="00097A86" w:rsidRDefault="003F0D4E" w:rsidP="002929D1">
            <w:pPr>
              <w:pStyle w:val="Tabletext"/>
              <w:ind w:left="177"/>
            </w:pPr>
            <w:r w:rsidRPr="00097A86">
              <w:t>part 1 (2000)</w:t>
            </w:r>
          </w:p>
          <w:p w14:paraId="1D2DAFC2" w14:textId="77777777" w:rsidR="003F0D4E" w:rsidRPr="00097A86" w:rsidRDefault="003F0D4E" w:rsidP="002929D1">
            <w:pPr>
              <w:pStyle w:val="Tabletext"/>
              <w:ind w:left="177"/>
            </w:pPr>
            <w:r w:rsidRPr="00097A86">
              <w:t xml:space="preserve">part 2 (2001) </w:t>
            </w:r>
          </w:p>
          <w:p w14:paraId="7CBC7A38" w14:textId="77777777" w:rsidR="003F0D4E" w:rsidRPr="00097A86" w:rsidRDefault="003F0D4E" w:rsidP="002929D1">
            <w:pPr>
              <w:pStyle w:val="Tabletext"/>
              <w:ind w:left="177"/>
            </w:pPr>
            <w:r w:rsidRPr="00097A86">
              <w:t xml:space="preserve">part 3 (2000) </w:t>
            </w:r>
          </w:p>
          <w:p w14:paraId="65A9A0E4" w14:textId="77777777" w:rsidR="003F0D4E" w:rsidRPr="00097A86" w:rsidRDefault="003F0D4E" w:rsidP="002929D1">
            <w:pPr>
              <w:pStyle w:val="Tabletext"/>
              <w:ind w:left="177"/>
            </w:pPr>
            <w:r w:rsidRPr="00097A86">
              <w:t xml:space="preserve">part 4 (2000) </w:t>
            </w:r>
          </w:p>
          <w:p w14:paraId="378E300F" w14:textId="77777777" w:rsidR="003F0D4E" w:rsidRPr="00097A86" w:rsidRDefault="003F0D4E" w:rsidP="002929D1">
            <w:pPr>
              <w:pStyle w:val="Tabletext"/>
              <w:ind w:left="177"/>
            </w:pPr>
            <w:r w:rsidRPr="00097A86">
              <w:t>part 5 (2000)</w:t>
            </w:r>
          </w:p>
          <w:p w14:paraId="64D67222" w14:textId="77777777" w:rsidR="003F0D4E" w:rsidRPr="00097A86" w:rsidRDefault="003F0D4E" w:rsidP="002929D1">
            <w:pPr>
              <w:pStyle w:val="Tabletext"/>
              <w:ind w:left="177"/>
            </w:pPr>
            <w:r w:rsidRPr="00097A86">
              <w:t>part 6 (2002)</w:t>
            </w:r>
          </w:p>
          <w:p w14:paraId="11E57585" w14:textId="77777777" w:rsidR="003F0D4E" w:rsidRPr="00097A86" w:rsidRDefault="003F0D4E" w:rsidP="00D22D3F">
            <w:pPr>
              <w:pStyle w:val="Tabletext"/>
            </w:pPr>
            <w:r w:rsidRPr="00097A86">
              <w:t>GPA 2145 – 03</w:t>
            </w:r>
          </w:p>
          <w:p w14:paraId="2ADA29C3" w14:textId="77777777" w:rsidR="003F0D4E" w:rsidRPr="00097A86" w:rsidRDefault="003F0D4E" w:rsidP="00D22D3F">
            <w:pPr>
              <w:pStyle w:val="Tabletext"/>
            </w:pPr>
            <w:r w:rsidRPr="00097A86">
              <w:t>GPA 2261 – 00</w:t>
            </w:r>
          </w:p>
        </w:tc>
      </w:tr>
      <w:tr w:rsidR="003F0D4E" w:rsidRPr="00097A86" w14:paraId="550C486A" w14:textId="77777777" w:rsidTr="00C20CC2">
        <w:tc>
          <w:tcPr>
            <w:tcW w:w="540" w:type="pct"/>
            <w:tcBorders>
              <w:bottom w:val="single" w:sz="4" w:space="0" w:color="auto"/>
            </w:tcBorders>
            <w:shd w:val="clear" w:color="auto" w:fill="auto"/>
          </w:tcPr>
          <w:p w14:paraId="02D33519" w14:textId="77777777" w:rsidR="003F0D4E" w:rsidRPr="00097A86" w:rsidRDefault="003F0D4E" w:rsidP="00D22D3F">
            <w:pPr>
              <w:pStyle w:val="Tabletext"/>
            </w:pPr>
            <w:r w:rsidRPr="00097A86">
              <w:t>12</w:t>
            </w:r>
          </w:p>
        </w:tc>
        <w:tc>
          <w:tcPr>
            <w:tcW w:w="1094" w:type="pct"/>
            <w:tcBorders>
              <w:bottom w:val="single" w:sz="4" w:space="0" w:color="auto"/>
            </w:tcBorders>
            <w:shd w:val="clear" w:color="auto" w:fill="auto"/>
          </w:tcPr>
          <w:p w14:paraId="7BA8A46B" w14:textId="77777777" w:rsidR="003F0D4E" w:rsidRPr="00097A86" w:rsidRDefault="003F0D4E" w:rsidP="00D22D3F">
            <w:pPr>
              <w:pStyle w:val="Tabletext"/>
            </w:pPr>
            <w:r w:rsidRPr="00097A86">
              <w:t>Sludge biogas that is captured for combustion</w:t>
            </w:r>
          </w:p>
        </w:tc>
        <w:tc>
          <w:tcPr>
            <w:tcW w:w="1385" w:type="pct"/>
            <w:tcBorders>
              <w:bottom w:val="single" w:sz="4" w:space="0" w:color="auto"/>
            </w:tcBorders>
            <w:shd w:val="clear" w:color="auto" w:fill="auto"/>
          </w:tcPr>
          <w:p w14:paraId="0FB8A0C0" w14:textId="77777777" w:rsidR="003F0D4E" w:rsidRPr="00097A86" w:rsidRDefault="003F0D4E" w:rsidP="00D22D3F">
            <w:pPr>
              <w:pStyle w:val="Tabletext"/>
            </w:pPr>
            <w:r w:rsidRPr="00097A86">
              <w:t>ASTM D 1826 – 94 (2003)</w:t>
            </w:r>
          </w:p>
          <w:p w14:paraId="38FBA451" w14:textId="77777777" w:rsidR="003F0D4E" w:rsidRPr="00097A86" w:rsidRDefault="003F0D4E" w:rsidP="00D22D3F">
            <w:pPr>
              <w:pStyle w:val="Tabletext"/>
            </w:pPr>
            <w:r w:rsidRPr="00097A86">
              <w:t>ASTM D 7164 – 05</w:t>
            </w:r>
          </w:p>
          <w:p w14:paraId="28DB849B" w14:textId="77777777" w:rsidR="003F0D4E" w:rsidRPr="00097A86" w:rsidRDefault="003F0D4E" w:rsidP="00D22D3F">
            <w:pPr>
              <w:pStyle w:val="Tabletext"/>
            </w:pPr>
            <w:r w:rsidRPr="00097A86">
              <w:t>ISO 6974</w:t>
            </w:r>
          </w:p>
          <w:p w14:paraId="087AE53C" w14:textId="77777777" w:rsidR="003F0D4E" w:rsidRPr="00097A86" w:rsidRDefault="003F0D4E" w:rsidP="002929D1">
            <w:pPr>
              <w:pStyle w:val="Tabletext"/>
              <w:ind w:left="177"/>
            </w:pPr>
            <w:r w:rsidRPr="00097A86">
              <w:t>part 1 (2000)</w:t>
            </w:r>
          </w:p>
          <w:p w14:paraId="6DB8E7BD" w14:textId="77777777" w:rsidR="003F0D4E" w:rsidRPr="00097A86" w:rsidRDefault="003F0D4E" w:rsidP="002929D1">
            <w:pPr>
              <w:pStyle w:val="Tabletext"/>
              <w:ind w:left="177"/>
            </w:pPr>
            <w:r w:rsidRPr="00097A86">
              <w:t xml:space="preserve">part 2 (2001) </w:t>
            </w:r>
          </w:p>
          <w:p w14:paraId="699F3FA9" w14:textId="77777777" w:rsidR="003F0D4E" w:rsidRPr="00097A86" w:rsidRDefault="003F0D4E" w:rsidP="002929D1">
            <w:pPr>
              <w:pStyle w:val="Tabletext"/>
              <w:ind w:left="177"/>
            </w:pPr>
            <w:r w:rsidRPr="00097A86">
              <w:t xml:space="preserve">part 3 (2000) </w:t>
            </w:r>
          </w:p>
          <w:p w14:paraId="1D5A15EE" w14:textId="77777777" w:rsidR="003F0D4E" w:rsidRPr="00097A86" w:rsidRDefault="003F0D4E" w:rsidP="002929D1">
            <w:pPr>
              <w:pStyle w:val="Tabletext"/>
              <w:ind w:left="177"/>
            </w:pPr>
            <w:r w:rsidRPr="00097A86">
              <w:t xml:space="preserve">part 4 (2000) </w:t>
            </w:r>
          </w:p>
          <w:p w14:paraId="240815A4" w14:textId="77777777" w:rsidR="003F0D4E" w:rsidRPr="00097A86" w:rsidRDefault="003F0D4E" w:rsidP="002929D1">
            <w:pPr>
              <w:pStyle w:val="Tabletext"/>
              <w:ind w:left="177"/>
            </w:pPr>
            <w:r w:rsidRPr="00097A86">
              <w:t>part 5 (2000)</w:t>
            </w:r>
          </w:p>
          <w:p w14:paraId="653307AC" w14:textId="77777777" w:rsidR="003F0D4E" w:rsidRPr="00097A86" w:rsidRDefault="003F0D4E" w:rsidP="002929D1">
            <w:pPr>
              <w:pStyle w:val="Tabletext"/>
              <w:ind w:left="177"/>
            </w:pPr>
            <w:r w:rsidRPr="00097A86">
              <w:t>part 6 (2002)</w:t>
            </w:r>
          </w:p>
          <w:p w14:paraId="71BA3C2E" w14:textId="77777777" w:rsidR="003F0D4E" w:rsidRPr="00097A86" w:rsidRDefault="003F0D4E" w:rsidP="00D22D3F">
            <w:pPr>
              <w:pStyle w:val="Tabletext"/>
            </w:pPr>
            <w:r w:rsidRPr="00097A86">
              <w:t>ISO 6976:1995</w:t>
            </w:r>
          </w:p>
          <w:p w14:paraId="10A3A3BB" w14:textId="77777777" w:rsidR="003F0D4E" w:rsidRPr="00097A86" w:rsidRDefault="003F0D4E" w:rsidP="00D22D3F">
            <w:pPr>
              <w:pStyle w:val="Tabletext"/>
            </w:pPr>
            <w:r w:rsidRPr="00097A86">
              <w:t>GPA 2172</w:t>
            </w:r>
            <w:r w:rsidR="00D22D3F" w:rsidRPr="00097A86">
              <w:t>—</w:t>
            </w:r>
            <w:r w:rsidRPr="00097A86">
              <w:t>96</w:t>
            </w:r>
          </w:p>
        </w:tc>
        <w:tc>
          <w:tcPr>
            <w:tcW w:w="1981" w:type="pct"/>
            <w:tcBorders>
              <w:bottom w:val="single" w:sz="4" w:space="0" w:color="auto"/>
            </w:tcBorders>
            <w:shd w:val="clear" w:color="auto" w:fill="auto"/>
          </w:tcPr>
          <w:p w14:paraId="70CCE983" w14:textId="77777777" w:rsidR="003F0D4E" w:rsidRPr="00097A86" w:rsidRDefault="003F0D4E" w:rsidP="00D22D3F">
            <w:pPr>
              <w:pStyle w:val="Tabletext"/>
            </w:pPr>
            <w:r w:rsidRPr="00097A86">
              <w:t xml:space="preserve">ASTM D 1945 – 03 </w:t>
            </w:r>
          </w:p>
          <w:p w14:paraId="002749B8" w14:textId="77777777" w:rsidR="003F0D4E" w:rsidRPr="00097A86" w:rsidRDefault="003F0D4E" w:rsidP="00D22D3F">
            <w:pPr>
              <w:pStyle w:val="Tabletext"/>
            </w:pPr>
            <w:r w:rsidRPr="00097A86">
              <w:t>ASTM D 1946 – 90 (2006)</w:t>
            </w:r>
          </w:p>
          <w:p w14:paraId="7E43C685" w14:textId="77777777" w:rsidR="003F0D4E" w:rsidRPr="00097A86" w:rsidRDefault="003F0D4E" w:rsidP="00D22D3F">
            <w:pPr>
              <w:pStyle w:val="Tabletext"/>
            </w:pPr>
            <w:r w:rsidRPr="00097A86">
              <w:t>ISO 6974</w:t>
            </w:r>
          </w:p>
          <w:p w14:paraId="0923E2BE" w14:textId="77777777" w:rsidR="003F0D4E" w:rsidRPr="00097A86" w:rsidRDefault="003F0D4E" w:rsidP="002929D1">
            <w:pPr>
              <w:pStyle w:val="Tabletext"/>
              <w:ind w:left="177"/>
            </w:pPr>
            <w:r w:rsidRPr="00097A86">
              <w:t>part 1 (2000)</w:t>
            </w:r>
          </w:p>
          <w:p w14:paraId="40BE4FA4" w14:textId="77777777" w:rsidR="003F0D4E" w:rsidRPr="00097A86" w:rsidRDefault="003F0D4E" w:rsidP="002929D1">
            <w:pPr>
              <w:pStyle w:val="Tabletext"/>
              <w:ind w:left="177"/>
            </w:pPr>
            <w:r w:rsidRPr="00097A86">
              <w:t xml:space="preserve">part 2 (2001) </w:t>
            </w:r>
          </w:p>
          <w:p w14:paraId="60021E64" w14:textId="77777777" w:rsidR="003F0D4E" w:rsidRPr="00097A86" w:rsidRDefault="003F0D4E" w:rsidP="002929D1">
            <w:pPr>
              <w:pStyle w:val="Tabletext"/>
              <w:ind w:left="177"/>
            </w:pPr>
            <w:r w:rsidRPr="00097A86">
              <w:t xml:space="preserve">part 3 (2000) </w:t>
            </w:r>
          </w:p>
          <w:p w14:paraId="4C54DE09" w14:textId="77777777" w:rsidR="003F0D4E" w:rsidRPr="00097A86" w:rsidRDefault="003F0D4E" w:rsidP="002929D1">
            <w:pPr>
              <w:pStyle w:val="Tabletext"/>
              <w:ind w:left="177"/>
            </w:pPr>
            <w:r w:rsidRPr="00097A86">
              <w:t xml:space="preserve">part 4 (2000) </w:t>
            </w:r>
          </w:p>
          <w:p w14:paraId="6ED6D4D6" w14:textId="77777777" w:rsidR="003F0D4E" w:rsidRPr="00097A86" w:rsidRDefault="003F0D4E" w:rsidP="002929D1">
            <w:pPr>
              <w:pStyle w:val="Tabletext"/>
              <w:ind w:left="177"/>
            </w:pPr>
            <w:r w:rsidRPr="00097A86">
              <w:t>part 5 (2000)</w:t>
            </w:r>
          </w:p>
          <w:p w14:paraId="42B00037" w14:textId="77777777" w:rsidR="003F0D4E" w:rsidRPr="00097A86" w:rsidRDefault="003F0D4E" w:rsidP="002929D1">
            <w:pPr>
              <w:pStyle w:val="Tabletext"/>
              <w:ind w:left="177"/>
            </w:pPr>
            <w:r w:rsidRPr="00097A86">
              <w:t>part 6 (2002)</w:t>
            </w:r>
          </w:p>
          <w:p w14:paraId="75051C2A" w14:textId="77777777" w:rsidR="003F0D4E" w:rsidRPr="00097A86" w:rsidRDefault="003F0D4E" w:rsidP="00D22D3F">
            <w:pPr>
              <w:pStyle w:val="Tabletext"/>
            </w:pPr>
            <w:r w:rsidRPr="00097A86">
              <w:t>GPA 2145 – 03</w:t>
            </w:r>
          </w:p>
          <w:p w14:paraId="60165D75" w14:textId="77777777" w:rsidR="003F0D4E" w:rsidRPr="00097A86" w:rsidRDefault="003F0D4E" w:rsidP="00D22D3F">
            <w:pPr>
              <w:pStyle w:val="Tabletext"/>
            </w:pPr>
            <w:r w:rsidRPr="00097A86">
              <w:t>GPA 2261 – 00</w:t>
            </w:r>
          </w:p>
        </w:tc>
      </w:tr>
      <w:tr w:rsidR="003F0D4E" w:rsidRPr="00097A86" w14:paraId="061546BC" w14:textId="77777777" w:rsidTr="00C20CC2">
        <w:trPr>
          <w:trHeight w:val="1995"/>
        </w:trPr>
        <w:tc>
          <w:tcPr>
            <w:tcW w:w="540" w:type="pct"/>
            <w:tcBorders>
              <w:bottom w:val="nil"/>
            </w:tcBorders>
            <w:shd w:val="clear" w:color="auto" w:fill="auto"/>
          </w:tcPr>
          <w:p w14:paraId="5342EE76" w14:textId="77777777" w:rsidR="003F0D4E" w:rsidRPr="00097A86" w:rsidRDefault="003F0D4E" w:rsidP="00331F4F">
            <w:pPr>
              <w:pStyle w:val="Tabletext"/>
            </w:pPr>
            <w:r w:rsidRPr="00097A86">
              <w:t>13</w:t>
            </w:r>
          </w:p>
        </w:tc>
        <w:tc>
          <w:tcPr>
            <w:tcW w:w="1094" w:type="pct"/>
            <w:tcBorders>
              <w:bottom w:val="nil"/>
            </w:tcBorders>
            <w:shd w:val="clear" w:color="auto" w:fill="auto"/>
          </w:tcPr>
          <w:p w14:paraId="49C30A8B" w14:textId="77777777" w:rsidR="003F0D4E" w:rsidRPr="00097A86" w:rsidRDefault="003F0D4E" w:rsidP="00331F4F">
            <w:pPr>
              <w:pStyle w:val="Tabletext"/>
            </w:pPr>
            <w:r w:rsidRPr="00097A86">
              <w:t>A biogas that is captured for combustion, other than those mentioned in items</w:t>
            </w:r>
            <w:r w:rsidR="00097A86">
              <w:t> </w:t>
            </w:r>
            <w:r w:rsidRPr="00097A86">
              <w:t>11 and 12</w:t>
            </w:r>
          </w:p>
        </w:tc>
        <w:tc>
          <w:tcPr>
            <w:tcW w:w="1385" w:type="pct"/>
            <w:tcBorders>
              <w:bottom w:val="nil"/>
            </w:tcBorders>
            <w:shd w:val="clear" w:color="auto" w:fill="auto"/>
          </w:tcPr>
          <w:p w14:paraId="5A7862FE" w14:textId="77777777" w:rsidR="003F0D4E" w:rsidRPr="00097A86" w:rsidRDefault="003F0D4E" w:rsidP="00331F4F">
            <w:pPr>
              <w:pStyle w:val="Tabletext"/>
            </w:pPr>
            <w:r w:rsidRPr="00097A86">
              <w:t>ASTM D 1826</w:t>
            </w:r>
            <w:r w:rsidR="00D22D3F" w:rsidRPr="00097A86">
              <w:t>—</w:t>
            </w:r>
            <w:r w:rsidRPr="00097A86">
              <w:t>94 (2003)</w:t>
            </w:r>
          </w:p>
          <w:p w14:paraId="577A84B6" w14:textId="77777777" w:rsidR="003F0D4E" w:rsidRPr="00097A86" w:rsidRDefault="003F0D4E" w:rsidP="00331F4F">
            <w:pPr>
              <w:pStyle w:val="Tabletext"/>
            </w:pPr>
            <w:r w:rsidRPr="00097A86">
              <w:t>ASTM D 7164</w:t>
            </w:r>
            <w:r w:rsidR="00D22D3F" w:rsidRPr="00097A86">
              <w:t>—</w:t>
            </w:r>
            <w:r w:rsidRPr="00097A86">
              <w:t>05</w:t>
            </w:r>
          </w:p>
          <w:p w14:paraId="12421D2D" w14:textId="77777777" w:rsidR="003F0D4E" w:rsidRPr="00097A86" w:rsidRDefault="003F0D4E" w:rsidP="00331F4F">
            <w:pPr>
              <w:pStyle w:val="Tabletext"/>
            </w:pPr>
            <w:r w:rsidRPr="00097A86">
              <w:t>ISO 6974</w:t>
            </w:r>
          </w:p>
          <w:p w14:paraId="0D65FFC6" w14:textId="77777777" w:rsidR="003F0D4E" w:rsidRPr="00097A86" w:rsidRDefault="003F0D4E" w:rsidP="002929D1">
            <w:pPr>
              <w:pStyle w:val="Tabletext"/>
              <w:ind w:left="177"/>
            </w:pPr>
            <w:r w:rsidRPr="00097A86">
              <w:t>part 1 (2000)</w:t>
            </w:r>
          </w:p>
          <w:p w14:paraId="1D11F9CB" w14:textId="77777777" w:rsidR="003F0D4E" w:rsidRPr="00097A86" w:rsidRDefault="003F0D4E" w:rsidP="002929D1">
            <w:pPr>
              <w:pStyle w:val="Tabletext"/>
              <w:ind w:left="177"/>
            </w:pPr>
            <w:r w:rsidRPr="00097A86">
              <w:t xml:space="preserve">part 2 (2001) </w:t>
            </w:r>
          </w:p>
          <w:p w14:paraId="55A89053" w14:textId="77777777" w:rsidR="003F0D4E" w:rsidRPr="00097A86" w:rsidRDefault="003F0D4E" w:rsidP="002929D1">
            <w:pPr>
              <w:pStyle w:val="Tabletext"/>
              <w:ind w:left="177"/>
            </w:pPr>
            <w:r w:rsidRPr="00097A86">
              <w:t xml:space="preserve">part 3 (2000) </w:t>
            </w:r>
          </w:p>
        </w:tc>
        <w:tc>
          <w:tcPr>
            <w:tcW w:w="1981" w:type="pct"/>
            <w:tcBorders>
              <w:bottom w:val="nil"/>
            </w:tcBorders>
            <w:shd w:val="clear" w:color="auto" w:fill="auto"/>
          </w:tcPr>
          <w:p w14:paraId="3EB5A71B" w14:textId="77777777" w:rsidR="003F0D4E" w:rsidRPr="00097A86" w:rsidRDefault="003F0D4E" w:rsidP="00331F4F">
            <w:pPr>
              <w:pStyle w:val="Tabletext"/>
            </w:pPr>
            <w:r w:rsidRPr="00097A86">
              <w:t>ASTM D 1945</w:t>
            </w:r>
            <w:r w:rsidR="00D22D3F" w:rsidRPr="00097A86">
              <w:t>—</w:t>
            </w:r>
            <w:r w:rsidRPr="00097A86">
              <w:t xml:space="preserve">03 </w:t>
            </w:r>
          </w:p>
          <w:p w14:paraId="59D88050" w14:textId="77777777" w:rsidR="003F0D4E" w:rsidRPr="00097A86" w:rsidRDefault="003F0D4E" w:rsidP="00331F4F">
            <w:pPr>
              <w:pStyle w:val="Tabletext"/>
            </w:pPr>
            <w:r w:rsidRPr="00097A86">
              <w:t>ASTM D 1946</w:t>
            </w:r>
            <w:r w:rsidR="00D22D3F" w:rsidRPr="00097A86">
              <w:t>—</w:t>
            </w:r>
            <w:r w:rsidRPr="00097A86">
              <w:t>90 (2006)</w:t>
            </w:r>
          </w:p>
          <w:p w14:paraId="61BF5E2B" w14:textId="77777777" w:rsidR="003F0D4E" w:rsidRPr="00097A86" w:rsidRDefault="003F0D4E" w:rsidP="00331F4F">
            <w:pPr>
              <w:pStyle w:val="Tabletext"/>
            </w:pPr>
            <w:r w:rsidRPr="00097A86">
              <w:t>ISO 6974</w:t>
            </w:r>
          </w:p>
          <w:p w14:paraId="058C810D" w14:textId="77777777" w:rsidR="003F0D4E" w:rsidRPr="00097A86" w:rsidRDefault="003F0D4E" w:rsidP="002929D1">
            <w:pPr>
              <w:pStyle w:val="Tabletext"/>
              <w:ind w:left="177"/>
            </w:pPr>
            <w:r w:rsidRPr="00097A86">
              <w:t>part 1 (2000)</w:t>
            </w:r>
          </w:p>
          <w:p w14:paraId="7A3F72A3" w14:textId="77777777" w:rsidR="003F0D4E" w:rsidRPr="00097A86" w:rsidRDefault="003F0D4E" w:rsidP="002929D1">
            <w:pPr>
              <w:pStyle w:val="Tabletext"/>
              <w:ind w:left="177"/>
            </w:pPr>
            <w:r w:rsidRPr="00097A86">
              <w:t xml:space="preserve">part 2 (2001) </w:t>
            </w:r>
          </w:p>
          <w:p w14:paraId="6F1DC9C7" w14:textId="77777777" w:rsidR="003F0D4E" w:rsidRPr="00097A86" w:rsidRDefault="003F0D4E" w:rsidP="002929D1">
            <w:pPr>
              <w:pStyle w:val="Tabletext"/>
              <w:ind w:left="177"/>
            </w:pPr>
            <w:r w:rsidRPr="00097A86">
              <w:t xml:space="preserve">part 3 (2000) </w:t>
            </w:r>
          </w:p>
          <w:p w14:paraId="64D2CD27" w14:textId="77777777" w:rsidR="003F0D4E" w:rsidRPr="00097A86" w:rsidRDefault="003F0D4E" w:rsidP="002929D1">
            <w:pPr>
              <w:pStyle w:val="Tabletext"/>
              <w:ind w:left="177"/>
            </w:pPr>
            <w:r w:rsidRPr="00097A86">
              <w:t xml:space="preserve">part 4 (2000) </w:t>
            </w:r>
          </w:p>
        </w:tc>
      </w:tr>
      <w:tr w:rsidR="00331F4F" w:rsidRPr="00097A86" w14:paraId="1355CCB6" w14:textId="77777777" w:rsidTr="00C20CC2">
        <w:trPr>
          <w:trHeight w:val="345"/>
        </w:trPr>
        <w:tc>
          <w:tcPr>
            <w:tcW w:w="540" w:type="pct"/>
            <w:tcBorders>
              <w:top w:val="nil"/>
              <w:bottom w:val="nil"/>
            </w:tcBorders>
            <w:shd w:val="clear" w:color="auto" w:fill="auto"/>
          </w:tcPr>
          <w:p w14:paraId="79474D8B" w14:textId="77777777" w:rsidR="00331F4F" w:rsidRPr="00097A86" w:rsidRDefault="00331F4F" w:rsidP="00331F4F">
            <w:pPr>
              <w:pStyle w:val="Tabletext"/>
            </w:pPr>
          </w:p>
        </w:tc>
        <w:tc>
          <w:tcPr>
            <w:tcW w:w="1094" w:type="pct"/>
            <w:tcBorders>
              <w:top w:val="nil"/>
              <w:bottom w:val="nil"/>
            </w:tcBorders>
            <w:shd w:val="clear" w:color="auto" w:fill="auto"/>
          </w:tcPr>
          <w:p w14:paraId="3F76D6FD" w14:textId="77777777" w:rsidR="00331F4F" w:rsidRPr="00097A86" w:rsidRDefault="00331F4F" w:rsidP="00331F4F">
            <w:pPr>
              <w:pStyle w:val="Tabletext"/>
            </w:pPr>
          </w:p>
        </w:tc>
        <w:tc>
          <w:tcPr>
            <w:tcW w:w="1385" w:type="pct"/>
            <w:tcBorders>
              <w:top w:val="nil"/>
              <w:bottom w:val="nil"/>
            </w:tcBorders>
            <w:shd w:val="clear" w:color="auto" w:fill="auto"/>
          </w:tcPr>
          <w:p w14:paraId="4D228DBD" w14:textId="77777777" w:rsidR="00331F4F" w:rsidRPr="00097A86" w:rsidRDefault="00331F4F" w:rsidP="002929D1">
            <w:pPr>
              <w:pStyle w:val="Tabletext"/>
              <w:ind w:left="177"/>
            </w:pPr>
            <w:r w:rsidRPr="00097A86">
              <w:t xml:space="preserve">part 4 (2000) </w:t>
            </w:r>
          </w:p>
          <w:p w14:paraId="41A45FBB" w14:textId="77777777" w:rsidR="00331F4F" w:rsidRPr="00097A86" w:rsidRDefault="00331F4F" w:rsidP="002929D1">
            <w:pPr>
              <w:pStyle w:val="Tabletext"/>
              <w:ind w:left="177"/>
            </w:pPr>
            <w:r w:rsidRPr="00097A86">
              <w:lastRenderedPageBreak/>
              <w:t>part 5 (2000)</w:t>
            </w:r>
          </w:p>
          <w:p w14:paraId="59F95B21" w14:textId="77777777" w:rsidR="00331F4F" w:rsidRPr="00097A86" w:rsidRDefault="00331F4F" w:rsidP="002929D1">
            <w:pPr>
              <w:pStyle w:val="Tabletext"/>
              <w:ind w:left="177"/>
            </w:pPr>
            <w:r w:rsidRPr="00097A86">
              <w:t>part 6 (2002)</w:t>
            </w:r>
          </w:p>
        </w:tc>
        <w:tc>
          <w:tcPr>
            <w:tcW w:w="1981" w:type="pct"/>
            <w:tcBorders>
              <w:top w:val="nil"/>
              <w:bottom w:val="nil"/>
            </w:tcBorders>
            <w:shd w:val="clear" w:color="auto" w:fill="auto"/>
          </w:tcPr>
          <w:p w14:paraId="4E29E4CB" w14:textId="77777777" w:rsidR="00331F4F" w:rsidRPr="00097A86" w:rsidRDefault="00331F4F" w:rsidP="002929D1">
            <w:pPr>
              <w:pStyle w:val="Tabletext"/>
              <w:ind w:left="177"/>
            </w:pPr>
            <w:r w:rsidRPr="00097A86">
              <w:lastRenderedPageBreak/>
              <w:t>part 5 (2000)</w:t>
            </w:r>
          </w:p>
          <w:p w14:paraId="383B177D" w14:textId="77777777" w:rsidR="00331F4F" w:rsidRPr="00097A86" w:rsidRDefault="00331F4F" w:rsidP="002929D1">
            <w:pPr>
              <w:pStyle w:val="Tabletext"/>
              <w:ind w:left="177"/>
            </w:pPr>
            <w:r w:rsidRPr="00097A86">
              <w:lastRenderedPageBreak/>
              <w:t>part 6 (2002)</w:t>
            </w:r>
          </w:p>
          <w:p w14:paraId="4E00E4C9" w14:textId="77777777" w:rsidR="00331F4F" w:rsidRPr="00097A86" w:rsidRDefault="00331F4F" w:rsidP="00331F4F">
            <w:pPr>
              <w:pStyle w:val="Tabletext"/>
            </w:pPr>
            <w:r w:rsidRPr="00097A86">
              <w:t>GPA 2145 – 03</w:t>
            </w:r>
          </w:p>
        </w:tc>
      </w:tr>
      <w:tr w:rsidR="00B20F33" w:rsidRPr="00097A86" w14:paraId="0DC9496D" w14:textId="77777777" w:rsidTr="00C20CC2">
        <w:trPr>
          <w:trHeight w:val="530"/>
        </w:trPr>
        <w:tc>
          <w:tcPr>
            <w:tcW w:w="540" w:type="pct"/>
            <w:tcBorders>
              <w:top w:val="nil"/>
              <w:bottom w:val="single" w:sz="12" w:space="0" w:color="auto"/>
            </w:tcBorders>
            <w:shd w:val="clear" w:color="auto" w:fill="auto"/>
          </w:tcPr>
          <w:p w14:paraId="5D9B25DA" w14:textId="77777777" w:rsidR="00B20F33" w:rsidRPr="00097A86" w:rsidRDefault="00B20F33" w:rsidP="00331F4F">
            <w:pPr>
              <w:pStyle w:val="Tabletext"/>
            </w:pPr>
          </w:p>
        </w:tc>
        <w:tc>
          <w:tcPr>
            <w:tcW w:w="1094" w:type="pct"/>
            <w:tcBorders>
              <w:top w:val="nil"/>
              <w:bottom w:val="single" w:sz="12" w:space="0" w:color="auto"/>
            </w:tcBorders>
            <w:shd w:val="clear" w:color="auto" w:fill="auto"/>
          </w:tcPr>
          <w:p w14:paraId="2407FDD4" w14:textId="77777777" w:rsidR="00B20F33" w:rsidRPr="00097A86" w:rsidRDefault="00B20F33" w:rsidP="00331F4F">
            <w:pPr>
              <w:pStyle w:val="Tabletext"/>
            </w:pPr>
          </w:p>
        </w:tc>
        <w:tc>
          <w:tcPr>
            <w:tcW w:w="1385" w:type="pct"/>
            <w:tcBorders>
              <w:top w:val="nil"/>
              <w:bottom w:val="single" w:sz="12" w:space="0" w:color="auto"/>
            </w:tcBorders>
            <w:shd w:val="clear" w:color="auto" w:fill="auto"/>
          </w:tcPr>
          <w:p w14:paraId="61A17B7D" w14:textId="77777777" w:rsidR="00B20F33" w:rsidRPr="00097A86" w:rsidRDefault="00B20F33" w:rsidP="00331F4F">
            <w:pPr>
              <w:pStyle w:val="Tabletext"/>
            </w:pPr>
            <w:r w:rsidRPr="00097A86">
              <w:t>ISO 6976:1995</w:t>
            </w:r>
          </w:p>
          <w:p w14:paraId="0B0B6393" w14:textId="77777777" w:rsidR="00B20F33" w:rsidRPr="00097A86" w:rsidRDefault="00B20F33" w:rsidP="00331F4F">
            <w:pPr>
              <w:pStyle w:val="Tabletext"/>
            </w:pPr>
            <w:r w:rsidRPr="00097A86">
              <w:t>GPA 2172—96</w:t>
            </w:r>
          </w:p>
        </w:tc>
        <w:tc>
          <w:tcPr>
            <w:tcW w:w="1981" w:type="pct"/>
            <w:tcBorders>
              <w:top w:val="nil"/>
              <w:bottom w:val="single" w:sz="12" w:space="0" w:color="auto"/>
            </w:tcBorders>
            <w:shd w:val="clear" w:color="auto" w:fill="auto"/>
          </w:tcPr>
          <w:p w14:paraId="4EF7A6DD" w14:textId="77777777" w:rsidR="00B20F33" w:rsidRPr="00097A86" w:rsidRDefault="00B20F33" w:rsidP="00331F4F">
            <w:pPr>
              <w:pStyle w:val="Tabletext"/>
            </w:pPr>
            <w:r w:rsidRPr="00097A86">
              <w:t>GPA 2261 – 00</w:t>
            </w:r>
          </w:p>
        </w:tc>
      </w:tr>
    </w:tbl>
    <w:p w14:paraId="7E12859A" w14:textId="77777777" w:rsidR="003F0D4E" w:rsidRPr="00097A86" w:rsidRDefault="003F0D4E" w:rsidP="00D22D3F">
      <w:pPr>
        <w:pStyle w:val="subsection"/>
      </w:pPr>
      <w:r w:rsidRPr="00097A86">
        <w:tab/>
        <w:t>(2)</w:t>
      </w:r>
      <w:r w:rsidRPr="00097A86">
        <w:tab/>
        <w:t xml:space="preserve">A gaseous fuel mentioned in column 2 of an item in the table in </w:t>
      </w:r>
      <w:r w:rsidR="00097A86">
        <w:t>subsection (</w:t>
      </w:r>
      <w:r w:rsidRPr="00097A86">
        <w:t>1) may also be analysed in accordance with a standard that is equivalent to a standard set out in column 3 and 4 of the item.</w:t>
      </w:r>
    </w:p>
    <w:p w14:paraId="279C6F31" w14:textId="77777777" w:rsidR="00B96490" w:rsidRPr="00097A86" w:rsidRDefault="00B96490" w:rsidP="00CE7384">
      <w:pPr>
        <w:pStyle w:val="subsection"/>
        <w:keepNext/>
        <w:keepLines/>
      </w:pPr>
      <w:r w:rsidRPr="00097A86">
        <w:tab/>
        <w:t>(3)</w:t>
      </w:r>
      <w:r w:rsidRPr="00097A86">
        <w:tab/>
        <w:t>The analysis must be undertaken:</w:t>
      </w:r>
    </w:p>
    <w:p w14:paraId="37626339" w14:textId="77777777" w:rsidR="00B96490" w:rsidRPr="00097A86" w:rsidRDefault="00B96490" w:rsidP="00D22D3F">
      <w:pPr>
        <w:pStyle w:val="paragraph"/>
      </w:pPr>
      <w:r w:rsidRPr="00097A86">
        <w:tab/>
        <w:t>(a)</w:t>
      </w:r>
      <w:r w:rsidRPr="00097A86">
        <w:tab/>
        <w:t>by an accredited laboratory; or</w:t>
      </w:r>
    </w:p>
    <w:p w14:paraId="548552EE" w14:textId="77777777" w:rsidR="00B96490" w:rsidRPr="00097A86" w:rsidRDefault="00B96490" w:rsidP="00D22D3F">
      <w:pPr>
        <w:pStyle w:val="paragraph"/>
      </w:pPr>
      <w:r w:rsidRPr="00097A86">
        <w:tab/>
        <w:t>(b)</w:t>
      </w:r>
      <w:r w:rsidRPr="00097A86">
        <w:tab/>
        <w:t>by a laboratory that meets requirements that are equivalent to the requirements in AS ISO/IEC 17025:2005; or</w:t>
      </w:r>
    </w:p>
    <w:p w14:paraId="19CB4A68" w14:textId="77777777" w:rsidR="00B96490" w:rsidRPr="00097A86" w:rsidRDefault="00B96490" w:rsidP="00D22D3F">
      <w:pPr>
        <w:pStyle w:val="paragraph"/>
      </w:pPr>
      <w:r w:rsidRPr="00097A86">
        <w:tab/>
        <w:t>(c)</w:t>
      </w:r>
      <w:r w:rsidRPr="00097A86">
        <w:tab/>
        <w:t>using an online analyser if:</w:t>
      </w:r>
    </w:p>
    <w:p w14:paraId="26F2385F" w14:textId="77777777" w:rsidR="00B96490" w:rsidRPr="00097A86" w:rsidRDefault="00B96490" w:rsidP="00D22D3F">
      <w:pPr>
        <w:pStyle w:val="paragraphsub"/>
      </w:pPr>
      <w:r w:rsidRPr="00097A86">
        <w:tab/>
        <w:t>(i)</w:t>
      </w:r>
      <w:r w:rsidRPr="00097A86">
        <w:tab/>
        <w:t>the online analyser is calibrated in accordance with an appropriate standard; and</w:t>
      </w:r>
    </w:p>
    <w:p w14:paraId="35695E04" w14:textId="77777777" w:rsidR="00B96490" w:rsidRPr="00097A86" w:rsidRDefault="00B96490" w:rsidP="00D22D3F">
      <w:pPr>
        <w:pStyle w:val="paragraphsub"/>
      </w:pPr>
      <w:r w:rsidRPr="00097A86">
        <w:tab/>
        <w:t>(ii)</w:t>
      </w:r>
      <w:r w:rsidRPr="00097A86">
        <w:tab/>
        <w:t>the online analysis is undertaken in accordance with this section.</w:t>
      </w:r>
    </w:p>
    <w:p w14:paraId="2648A090" w14:textId="77777777" w:rsidR="00B96490" w:rsidRPr="00097A86" w:rsidRDefault="00D22D3F" w:rsidP="00D22D3F">
      <w:pPr>
        <w:pStyle w:val="notetext"/>
      </w:pPr>
      <w:r w:rsidRPr="00097A86">
        <w:t>Note:</w:t>
      </w:r>
      <w:r w:rsidRPr="00097A86">
        <w:tab/>
      </w:r>
      <w:r w:rsidR="00B96490" w:rsidRPr="00097A86">
        <w:t>An example of an appropriate standard is ISO 6975:1997—</w:t>
      </w:r>
      <w:r w:rsidR="00B96490" w:rsidRPr="00097A86">
        <w:rPr>
          <w:i/>
        </w:rPr>
        <w:t>Natural gas—Extended analysis—Gas</w:t>
      </w:r>
      <w:r w:rsidR="00097A86">
        <w:rPr>
          <w:i/>
        </w:rPr>
        <w:noBreakHyphen/>
      </w:r>
      <w:r w:rsidR="00B96490" w:rsidRPr="00097A86">
        <w:rPr>
          <w:i/>
        </w:rPr>
        <w:t>chromatographic method</w:t>
      </w:r>
      <w:r w:rsidR="00B96490" w:rsidRPr="00097A86">
        <w:t>.</w:t>
      </w:r>
    </w:p>
    <w:p w14:paraId="4B44775F" w14:textId="77777777" w:rsidR="003F0D4E" w:rsidRPr="00097A86" w:rsidRDefault="003F0D4E" w:rsidP="00D22D3F">
      <w:pPr>
        <w:pStyle w:val="subsection"/>
      </w:pPr>
      <w:r w:rsidRPr="00097A86">
        <w:tab/>
        <w:t>(4)</w:t>
      </w:r>
      <w:r w:rsidRPr="00097A86">
        <w:tab/>
        <w:t xml:space="preserve">The density of a gaseous fuel mentioned in column 2 of an item in the table in </w:t>
      </w:r>
      <w:r w:rsidR="00097A86">
        <w:t>subsection (</w:t>
      </w:r>
      <w:r w:rsidRPr="00097A86">
        <w:t>1) must be analysed in accordance with ISO 6976:1995 or in accordance with a standard that is equivalent to that standard.</w:t>
      </w:r>
    </w:p>
    <w:p w14:paraId="1CA46728" w14:textId="77777777" w:rsidR="003F0D4E" w:rsidRPr="00097A86" w:rsidRDefault="003F0D4E" w:rsidP="00D22D3F">
      <w:pPr>
        <w:pStyle w:val="ActHead5"/>
      </w:pPr>
      <w:bookmarkStart w:id="128" w:name="_Toc13233574"/>
      <w:r w:rsidRPr="00097A86">
        <w:rPr>
          <w:rStyle w:val="CharSectno"/>
        </w:rPr>
        <w:t>2.25</w:t>
      </w:r>
      <w:r w:rsidR="00D22D3F" w:rsidRPr="00097A86">
        <w:t xml:space="preserve">  </w:t>
      </w:r>
      <w:r w:rsidRPr="00097A86">
        <w:t>Frequency of analysis</w:t>
      </w:r>
      <w:bookmarkEnd w:id="128"/>
    </w:p>
    <w:p w14:paraId="6A1635BB" w14:textId="77777777" w:rsidR="003F0D4E" w:rsidRPr="00097A86" w:rsidRDefault="003F0D4E" w:rsidP="00D22D3F">
      <w:pPr>
        <w:pStyle w:val="subsection"/>
      </w:pPr>
      <w:r w:rsidRPr="00097A86">
        <w:tab/>
      </w:r>
      <w:r w:rsidRPr="00097A86">
        <w:tab/>
        <w:t>Gaseous fuel of a type mentioned in column 2 of an item in the following table must be analysed for the parameter mentioned in column 3 for that item at least at the frequency mentioned in column 4 for that item.</w:t>
      </w:r>
    </w:p>
    <w:p w14:paraId="71183CB8" w14:textId="77777777" w:rsidR="00D22D3F" w:rsidRPr="00097A86" w:rsidRDefault="00D22D3F" w:rsidP="00D22D3F">
      <w:pPr>
        <w:pStyle w:val="Tabletext"/>
      </w:pPr>
    </w:p>
    <w:tbl>
      <w:tblPr>
        <w:tblW w:w="5000" w:type="pct"/>
        <w:tblLook w:val="01E0" w:firstRow="1" w:lastRow="1" w:firstColumn="1" w:lastColumn="1" w:noHBand="0" w:noVBand="0"/>
      </w:tblPr>
      <w:tblGrid>
        <w:gridCol w:w="678"/>
        <w:gridCol w:w="1992"/>
        <w:gridCol w:w="2080"/>
        <w:gridCol w:w="3563"/>
      </w:tblGrid>
      <w:tr w:rsidR="003F0D4E" w:rsidRPr="00097A86" w14:paraId="55A9406E" w14:textId="77777777" w:rsidTr="00C20CC2">
        <w:trPr>
          <w:cantSplit/>
          <w:trHeight w:val="340"/>
          <w:tblHeader/>
        </w:trPr>
        <w:tc>
          <w:tcPr>
            <w:tcW w:w="407" w:type="pct"/>
            <w:tcBorders>
              <w:top w:val="single" w:sz="12" w:space="0" w:color="auto"/>
              <w:bottom w:val="single" w:sz="12" w:space="0" w:color="auto"/>
            </w:tcBorders>
          </w:tcPr>
          <w:p w14:paraId="49DE4D5D" w14:textId="77777777" w:rsidR="003F0D4E" w:rsidRPr="00097A86" w:rsidRDefault="003F0D4E" w:rsidP="00D22D3F">
            <w:pPr>
              <w:pStyle w:val="TableHeading"/>
            </w:pPr>
            <w:r w:rsidRPr="00097A86">
              <w:t>Item</w:t>
            </w:r>
          </w:p>
        </w:tc>
        <w:tc>
          <w:tcPr>
            <w:tcW w:w="1198" w:type="pct"/>
            <w:tcBorders>
              <w:top w:val="single" w:sz="12" w:space="0" w:color="auto"/>
              <w:bottom w:val="single" w:sz="12" w:space="0" w:color="auto"/>
            </w:tcBorders>
          </w:tcPr>
          <w:p w14:paraId="704ABFA0" w14:textId="77777777" w:rsidR="003F0D4E" w:rsidRPr="00097A86" w:rsidRDefault="003F0D4E" w:rsidP="00D22D3F">
            <w:pPr>
              <w:pStyle w:val="TableHeading"/>
            </w:pPr>
            <w:r w:rsidRPr="00097A86">
              <w:t>Fuel</w:t>
            </w:r>
          </w:p>
        </w:tc>
        <w:tc>
          <w:tcPr>
            <w:tcW w:w="1251" w:type="pct"/>
            <w:tcBorders>
              <w:top w:val="single" w:sz="12" w:space="0" w:color="auto"/>
              <w:bottom w:val="single" w:sz="12" w:space="0" w:color="auto"/>
            </w:tcBorders>
          </w:tcPr>
          <w:p w14:paraId="7EA64AF7" w14:textId="77777777" w:rsidR="003F0D4E" w:rsidRPr="00097A86" w:rsidRDefault="003F0D4E" w:rsidP="00D22D3F">
            <w:pPr>
              <w:pStyle w:val="TableHeading"/>
            </w:pPr>
            <w:r w:rsidRPr="00097A86">
              <w:t>Parameter</w:t>
            </w:r>
          </w:p>
        </w:tc>
        <w:tc>
          <w:tcPr>
            <w:tcW w:w="2143" w:type="pct"/>
            <w:tcBorders>
              <w:top w:val="single" w:sz="12" w:space="0" w:color="auto"/>
              <w:bottom w:val="single" w:sz="12" w:space="0" w:color="auto"/>
            </w:tcBorders>
          </w:tcPr>
          <w:p w14:paraId="4C96F106" w14:textId="77777777" w:rsidR="003F0D4E" w:rsidRPr="00097A86" w:rsidRDefault="003F0D4E" w:rsidP="00D22D3F">
            <w:pPr>
              <w:pStyle w:val="TableHeading"/>
            </w:pPr>
            <w:r w:rsidRPr="00097A86">
              <w:t>Frequency</w:t>
            </w:r>
          </w:p>
        </w:tc>
      </w:tr>
      <w:tr w:rsidR="003F6899" w:rsidRPr="00097A86" w14:paraId="67D37250" w14:textId="77777777" w:rsidTr="00C20CC2">
        <w:trPr>
          <w:cantSplit/>
          <w:trHeight w:val="1600"/>
        </w:trPr>
        <w:tc>
          <w:tcPr>
            <w:tcW w:w="407" w:type="pct"/>
            <w:tcBorders>
              <w:top w:val="single" w:sz="12" w:space="0" w:color="auto"/>
              <w:bottom w:val="single" w:sz="4" w:space="0" w:color="auto"/>
            </w:tcBorders>
          </w:tcPr>
          <w:p w14:paraId="5919A037" w14:textId="77777777" w:rsidR="003F6899" w:rsidRPr="00097A86" w:rsidRDefault="003F6899" w:rsidP="00D22D3F">
            <w:pPr>
              <w:pStyle w:val="Tabletext"/>
            </w:pPr>
            <w:r w:rsidRPr="00097A86">
              <w:t>1</w:t>
            </w:r>
          </w:p>
        </w:tc>
        <w:tc>
          <w:tcPr>
            <w:tcW w:w="1198" w:type="pct"/>
            <w:tcBorders>
              <w:top w:val="single" w:sz="12" w:space="0" w:color="auto"/>
              <w:bottom w:val="single" w:sz="4" w:space="0" w:color="auto"/>
            </w:tcBorders>
          </w:tcPr>
          <w:p w14:paraId="4724392B" w14:textId="77777777" w:rsidR="003F6899" w:rsidRPr="00097A86" w:rsidRDefault="003F6899" w:rsidP="00D22D3F">
            <w:pPr>
              <w:pStyle w:val="Tabletext"/>
            </w:pPr>
            <w:r w:rsidRPr="00097A86">
              <w:t>Pipeline quality gases</w:t>
            </w:r>
          </w:p>
        </w:tc>
        <w:tc>
          <w:tcPr>
            <w:tcW w:w="1251" w:type="pct"/>
            <w:tcBorders>
              <w:top w:val="single" w:sz="12" w:space="0" w:color="auto"/>
              <w:bottom w:val="single" w:sz="4" w:space="0" w:color="auto"/>
            </w:tcBorders>
          </w:tcPr>
          <w:p w14:paraId="53B202A2" w14:textId="77777777" w:rsidR="003F6899" w:rsidRPr="00097A86" w:rsidRDefault="003F6899" w:rsidP="00D22D3F">
            <w:pPr>
              <w:pStyle w:val="Tabletext"/>
            </w:pPr>
            <w:r w:rsidRPr="00097A86">
              <w:t>Gas composition</w:t>
            </w:r>
          </w:p>
          <w:p w14:paraId="6F1BDCC9" w14:textId="77777777" w:rsidR="003F6899" w:rsidRPr="00097A86" w:rsidRDefault="003F6899" w:rsidP="00D22D3F">
            <w:pPr>
              <w:pStyle w:val="Tabletext"/>
            </w:pPr>
            <w:r w:rsidRPr="00097A86">
              <w:t>Energy content</w:t>
            </w:r>
          </w:p>
        </w:tc>
        <w:tc>
          <w:tcPr>
            <w:tcW w:w="2143" w:type="pct"/>
            <w:tcBorders>
              <w:top w:val="single" w:sz="12" w:space="0" w:color="auto"/>
              <w:bottom w:val="single" w:sz="4" w:space="0" w:color="auto"/>
            </w:tcBorders>
          </w:tcPr>
          <w:p w14:paraId="1AF2065B" w14:textId="77777777" w:rsidR="003F6899" w:rsidRPr="00097A86" w:rsidRDefault="003F6899" w:rsidP="00D22D3F">
            <w:pPr>
              <w:pStyle w:val="Tabletext"/>
            </w:pPr>
            <w:r w:rsidRPr="00097A86">
              <w:t>Monthly</w:t>
            </w:r>
          </w:p>
          <w:p w14:paraId="51EA83EF" w14:textId="77777777" w:rsidR="003F6899" w:rsidRPr="00097A86" w:rsidRDefault="003F6899" w:rsidP="00D22D3F">
            <w:pPr>
              <w:pStyle w:val="Tabletext"/>
            </w:pPr>
            <w:r w:rsidRPr="00097A86">
              <w:t>Monthly—if category 1 or 2 gas measuring equipment is used</w:t>
            </w:r>
          </w:p>
          <w:p w14:paraId="2CD44E7A" w14:textId="77777777" w:rsidR="003F6899" w:rsidRPr="00097A86" w:rsidRDefault="003F6899" w:rsidP="00D22D3F">
            <w:pPr>
              <w:pStyle w:val="Tabletext"/>
            </w:pPr>
            <w:r w:rsidRPr="00097A86">
              <w:t>Continuous—if category 3 or 4 gas measuring equipment is used</w:t>
            </w:r>
          </w:p>
        </w:tc>
      </w:tr>
      <w:tr w:rsidR="003F0D4E" w:rsidRPr="00097A86" w14:paraId="3A158834" w14:textId="77777777" w:rsidTr="00C20CC2">
        <w:trPr>
          <w:cantSplit/>
        </w:trPr>
        <w:tc>
          <w:tcPr>
            <w:tcW w:w="407" w:type="pct"/>
            <w:tcBorders>
              <w:top w:val="single" w:sz="4" w:space="0" w:color="auto"/>
              <w:bottom w:val="single" w:sz="12" w:space="0" w:color="auto"/>
            </w:tcBorders>
          </w:tcPr>
          <w:p w14:paraId="35D558A8" w14:textId="77777777" w:rsidR="003F0D4E" w:rsidRPr="00097A86" w:rsidRDefault="003F0D4E" w:rsidP="00D22D3F">
            <w:pPr>
              <w:pStyle w:val="Tabletext"/>
            </w:pPr>
            <w:r w:rsidRPr="00097A86">
              <w:t>2</w:t>
            </w:r>
          </w:p>
        </w:tc>
        <w:tc>
          <w:tcPr>
            <w:tcW w:w="1198" w:type="pct"/>
            <w:tcBorders>
              <w:top w:val="single" w:sz="4" w:space="0" w:color="auto"/>
              <w:bottom w:val="single" w:sz="12" w:space="0" w:color="auto"/>
            </w:tcBorders>
          </w:tcPr>
          <w:p w14:paraId="54B6E698" w14:textId="77777777" w:rsidR="003F0D4E" w:rsidRPr="00097A86" w:rsidRDefault="001B438D" w:rsidP="00D22D3F">
            <w:pPr>
              <w:pStyle w:val="Tabletext"/>
            </w:pPr>
            <w:r w:rsidRPr="00097A86">
              <w:t>All other gases (including fugitive emissions)</w:t>
            </w:r>
          </w:p>
        </w:tc>
        <w:tc>
          <w:tcPr>
            <w:tcW w:w="1251" w:type="pct"/>
            <w:tcBorders>
              <w:top w:val="single" w:sz="4" w:space="0" w:color="auto"/>
              <w:bottom w:val="single" w:sz="12" w:space="0" w:color="auto"/>
            </w:tcBorders>
          </w:tcPr>
          <w:p w14:paraId="07B92C97" w14:textId="77777777" w:rsidR="003F0D4E" w:rsidRPr="00097A86" w:rsidRDefault="003F0D4E" w:rsidP="00D22D3F">
            <w:pPr>
              <w:pStyle w:val="Tabletext"/>
            </w:pPr>
            <w:r w:rsidRPr="00097A86">
              <w:t>Gas composition</w:t>
            </w:r>
          </w:p>
          <w:p w14:paraId="65F04863" w14:textId="77777777" w:rsidR="003F0D4E" w:rsidRPr="00097A86" w:rsidRDefault="003F0D4E" w:rsidP="00D22D3F">
            <w:pPr>
              <w:pStyle w:val="Tabletext"/>
            </w:pPr>
            <w:r w:rsidRPr="00097A86">
              <w:t>Energy content</w:t>
            </w:r>
          </w:p>
        </w:tc>
        <w:tc>
          <w:tcPr>
            <w:tcW w:w="2143" w:type="pct"/>
            <w:tcBorders>
              <w:top w:val="single" w:sz="4" w:space="0" w:color="auto"/>
              <w:bottom w:val="single" w:sz="12" w:space="0" w:color="auto"/>
            </w:tcBorders>
          </w:tcPr>
          <w:p w14:paraId="4E15EC42" w14:textId="77777777" w:rsidR="003F0D4E" w:rsidRPr="00097A86" w:rsidRDefault="003F0D4E" w:rsidP="00D22D3F">
            <w:pPr>
              <w:pStyle w:val="Tabletext"/>
            </w:pPr>
            <w:r w:rsidRPr="00097A86">
              <w:t xml:space="preserve">Monthly, unless the reporting corporation </w:t>
            </w:r>
            <w:r w:rsidR="00DE7F9E" w:rsidRPr="00097A86">
              <w:t xml:space="preserve">or </w:t>
            </w:r>
            <w:r w:rsidR="00FB7093">
              <w:t>registered person</w:t>
            </w:r>
            <w:r w:rsidR="00DE7F9E" w:rsidRPr="00097A86">
              <w:t xml:space="preserve"> </w:t>
            </w:r>
            <w:r w:rsidRPr="00097A86">
              <w:t>certifies in writing that such frequency of analysis will cause significant hardship or expense in which case the analysis may be undertaken at a frequency that will allow an unbiased estimate to be obtained</w:t>
            </w:r>
          </w:p>
        </w:tc>
      </w:tr>
    </w:tbl>
    <w:p w14:paraId="6716FFC4" w14:textId="77777777" w:rsidR="003F0D4E" w:rsidRPr="00097A86" w:rsidRDefault="00D22D3F" w:rsidP="00D22D3F">
      <w:pPr>
        <w:pStyle w:val="notetext"/>
      </w:pPr>
      <w:r w:rsidRPr="00097A86">
        <w:lastRenderedPageBreak/>
        <w:t>Note:</w:t>
      </w:r>
      <w:r w:rsidRPr="00097A86">
        <w:tab/>
      </w:r>
      <w:r w:rsidR="003F0D4E" w:rsidRPr="00097A86">
        <w:t>The table in section</w:t>
      </w:r>
      <w:r w:rsidR="00097A86">
        <w:t> </w:t>
      </w:r>
      <w:r w:rsidR="003F0D4E" w:rsidRPr="00097A86">
        <w:t>2.31 sets out the categories of gas measuring equipment.</w:t>
      </w:r>
    </w:p>
    <w:p w14:paraId="785EE9FA" w14:textId="77777777" w:rsidR="003F0D4E" w:rsidRPr="00097A86" w:rsidRDefault="003F0D4E" w:rsidP="00D22D3F">
      <w:pPr>
        <w:pStyle w:val="ActHead3"/>
        <w:pageBreakBefore/>
      </w:pPr>
      <w:bookmarkStart w:id="129" w:name="_Toc13233575"/>
      <w:r w:rsidRPr="00097A86">
        <w:rPr>
          <w:rStyle w:val="CharDivNo"/>
        </w:rPr>
        <w:lastRenderedPageBreak/>
        <w:t>Division</w:t>
      </w:r>
      <w:r w:rsidR="00097A86">
        <w:rPr>
          <w:rStyle w:val="CharDivNo"/>
        </w:rPr>
        <w:t> </w:t>
      </w:r>
      <w:r w:rsidRPr="00097A86">
        <w:rPr>
          <w:rStyle w:val="CharDivNo"/>
        </w:rPr>
        <w:t>2.3.4</w:t>
      </w:r>
      <w:r w:rsidR="00D22D3F" w:rsidRPr="00097A86">
        <w:t>—</w:t>
      </w:r>
      <w:r w:rsidRPr="00097A86">
        <w:rPr>
          <w:rStyle w:val="CharDivText"/>
        </w:rPr>
        <w:t>Method 3</w:t>
      </w:r>
      <w:r w:rsidR="00D22D3F" w:rsidRPr="00097A86">
        <w:rPr>
          <w:rStyle w:val="CharDivText"/>
        </w:rPr>
        <w:t>—</w:t>
      </w:r>
      <w:r w:rsidRPr="00097A86">
        <w:rPr>
          <w:rStyle w:val="CharDivText"/>
        </w:rPr>
        <w:t>emissions of carbon dioxide released from the combustion of gaseous fuels</w:t>
      </w:r>
      <w:bookmarkEnd w:id="129"/>
    </w:p>
    <w:p w14:paraId="6C430B9C" w14:textId="77777777" w:rsidR="003F0D4E" w:rsidRPr="00097A86" w:rsidRDefault="003F0D4E" w:rsidP="00D22D3F">
      <w:pPr>
        <w:pStyle w:val="ActHead5"/>
      </w:pPr>
      <w:bookmarkStart w:id="130" w:name="_Toc13233576"/>
      <w:r w:rsidRPr="00097A86">
        <w:rPr>
          <w:rStyle w:val="CharSectno"/>
        </w:rPr>
        <w:t>2.26</w:t>
      </w:r>
      <w:r w:rsidR="00D22D3F" w:rsidRPr="00097A86">
        <w:t xml:space="preserve">  </w:t>
      </w:r>
      <w:r w:rsidRPr="00097A86">
        <w:t>Method 3</w:t>
      </w:r>
      <w:r w:rsidR="00D22D3F" w:rsidRPr="00097A86">
        <w:t>—</w:t>
      </w:r>
      <w:r w:rsidRPr="00097A86">
        <w:t>emissions of carbon dioxide from the combustion of gaseous fuels</w:t>
      </w:r>
      <w:bookmarkEnd w:id="130"/>
    </w:p>
    <w:p w14:paraId="6321602C" w14:textId="77777777" w:rsidR="003F0D4E" w:rsidRPr="00097A86" w:rsidRDefault="003F0D4E" w:rsidP="00D22D3F">
      <w:pPr>
        <w:pStyle w:val="subsection"/>
      </w:pPr>
      <w:r w:rsidRPr="00097A86">
        <w:tab/>
        <w:t>(1)</w:t>
      </w:r>
      <w:r w:rsidRPr="00097A86">
        <w:tab/>
        <w:t>For subparagraph</w:t>
      </w:r>
      <w:r w:rsidR="00097A86">
        <w:t> </w:t>
      </w:r>
      <w:r w:rsidRPr="00097A86">
        <w:t xml:space="preserve">2.19(1)(a)(iii) and subject to </w:t>
      </w:r>
      <w:r w:rsidR="00097A86">
        <w:t>subsection (</w:t>
      </w:r>
      <w:r w:rsidRPr="00097A86">
        <w:t>2), method 3 for estimating emissions of carbon dioxide is the same as method 2 under section</w:t>
      </w:r>
      <w:r w:rsidR="00097A86">
        <w:t> </w:t>
      </w:r>
      <w:r w:rsidRPr="00097A86">
        <w:t>2.21.</w:t>
      </w:r>
    </w:p>
    <w:p w14:paraId="1273659C" w14:textId="77777777" w:rsidR="003F0D4E" w:rsidRPr="00097A86" w:rsidRDefault="003F0D4E" w:rsidP="00D22D3F">
      <w:pPr>
        <w:pStyle w:val="subsection"/>
      </w:pPr>
      <w:r w:rsidRPr="00097A86">
        <w:tab/>
        <w:t>(2)</w:t>
      </w:r>
      <w:r w:rsidRPr="00097A86">
        <w:tab/>
        <w:t>In applying method 2 under section</w:t>
      </w:r>
      <w:r w:rsidR="00097A86">
        <w:t> </w:t>
      </w:r>
      <w:r w:rsidRPr="00097A86">
        <w:t xml:space="preserve">2.21, gaseous fuels must be sampled in accordance with a standard specified in the table in </w:t>
      </w:r>
      <w:r w:rsidR="00097A86">
        <w:t>subsection (</w:t>
      </w:r>
      <w:r w:rsidRPr="00097A86">
        <w:t>3).</w:t>
      </w:r>
    </w:p>
    <w:p w14:paraId="700DBB2E" w14:textId="77777777" w:rsidR="003F0D4E" w:rsidRPr="00097A86" w:rsidRDefault="003F0D4E" w:rsidP="00D22D3F">
      <w:pPr>
        <w:pStyle w:val="subsection"/>
      </w:pPr>
      <w:r w:rsidRPr="00097A86">
        <w:tab/>
        <w:t>(3)</w:t>
      </w:r>
      <w:r w:rsidRPr="00097A86">
        <w:tab/>
        <w:t>A standard for sampling a gaseous fuel mentioned column 2 of an item in the following table is the standard specified in column 3 for that item.</w:t>
      </w:r>
    </w:p>
    <w:p w14:paraId="59D2C5AD"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3"/>
        <w:gridCol w:w="3317"/>
        <w:gridCol w:w="4103"/>
      </w:tblGrid>
      <w:tr w:rsidR="003F0D4E" w:rsidRPr="00097A86" w14:paraId="42E2EED5" w14:textId="77777777" w:rsidTr="00C20CC2">
        <w:trPr>
          <w:tblHeader/>
        </w:trPr>
        <w:tc>
          <w:tcPr>
            <w:tcW w:w="537" w:type="pct"/>
            <w:tcBorders>
              <w:top w:val="single" w:sz="12" w:space="0" w:color="auto"/>
              <w:bottom w:val="single" w:sz="12" w:space="0" w:color="auto"/>
            </w:tcBorders>
            <w:shd w:val="clear" w:color="auto" w:fill="auto"/>
          </w:tcPr>
          <w:p w14:paraId="05F66255" w14:textId="77777777" w:rsidR="003F0D4E" w:rsidRPr="00097A86" w:rsidRDefault="003F0D4E" w:rsidP="00D22D3F">
            <w:pPr>
              <w:pStyle w:val="TableHeading"/>
            </w:pPr>
            <w:r w:rsidRPr="00097A86">
              <w:t>Item</w:t>
            </w:r>
          </w:p>
        </w:tc>
        <w:tc>
          <w:tcPr>
            <w:tcW w:w="1995" w:type="pct"/>
            <w:tcBorders>
              <w:top w:val="single" w:sz="12" w:space="0" w:color="auto"/>
              <w:bottom w:val="single" w:sz="12" w:space="0" w:color="auto"/>
            </w:tcBorders>
            <w:shd w:val="clear" w:color="auto" w:fill="auto"/>
            <w:vAlign w:val="center"/>
          </w:tcPr>
          <w:p w14:paraId="5826FA3E" w14:textId="77777777" w:rsidR="003F0D4E" w:rsidRPr="00097A86" w:rsidRDefault="003F0D4E" w:rsidP="00D22D3F">
            <w:pPr>
              <w:pStyle w:val="TableHeading"/>
            </w:pPr>
            <w:r w:rsidRPr="00097A86">
              <w:t>Gaseous fuel</w:t>
            </w:r>
          </w:p>
        </w:tc>
        <w:tc>
          <w:tcPr>
            <w:tcW w:w="2468" w:type="pct"/>
            <w:tcBorders>
              <w:top w:val="single" w:sz="12" w:space="0" w:color="auto"/>
              <w:bottom w:val="single" w:sz="12" w:space="0" w:color="auto"/>
            </w:tcBorders>
            <w:shd w:val="clear" w:color="auto" w:fill="auto"/>
            <w:vAlign w:val="center"/>
          </w:tcPr>
          <w:p w14:paraId="6A5B1289" w14:textId="77777777" w:rsidR="003F0D4E" w:rsidRPr="00097A86" w:rsidRDefault="003F0D4E" w:rsidP="00D22D3F">
            <w:pPr>
              <w:pStyle w:val="TableHeading"/>
            </w:pPr>
            <w:r w:rsidRPr="00097A86">
              <w:t xml:space="preserve">Standard </w:t>
            </w:r>
          </w:p>
        </w:tc>
      </w:tr>
      <w:tr w:rsidR="003F0D4E" w:rsidRPr="00097A86" w14:paraId="60FBCB52" w14:textId="77777777" w:rsidTr="00C20CC2">
        <w:tc>
          <w:tcPr>
            <w:tcW w:w="537" w:type="pct"/>
            <w:tcBorders>
              <w:top w:val="single" w:sz="12" w:space="0" w:color="auto"/>
            </w:tcBorders>
            <w:shd w:val="clear" w:color="auto" w:fill="auto"/>
          </w:tcPr>
          <w:p w14:paraId="16F12BC9" w14:textId="77777777" w:rsidR="003F0D4E" w:rsidRPr="00097A86" w:rsidRDefault="003F0D4E" w:rsidP="00D22D3F">
            <w:pPr>
              <w:pStyle w:val="Tabletext"/>
            </w:pPr>
            <w:r w:rsidRPr="00097A86">
              <w:t>1</w:t>
            </w:r>
          </w:p>
        </w:tc>
        <w:tc>
          <w:tcPr>
            <w:tcW w:w="1995" w:type="pct"/>
            <w:tcBorders>
              <w:top w:val="single" w:sz="12" w:space="0" w:color="auto"/>
            </w:tcBorders>
            <w:shd w:val="clear" w:color="auto" w:fill="auto"/>
          </w:tcPr>
          <w:p w14:paraId="3D297FA8" w14:textId="77777777" w:rsidR="003F0D4E" w:rsidRPr="00097A86" w:rsidRDefault="003F0D4E" w:rsidP="00D22D3F">
            <w:pPr>
              <w:pStyle w:val="Tabletext"/>
            </w:pPr>
            <w:r w:rsidRPr="00097A86">
              <w:t>Natural gas if distributed in a pipeline</w:t>
            </w:r>
          </w:p>
        </w:tc>
        <w:tc>
          <w:tcPr>
            <w:tcW w:w="2468" w:type="pct"/>
            <w:tcBorders>
              <w:top w:val="single" w:sz="12" w:space="0" w:color="auto"/>
            </w:tcBorders>
            <w:shd w:val="clear" w:color="auto" w:fill="auto"/>
          </w:tcPr>
          <w:p w14:paraId="7C132E5D" w14:textId="77777777" w:rsidR="003F0D4E" w:rsidRPr="00097A86" w:rsidRDefault="003F0D4E" w:rsidP="00D22D3F">
            <w:pPr>
              <w:pStyle w:val="Tabletext"/>
            </w:pPr>
            <w:r w:rsidRPr="00097A86">
              <w:t>ISO 10715:1997</w:t>
            </w:r>
          </w:p>
          <w:p w14:paraId="06E699EE" w14:textId="77777777" w:rsidR="003F0D4E" w:rsidRPr="00097A86" w:rsidRDefault="003F0D4E" w:rsidP="00D22D3F">
            <w:pPr>
              <w:pStyle w:val="Tabletext"/>
            </w:pPr>
            <w:r w:rsidRPr="00097A86">
              <w:t>ASTM D 5287–97 (2002)</w:t>
            </w:r>
          </w:p>
          <w:p w14:paraId="57ABE18D" w14:textId="77777777" w:rsidR="003F0D4E" w:rsidRPr="00097A86" w:rsidRDefault="003F0D4E" w:rsidP="00D22D3F">
            <w:pPr>
              <w:pStyle w:val="Tabletext"/>
            </w:pPr>
            <w:r w:rsidRPr="00097A86">
              <w:t>ASTM F 307–02 (2007)</w:t>
            </w:r>
          </w:p>
          <w:p w14:paraId="77F8D0DC" w14:textId="77777777" w:rsidR="003F0D4E" w:rsidRPr="00097A86" w:rsidRDefault="003F0D4E" w:rsidP="00D22D3F">
            <w:pPr>
              <w:pStyle w:val="Tabletext"/>
            </w:pPr>
            <w:r w:rsidRPr="00097A86">
              <w:t>ASTM D 5503–94 (2003)</w:t>
            </w:r>
          </w:p>
          <w:p w14:paraId="1F7184AE" w14:textId="77777777" w:rsidR="003F0D4E" w:rsidRPr="00097A86" w:rsidRDefault="003F0D4E" w:rsidP="00D22D3F">
            <w:pPr>
              <w:pStyle w:val="Tabletext"/>
            </w:pPr>
            <w:r w:rsidRPr="00097A86">
              <w:t>GPA 2166–05</w:t>
            </w:r>
          </w:p>
        </w:tc>
      </w:tr>
      <w:tr w:rsidR="003F0D4E" w:rsidRPr="00097A86" w14:paraId="299EF43B" w14:textId="77777777" w:rsidTr="00C20CC2">
        <w:tc>
          <w:tcPr>
            <w:tcW w:w="537" w:type="pct"/>
            <w:shd w:val="clear" w:color="auto" w:fill="auto"/>
          </w:tcPr>
          <w:p w14:paraId="36B3E6E6" w14:textId="77777777" w:rsidR="003F0D4E" w:rsidRPr="00097A86" w:rsidRDefault="003F0D4E" w:rsidP="00D22D3F">
            <w:pPr>
              <w:pStyle w:val="Tabletext"/>
            </w:pPr>
            <w:r w:rsidRPr="00097A86">
              <w:t>2</w:t>
            </w:r>
          </w:p>
        </w:tc>
        <w:tc>
          <w:tcPr>
            <w:tcW w:w="1995" w:type="pct"/>
            <w:shd w:val="clear" w:color="auto" w:fill="auto"/>
          </w:tcPr>
          <w:p w14:paraId="2EADE4CA" w14:textId="77777777" w:rsidR="003F0D4E" w:rsidRPr="00097A86" w:rsidRDefault="003F0D4E" w:rsidP="00D22D3F">
            <w:pPr>
              <w:pStyle w:val="Tabletext"/>
            </w:pPr>
            <w:r w:rsidRPr="00097A86">
              <w:t>Coal seam methane that is captured for combustion</w:t>
            </w:r>
          </w:p>
        </w:tc>
        <w:tc>
          <w:tcPr>
            <w:tcW w:w="2468" w:type="pct"/>
            <w:shd w:val="clear" w:color="auto" w:fill="auto"/>
          </w:tcPr>
          <w:p w14:paraId="602EEE0D" w14:textId="77777777" w:rsidR="003F0D4E" w:rsidRPr="00097A86" w:rsidRDefault="003F0D4E" w:rsidP="00D22D3F">
            <w:pPr>
              <w:pStyle w:val="Tabletext"/>
            </w:pPr>
            <w:r w:rsidRPr="00097A86">
              <w:t>ISO 10715:1997</w:t>
            </w:r>
          </w:p>
          <w:p w14:paraId="036F4C4E" w14:textId="77777777" w:rsidR="003F0D4E" w:rsidRPr="00097A86" w:rsidRDefault="003F0D4E" w:rsidP="00D22D3F">
            <w:pPr>
              <w:pStyle w:val="Tabletext"/>
            </w:pPr>
            <w:r w:rsidRPr="00097A86">
              <w:t>ASTM D 5287–97 (2002)</w:t>
            </w:r>
          </w:p>
          <w:p w14:paraId="5FCF0F2C" w14:textId="77777777" w:rsidR="003F0D4E" w:rsidRPr="00097A86" w:rsidRDefault="003F0D4E" w:rsidP="00D22D3F">
            <w:pPr>
              <w:pStyle w:val="Tabletext"/>
            </w:pPr>
            <w:r w:rsidRPr="00097A86">
              <w:t>ASTM F 307–02 (2007)</w:t>
            </w:r>
          </w:p>
          <w:p w14:paraId="2585E5B9" w14:textId="77777777" w:rsidR="003F0D4E" w:rsidRPr="00097A86" w:rsidRDefault="003F0D4E" w:rsidP="00D22D3F">
            <w:pPr>
              <w:pStyle w:val="Tabletext"/>
            </w:pPr>
            <w:r w:rsidRPr="00097A86">
              <w:t>ASTM D 5503–94 (2003)</w:t>
            </w:r>
          </w:p>
          <w:p w14:paraId="1CCAC2C6" w14:textId="77777777" w:rsidR="003F0D4E" w:rsidRPr="00097A86" w:rsidRDefault="003F0D4E" w:rsidP="00D22D3F">
            <w:pPr>
              <w:pStyle w:val="Tabletext"/>
            </w:pPr>
            <w:r w:rsidRPr="00097A86">
              <w:t>GPA 2166–05</w:t>
            </w:r>
          </w:p>
        </w:tc>
      </w:tr>
      <w:tr w:rsidR="003F0D4E" w:rsidRPr="00097A86" w14:paraId="64BEEAA7" w14:textId="77777777" w:rsidTr="00C20CC2">
        <w:tc>
          <w:tcPr>
            <w:tcW w:w="537" w:type="pct"/>
            <w:shd w:val="clear" w:color="auto" w:fill="auto"/>
          </w:tcPr>
          <w:p w14:paraId="520C4E27" w14:textId="77777777" w:rsidR="003F0D4E" w:rsidRPr="00097A86" w:rsidRDefault="003F0D4E" w:rsidP="00D22D3F">
            <w:pPr>
              <w:pStyle w:val="Tabletext"/>
            </w:pPr>
            <w:r w:rsidRPr="00097A86">
              <w:t>3</w:t>
            </w:r>
          </w:p>
        </w:tc>
        <w:tc>
          <w:tcPr>
            <w:tcW w:w="1995" w:type="pct"/>
            <w:shd w:val="clear" w:color="auto" w:fill="auto"/>
          </w:tcPr>
          <w:p w14:paraId="3D1F1C63" w14:textId="77777777" w:rsidR="003F0D4E" w:rsidRPr="00097A86" w:rsidRDefault="003F0D4E" w:rsidP="00D22D3F">
            <w:pPr>
              <w:pStyle w:val="Tabletext"/>
            </w:pPr>
            <w:r w:rsidRPr="00097A86">
              <w:t>Coal mine waste gas that is captured for combustion</w:t>
            </w:r>
          </w:p>
        </w:tc>
        <w:tc>
          <w:tcPr>
            <w:tcW w:w="2468" w:type="pct"/>
            <w:shd w:val="clear" w:color="auto" w:fill="auto"/>
          </w:tcPr>
          <w:p w14:paraId="6D90E338" w14:textId="77777777" w:rsidR="003F0D4E" w:rsidRPr="00097A86" w:rsidRDefault="003F0D4E" w:rsidP="00D22D3F">
            <w:pPr>
              <w:pStyle w:val="Tabletext"/>
            </w:pPr>
            <w:r w:rsidRPr="00097A86">
              <w:t>ISO 10715:1997</w:t>
            </w:r>
          </w:p>
          <w:p w14:paraId="6A69D2B4" w14:textId="77777777" w:rsidR="003F0D4E" w:rsidRPr="00097A86" w:rsidRDefault="003F0D4E" w:rsidP="00D22D3F">
            <w:pPr>
              <w:pStyle w:val="Tabletext"/>
            </w:pPr>
            <w:r w:rsidRPr="00097A86">
              <w:t>ASTM D 5287–97 (2002)</w:t>
            </w:r>
          </w:p>
          <w:p w14:paraId="78C52ADD" w14:textId="77777777" w:rsidR="003F0D4E" w:rsidRPr="00097A86" w:rsidRDefault="003F0D4E" w:rsidP="00D22D3F">
            <w:pPr>
              <w:pStyle w:val="Tabletext"/>
            </w:pPr>
            <w:r w:rsidRPr="00097A86">
              <w:t>ASTM F 307–02 (2007)</w:t>
            </w:r>
          </w:p>
          <w:p w14:paraId="3F0A5A92" w14:textId="77777777" w:rsidR="003F0D4E" w:rsidRPr="00097A86" w:rsidRDefault="003F0D4E" w:rsidP="00D22D3F">
            <w:pPr>
              <w:pStyle w:val="Tabletext"/>
            </w:pPr>
            <w:r w:rsidRPr="00097A86">
              <w:t>ASTM D 5503–94 (2003)</w:t>
            </w:r>
          </w:p>
          <w:p w14:paraId="0B41574D" w14:textId="77777777" w:rsidR="003F0D4E" w:rsidRPr="00097A86" w:rsidRDefault="003F0D4E" w:rsidP="00D22D3F">
            <w:pPr>
              <w:pStyle w:val="Tabletext"/>
            </w:pPr>
            <w:r w:rsidRPr="00097A86">
              <w:t>GPA 2166–05</w:t>
            </w:r>
          </w:p>
        </w:tc>
      </w:tr>
      <w:tr w:rsidR="003F0D4E" w:rsidRPr="00097A86" w14:paraId="03C5B841" w14:textId="77777777" w:rsidTr="00C20CC2">
        <w:tc>
          <w:tcPr>
            <w:tcW w:w="537" w:type="pct"/>
            <w:shd w:val="clear" w:color="auto" w:fill="auto"/>
          </w:tcPr>
          <w:p w14:paraId="0B3D0607" w14:textId="77777777" w:rsidR="003F0D4E" w:rsidRPr="00097A86" w:rsidRDefault="003F0D4E" w:rsidP="00D22D3F">
            <w:pPr>
              <w:pStyle w:val="Tabletext"/>
            </w:pPr>
            <w:r w:rsidRPr="00097A86">
              <w:t>4</w:t>
            </w:r>
          </w:p>
        </w:tc>
        <w:tc>
          <w:tcPr>
            <w:tcW w:w="1995" w:type="pct"/>
            <w:shd w:val="clear" w:color="auto" w:fill="auto"/>
          </w:tcPr>
          <w:p w14:paraId="3F1CE999" w14:textId="77777777" w:rsidR="003F0D4E" w:rsidRPr="00097A86" w:rsidRDefault="003F0D4E" w:rsidP="00D22D3F">
            <w:pPr>
              <w:pStyle w:val="Tabletext"/>
            </w:pPr>
            <w:r w:rsidRPr="00097A86">
              <w:t>Compressed natural gas</w:t>
            </w:r>
          </w:p>
        </w:tc>
        <w:tc>
          <w:tcPr>
            <w:tcW w:w="2468" w:type="pct"/>
            <w:shd w:val="clear" w:color="auto" w:fill="auto"/>
          </w:tcPr>
          <w:p w14:paraId="533A6F1E" w14:textId="77777777" w:rsidR="003F0D4E" w:rsidRPr="00097A86" w:rsidRDefault="003F0D4E" w:rsidP="00D22D3F">
            <w:pPr>
              <w:pStyle w:val="Tabletext"/>
            </w:pPr>
            <w:r w:rsidRPr="00097A86">
              <w:t>ASTM F 307–02 (2007)</w:t>
            </w:r>
          </w:p>
        </w:tc>
      </w:tr>
      <w:tr w:rsidR="003F0D4E" w:rsidRPr="00097A86" w14:paraId="472CB558" w14:textId="77777777" w:rsidTr="00C20CC2">
        <w:tc>
          <w:tcPr>
            <w:tcW w:w="537" w:type="pct"/>
            <w:shd w:val="clear" w:color="auto" w:fill="auto"/>
          </w:tcPr>
          <w:p w14:paraId="533A4DBC" w14:textId="77777777" w:rsidR="003F0D4E" w:rsidRPr="00097A86" w:rsidRDefault="003F0D4E" w:rsidP="00D22D3F">
            <w:pPr>
              <w:pStyle w:val="Tabletext"/>
            </w:pPr>
            <w:r w:rsidRPr="00097A86">
              <w:t>5</w:t>
            </w:r>
          </w:p>
        </w:tc>
        <w:tc>
          <w:tcPr>
            <w:tcW w:w="1995" w:type="pct"/>
            <w:shd w:val="clear" w:color="auto" w:fill="auto"/>
          </w:tcPr>
          <w:p w14:paraId="7EC50101" w14:textId="77777777" w:rsidR="003F0D4E" w:rsidRPr="00097A86" w:rsidRDefault="003F0D4E" w:rsidP="00D22D3F">
            <w:pPr>
              <w:pStyle w:val="Tabletext"/>
            </w:pPr>
            <w:r w:rsidRPr="00097A86">
              <w:t>Unprocessed natural gas</w:t>
            </w:r>
          </w:p>
        </w:tc>
        <w:tc>
          <w:tcPr>
            <w:tcW w:w="2468" w:type="pct"/>
            <w:shd w:val="clear" w:color="auto" w:fill="auto"/>
          </w:tcPr>
          <w:p w14:paraId="66C49027" w14:textId="77777777" w:rsidR="003F0D4E" w:rsidRPr="00097A86" w:rsidRDefault="003F0D4E" w:rsidP="00D22D3F">
            <w:pPr>
              <w:pStyle w:val="Tabletext"/>
            </w:pPr>
            <w:r w:rsidRPr="00097A86">
              <w:t>ASTM D 5287–97 (2002)</w:t>
            </w:r>
          </w:p>
          <w:p w14:paraId="1DDB0DB3" w14:textId="77777777" w:rsidR="003F0D4E" w:rsidRPr="00097A86" w:rsidRDefault="003F0D4E" w:rsidP="00D22D3F">
            <w:pPr>
              <w:pStyle w:val="Tabletext"/>
            </w:pPr>
            <w:r w:rsidRPr="00097A86">
              <w:t>ASTM F 307–02 (2007)</w:t>
            </w:r>
          </w:p>
          <w:p w14:paraId="77A94438" w14:textId="77777777" w:rsidR="003F0D4E" w:rsidRPr="00097A86" w:rsidRDefault="003F0D4E" w:rsidP="00D22D3F">
            <w:pPr>
              <w:pStyle w:val="Tabletext"/>
            </w:pPr>
            <w:r w:rsidRPr="00097A86">
              <w:t>ASTM D 5503–94 (2003)</w:t>
            </w:r>
          </w:p>
          <w:p w14:paraId="33AB2164" w14:textId="77777777" w:rsidR="003F0D4E" w:rsidRPr="00097A86" w:rsidRDefault="003F0D4E" w:rsidP="00D22D3F">
            <w:pPr>
              <w:pStyle w:val="Tabletext"/>
            </w:pPr>
            <w:r w:rsidRPr="00097A86">
              <w:t>GPA 2166–05</w:t>
            </w:r>
          </w:p>
        </w:tc>
      </w:tr>
      <w:tr w:rsidR="003F0D4E" w:rsidRPr="00097A86" w14:paraId="4BE8ED8A" w14:textId="77777777" w:rsidTr="00C20CC2">
        <w:tc>
          <w:tcPr>
            <w:tcW w:w="537" w:type="pct"/>
            <w:shd w:val="clear" w:color="auto" w:fill="auto"/>
          </w:tcPr>
          <w:p w14:paraId="1935DDC4" w14:textId="77777777" w:rsidR="003F0D4E" w:rsidRPr="00097A86" w:rsidRDefault="003F0D4E" w:rsidP="00D22D3F">
            <w:pPr>
              <w:pStyle w:val="Tabletext"/>
            </w:pPr>
            <w:r w:rsidRPr="00097A86">
              <w:t>6</w:t>
            </w:r>
          </w:p>
        </w:tc>
        <w:tc>
          <w:tcPr>
            <w:tcW w:w="1995" w:type="pct"/>
            <w:shd w:val="clear" w:color="auto" w:fill="auto"/>
          </w:tcPr>
          <w:p w14:paraId="42897827" w14:textId="77777777" w:rsidR="003F0D4E" w:rsidRPr="00097A86" w:rsidRDefault="003F0D4E" w:rsidP="00D22D3F">
            <w:pPr>
              <w:pStyle w:val="Tabletext"/>
            </w:pPr>
            <w:r w:rsidRPr="00097A86">
              <w:t>Ethane</w:t>
            </w:r>
          </w:p>
        </w:tc>
        <w:tc>
          <w:tcPr>
            <w:tcW w:w="2468" w:type="pct"/>
            <w:shd w:val="clear" w:color="auto" w:fill="auto"/>
          </w:tcPr>
          <w:p w14:paraId="2ED342BE" w14:textId="77777777" w:rsidR="003F0D4E" w:rsidRPr="00097A86" w:rsidRDefault="003F0D4E" w:rsidP="00D22D3F">
            <w:pPr>
              <w:pStyle w:val="Tabletext"/>
            </w:pPr>
            <w:r w:rsidRPr="00097A86">
              <w:t>ISO 10715:1997</w:t>
            </w:r>
          </w:p>
          <w:p w14:paraId="79B42CF1" w14:textId="77777777" w:rsidR="003F0D4E" w:rsidRPr="00097A86" w:rsidRDefault="003F0D4E" w:rsidP="00D22D3F">
            <w:pPr>
              <w:pStyle w:val="Tabletext"/>
            </w:pPr>
            <w:r w:rsidRPr="00097A86">
              <w:t>ASTM D 5287–97 (2002)</w:t>
            </w:r>
          </w:p>
          <w:p w14:paraId="102D030E" w14:textId="77777777" w:rsidR="003F0D4E" w:rsidRPr="00097A86" w:rsidRDefault="003F0D4E" w:rsidP="00D22D3F">
            <w:pPr>
              <w:pStyle w:val="Tabletext"/>
            </w:pPr>
            <w:r w:rsidRPr="00097A86">
              <w:t>ASTM F 307–02 (2007)</w:t>
            </w:r>
          </w:p>
          <w:p w14:paraId="29DAD9F9" w14:textId="77777777" w:rsidR="003F0D4E" w:rsidRPr="00097A86" w:rsidRDefault="003F0D4E" w:rsidP="00D22D3F">
            <w:pPr>
              <w:pStyle w:val="Tabletext"/>
            </w:pPr>
            <w:r w:rsidRPr="00097A86">
              <w:t>ASTM D 5503–94 (2003)</w:t>
            </w:r>
          </w:p>
        </w:tc>
      </w:tr>
      <w:tr w:rsidR="003F0D4E" w:rsidRPr="00097A86" w14:paraId="4F527BDD" w14:textId="77777777" w:rsidTr="00C20CC2">
        <w:trPr>
          <w:cantSplit/>
        </w:trPr>
        <w:tc>
          <w:tcPr>
            <w:tcW w:w="537" w:type="pct"/>
            <w:shd w:val="clear" w:color="auto" w:fill="auto"/>
          </w:tcPr>
          <w:p w14:paraId="41ED96EF" w14:textId="77777777" w:rsidR="003F0D4E" w:rsidRPr="00097A86" w:rsidRDefault="003F0D4E" w:rsidP="00D22D3F">
            <w:pPr>
              <w:pStyle w:val="Tabletext"/>
            </w:pPr>
            <w:r w:rsidRPr="00097A86">
              <w:lastRenderedPageBreak/>
              <w:t>7</w:t>
            </w:r>
          </w:p>
        </w:tc>
        <w:tc>
          <w:tcPr>
            <w:tcW w:w="1995" w:type="pct"/>
            <w:shd w:val="clear" w:color="auto" w:fill="auto"/>
          </w:tcPr>
          <w:p w14:paraId="52C41375" w14:textId="77777777" w:rsidR="003F0D4E" w:rsidRPr="00097A86" w:rsidRDefault="003F0D4E" w:rsidP="00D22D3F">
            <w:pPr>
              <w:pStyle w:val="Tabletext"/>
            </w:pPr>
            <w:r w:rsidRPr="00097A86">
              <w:t>Coke oven gas</w:t>
            </w:r>
          </w:p>
        </w:tc>
        <w:tc>
          <w:tcPr>
            <w:tcW w:w="2468" w:type="pct"/>
            <w:shd w:val="clear" w:color="auto" w:fill="auto"/>
          </w:tcPr>
          <w:p w14:paraId="472B5807" w14:textId="77777777" w:rsidR="003F0D4E" w:rsidRPr="00097A86" w:rsidRDefault="003F0D4E" w:rsidP="00D22D3F">
            <w:pPr>
              <w:pStyle w:val="Tabletext"/>
            </w:pPr>
            <w:r w:rsidRPr="00097A86">
              <w:t xml:space="preserve">ISO 10715 </w:t>
            </w:r>
            <w:r w:rsidR="00097A86">
              <w:noBreakHyphen/>
            </w:r>
            <w:r w:rsidRPr="00097A86">
              <w:t>1997</w:t>
            </w:r>
          </w:p>
          <w:p w14:paraId="64DCED4A" w14:textId="77777777" w:rsidR="003F0D4E" w:rsidRPr="00097A86" w:rsidRDefault="003F0D4E" w:rsidP="00D22D3F">
            <w:pPr>
              <w:pStyle w:val="Tabletext"/>
            </w:pPr>
            <w:r w:rsidRPr="00097A86">
              <w:t>ASTM D 5287–97 (2002)</w:t>
            </w:r>
          </w:p>
          <w:p w14:paraId="0A882D8B" w14:textId="77777777" w:rsidR="003F0D4E" w:rsidRPr="00097A86" w:rsidRDefault="003F0D4E" w:rsidP="00D22D3F">
            <w:pPr>
              <w:pStyle w:val="Tabletext"/>
            </w:pPr>
            <w:r w:rsidRPr="00097A86">
              <w:t>ASTM F 307–02 (2007)</w:t>
            </w:r>
          </w:p>
          <w:p w14:paraId="2547D210" w14:textId="77777777" w:rsidR="003F0D4E" w:rsidRPr="00097A86" w:rsidRDefault="003F0D4E" w:rsidP="00D22D3F">
            <w:pPr>
              <w:pStyle w:val="Tabletext"/>
            </w:pPr>
            <w:r w:rsidRPr="00097A86">
              <w:t>ASTM D 5503–94 (2003)</w:t>
            </w:r>
          </w:p>
        </w:tc>
      </w:tr>
      <w:tr w:rsidR="003F0D4E" w:rsidRPr="00097A86" w14:paraId="736BB740" w14:textId="77777777" w:rsidTr="00C20CC2">
        <w:tc>
          <w:tcPr>
            <w:tcW w:w="537" w:type="pct"/>
            <w:shd w:val="clear" w:color="auto" w:fill="auto"/>
          </w:tcPr>
          <w:p w14:paraId="2A66B523" w14:textId="77777777" w:rsidR="003F0D4E" w:rsidRPr="00097A86" w:rsidRDefault="003F0D4E" w:rsidP="00D22D3F">
            <w:pPr>
              <w:pStyle w:val="Tabletext"/>
            </w:pPr>
            <w:r w:rsidRPr="00097A86">
              <w:t>8</w:t>
            </w:r>
          </w:p>
        </w:tc>
        <w:tc>
          <w:tcPr>
            <w:tcW w:w="1995" w:type="pct"/>
            <w:shd w:val="clear" w:color="auto" w:fill="auto"/>
          </w:tcPr>
          <w:p w14:paraId="413FD01D" w14:textId="77777777" w:rsidR="003F0D4E" w:rsidRPr="00097A86" w:rsidRDefault="003F0D4E" w:rsidP="00D22D3F">
            <w:pPr>
              <w:pStyle w:val="Tabletext"/>
            </w:pPr>
            <w:r w:rsidRPr="00097A86">
              <w:t>Blast furnace gas</w:t>
            </w:r>
          </w:p>
        </w:tc>
        <w:tc>
          <w:tcPr>
            <w:tcW w:w="2468" w:type="pct"/>
            <w:shd w:val="clear" w:color="auto" w:fill="auto"/>
          </w:tcPr>
          <w:p w14:paraId="481FBE8D" w14:textId="77777777" w:rsidR="003F0D4E" w:rsidRPr="00097A86" w:rsidRDefault="003F0D4E" w:rsidP="00D22D3F">
            <w:pPr>
              <w:pStyle w:val="Tabletext"/>
            </w:pPr>
            <w:r w:rsidRPr="00097A86">
              <w:t>ISO 10715:1997</w:t>
            </w:r>
          </w:p>
          <w:p w14:paraId="04DE1525" w14:textId="77777777" w:rsidR="003F0D4E" w:rsidRPr="00097A86" w:rsidRDefault="003F0D4E" w:rsidP="00D22D3F">
            <w:pPr>
              <w:pStyle w:val="Tabletext"/>
            </w:pPr>
            <w:r w:rsidRPr="00097A86">
              <w:t>ASTM D 5287–97 (2002)</w:t>
            </w:r>
          </w:p>
          <w:p w14:paraId="56DDF1D3" w14:textId="77777777" w:rsidR="003F0D4E" w:rsidRPr="00097A86" w:rsidRDefault="003F0D4E" w:rsidP="00D22D3F">
            <w:pPr>
              <w:pStyle w:val="Tabletext"/>
            </w:pPr>
            <w:r w:rsidRPr="00097A86">
              <w:t>ASTM F 307–02 (2007)</w:t>
            </w:r>
          </w:p>
          <w:p w14:paraId="1B930D23" w14:textId="77777777" w:rsidR="003F0D4E" w:rsidRPr="00097A86" w:rsidRDefault="003F0D4E" w:rsidP="00D22D3F">
            <w:pPr>
              <w:pStyle w:val="Tabletext"/>
            </w:pPr>
            <w:r w:rsidRPr="00097A86">
              <w:t>ASTM D 5503–94 (2003)</w:t>
            </w:r>
          </w:p>
        </w:tc>
      </w:tr>
      <w:tr w:rsidR="003F0D4E" w:rsidRPr="00097A86" w14:paraId="2AFEBA96" w14:textId="77777777" w:rsidTr="00C20CC2">
        <w:tc>
          <w:tcPr>
            <w:tcW w:w="537" w:type="pct"/>
            <w:shd w:val="clear" w:color="auto" w:fill="auto"/>
          </w:tcPr>
          <w:p w14:paraId="066213A8" w14:textId="77777777" w:rsidR="003F0D4E" w:rsidRPr="00097A86" w:rsidRDefault="003F0D4E" w:rsidP="00D22D3F">
            <w:pPr>
              <w:pStyle w:val="Tabletext"/>
            </w:pPr>
            <w:r w:rsidRPr="00097A86">
              <w:t>9</w:t>
            </w:r>
          </w:p>
        </w:tc>
        <w:tc>
          <w:tcPr>
            <w:tcW w:w="1995" w:type="pct"/>
            <w:shd w:val="clear" w:color="auto" w:fill="auto"/>
          </w:tcPr>
          <w:p w14:paraId="7B98BBD1" w14:textId="77777777" w:rsidR="003F0D4E" w:rsidRPr="00097A86" w:rsidRDefault="003F0D4E" w:rsidP="00D22D3F">
            <w:pPr>
              <w:pStyle w:val="Tabletext"/>
            </w:pPr>
            <w:r w:rsidRPr="00097A86">
              <w:t>Town gas</w:t>
            </w:r>
          </w:p>
        </w:tc>
        <w:tc>
          <w:tcPr>
            <w:tcW w:w="2468" w:type="pct"/>
            <w:shd w:val="clear" w:color="auto" w:fill="auto"/>
          </w:tcPr>
          <w:p w14:paraId="2D6A2C13" w14:textId="77777777" w:rsidR="003F0D4E" w:rsidRPr="00097A86" w:rsidRDefault="003F0D4E" w:rsidP="00D22D3F">
            <w:pPr>
              <w:pStyle w:val="Tabletext"/>
            </w:pPr>
            <w:r w:rsidRPr="00097A86">
              <w:t>ISO 10715:1997</w:t>
            </w:r>
          </w:p>
          <w:p w14:paraId="5D29A526" w14:textId="77777777" w:rsidR="003F0D4E" w:rsidRPr="00097A86" w:rsidRDefault="003F0D4E" w:rsidP="00D22D3F">
            <w:pPr>
              <w:pStyle w:val="Tabletext"/>
            </w:pPr>
            <w:r w:rsidRPr="00097A86">
              <w:t>ASTM D 5287–97 (2002)</w:t>
            </w:r>
          </w:p>
          <w:p w14:paraId="21B19140" w14:textId="77777777" w:rsidR="003F0D4E" w:rsidRPr="00097A86" w:rsidRDefault="003F0D4E" w:rsidP="00D22D3F">
            <w:pPr>
              <w:pStyle w:val="Tabletext"/>
            </w:pPr>
            <w:r w:rsidRPr="00097A86">
              <w:t>ASTM F 307–02 (2007)</w:t>
            </w:r>
          </w:p>
          <w:p w14:paraId="341E140D" w14:textId="77777777" w:rsidR="003F0D4E" w:rsidRPr="00097A86" w:rsidRDefault="003F0D4E" w:rsidP="00D22D3F">
            <w:pPr>
              <w:pStyle w:val="Tabletext"/>
            </w:pPr>
            <w:r w:rsidRPr="00097A86">
              <w:t>ASTM D 5503–94 (2003)</w:t>
            </w:r>
          </w:p>
          <w:p w14:paraId="00F3FB5C" w14:textId="77777777" w:rsidR="003F0D4E" w:rsidRPr="00097A86" w:rsidRDefault="003F0D4E" w:rsidP="00D22D3F">
            <w:pPr>
              <w:pStyle w:val="Tabletext"/>
            </w:pPr>
            <w:r w:rsidRPr="00097A86">
              <w:t>GPA 2166–05</w:t>
            </w:r>
          </w:p>
        </w:tc>
      </w:tr>
      <w:tr w:rsidR="003F0D4E" w:rsidRPr="00097A86" w14:paraId="638591F9" w14:textId="77777777" w:rsidTr="00C20CC2">
        <w:tc>
          <w:tcPr>
            <w:tcW w:w="537" w:type="pct"/>
            <w:shd w:val="clear" w:color="auto" w:fill="auto"/>
          </w:tcPr>
          <w:p w14:paraId="0948CEE2" w14:textId="77777777" w:rsidR="003F0D4E" w:rsidRPr="00097A86" w:rsidRDefault="003F0D4E" w:rsidP="00D22D3F">
            <w:pPr>
              <w:pStyle w:val="Tabletext"/>
            </w:pPr>
            <w:r w:rsidRPr="00097A86">
              <w:t>10</w:t>
            </w:r>
          </w:p>
        </w:tc>
        <w:tc>
          <w:tcPr>
            <w:tcW w:w="1995" w:type="pct"/>
            <w:shd w:val="clear" w:color="auto" w:fill="auto"/>
          </w:tcPr>
          <w:p w14:paraId="49357088" w14:textId="77777777" w:rsidR="003F0D4E" w:rsidRPr="00097A86" w:rsidRDefault="003F0D4E" w:rsidP="00D22D3F">
            <w:pPr>
              <w:pStyle w:val="Tabletext"/>
            </w:pPr>
            <w:r w:rsidRPr="00097A86">
              <w:t>Liquefied natural gas</w:t>
            </w:r>
          </w:p>
        </w:tc>
        <w:tc>
          <w:tcPr>
            <w:tcW w:w="2468" w:type="pct"/>
            <w:shd w:val="clear" w:color="auto" w:fill="auto"/>
          </w:tcPr>
          <w:p w14:paraId="222AEAFC" w14:textId="77777777" w:rsidR="003F0D4E" w:rsidRPr="00097A86" w:rsidRDefault="003F0D4E" w:rsidP="00D22D3F">
            <w:pPr>
              <w:pStyle w:val="Tabletext"/>
            </w:pPr>
            <w:r w:rsidRPr="00097A86">
              <w:t>ISO 8943:2007</w:t>
            </w:r>
          </w:p>
        </w:tc>
      </w:tr>
      <w:tr w:rsidR="003F0D4E" w:rsidRPr="00097A86" w14:paraId="210B9B9E" w14:textId="77777777" w:rsidTr="00C20CC2">
        <w:tc>
          <w:tcPr>
            <w:tcW w:w="537" w:type="pct"/>
            <w:shd w:val="clear" w:color="auto" w:fill="auto"/>
          </w:tcPr>
          <w:p w14:paraId="163DE1CA" w14:textId="77777777" w:rsidR="003F0D4E" w:rsidRPr="00097A86" w:rsidRDefault="003F0D4E" w:rsidP="00D22D3F">
            <w:pPr>
              <w:pStyle w:val="Tabletext"/>
            </w:pPr>
            <w:r w:rsidRPr="00097A86">
              <w:t>11</w:t>
            </w:r>
          </w:p>
        </w:tc>
        <w:tc>
          <w:tcPr>
            <w:tcW w:w="1995" w:type="pct"/>
            <w:shd w:val="clear" w:color="auto" w:fill="auto"/>
          </w:tcPr>
          <w:p w14:paraId="5F0BBE2D" w14:textId="77777777" w:rsidR="003F0D4E" w:rsidRPr="00097A86" w:rsidRDefault="003F0D4E" w:rsidP="00D22D3F">
            <w:pPr>
              <w:pStyle w:val="Tabletext"/>
            </w:pPr>
            <w:r w:rsidRPr="00097A86">
              <w:t xml:space="preserve">Landfill biogas that is captured for combustion </w:t>
            </w:r>
          </w:p>
        </w:tc>
        <w:tc>
          <w:tcPr>
            <w:tcW w:w="2468" w:type="pct"/>
            <w:shd w:val="clear" w:color="auto" w:fill="auto"/>
          </w:tcPr>
          <w:p w14:paraId="608B9C3D" w14:textId="77777777" w:rsidR="003F0D4E" w:rsidRPr="00097A86" w:rsidRDefault="003F0D4E" w:rsidP="00D22D3F">
            <w:pPr>
              <w:pStyle w:val="Tabletext"/>
            </w:pPr>
            <w:r w:rsidRPr="00097A86">
              <w:t>ISO 10715:1997</w:t>
            </w:r>
          </w:p>
          <w:p w14:paraId="66F5AC78" w14:textId="77777777" w:rsidR="003F0D4E" w:rsidRPr="00097A86" w:rsidRDefault="003F0D4E" w:rsidP="00D22D3F">
            <w:pPr>
              <w:pStyle w:val="Tabletext"/>
            </w:pPr>
            <w:r w:rsidRPr="00097A86">
              <w:t>ASTM D 5287–97 (2002)</w:t>
            </w:r>
          </w:p>
          <w:p w14:paraId="79E66F67" w14:textId="77777777" w:rsidR="003F0D4E" w:rsidRPr="00097A86" w:rsidRDefault="003F0D4E" w:rsidP="00D22D3F">
            <w:pPr>
              <w:pStyle w:val="Tabletext"/>
            </w:pPr>
            <w:r w:rsidRPr="00097A86">
              <w:t>ASTM F 307–02 (2007)</w:t>
            </w:r>
          </w:p>
          <w:p w14:paraId="184CAD45" w14:textId="77777777" w:rsidR="003F0D4E" w:rsidRPr="00097A86" w:rsidRDefault="003F0D4E" w:rsidP="00D22D3F">
            <w:pPr>
              <w:pStyle w:val="Tabletext"/>
            </w:pPr>
            <w:r w:rsidRPr="00097A86">
              <w:t>ASTM D 5503–94 (2003)</w:t>
            </w:r>
          </w:p>
          <w:p w14:paraId="509FE471" w14:textId="77777777" w:rsidR="003F0D4E" w:rsidRPr="00097A86" w:rsidRDefault="003F0D4E" w:rsidP="00D22D3F">
            <w:pPr>
              <w:pStyle w:val="Tabletext"/>
            </w:pPr>
            <w:r w:rsidRPr="00097A86">
              <w:t>GPA 2166–05</w:t>
            </w:r>
          </w:p>
        </w:tc>
      </w:tr>
      <w:tr w:rsidR="003F0D4E" w:rsidRPr="00097A86" w14:paraId="0BD18D41" w14:textId="77777777" w:rsidTr="00C20CC2">
        <w:tc>
          <w:tcPr>
            <w:tcW w:w="537" w:type="pct"/>
            <w:tcBorders>
              <w:bottom w:val="single" w:sz="4" w:space="0" w:color="auto"/>
            </w:tcBorders>
            <w:shd w:val="clear" w:color="auto" w:fill="auto"/>
          </w:tcPr>
          <w:p w14:paraId="555DCAB3" w14:textId="77777777" w:rsidR="003F0D4E" w:rsidRPr="00097A86" w:rsidRDefault="003F0D4E" w:rsidP="00D22D3F">
            <w:pPr>
              <w:pStyle w:val="Tabletext"/>
            </w:pPr>
            <w:r w:rsidRPr="00097A86">
              <w:t>12</w:t>
            </w:r>
          </w:p>
        </w:tc>
        <w:tc>
          <w:tcPr>
            <w:tcW w:w="1995" w:type="pct"/>
            <w:tcBorders>
              <w:bottom w:val="single" w:sz="4" w:space="0" w:color="auto"/>
            </w:tcBorders>
            <w:shd w:val="clear" w:color="auto" w:fill="auto"/>
          </w:tcPr>
          <w:p w14:paraId="0A3607C0" w14:textId="77777777" w:rsidR="003F0D4E" w:rsidRPr="00097A86" w:rsidRDefault="003F0D4E" w:rsidP="00D22D3F">
            <w:pPr>
              <w:pStyle w:val="Tabletext"/>
            </w:pPr>
            <w:r w:rsidRPr="00097A86">
              <w:t>Sludge biogas that is captured for combustion</w:t>
            </w:r>
          </w:p>
        </w:tc>
        <w:tc>
          <w:tcPr>
            <w:tcW w:w="2468" w:type="pct"/>
            <w:tcBorders>
              <w:bottom w:val="single" w:sz="4" w:space="0" w:color="auto"/>
            </w:tcBorders>
            <w:shd w:val="clear" w:color="auto" w:fill="auto"/>
          </w:tcPr>
          <w:p w14:paraId="55D4189B" w14:textId="77777777" w:rsidR="003F0D4E" w:rsidRPr="00097A86" w:rsidRDefault="003F0D4E" w:rsidP="00D22D3F">
            <w:pPr>
              <w:pStyle w:val="Tabletext"/>
            </w:pPr>
            <w:r w:rsidRPr="00097A86">
              <w:t>ISO 10715:1997</w:t>
            </w:r>
          </w:p>
          <w:p w14:paraId="44C0D391" w14:textId="77777777" w:rsidR="003F0D4E" w:rsidRPr="00097A86" w:rsidRDefault="003F0D4E" w:rsidP="00D22D3F">
            <w:pPr>
              <w:pStyle w:val="Tabletext"/>
            </w:pPr>
            <w:r w:rsidRPr="00097A86">
              <w:t>ASTM D 5287–97 (2002)</w:t>
            </w:r>
          </w:p>
          <w:p w14:paraId="348132AD" w14:textId="77777777" w:rsidR="003F0D4E" w:rsidRPr="00097A86" w:rsidRDefault="003F0D4E" w:rsidP="00D22D3F">
            <w:pPr>
              <w:pStyle w:val="Tabletext"/>
            </w:pPr>
            <w:r w:rsidRPr="00097A86">
              <w:t>ASTM F 307–02 (2007)</w:t>
            </w:r>
          </w:p>
          <w:p w14:paraId="5B81D7E2" w14:textId="77777777" w:rsidR="003F0D4E" w:rsidRPr="00097A86" w:rsidRDefault="003F0D4E" w:rsidP="00D22D3F">
            <w:pPr>
              <w:pStyle w:val="Tabletext"/>
            </w:pPr>
            <w:r w:rsidRPr="00097A86">
              <w:t>ASTM D 5503–94 (2003)</w:t>
            </w:r>
          </w:p>
          <w:p w14:paraId="1F43EC6B" w14:textId="77777777" w:rsidR="003F0D4E" w:rsidRPr="00097A86" w:rsidRDefault="003F0D4E" w:rsidP="00D22D3F">
            <w:pPr>
              <w:pStyle w:val="Tabletext"/>
            </w:pPr>
            <w:r w:rsidRPr="00097A86">
              <w:t>GPA 2166–05</w:t>
            </w:r>
          </w:p>
        </w:tc>
      </w:tr>
      <w:tr w:rsidR="003F0D4E" w:rsidRPr="00097A86" w14:paraId="48E7440E" w14:textId="77777777" w:rsidTr="00C20CC2">
        <w:tc>
          <w:tcPr>
            <w:tcW w:w="537" w:type="pct"/>
            <w:tcBorders>
              <w:bottom w:val="single" w:sz="12" w:space="0" w:color="auto"/>
            </w:tcBorders>
            <w:shd w:val="clear" w:color="auto" w:fill="auto"/>
          </w:tcPr>
          <w:p w14:paraId="0124BBED" w14:textId="77777777" w:rsidR="003F0D4E" w:rsidRPr="00097A86" w:rsidRDefault="003F0D4E" w:rsidP="00D22D3F">
            <w:pPr>
              <w:pStyle w:val="Tabletext"/>
            </w:pPr>
            <w:r w:rsidRPr="00097A86">
              <w:t>13</w:t>
            </w:r>
          </w:p>
        </w:tc>
        <w:tc>
          <w:tcPr>
            <w:tcW w:w="1995" w:type="pct"/>
            <w:tcBorders>
              <w:bottom w:val="single" w:sz="12" w:space="0" w:color="auto"/>
            </w:tcBorders>
            <w:shd w:val="clear" w:color="auto" w:fill="auto"/>
          </w:tcPr>
          <w:p w14:paraId="794A273F" w14:textId="77777777" w:rsidR="003F0D4E" w:rsidRPr="00097A86" w:rsidRDefault="003F0D4E" w:rsidP="00D22D3F">
            <w:pPr>
              <w:pStyle w:val="Tabletext"/>
            </w:pPr>
            <w:r w:rsidRPr="00097A86">
              <w:t>A biogas that is captured for combustion, other than those mentioned in items</w:t>
            </w:r>
            <w:r w:rsidR="00097A86">
              <w:t> </w:t>
            </w:r>
            <w:r w:rsidRPr="00097A86">
              <w:t>11 and 12</w:t>
            </w:r>
          </w:p>
        </w:tc>
        <w:tc>
          <w:tcPr>
            <w:tcW w:w="2468" w:type="pct"/>
            <w:tcBorders>
              <w:bottom w:val="single" w:sz="12" w:space="0" w:color="auto"/>
            </w:tcBorders>
            <w:shd w:val="clear" w:color="auto" w:fill="auto"/>
          </w:tcPr>
          <w:p w14:paraId="2CD085EA" w14:textId="77777777" w:rsidR="003F0D4E" w:rsidRPr="00097A86" w:rsidRDefault="003F0D4E" w:rsidP="00D22D3F">
            <w:pPr>
              <w:pStyle w:val="Tabletext"/>
            </w:pPr>
            <w:r w:rsidRPr="00097A86">
              <w:t>ISO 10715:1997</w:t>
            </w:r>
          </w:p>
          <w:p w14:paraId="56AE21EC" w14:textId="77777777" w:rsidR="003F0D4E" w:rsidRPr="00097A86" w:rsidRDefault="003F0D4E" w:rsidP="00D22D3F">
            <w:pPr>
              <w:pStyle w:val="Tabletext"/>
            </w:pPr>
            <w:r w:rsidRPr="00097A86">
              <w:t>ASTM D 5287–97 (2002)</w:t>
            </w:r>
          </w:p>
          <w:p w14:paraId="7158323F" w14:textId="77777777" w:rsidR="003F0D4E" w:rsidRPr="00097A86" w:rsidRDefault="003F0D4E" w:rsidP="00D22D3F">
            <w:pPr>
              <w:pStyle w:val="Tabletext"/>
            </w:pPr>
            <w:r w:rsidRPr="00097A86">
              <w:t>ASTM F 307–02 (2007)</w:t>
            </w:r>
          </w:p>
          <w:p w14:paraId="5F8CA115" w14:textId="77777777" w:rsidR="003F0D4E" w:rsidRPr="00097A86" w:rsidRDefault="003F0D4E" w:rsidP="00D22D3F">
            <w:pPr>
              <w:pStyle w:val="Tabletext"/>
            </w:pPr>
            <w:r w:rsidRPr="00097A86">
              <w:t>ASTM D 5503–94 (2003)</w:t>
            </w:r>
          </w:p>
          <w:p w14:paraId="310C88C2" w14:textId="77777777" w:rsidR="003F0D4E" w:rsidRPr="00097A86" w:rsidRDefault="003F0D4E" w:rsidP="00D22D3F">
            <w:pPr>
              <w:pStyle w:val="Tabletext"/>
            </w:pPr>
            <w:r w:rsidRPr="00097A86">
              <w:t>GPA 2166–05</w:t>
            </w:r>
          </w:p>
        </w:tc>
      </w:tr>
    </w:tbl>
    <w:p w14:paraId="6B2AB529" w14:textId="77777777" w:rsidR="003F0D4E" w:rsidRPr="00097A86" w:rsidRDefault="003F0D4E" w:rsidP="00D22D3F">
      <w:pPr>
        <w:pStyle w:val="subsection"/>
      </w:pPr>
      <w:r w:rsidRPr="00097A86">
        <w:tab/>
        <w:t>(4)</w:t>
      </w:r>
      <w:r w:rsidRPr="00097A86">
        <w:tab/>
        <w:t xml:space="preserve">A gaseous fuel mentioned in column 2 of an item in the table in </w:t>
      </w:r>
      <w:r w:rsidR="00097A86">
        <w:t>subsection (</w:t>
      </w:r>
      <w:r w:rsidRPr="00097A86">
        <w:t>3) may also be sampled in accordance with a standard that is equivalent to a standard specified in column 3 for that item.</w:t>
      </w:r>
    </w:p>
    <w:p w14:paraId="6074CB32" w14:textId="77777777" w:rsidR="003F0D4E" w:rsidRPr="00097A86" w:rsidRDefault="003F0D4E" w:rsidP="00D22D3F">
      <w:pPr>
        <w:pStyle w:val="ActHead3"/>
        <w:pageBreakBefore/>
      </w:pPr>
      <w:bookmarkStart w:id="131" w:name="_Toc13233577"/>
      <w:r w:rsidRPr="00097A86">
        <w:rPr>
          <w:rStyle w:val="CharDivNo"/>
        </w:rPr>
        <w:lastRenderedPageBreak/>
        <w:t>Division</w:t>
      </w:r>
      <w:r w:rsidR="00097A86">
        <w:rPr>
          <w:rStyle w:val="CharDivNo"/>
        </w:rPr>
        <w:t> </w:t>
      </w:r>
      <w:r w:rsidRPr="00097A86">
        <w:rPr>
          <w:rStyle w:val="CharDivNo"/>
        </w:rPr>
        <w:t>2.3.5</w:t>
      </w:r>
      <w:r w:rsidR="00D22D3F" w:rsidRPr="00097A86">
        <w:t>—</w:t>
      </w:r>
      <w:r w:rsidRPr="00097A86">
        <w:rPr>
          <w:rStyle w:val="CharDivText"/>
        </w:rPr>
        <w:t>Method 2</w:t>
      </w:r>
      <w:r w:rsidR="00D22D3F" w:rsidRPr="00097A86">
        <w:rPr>
          <w:rStyle w:val="CharDivText"/>
        </w:rPr>
        <w:t>—</w:t>
      </w:r>
      <w:r w:rsidRPr="00097A86">
        <w:rPr>
          <w:rStyle w:val="CharDivText"/>
        </w:rPr>
        <w:t>emissions of methane from the combustion of gaseous fuels</w:t>
      </w:r>
      <w:bookmarkEnd w:id="131"/>
    </w:p>
    <w:p w14:paraId="7BA42D2E" w14:textId="77777777" w:rsidR="003F0D4E" w:rsidRPr="00097A86" w:rsidRDefault="003F0D4E" w:rsidP="00D22D3F">
      <w:pPr>
        <w:pStyle w:val="ActHead5"/>
      </w:pPr>
      <w:bookmarkStart w:id="132" w:name="_Toc13233578"/>
      <w:r w:rsidRPr="00097A86">
        <w:rPr>
          <w:rStyle w:val="CharSectno"/>
        </w:rPr>
        <w:t>2.27</w:t>
      </w:r>
      <w:r w:rsidR="00D22D3F" w:rsidRPr="00097A86">
        <w:t xml:space="preserve">  </w:t>
      </w:r>
      <w:r w:rsidRPr="00097A86">
        <w:t>Method 2</w:t>
      </w:r>
      <w:r w:rsidR="00D22D3F" w:rsidRPr="00097A86">
        <w:t>—</w:t>
      </w:r>
      <w:r w:rsidRPr="00097A86">
        <w:t>emissions of methane from the combustion of gaseous fuels</w:t>
      </w:r>
      <w:bookmarkEnd w:id="132"/>
    </w:p>
    <w:p w14:paraId="64662CC1" w14:textId="77777777" w:rsidR="003F0D4E" w:rsidRPr="00097A86" w:rsidRDefault="003F0D4E" w:rsidP="00D22D3F">
      <w:pPr>
        <w:pStyle w:val="subsection"/>
      </w:pPr>
      <w:r w:rsidRPr="00097A86">
        <w:tab/>
        <w:t>(1)</w:t>
      </w:r>
      <w:r w:rsidRPr="00097A86">
        <w:tab/>
        <w:t>For subparagraph</w:t>
      </w:r>
      <w:r w:rsidR="00097A86">
        <w:t> </w:t>
      </w:r>
      <w:r w:rsidRPr="00097A86">
        <w:t xml:space="preserve">2.19(1)(b)(ii) and subject to </w:t>
      </w:r>
      <w:r w:rsidR="00097A86">
        <w:t>subsection (</w:t>
      </w:r>
      <w:r w:rsidRPr="00097A86">
        <w:t>2), method 2 for estimating emissions of methane is the same as method 1 under section</w:t>
      </w:r>
      <w:r w:rsidR="00097A86">
        <w:t> </w:t>
      </w:r>
      <w:r w:rsidRPr="00097A86">
        <w:t>2.20.</w:t>
      </w:r>
    </w:p>
    <w:p w14:paraId="3ECFC972"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2.20, the emission factor </w:t>
      </w:r>
      <w:r w:rsidRPr="00097A86">
        <w:rPr>
          <w:b/>
          <w:i/>
        </w:rPr>
        <w:t>EF</w:t>
      </w:r>
      <w:r w:rsidRPr="00097A86">
        <w:rPr>
          <w:b/>
          <w:i/>
          <w:vertAlign w:val="subscript"/>
        </w:rPr>
        <w:t>ijoxec</w:t>
      </w:r>
      <w:r w:rsidRPr="00097A86">
        <w:t xml:space="preserve"> is to be obtained by using the equipment type emission factors set out in Volume 2, section</w:t>
      </w:r>
      <w:r w:rsidR="00097A86">
        <w:t> </w:t>
      </w:r>
      <w:r w:rsidRPr="00097A86">
        <w:t>2.3.2.3 of the 2006 IPCC Guidelines corrected to gross calorific values.</w:t>
      </w:r>
    </w:p>
    <w:p w14:paraId="446FF261" w14:textId="77777777" w:rsidR="003F0D4E" w:rsidRPr="00097A86" w:rsidRDefault="003F0D4E" w:rsidP="00D22D3F">
      <w:pPr>
        <w:pStyle w:val="ActHead3"/>
        <w:pageBreakBefore/>
      </w:pPr>
      <w:bookmarkStart w:id="133" w:name="_Toc13233579"/>
      <w:r w:rsidRPr="00097A86">
        <w:rPr>
          <w:rStyle w:val="CharDivNo"/>
        </w:rPr>
        <w:lastRenderedPageBreak/>
        <w:t>Division</w:t>
      </w:r>
      <w:r w:rsidR="00097A86">
        <w:rPr>
          <w:rStyle w:val="CharDivNo"/>
        </w:rPr>
        <w:t> </w:t>
      </w:r>
      <w:r w:rsidRPr="00097A86">
        <w:rPr>
          <w:rStyle w:val="CharDivNo"/>
        </w:rPr>
        <w:t>2.3.6</w:t>
      </w:r>
      <w:r w:rsidR="00D22D3F" w:rsidRPr="00097A86">
        <w:t>—</w:t>
      </w:r>
      <w:r w:rsidRPr="00097A86">
        <w:rPr>
          <w:rStyle w:val="CharDivText"/>
        </w:rPr>
        <w:t>Measurement of quantity of gaseous fuels</w:t>
      </w:r>
      <w:bookmarkEnd w:id="133"/>
    </w:p>
    <w:p w14:paraId="15B25685" w14:textId="77777777" w:rsidR="003F0D4E" w:rsidRPr="00097A86" w:rsidRDefault="003F0D4E" w:rsidP="00D22D3F">
      <w:pPr>
        <w:pStyle w:val="ActHead5"/>
      </w:pPr>
      <w:bookmarkStart w:id="134" w:name="_Toc13233580"/>
      <w:r w:rsidRPr="00097A86">
        <w:rPr>
          <w:rStyle w:val="CharSectno"/>
        </w:rPr>
        <w:t>2.28</w:t>
      </w:r>
      <w:r w:rsidR="00D22D3F" w:rsidRPr="00097A86">
        <w:t xml:space="preserve">  </w:t>
      </w:r>
      <w:r w:rsidRPr="00097A86">
        <w:t>Purpose of Division</w:t>
      </w:r>
      <w:bookmarkEnd w:id="134"/>
    </w:p>
    <w:p w14:paraId="75ADF9A4" w14:textId="77777777" w:rsidR="003F0D4E" w:rsidRPr="00097A86" w:rsidRDefault="003F0D4E" w:rsidP="00D22D3F">
      <w:pPr>
        <w:pStyle w:val="subsection"/>
      </w:pPr>
      <w:r w:rsidRPr="00097A86">
        <w:tab/>
      </w:r>
      <w:r w:rsidRPr="00097A86">
        <w:tab/>
        <w:t>This Division sets out how quantities of gaseous fuels combusted from the operation of a facility are to be estimated for the purpose of working out the emissions released from the combustion of that fuel.</w:t>
      </w:r>
    </w:p>
    <w:p w14:paraId="2E4EF3CD" w14:textId="77777777" w:rsidR="003F0D4E" w:rsidRPr="00097A86" w:rsidRDefault="003F0D4E" w:rsidP="00D22D3F">
      <w:pPr>
        <w:pStyle w:val="ActHead5"/>
      </w:pPr>
      <w:bookmarkStart w:id="135" w:name="_Toc13233581"/>
      <w:r w:rsidRPr="00097A86">
        <w:rPr>
          <w:rStyle w:val="CharSectno"/>
        </w:rPr>
        <w:t>2.29</w:t>
      </w:r>
      <w:r w:rsidR="00D22D3F" w:rsidRPr="00097A86">
        <w:t xml:space="preserve">  </w:t>
      </w:r>
      <w:r w:rsidRPr="00097A86">
        <w:t>Criteria for measurement</w:t>
      </w:r>
      <w:bookmarkEnd w:id="135"/>
    </w:p>
    <w:p w14:paraId="25EBD69E" w14:textId="77777777" w:rsidR="003F0D4E" w:rsidRPr="00097A86" w:rsidRDefault="003F0D4E" w:rsidP="00D22D3F">
      <w:pPr>
        <w:pStyle w:val="subsection"/>
      </w:pPr>
      <w:r w:rsidRPr="00097A86">
        <w:tab/>
        <w:t>(1)</w:t>
      </w:r>
      <w:r w:rsidRPr="00097A86">
        <w:tab/>
        <w:t>For the purposes of calculating the combustion of gaseous fuel from the operation of a facility for a year and, in particular, for Qi in sections</w:t>
      </w:r>
      <w:r w:rsidR="00097A86">
        <w:t> </w:t>
      </w:r>
      <w:r w:rsidRPr="00097A86">
        <w:t>2.20 and 2.21, the combustion must be estimated</w:t>
      </w:r>
      <w:r w:rsidR="0022069F" w:rsidRPr="00097A86">
        <w:t xml:space="preserve"> in accordance with this section.</w:t>
      </w:r>
    </w:p>
    <w:p w14:paraId="63952863" w14:textId="77777777" w:rsidR="00F772E8" w:rsidRPr="00097A86" w:rsidRDefault="00F772E8" w:rsidP="00D22D3F">
      <w:pPr>
        <w:pStyle w:val="SubsectionHead"/>
      </w:pPr>
      <w:r w:rsidRPr="00097A86">
        <w:t>Acquisition involves commercial transaction</w:t>
      </w:r>
    </w:p>
    <w:p w14:paraId="6C3B589F" w14:textId="77777777" w:rsidR="00F772E8" w:rsidRPr="00097A86" w:rsidRDefault="00F772E8" w:rsidP="00D22D3F">
      <w:pPr>
        <w:pStyle w:val="subsection"/>
      </w:pPr>
      <w:r w:rsidRPr="00097A86">
        <w:tab/>
        <w:t>(2)</w:t>
      </w:r>
      <w:r w:rsidRPr="00097A86">
        <w:tab/>
        <w:t>If the acquisition of the gaseous fuel involves a commercial transaction, the quantity of fuel combusted must be estimated using one of the following criteria:</w:t>
      </w:r>
    </w:p>
    <w:p w14:paraId="3BC3B2DD" w14:textId="77777777" w:rsidR="00F772E8" w:rsidRPr="00097A86" w:rsidRDefault="00F772E8" w:rsidP="00D22D3F">
      <w:pPr>
        <w:pStyle w:val="paragraph"/>
      </w:pPr>
      <w:r w:rsidRPr="00097A86">
        <w:tab/>
        <w:t>(a)</w:t>
      </w:r>
      <w:r w:rsidRPr="00097A86">
        <w:tab/>
        <w:t>the amount of the gaseous fuel, expressed in cubic metres or gigajoules, delivered for the facility during the year as evidenced by invoices issued by the vendor of the fuel (</w:t>
      </w:r>
      <w:r w:rsidRPr="00097A86">
        <w:rPr>
          <w:b/>
          <w:bCs/>
          <w:i/>
          <w:iCs/>
        </w:rPr>
        <w:t>criterion A</w:t>
      </w:r>
      <w:r w:rsidRPr="00097A86">
        <w:t>);</w:t>
      </w:r>
    </w:p>
    <w:p w14:paraId="5DB19FBA" w14:textId="77777777" w:rsidR="00F772E8" w:rsidRPr="00097A86" w:rsidRDefault="00F772E8" w:rsidP="00D22D3F">
      <w:pPr>
        <w:pStyle w:val="paragraph"/>
      </w:pPr>
      <w:r w:rsidRPr="00097A86">
        <w:tab/>
        <w:t>(b)</w:t>
      </w:r>
      <w:r w:rsidRPr="00097A86">
        <w:tab/>
        <w:t>as provided in section</w:t>
      </w:r>
      <w:r w:rsidR="00097A86">
        <w:t> </w:t>
      </w:r>
      <w:r w:rsidRPr="00097A86">
        <w:t>2.30 (</w:t>
      </w:r>
      <w:r w:rsidRPr="00097A86">
        <w:rPr>
          <w:b/>
          <w:bCs/>
          <w:i/>
          <w:iCs/>
        </w:rPr>
        <w:t>criterion AA</w:t>
      </w:r>
      <w:r w:rsidRPr="00097A86">
        <w:t>);</w:t>
      </w:r>
    </w:p>
    <w:p w14:paraId="02497B70" w14:textId="77777777" w:rsidR="00F772E8" w:rsidRPr="00097A86" w:rsidRDefault="00F772E8" w:rsidP="00D22D3F">
      <w:pPr>
        <w:pStyle w:val="paragraph"/>
      </w:pPr>
      <w:r w:rsidRPr="00097A86">
        <w:tab/>
        <w:t>(c)</w:t>
      </w:r>
      <w:r w:rsidRPr="00097A86">
        <w:tab/>
        <w:t>as provided in section</w:t>
      </w:r>
      <w:r w:rsidR="00097A86">
        <w:t> </w:t>
      </w:r>
      <w:r w:rsidRPr="00097A86">
        <w:t>2.31 (</w:t>
      </w:r>
      <w:r w:rsidRPr="00097A86">
        <w:rPr>
          <w:b/>
          <w:bCs/>
          <w:i/>
          <w:iCs/>
        </w:rPr>
        <w:t>criterion AAA</w:t>
      </w:r>
      <w:r w:rsidRPr="00097A86">
        <w:t>).</w:t>
      </w:r>
    </w:p>
    <w:p w14:paraId="58113B7F" w14:textId="77777777" w:rsidR="00F772E8" w:rsidRPr="00097A86" w:rsidRDefault="00F772E8" w:rsidP="00D22D3F">
      <w:pPr>
        <w:pStyle w:val="subsection"/>
      </w:pPr>
      <w:r w:rsidRPr="00097A86">
        <w:tab/>
        <w:t>(3)</w:t>
      </w:r>
      <w:r w:rsidRPr="00097A86">
        <w:tab/>
        <w:t>If, during a year, criterion AA, or criterion AAA using paragraph</w:t>
      </w:r>
      <w:r w:rsidR="00097A86">
        <w:t> </w:t>
      </w:r>
      <w:r w:rsidRPr="00097A86">
        <w:t>2.31(3)(a), is used to estimate the quantity of fuel combusted, then, in each year following that year, only criterion AA, or criterion AAA using paragraph</w:t>
      </w:r>
      <w:r w:rsidR="00097A86">
        <w:t> </w:t>
      </w:r>
      <w:r w:rsidRPr="00097A86">
        <w:t>2.31(3)(a), (respectively) is to be used.</w:t>
      </w:r>
    </w:p>
    <w:p w14:paraId="28245FBE" w14:textId="77777777" w:rsidR="00F772E8" w:rsidRPr="00097A86" w:rsidRDefault="00F772E8" w:rsidP="00D22D3F">
      <w:pPr>
        <w:pStyle w:val="SubsectionHead"/>
      </w:pPr>
      <w:r w:rsidRPr="00097A86">
        <w:t>Acquisition does not involve commercial transaction</w:t>
      </w:r>
    </w:p>
    <w:p w14:paraId="1679B605" w14:textId="77777777" w:rsidR="00F772E8" w:rsidRPr="00097A86" w:rsidRDefault="00F772E8" w:rsidP="00D22D3F">
      <w:pPr>
        <w:pStyle w:val="subsection"/>
      </w:pPr>
      <w:r w:rsidRPr="00097A86">
        <w:tab/>
        <w:t>(4)</w:t>
      </w:r>
      <w:r w:rsidRPr="00097A86">
        <w:tab/>
        <w:t>If the acquisition of the gaseous fuel does not involve a commercial transaction, the quantity of fuel combusted must be estimated using one of the following criteria:</w:t>
      </w:r>
    </w:p>
    <w:p w14:paraId="5648A7EB" w14:textId="77777777" w:rsidR="00F772E8" w:rsidRPr="00097A86" w:rsidRDefault="00F772E8" w:rsidP="00D22D3F">
      <w:pPr>
        <w:pStyle w:val="paragraph"/>
      </w:pPr>
      <w:r w:rsidRPr="00097A86">
        <w:tab/>
        <w:t>(a)</w:t>
      </w:r>
      <w:r w:rsidRPr="00097A86">
        <w:tab/>
        <w:t>as provided in section</w:t>
      </w:r>
      <w:r w:rsidR="00097A86">
        <w:t> </w:t>
      </w:r>
      <w:r w:rsidRPr="00097A86">
        <w:t>2.31 (</w:t>
      </w:r>
      <w:r w:rsidRPr="00097A86">
        <w:rPr>
          <w:b/>
          <w:bCs/>
          <w:i/>
          <w:iCs/>
        </w:rPr>
        <w:t>criterion AAA</w:t>
      </w:r>
      <w:r w:rsidRPr="00097A86">
        <w:t>);</w:t>
      </w:r>
    </w:p>
    <w:p w14:paraId="3C5ED4DD" w14:textId="77777777" w:rsidR="00F772E8" w:rsidRPr="00097A86" w:rsidRDefault="00F772E8" w:rsidP="00D22D3F">
      <w:pPr>
        <w:pStyle w:val="paragraph"/>
      </w:pPr>
      <w:r w:rsidRPr="00097A86">
        <w:tab/>
        <w:t>(b)</w:t>
      </w:r>
      <w:r w:rsidRPr="00097A86">
        <w:tab/>
        <w:t>as provided in section</w:t>
      </w:r>
      <w:r w:rsidR="00097A86">
        <w:t> </w:t>
      </w:r>
      <w:r w:rsidRPr="00097A86">
        <w:t>2.38 (</w:t>
      </w:r>
      <w:r w:rsidRPr="00097A86">
        <w:rPr>
          <w:b/>
          <w:i/>
        </w:rPr>
        <w:t>criterion BBB</w:t>
      </w:r>
      <w:r w:rsidRPr="00097A86">
        <w:t>).</w:t>
      </w:r>
    </w:p>
    <w:p w14:paraId="1D18EABE" w14:textId="77777777" w:rsidR="00DE7F9E" w:rsidRPr="00097A86" w:rsidRDefault="00DE7F9E" w:rsidP="00DE7F9E">
      <w:pPr>
        <w:pStyle w:val="ActHead5"/>
      </w:pPr>
      <w:bookmarkStart w:id="136" w:name="_Toc13233582"/>
      <w:r w:rsidRPr="00097A86">
        <w:rPr>
          <w:rStyle w:val="CharSectno"/>
        </w:rPr>
        <w:t>2.30</w:t>
      </w:r>
      <w:r w:rsidRPr="00097A86">
        <w:t xml:space="preserve">  Indirect measurement—criterion AA</w:t>
      </w:r>
      <w:bookmarkEnd w:id="136"/>
    </w:p>
    <w:p w14:paraId="5FF2474C" w14:textId="77777777" w:rsidR="003F0D4E" w:rsidRPr="00097A86" w:rsidRDefault="003F0D4E" w:rsidP="00D22D3F">
      <w:pPr>
        <w:pStyle w:val="subsection"/>
      </w:pPr>
      <w:r w:rsidRPr="00097A86">
        <w:tab/>
      </w:r>
      <w:r w:rsidRPr="00097A86">
        <w:tab/>
        <w:t>For paragraph</w:t>
      </w:r>
      <w:r w:rsidR="00097A86">
        <w:t> </w:t>
      </w:r>
      <w:r w:rsidR="00931406" w:rsidRPr="00097A86">
        <w:t>2.29(2)(b)</w:t>
      </w:r>
      <w:r w:rsidRPr="00097A86">
        <w:t>, criterion AA is the amount of a gaseous fuel combusted from the operation of the facility during the year based on amounts delivered during the year (evidenced by invoices) as adjusted for the estimated change in the quantity of the stockpile of the fuel for the facility during the year.</w:t>
      </w:r>
    </w:p>
    <w:p w14:paraId="6CA62B5D" w14:textId="77777777" w:rsidR="00DE7F9E" w:rsidRPr="00097A86" w:rsidRDefault="00DE7F9E" w:rsidP="00DE7F9E">
      <w:pPr>
        <w:pStyle w:val="ActHead5"/>
      </w:pPr>
      <w:bookmarkStart w:id="137" w:name="_Toc13233583"/>
      <w:r w:rsidRPr="00097A86">
        <w:rPr>
          <w:rStyle w:val="CharSectno"/>
        </w:rPr>
        <w:t>2.31</w:t>
      </w:r>
      <w:r w:rsidRPr="00097A86">
        <w:t xml:space="preserve">  Direct measurement—criterion AAA</w:t>
      </w:r>
      <w:bookmarkEnd w:id="137"/>
    </w:p>
    <w:p w14:paraId="3DDA792F" w14:textId="77777777" w:rsidR="003F0D4E" w:rsidRPr="00097A86" w:rsidRDefault="003F0D4E" w:rsidP="00D22D3F">
      <w:pPr>
        <w:pStyle w:val="subsection"/>
      </w:pPr>
      <w:r w:rsidRPr="00097A86">
        <w:tab/>
        <w:t>(1)</w:t>
      </w:r>
      <w:r w:rsidRPr="00097A86">
        <w:tab/>
        <w:t>For paragraph</w:t>
      </w:r>
      <w:r w:rsidR="00097A86">
        <w:t> </w:t>
      </w:r>
      <w:r w:rsidR="00931406" w:rsidRPr="00097A86">
        <w:t>2.29(2)(c)</w:t>
      </w:r>
      <w:r w:rsidRPr="00097A86">
        <w:t>, criterion AAA is the measurement during the year of a gaseous fuel combusted from the operation of the facility.</w:t>
      </w:r>
    </w:p>
    <w:p w14:paraId="0167D738" w14:textId="77777777" w:rsidR="003F0D4E" w:rsidRPr="00097A86" w:rsidRDefault="003F0D4E" w:rsidP="00D22D3F">
      <w:pPr>
        <w:pStyle w:val="subsection"/>
      </w:pPr>
      <w:r w:rsidRPr="00097A86">
        <w:lastRenderedPageBreak/>
        <w:tab/>
        <w:t>(2)</w:t>
      </w:r>
      <w:r w:rsidRPr="00097A86">
        <w:tab/>
        <w:t>In measuring the quantity of gaseous fuel, the quantities of gas must be measured:</w:t>
      </w:r>
    </w:p>
    <w:p w14:paraId="07B83C57" w14:textId="77777777" w:rsidR="003F0D4E" w:rsidRPr="00097A86" w:rsidRDefault="003F0D4E" w:rsidP="00D22D3F">
      <w:pPr>
        <w:pStyle w:val="paragraph"/>
      </w:pPr>
      <w:r w:rsidRPr="00097A86">
        <w:tab/>
        <w:t>(a)</w:t>
      </w:r>
      <w:r w:rsidRPr="00097A86">
        <w:tab/>
        <w:t>using volumetric measurement in accordance with:</w:t>
      </w:r>
    </w:p>
    <w:p w14:paraId="41EF838A" w14:textId="77777777" w:rsidR="00B96490" w:rsidRPr="00097A86" w:rsidRDefault="00B96490" w:rsidP="00D22D3F">
      <w:pPr>
        <w:pStyle w:val="paragraphsub"/>
      </w:pPr>
      <w:r w:rsidRPr="00097A86">
        <w:tab/>
        <w:t>(i)</w:t>
      </w:r>
      <w:r w:rsidRPr="00097A86">
        <w:tab/>
        <w:t>for gases other than super</w:t>
      </w:r>
      <w:r w:rsidR="00097A86">
        <w:noBreakHyphen/>
      </w:r>
      <w:r w:rsidRPr="00097A86">
        <w:t>compressed gases—section</w:t>
      </w:r>
      <w:r w:rsidR="00097A86">
        <w:t> </w:t>
      </w:r>
      <w:r w:rsidRPr="00097A86">
        <w:t>2.32; and</w:t>
      </w:r>
    </w:p>
    <w:p w14:paraId="1C961160" w14:textId="77777777" w:rsidR="00B96490" w:rsidRPr="00097A86" w:rsidRDefault="00B96490" w:rsidP="00D22D3F">
      <w:pPr>
        <w:pStyle w:val="paragraphsub"/>
      </w:pPr>
      <w:r w:rsidRPr="00097A86">
        <w:tab/>
        <w:t>(ii)</w:t>
      </w:r>
      <w:r w:rsidRPr="00097A86">
        <w:tab/>
        <w:t>for super</w:t>
      </w:r>
      <w:r w:rsidR="00097A86">
        <w:noBreakHyphen/>
      </w:r>
      <w:r w:rsidRPr="00097A86">
        <w:t>compressed gases—sections</w:t>
      </w:r>
      <w:r w:rsidR="00097A86">
        <w:t> </w:t>
      </w:r>
      <w:r w:rsidRPr="00097A86">
        <w:t>2.32 and 2.33; and</w:t>
      </w:r>
    </w:p>
    <w:p w14:paraId="44254F90" w14:textId="77777777" w:rsidR="003F0D4E" w:rsidRPr="00097A86" w:rsidRDefault="003F0D4E" w:rsidP="00D22D3F">
      <w:pPr>
        <w:pStyle w:val="paragraph"/>
      </w:pPr>
      <w:r w:rsidRPr="00097A86">
        <w:tab/>
        <w:t>(b)</w:t>
      </w:r>
      <w:r w:rsidRPr="00097A86">
        <w:tab/>
        <w:t>using gas measuring equipment that complies with section</w:t>
      </w:r>
      <w:r w:rsidR="00097A86">
        <w:t> </w:t>
      </w:r>
      <w:r w:rsidRPr="00097A86">
        <w:t>2.34.</w:t>
      </w:r>
    </w:p>
    <w:p w14:paraId="666A3049" w14:textId="77777777" w:rsidR="003F0D4E" w:rsidRPr="00097A86" w:rsidRDefault="003F0D4E" w:rsidP="00D22D3F">
      <w:pPr>
        <w:pStyle w:val="subsection"/>
      </w:pPr>
      <w:r w:rsidRPr="00097A86">
        <w:tab/>
        <w:t>(3)</w:t>
      </w:r>
      <w:r w:rsidRPr="00097A86">
        <w:tab/>
        <w:t>The measurement must be either:</w:t>
      </w:r>
    </w:p>
    <w:p w14:paraId="12CB4CB8" w14:textId="77777777" w:rsidR="00B96490" w:rsidRPr="00097A86" w:rsidRDefault="00B96490" w:rsidP="00D22D3F">
      <w:pPr>
        <w:pStyle w:val="paragraph"/>
      </w:pPr>
      <w:r w:rsidRPr="00097A86">
        <w:tab/>
        <w:t>(a)</w:t>
      </w:r>
      <w:r w:rsidRPr="00097A86">
        <w:tab/>
        <w:t xml:space="preserve">carried out </w:t>
      </w:r>
      <w:r w:rsidR="00DE7F9E" w:rsidRPr="00097A86">
        <w:t xml:space="preserve">at the point of combustion </w:t>
      </w:r>
      <w:r w:rsidRPr="00097A86">
        <w:t>using gas measuring equipment that:</w:t>
      </w:r>
    </w:p>
    <w:p w14:paraId="1C4AED69" w14:textId="77777777" w:rsidR="00B96490" w:rsidRPr="00097A86" w:rsidRDefault="00B96490" w:rsidP="00D22D3F">
      <w:pPr>
        <w:pStyle w:val="paragraphsub"/>
      </w:pPr>
      <w:r w:rsidRPr="00097A86">
        <w:tab/>
        <w:t>(i)</w:t>
      </w:r>
      <w:r w:rsidRPr="00097A86">
        <w:tab/>
        <w:t xml:space="preserve">is in a category specified in column 2 of an item in the table in </w:t>
      </w:r>
      <w:r w:rsidR="00097A86">
        <w:t>subsection (</w:t>
      </w:r>
      <w:r w:rsidRPr="00097A86">
        <w:t>4) according to the maximum daily quantity of gas combusted from the operation of the facility specified, for the item, in column 3 of the table; and</w:t>
      </w:r>
    </w:p>
    <w:p w14:paraId="0182A253" w14:textId="77777777" w:rsidR="00B96490" w:rsidRPr="00097A86" w:rsidRDefault="00B96490" w:rsidP="00D22D3F">
      <w:pPr>
        <w:pStyle w:val="paragraphsub"/>
      </w:pPr>
      <w:r w:rsidRPr="00097A86">
        <w:tab/>
        <w:t>(ii)</w:t>
      </w:r>
      <w:r w:rsidRPr="00097A86">
        <w:tab/>
        <w:t xml:space="preserve">complies with the transmitter and accuracy requirements specified, for the item, in column 4 of the </w:t>
      </w:r>
      <w:r w:rsidR="006A1675" w:rsidRPr="00097A86">
        <w:t>table, if the requirements are applicable to the gas measuring equipment being used</w:t>
      </w:r>
      <w:r w:rsidRPr="00097A86">
        <w:t>; or</w:t>
      </w:r>
    </w:p>
    <w:p w14:paraId="0B9A0114" w14:textId="77777777" w:rsidR="003F0D4E" w:rsidRPr="00097A86" w:rsidRDefault="003F0D4E" w:rsidP="00D22D3F">
      <w:pPr>
        <w:pStyle w:val="paragraph"/>
      </w:pPr>
      <w:r w:rsidRPr="00097A86">
        <w:tab/>
        <w:t>(b)</w:t>
      </w:r>
      <w:r w:rsidRPr="00097A86">
        <w:tab/>
        <w:t xml:space="preserve">carried out at the point of sale of the gaseous fuels using measuring equipment that complies with </w:t>
      </w:r>
      <w:r w:rsidR="00097A86">
        <w:t>paragraph (</w:t>
      </w:r>
      <w:r w:rsidRPr="00097A86">
        <w:t>a).</w:t>
      </w:r>
    </w:p>
    <w:p w14:paraId="2E281537" w14:textId="77777777" w:rsidR="003F0D4E" w:rsidRPr="00097A86" w:rsidRDefault="003F0D4E" w:rsidP="00D22D3F">
      <w:pPr>
        <w:pStyle w:val="subsection"/>
      </w:pPr>
      <w:r w:rsidRPr="00097A86">
        <w:tab/>
        <w:t>(4)</w:t>
      </w:r>
      <w:r w:rsidRPr="00097A86">
        <w:tab/>
        <w:t xml:space="preserve">For </w:t>
      </w:r>
      <w:r w:rsidR="00097A86">
        <w:t>subsection (</w:t>
      </w:r>
      <w:r w:rsidRPr="00097A86">
        <w:t>3), the table is as follows:</w:t>
      </w:r>
    </w:p>
    <w:p w14:paraId="52C29FC1"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11"/>
        <w:gridCol w:w="1367"/>
        <w:gridCol w:w="2555"/>
        <w:gridCol w:w="3480"/>
      </w:tblGrid>
      <w:tr w:rsidR="003F0D4E" w:rsidRPr="00097A86" w14:paraId="10D592FD" w14:textId="77777777" w:rsidTr="00C20CC2">
        <w:trPr>
          <w:tblHeader/>
        </w:trPr>
        <w:tc>
          <w:tcPr>
            <w:tcW w:w="548" w:type="pct"/>
            <w:tcBorders>
              <w:top w:val="single" w:sz="12" w:space="0" w:color="auto"/>
              <w:bottom w:val="single" w:sz="12" w:space="0" w:color="auto"/>
            </w:tcBorders>
            <w:shd w:val="clear" w:color="auto" w:fill="auto"/>
          </w:tcPr>
          <w:p w14:paraId="0F779D39" w14:textId="77777777" w:rsidR="003F0D4E" w:rsidRPr="00097A86" w:rsidRDefault="003F0D4E" w:rsidP="00D22D3F">
            <w:pPr>
              <w:pStyle w:val="TableHeading"/>
            </w:pPr>
            <w:r w:rsidRPr="00097A86">
              <w:t>Item</w:t>
            </w:r>
          </w:p>
        </w:tc>
        <w:tc>
          <w:tcPr>
            <w:tcW w:w="822" w:type="pct"/>
            <w:tcBorders>
              <w:top w:val="single" w:sz="12" w:space="0" w:color="auto"/>
              <w:bottom w:val="single" w:sz="12" w:space="0" w:color="auto"/>
            </w:tcBorders>
            <w:shd w:val="clear" w:color="auto" w:fill="auto"/>
          </w:tcPr>
          <w:p w14:paraId="7AD7574A" w14:textId="77777777" w:rsidR="003F0D4E" w:rsidRPr="00097A86" w:rsidRDefault="003F0D4E" w:rsidP="00D22D3F">
            <w:pPr>
              <w:pStyle w:val="TableHeading"/>
            </w:pPr>
            <w:r w:rsidRPr="00097A86">
              <w:t>Gas measuring equipment category</w:t>
            </w:r>
          </w:p>
        </w:tc>
        <w:tc>
          <w:tcPr>
            <w:tcW w:w="1537" w:type="pct"/>
            <w:tcBorders>
              <w:top w:val="single" w:sz="12" w:space="0" w:color="auto"/>
              <w:bottom w:val="single" w:sz="12" w:space="0" w:color="auto"/>
            </w:tcBorders>
            <w:shd w:val="clear" w:color="auto" w:fill="auto"/>
          </w:tcPr>
          <w:p w14:paraId="323CABF1" w14:textId="77777777" w:rsidR="00F74A89" w:rsidRPr="00097A86" w:rsidRDefault="003F0D4E" w:rsidP="00D22D3F">
            <w:pPr>
              <w:pStyle w:val="TableHeading"/>
            </w:pPr>
            <w:r w:rsidRPr="00097A86">
              <w:t xml:space="preserve">Maximum daily quantity of gas combusted </w:t>
            </w:r>
            <w:r w:rsidR="00B96490" w:rsidRPr="00097A86">
              <w:t>(GJ/day)</w:t>
            </w:r>
          </w:p>
        </w:tc>
        <w:tc>
          <w:tcPr>
            <w:tcW w:w="2093" w:type="pct"/>
            <w:tcBorders>
              <w:top w:val="single" w:sz="12" w:space="0" w:color="auto"/>
              <w:bottom w:val="single" w:sz="12" w:space="0" w:color="auto"/>
            </w:tcBorders>
            <w:shd w:val="clear" w:color="auto" w:fill="auto"/>
          </w:tcPr>
          <w:p w14:paraId="5C9D1258" w14:textId="77777777" w:rsidR="003F0D4E" w:rsidRPr="00097A86" w:rsidRDefault="003F0D4E" w:rsidP="00D22D3F">
            <w:pPr>
              <w:pStyle w:val="TableHeading"/>
            </w:pPr>
            <w:r w:rsidRPr="00097A86">
              <w:t>Transmitter and accuracy requirements (% of range)</w:t>
            </w:r>
          </w:p>
        </w:tc>
      </w:tr>
      <w:tr w:rsidR="003F0D4E" w:rsidRPr="00097A86" w14:paraId="06276EF9" w14:textId="77777777" w:rsidTr="00C20CC2">
        <w:tc>
          <w:tcPr>
            <w:tcW w:w="548" w:type="pct"/>
            <w:tcBorders>
              <w:top w:val="single" w:sz="12" w:space="0" w:color="auto"/>
            </w:tcBorders>
            <w:shd w:val="clear" w:color="auto" w:fill="auto"/>
          </w:tcPr>
          <w:p w14:paraId="6C749F4B" w14:textId="77777777" w:rsidR="003F0D4E" w:rsidRPr="00097A86" w:rsidRDefault="003F0D4E" w:rsidP="00D22D3F">
            <w:pPr>
              <w:pStyle w:val="Tabletext"/>
            </w:pPr>
            <w:r w:rsidRPr="00097A86">
              <w:t>1</w:t>
            </w:r>
          </w:p>
        </w:tc>
        <w:tc>
          <w:tcPr>
            <w:tcW w:w="822" w:type="pct"/>
            <w:tcBorders>
              <w:top w:val="single" w:sz="12" w:space="0" w:color="auto"/>
            </w:tcBorders>
            <w:shd w:val="clear" w:color="auto" w:fill="auto"/>
          </w:tcPr>
          <w:p w14:paraId="510FE09A" w14:textId="77777777" w:rsidR="003F0D4E" w:rsidRPr="00097A86" w:rsidRDefault="003F0D4E" w:rsidP="00D22D3F">
            <w:pPr>
              <w:pStyle w:val="Tabletext"/>
            </w:pPr>
            <w:r w:rsidRPr="00097A86">
              <w:t>1</w:t>
            </w:r>
          </w:p>
        </w:tc>
        <w:tc>
          <w:tcPr>
            <w:tcW w:w="1537" w:type="pct"/>
            <w:tcBorders>
              <w:top w:val="single" w:sz="12" w:space="0" w:color="auto"/>
            </w:tcBorders>
            <w:shd w:val="clear" w:color="auto" w:fill="auto"/>
          </w:tcPr>
          <w:p w14:paraId="6928648F" w14:textId="77777777" w:rsidR="003F0D4E" w:rsidRPr="00097A86" w:rsidRDefault="003F0D4E" w:rsidP="00D22D3F">
            <w:pPr>
              <w:pStyle w:val="Tabletext"/>
            </w:pPr>
            <w:r w:rsidRPr="00097A86">
              <w:t>0–1750</w:t>
            </w:r>
          </w:p>
        </w:tc>
        <w:tc>
          <w:tcPr>
            <w:tcW w:w="2093" w:type="pct"/>
            <w:tcBorders>
              <w:top w:val="single" w:sz="12" w:space="0" w:color="auto"/>
            </w:tcBorders>
            <w:shd w:val="clear" w:color="auto" w:fill="auto"/>
          </w:tcPr>
          <w:p w14:paraId="4DA6C260" w14:textId="77777777" w:rsidR="003F0D4E" w:rsidRPr="00097A86" w:rsidRDefault="003F0D4E" w:rsidP="00D22D3F">
            <w:pPr>
              <w:pStyle w:val="Tabletext"/>
            </w:pPr>
            <w:r w:rsidRPr="00097A86">
              <w:t>Pressure &lt;±0.25%</w:t>
            </w:r>
          </w:p>
          <w:p w14:paraId="117BC374" w14:textId="77777777" w:rsidR="003F0D4E" w:rsidRPr="00097A86" w:rsidRDefault="003F0D4E" w:rsidP="00D22D3F">
            <w:pPr>
              <w:pStyle w:val="Tabletext"/>
            </w:pPr>
            <w:r w:rsidRPr="00097A86">
              <w:t>Diff. pressure &lt;±0.25%</w:t>
            </w:r>
          </w:p>
          <w:p w14:paraId="5406062A" w14:textId="77777777" w:rsidR="003F0D4E" w:rsidRPr="00097A86" w:rsidRDefault="003F0D4E" w:rsidP="00D22D3F">
            <w:pPr>
              <w:pStyle w:val="Tabletext"/>
            </w:pPr>
            <w:r w:rsidRPr="00097A86">
              <w:t xml:space="preserve">Temperature &lt;±0.50% </w:t>
            </w:r>
          </w:p>
        </w:tc>
      </w:tr>
      <w:tr w:rsidR="003F0D4E" w:rsidRPr="00097A86" w14:paraId="1E15FCEE" w14:textId="77777777" w:rsidTr="00C20CC2">
        <w:tc>
          <w:tcPr>
            <w:tcW w:w="548" w:type="pct"/>
            <w:shd w:val="clear" w:color="auto" w:fill="auto"/>
          </w:tcPr>
          <w:p w14:paraId="31D907A5" w14:textId="77777777" w:rsidR="003F0D4E" w:rsidRPr="00097A86" w:rsidRDefault="003F0D4E" w:rsidP="00D22D3F">
            <w:pPr>
              <w:pStyle w:val="Tabletext"/>
            </w:pPr>
            <w:r w:rsidRPr="00097A86">
              <w:t>2</w:t>
            </w:r>
          </w:p>
        </w:tc>
        <w:tc>
          <w:tcPr>
            <w:tcW w:w="822" w:type="pct"/>
            <w:shd w:val="clear" w:color="auto" w:fill="auto"/>
          </w:tcPr>
          <w:p w14:paraId="6E071FD4" w14:textId="77777777" w:rsidR="003F0D4E" w:rsidRPr="00097A86" w:rsidRDefault="003F0D4E" w:rsidP="00D22D3F">
            <w:pPr>
              <w:pStyle w:val="Tabletext"/>
            </w:pPr>
            <w:r w:rsidRPr="00097A86">
              <w:t>2</w:t>
            </w:r>
          </w:p>
        </w:tc>
        <w:tc>
          <w:tcPr>
            <w:tcW w:w="1537" w:type="pct"/>
            <w:shd w:val="clear" w:color="auto" w:fill="auto"/>
          </w:tcPr>
          <w:p w14:paraId="225CEE85" w14:textId="77777777" w:rsidR="003F0D4E" w:rsidRPr="00097A86" w:rsidRDefault="003F0D4E" w:rsidP="00D22D3F">
            <w:pPr>
              <w:pStyle w:val="Tabletext"/>
            </w:pPr>
            <w:r w:rsidRPr="00097A86">
              <w:t>1751–3500</w:t>
            </w:r>
          </w:p>
        </w:tc>
        <w:tc>
          <w:tcPr>
            <w:tcW w:w="2093" w:type="pct"/>
            <w:shd w:val="clear" w:color="auto" w:fill="auto"/>
          </w:tcPr>
          <w:p w14:paraId="62372A5F" w14:textId="77777777" w:rsidR="003F0D4E" w:rsidRPr="00097A86" w:rsidRDefault="003F0D4E" w:rsidP="00D22D3F">
            <w:pPr>
              <w:pStyle w:val="Tabletext"/>
            </w:pPr>
            <w:r w:rsidRPr="00097A86">
              <w:t>Pressure &lt;±0.25%</w:t>
            </w:r>
          </w:p>
          <w:p w14:paraId="79617858" w14:textId="77777777" w:rsidR="003F0D4E" w:rsidRPr="00097A86" w:rsidRDefault="003F0D4E" w:rsidP="00D22D3F">
            <w:pPr>
              <w:pStyle w:val="Tabletext"/>
            </w:pPr>
            <w:r w:rsidRPr="00097A86">
              <w:t>Diff. pressure &lt;±0.25%</w:t>
            </w:r>
          </w:p>
          <w:p w14:paraId="2B52AF26" w14:textId="77777777" w:rsidR="003F0D4E" w:rsidRPr="00097A86" w:rsidRDefault="003F0D4E" w:rsidP="00D22D3F">
            <w:pPr>
              <w:pStyle w:val="Tabletext"/>
            </w:pPr>
            <w:r w:rsidRPr="00097A86">
              <w:t>Temperature &lt;±0.50%</w:t>
            </w:r>
          </w:p>
        </w:tc>
      </w:tr>
      <w:tr w:rsidR="003F0D4E" w:rsidRPr="00097A86" w14:paraId="52E3310A" w14:textId="77777777" w:rsidTr="00C20CC2">
        <w:tc>
          <w:tcPr>
            <w:tcW w:w="548" w:type="pct"/>
            <w:tcBorders>
              <w:bottom w:val="single" w:sz="4" w:space="0" w:color="auto"/>
            </w:tcBorders>
            <w:shd w:val="clear" w:color="auto" w:fill="auto"/>
          </w:tcPr>
          <w:p w14:paraId="4C94EBCF" w14:textId="77777777" w:rsidR="003F0D4E" w:rsidRPr="00097A86" w:rsidRDefault="003F0D4E" w:rsidP="00D22D3F">
            <w:pPr>
              <w:pStyle w:val="Tabletext"/>
            </w:pPr>
            <w:r w:rsidRPr="00097A86">
              <w:t>3</w:t>
            </w:r>
          </w:p>
        </w:tc>
        <w:tc>
          <w:tcPr>
            <w:tcW w:w="822" w:type="pct"/>
            <w:tcBorders>
              <w:bottom w:val="single" w:sz="4" w:space="0" w:color="auto"/>
            </w:tcBorders>
            <w:shd w:val="clear" w:color="auto" w:fill="auto"/>
          </w:tcPr>
          <w:p w14:paraId="08274AA1" w14:textId="77777777" w:rsidR="003F0D4E" w:rsidRPr="00097A86" w:rsidRDefault="003F0D4E" w:rsidP="00D22D3F">
            <w:pPr>
              <w:pStyle w:val="Tabletext"/>
            </w:pPr>
            <w:r w:rsidRPr="00097A86">
              <w:t>3</w:t>
            </w:r>
          </w:p>
        </w:tc>
        <w:tc>
          <w:tcPr>
            <w:tcW w:w="1537" w:type="pct"/>
            <w:tcBorders>
              <w:bottom w:val="single" w:sz="4" w:space="0" w:color="auto"/>
            </w:tcBorders>
            <w:shd w:val="clear" w:color="auto" w:fill="auto"/>
          </w:tcPr>
          <w:p w14:paraId="6666C193" w14:textId="77777777" w:rsidR="003F0D4E" w:rsidRPr="00097A86" w:rsidRDefault="003F0D4E" w:rsidP="00D22D3F">
            <w:pPr>
              <w:pStyle w:val="Tabletext"/>
            </w:pPr>
            <w:r w:rsidRPr="00097A86">
              <w:t>3501–17500</w:t>
            </w:r>
          </w:p>
        </w:tc>
        <w:tc>
          <w:tcPr>
            <w:tcW w:w="2093" w:type="pct"/>
            <w:tcBorders>
              <w:bottom w:val="single" w:sz="4" w:space="0" w:color="auto"/>
            </w:tcBorders>
            <w:shd w:val="clear" w:color="auto" w:fill="auto"/>
          </w:tcPr>
          <w:p w14:paraId="0F1D225C" w14:textId="77777777" w:rsidR="003F0D4E" w:rsidRPr="00097A86" w:rsidRDefault="003F0D4E" w:rsidP="00D22D3F">
            <w:pPr>
              <w:pStyle w:val="Tabletext"/>
            </w:pPr>
            <w:r w:rsidRPr="00097A86">
              <w:t>Smart transmitters:</w:t>
            </w:r>
          </w:p>
          <w:p w14:paraId="6BBBE3DC" w14:textId="77777777" w:rsidR="003F0D4E" w:rsidRPr="00097A86" w:rsidRDefault="003F0D4E" w:rsidP="00D22D3F">
            <w:pPr>
              <w:pStyle w:val="Tabletext"/>
            </w:pPr>
            <w:r w:rsidRPr="00097A86">
              <w:t>Pressure &lt;±0.10%</w:t>
            </w:r>
          </w:p>
          <w:p w14:paraId="222150DB" w14:textId="77777777" w:rsidR="003F0D4E" w:rsidRPr="00097A86" w:rsidRDefault="003F0D4E" w:rsidP="00D22D3F">
            <w:pPr>
              <w:pStyle w:val="Tabletext"/>
            </w:pPr>
            <w:r w:rsidRPr="00097A86">
              <w:t>Diff. pressure &lt;±0.10%</w:t>
            </w:r>
          </w:p>
          <w:p w14:paraId="7327A49E" w14:textId="77777777" w:rsidR="003F0D4E" w:rsidRPr="00097A86" w:rsidRDefault="003F0D4E" w:rsidP="00D22D3F">
            <w:pPr>
              <w:pStyle w:val="Tabletext"/>
            </w:pPr>
            <w:r w:rsidRPr="00097A86">
              <w:t>Temperature &lt;±0.25%</w:t>
            </w:r>
          </w:p>
        </w:tc>
      </w:tr>
      <w:tr w:rsidR="003F0D4E" w:rsidRPr="00097A86" w14:paraId="44C21FEA" w14:textId="77777777" w:rsidTr="00C20CC2">
        <w:tc>
          <w:tcPr>
            <w:tcW w:w="548" w:type="pct"/>
            <w:tcBorders>
              <w:bottom w:val="single" w:sz="12" w:space="0" w:color="auto"/>
            </w:tcBorders>
            <w:shd w:val="clear" w:color="auto" w:fill="auto"/>
          </w:tcPr>
          <w:p w14:paraId="70DD3F58" w14:textId="77777777" w:rsidR="003F0D4E" w:rsidRPr="00097A86" w:rsidRDefault="003F0D4E" w:rsidP="00D22D3F">
            <w:pPr>
              <w:pStyle w:val="Tabletext"/>
            </w:pPr>
            <w:r w:rsidRPr="00097A86">
              <w:t>4</w:t>
            </w:r>
          </w:p>
        </w:tc>
        <w:tc>
          <w:tcPr>
            <w:tcW w:w="822" w:type="pct"/>
            <w:tcBorders>
              <w:bottom w:val="single" w:sz="12" w:space="0" w:color="auto"/>
            </w:tcBorders>
            <w:shd w:val="clear" w:color="auto" w:fill="auto"/>
          </w:tcPr>
          <w:p w14:paraId="72D416B1" w14:textId="77777777" w:rsidR="003F0D4E" w:rsidRPr="00097A86" w:rsidRDefault="003F0D4E" w:rsidP="00D22D3F">
            <w:pPr>
              <w:pStyle w:val="Tabletext"/>
            </w:pPr>
            <w:r w:rsidRPr="00097A86">
              <w:t>4</w:t>
            </w:r>
          </w:p>
        </w:tc>
        <w:tc>
          <w:tcPr>
            <w:tcW w:w="1537" w:type="pct"/>
            <w:tcBorders>
              <w:bottom w:val="single" w:sz="12" w:space="0" w:color="auto"/>
            </w:tcBorders>
            <w:shd w:val="clear" w:color="auto" w:fill="auto"/>
          </w:tcPr>
          <w:p w14:paraId="4D776ABA" w14:textId="77777777" w:rsidR="003F0D4E" w:rsidRPr="00097A86" w:rsidRDefault="003F0D4E" w:rsidP="00D22D3F">
            <w:pPr>
              <w:pStyle w:val="Tabletext"/>
            </w:pPr>
            <w:r w:rsidRPr="00097A86">
              <w:t>17501 or more</w:t>
            </w:r>
          </w:p>
        </w:tc>
        <w:tc>
          <w:tcPr>
            <w:tcW w:w="2093" w:type="pct"/>
            <w:tcBorders>
              <w:bottom w:val="single" w:sz="12" w:space="0" w:color="auto"/>
            </w:tcBorders>
            <w:shd w:val="clear" w:color="auto" w:fill="auto"/>
          </w:tcPr>
          <w:p w14:paraId="79464718" w14:textId="77777777" w:rsidR="003F0D4E" w:rsidRPr="00097A86" w:rsidRDefault="003F0D4E" w:rsidP="00D22D3F">
            <w:pPr>
              <w:pStyle w:val="Tabletext"/>
            </w:pPr>
            <w:r w:rsidRPr="00097A86">
              <w:t xml:space="preserve">Smart transmitters: </w:t>
            </w:r>
          </w:p>
          <w:p w14:paraId="182268A5" w14:textId="77777777" w:rsidR="003F0D4E" w:rsidRPr="00097A86" w:rsidRDefault="003F0D4E" w:rsidP="00D22D3F">
            <w:pPr>
              <w:pStyle w:val="Tabletext"/>
            </w:pPr>
            <w:r w:rsidRPr="00097A86">
              <w:t>Pressure &lt;±0.10%</w:t>
            </w:r>
          </w:p>
          <w:p w14:paraId="7B153E68" w14:textId="77777777" w:rsidR="003F0D4E" w:rsidRPr="00097A86" w:rsidRDefault="003F0D4E" w:rsidP="00D22D3F">
            <w:pPr>
              <w:pStyle w:val="Tabletext"/>
            </w:pPr>
            <w:r w:rsidRPr="00097A86">
              <w:t>Diff. pressure &lt;±0.10%</w:t>
            </w:r>
          </w:p>
          <w:p w14:paraId="79080C05" w14:textId="77777777" w:rsidR="003F0D4E" w:rsidRPr="00097A86" w:rsidRDefault="003F0D4E" w:rsidP="00D22D3F">
            <w:pPr>
              <w:pStyle w:val="Tabletext"/>
            </w:pPr>
            <w:r w:rsidRPr="00097A86">
              <w:t>Temperature &lt;±0.25%</w:t>
            </w:r>
          </w:p>
        </w:tc>
      </w:tr>
    </w:tbl>
    <w:p w14:paraId="664F36D6" w14:textId="77777777" w:rsidR="003F0D4E" w:rsidRPr="00097A86" w:rsidRDefault="003F0D4E" w:rsidP="00D22D3F">
      <w:pPr>
        <w:pStyle w:val="subsection"/>
      </w:pPr>
      <w:r w:rsidRPr="00097A86">
        <w:tab/>
        <w:t>(5)</w:t>
      </w:r>
      <w:r w:rsidRPr="00097A86">
        <w:tab/>
      </w:r>
      <w:r w:rsidR="00097A86">
        <w:t>Paragraph (</w:t>
      </w:r>
      <w:r w:rsidRPr="00097A86">
        <w:t>3)(b) only applies if:</w:t>
      </w:r>
    </w:p>
    <w:p w14:paraId="07F79FFD" w14:textId="77777777" w:rsidR="003F0D4E" w:rsidRPr="00097A86" w:rsidRDefault="003F0D4E" w:rsidP="00D22D3F">
      <w:pPr>
        <w:pStyle w:val="paragraph"/>
      </w:pPr>
      <w:r w:rsidRPr="00097A86">
        <w:tab/>
        <w:t>(a)</w:t>
      </w:r>
      <w:r w:rsidRPr="00097A86">
        <w:tab/>
        <w:t>the change in the stockpile of the fuel for the facility for the year is less than 1% of total consumption on average for the facility during the year; and</w:t>
      </w:r>
    </w:p>
    <w:p w14:paraId="41C16422" w14:textId="77777777" w:rsidR="003F0D4E" w:rsidRPr="00097A86" w:rsidRDefault="003F0D4E" w:rsidP="00D22D3F">
      <w:pPr>
        <w:pStyle w:val="paragraph"/>
      </w:pPr>
      <w:r w:rsidRPr="00097A86">
        <w:lastRenderedPageBreak/>
        <w:tab/>
        <w:t>(b)</w:t>
      </w:r>
      <w:r w:rsidRPr="00097A86">
        <w:tab/>
        <w:t>the stockpile of the fuel for the facility at the beginning of the year is less than 5% of total consumption of the fuel from the operation of the facility during the year.</w:t>
      </w:r>
    </w:p>
    <w:p w14:paraId="332B412C" w14:textId="77777777" w:rsidR="00B96490" w:rsidRPr="00097A86" w:rsidRDefault="00B96490" w:rsidP="00D22D3F">
      <w:pPr>
        <w:pStyle w:val="ActHead5"/>
      </w:pPr>
      <w:bookmarkStart w:id="138" w:name="_Toc13233584"/>
      <w:r w:rsidRPr="00097A86">
        <w:rPr>
          <w:rStyle w:val="CharSectno"/>
        </w:rPr>
        <w:t>2.32</w:t>
      </w:r>
      <w:r w:rsidR="00D22D3F" w:rsidRPr="00097A86">
        <w:t xml:space="preserve">  </w:t>
      </w:r>
      <w:r w:rsidRPr="00097A86">
        <w:t>Volumetric measurement—all natural gases</w:t>
      </w:r>
      <w:bookmarkEnd w:id="138"/>
    </w:p>
    <w:p w14:paraId="1D700024" w14:textId="77777777" w:rsidR="00B96490" w:rsidRPr="00097A86" w:rsidRDefault="00B96490" w:rsidP="00D22D3F">
      <w:pPr>
        <w:pStyle w:val="subsection"/>
      </w:pPr>
      <w:r w:rsidRPr="00097A86">
        <w:tab/>
        <w:t>(1)</w:t>
      </w:r>
      <w:r w:rsidRPr="00097A86">
        <w:tab/>
        <w:t>For subparagraph</w:t>
      </w:r>
      <w:r w:rsidR="00097A86">
        <w:t> </w:t>
      </w:r>
      <w:r w:rsidRPr="00097A86">
        <w:t>2.31(2)(a)(i) and (ii), volumetric measurement must be calculated at standard conditions and expressed in cubic metres.</w:t>
      </w:r>
    </w:p>
    <w:p w14:paraId="6CC21FAB" w14:textId="77777777" w:rsidR="00B96490" w:rsidRPr="00097A86" w:rsidRDefault="00B96490" w:rsidP="00D22D3F">
      <w:pPr>
        <w:pStyle w:val="subsection"/>
      </w:pPr>
      <w:r w:rsidRPr="00097A86">
        <w:tab/>
        <w:t>(2)</w:t>
      </w:r>
      <w:r w:rsidRPr="00097A86">
        <w:tab/>
        <w:t>The volumetric measurement must be calculated using a flow computer that measures and analyses the following at the delivery location of the gaseous fuel:</w:t>
      </w:r>
    </w:p>
    <w:p w14:paraId="6E45E4F8" w14:textId="77777777" w:rsidR="00B96490" w:rsidRPr="00097A86" w:rsidRDefault="00B96490" w:rsidP="00D22D3F">
      <w:pPr>
        <w:pStyle w:val="paragraph"/>
      </w:pPr>
      <w:r w:rsidRPr="00097A86">
        <w:tab/>
        <w:t>(a)</w:t>
      </w:r>
      <w:r w:rsidRPr="00097A86">
        <w:tab/>
        <w:t>flow;</w:t>
      </w:r>
    </w:p>
    <w:p w14:paraId="0A6DF60F" w14:textId="77777777" w:rsidR="00B96490" w:rsidRPr="00097A86" w:rsidRDefault="00B96490" w:rsidP="00D22D3F">
      <w:pPr>
        <w:pStyle w:val="paragraph"/>
      </w:pPr>
      <w:r w:rsidRPr="00097A86">
        <w:tab/>
        <w:t>(b)</w:t>
      </w:r>
      <w:r w:rsidRPr="00097A86">
        <w:tab/>
        <w:t>relative density;</w:t>
      </w:r>
    </w:p>
    <w:p w14:paraId="37854995" w14:textId="77777777" w:rsidR="00B96490" w:rsidRPr="00097A86" w:rsidRDefault="00B96490" w:rsidP="00D22D3F">
      <w:pPr>
        <w:pStyle w:val="paragraph"/>
      </w:pPr>
      <w:r w:rsidRPr="00097A86">
        <w:tab/>
        <w:t>(c)</w:t>
      </w:r>
      <w:r w:rsidRPr="00097A86">
        <w:tab/>
        <w:t>gas composition.</w:t>
      </w:r>
    </w:p>
    <w:p w14:paraId="0F64B272" w14:textId="77777777" w:rsidR="00B96490" w:rsidRPr="00097A86" w:rsidRDefault="00B96490" w:rsidP="00D22D3F">
      <w:pPr>
        <w:pStyle w:val="subsection"/>
      </w:pPr>
      <w:r w:rsidRPr="00097A86">
        <w:tab/>
        <w:t>(3)</w:t>
      </w:r>
      <w:r w:rsidRPr="00097A86">
        <w:tab/>
        <w:t>The volumetric flow rate must be:</w:t>
      </w:r>
    </w:p>
    <w:p w14:paraId="251E86AC" w14:textId="77777777" w:rsidR="00B96490" w:rsidRPr="00097A86" w:rsidRDefault="00B96490" w:rsidP="00D22D3F">
      <w:pPr>
        <w:pStyle w:val="paragraph"/>
      </w:pPr>
      <w:r w:rsidRPr="00097A86">
        <w:tab/>
        <w:t>(a)</w:t>
      </w:r>
      <w:r w:rsidRPr="00097A86">
        <w:tab/>
        <w:t>continuously recorded; and</w:t>
      </w:r>
    </w:p>
    <w:p w14:paraId="1F21445C" w14:textId="77777777" w:rsidR="00B96490" w:rsidRPr="00097A86" w:rsidRDefault="00B96490" w:rsidP="00D22D3F">
      <w:pPr>
        <w:pStyle w:val="paragraph"/>
      </w:pPr>
      <w:r w:rsidRPr="00097A86">
        <w:tab/>
        <w:t>(b)</w:t>
      </w:r>
      <w:r w:rsidRPr="00097A86">
        <w:tab/>
        <w:t>continuously integrated using an integration device.</w:t>
      </w:r>
    </w:p>
    <w:p w14:paraId="5A484906" w14:textId="77777777" w:rsidR="00B96490" w:rsidRPr="00097A86" w:rsidRDefault="00B96490" w:rsidP="00D22D3F">
      <w:pPr>
        <w:pStyle w:val="subsection"/>
      </w:pPr>
      <w:r w:rsidRPr="00097A86">
        <w:tab/>
        <w:t>(3A)</w:t>
      </w:r>
      <w:r w:rsidRPr="00097A86">
        <w:tab/>
        <w:t>The integration device must be isolated from the flow computer in such a way that, if the computer fails, the integration device will retain:</w:t>
      </w:r>
    </w:p>
    <w:p w14:paraId="22264F96" w14:textId="77777777" w:rsidR="00B96490" w:rsidRPr="00097A86" w:rsidRDefault="00B96490" w:rsidP="00D22D3F">
      <w:pPr>
        <w:pStyle w:val="paragraph"/>
      </w:pPr>
      <w:r w:rsidRPr="00097A86">
        <w:tab/>
        <w:t>(a)</w:t>
      </w:r>
      <w:r w:rsidRPr="00097A86">
        <w:tab/>
        <w:t>the last reading that was on the computer immediately before the failure; or</w:t>
      </w:r>
    </w:p>
    <w:p w14:paraId="32C7F041" w14:textId="77777777" w:rsidR="00B96490" w:rsidRPr="00097A86" w:rsidRDefault="00B96490" w:rsidP="00D22D3F">
      <w:pPr>
        <w:pStyle w:val="paragraph"/>
      </w:pPr>
      <w:r w:rsidRPr="00097A86">
        <w:tab/>
        <w:t>(b)</w:t>
      </w:r>
      <w:r w:rsidRPr="00097A86">
        <w:tab/>
        <w:t>the previously stored information that was on the computer immediately before the failure.</w:t>
      </w:r>
    </w:p>
    <w:p w14:paraId="3B58C162" w14:textId="77777777" w:rsidR="00B96490" w:rsidRPr="00097A86" w:rsidRDefault="00B96490" w:rsidP="00D22D3F">
      <w:pPr>
        <w:pStyle w:val="subsection"/>
      </w:pPr>
      <w:r w:rsidRPr="00097A86">
        <w:tab/>
        <w:t>(4)</w:t>
      </w:r>
      <w:r w:rsidRPr="00097A86">
        <w:tab/>
        <w:t>All measurements, calculations and procedures used in determining volume (except for any correction for deviation from the ideal gas law) must be made in accordance with:</w:t>
      </w:r>
    </w:p>
    <w:p w14:paraId="56FFA949" w14:textId="77777777" w:rsidR="00B96490" w:rsidRPr="00097A86" w:rsidRDefault="00B96490" w:rsidP="00D22D3F">
      <w:pPr>
        <w:pStyle w:val="paragraph"/>
      </w:pPr>
      <w:r w:rsidRPr="00097A86">
        <w:tab/>
        <w:t>(a)</w:t>
      </w:r>
      <w:r w:rsidRPr="00097A86">
        <w:tab/>
        <w:t xml:space="preserve">the instructions mentioned in </w:t>
      </w:r>
      <w:r w:rsidR="00097A86">
        <w:t>subsection (</w:t>
      </w:r>
      <w:r w:rsidRPr="00097A86">
        <w:t>5); or</w:t>
      </w:r>
    </w:p>
    <w:p w14:paraId="290E49CF" w14:textId="77777777" w:rsidR="00F12371" w:rsidRPr="00097A86" w:rsidRDefault="00F12371" w:rsidP="00F12371">
      <w:pPr>
        <w:pStyle w:val="paragraph"/>
      </w:pPr>
      <w:r w:rsidRPr="00097A86">
        <w:tab/>
        <w:t>(b)</w:t>
      </w:r>
      <w:r w:rsidRPr="00097A86">
        <w:tab/>
        <w:t>an appropriate internationally recognised standard or code.</w:t>
      </w:r>
    </w:p>
    <w:p w14:paraId="24326072" w14:textId="77777777" w:rsidR="00B96490" w:rsidRPr="00097A86" w:rsidRDefault="00D22D3F" w:rsidP="00D22D3F">
      <w:pPr>
        <w:pStyle w:val="notetext"/>
      </w:pPr>
      <w:r w:rsidRPr="00097A86">
        <w:t>Note:</w:t>
      </w:r>
      <w:r w:rsidRPr="00097A86">
        <w:tab/>
      </w:r>
      <w:r w:rsidR="00B96490" w:rsidRPr="00097A86">
        <w:t>An example of an internationally recognised equivalent standard is New Zealand standard NZS 5259:2004.</w:t>
      </w:r>
    </w:p>
    <w:p w14:paraId="3BAAAB83" w14:textId="77777777" w:rsidR="00B96490" w:rsidRPr="00097A86" w:rsidRDefault="00B96490" w:rsidP="00D22D3F">
      <w:pPr>
        <w:pStyle w:val="subsection"/>
      </w:pPr>
      <w:r w:rsidRPr="00097A86">
        <w:tab/>
        <w:t>(5)</w:t>
      </w:r>
      <w:r w:rsidRPr="00097A86">
        <w:tab/>
        <w:t xml:space="preserve">For </w:t>
      </w:r>
      <w:r w:rsidR="00097A86">
        <w:t>paragraph (</w:t>
      </w:r>
      <w:r w:rsidRPr="00097A86">
        <w:t>4)(a), the instructions are those mentioned in:</w:t>
      </w:r>
    </w:p>
    <w:p w14:paraId="1D829FFA" w14:textId="77777777" w:rsidR="00B96490" w:rsidRPr="00097A86" w:rsidRDefault="00B96490" w:rsidP="00D22D3F">
      <w:pPr>
        <w:pStyle w:val="paragraph"/>
      </w:pPr>
      <w:r w:rsidRPr="00097A86">
        <w:tab/>
        <w:t>(a)</w:t>
      </w:r>
      <w:r w:rsidRPr="00097A86">
        <w:tab/>
        <w:t>for orifice plate measuring systems:</w:t>
      </w:r>
    </w:p>
    <w:p w14:paraId="373FF610" w14:textId="77777777" w:rsidR="00B96490" w:rsidRPr="00097A86" w:rsidRDefault="00B96490" w:rsidP="00D22D3F">
      <w:pPr>
        <w:pStyle w:val="paragraphsub"/>
      </w:pPr>
      <w:r w:rsidRPr="00097A86">
        <w:tab/>
        <w:t>(i)</w:t>
      </w:r>
      <w:r w:rsidRPr="00097A86">
        <w:tab/>
        <w:t xml:space="preserve">the publication entitled </w:t>
      </w:r>
      <w:r w:rsidRPr="00097A86">
        <w:rPr>
          <w:i/>
        </w:rPr>
        <w:t>AGA Report No.</w:t>
      </w:r>
      <w:r w:rsidR="00097A86">
        <w:rPr>
          <w:i/>
        </w:rPr>
        <w:t> </w:t>
      </w:r>
      <w:r w:rsidRPr="00097A86">
        <w:rPr>
          <w:i/>
        </w:rPr>
        <w:t>3</w:t>
      </w:r>
      <w:r w:rsidRPr="00097A86">
        <w:t xml:space="preserve">, </w:t>
      </w:r>
      <w:r w:rsidRPr="00097A86">
        <w:rPr>
          <w:i/>
        </w:rPr>
        <w:t>Orifice Metering of Natural Gas and Other Related Hydrocarbon Fluids Part</w:t>
      </w:r>
      <w:r w:rsidR="00097A86">
        <w:rPr>
          <w:i/>
        </w:rPr>
        <w:t> </w:t>
      </w:r>
      <w:r w:rsidRPr="00097A86">
        <w:rPr>
          <w:i/>
        </w:rPr>
        <w:t xml:space="preserve">3: Natural Gas Applications, </w:t>
      </w:r>
      <w:r w:rsidRPr="00097A86">
        <w:t>published by the American Gas Association in August 1992; or</w:t>
      </w:r>
    </w:p>
    <w:p w14:paraId="2BCF9F27" w14:textId="77777777" w:rsidR="00B96490" w:rsidRPr="00097A86" w:rsidRDefault="00B96490" w:rsidP="00D22D3F">
      <w:pPr>
        <w:pStyle w:val="paragraphsub"/>
      </w:pPr>
      <w:r w:rsidRPr="00097A86">
        <w:tab/>
        <w:t>(ii)</w:t>
      </w:r>
      <w:r w:rsidRPr="00097A86">
        <w:tab/>
        <w:t>Parts</w:t>
      </w:r>
      <w:r w:rsidR="00097A86">
        <w:t> </w:t>
      </w:r>
      <w:r w:rsidRPr="00097A86">
        <w:t xml:space="preserve">1 to 4 of the publication entitled </w:t>
      </w:r>
      <w:r w:rsidRPr="00097A86">
        <w:rPr>
          <w:i/>
        </w:rPr>
        <w:t>ANSI/API MPMS Chapter</w:t>
      </w:r>
      <w:r w:rsidR="00097A86">
        <w:rPr>
          <w:i/>
        </w:rPr>
        <w:t> </w:t>
      </w:r>
      <w:r w:rsidRPr="00097A86">
        <w:rPr>
          <w:i/>
        </w:rPr>
        <w:t>14.3 Part</w:t>
      </w:r>
      <w:r w:rsidR="00097A86">
        <w:rPr>
          <w:i/>
        </w:rPr>
        <w:t> </w:t>
      </w:r>
      <w:r w:rsidRPr="00097A86">
        <w:rPr>
          <w:i/>
        </w:rPr>
        <w:t>2 (R2011) Natural Gas Fluids Measurement: Concentric, Square</w:t>
      </w:r>
      <w:r w:rsidR="00097A86">
        <w:rPr>
          <w:i/>
        </w:rPr>
        <w:noBreakHyphen/>
      </w:r>
      <w:r w:rsidRPr="00097A86">
        <w:rPr>
          <w:i/>
        </w:rPr>
        <w:t xml:space="preserve">Edged Orifice Meters </w:t>
      </w:r>
      <w:r w:rsidR="00097A86">
        <w:rPr>
          <w:i/>
        </w:rPr>
        <w:noBreakHyphen/>
      </w:r>
      <w:r w:rsidRPr="00097A86">
        <w:rPr>
          <w:i/>
        </w:rPr>
        <w:t xml:space="preserve"> Part</w:t>
      </w:r>
      <w:r w:rsidR="00097A86">
        <w:rPr>
          <w:i/>
        </w:rPr>
        <w:t> </w:t>
      </w:r>
      <w:r w:rsidRPr="00097A86">
        <w:rPr>
          <w:i/>
        </w:rPr>
        <w:t>2: Specification and Installation Requirements</w:t>
      </w:r>
      <w:r w:rsidRPr="00097A86">
        <w:t>, 4th edition, published by the American Petroleum Institute on 30</w:t>
      </w:r>
      <w:r w:rsidR="00097A86">
        <w:t> </w:t>
      </w:r>
      <w:r w:rsidRPr="00097A86">
        <w:t>April 2000;</w:t>
      </w:r>
    </w:p>
    <w:p w14:paraId="57195EC1" w14:textId="77777777" w:rsidR="00B96490" w:rsidRPr="00097A86" w:rsidRDefault="00B96490" w:rsidP="00D22D3F">
      <w:pPr>
        <w:pStyle w:val="paragraph"/>
        <w:rPr>
          <w:i/>
        </w:rPr>
      </w:pPr>
      <w:r w:rsidRPr="00097A86">
        <w:tab/>
        <w:t>(b)</w:t>
      </w:r>
      <w:r w:rsidRPr="00097A86">
        <w:tab/>
        <w:t xml:space="preserve">for turbine measuring systems—the publication entitled </w:t>
      </w:r>
      <w:r w:rsidRPr="00097A86">
        <w:rPr>
          <w:i/>
        </w:rPr>
        <w:t>AGA Report No.</w:t>
      </w:r>
      <w:r w:rsidR="00097A86">
        <w:rPr>
          <w:i/>
        </w:rPr>
        <w:t> </w:t>
      </w:r>
      <w:r w:rsidRPr="00097A86">
        <w:rPr>
          <w:i/>
        </w:rPr>
        <w:t xml:space="preserve">7, Measurement of Natural Gas by Turbine Meter (2006), </w:t>
      </w:r>
      <w:r w:rsidRPr="00097A86">
        <w:t>published by the American Gas Association on 1</w:t>
      </w:r>
      <w:r w:rsidR="00097A86">
        <w:t> </w:t>
      </w:r>
      <w:r w:rsidRPr="00097A86">
        <w:t>January 2006;</w:t>
      </w:r>
    </w:p>
    <w:p w14:paraId="0354E5D0" w14:textId="77777777" w:rsidR="00B96490" w:rsidRPr="00097A86" w:rsidRDefault="00B96490" w:rsidP="00D22D3F">
      <w:pPr>
        <w:pStyle w:val="paragraph"/>
      </w:pPr>
      <w:r w:rsidRPr="00097A86">
        <w:lastRenderedPageBreak/>
        <w:tab/>
        <w:t>(c)</w:t>
      </w:r>
      <w:r w:rsidRPr="00097A86">
        <w:tab/>
        <w:t xml:space="preserve">for positive displacement measuring systems—the publication entitled </w:t>
      </w:r>
      <w:r w:rsidRPr="00097A86">
        <w:rPr>
          <w:i/>
        </w:rPr>
        <w:t>ANSI B109.3—2000, Rotary Type Gas Displacement Meters</w:t>
      </w:r>
      <w:r w:rsidRPr="00097A86">
        <w:t>, published by the American Gas Association on 13</w:t>
      </w:r>
      <w:r w:rsidR="00097A86">
        <w:t> </w:t>
      </w:r>
      <w:r w:rsidRPr="00097A86">
        <w:t>April 2000.</w:t>
      </w:r>
    </w:p>
    <w:p w14:paraId="6B010BEA" w14:textId="77777777" w:rsidR="00B96490" w:rsidRPr="00097A86" w:rsidRDefault="00B96490" w:rsidP="00D22D3F">
      <w:pPr>
        <w:pStyle w:val="subsection"/>
      </w:pPr>
      <w:r w:rsidRPr="00097A86">
        <w:tab/>
        <w:t>(6)</w:t>
      </w:r>
      <w:r w:rsidRPr="00097A86">
        <w:tab/>
        <w:t>Measurements must comply with Australian legal units of measurement.</w:t>
      </w:r>
    </w:p>
    <w:p w14:paraId="2233086C" w14:textId="77777777" w:rsidR="00F772E8" w:rsidRPr="00097A86" w:rsidRDefault="00F772E8" w:rsidP="00D22D3F">
      <w:pPr>
        <w:pStyle w:val="subsection"/>
      </w:pPr>
      <w:r w:rsidRPr="00097A86">
        <w:tab/>
        <w:t>(7)</w:t>
      </w:r>
      <w:r w:rsidRPr="00097A86">
        <w:tab/>
      </w:r>
      <w:r w:rsidRPr="00097A86">
        <w:rPr>
          <w:b/>
          <w:i/>
        </w:rPr>
        <w:t xml:space="preserve">Standard conditions </w:t>
      </w:r>
      <w:r w:rsidRPr="00097A86">
        <w:t>means, as measured on a dry gas basis:</w:t>
      </w:r>
    </w:p>
    <w:p w14:paraId="1AD6DDBF" w14:textId="77777777" w:rsidR="00F772E8" w:rsidRPr="00097A86" w:rsidRDefault="00F772E8" w:rsidP="00D22D3F">
      <w:pPr>
        <w:pStyle w:val="paragraph"/>
      </w:pPr>
      <w:r w:rsidRPr="00097A86">
        <w:tab/>
        <w:t>(a)</w:t>
      </w:r>
      <w:r w:rsidRPr="00097A86">
        <w:tab/>
        <w:t>air pressure of 101.325 kilopascals; and</w:t>
      </w:r>
    </w:p>
    <w:p w14:paraId="400598F1" w14:textId="77777777" w:rsidR="00F772E8" w:rsidRPr="00097A86" w:rsidRDefault="00F772E8" w:rsidP="00D22D3F">
      <w:pPr>
        <w:pStyle w:val="paragraph"/>
      </w:pPr>
      <w:r w:rsidRPr="00097A86">
        <w:tab/>
        <w:t>(b)</w:t>
      </w:r>
      <w:r w:rsidRPr="00097A86">
        <w:tab/>
        <w:t>air temperature of 15.0 degrees Celsius; and</w:t>
      </w:r>
    </w:p>
    <w:p w14:paraId="31C92400" w14:textId="77777777" w:rsidR="00F772E8" w:rsidRPr="00097A86" w:rsidRDefault="00F772E8" w:rsidP="00D22D3F">
      <w:pPr>
        <w:pStyle w:val="paragraph"/>
      </w:pPr>
      <w:r w:rsidRPr="00097A86">
        <w:tab/>
        <w:t>(c)</w:t>
      </w:r>
      <w:r w:rsidRPr="00097A86">
        <w:tab/>
        <w:t>air density of 1.225 kilograms per cubic metre.</w:t>
      </w:r>
    </w:p>
    <w:p w14:paraId="0C76F4A9" w14:textId="77777777" w:rsidR="00B96490" w:rsidRPr="00097A86" w:rsidRDefault="00B96490" w:rsidP="00D22D3F">
      <w:pPr>
        <w:pStyle w:val="ActHead5"/>
      </w:pPr>
      <w:bookmarkStart w:id="139" w:name="_Toc13233585"/>
      <w:r w:rsidRPr="00097A86">
        <w:rPr>
          <w:rStyle w:val="CharSectno"/>
        </w:rPr>
        <w:t>2.33</w:t>
      </w:r>
      <w:r w:rsidR="00D22D3F" w:rsidRPr="00097A86">
        <w:t xml:space="preserve">  </w:t>
      </w:r>
      <w:r w:rsidRPr="00097A86">
        <w:t>Volumetric measurement—super</w:t>
      </w:r>
      <w:r w:rsidR="00097A86">
        <w:noBreakHyphen/>
      </w:r>
      <w:r w:rsidRPr="00097A86">
        <w:t>compressed gases</w:t>
      </w:r>
      <w:bookmarkEnd w:id="139"/>
    </w:p>
    <w:p w14:paraId="4A94B702" w14:textId="77777777" w:rsidR="00B96490" w:rsidRPr="00097A86" w:rsidRDefault="00B96490" w:rsidP="00D22D3F">
      <w:pPr>
        <w:pStyle w:val="subsection"/>
      </w:pPr>
      <w:r w:rsidRPr="00097A86">
        <w:tab/>
        <w:t>(1)</w:t>
      </w:r>
      <w:r w:rsidRPr="00097A86">
        <w:tab/>
        <w:t>For subparagraph</w:t>
      </w:r>
      <w:r w:rsidR="00097A86">
        <w:t> </w:t>
      </w:r>
      <w:r w:rsidRPr="00097A86">
        <w:t>2.31(2)(a)(ii), this section applies in relation to measuring the volume of super</w:t>
      </w:r>
      <w:r w:rsidR="00097A86">
        <w:noBreakHyphen/>
      </w:r>
      <w:r w:rsidRPr="00097A86">
        <w:t>compressed natural gases.</w:t>
      </w:r>
    </w:p>
    <w:p w14:paraId="463DA9BC" w14:textId="77777777" w:rsidR="00B96490" w:rsidRPr="00097A86" w:rsidRDefault="00B96490" w:rsidP="00D22D3F">
      <w:pPr>
        <w:pStyle w:val="subsection"/>
      </w:pPr>
      <w:r w:rsidRPr="00097A86">
        <w:tab/>
        <w:t>(2)</w:t>
      </w:r>
      <w:r w:rsidRPr="00097A86">
        <w:tab/>
        <w:t xml:space="preserve">If it is necessary to correct the volume for deviation from the ideal gas law, the correction must be determined using the relevant method set out in the publication entitled </w:t>
      </w:r>
      <w:r w:rsidRPr="00097A86">
        <w:rPr>
          <w:i/>
        </w:rPr>
        <w:t>AGA Report No.</w:t>
      </w:r>
      <w:r w:rsidR="00097A86">
        <w:rPr>
          <w:i/>
        </w:rPr>
        <w:t> </w:t>
      </w:r>
      <w:r w:rsidRPr="00097A86">
        <w:rPr>
          <w:i/>
        </w:rPr>
        <w:t>8, Compressibility Factor of Natural Gas and Related Hydrocarbon Gases (1994)</w:t>
      </w:r>
      <w:r w:rsidRPr="00097A86">
        <w:t>, published by the American Gas Association on 1</w:t>
      </w:r>
      <w:r w:rsidR="00097A86">
        <w:t> </w:t>
      </w:r>
      <w:r w:rsidRPr="00097A86">
        <w:t>January 1994.</w:t>
      </w:r>
    </w:p>
    <w:p w14:paraId="46A55B40" w14:textId="77777777" w:rsidR="00B96490" w:rsidRPr="00097A86" w:rsidRDefault="00B96490" w:rsidP="00D22D3F">
      <w:pPr>
        <w:pStyle w:val="subsection"/>
      </w:pPr>
      <w:r w:rsidRPr="00097A86">
        <w:tab/>
        <w:t>(3)</w:t>
      </w:r>
      <w:r w:rsidRPr="00097A86">
        <w:tab/>
        <w:t>The measuring equipment used must calculate super</w:t>
      </w:r>
      <w:r w:rsidR="00097A86">
        <w:noBreakHyphen/>
      </w:r>
      <w:r w:rsidRPr="00097A86">
        <w:t>compressibility by:</w:t>
      </w:r>
    </w:p>
    <w:p w14:paraId="50AA8ACE" w14:textId="77777777" w:rsidR="00B96490" w:rsidRPr="00097A86" w:rsidRDefault="00B96490" w:rsidP="00D22D3F">
      <w:pPr>
        <w:pStyle w:val="paragraph"/>
      </w:pPr>
      <w:r w:rsidRPr="00097A86">
        <w:tab/>
        <w:t>(a)</w:t>
      </w:r>
      <w:r w:rsidRPr="00097A86">
        <w:tab/>
        <w:t>if the measuring equipment is category 3 or 4 equipment in accordance with the table in section</w:t>
      </w:r>
      <w:r w:rsidR="00097A86">
        <w:t> </w:t>
      </w:r>
      <w:r w:rsidRPr="00097A86">
        <w:t>2.31—using gas composition data; or</w:t>
      </w:r>
    </w:p>
    <w:p w14:paraId="399BD189" w14:textId="77777777" w:rsidR="00B96490" w:rsidRPr="00097A86" w:rsidRDefault="00B96490" w:rsidP="00D22D3F">
      <w:pPr>
        <w:pStyle w:val="paragraph"/>
      </w:pPr>
      <w:r w:rsidRPr="00097A86">
        <w:tab/>
        <w:t>(b)</w:t>
      </w:r>
      <w:r w:rsidRPr="00097A86">
        <w:tab/>
        <w:t>if the measuring equipment is category 1 or 2 equipment in accordance with the table in section</w:t>
      </w:r>
      <w:r w:rsidR="00097A86">
        <w:t> </w:t>
      </w:r>
      <w:r w:rsidRPr="00097A86">
        <w:t xml:space="preserve">2.31—using an alternative method set out in the publication entitled </w:t>
      </w:r>
      <w:r w:rsidRPr="00097A86">
        <w:rPr>
          <w:i/>
        </w:rPr>
        <w:t>AGA Report No.</w:t>
      </w:r>
      <w:r w:rsidR="00097A86">
        <w:rPr>
          <w:i/>
        </w:rPr>
        <w:t> </w:t>
      </w:r>
      <w:r w:rsidRPr="00097A86">
        <w:rPr>
          <w:i/>
        </w:rPr>
        <w:t>8, Compressibility Factor of Natural Gas and Related Hydrocarbon Gases (1994)</w:t>
      </w:r>
      <w:r w:rsidRPr="00097A86">
        <w:t>, published by the American Gas Association on 1</w:t>
      </w:r>
      <w:r w:rsidR="00097A86">
        <w:t> </w:t>
      </w:r>
      <w:r w:rsidRPr="00097A86">
        <w:t>January 1994.</w:t>
      </w:r>
    </w:p>
    <w:p w14:paraId="29C2404D" w14:textId="77777777" w:rsidR="003F0D4E" w:rsidRPr="00097A86" w:rsidRDefault="003F0D4E" w:rsidP="00D22D3F">
      <w:pPr>
        <w:pStyle w:val="ActHead5"/>
      </w:pPr>
      <w:bookmarkStart w:id="140" w:name="_Toc13233586"/>
      <w:r w:rsidRPr="00097A86">
        <w:rPr>
          <w:rStyle w:val="CharSectno"/>
        </w:rPr>
        <w:t>2.34</w:t>
      </w:r>
      <w:r w:rsidR="00D22D3F" w:rsidRPr="00097A86">
        <w:t xml:space="preserve">  </w:t>
      </w:r>
      <w:r w:rsidRPr="00097A86">
        <w:t>Gas measuring equipment</w:t>
      </w:r>
      <w:r w:rsidR="00D22D3F" w:rsidRPr="00097A86">
        <w:t>—</w:t>
      </w:r>
      <w:r w:rsidRPr="00097A86">
        <w:t>requirements</w:t>
      </w:r>
      <w:bookmarkEnd w:id="140"/>
    </w:p>
    <w:p w14:paraId="1C29810C" w14:textId="77777777" w:rsidR="003F0D4E" w:rsidRPr="00097A86" w:rsidRDefault="003F0D4E" w:rsidP="00D22D3F">
      <w:pPr>
        <w:pStyle w:val="subsection"/>
      </w:pPr>
      <w:r w:rsidRPr="00097A86">
        <w:tab/>
      </w:r>
      <w:r w:rsidRPr="00097A86">
        <w:tab/>
        <w:t>For paragraph</w:t>
      </w:r>
      <w:r w:rsidR="00097A86">
        <w:t> </w:t>
      </w:r>
      <w:r w:rsidRPr="00097A86">
        <w:t>2.31(2)(b), gas measuring equipment that is category 3 or 4 equipment in accordance with column 2 of the table in section</w:t>
      </w:r>
      <w:r w:rsidR="00097A86">
        <w:t> </w:t>
      </w:r>
      <w:r w:rsidRPr="00097A86">
        <w:t>2.31 must comply with the following requirements:</w:t>
      </w:r>
    </w:p>
    <w:p w14:paraId="7F48703D" w14:textId="77777777" w:rsidR="003F0D4E" w:rsidRPr="00097A86" w:rsidRDefault="003F0D4E" w:rsidP="00D22D3F">
      <w:pPr>
        <w:pStyle w:val="paragraph"/>
      </w:pPr>
      <w:r w:rsidRPr="00097A86">
        <w:tab/>
        <w:t>(a)</w:t>
      </w:r>
      <w:r w:rsidRPr="00097A86">
        <w:tab/>
        <w:t>if the equipment uses flow devices</w:t>
      </w:r>
      <w:r w:rsidR="00D22D3F" w:rsidRPr="00097A86">
        <w:t>—</w:t>
      </w:r>
      <w:r w:rsidRPr="00097A86">
        <w:t>the requirements relating to flow devices set out in section</w:t>
      </w:r>
      <w:r w:rsidR="00097A86">
        <w:t> </w:t>
      </w:r>
      <w:r w:rsidRPr="00097A86">
        <w:t>2.35;</w:t>
      </w:r>
    </w:p>
    <w:p w14:paraId="1906CDEC" w14:textId="77777777" w:rsidR="003F0D4E" w:rsidRPr="00097A86" w:rsidRDefault="003F0D4E" w:rsidP="00D22D3F">
      <w:pPr>
        <w:pStyle w:val="paragraph"/>
      </w:pPr>
      <w:r w:rsidRPr="00097A86">
        <w:tab/>
        <w:t>(b)</w:t>
      </w:r>
      <w:r w:rsidRPr="00097A86">
        <w:tab/>
        <w:t>if the equipment uses flow computers</w:t>
      </w:r>
      <w:r w:rsidR="00D22D3F" w:rsidRPr="00097A86">
        <w:t>—</w:t>
      </w:r>
      <w:r w:rsidRPr="00097A86">
        <w:t>the requirement relating to flow computers set out in section</w:t>
      </w:r>
      <w:r w:rsidR="00097A86">
        <w:t> </w:t>
      </w:r>
      <w:r w:rsidRPr="00097A86">
        <w:t>2.36;</w:t>
      </w:r>
    </w:p>
    <w:p w14:paraId="351690A8" w14:textId="77777777" w:rsidR="003F0D4E" w:rsidRPr="00097A86" w:rsidRDefault="003F0D4E" w:rsidP="00D22D3F">
      <w:pPr>
        <w:pStyle w:val="paragraph"/>
      </w:pPr>
      <w:r w:rsidRPr="00097A86">
        <w:tab/>
        <w:t>(c)</w:t>
      </w:r>
      <w:r w:rsidRPr="00097A86">
        <w:tab/>
        <w:t>if the equipment uses gas chromatographs</w:t>
      </w:r>
      <w:r w:rsidR="00D22D3F" w:rsidRPr="00097A86">
        <w:t>—</w:t>
      </w:r>
      <w:r w:rsidRPr="00097A86">
        <w:t xml:space="preserve">the requirements relating </w:t>
      </w:r>
      <w:r w:rsidR="00B96490" w:rsidRPr="00097A86">
        <w:t xml:space="preserve">to gas chromatographs </w:t>
      </w:r>
      <w:r w:rsidRPr="00097A86">
        <w:t>set out in section</w:t>
      </w:r>
      <w:r w:rsidR="00097A86">
        <w:t> </w:t>
      </w:r>
      <w:r w:rsidRPr="00097A86">
        <w:t>2.37.</w:t>
      </w:r>
    </w:p>
    <w:p w14:paraId="3DB8402B" w14:textId="77777777" w:rsidR="003F0D4E" w:rsidRPr="00097A86" w:rsidRDefault="003F0D4E" w:rsidP="00D22D3F">
      <w:pPr>
        <w:pStyle w:val="ActHead5"/>
      </w:pPr>
      <w:bookmarkStart w:id="141" w:name="_Toc13233587"/>
      <w:r w:rsidRPr="00097A86">
        <w:rPr>
          <w:rStyle w:val="CharSectno"/>
        </w:rPr>
        <w:t>2.35</w:t>
      </w:r>
      <w:r w:rsidR="00D22D3F" w:rsidRPr="00097A86">
        <w:t xml:space="preserve">  </w:t>
      </w:r>
      <w:r w:rsidRPr="00097A86">
        <w:t>Flow devices</w:t>
      </w:r>
      <w:r w:rsidR="00D22D3F" w:rsidRPr="00097A86">
        <w:t>—</w:t>
      </w:r>
      <w:r w:rsidRPr="00097A86">
        <w:t>requirements</w:t>
      </w:r>
      <w:bookmarkEnd w:id="141"/>
    </w:p>
    <w:p w14:paraId="608281DE" w14:textId="77777777" w:rsidR="00F60B62" w:rsidRPr="00097A86" w:rsidRDefault="00F60B62" w:rsidP="00D22D3F">
      <w:pPr>
        <w:pStyle w:val="subsection"/>
      </w:pPr>
      <w:r w:rsidRPr="00097A86">
        <w:tab/>
        <w:t>(1A)</w:t>
      </w:r>
      <w:r w:rsidRPr="00097A86">
        <w:tab/>
        <w:t>This section is made for paragraph</w:t>
      </w:r>
      <w:r w:rsidR="00097A86">
        <w:t> </w:t>
      </w:r>
      <w:r w:rsidRPr="00097A86">
        <w:t>2.34(a).</w:t>
      </w:r>
    </w:p>
    <w:p w14:paraId="09BD1019" w14:textId="77777777" w:rsidR="003F0D4E" w:rsidRPr="00097A86" w:rsidRDefault="003F0D4E" w:rsidP="00D22D3F">
      <w:pPr>
        <w:pStyle w:val="subsection"/>
      </w:pPr>
      <w:r w:rsidRPr="00097A86">
        <w:lastRenderedPageBreak/>
        <w:tab/>
        <w:t>(1)</w:t>
      </w:r>
      <w:r w:rsidRPr="00097A86">
        <w:tab/>
        <w:t>If the measuring equipment has flow devices that use orifice measuring systems, the flow devices must be constructed in a manner that ensures that the maximum uncertainty of the discharge coefficient is not greater than ±1.5%.</w:t>
      </w:r>
    </w:p>
    <w:p w14:paraId="351F3885" w14:textId="77777777" w:rsidR="00F60B62" w:rsidRPr="00097A86" w:rsidRDefault="00D22D3F" w:rsidP="00D22D3F">
      <w:pPr>
        <w:pStyle w:val="notetext"/>
      </w:pPr>
      <w:r w:rsidRPr="00097A86">
        <w:t>Note:</w:t>
      </w:r>
      <w:r w:rsidRPr="00097A86">
        <w:tab/>
      </w:r>
      <w:r w:rsidR="00F60B62" w:rsidRPr="00097A86">
        <w:t xml:space="preserve">The publication entitled </w:t>
      </w:r>
      <w:r w:rsidR="00F60B62" w:rsidRPr="00097A86">
        <w:rPr>
          <w:i/>
        </w:rPr>
        <w:t>AGA Report No.</w:t>
      </w:r>
      <w:r w:rsidR="00097A86">
        <w:rPr>
          <w:i/>
        </w:rPr>
        <w:t> </w:t>
      </w:r>
      <w:r w:rsidR="00F60B62" w:rsidRPr="00097A86">
        <w:rPr>
          <w:i/>
        </w:rPr>
        <w:t>3</w:t>
      </w:r>
      <w:r w:rsidR="00F60B62" w:rsidRPr="00097A86">
        <w:t xml:space="preserve">, </w:t>
      </w:r>
      <w:r w:rsidR="00F60B62" w:rsidRPr="00097A86">
        <w:rPr>
          <w:i/>
        </w:rPr>
        <w:t>Orifice Metering of Natural Gas and Other Related Hydrocarbon Fluids Part</w:t>
      </w:r>
      <w:r w:rsidR="00097A86">
        <w:rPr>
          <w:i/>
        </w:rPr>
        <w:t> </w:t>
      </w:r>
      <w:r w:rsidR="00F60B62" w:rsidRPr="00097A86">
        <w:rPr>
          <w:i/>
        </w:rPr>
        <w:t xml:space="preserve">3: Natural Gas Applications, </w:t>
      </w:r>
      <w:r w:rsidR="00F60B62" w:rsidRPr="00097A86">
        <w:t>published by the American Gas Association in August 1992, sets out a manner of construction that ensures that the maximum uncertainty of the discharge coefficient is not greater than ±1.5%.</w:t>
      </w:r>
    </w:p>
    <w:p w14:paraId="09C80AF4" w14:textId="77777777" w:rsidR="003F0D4E" w:rsidRPr="00097A86" w:rsidRDefault="003F0D4E" w:rsidP="00D22D3F">
      <w:pPr>
        <w:pStyle w:val="subsection"/>
      </w:pPr>
      <w:r w:rsidRPr="00097A86">
        <w:tab/>
        <w:t>(2)</w:t>
      </w:r>
      <w:r w:rsidRPr="00097A86">
        <w:tab/>
        <w:t>If the measuring equipment has flow devices that use turbine measuring systems, the flow devices must be installed in a manner that ensures that the maximum uncertainty of the flow measurement is not greater than ±1.5%.</w:t>
      </w:r>
    </w:p>
    <w:p w14:paraId="5A58F4CD" w14:textId="77777777" w:rsidR="00F60B62" w:rsidRPr="00097A86" w:rsidRDefault="00D22D3F" w:rsidP="00D22D3F">
      <w:pPr>
        <w:pStyle w:val="notetext"/>
      </w:pPr>
      <w:r w:rsidRPr="00097A86">
        <w:t>Note:</w:t>
      </w:r>
      <w:r w:rsidRPr="00097A86">
        <w:tab/>
      </w:r>
      <w:r w:rsidR="00F60B62" w:rsidRPr="00097A86">
        <w:t xml:space="preserve">The publication entitled </w:t>
      </w:r>
      <w:r w:rsidR="00F60B62" w:rsidRPr="00097A86">
        <w:rPr>
          <w:i/>
        </w:rPr>
        <w:t>AGA Report No.</w:t>
      </w:r>
      <w:r w:rsidR="00097A86">
        <w:rPr>
          <w:i/>
        </w:rPr>
        <w:t> </w:t>
      </w:r>
      <w:r w:rsidR="00F60B62" w:rsidRPr="00097A86">
        <w:rPr>
          <w:i/>
        </w:rPr>
        <w:t>8, Compressibility Factor of Natural Gas and Related Hydrocarbon Gases (1994)</w:t>
      </w:r>
      <w:r w:rsidR="00F60B62" w:rsidRPr="00097A86">
        <w:t>, published by the American Gas Association on 1</w:t>
      </w:r>
      <w:r w:rsidR="00097A86">
        <w:t> </w:t>
      </w:r>
      <w:r w:rsidR="00F60B62" w:rsidRPr="00097A86">
        <w:t>January 1994, sets out a manner of installation that ensures that the maximum uncertainty of the flow measurement is not greater than ±1.5%.</w:t>
      </w:r>
    </w:p>
    <w:p w14:paraId="21B44539" w14:textId="77777777" w:rsidR="003F0D4E" w:rsidRPr="00097A86" w:rsidRDefault="003F0D4E" w:rsidP="00D22D3F">
      <w:pPr>
        <w:pStyle w:val="subsection"/>
      </w:pPr>
      <w:r w:rsidRPr="00097A86">
        <w:tab/>
        <w:t>(3)</w:t>
      </w:r>
      <w:r w:rsidRPr="00097A86">
        <w:tab/>
        <w:t>If the measuring equipment has flow devices that use positive displacement measuring systems, the flow devices must be installed in a manner that ensures that the maximum uncertainty of flow is ±1.5%.</w:t>
      </w:r>
    </w:p>
    <w:p w14:paraId="1BD07300" w14:textId="77777777" w:rsidR="00F60B62" w:rsidRPr="00097A86" w:rsidRDefault="00D22D3F" w:rsidP="00D22D3F">
      <w:pPr>
        <w:pStyle w:val="notetext"/>
      </w:pPr>
      <w:r w:rsidRPr="00097A86">
        <w:t>Note:</w:t>
      </w:r>
      <w:r w:rsidRPr="00097A86">
        <w:tab/>
      </w:r>
      <w:r w:rsidR="00F60B62" w:rsidRPr="00097A86">
        <w:t xml:space="preserve">The publication entitled </w:t>
      </w:r>
      <w:r w:rsidR="00F60B62" w:rsidRPr="00097A86">
        <w:rPr>
          <w:i/>
        </w:rPr>
        <w:t>ANSI B109.3—2000, Rotary Type Gas Displacement Meters</w:t>
      </w:r>
      <w:r w:rsidR="00F60B62" w:rsidRPr="00097A86">
        <w:t>, published by the American Gas Association on 13</w:t>
      </w:r>
      <w:r w:rsidR="00097A86">
        <w:t> </w:t>
      </w:r>
      <w:r w:rsidR="00F60B62" w:rsidRPr="00097A86">
        <w:t>April 2000, sets out a manner of installation that ensures that the maximum uncertainty of flow is ±1.5%.</w:t>
      </w:r>
    </w:p>
    <w:p w14:paraId="26D891EE" w14:textId="77777777" w:rsidR="003F0D4E" w:rsidRPr="00097A86" w:rsidRDefault="003F0D4E" w:rsidP="00D22D3F">
      <w:pPr>
        <w:pStyle w:val="subsection"/>
      </w:pPr>
      <w:r w:rsidRPr="00097A86">
        <w:tab/>
        <w:t>(4)</w:t>
      </w:r>
      <w:r w:rsidRPr="00097A86">
        <w:tab/>
        <w:t>If the measuring equipment uses any other type of flow device, the maximum uncertainty of flow measurement must not be greater than ±1.5%.</w:t>
      </w:r>
    </w:p>
    <w:p w14:paraId="5D632383" w14:textId="77777777" w:rsidR="00F60B62" w:rsidRPr="00097A86" w:rsidRDefault="00F60B62" w:rsidP="00D22D3F">
      <w:pPr>
        <w:pStyle w:val="subsection"/>
      </w:pPr>
      <w:r w:rsidRPr="00097A86">
        <w:tab/>
        <w:t>(5)</w:t>
      </w:r>
      <w:r w:rsidRPr="00097A86">
        <w:tab/>
        <w:t>All flow devices that are used by gas measuring equipment in a category specified in column 2 of an item in the table in section</w:t>
      </w:r>
      <w:r w:rsidR="00097A86">
        <w:t> </w:t>
      </w:r>
      <w:r w:rsidRPr="00097A86">
        <w:t>2.31 must, wherever possible, be calibrated for pressure, differential pressure and temperature:</w:t>
      </w:r>
    </w:p>
    <w:p w14:paraId="3F564071" w14:textId="77777777" w:rsidR="00F60B62" w:rsidRPr="00097A86" w:rsidRDefault="00F60B62" w:rsidP="00D22D3F">
      <w:pPr>
        <w:pStyle w:val="paragraph"/>
      </w:pPr>
      <w:r w:rsidRPr="00097A86">
        <w:tab/>
        <w:t>(a)</w:t>
      </w:r>
      <w:r w:rsidRPr="00097A86">
        <w:tab/>
        <w:t>in accordance with the requirements specified, for the item, in column 4 of the table; and</w:t>
      </w:r>
    </w:p>
    <w:p w14:paraId="6AF2FF72" w14:textId="77777777" w:rsidR="00F60B62" w:rsidRPr="00097A86" w:rsidRDefault="00F60B62" w:rsidP="00D22D3F">
      <w:pPr>
        <w:pStyle w:val="paragraph"/>
      </w:pPr>
      <w:r w:rsidRPr="00097A86">
        <w:tab/>
        <w:t>(b)</w:t>
      </w:r>
      <w:r w:rsidRPr="00097A86">
        <w:tab/>
        <w:t>taking into account the effects of static pressure and ambient temperature.</w:t>
      </w:r>
    </w:p>
    <w:p w14:paraId="073EB4CC" w14:textId="77777777" w:rsidR="00F60B62" w:rsidRPr="00097A86" w:rsidRDefault="00F60B62" w:rsidP="00D22D3F">
      <w:pPr>
        <w:pStyle w:val="ActHead5"/>
      </w:pPr>
      <w:bookmarkStart w:id="142" w:name="_Toc13233588"/>
      <w:r w:rsidRPr="00097A86">
        <w:rPr>
          <w:rStyle w:val="CharSectno"/>
        </w:rPr>
        <w:t>2.36</w:t>
      </w:r>
      <w:r w:rsidR="00D22D3F" w:rsidRPr="00097A86">
        <w:t xml:space="preserve">  </w:t>
      </w:r>
      <w:r w:rsidRPr="00097A86">
        <w:t>Flow computers—requirements</w:t>
      </w:r>
      <w:bookmarkEnd w:id="142"/>
    </w:p>
    <w:p w14:paraId="0BAABDAB" w14:textId="77777777" w:rsidR="00F60B62" w:rsidRPr="00097A86" w:rsidRDefault="00F60B62" w:rsidP="00D22D3F">
      <w:pPr>
        <w:pStyle w:val="subsection"/>
      </w:pPr>
      <w:r w:rsidRPr="00097A86">
        <w:tab/>
      </w:r>
      <w:r w:rsidRPr="00097A86">
        <w:tab/>
        <w:t>For paragraph</w:t>
      </w:r>
      <w:r w:rsidR="00097A86">
        <w:t> </w:t>
      </w:r>
      <w:r w:rsidRPr="00097A86">
        <w:t>2.34(b), the requirement is that the flow computer that is used by the equipment for measuring purposes must record:</w:t>
      </w:r>
    </w:p>
    <w:p w14:paraId="303B0E82" w14:textId="77777777" w:rsidR="00F60B62" w:rsidRPr="00097A86" w:rsidRDefault="00F60B62" w:rsidP="00D22D3F">
      <w:pPr>
        <w:pStyle w:val="paragraph"/>
      </w:pPr>
      <w:r w:rsidRPr="00097A86">
        <w:tab/>
        <w:t>(a)</w:t>
      </w:r>
      <w:r w:rsidRPr="00097A86">
        <w:tab/>
        <w:t>the instantaneous values for all primary measurement inputs; and</w:t>
      </w:r>
    </w:p>
    <w:p w14:paraId="64A84C58" w14:textId="77777777" w:rsidR="00F60B62" w:rsidRPr="00097A86" w:rsidRDefault="00F60B62" w:rsidP="00D22D3F">
      <w:pPr>
        <w:pStyle w:val="paragraph"/>
      </w:pPr>
      <w:r w:rsidRPr="00097A86">
        <w:tab/>
        <w:t>(b)</w:t>
      </w:r>
      <w:r w:rsidRPr="00097A86">
        <w:tab/>
        <w:t>the following outputs:</w:t>
      </w:r>
    </w:p>
    <w:p w14:paraId="2785B1DF" w14:textId="77777777" w:rsidR="00F60B62" w:rsidRPr="00097A86" w:rsidRDefault="00F60B62" w:rsidP="00D22D3F">
      <w:pPr>
        <w:pStyle w:val="paragraphsub"/>
      </w:pPr>
      <w:r w:rsidRPr="00097A86">
        <w:tab/>
        <w:t>(i)</w:t>
      </w:r>
      <w:r w:rsidRPr="00097A86">
        <w:tab/>
        <w:t>instantaneous corrected volumetric flow;</w:t>
      </w:r>
    </w:p>
    <w:p w14:paraId="4F05930D" w14:textId="77777777" w:rsidR="00F60B62" w:rsidRPr="00097A86" w:rsidRDefault="00F60B62" w:rsidP="00D22D3F">
      <w:pPr>
        <w:pStyle w:val="paragraphsub"/>
      </w:pPr>
      <w:r w:rsidRPr="00097A86">
        <w:tab/>
        <w:t>(ii)</w:t>
      </w:r>
      <w:r w:rsidRPr="00097A86">
        <w:tab/>
        <w:t>cumulative corrected volumetric flow;</w:t>
      </w:r>
    </w:p>
    <w:p w14:paraId="23E727CD" w14:textId="77777777" w:rsidR="00F60B62" w:rsidRPr="00097A86" w:rsidRDefault="00F60B62" w:rsidP="00D22D3F">
      <w:pPr>
        <w:pStyle w:val="paragraphsub"/>
      </w:pPr>
      <w:r w:rsidRPr="00097A86">
        <w:tab/>
        <w:t>(iii)</w:t>
      </w:r>
      <w:r w:rsidRPr="00097A86">
        <w:tab/>
        <w:t>for turbine and positive displacement metering systems—instantaneous uncorrected volumetric flow;</w:t>
      </w:r>
    </w:p>
    <w:p w14:paraId="75EEA149" w14:textId="77777777" w:rsidR="00F60B62" w:rsidRPr="00097A86" w:rsidRDefault="00F60B62" w:rsidP="00D22D3F">
      <w:pPr>
        <w:pStyle w:val="paragraphsub"/>
      </w:pPr>
      <w:r w:rsidRPr="00097A86">
        <w:tab/>
        <w:t>(iv)</w:t>
      </w:r>
      <w:r w:rsidRPr="00097A86">
        <w:tab/>
        <w:t>for turbine and positive displacement metering systems—cumulative uncorrected volumetric flow;</w:t>
      </w:r>
    </w:p>
    <w:p w14:paraId="5EAE681A" w14:textId="77777777" w:rsidR="00F60B62" w:rsidRPr="00097A86" w:rsidRDefault="00F60B62" w:rsidP="00D22D3F">
      <w:pPr>
        <w:pStyle w:val="paragraphsub"/>
      </w:pPr>
      <w:r w:rsidRPr="00097A86">
        <w:tab/>
        <w:t>(v)</w:t>
      </w:r>
      <w:r w:rsidRPr="00097A86">
        <w:tab/>
        <w:t>super</w:t>
      </w:r>
      <w:r w:rsidR="00097A86">
        <w:noBreakHyphen/>
      </w:r>
      <w:r w:rsidRPr="00097A86">
        <w:t>compressibility factor.</w:t>
      </w:r>
    </w:p>
    <w:p w14:paraId="63DC8D94" w14:textId="77777777" w:rsidR="00F60B62" w:rsidRPr="00097A86" w:rsidRDefault="00F60B62" w:rsidP="00D22D3F">
      <w:pPr>
        <w:pStyle w:val="ActHead5"/>
      </w:pPr>
      <w:bookmarkStart w:id="143" w:name="_Toc13233589"/>
      <w:r w:rsidRPr="00097A86">
        <w:rPr>
          <w:rStyle w:val="CharSectno"/>
        </w:rPr>
        <w:lastRenderedPageBreak/>
        <w:t>2.37</w:t>
      </w:r>
      <w:r w:rsidR="00D22D3F" w:rsidRPr="00097A86">
        <w:t xml:space="preserve">  </w:t>
      </w:r>
      <w:r w:rsidRPr="00097A86">
        <w:t>Gas chromatographs—requirements</w:t>
      </w:r>
      <w:bookmarkEnd w:id="143"/>
    </w:p>
    <w:p w14:paraId="1F304255" w14:textId="77777777" w:rsidR="00F60B62" w:rsidRPr="00097A86" w:rsidRDefault="00F60B62" w:rsidP="00D22D3F">
      <w:pPr>
        <w:pStyle w:val="subsection"/>
      </w:pPr>
      <w:r w:rsidRPr="00097A86">
        <w:tab/>
      </w:r>
      <w:r w:rsidRPr="00097A86">
        <w:tab/>
        <w:t>For paragraph</w:t>
      </w:r>
      <w:r w:rsidR="00097A86">
        <w:t> </w:t>
      </w:r>
      <w:r w:rsidRPr="00097A86">
        <w:t>2.34(c), the requirements are that gas chromatographs used by the measuring equipment must:</w:t>
      </w:r>
    </w:p>
    <w:p w14:paraId="196D6902" w14:textId="77777777" w:rsidR="00F60B62" w:rsidRPr="00097A86" w:rsidRDefault="00F60B62" w:rsidP="00D22D3F">
      <w:pPr>
        <w:pStyle w:val="paragraph"/>
      </w:pPr>
      <w:r w:rsidRPr="00097A86">
        <w:tab/>
        <w:t>(a)</w:t>
      </w:r>
      <w:r w:rsidRPr="00097A86">
        <w:tab/>
        <w:t>be factory tested and calibrated using a measurement standard:</w:t>
      </w:r>
    </w:p>
    <w:p w14:paraId="15623910" w14:textId="77777777" w:rsidR="00F60B62" w:rsidRPr="00097A86" w:rsidRDefault="00F60B62" w:rsidP="00D22D3F">
      <w:pPr>
        <w:pStyle w:val="paragraphsub"/>
      </w:pPr>
      <w:r w:rsidRPr="00097A86">
        <w:tab/>
        <w:t>(i)</w:t>
      </w:r>
      <w:r w:rsidRPr="00097A86">
        <w:tab/>
        <w:t>produced by gravimetric methods; and</w:t>
      </w:r>
    </w:p>
    <w:p w14:paraId="7433CB4A" w14:textId="77777777" w:rsidR="00F60B62" w:rsidRPr="00097A86" w:rsidRDefault="00F60B62" w:rsidP="00D22D3F">
      <w:pPr>
        <w:pStyle w:val="paragraphsub"/>
      </w:pPr>
      <w:r w:rsidRPr="00097A86">
        <w:tab/>
        <w:t>(ii)</w:t>
      </w:r>
      <w:r w:rsidRPr="00097A86">
        <w:tab/>
        <w:t>that uses Australian legal units of measurement; and</w:t>
      </w:r>
    </w:p>
    <w:p w14:paraId="020AC3BB" w14:textId="77777777" w:rsidR="00F60B62" w:rsidRPr="00097A86" w:rsidRDefault="00F60B62" w:rsidP="00D22D3F">
      <w:pPr>
        <w:pStyle w:val="paragraph"/>
      </w:pPr>
      <w:r w:rsidRPr="00097A86">
        <w:tab/>
        <w:t>(b)</w:t>
      </w:r>
      <w:r w:rsidRPr="00097A86">
        <w:tab/>
        <w:t>perform gas composition analysis with an accuracy of:</w:t>
      </w:r>
    </w:p>
    <w:p w14:paraId="72039B7F" w14:textId="77777777" w:rsidR="00F60B62" w:rsidRPr="00097A86" w:rsidRDefault="00F60B62" w:rsidP="00D22D3F">
      <w:pPr>
        <w:pStyle w:val="paragraphsub"/>
      </w:pPr>
      <w:r w:rsidRPr="00097A86">
        <w:tab/>
        <w:t>(i)</w:t>
      </w:r>
      <w:r w:rsidRPr="00097A86">
        <w:tab/>
        <w:t>±0.15% for use in calculation of gross calorific value; and</w:t>
      </w:r>
    </w:p>
    <w:p w14:paraId="0F714AAF" w14:textId="77777777" w:rsidR="00F60B62" w:rsidRPr="00097A86" w:rsidRDefault="00F60B62" w:rsidP="00D22D3F">
      <w:pPr>
        <w:pStyle w:val="paragraphsub"/>
      </w:pPr>
      <w:r w:rsidRPr="00097A86">
        <w:tab/>
        <w:t>(ii)</w:t>
      </w:r>
      <w:r w:rsidRPr="00097A86">
        <w:tab/>
        <w:t>±0.25% for calculation of relative density; and</w:t>
      </w:r>
    </w:p>
    <w:p w14:paraId="084AC337" w14:textId="77777777" w:rsidR="00F60B62" w:rsidRPr="00097A86" w:rsidRDefault="00F60B62" w:rsidP="00D22D3F">
      <w:pPr>
        <w:pStyle w:val="paragraph"/>
      </w:pPr>
      <w:r w:rsidRPr="00097A86">
        <w:tab/>
        <w:t>(c)</w:t>
      </w:r>
      <w:r w:rsidRPr="00097A86">
        <w:tab/>
        <w:t>include a mechanism for re</w:t>
      </w:r>
      <w:r w:rsidR="00097A86">
        <w:noBreakHyphen/>
      </w:r>
      <w:r w:rsidRPr="00097A86">
        <w:t>calibration against a certified reference gas.</w:t>
      </w:r>
    </w:p>
    <w:p w14:paraId="372FCBD4" w14:textId="77777777" w:rsidR="003F0D4E" w:rsidRPr="00097A86" w:rsidRDefault="003F0D4E" w:rsidP="00D22D3F">
      <w:pPr>
        <w:pStyle w:val="ActHead5"/>
      </w:pPr>
      <w:bookmarkStart w:id="144" w:name="_Toc13233590"/>
      <w:r w:rsidRPr="00097A86">
        <w:rPr>
          <w:rStyle w:val="CharSectno"/>
        </w:rPr>
        <w:t>2.38</w:t>
      </w:r>
      <w:r w:rsidR="00D22D3F" w:rsidRPr="00097A86">
        <w:t xml:space="preserve">  </w:t>
      </w:r>
      <w:r w:rsidRPr="00097A86">
        <w:t>Simplified consumption measurements</w:t>
      </w:r>
      <w:r w:rsidR="00D22D3F" w:rsidRPr="00097A86">
        <w:t>—</w:t>
      </w:r>
      <w:r w:rsidRPr="00097A86">
        <w:t>criterion BBB</w:t>
      </w:r>
      <w:bookmarkEnd w:id="144"/>
    </w:p>
    <w:p w14:paraId="3FAB5C5B" w14:textId="77777777" w:rsidR="003F0D4E" w:rsidRPr="00097A86" w:rsidRDefault="003F0D4E" w:rsidP="00D22D3F">
      <w:pPr>
        <w:pStyle w:val="subsection"/>
      </w:pPr>
      <w:r w:rsidRPr="00097A86">
        <w:tab/>
        <w:t>(1)</w:t>
      </w:r>
      <w:r w:rsidRPr="00097A86">
        <w:tab/>
        <w:t>For paragraph</w:t>
      </w:r>
      <w:r w:rsidR="00097A86">
        <w:t> </w:t>
      </w:r>
      <w:r w:rsidR="00931406" w:rsidRPr="00097A86">
        <w:t>2.29(4)(b)</w:t>
      </w:r>
      <w:r w:rsidRPr="00097A86">
        <w:t>, criterion BBB is the estimation of gaseous fuel in accordance with industry practice if</w:t>
      </w:r>
      <w:r w:rsidR="00F772E8" w:rsidRPr="00097A86">
        <w:t xml:space="preserve"> the measuring equipment used to estimate consumption of the fuel does not meet the requirements of criterion AAA.</w:t>
      </w:r>
    </w:p>
    <w:p w14:paraId="2C02EED2" w14:textId="77777777" w:rsidR="003F0D4E" w:rsidRPr="00097A86" w:rsidRDefault="003F0D4E" w:rsidP="00D22D3F">
      <w:pPr>
        <w:pStyle w:val="subsection"/>
      </w:pPr>
      <w:r w:rsidRPr="00097A86">
        <w:tab/>
        <w:t>(2)</w:t>
      </w:r>
      <w:r w:rsidRPr="00097A86">
        <w:tab/>
        <w:t>For sources of landfill gas captured for the purpose of combustion for the production of electricity:</w:t>
      </w:r>
    </w:p>
    <w:p w14:paraId="0790A703" w14:textId="77777777" w:rsidR="00F31BCC" w:rsidRPr="00097A86" w:rsidRDefault="00F31BCC" w:rsidP="00F31BCC">
      <w:pPr>
        <w:pStyle w:val="paragraph"/>
      </w:pPr>
      <w:r w:rsidRPr="00097A86">
        <w:tab/>
        <w:t>(a)</w:t>
      </w:r>
      <w:r w:rsidRPr="00097A86">
        <w:tab/>
        <w:t>the energy content of the captured landfill gas may be estimated:</w:t>
      </w:r>
    </w:p>
    <w:p w14:paraId="5363E4D2" w14:textId="77777777" w:rsidR="00F31BCC" w:rsidRPr="00097A86" w:rsidRDefault="00F31BCC" w:rsidP="00F31BCC">
      <w:pPr>
        <w:pStyle w:val="paragraphsub"/>
      </w:pPr>
      <w:r w:rsidRPr="00097A86">
        <w:tab/>
        <w:t>(i)</w:t>
      </w:r>
      <w:r w:rsidRPr="00097A86">
        <w:tab/>
        <w:t>if the manufacturer’s specification for the internal combustion engine used to produce the electricity specifies an electrical efficiency factor—by using that factor; or</w:t>
      </w:r>
    </w:p>
    <w:p w14:paraId="3A4E381D" w14:textId="77777777" w:rsidR="00F31BCC" w:rsidRPr="00097A86" w:rsidRDefault="00F31BCC" w:rsidP="00F31BCC">
      <w:pPr>
        <w:pStyle w:val="paragraphsub"/>
      </w:pPr>
      <w:r w:rsidRPr="00097A86">
        <w:tab/>
        <w:t>(ii)</w:t>
      </w:r>
      <w:r w:rsidRPr="00097A86">
        <w:tab/>
        <w:t>if the manufacturer’s specification for the internal combustion engine used to produce the electricity does not specify an electrical efficiency factor—by assuming that measured electricity dispatched for sale (sent out generation) represents 36% of the energy content of all fuel used to produce electricity; and</w:t>
      </w:r>
    </w:p>
    <w:p w14:paraId="65CB729F" w14:textId="77777777" w:rsidR="003F0D4E" w:rsidRPr="00097A86" w:rsidRDefault="003F0D4E" w:rsidP="00D22D3F">
      <w:pPr>
        <w:pStyle w:val="paragraph"/>
      </w:pPr>
      <w:r w:rsidRPr="00097A86">
        <w:tab/>
        <w:t>(b)</w:t>
      </w:r>
      <w:r w:rsidRPr="00097A86">
        <w:tab/>
        <w:t>the quantity of landfill gas captured in cubic metres may be derived from the energy content of the relevant gas set out in Part</w:t>
      </w:r>
      <w:r w:rsidR="00097A86">
        <w:t> </w:t>
      </w:r>
      <w:r w:rsidRPr="00097A86">
        <w:t>2 of Schedule</w:t>
      </w:r>
      <w:r w:rsidR="00097A86">
        <w:t> </w:t>
      </w:r>
      <w:r w:rsidRPr="00097A86">
        <w:t>1.</w:t>
      </w:r>
    </w:p>
    <w:p w14:paraId="48F91F8B" w14:textId="77777777" w:rsidR="003F0D4E" w:rsidRPr="00097A86" w:rsidRDefault="003F0D4E" w:rsidP="00D22D3F">
      <w:pPr>
        <w:pStyle w:val="ActHead2"/>
        <w:pageBreakBefore/>
      </w:pPr>
      <w:bookmarkStart w:id="145" w:name="_Toc13233591"/>
      <w:r w:rsidRPr="00097A86">
        <w:rPr>
          <w:rStyle w:val="CharPartNo"/>
        </w:rPr>
        <w:lastRenderedPageBreak/>
        <w:t>Part</w:t>
      </w:r>
      <w:r w:rsidR="00097A86">
        <w:rPr>
          <w:rStyle w:val="CharPartNo"/>
        </w:rPr>
        <w:t> </w:t>
      </w:r>
      <w:r w:rsidRPr="00097A86">
        <w:rPr>
          <w:rStyle w:val="CharPartNo"/>
        </w:rPr>
        <w:t>2.4</w:t>
      </w:r>
      <w:r w:rsidR="00D22D3F" w:rsidRPr="00097A86">
        <w:t>—</w:t>
      </w:r>
      <w:r w:rsidRPr="00097A86">
        <w:rPr>
          <w:rStyle w:val="CharPartText"/>
        </w:rPr>
        <w:t>Emissions released from the combustion of liquid fuels</w:t>
      </w:r>
      <w:bookmarkEnd w:id="145"/>
    </w:p>
    <w:p w14:paraId="183BF2E9" w14:textId="77777777" w:rsidR="003F0D4E" w:rsidRPr="00097A86" w:rsidRDefault="003F0D4E" w:rsidP="00D22D3F">
      <w:pPr>
        <w:pStyle w:val="ActHead3"/>
      </w:pPr>
      <w:bookmarkStart w:id="146" w:name="_Toc13233592"/>
      <w:r w:rsidRPr="00097A86">
        <w:rPr>
          <w:rStyle w:val="CharDivNo"/>
        </w:rPr>
        <w:t>Division</w:t>
      </w:r>
      <w:r w:rsidR="00097A86">
        <w:rPr>
          <w:rStyle w:val="CharDivNo"/>
        </w:rPr>
        <w:t> </w:t>
      </w:r>
      <w:r w:rsidRPr="00097A86">
        <w:rPr>
          <w:rStyle w:val="CharDivNo"/>
        </w:rPr>
        <w:t>2.4.1</w:t>
      </w:r>
      <w:r w:rsidR="00D22D3F" w:rsidRPr="00097A86">
        <w:t>—</w:t>
      </w:r>
      <w:r w:rsidRPr="00097A86">
        <w:rPr>
          <w:rStyle w:val="CharDivText"/>
        </w:rPr>
        <w:t>Preliminary</w:t>
      </w:r>
      <w:bookmarkEnd w:id="146"/>
    </w:p>
    <w:p w14:paraId="4EE29F33" w14:textId="77777777" w:rsidR="00843EC9" w:rsidRPr="00097A86" w:rsidRDefault="00843EC9" w:rsidP="00843EC9">
      <w:pPr>
        <w:pStyle w:val="ActHead5"/>
      </w:pPr>
      <w:bookmarkStart w:id="147" w:name="_Toc13233593"/>
      <w:r w:rsidRPr="00097A86">
        <w:rPr>
          <w:rStyle w:val="CharSectno"/>
        </w:rPr>
        <w:t>2.39</w:t>
      </w:r>
      <w:r w:rsidRPr="00097A86">
        <w:t xml:space="preserve">  Application</w:t>
      </w:r>
      <w:bookmarkEnd w:id="147"/>
    </w:p>
    <w:p w14:paraId="67023719" w14:textId="77777777" w:rsidR="00843EC9" w:rsidRPr="00097A86" w:rsidRDefault="00843EC9" w:rsidP="00843EC9">
      <w:pPr>
        <w:pStyle w:val="subsection"/>
      </w:pPr>
      <w:r w:rsidRPr="00097A86">
        <w:tab/>
      </w:r>
      <w:r w:rsidRPr="00097A86">
        <w:tab/>
        <w:t>This Part applies to emissions released from:</w:t>
      </w:r>
    </w:p>
    <w:p w14:paraId="5B08B689" w14:textId="77777777" w:rsidR="00843EC9" w:rsidRPr="00097A86" w:rsidRDefault="00843EC9" w:rsidP="00843EC9">
      <w:pPr>
        <w:pStyle w:val="paragraph"/>
      </w:pPr>
      <w:r w:rsidRPr="00097A86">
        <w:tab/>
        <w:t>(a)</w:t>
      </w:r>
      <w:r w:rsidRPr="00097A86">
        <w:tab/>
        <w:t>the combustion of petroleum based oil (other than petroleum based oil used as fuel) or petroleum based grease, in relation to a separate instance of a source, if the total amount of oil and grease combusted in relation to the separate instance of the source is more than 5 kilolitres; and</w:t>
      </w:r>
    </w:p>
    <w:p w14:paraId="784F9AA8" w14:textId="77777777" w:rsidR="00843EC9" w:rsidRPr="00097A86" w:rsidRDefault="00843EC9" w:rsidP="00843EC9">
      <w:pPr>
        <w:pStyle w:val="paragraph"/>
      </w:pPr>
      <w:r w:rsidRPr="00097A86">
        <w:tab/>
        <w:t>(b)</w:t>
      </w:r>
      <w:r w:rsidRPr="00097A86">
        <w:tab/>
        <w:t xml:space="preserve">for a liquid fuel not of the kind mentioned in </w:t>
      </w:r>
      <w:r w:rsidR="00097A86">
        <w:t>paragraph (</w:t>
      </w:r>
      <w:r w:rsidRPr="00097A86">
        <w:t>a)—the combustion of liquid fuel in relation to a separate instance of a source, if the total amount of liquid fuel combusted in relation to the separate instance of the source is more than 1 kilolitre.</w:t>
      </w:r>
    </w:p>
    <w:p w14:paraId="20ED06A9" w14:textId="77777777" w:rsidR="00F772E8" w:rsidRPr="00097A86" w:rsidRDefault="00F772E8" w:rsidP="00D22D3F">
      <w:pPr>
        <w:pStyle w:val="ActHead5"/>
      </w:pPr>
      <w:bookmarkStart w:id="148" w:name="_Toc13233594"/>
      <w:r w:rsidRPr="00097A86">
        <w:rPr>
          <w:rStyle w:val="CharSectno"/>
        </w:rPr>
        <w:t>2.39A</w:t>
      </w:r>
      <w:r w:rsidR="00D22D3F" w:rsidRPr="00097A86">
        <w:t xml:space="preserve">  </w:t>
      </w:r>
      <w:r w:rsidRPr="00097A86">
        <w:t xml:space="preserve">Definition of </w:t>
      </w:r>
      <w:r w:rsidRPr="00097A86">
        <w:rPr>
          <w:i/>
        </w:rPr>
        <w:t xml:space="preserve">petroleum based oils </w:t>
      </w:r>
      <w:r w:rsidRPr="00097A86">
        <w:t>for Part</w:t>
      </w:r>
      <w:r w:rsidR="00097A86">
        <w:t> </w:t>
      </w:r>
      <w:r w:rsidRPr="00097A86">
        <w:t>2.4</w:t>
      </w:r>
      <w:bookmarkEnd w:id="148"/>
    </w:p>
    <w:p w14:paraId="40253CF6" w14:textId="77777777" w:rsidR="00F772E8" w:rsidRPr="00097A86" w:rsidRDefault="00F772E8" w:rsidP="00D22D3F">
      <w:pPr>
        <w:pStyle w:val="subsection"/>
      </w:pPr>
      <w:r w:rsidRPr="00097A86">
        <w:tab/>
      </w:r>
      <w:r w:rsidRPr="00097A86">
        <w:tab/>
        <w:t>In this Part:</w:t>
      </w:r>
    </w:p>
    <w:p w14:paraId="6FA092B7" w14:textId="77777777" w:rsidR="00F772E8" w:rsidRPr="00097A86" w:rsidRDefault="00F772E8" w:rsidP="00D22D3F">
      <w:pPr>
        <w:pStyle w:val="Definition"/>
      </w:pPr>
      <w:r w:rsidRPr="00097A86">
        <w:rPr>
          <w:b/>
          <w:i/>
        </w:rPr>
        <w:t xml:space="preserve">petroleum based oils </w:t>
      </w:r>
      <w:r w:rsidRPr="00097A86">
        <w:t>means petroleum based oils (other than petroleum based oils used as fuel).</w:t>
      </w:r>
    </w:p>
    <w:p w14:paraId="7E295F27" w14:textId="77777777" w:rsidR="00F772E8" w:rsidRPr="00097A86" w:rsidRDefault="00F772E8" w:rsidP="00D22D3F">
      <w:pPr>
        <w:pStyle w:val="ActHead4"/>
      </w:pPr>
      <w:bookmarkStart w:id="149" w:name="_Toc13233595"/>
      <w:r w:rsidRPr="00097A86">
        <w:rPr>
          <w:rStyle w:val="CharSubdNo"/>
        </w:rPr>
        <w:t>Subdivision</w:t>
      </w:r>
      <w:r w:rsidR="00097A86">
        <w:rPr>
          <w:rStyle w:val="CharSubdNo"/>
        </w:rPr>
        <w:t> </w:t>
      </w:r>
      <w:r w:rsidRPr="00097A86">
        <w:rPr>
          <w:rStyle w:val="CharSubdNo"/>
        </w:rPr>
        <w:t>2.4.1.1</w:t>
      </w:r>
      <w:r w:rsidR="00D22D3F" w:rsidRPr="00097A86">
        <w:t>—</w:t>
      </w:r>
      <w:r w:rsidRPr="00097A86">
        <w:rPr>
          <w:rStyle w:val="CharSubdText"/>
        </w:rPr>
        <w:t>Liquid fuels</w:t>
      </w:r>
      <w:r w:rsidR="00D22D3F" w:rsidRPr="00097A86">
        <w:rPr>
          <w:rStyle w:val="CharSubdText"/>
        </w:rPr>
        <w:t>—</w:t>
      </w:r>
      <w:r w:rsidRPr="00097A86">
        <w:rPr>
          <w:rStyle w:val="CharSubdText"/>
        </w:rPr>
        <w:t>other than petroleum based oils and greases</w:t>
      </w:r>
      <w:bookmarkEnd w:id="149"/>
    </w:p>
    <w:p w14:paraId="143451EF" w14:textId="77777777" w:rsidR="003F0D4E" w:rsidRPr="00097A86" w:rsidRDefault="003F0D4E" w:rsidP="00D22D3F">
      <w:pPr>
        <w:pStyle w:val="ActHead5"/>
      </w:pPr>
      <w:bookmarkStart w:id="150" w:name="_Toc13233596"/>
      <w:r w:rsidRPr="00097A86">
        <w:rPr>
          <w:rStyle w:val="CharSectno"/>
        </w:rPr>
        <w:t>2.40</w:t>
      </w:r>
      <w:r w:rsidR="00D22D3F" w:rsidRPr="00097A86">
        <w:t xml:space="preserve">  </w:t>
      </w:r>
      <w:r w:rsidRPr="00097A86">
        <w:t>Available methods</w:t>
      </w:r>
      <w:bookmarkEnd w:id="150"/>
    </w:p>
    <w:p w14:paraId="3637ED8E"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from the combustion of a liquid fuel</w:t>
      </w:r>
      <w:r w:rsidR="00F772E8" w:rsidRPr="00097A86">
        <w:t>, other than petroleum</w:t>
      </w:r>
      <w:r w:rsidR="00F772E8" w:rsidRPr="00097A86">
        <w:rPr>
          <w:rStyle w:val="Emphasis"/>
          <w:i w:val="0"/>
          <w:iCs w:val="0"/>
        </w:rPr>
        <w:t xml:space="preserve"> based oils and petroleum based greases</w:t>
      </w:r>
      <w:r w:rsidR="00F772E8" w:rsidRPr="00097A86">
        <w:t>,</w:t>
      </w:r>
      <w:r w:rsidRPr="00097A86">
        <w:t xml:space="preserve"> consumed from the operation of a facility during a year:</w:t>
      </w:r>
    </w:p>
    <w:p w14:paraId="1AA12F1D" w14:textId="77777777" w:rsidR="003F0D4E" w:rsidRPr="00097A86" w:rsidRDefault="003F0D4E" w:rsidP="00D22D3F">
      <w:pPr>
        <w:pStyle w:val="paragraph"/>
      </w:pPr>
      <w:r w:rsidRPr="00097A86">
        <w:tab/>
        <w:t>(a)</w:t>
      </w:r>
      <w:r w:rsidRPr="00097A86">
        <w:tab/>
        <w:t>one of the following methods must be used for estimating emissions of carbon dioxide:</w:t>
      </w:r>
    </w:p>
    <w:p w14:paraId="34992CCC" w14:textId="77777777" w:rsidR="003F0D4E" w:rsidRPr="00097A86" w:rsidRDefault="003F0D4E" w:rsidP="00D22D3F">
      <w:pPr>
        <w:pStyle w:val="paragraphsub"/>
      </w:pPr>
      <w:r w:rsidRPr="00097A86">
        <w:rPr>
          <w:vertAlign w:val="subscript"/>
        </w:rPr>
        <w:tab/>
      </w:r>
      <w:r w:rsidRPr="00097A86">
        <w:t>(i)</w:t>
      </w:r>
      <w:r w:rsidRPr="00097A86">
        <w:tab/>
        <w:t>method 1 under section</w:t>
      </w:r>
      <w:r w:rsidR="00097A86">
        <w:t> </w:t>
      </w:r>
      <w:r w:rsidRPr="00097A86">
        <w:t>2.41;</w:t>
      </w:r>
    </w:p>
    <w:p w14:paraId="73586FF7" w14:textId="77777777" w:rsidR="003F0D4E" w:rsidRPr="00097A86" w:rsidRDefault="003F0D4E" w:rsidP="00D22D3F">
      <w:pPr>
        <w:pStyle w:val="paragraphsub"/>
      </w:pPr>
      <w:r w:rsidRPr="00097A86">
        <w:tab/>
        <w:t>(ii)</w:t>
      </w:r>
      <w:r w:rsidRPr="00097A86">
        <w:tab/>
        <w:t>method 2 under section</w:t>
      </w:r>
      <w:r w:rsidR="00097A86">
        <w:t> </w:t>
      </w:r>
      <w:r w:rsidRPr="00097A86">
        <w:t>2.42;</w:t>
      </w:r>
    </w:p>
    <w:p w14:paraId="22CC391D" w14:textId="77777777" w:rsidR="003F0D4E" w:rsidRPr="00097A86" w:rsidRDefault="003F0D4E" w:rsidP="00D22D3F">
      <w:pPr>
        <w:pStyle w:val="paragraphsub"/>
      </w:pPr>
      <w:r w:rsidRPr="00097A86">
        <w:tab/>
        <w:t>(iii)</w:t>
      </w:r>
      <w:r w:rsidRPr="00097A86">
        <w:tab/>
        <w:t>method 3 under section</w:t>
      </w:r>
      <w:r w:rsidR="00097A86">
        <w:t> </w:t>
      </w:r>
      <w:r w:rsidRPr="00097A86">
        <w:t>2.47;</w:t>
      </w:r>
    </w:p>
    <w:p w14:paraId="0FB7D40C" w14:textId="77777777" w:rsidR="003F0D4E" w:rsidRPr="00097A86" w:rsidRDefault="003F0D4E" w:rsidP="00D22D3F">
      <w:pPr>
        <w:pStyle w:val="paragraphsub"/>
      </w:pPr>
      <w:r w:rsidRPr="00097A86">
        <w:tab/>
        <w:t>(iv)</w:t>
      </w:r>
      <w:r w:rsidRPr="00097A86">
        <w:tab/>
        <w:t>method 4 under Part</w:t>
      </w:r>
      <w:r w:rsidR="00097A86">
        <w:t> </w:t>
      </w:r>
      <w:r w:rsidRPr="00097A86">
        <w:t>1.3; and</w:t>
      </w:r>
    </w:p>
    <w:p w14:paraId="1A4E80EA" w14:textId="77777777" w:rsidR="003F0D4E" w:rsidRPr="00097A86" w:rsidRDefault="003F0D4E" w:rsidP="00D22D3F">
      <w:pPr>
        <w:pStyle w:val="paragraph"/>
      </w:pPr>
      <w:r w:rsidRPr="00097A86">
        <w:tab/>
        <w:t>(b)</w:t>
      </w:r>
      <w:r w:rsidRPr="00097A86">
        <w:tab/>
        <w:t>one of the following methods must be used for estimating emissions of methane and nitrous oxide:</w:t>
      </w:r>
    </w:p>
    <w:p w14:paraId="50B45F75" w14:textId="77777777" w:rsidR="003F0D4E" w:rsidRPr="00097A86" w:rsidRDefault="003F0D4E" w:rsidP="00D22D3F">
      <w:pPr>
        <w:pStyle w:val="paragraphsub"/>
      </w:pPr>
      <w:r w:rsidRPr="00097A86">
        <w:tab/>
        <w:t>(i)</w:t>
      </w:r>
      <w:r w:rsidRPr="00097A86">
        <w:tab/>
        <w:t>method 1 under section</w:t>
      </w:r>
      <w:r w:rsidR="00097A86">
        <w:t> </w:t>
      </w:r>
      <w:r w:rsidRPr="00097A86">
        <w:t>2.41;</w:t>
      </w:r>
    </w:p>
    <w:p w14:paraId="32BEEC2A" w14:textId="77777777" w:rsidR="003F0D4E" w:rsidRPr="00097A86" w:rsidRDefault="003F0D4E" w:rsidP="00D22D3F">
      <w:pPr>
        <w:pStyle w:val="paragraphsub"/>
      </w:pPr>
      <w:r w:rsidRPr="00097A86">
        <w:tab/>
        <w:t>(ii)</w:t>
      </w:r>
      <w:r w:rsidRPr="00097A86">
        <w:tab/>
        <w:t>method 2 under section</w:t>
      </w:r>
      <w:r w:rsidR="00097A86">
        <w:t> </w:t>
      </w:r>
      <w:r w:rsidRPr="00097A86">
        <w:t>2.48.</w:t>
      </w:r>
    </w:p>
    <w:p w14:paraId="6176C6DF" w14:textId="77777777" w:rsidR="003F0D4E" w:rsidRPr="00097A86" w:rsidRDefault="003F0D4E" w:rsidP="00D22D3F">
      <w:pPr>
        <w:pStyle w:val="subsection"/>
      </w:pPr>
      <w:r w:rsidRPr="00097A86">
        <w:tab/>
        <w:t>(2)</w:t>
      </w:r>
      <w:r w:rsidRPr="00097A86">
        <w:tab/>
        <w:t xml:space="preserve">Under </w:t>
      </w:r>
      <w:r w:rsidR="00097A86">
        <w:t>paragraph (</w:t>
      </w:r>
      <w:r w:rsidRPr="00097A86">
        <w:t>1)</w:t>
      </w:r>
      <w:r w:rsidR="008A729A" w:rsidRPr="00097A86">
        <w:t>(</w:t>
      </w:r>
      <w:r w:rsidRPr="00097A86">
        <w:t>b), the same method must be used for estimating emissions of methane and nitrous oxide.</w:t>
      </w:r>
    </w:p>
    <w:p w14:paraId="24B83B05" w14:textId="77777777" w:rsidR="003F0D4E" w:rsidRPr="00097A86" w:rsidRDefault="003F0D4E" w:rsidP="00D22D3F">
      <w:pPr>
        <w:pStyle w:val="subsection"/>
      </w:pPr>
      <w:r w:rsidRPr="00097A86">
        <w:lastRenderedPageBreak/>
        <w:tab/>
        <w:t>(3)</w:t>
      </w:r>
      <w:r w:rsidRPr="00097A86">
        <w:tab/>
        <w:t xml:space="preserve">However, for </w:t>
      </w:r>
      <w:r w:rsidR="005E0545" w:rsidRPr="00097A86">
        <w:t>incidental emissions</w:t>
      </w:r>
      <w:r w:rsidRPr="00097A86">
        <w:t xml:space="preserve"> another method may be used that is consistent with the principles in section</w:t>
      </w:r>
      <w:r w:rsidR="00097A86">
        <w:t> </w:t>
      </w:r>
      <w:r w:rsidRPr="00097A86">
        <w:t>1.13.</w:t>
      </w:r>
    </w:p>
    <w:p w14:paraId="4ABCF8C5" w14:textId="77777777" w:rsidR="003F0D4E" w:rsidRPr="00097A86" w:rsidRDefault="00D22D3F" w:rsidP="00D22D3F">
      <w:pPr>
        <w:pStyle w:val="notetext"/>
      </w:pPr>
      <w:r w:rsidRPr="00097A86">
        <w:t>Note:</w:t>
      </w:r>
      <w:r w:rsidRPr="00097A86">
        <w:tab/>
      </w:r>
      <w:r w:rsidR="003F0D4E" w:rsidRPr="00097A86">
        <w:t>The combustion of liquid fuels releases emissions of carbon dioxide, methane and nitrous oxide. Method 1 may be used to estimate emissions of each of these gases. There is no method 3 or 4 for emissions of methane or nitrous oxide.</w:t>
      </w:r>
    </w:p>
    <w:p w14:paraId="4EA0821F" w14:textId="77777777" w:rsidR="00FD7F1D" w:rsidRPr="00097A86" w:rsidRDefault="00FD7F1D" w:rsidP="00D22D3F">
      <w:pPr>
        <w:pStyle w:val="ActHead4"/>
      </w:pPr>
      <w:bookmarkStart w:id="151" w:name="_Toc13233597"/>
      <w:r w:rsidRPr="00097A86">
        <w:rPr>
          <w:rStyle w:val="CharSubdNo"/>
        </w:rPr>
        <w:t>Subdivision</w:t>
      </w:r>
      <w:r w:rsidR="00097A86">
        <w:rPr>
          <w:rStyle w:val="CharSubdNo"/>
        </w:rPr>
        <w:t> </w:t>
      </w:r>
      <w:r w:rsidRPr="00097A86">
        <w:rPr>
          <w:rStyle w:val="CharSubdNo"/>
        </w:rPr>
        <w:t>2.4.1.2</w:t>
      </w:r>
      <w:r w:rsidR="00D22D3F" w:rsidRPr="00097A86">
        <w:t>—</w:t>
      </w:r>
      <w:r w:rsidRPr="00097A86">
        <w:rPr>
          <w:rStyle w:val="CharSubdText"/>
        </w:rPr>
        <w:t>Liquid fuels</w:t>
      </w:r>
      <w:r w:rsidR="00D22D3F" w:rsidRPr="00097A86">
        <w:rPr>
          <w:rStyle w:val="CharSubdText"/>
        </w:rPr>
        <w:t>—</w:t>
      </w:r>
      <w:r w:rsidRPr="00097A86">
        <w:rPr>
          <w:rStyle w:val="CharSubdText"/>
        </w:rPr>
        <w:t>petroleum based oils and greases</w:t>
      </w:r>
      <w:bookmarkEnd w:id="151"/>
    </w:p>
    <w:p w14:paraId="7EACAFF5" w14:textId="77777777" w:rsidR="00F772E8" w:rsidRPr="00097A86" w:rsidRDefault="00F772E8" w:rsidP="00D22D3F">
      <w:pPr>
        <w:pStyle w:val="ActHead5"/>
      </w:pPr>
      <w:bookmarkStart w:id="152" w:name="_Toc13233598"/>
      <w:r w:rsidRPr="00097A86">
        <w:rPr>
          <w:rStyle w:val="CharSectno"/>
        </w:rPr>
        <w:t>2.40A</w:t>
      </w:r>
      <w:r w:rsidR="00D22D3F" w:rsidRPr="00097A86">
        <w:t xml:space="preserve">  </w:t>
      </w:r>
      <w:r w:rsidRPr="00097A86">
        <w:t>Available methods</w:t>
      </w:r>
      <w:bookmarkEnd w:id="152"/>
    </w:p>
    <w:p w14:paraId="41E73BE5" w14:textId="77777777" w:rsidR="00F772E8" w:rsidRPr="00097A86" w:rsidRDefault="00F772E8" w:rsidP="00D22D3F">
      <w:pPr>
        <w:pStyle w:val="subsection"/>
      </w:pPr>
      <w:r w:rsidRPr="00097A86">
        <w:tab/>
        <w:t>(1)</w:t>
      </w:r>
      <w:r w:rsidRPr="00097A86">
        <w:tab/>
        <w:t>Subject to section</w:t>
      </w:r>
      <w:r w:rsidR="00097A86">
        <w:t> </w:t>
      </w:r>
      <w:r w:rsidRPr="00097A86">
        <w:t>1.18, for estimating emissions of carbon dioxide released from the consumption, as lubricants, of petroleum based oils or petroleum based greases, consumed from the operation of a facility during a year, one of the following methods must be used:</w:t>
      </w:r>
    </w:p>
    <w:p w14:paraId="5EF19DA0" w14:textId="77777777" w:rsidR="00F772E8" w:rsidRPr="00097A86" w:rsidRDefault="00F772E8" w:rsidP="00D22D3F">
      <w:pPr>
        <w:pStyle w:val="paragraph"/>
      </w:pPr>
      <w:r w:rsidRPr="00097A86">
        <w:tab/>
        <w:t>(a)</w:t>
      </w:r>
      <w:r w:rsidRPr="00097A86">
        <w:tab/>
        <w:t>method 1 under section</w:t>
      </w:r>
      <w:r w:rsidR="00097A86">
        <w:t> </w:t>
      </w:r>
      <w:r w:rsidRPr="00097A86">
        <w:t>2.48A;</w:t>
      </w:r>
    </w:p>
    <w:p w14:paraId="7638F05E" w14:textId="77777777" w:rsidR="00F772E8" w:rsidRPr="00097A86" w:rsidRDefault="00F772E8" w:rsidP="00D22D3F">
      <w:pPr>
        <w:pStyle w:val="paragraph"/>
      </w:pPr>
      <w:r w:rsidRPr="00097A86">
        <w:tab/>
        <w:t>(b)</w:t>
      </w:r>
      <w:r w:rsidRPr="00097A86">
        <w:tab/>
        <w:t>method 2 under section</w:t>
      </w:r>
      <w:r w:rsidR="00097A86">
        <w:t> </w:t>
      </w:r>
      <w:r w:rsidRPr="00097A86">
        <w:t xml:space="preserve">2.48B; </w:t>
      </w:r>
    </w:p>
    <w:p w14:paraId="016A3FE9" w14:textId="77777777" w:rsidR="00F772E8" w:rsidRPr="00097A86" w:rsidRDefault="00F772E8" w:rsidP="00D22D3F">
      <w:pPr>
        <w:pStyle w:val="paragraph"/>
      </w:pPr>
      <w:r w:rsidRPr="00097A86">
        <w:tab/>
        <w:t>(c)</w:t>
      </w:r>
      <w:r w:rsidRPr="00097A86">
        <w:tab/>
        <w:t>method 3 under section</w:t>
      </w:r>
      <w:r w:rsidR="00097A86">
        <w:t> </w:t>
      </w:r>
      <w:r w:rsidRPr="00097A86">
        <w:t>2.48C.</w:t>
      </w:r>
    </w:p>
    <w:p w14:paraId="64228790" w14:textId="77777777" w:rsidR="00F772E8" w:rsidRPr="00097A86" w:rsidRDefault="00F772E8" w:rsidP="00D22D3F">
      <w:pPr>
        <w:pStyle w:val="subsection"/>
      </w:pPr>
      <w:r w:rsidRPr="00097A86">
        <w:tab/>
        <w:t>(2)</w:t>
      </w:r>
      <w:r w:rsidRPr="00097A86">
        <w:tab/>
        <w:t>However, for incidental emissions, another method may be used that is consistent with the principles in section</w:t>
      </w:r>
      <w:r w:rsidR="00097A86">
        <w:t> </w:t>
      </w:r>
      <w:r w:rsidRPr="00097A86">
        <w:t xml:space="preserve">1.13.  </w:t>
      </w:r>
    </w:p>
    <w:p w14:paraId="1BB788D1" w14:textId="77777777" w:rsidR="00F772E8" w:rsidRPr="00097A86" w:rsidRDefault="00D22D3F" w:rsidP="00D22D3F">
      <w:pPr>
        <w:pStyle w:val="notetext"/>
      </w:pPr>
      <w:r w:rsidRPr="00097A86">
        <w:t>Note:</w:t>
      </w:r>
      <w:r w:rsidRPr="00097A86">
        <w:tab/>
      </w:r>
      <w:r w:rsidR="00F772E8" w:rsidRPr="00097A86">
        <w:t>The consumption of petroleum based oils and greases, as lubricants, releases emissions of carbon dioxide.  Emissions of methane and nitrous oxide are not estimated directly for this fuel type.</w:t>
      </w:r>
    </w:p>
    <w:p w14:paraId="6B086F46" w14:textId="77777777" w:rsidR="00F772E8" w:rsidRPr="00097A86" w:rsidRDefault="00F772E8" w:rsidP="00D22D3F">
      <w:pPr>
        <w:pStyle w:val="ActHead3"/>
        <w:pageBreakBefore/>
        <w:rPr>
          <w:rStyle w:val="Emphasis"/>
          <w:i w:val="0"/>
          <w:iCs w:val="0"/>
        </w:rPr>
      </w:pPr>
      <w:bookmarkStart w:id="153" w:name="_Toc13233599"/>
      <w:r w:rsidRPr="00097A86">
        <w:rPr>
          <w:rStyle w:val="CharDivNo"/>
        </w:rPr>
        <w:lastRenderedPageBreak/>
        <w:t>Division</w:t>
      </w:r>
      <w:r w:rsidR="00097A86">
        <w:rPr>
          <w:rStyle w:val="CharDivNo"/>
        </w:rPr>
        <w:t> </w:t>
      </w:r>
      <w:r w:rsidRPr="00097A86">
        <w:rPr>
          <w:rStyle w:val="CharDivNo"/>
        </w:rPr>
        <w:t>2.4.2</w:t>
      </w:r>
      <w:r w:rsidR="00D22D3F" w:rsidRPr="00097A86">
        <w:t>—</w:t>
      </w:r>
      <w:r w:rsidRPr="00097A86">
        <w:rPr>
          <w:rStyle w:val="CharDivText"/>
        </w:rPr>
        <w:t>Method 1</w:t>
      </w:r>
      <w:r w:rsidR="00D22D3F" w:rsidRPr="00097A86">
        <w:rPr>
          <w:rStyle w:val="CharDivText"/>
        </w:rPr>
        <w:t>—</w:t>
      </w:r>
      <w:r w:rsidRPr="00097A86">
        <w:rPr>
          <w:rStyle w:val="CharDivText"/>
        </w:rPr>
        <w:t>emissions of carbon dioxide, methane and nitrous oxide from liquid fuels other than petroleum based oils or greases</w:t>
      </w:r>
      <w:bookmarkEnd w:id="153"/>
    </w:p>
    <w:p w14:paraId="3DA1B6DB" w14:textId="77777777" w:rsidR="003F0D4E" w:rsidRPr="00097A86" w:rsidRDefault="003F0D4E" w:rsidP="00D22D3F">
      <w:pPr>
        <w:pStyle w:val="ActHead5"/>
      </w:pPr>
      <w:bookmarkStart w:id="154" w:name="_Toc13233600"/>
      <w:r w:rsidRPr="00097A86">
        <w:rPr>
          <w:rStyle w:val="CharSectno"/>
        </w:rPr>
        <w:t>2.41</w:t>
      </w:r>
      <w:r w:rsidR="00D22D3F" w:rsidRPr="00097A86">
        <w:t xml:space="preserve">  </w:t>
      </w:r>
      <w:r w:rsidRPr="00097A86">
        <w:t>Method 1</w:t>
      </w:r>
      <w:r w:rsidR="00D22D3F" w:rsidRPr="00097A86">
        <w:t>—</w:t>
      </w:r>
      <w:r w:rsidRPr="00097A86">
        <w:t>emissions of carbon dioxide, methane and nitrous oxide</w:t>
      </w:r>
      <w:bookmarkEnd w:id="154"/>
    </w:p>
    <w:p w14:paraId="7FF0D515" w14:textId="77777777" w:rsidR="003F0D4E" w:rsidRPr="00097A86" w:rsidRDefault="003F0D4E" w:rsidP="00D22D3F">
      <w:pPr>
        <w:pStyle w:val="subsection"/>
      </w:pPr>
      <w:r w:rsidRPr="00097A86">
        <w:tab/>
      </w:r>
      <w:r w:rsidR="00220435" w:rsidRPr="00097A86">
        <w:t>(1)</w:t>
      </w:r>
      <w:r w:rsidR="00220435" w:rsidRPr="00097A86">
        <w:tab/>
        <w:t>For subparagraphs</w:t>
      </w:r>
      <w:r w:rsidR="00097A86">
        <w:t> </w:t>
      </w:r>
      <w:r w:rsidRPr="00097A86">
        <w:t>2.40</w:t>
      </w:r>
      <w:r w:rsidR="008A729A" w:rsidRPr="00097A86">
        <w:t>(</w:t>
      </w:r>
      <w:r w:rsidRPr="00097A86">
        <w:t>1)</w:t>
      </w:r>
      <w:r w:rsidR="008A729A" w:rsidRPr="00097A86">
        <w:t>(</w:t>
      </w:r>
      <w:r w:rsidRPr="00097A86">
        <w:t>a)</w:t>
      </w:r>
      <w:r w:rsidR="008A729A" w:rsidRPr="00097A86">
        <w:t>(</w:t>
      </w:r>
      <w:r w:rsidRPr="00097A86">
        <w:t>i) and (b)</w:t>
      </w:r>
      <w:r w:rsidR="008A729A" w:rsidRPr="00097A86">
        <w:t>(</w:t>
      </w:r>
      <w:r w:rsidRPr="00097A86">
        <w:t>i), method 1 for estimating emissions of carbon dioxide, methane and nitrous oxide is:</w:t>
      </w:r>
    </w:p>
    <w:p w14:paraId="552B8B8D"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784D401" wp14:editId="7DC5F98F">
            <wp:extent cx="1647825" cy="409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p w14:paraId="0295830F" w14:textId="77777777" w:rsidR="003F0D4E" w:rsidRPr="00097A86" w:rsidRDefault="003F0D4E" w:rsidP="00D22D3F">
      <w:pPr>
        <w:pStyle w:val="subsection2"/>
      </w:pPr>
      <w:r w:rsidRPr="00097A86">
        <w:t>where:</w:t>
      </w:r>
    </w:p>
    <w:p w14:paraId="3CD179F7" w14:textId="77777777" w:rsidR="003F0D4E" w:rsidRPr="00097A86" w:rsidRDefault="003F0D4E" w:rsidP="00D22D3F">
      <w:pPr>
        <w:pStyle w:val="Definition"/>
      </w:pPr>
      <w:r w:rsidRPr="00097A86">
        <w:rPr>
          <w:b/>
          <w:i/>
        </w:rPr>
        <w:t>E</w:t>
      </w:r>
      <w:r w:rsidRPr="00097A86">
        <w:rPr>
          <w:rStyle w:val="charSubscript"/>
          <w:b/>
          <w:i/>
          <w:iCs/>
          <w:sz w:val="16"/>
        </w:rPr>
        <w:t xml:space="preserve">ij </w:t>
      </w:r>
      <w:r w:rsidRPr="00097A86">
        <w:t>is the emissions of gas type (</w:t>
      </w:r>
      <w:r w:rsidRPr="00097A86">
        <w:rPr>
          <w:b/>
          <w:i/>
        </w:rPr>
        <w:t>j</w:t>
      </w:r>
      <w:r w:rsidRPr="00097A86">
        <w:t>), being carbon dioxide, methane or nitrous oxide, released from the combustion of fuel type (</w:t>
      </w:r>
      <w:r w:rsidRPr="00097A86">
        <w:rPr>
          <w:b/>
          <w:i/>
        </w:rPr>
        <w:t>i</w:t>
      </w:r>
      <w:r w:rsidRPr="00097A86">
        <w:t>) from the operation of the facility during the year measured in CO</w:t>
      </w:r>
      <w:r w:rsidRPr="00097A86">
        <w:rPr>
          <w:rStyle w:val="charSubscript"/>
          <w:iCs/>
        </w:rPr>
        <w:t>2</w:t>
      </w:r>
      <w:r w:rsidR="00097A86">
        <w:noBreakHyphen/>
      </w:r>
      <w:r w:rsidRPr="00097A86">
        <w:t>e tonnes.</w:t>
      </w:r>
    </w:p>
    <w:p w14:paraId="4B40D651" w14:textId="77777777" w:rsidR="003F0D4E" w:rsidRPr="00097A86" w:rsidRDefault="003F0D4E" w:rsidP="00D22D3F">
      <w:pPr>
        <w:pStyle w:val="Definition"/>
      </w:pPr>
      <w:r w:rsidRPr="00097A86">
        <w:rPr>
          <w:b/>
          <w:i/>
        </w:rPr>
        <w:t>Q</w:t>
      </w:r>
      <w:r w:rsidRPr="00097A86">
        <w:rPr>
          <w:b/>
          <w:i/>
          <w:vertAlign w:val="subscript"/>
        </w:rPr>
        <w:t xml:space="preserve">i </w:t>
      </w:r>
      <w:r w:rsidRPr="00097A86">
        <w:t>is the quantity of fuel type (</w:t>
      </w:r>
      <w:r w:rsidRPr="00097A86">
        <w:rPr>
          <w:b/>
          <w:i/>
        </w:rPr>
        <w:t>i</w:t>
      </w:r>
      <w:r w:rsidRPr="00097A86">
        <w:t>) combusted from the operation of the facility for:</w:t>
      </w:r>
    </w:p>
    <w:p w14:paraId="116ACD40" w14:textId="77777777" w:rsidR="003F0D4E" w:rsidRPr="00097A86" w:rsidRDefault="003F0D4E" w:rsidP="00400FD8">
      <w:pPr>
        <w:pStyle w:val="paragraph"/>
      </w:pPr>
      <w:r w:rsidRPr="00097A86">
        <w:tab/>
        <w:t>(a)</w:t>
      </w:r>
      <w:r w:rsidRPr="00097A86">
        <w:tab/>
        <w:t>stationary energy purposes; and</w:t>
      </w:r>
    </w:p>
    <w:p w14:paraId="4950D256" w14:textId="77777777" w:rsidR="003F0D4E" w:rsidRPr="00097A86" w:rsidRDefault="003F0D4E" w:rsidP="00D22D3F">
      <w:pPr>
        <w:pStyle w:val="paragraph"/>
      </w:pPr>
      <w:r w:rsidRPr="00097A86">
        <w:tab/>
        <w:t>(b)</w:t>
      </w:r>
      <w:r w:rsidRPr="00097A86">
        <w:tab/>
        <w:t>transport energy purposes;</w:t>
      </w:r>
    </w:p>
    <w:p w14:paraId="3CA20F06" w14:textId="77777777" w:rsidR="003F0D4E" w:rsidRPr="00097A86" w:rsidRDefault="003F0D4E" w:rsidP="00400FD8">
      <w:pPr>
        <w:pStyle w:val="subsection2"/>
      </w:pPr>
      <w:r w:rsidRPr="00097A86">
        <w:t>during the year measured in kilolitres and estimated under Division</w:t>
      </w:r>
      <w:r w:rsidR="00097A86">
        <w:t> </w:t>
      </w:r>
      <w:r w:rsidRPr="00097A86">
        <w:t>2.4.6.</w:t>
      </w:r>
    </w:p>
    <w:p w14:paraId="30273498" w14:textId="77777777" w:rsidR="00220435" w:rsidRPr="00097A86" w:rsidRDefault="00220435"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6B1975C5" w14:textId="77777777" w:rsidR="003F0D4E" w:rsidRPr="00097A86" w:rsidRDefault="003F0D4E" w:rsidP="00D22D3F">
      <w:pPr>
        <w:pStyle w:val="Definition"/>
      </w:pPr>
      <w:r w:rsidRPr="00097A86">
        <w:rPr>
          <w:b/>
          <w:i/>
        </w:rPr>
        <w:t>EF</w:t>
      </w:r>
      <w:r w:rsidRPr="00097A86">
        <w:rPr>
          <w:b/>
          <w:i/>
          <w:vertAlign w:val="subscript"/>
        </w:rPr>
        <w:t>ijoxec</w:t>
      </w:r>
      <w:r w:rsidRPr="00097A86">
        <w:rPr>
          <w:b/>
          <w:i/>
        </w:rPr>
        <w:t xml:space="preserve"> </w:t>
      </w:r>
      <w:r w:rsidRPr="00097A86">
        <w:t>is the emission factor for each gas type (</w:t>
      </w:r>
      <w:r w:rsidRPr="00097A86">
        <w:rPr>
          <w:b/>
          <w:i/>
        </w:rPr>
        <w:t>j</w:t>
      </w:r>
      <w:r w:rsidRPr="00097A86">
        <w:t>) released from the operation of the facility during the year (which includes the effect of an oxidation factor) measured in kilograms CO</w:t>
      </w:r>
      <w:r w:rsidRPr="00097A86">
        <w:rPr>
          <w:rStyle w:val="charSubscript"/>
        </w:rPr>
        <w:t>2</w:t>
      </w:r>
      <w:r w:rsidR="00097A86">
        <w:noBreakHyphen/>
      </w:r>
      <w:r w:rsidRPr="00097A86">
        <w:t>e per gigajoule of fuel type (</w:t>
      </w:r>
      <w:r w:rsidRPr="00097A86">
        <w:rPr>
          <w:b/>
          <w:i/>
        </w:rPr>
        <w:t>i</w:t>
      </w:r>
      <w:r w:rsidRPr="00097A86">
        <w:t>) according to source as mentioned in:</w:t>
      </w:r>
    </w:p>
    <w:p w14:paraId="4AC7FC81" w14:textId="77777777" w:rsidR="003F0D4E" w:rsidRPr="00097A86" w:rsidRDefault="003F0D4E" w:rsidP="00D22D3F">
      <w:pPr>
        <w:pStyle w:val="paragraph"/>
      </w:pPr>
      <w:r w:rsidRPr="00097A86">
        <w:tab/>
        <w:t>(a)</w:t>
      </w:r>
      <w:r w:rsidRPr="00097A86">
        <w:tab/>
        <w:t>for stationary energy purposes</w:t>
      </w:r>
      <w:r w:rsidR="00D22D3F" w:rsidRPr="00097A86">
        <w:t>—</w:t>
      </w:r>
      <w:r w:rsidRPr="00097A86">
        <w:t>Part</w:t>
      </w:r>
      <w:r w:rsidR="00097A86">
        <w:t> </w:t>
      </w:r>
      <w:r w:rsidRPr="00097A86">
        <w:t>3 of Schedule</w:t>
      </w:r>
      <w:r w:rsidR="00097A86">
        <w:t> </w:t>
      </w:r>
      <w:r w:rsidRPr="00097A86">
        <w:t>1; and</w:t>
      </w:r>
    </w:p>
    <w:p w14:paraId="752EB71A" w14:textId="77777777" w:rsidR="003F0D4E" w:rsidRPr="00097A86" w:rsidRDefault="003F0D4E" w:rsidP="00D22D3F">
      <w:pPr>
        <w:pStyle w:val="paragraph"/>
        <w:rPr>
          <w:strike/>
        </w:rPr>
      </w:pPr>
      <w:r w:rsidRPr="00097A86">
        <w:tab/>
        <w:t>(b)</w:t>
      </w:r>
      <w:r w:rsidRPr="00097A86">
        <w:tab/>
        <w:t>for transport energy purposes</w:t>
      </w:r>
      <w:r w:rsidR="00D22D3F" w:rsidRPr="00097A86">
        <w:t>—</w:t>
      </w:r>
      <w:r w:rsidRPr="00097A86">
        <w:t>Division</w:t>
      </w:r>
      <w:r w:rsidR="00097A86">
        <w:t> </w:t>
      </w:r>
      <w:r w:rsidRPr="00097A86">
        <w:t>4.1 of Schedule</w:t>
      </w:r>
      <w:r w:rsidR="00097A86">
        <w:t> </w:t>
      </w:r>
      <w:r w:rsidRPr="00097A86">
        <w:t>1.</w:t>
      </w:r>
    </w:p>
    <w:p w14:paraId="1C336346" w14:textId="77777777" w:rsidR="00220435" w:rsidRPr="00097A86" w:rsidRDefault="00220435" w:rsidP="00D22D3F">
      <w:pPr>
        <w:pStyle w:val="subsection"/>
      </w:pPr>
      <w:r w:rsidRPr="00097A86">
        <w:tab/>
        <w:t>(2)</w:t>
      </w:r>
      <w:r w:rsidRPr="00097A86">
        <w:tab/>
        <w:t>In this section:</w:t>
      </w:r>
    </w:p>
    <w:p w14:paraId="7A742D99" w14:textId="77777777" w:rsidR="00220435" w:rsidRPr="00097A86" w:rsidRDefault="00220435" w:rsidP="00D22D3F">
      <w:pPr>
        <w:pStyle w:val="Definition"/>
      </w:pPr>
      <w:r w:rsidRPr="00097A86">
        <w:rPr>
          <w:b/>
          <w:i/>
        </w:rPr>
        <w:t xml:space="preserve">stationary energy purposes </w:t>
      </w:r>
      <w:r w:rsidRPr="00097A86">
        <w:t xml:space="preserve">means purposes for which fuel is combusted that do not involve transport energy purposes. </w:t>
      </w:r>
    </w:p>
    <w:p w14:paraId="56063720" w14:textId="77777777" w:rsidR="00221EF0" w:rsidRPr="00097A86" w:rsidRDefault="00221EF0" w:rsidP="00D22D3F">
      <w:pPr>
        <w:pStyle w:val="Definition"/>
      </w:pPr>
      <w:r w:rsidRPr="00097A86">
        <w:rPr>
          <w:b/>
          <w:i/>
        </w:rPr>
        <w:t xml:space="preserve">transport energy purposes </w:t>
      </w:r>
      <w:r w:rsidRPr="00097A86">
        <w:t>includes purposes for which fuel is combusted that consist of any of the following:</w:t>
      </w:r>
    </w:p>
    <w:p w14:paraId="477D99DF" w14:textId="77777777" w:rsidR="00221EF0" w:rsidRPr="00097A86" w:rsidRDefault="00221EF0" w:rsidP="00D22D3F">
      <w:pPr>
        <w:pStyle w:val="paragraph"/>
      </w:pPr>
      <w:r w:rsidRPr="00097A86">
        <w:tab/>
        <w:t>(a)</w:t>
      </w:r>
      <w:r w:rsidRPr="00097A86">
        <w:tab/>
        <w:t>transport by vehicles registered for road use;</w:t>
      </w:r>
    </w:p>
    <w:p w14:paraId="3884D249" w14:textId="77777777" w:rsidR="00221EF0" w:rsidRPr="00097A86" w:rsidRDefault="00221EF0" w:rsidP="00D22D3F">
      <w:pPr>
        <w:pStyle w:val="paragraph"/>
      </w:pPr>
      <w:r w:rsidRPr="00097A86">
        <w:tab/>
        <w:t>(b)</w:t>
      </w:r>
      <w:r w:rsidRPr="00097A86">
        <w:tab/>
        <w:t>rail transport;</w:t>
      </w:r>
    </w:p>
    <w:p w14:paraId="5A83FEEE" w14:textId="77777777" w:rsidR="00221EF0" w:rsidRPr="00097A86" w:rsidRDefault="00221EF0" w:rsidP="00D22D3F">
      <w:pPr>
        <w:pStyle w:val="paragraph"/>
      </w:pPr>
      <w:r w:rsidRPr="00097A86">
        <w:tab/>
        <w:t>(c)</w:t>
      </w:r>
      <w:r w:rsidRPr="00097A86">
        <w:tab/>
        <w:t>marine navigation;</w:t>
      </w:r>
    </w:p>
    <w:p w14:paraId="14D7C415" w14:textId="77777777" w:rsidR="00221EF0" w:rsidRPr="00097A86" w:rsidRDefault="00221EF0" w:rsidP="00D22D3F">
      <w:pPr>
        <w:pStyle w:val="paragraph"/>
      </w:pPr>
      <w:r w:rsidRPr="00097A86">
        <w:tab/>
        <w:t>(d)</w:t>
      </w:r>
      <w:r w:rsidRPr="00097A86">
        <w:tab/>
        <w:t>air transport.</w:t>
      </w:r>
    </w:p>
    <w:p w14:paraId="348A2861" w14:textId="77777777" w:rsidR="003F0D4E" w:rsidRPr="00097A86" w:rsidRDefault="00D22D3F" w:rsidP="00D22D3F">
      <w:pPr>
        <w:pStyle w:val="notetext"/>
      </w:pPr>
      <w:r w:rsidRPr="00097A86">
        <w:t>Note:</w:t>
      </w:r>
      <w:r w:rsidRPr="00097A86">
        <w:tab/>
      </w:r>
      <w:r w:rsidR="003F0D4E" w:rsidRPr="00097A86">
        <w:t>The combustion of liquid fuels produces emissions of carbon dioxide, methane and nitrous oxide.</w:t>
      </w:r>
    </w:p>
    <w:p w14:paraId="333BE768" w14:textId="77777777" w:rsidR="00220435" w:rsidRPr="00097A86" w:rsidRDefault="00220435" w:rsidP="009A46A7">
      <w:pPr>
        <w:pStyle w:val="ActHead3"/>
        <w:pageBreakBefore/>
        <w:rPr>
          <w:rStyle w:val="Emphasis"/>
          <w:i w:val="0"/>
          <w:iCs w:val="0"/>
        </w:rPr>
      </w:pPr>
      <w:bookmarkStart w:id="155" w:name="_Toc13233601"/>
      <w:r w:rsidRPr="00097A86">
        <w:rPr>
          <w:rStyle w:val="CharDivNo"/>
        </w:rPr>
        <w:lastRenderedPageBreak/>
        <w:t>Division</w:t>
      </w:r>
      <w:r w:rsidR="00097A86">
        <w:rPr>
          <w:rStyle w:val="CharDivNo"/>
        </w:rPr>
        <w:t> </w:t>
      </w:r>
      <w:r w:rsidRPr="00097A86">
        <w:rPr>
          <w:rStyle w:val="CharDivNo"/>
        </w:rPr>
        <w:t>2.4.3</w:t>
      </w:r>
      <w:r w:rsidR="00D22D3F" w:rsidRPr="00097A86">
        <w:t>—</w:t>
      </w:r>
      <w:r w:rsidRPr="00097A86">
        <w:rPr>
          <w:rStyle w:val="CharDivText"/>
        </w:rPr>
        <w:t>Method 2</w:t>
      </w:r>
      <w:r w:rsidR="00D22D3F" w:rsidRPr="00097A86">
        <w:rPr>
          <w:rStyle w:val="CharDivText"/>
        </w:rPr>
        <w:t>—</w:t>
      </w:r>
      <w:r w:rsidRPr="00097A86">
        <w:rPr>
          <w:rStyle w:val="CharDivText"/>
        </w:rPr>
        <w:t>emissions of carbon dioxide from liquid fuels other than petroleum based oils or greases</w:t>
      </w:r>
      <w:bookmarkEnd w:id="155"/>
    </w:p>
    <w:p w14:paraId="1C295647" w14:textId="77777777" w:rsidR="00220435" w:rsidRPr="00097A86" w:rsidRDefault="00220435" w:rsidP="00D22D3F">
      <w:pPr>
        <w:pStyle w:val="ActHead4"/>
      </w:pPr>
      <w:bookmarkStart w:id="156" w:name="_Toc13233602"/>
      <w:r w:rsidRPr="00097A86">
        <w:rPr>
          <w:rStyle w:val="CharSubdNo"/>
        </w:rPr>
        <w:t>Subdivision</w:t>
      </w:r>
      <w:r w:rsidR="00097A86">
        <w:rPr>
          <w:rStyle w:val="CharSubdNo"/>
        </w:rPr>
        <w:t> </w:t>
      </w:r>
      <w:r w:rsidRPr="00097A86">
        <w:rPr>
          <w:rStyle w:val="CharSubdNo"/>
        </w:rPr>
        <w:t>2.4.3.1</w:t>
      </w:r>
      <w:r w:rsidR="00D22D3F" w:rsidRPr="00097A86">
        <w:t>—</w:t>
      </w:r>
      <w:r w:rsidRPr="00097A86">
        <w:rPr>
          <w:rStyle w:val="CharSubdText"/>
        </w:rPr>
        <w:t>Method 2</w:t>
      </w:r>
      <w:r w:rsidR="00D22D3F" w:rsidRPr="00097A86">
        <w:rPr>
          <w:rStyle w:val="CharSubdText"/>
        </w:rPr>
        <w:t>—</w:t>
      </w:r>
      <w:r w:rsidRPr="00097A86">
        <w:rPr>
          <w:rStyle w:val="CharSubdText"/>
        </w:rPr>
        <w:t>emissions of carbon dioxide from liquid fuels other than petroleum based oils or greases</w:t>
      </w:r>
      <w:bookmarkEnd w:id="156"/>
      <w:r w:rsidRPr="00097A86">
        <w:rPr>
          <w:rStyle w:val="CharSubdText"/>
        </w:rPr>
        <w:t xml:space="preserve"> </w:t>
      </w:r>
    </w:p>
    <w:p w14:paraId="78DF9EEE" w14:textId="77777777" w:rsidR="003F0D4E" w:rsidRPr="00097A86" w:rsidRDefault="003F0D4E" w:rsidP="00D22D3F">
      <w:pPr>
        <w:pStyle w:val="ActHead5"/>
      </w:pPr>
      <w:bookmarkStart w:id="157" w:name="_Toc13233603"/>
      <w:r w:rsidRPr="00097A86">
        <w:rPr>
          <w:rStyle w:val="CharSectno"/>
        </w:rPr>
        <w:t>2.42</w:t>
      </w:r>
      <w:r w:rsidR="00D22D3F" w:rsidRPr="00097A86">
        <w:t xml:space="preserve">  </w:t>
      </w:r>
      <w:r w:rsidRPr="00097A86">
        <w:t>Method 2</w:t>
      </w:r>
      <w:r w:rsidR="00D22D3F" w:rsidRPr="00097A86">
        <w:t>—</w:t>
      </w:r>
      <w:r w:rsidRPr="00097A86">
        <w:t>emissions of carbon dioxide from the combustion of liquid fuels</w:t>
      </w:r>
      <w:bookmarkEnd w:id="157"/>
      <w:r w:rsidRPr="00097A86">
        <w:t> </w:t>
      </w:r>
    </w:p>
    <w:p w14:paraId="35E1190E" w14:textId="77777777" w:rsidR="003F0D4E" w:rsidRPr="00097A86" w:rsidRDefault="003F0D4E" w:rsidP="00D22D3F">
      <w:pPr>
        <w:pStyle w:val="subsection"/>
      </w:pPr>
      <w:r w:rsidRPr="00097A86">
        <w:tab/>
        <w:t>(1)</w:t>
      </w:r>
      <w:r w:rsidRPr="00097A86">
        <w:tab/>
        <w:t>For subparagraph</w:t>
      </w:r>
      <w:r w:rsidR="00097A86">
        <w:t> </w:t>
      </w:r>
      <w:r w:rsidRPr="00097A86">
        <w:t>2.40</w:t>
      </w:r>
      <w:r w:rsidR="008A729A" w:rsidRPr="00097A86">
        <w:t>(</w:t>
      </w:r>
      <w:r w:rsidRPr="00097A86">
        <w:t>1)</w:t>
      </w:r>
      <w:r w:rsidR="008A729A" w:rsidRPr="00097A86">
        <w:t>(</w:t>
      </w:r>
      <w:r w:rsidRPr="00097A86">
        <w:t>a)</w:t>
      </w:r>
      <w:r w:rsidR="008A729A" w:rsidRPr="00097A86">
        <w:t>(</w:t>
      </w:r>
      <w:r w:rsidRPr="00097A86">
        <w:t>ii), method 2 for estimating emissions of carbon dioxide is:</w:t>
      </w:r>
    </w:p>
    <w:p w14:paraId="178B0D06" w14:textId="77777777" w:rsidR="00221EF0" w:rsidRPr="00097A86" w:rsidRDefault="00D22D3F" w:rsidP="00D22D3F">
      <w:pPr>
        <w:pStyle w:val="subsection"/>
        <w:spacing w:before="120" w:after="120"/>
      </w:pPr>
      <w:r w:rsidRPr="00097A86">
        <w:tab/>
      </w:r>
      <w:r w:rsidRPr="00097A86">
        <w:tab/>
      </w:r>
      <w:r w:rsidR="009E1F90">
        <w:rPr>
          <w:noProof/>
        </w:rPr>
        <w:drawing>
          <wp:inline distT="0" distB="0" distL="0" distR="0" wp14:anchorId="2F03E2EE" wp14:editId="4325813A">
            <wp:extent cx="2419350" cy="409575"/>
            <wp:effectExtent l="0" t="0" r="0" b="9525"/>
            <wp:docPr id="2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9350" cy="409575"/>
                    </a:xfrm>
                    <a:prstGeom prst="rect">
                      <a:avLst/>
                    </a:prstGeom>
                    <a:noFill/>
                    <a:ln>
                      <a:noFill/>
                    </a:ln>
                  </pic:spPr>
                </pic:pic>
              </a:graphicData>
            </a:graphic>
          </wp:inline>
        </w:drawing>
      </w:r>
    </w:p>
    <w:p w14:paraId="4C7F57FA" w14:textId="77777777" w:rsidR="003F0D4E" w:rsidRPr="00097A86" w:rsidRDefault="003F0D4E" w:rsidP="00D22D3F">
      <w:pPr>
        <w:pStyle w:val="subsection2"/>
      </w:pPr>
      <w:r w:rsidRPr="00097A86">
        <w:t>where:</w:t>
      </w:r>
    </w:p>
    <w:p w14:paraId="4C5EDF85" w14:textId="77777777" w:rsidR="00221EF0" w:rsidRPr="00097A86" w:rsidRDefault="00221EF0" w:rsidP="00D22D3F">
      <w:pPr>
        <w:pStyle w:val="Definition"/>
      </w:pPr>
      <w:r w:rsidRPr="00097A86">
        <w:rPr>
          <w:b/>
          <w:i/>
        </w:rPr>
        <w:t>E</w:t>
      </w:r>
      <w:r w:rsidRPr="00097A86">
        <w:rPr>
          <w:rStyle w:val="charSubscript"/>
          <w:b/>
          <w:i/>
          <w:iCs/>
        </w:rPr>
        <w:t>iCO</w:t>
      </w:r>
      <w:r w:rsidRPr="00097A86">
        <w:rPr>
          <w:b/>
          <w:i/>
          <w:position w:val="-4"/>
          <w:vertAlign w:val="subscript"/>
        </w:rPr>
        <w:t>2</w:t>
      </w:r>
      <w:r w:rsidRPr="00097A86">
        <w:rPr>
          <w:b/>
          <w:i/>
        </w:rPr>
        <w:t xml:space="preserve"> </w:t>
      </w:r>
      <w:r w:rsidRPr="00097A86">
        <w:t>is the emissions of carbon dioxide released from the combustion of fuel type (</w:t>
      </w:r>
      <w:r w:rsidRPr="00097A86">
        <w:rPr>
          <w:b/>
          <w:i/>
        </w:rPr>
        <w:t>i</w:t>
      </w:r>
      <w:r w:rsidRPr="00097A86">
        <w:t>) from the operation of the facility during the year measured in CO</w:t>
      </w:r>
      <w:r w:rsidRPr="00097A86">
        <w:rPr>
          <w:rStyle w:val="charSubscript"/>
          <w:iCs/>
        </w:rPr>
        <w:t>2</w:t>
      </w:r>
      <w:r w:rsidR="00097A86">
        <w:noBreakHyphen/>
      </w:r>
      <w:r w:rsidRPr="00097A86">
        <w:t>e tonnes.</w:t>
      </w:r>
    </w:p>
    <w:p w14:paraId="6EB1D904"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fuel type (</w:t>
      </w:r>
      <w:r w:rsidRPr="00097A86">
        <w:rPr>
          <w:b/>
          <w:i/>
        </w:rPr>
        <w:t>i</w:t>
      </w:r>
      <w:r w:rsidRPr="00097A86">
        <w:t>) combusted from the operation of the facility during the year measured in kilolitres .</w:t>
      </w:r>
    </w:p>
    <w:p w14:paraId="37DF5747" w14:textId="77777777" w:rsidR="00220435" w:rsidRPr="00097A86" w:rsidRDefault="00220435"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section</w:t>
      </w:r>
      <w:r w:rsidR="00097A86">
        <w:t> </w:t>
      </w:r>
      <w:r w:rsidRPr="00097A86">
        <w:t xml:space="preserve">6.5. </w:t>
      </w:r>
    </w:p>
    <w:p w14:paraId="0E241D22" w14:textId="77777777" w:rsidR="00221EF0" w:rsidRPr="00097A86" w:rsidRDefault="00221EF0" w:rsidP="00D22D3F">
      <w:pPr>
        <w:pStyle w:val="Definition"/>
      </w:pPr>
      <w:r w:rsidRPr="00097A86">
        <w:rPr>
          <w:b/>
          <w:i/>
        </w:rPr>
        <w:t>EF</w:t>
      </w:r>
      <w:r w:rsidRPr="00097A86">
        <w:rPr>
          <w:b/>
          <w:i/>
          <w:vertAlign w:val="subscript"/>
        </w:rPr>
        <w:t>iCO</w:t>
      </w:r>
      <w:r w:rsidRPr="00097A86">
        <w:rPr>
          <w:b/>
          <w:i/>
          <w:position w:val="-4"/>
          <w:vertAlign w:val="subscript"/>
        </w:rPr>
        <w:t>2</w:t>
      </w:r>
      <w:r w:rsidRPr="00097A86">
        <w:rPr>
          <w:b/>
          <w:i/>
          <w:vertAlign w:val="subscript"/>
        </w:rPr>
        <w:t>oxec</w:t>
      </w:r>
      <w:r w:rsidRPr="00097A86">
        <w:rPr>
          <w:b/>
          <w:i/>
        </w:rPr>
        <w:t xml:space="preserve"> </w:t>
      </w:r>
      <w:r w:rsidRPr="00097A86">
        <w:t>is the carbon dioxide emission factor for fuel type (</w:t>
      </w:r>
      <w:r w:rsidRPr="00097A86">
        <w:rPr>
          <w:b/>
          <w:i/>
        </w:rPr>
        <w:t>i</w:t>
      </w:r>
      <w:r w:rsidRPr="00097A86">
        <w:t>) measured in kilograms of CO</w:t>
      </w:r>
      <w:r w:rsidRPr="00097A86">
        <w:rPr>
          <w:rStyle w:val="charSubscript"/>
        </w:rPr>
        <w:t>2</w:t>
      </w:r>
      <w:r w:rsidR="00097A86">
        <w:noBreakHyphen/>
      </w:r>
      <w:r w:rsidRPr="00097A86">
        <w:t>e per gigajoule.</w:t>
      </w:r>
    </w:p>
    <w:p w14:paraId="1A7E48C4" w14:textId="77777777" w:rsidR="00221EF0" w:rsidRPr="00097A86" w:rsidRDefault="00221EF0"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79BA4F81" w14:textId="77777777" w:rsidR="00221EF0" w:rsidRPr="00097A86" w:rsidRDefault="00221EF0" w:rsidP="00D22D3F">
      <w:pPr>
        <w:pStyle w:val="Definition"/>
      </w:pPr>
      <w:r w:rsidRPr="00097A86">
        <w:rPr>
          <w:b/>
          <w:i/>
        </w:rPr>
        <w:t>RCCS</w:t>
      </w:r>
      <w:r w:rsidRPr="00097A86">
        <w:rPr>
          <w:b/>
          <w:i/>
          <w:vertAlign w:val="subscript"/>
        </w:rPr>
        <w:t>CO</w:t>
      </w:r>
      <w:r w:rsidRPr="00097A86">
        <w:rPr>
          <w:b/>
          <w:i/>
          <w:position w:val="-4"/>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7B8912ED" w14:textId="77777777" w:rsidR="003F0D4E" w:rsidRPr="00097A86" w:rsidRDefault="003F0D4E" w:rsidP="00D22D3F">
      <w:pPr>
        <w:pStyle w:val="subsection"/>
      </w:pPr>
      <w:r w:rsidRPr="00097A86">
        <w:tab/>
        <w:t>(2)</w:t>
      </w:r>
      <w:r w:rsidRPr="00097A86">
        <w:tab/>
        <w:t>Method 2 requires liquid fuels to be sampled and analysed in accordance with the requirements in sections</w:t>
      </w:r>
      <w:r w:rsidR="00097A86">
        <w:t> </w:t>
      </w:r>
      <w:r w:rsidRPr="00097A86">
        <w:t>2.44, 2.45 and 2.46.</w:t>
      </w:r>
    </w:p>
    <w:p w14:paraId="54A81318" w14:textId="77777777" w:rsidR="003F0D4E" w:rsidRPr="00097A86" w:rsidRDefault="003F0D4E" w:rsidP="00D22D3F">
      <w:pPr>
        <w:pStyle w:val="ActHead5"/>
      </w:pPr>
      <w:bookmarkStart w:id="158" w:name="_Toc13233604"/>
      <w:r w:rsidRPr="00097A86">
        <w:rPr>
          <w:rStyle w:val="CharSectno"/>
        </w:rPr>
        <w:t>2.43</w:t>
      </w:r>
      <w:r w:rsidR="00D22D3F" w:rsidRPr="00097A86">
        <w:t xml:space="preserve">  </w:t>
      </w:r>
      <w:r w:rsidRPr="00097A86">
        <w:t>Calculation of emission factors from combustion of liquid fuel</w:t>
      </w:r>
      <w:bookmarkEnd w:id="158"/>
    </w:p>
    <w:p w14:paraId="4EF16971" w14:textId="77777777" w:rsidR="003F0D4E" w:rsidRPr="00097A86" w:rsidRDefault="003F0D4E" w:rsidP="00D22D3F">
      <w:pPr>
        <w:pStyle w:val="subsection"/>
      </w:pPr>
      <w:r w:rsidRPr="00097A86">
        <w:tab/>
        <w:t>(1)</w:t>
      </w:r>
      <w:r w:rsidRPr="00097A86">
        <w:tab/>
        <w:t>For section</w:t>
      </w:r>
      <w:r w:rsidR="00097A86">
        <w:t> </w:t>
      </w:r>
      <w:r w:rsidRPr="00097A86">
        <w:t xml:space="preserve">2.42, the emission </w:t>
      </w:r>
      <w:r w:rsidR="00221EF0" w:rsidRPr="00097A86">
        <w:t xml:space="preserve">factor </w:t>
      </w:r>
      <w:r w:rsidR="00221EF0" w:rsidRPr="00097A86">
        <w:rPr>
          <w:b/>
          <w:i/>
        </w:rPr>
        <w:t>EF</w:t>
      </w:r>
      <w:r w:rsidR="00221EF0" w:rsidRPr="00097A86">
        <w:rPr>
          <w:b/>
          <w:i/>
          <w:vertAlign w:val="subscript"/>
        </w:rPr>
        <w:t>i,CO2,ox,ec</w:t>
      </w:r>
      <w:r w:rsidR="00221EF0" w:rsidRPr="00097A86">
        <w:t xml:space="preserve"> </w:t>
      </w:r>
      <w:r w:rsidRPr="00097A86">
        <w:t>from the combustion of fuel type (</w:t>
      </w:r>
      <w:r w:rsidRPr="00097A86">
        <w:rPr>
          <w:b/>
          <w:i/>
        </w:rPr>
        <w:t>i</w:t>
      </w:r>
      <w:r w:rsidRPr="00097A86">
        <w:t xml:space="preserve">) must allow for oxidation effects and must first estimate </w:t>
      </w:r>
      <w:r w:rsidRPr="00097A86">
        <w:rPr>
          <w:b/>
          <w:i/>
        </w:rPr>
        <w:t>EF</w:t>
      </w:r>
      <w:r w:rsidRPr="00097A86">
        <w:rPr>
          <w:b/>
          <w:i/>
          <w:vertAlign w:val="subscript"/>
        </w:rPr>
        <w:t>i,co2,ox,kg</w:t>
      </w:r>
      <w:r w:rsidRPr="00097A86">
        <w:rPr>
          <w:i/>
        </w:rPr>
        <w:t xml:space="preserve"> </w:t>
      </w:r>
      <w:r w:rsidRPr="00097A86">
        <w:t>in accordance with the following formula:</w:t>
      </w:r>
    </w:p>
    <w:p w14:paraId="1E66F935"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0DB73D3" wp14:editId="4DF732C1">
            <wp:extent cx="2305050" cy="409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p w14:paraId="6F7321F8" w14:textId="77777777" w:rsidR="003F0D4E" w:rsidRPr="00097A86" w:rsidRDefault="003F0D4E" w:rsidP="00D22D3F">
      <w:pPr>
        <w:pStyle w:val="subsection2"/>
      </w:pPr>
      <w:r w:rsidRPr="00097A86">
        <w:t>where:</w:t>
      </w:r>
    </w:p>
    <w:p w14:paraId="2EEB1E62" w14:textId="77777777" w:rsidR="003F0D4E" w:rsidRPr="00097A86" w:rsidRDefault="003F0D4E" w:rsidP="00D22D3F">
      <w:pPr>
        <w:pStyle w:val="Definition"/>
      </w:pPr>
      <w:r w:rsidRPr="00097A86">
        <w:rPr>
          <w:b/>
          <w:i/>
        </w:rPr>
        <w:t>C</w:t>
      </w:r>
      <w:r w:rsidRPr="00097A86">
        <w:rPr>
          <w:b/>
          <w:i/>
          <w:vertAlign w:val="subscript"/>
        </w:rPr>
        <w:t>a</w:t>
      </w:r>
      <w:r w:rsidRPr="00097A86">
        <w:rPr>
          <w:b/>
          <w:i/>
        </w:rPr>
        <w:t xml:space="preserve"> </w:t>
      </w:r>
      <w:r w:rsidRPr="00097A86">
        <w:t xml:space="preserve">is the carbon in the fuel expressed as a percentage of the mass of the fuel as received, as sampled, or as </w:t>
      </w:r>
      <w:r w:rsidR="00220435" w:rsidRPr="00097A86">
        <w:t>combusted</w:t>
      </w:r>
      <w:r w:rsidRPr="00097A86">
        <w:t>, as the case may be.</w:t>
      </w:r>
    </w:p>
    <w:p w14:paraId="0CF94FAD" w14:textId="77777777" w:rsidR="003F0D4E" w:rsidRPr="00097A86" w:rsidRDefault="003F0D4E" w:rsidP="00D22D3F">
      <w:pPr>
        <w:pStyle w:val="Definition"/>
      </w:pPr>
      <w:r w:rsidRPr="00097A86">
        <w:rPr>
          <w:b/>
          <w:i/>
        </w:rPr>
        <w:lastRenderedPageBreak/>
        <w:t>OF</w:t>
      </w:r>
      <w:r w:rsidRPr="00097A86">
        <w:rPr>
          <w:b/>
          <w:i/>
          <w:vertAlign w:val="subscript"/>
        </w:rPr>
        <w:t>i</w:t>
      </w:r>
      <w:r w:rsidRPr="00097A86">
        <w:rPr>
          <w:b/>
          <w:i/>
        </w:rPr>
        <w:t xml:space="preserve"> </w:t>
      </w:r>
      <w:r w:rsidRPr="00097A86">
        <w:t xml:space="preserve">is the oxidation factor </w:t>
      </w:r>
      <w:r w:rsidR="00B41F69" w:rsidRPr="00097A86">
        <w:t>1.0</w:t>
      </w:r>
      <w:r w:rsidRPr="00097A86">
        <w:t xml:space="preserve"> applicable to liquid fuels.</w:t>
      </w:r>
    </w:p>
    <w:p w14:paraId="53724A8E" w14:textId="77777777" w:rsidR="003F0D4E" w:rsidRPr="00097A86" w:rsidRDefault="00D22D3F" w:rsidP="00D22D3F">
      <w:pPr>
        <w:pStyle w:val="notetext"/>
      </w:pPr>
      <w:r w:rsidRPr="00097A86">
        <w:t>Note:</w:t>
      </w:r>
      <w:r w:rsidRPr="00097A86">
        <w:tab/>
      </w:r>
      <w:r w:rsidR="003F0D4E" w:rsidRPr="00097A86">
        <w:t>3.664 converts tonnes of carbon to tonnes of carbon dioxide.</w:t>
      </w:r>
    </w:p>
    <w:p w14:paraId="62A317F4" w14:textId="77777777" w:rsidR="003F0D4E" w:rsidRPr="00097A86" w:rsidRDefault="003F0D4E" w:rsidP="00D22D3F">
      <w:pPr>
        <w:pStyle w:val="subsection"/>
      </w:pPr>
      <w:r w:rsidRPr="00097A86">
        <w:tab/>
        <w:t>(2)</w:t>
      </w:r>
      <w:r w:rsidRPr="00097A86">
        <w:tab/>
        <w:t xml:space="preserve">The emission factor derived from the calculation in </w:t>
      </w:r>
      <w:r w:rsidR="00097A86">
        <w:t>subsection (</w:t>
      </w:r>
      <w:r w:rsidRPr="00097A86">
        <w:t xml:space="preserve">1), must be expressed in kilograms of carbon dioxide per gigajoule calculated using the following formula: </w:t>
      </w:r>
    </w:p>
    <w:p w14:paraId="25DADAD6"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F62EC6F" wp14:editId="31151B64">
            <wp:extent cx="2295525" cy="457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p>
    <w:p w14:paraId="580A0C7F" w14:textId="77777777" w:rsidR="003F0D4E" w:rsidRPr="00097A86" w:rsidRDefault="003F0D4E" w:rsidP="00D22D3F">
      <w:pPr>
        <w:pStyle w:val="Definition"/>
      </w:pPr>
      <w:r w:rsidRPr="00097A86">
        <w:t>where:</w:t>
      </w:r>
    </w:p>
    <w:p w14:paraId="148E4C4A" w14:textId="77777777" w:rsidR="00323A8E" w:rsidRPr="00097A86" w:rsidRDefault="00323A8E"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of fuel type </w:t>
      </w:r>
      <w:r w:rsidRPr="00097A86">
        <w:rPr>
          <w:b/>
          <w:i/>
        </w:rPr>
        <w:t xml:space="preserve">(i) </w:t>
      </w:r>
      <w:r w:rsidRPr="00097A86">
        <w:t>estimated under subsection</w:t>
      </w:r>
      <w:r w:rsidR="00097A86">
        <w:t> </w:t>
      </w:r>
      <w:r w:rsidRPr="00097A86">
        <w:t>2.42</w:t>
      </w:r>
      <w:r w:rsidR="008A729A" w:rsidRPr="00097A86">
        <w:t>(</w:t>
      </w:r>
      <w:r w:rsidRPr="00097A86">
        <w:t>1).</w:t>
      </w:r>
    </w:p>
    <w:p w14:paraId="321178CB" w14:textId="77777777" w:rsidR="003F0D4E" w:rsidRPr="00097A86" w:rsidRDefault="003F0D4E" w:rsidP="00D22D3F">
      <w:pPr>
        <w:pStyle w:val="Definition"/>
      </w:pPr>
      <w:r w:rsidRPr="00097A86">
        <w:rPr>
          <w:b/>
          <w:i/>
        </w:rPr>
        <w:t>C</w:t>
      </w:r>
      <w:r w:rsidRPr="00097A86">
        <w:rPr>
          <w:b/>
          <w:i/>
          <w:vertAlign w:val="subscript"/>
        </w:rPr>
        <w:t xml:space="preserve">i </w:t>
      </w:r>
      <w:r w:rsidRPr="00097A86">
        <w:t xml:space="preserve">is the density of the fuel expressed in kilograms of fuel per thousand </w:t>
      </w:r>
      <w:r w:rsidR="00220435" w:rsidRPr="00097A86">
        <w:t>litres as obtained using a Standard set out in section</w:t>
      </w:r>
      <w:r w:rsidR="00097A86">
        <w:t> </w:t>
      </w:r>
      <w:r w:rsidR="00220435" w:rsidRPr="00097A86">
        <w:t>2.45.</w:t>
      </w:r>
    </w:p>
    <w:p w14:paraId="6353C947" w14:textId="77777777" w:rsidR="003F0D4E" w:rsidRPr="00097A86" w:rsidRDefault="003F0D4E" w:rsidP="00D22D3F">
      <w:pPr>
        <w:pStyle w:val="ActHead4"/>
      </w:pPr>
      <w:bookmarkStart w:id="159" w:name="_Toc13233605"/>
      <w:r w:rsidRPr="00097A86">
        <w:rPr>
          <w:rStyle w:val="CharSubdNo"/>
        </w:rPr>
        <w:t>Subdivision</w:t>
      </w:r>
      <w:r w:rsidR="00097A86">
        <w:rPr>
          <w:rStyle w:val="CharSubdNo"/>
        </w:rPr>
        <w:t> </w:t>
      </w:r>
      <w:r w:rsidRPr="00097A86">
        <w:rPr>
          <w:rStyle w:val="CharSubdNo"/>
        </w:rPr>
        <w:t>2.4.3.2</w:t>
      </w:r>
      <w:r w:rsidR="00D22D3F" w:rsidRPr="00097A86">
        <w:t>—</w:t>
      </w:r>
      <w:r w:rsidRPr="00097A86">
        <w:rPr>
          <w:rStyle w:val="CharSubdText"/>
        </w:rPr>
        <w:t>Sampling and analysis</w:t>
      </w:r>
      <w:bookmarkEnd w:id="159"/>
    </w:p>
    <w:p w14:paraId="205D9837" w14:textId="77777777" w:rsidR="003F0D4E" w:rsidRPr="00097A86" w:rsidRDefault="003F0D4E" w:rsidP="00D22D3F">
      <w:pPr>
        <w:pStyle w:val="ActHead5"/>
      </w:pPr>
      <w:bookmarkStart w:id="160" w:name="_Toc13233606"/>
      <w:r w:rsidRPr="00097A86">
        <w:rPr>
          <w:rStyle w:val="CharSectno"/>
        </w:rPr>
        <w:t>2.44</w:t>
      </w:r>
      <w:r w:rsidR="00D22D3F" w:rsidRPr="00097A86">
        <w:t xml:space="preserve">  </w:t>
      </w:r>
      <w:r w:rsidRPr="00097A86">
        <w:t>General requirements for sampling under method 2</w:t>
      </w:r>
      <w:bookmarkEnd w:id="160"/>
    </w:p>
    <w:p w14:paraId="41A52D47" w14:textId="77777777" w:rsidR="003F0D4E" w:rsidRPr="00097A86" w:rsidRDefault="003F0D4E" w:rsidP="00D22D3F">
      <w:pPr>
        <w:pStyle w:val="subsection"/>
      </w:pPr>
      <w:r w:rsidRPr="00097A86">
        <w:tab/>
        <w:t>(1)</w:t>
      </w:r>
      <w:r w:rsidRPr="00097A86">
        <w:tab/>
        <w:t>A sample of the liquid fuel must be derived from a composite of amounts of the liquid fuel.</w:t>
      </w:r>
    </w:p>
    <w:p w14:paraId="78C6D894"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7F6F9328"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766D6D39" w14:textId="77777777" w:rsidR="003F0D4E" w:rsidRPr="00097A86" w:rsidRDefault="003F0D4E" w:rsidP="00D22D3F">
      <w:pPr>
        <w:pStyle w:val="subsection"/>
      </w:pPr>
      <w:r w:rsidRPr="00097A86">
        <w:tab/>
        <w:t>(4)</w:t>
      </w:r>
      <w:r w:rsidRPr="00097A86">
        <w:tab/>
        <w:t>Bias must be tested in accordance with an appropriate standard (if any).</w:t>
      </w:r>
    </w:p>
    <w:p w14:paraId="5F04221C" w14:textId="77777777" w:rsidR="003F0D4E" w:rsidRPr="00097A86" w:rsidRDefault="003F0D4E" w:rsidP="00D22D3F">
      <w:pPr>
        <w:pStyle w:val="subsection"/>
      </w:pPr>
      <w:r w:rsidRPr="00097A86">
        <w:tab/>
        <w:t>(5)</w:t>
      </w:r>
      <w:r w:rsidRPr="00097A86">
        <w:tab/>
        <w:t>The value obtained from the samples must only be used for the delivery period or consignment of the liquid fuel for which it was intended to be representative.</w:t>
      </w:r>
    </w:p>
    <w:p w14:paraId="3C9D767F" w14:textId="77777777" w:rsidR="003F0D4E" w:rsidRPr="00097A86" w:rsidRDefault="003F0D4E" w:rsidP="00D22D3F">
      <w:pPr>
        <w:pStyle w:val="ActHead5"/>
      </w:pPr>
      <w:bookmarkStart w:id="161" w:name="_Toc13233607"/>
      <w:r w:rsidRPr="00097A86">
        <w:rPr>
          <w:rStyle w:val="CharSectno"/>
        </w:rPr>
        <w:t>2.45</w:t>
      </w:r>
      <w:r w:rsidR="00D22D3F" w:rsidRPr="00097A86">
        <w:t xml:space="preserve">  </w:t>
      </w:r>
      <w:r w:rsidRPr="00097A86">
        <w:t>Standards for analysing samples of liquid fuels</w:t>
      </w:r>
      <w:bookmarkEnd w:id="161"/>
    </w:p>
    <w:p w14:paraId="7FD7B64E" w14:textId="77777777" w:rsidR="003F0D4E" w:rsidRPr="00097A86" w:rsidRDefault="003F0D4E" w:rsidP="00D22D3F">
      <w:pPr>
        <w:pStyle w:val="subsection"/>
      </w:pPr>
      <w:r w:rsidRPr="00097A86">
        <w:tab/>
        <w:t>(1)</w:t>
      </w:r>
      <w:r w:rsidRPr="00097A86">
        <w:tab/>
        <w:t>Samples of liquid fuel of a type mentioned in column 2 of an item in the following table must be analysed in accordance with a standard (if any) mentioned in:</w:t>
      </w:r>
    </w:p>
    <w:p w14:paraId="1179DC2E" w14:textId="77777777" w:rsidR="003F0D4E" w:rsidRPr="00097A86" w:rsidRDefault="003F0D4E" w:rsidP="00D22D3F">
      <w:pPr>
        <w:pStyle w:val="paragraph"/>
      </w:pPr>
      <w:r w:rsidRPr="00097A86">
        <w:tab/>
        <w:t>(a)</w:t>
      </w:r>
      <w:r w:rsidRPr="00097A86">
        <w:tab/>
        <w:t>for energy content analysis</w:t>
      </w:r>
      <w:r w:rsidR="00D22D3F" w:rsidRPr="00097A86">
        <w:t>—</w:t>
      </w:r>
      <w:r w:rsidRPr="00097A86">
        <w:t>column 3 for that item; and</w:t>
      </w:r>
    </w:p>
    <w:p w14:paraId="0B007E59" w14:textId="77777777" w:rsidR="003F0D4E" w:rsidRPr="00097A86" w:rsidRDefault="003F0D4E" w:rsidP="00D22D3F">
      <w:pPr>
        <w:pStyle w:val="paragraph"/>
      </w:pPr>
      <w:r w:rsidRPr="00097A86">
        <w:tab/>
        <w:t>(b)</w:t>
      </w:r>
      <w:r w:rsidRPr="00097A86">
        <w:tab/>
        <w:t>for carbon analysis</w:t>
      </w:r>
      <w:r w:rsidR="00D22D3F" w:rsidRPr="00097A86">
        <w:t>—</w:t>
      </w:r>
      <w:r w:rsidRPr="00097A86">
        <w:t>column 4 for that item; and</w:t>
      </w:r>
    </w:p>
    <w:p w14:paraId="2CFBC133" w14:textId="77777777" w:rsidR="003F0D4E" w:rsidRPr="00097A86" w:rsidRDefault="003F0D4E" w:rsidP="00D22D3F">
      <w:pPr>
        <w:pStyle w:val="paragraph"/>
      </w:pPr>
      <w:r w:rsidRPr="00097A86">
        <w:tab/>
        <w:t>(c)</w:t>
      </w:r>
      <w:r w:rsidRPr="00097A86">
        <w:tab/>
        <w:t>density analysis</w:t>
      </w:r>
      <w:r w:rsidR="00D22D3F" w:rsidRPr="00097A86">
        <w:t>—</w:t>
      </w:r>
      <w:r w:rsidRPr="00097A86">
        <w:t>column 5 for that item.</w:t>
      </w:r>
    </w:p>
    <w:p w14:paraId="512F8317"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11"/>
        <w:gridCol w:w="2078"/>
        <w:gridCol w:w="1819"/>
        <w:gridCol w:w="1949"/>
        <w:gridCol w:w="1556"/>
      </w:tblGrid>
      <w:tr w:rsidR="003F0D4E" w:rsidRPr="00097A86" w14:paraId="21486262" w14:textId="77777777" w:rsidTr="00C20CC2">
        <w:trPr>
          <w:trHeight w:val="429"/>
          <w:tblHeader/>
        </w:trPr>
        <w:tc>
          <w:tcPr>
            <w:tcW w:w="548" w:type="pct"/>
            <w:tcBorders>
              <w:top w:val="single" w:sz="12" w:space="0" w:color="auto"/>
              <w:bottom w:val="single" w:sz="12" w:space="0" w:color="auto"/>
            </w:tcBorders>
            <w:shd w:val="clear" w:color="auto" w:fill="auto"/>
          </w:tcPr>
          <w:p w14:paraId="26C4E0B9" w14:textId="77777777" w:rsidR="003F0D4E" w:rsidRPr="00097A86" w:rsidRDefault="003F0D4E" w:rsidP="00B41F69">
            <w:pPr>
              <w:pStyle w:val="TableHeading"/>
              <w:keepLines/>
            </w:pPr>
            <w:r w:rsidRPr="00097A86">
              <w:lastRenderedPageBreak/>
              <w:t>Item</w:t>
            </w:r>
          </w:p>
        </w:tc>
        <w:tc>
          <w:tcPr>
            <w:tcW w:w="1250" w:type="pct"/>
            <w:tcBorders>
              <w:top w:val="single" w:sz="12" w:space="0" w:color="auto"/>
              <w:bottom w:val="single" w:sz="12" w:space="0" w:color="auto"/>
            </w:tcBorders>
            <w:shd w:val="clear" w:color="auto" w:fill="auto"/>
          </w:tcPr>
          <w:p w14:paraId="69EDEB1A" w14:textId="77777777" w:rsidR="003F0D4E" w:rsidRPr="00097A86" w:rsidRDefault="003F0D4E" w:rsidP="00B41F69">
            <w:pPr>
              <w:pStyle w:val="TableHeading"/>
              <w:keepLines/>
            </w:pPr>
            <w:r w:rsidRPr="00097A86">
              <w:t>Fuel</w:t>
            </w:r>
          </w:p>
        </w:tc>
        <w:tc>
          <w:tcPr>
            <w:tcW w:w="1094" w:type="pct"/>
            <w:tcBorders>
              <w:top w:val="single" w:sz="12" w:space="0" w:color="auto"/>
              <w:bottom w:val="single" w:sz="12" w:space="0" w:color="auto"/>
            </w:tcBorders>
            <w:shd w:val="clear" w:color="auto" w:fill="auto"/>
          </w:tcPr>
          <w:p w14:paraId="676132BD" w14:textId="77777777" w:rsidR="003F0D4E" w:rsidRPr="00097A86" w:rsidRDefault="003F0D4E" w:rsidP="00B41F69">
            <w:pPr>
              <w:pStyle w:val="TableHeading"/>
              <w:keepLines/>
            </w:pPr>
            <w:r w:rsidRPr="00097A86">
              <w:t xml:space="preserve">Energy Content </w:t>
            </w:r>
          </w:p>
        </w:tc>
        <w:tc>
          <w:tcPr>
            <w:tcW w:w="1172" w:type="pct"/>
            <w:tcBorders>
              <w:top w:val="single" w:sz="12" w:space="0" w:color="auto"/>
              <w:bottom w:val="single" w:sz="12" w:space="0" w:color="auto"/>
            </w:tcBorders>
            <w:shd w:val="clear" w:color="auto" w:fill="auto"/>
          </w:tcPr>
          <w:p w14:paraId="16E464E3" w14:textId="77777777" w:rsidR="003F0D4E" w:rsidRPr="00097A86" w:rsidRDefault="003F0D4E" w:rsidP="00B41F69">
            <w:pPr>
              <w:pStyle w:val="TableHeading"/>
              <w:keepLines/>
            </w:pPr>
            <w:r w:rsidRPr="00097A86">
              <w:t>Carbon</w:t>
            </w:r>
          </w:p>
        </w:tc>
        <w:tc>
          <w:tcPr>
            <w:tcW w:w="937" w:type="pct"/>
            <w:tcBorders>
              <w:top w:val="single" w:sz="12" w:space="0" w:color="auto"/>
              <w:bottom w:val="single" w:sz="12" w:space="0" w:color="auto"/>
            </w:tcBorders>
            <w:shd w:val="clear" w:color="auto" w:fill="auto"/>
          </w:tcPr>
          <w:p w14:paraId="52FF2557" w14:textId="77777777" w:rsidR="003F0D4E" w:rsidRPr="00097A86" w:rsidRDefault="003F0D4E" w:rsidP="00B41F69">
            <w:pPr>
              <w:pStyle w:val="TableHeading"/>
              <w:keepLines/>
            </w:pPr>
            <w:r w:rsidRPr="00097A86">
              <w:t>Density</w:t>
            </w:r>
          </w:p>
        </w:tc>
      </w:tr>
      <w:tr w:rsidR="003F0D4E" w:rsidRPr="00097A86" w14:paraId="5819D44F" w14:textId="77777777" w:rsidTr="00C20CC2">
        <w:trPr>
          <w:trHeight w:val="401"/>
        </w:trPr>
        <w:tc>
          <w:tcPr>
            <w:tcW w:w="548" w:type="pct"/>
            <w:tcBorders>
              <w:top w:val="single" w:sz="12" w:space="0" w:color="auto"/>
              <w:bottom w:val="single" w:sz="4" w:space="0" w:color="auto"/>
            </w:tcBorders>
            <w:shd w:val="clear" w:color="auto" w:fill="auto"/>
          </w:tcPr>
          <w:p w14:paraId="70F31307" w14:textId="77777777" w:rsidR="003F0D4E" w:rsidRPr="00097A86" w:rsidRDefault="003F0D4E" w:rsidP="00B41F69">
            <w:pPr>
              <w:pStyle w:val="Tabletext"/>
              <w:keepNext/>
              <w:keepLines/>
            </w:pPr>
            <w:r w:rsidRPr="00097A86">
              <w:t>1</w:t>
            </w:r>
          </w:p>
        </w:tc>
        <w:tc>
          <w:tcPr>
            <w:tcW w:w="1250" w:type="pct"/>
            <w:tcBorders>
              <w:top w:val="single" w:sz="12" w:space="0" w:color="auto"/>
              <w:bottom w:val="single" w:sz="4" w:space="0" w:color="auto"/>
            </w:tcBorders>
            <w:shd w:val="clear" w:color="auto" w:fill="auto"/>
          </w:tcPr>
          <w:p w14:paraId="382DF40C" w14:textId="77777777" w:rsidR="003F0D4E" w:rsidRPr="00097A86" w:rsidRDefault="003F0D4E" w:rsidP="00B41F69">
            <w:pPr>
              <w:pStyle w:val="Tabletext"/>
              <w:keepNext/>
              <w:keepLines/>
            </w:pPr>
            <w:r w:rsidRPr="00097A86">
              <w:t>Petroleum based oils (other than petroleum based oils used as fuel)</w:t>
            </w:r>
          </w:p>
        </w:tc>
        <w:tc>
          <w:tcPr>
            <w:tcW w:w="1094" w:type="pct"/>
            <w:tcBorders>
              <w:top w:val="single" w:sz="12" w:space="0" w:color="auto"/>
              <w:bottom w:val="single" w:sz="4" w:space="0" w:color="auto"/>
            </w:tcBorders>
            <w:shd w:val="clear" w:color="auto" w:fill="auto"/>
          </w:tcPr>
          <w:p w14:paraId="55F8379D" w14:textId="77777777" w:rsidR="003F0D4E" w:rsidRPr="00097A86" w:rsidRDefault="003F0D4E" w:rsidP="00B41F69">
            <w:pPr>
              <w:pStyle w:val="Tabletext"/>
              <w:keepNext/>
              <w:keepLines/>
            </w:pPr>
            <w:r w:rsidRPr="00097A86">
              <w:t>N/A</w:t>
            </w:r>
          </w:p>
        </w:tc>
        <w:tc>
          <w:tcPr>
            <w:tcW w:w="1172" w:type="pct"/>
            <w:tcBorders>
              <w:top w:val="single" w:sz="12" w:space="0" w:color="auto"/>
              <w:bottom w:val="single" w:sz="4" w:space="0" w:color="auto"/>
            </w:tcBorders>
            <w:shd w:val="clear" w:color="auto" w:fill="auto"/>
          </w:tcPr>
          <w:p w14:paraId="2E7A7846" w14:textId="77777777" w:rsidR="003F0D4E" w:rsidRPr="00097A86" w:rsidRDefault="003F0D4E" w:rsidP="00B41F69">
            <w:pPr>
              <w:pStyle w:val="Tabletext"/>
              <w:keepNext/>
              <w:keepLines/>
            </w:pPr>
            <w:r w:rsidRPr="00097A86">
              <w:t>ASTM D 5291</w:t>
            </w:r>
            <w:r w:rsidR="00097A86">
              <w:noBreakHyphen/>
            </w:r>
            <w:r w:rsidRPr="00097A86">
              <w:t>02 (2007)</w:t>
            </w:r>
          </w:p>
        </w:tc>
        <w:tc>
          <w:tcPr>
            <w:tcW w:w="937" w:type="pct"/>
            <w:tcBorders>
              <w:top w:val="single" w:sz="12" w:space="0" w:color="auto"/>
              <w:bottom w:val="single" w:sz="4" w:space="0" w:color="auto"/>
            </w:tcBorders>
            <w:shd w:val="clear" w:color="auto" w:fill="auto"/>
          </w:tcPr>
          <w:p w14:paraId="2B64E109" w14:textId="77777777" w:rsidR="003F0D4E" w:rsidRPr="00097A86" w:rsidRDefault="003F0D4E" w:rsidP="00B41F69">
            <w:pPr>
              <w:pStyle w:val="Tabletext"/>
              <w:keepNext/>
              <w:keepLines/>
            </w:pPr>
            <w:r w:rsidRPr="00097A86">
              <w:t>ASTM D 1298 – 99 (2005)</w:t>
            </w:r>
          </w:p>
        </w:tc>
      </w:tr>
      <w:tr w:rsidR="003F0D4E" w:rsidRPr="00097A86" w14:paraId="0F846216" w14:textId="77777777" w:rsidTr="00C20CC2">
        <w:trPr>
          <w:trHeight w:val="364"/>
        </w:trPr>
        <w:tc>
          <w:tcPr>
            <w:tcW w:w="548" w:type="pct"/>
            <w:tcBorders>
              <w:bottom w:val="single" w:sz="4" w:space="0" w:color="auto"/>
            </w:tcBorders>
            <w:shd w:val="clear" w:color="auto" w:fill="auto"/>
          </w:tcPr>
          <w:p w14:paraId="71F2C3D2" w14:textId="77777777" w:rsidR="003F0D4E" w:rsidRPr="00097A86" w:rsidRDefault="003F0D4E" w:rsidP="00D22D3F">
            <w:pPr>
              <w:pStyle w:val="Tabletext"/>
            </w:pPr>
            <w:bookmarkStart w:id="162" w:name="CU_3245183"/>
            <w:bookmarkEnd w:id="162"/>
            <w:r w:rsidRPr="00097A86">
              <w:t>2</w:t>
            </w:r>
          </w:p>
        </w:tc>
        <w:tc>
          <w:tcPr>
            <w:tcW w:w="1250" w:type="pct"/>
            <w:tcBorders>
              <w:bottom w:val="single" w:sz="4" w:space="0" w:color="auto"/>
            </w:tcBorders>
            <w:shd w:val="clear" w:color="auto" w:fill="auto"/>
          </w:tcPr>
          <w:p w14:paraId="094F496D" w14:textId="77777777" w:rsidR="003F0D4E" w:rsidRPr="00097A86" w:rsidRDefault="003F0D4E" w:rsidP="00D22D3F">
            <w:pPr>
              <w:pStyle w:val="Tabletext"/>
            </w:pPr>
            <w:r w:rsidRPr="00097A86">
              <w:t>Petroleum based greases</w:t>
            </w:r>
          </w:p>
        </w:tc>
        <w:tc>
          <w:tcPr>
            <w:tcW w:w="1094" w:type="pct"/>
            <w:tcBorders>
              <w:bottom w:val="single" w:sz="4" w:space="0" w:color="auto"/>
            </w:tcBorders>
            <w:shd w:val="clear" w:color="auto" w:fill="auto"/>
          </w:tcPr>
          <w:p w14:paraId="41C09112" w14:textId="77777777" w:rsidR="003F0D4E" w:rsidRPr="00097A86" w:rsidRDefault="003F0D4E" w:rsidP="00D22D3F">
            <w:pPr>
              <w:pStyle w:val="Tabletext"/>
            </w:pPr>
            <w:r w:rsidRPr="00097A86">
              <w:t>N/A</w:t>
            </w:r>
          </w:p>
        </w:tc>
        <w:tc>
          <w:tcPr>
            <w:tcW w:w="1172" w:type="pct"/>
            <w:tcBorders>
              <w:bottom w:val="single" w:sz="4" w:space="0" w:color="auto"/>
            </w:tcBorders>
            <w:shd w:val="clear" w:color="auto" w:fill="auto"/>
          </w:tcPr>
          <w:p w14:paraId="138A3B67" w14:textId="77777777" w:rsidR="003F0D4E" w:rsidRPr="00097A86" w:rsidRDefault="003F0D4E" w:rsidP="00D22D3F">
            <w:pPr>
              <w:pStyle w:val="Tabletext"/>
            </w:pPr>
            <w:r w:rsidRPr="00097A86">
              <w:t>ASTM D 5291</w:t>
            </w:r>
            <w:r w:rsidR="00097A86">
              <w:noBreakHyphen/>
            </w:r>
            <w:r w:rsidRPr="00097A86">
              <w:t>02 (2007)</w:t>
            </w:r>
          </w:p>
        </w:tc>
        <w:tc>
          <w:tcPr>
            <w:tcW w:w="937" w:type="pct"/>
            <w:tcBorders>
              <w:bottom w:val="single" w:sz="4" w:space="0" w:color="auto"/>
            </w:tcBorders>
            <w:shd w:val="clear" w:color="auto" w:fill="auto"/>
          </w:tcPr>
          <w:p w14:paraId="3915AC6B" w14:textId="77777777" w:rsidR="003F0D4E" w:rsidRPr="00097A86" w:rsidRDefault="003F0D4E" w:rsidP="00D22D3F">
            <w:pPr>
              <w:pStyle w:val="Tabletext"/>
            </w:pPr>
            <w:r w:rsidRPr="00097A86">
              <w:t>ASTM D 1298 – 99 (2005)</w:t>
            </w:r>
          </w:p>
        </w:tc>
      </w:tr>
      <w:tr w:rsidR="003F0D4E" w:rsidRPr="00097A86" w14:paraId="2BCA61BF" w14:textId="77777777" w:rsidTr="00C20CC2">
        <w:trPr>
          <w:trHeight w:val="345"/>
        </w:trPr>
        <w:tc>
          <w:tcPr>
            <w:tcW w:w="548" w:type="pct"/>
            <w:tcBorders>
              <w:top w:val="single" w:sz="4" w:space="0" w:color="auto"/>
            </w:tcBorders>
            <w:shd w:val="clear" w:color="auto" w:fill="auto"/>
          </w:tcPr>
          <w:p w14:paraId="64B397F8" w14:textId="77777777" w:rsidR="003F0D4E" w:rsidRPr="00097A86" w:rsidRDefault="003F0D4E" w:rsidP="00D22D3F">
            <w:pPr>
              <w:pStyle w:val="Tabletext"/>
            </w:pPr>
            <w:r w:rsidRPr="00097A86">
              <w:t>3</w:t>
            </w:r>
          </w:p>
        </w:tc>
        <w:tc>
          <w:tcPr>
            <w:tcW w:w="1250" w:type="pct"/>
            <w:tcBorders>
              <w:top w:val="single" w:sz="4" w:space="0" w:color="auto"/>
            </w:tcBorders>
            <w:shd w:val="clear" w:color="auto" w:fill="auto"/>
          </w:tcPr>
          <w:p w14:paraId="58D9E4DA" w14:textId="77777777" w:rsidR="003F0D4E" w:rsidRPr="00097A86" w:rsidRDefault="003F0D4E" w:rsidP="00D22D3F">
            <w:pPr>
              <w:pStyle w:val="Tabletext"/>
            </w:pPr>
            <w:r w:rsidRPr="00097A86">
              <w:t>Crude oil including crude oil condensates</w:t>
            </w:r>
          </w:p>
        </w:tc>
        <w:tc>
          <w:tcPr>
            <w:tcW w:w="1094" w:type="pct"/>
            <w:tcBorders>
              <w:top w:val="single" w:sz="4" w:space="0" w:color="auto"/>
            </w:tcBorders>
            <w:shd w:val="clear" w:color="auto" w:fill="auto"/>
          </w:tcPr>
          <w:p w14:paraId="3A2D5E48" w14:textId="77777777" w:rsidR="003F0D4E" w:rsidRPr="00097A86" w:rsidRDefault="003F0D4E" w:rsidP="00D22D3F">
            <w:pPr>
              <w:pStyle w:val="Tabletext"/>
            </w:pPr>
            <w:r w:rsidRPr="00097A86">
              <w:t>ASTM D 240</w:t>
            </w:r>
            <w:r w:rsidR="00097A86">
              <w:noBreakHyphen/>
            </w:r>
            <w:r w:rsidRPr="00097A86">
              <w:t>02 (2007)</w:t>
            </w:r>
          </w:p>
          <w:p w14:paraId="7986B6E3" w14:textId="77777777" w:rsidR="003F0D4E" w:rsidRPr="00097A86" w:rsidRDefault="003F0D4E" w:rsidP="00D22D3F">
            <w:pPr>
              <w:pStyle w:val="Tabletext"/>
            </w:pPr>
            <w:r w:rsidRPr="00097A86">
              <w:t>ASTM D 4809</w:t>
            </w:r>
            <w:r w:rsidR="00097A86">
              <w:noBreakHyphen/>
            </w:r>
            <w:r w:rsidRPr="00097A86">
              <w:t>06</w:t>
            </w:r>
          </w:p>
        </w:tc>
        <w:tc>
          <w:tcPr>
            <w:tcW w:w="1172" w:type="pct"/>
            <w:tcBorders>
              <w:top w:val="single" w:sz="4" w:space="0" w:color="auto"/>
            </w:tcBorders>
            <w:shd w:val="clear" w:color="auto" w:fill="auto"/>
          </w:tcPr>
          <w:p w14:paraId="40230E49" w14:textId="77777777" w:rsidR="003F0D4E" w:rsidRPr="00097A86" w:rsidRDefault="003F0D4E" w:rsidP="00D22D3F">
            <w:pPr>
              <w:pStyle w:val="Tabletext"/>
            </w:pPr>
            <w:r w:rsidRPr="00097A86">
              <w:t>ASTM D 5291</w:t>
            </w:r>
            <w:r w:rsidR="00097A86">
              <w:noBreakHyphen/>
            </w:r>
            <w:r w:rsidRPr="00097A86">
              <w:t>02 (2007)</w:t>
            </w:r>
          </w:p>
        </w:tc>
        <w:tc>
          <w:tcPr>
            <w:tcW w:w="937" w:type="pct"/>
            <w:tcBorders>
              <w:top w:val="single" w:sz="4" w:space="0" w:color="auto"/>
            </w:tcBorders>
            <w:shd w:val="clear" w:color="auto" w:fill="auto"/>
          </w:tcPr>
          <w:p w14:paraId="1BE7EF0C" w14:textId="77777777" w:rsidR="003F0D4E" w:rsidRPr="00097A86" w:rsidRDefault="003F0D4E" w:rsidP="00D22D3F">
            <w:pPr>
              <w:pStyle w:val="Tabletext"/>
            </w:pPr>
            <w:r w:rsidRPr="00097A86">
              <w:t>ASTM D 1298 – 99 (2005)</w:t>
            </w:r>
            <w:r w:rsidR="002D379A" w:rsidRPr="00097A86">
              <w:rPr>
                <w:szCs w:val="22"/>
              </w:rPr>
              <w:t xml:space="preserve"> ASTM D 5002 – 99 (2005)</w:t>
            </w:r>
          </w:p>
        </w:tc>
      </w:tr>
      <w:tr w:rsidR="003F0D4E" w:rsidRPr="00097A86" w14:paraId="14325DE2" w14:textId="77777777" w:rsidTr="00C20CC2">
        <w:trPr>
          <w:trHeight w:val="340"/>
        </w:trPr>
        <w:tc>
          <w:tcPr>
            <w:tcW w:w="548" w:type="pct"/>
            <w:shd w:val="clear" w:color="auto" w:fill="auto"/>
          </w:tcPr>
          <w:p w14:paraId="0E14B3AE" w14:textId="77777777" w:rsidR="003F0D4E" w:rsidRPr="00097A86" w:rsidRDefault="003F0D4E" w:rsidP="00D22D3F">
            <w:pPr>
              <w:pStyle w:val="Tabletext"/>
            </w:pPr>
            <w:r w:rsidRPr="00097A86">
              <w:t>4</w:t>
            </w:r>
          </w:p>
        </w:tc>
        <w:tc>
          <w:tcPr>
            <w:tcW w:w="1250" w:type="pct"/>
            <w:shd w:val="clear" w:color="auto" w:fill="auto"/>
          </w:tcPr>
          <w:p w14:paraId="4B3DE524" w14:textId="77777777" w:rsidR="003F0D4E" w:rsidRPr="00097A86" w:rsidRDefault="003F0D4E" w:rsidP="00D22D3F">
            <w:pPr>
              <w:pStyle w:val="Tabletext"/>
            </w:pPr>
            <w:r w:rsidRPr="00097A86">
              <w:t xml:space="preserve">Other natural gas liquids </w:t>
            </w:r>
          </w:p>
        </w:tc>
        <w:tc>
          <w:tcPr>
            <w:tcW w:w="1094" w:type="pct"/>
            <w:shd w:val="clear" w:color="auto" w:fill="auto"/>
          </w:tcPr>
          <w:p w14:paraId="208C6222" w14:textId="77777777" w:rsidR="003F0D4E" w:rsidRPr="00097A86" w:rsidRDefault="003F0D4E" w:rsidP="00D22D3F">
            <w:pPr>
              <w:pStyle w:val="Tabletext"/>
            </w:pPr>
            <w:r w:rsidRPr="00097A86">
              <w:t>N/A</w:t>
            </w:r>
          </w:p>
        </w:tc>
        <w:tc>
          <w:tcPr>
            <w:tcW w:w="1172" w:type="pct"/>
            <w:shd w:val="clear" w:color="auto" w:fill="auto"/>
          </w:tcPr>
          <w:p w14:paraId="449D73D7" w14:textId="77777777" w:rsidR="003F0D4E" w:rsidRPr="00097A86" w:rsidRDefault="003F0D4E" w:rsidP="00D22D3F">
            <w:pPr>
              <w:pStyle w:val="Tabletext"/>
            </w:pPr>
            <w:r w:rsidRPr="00097A86">
              <w:t>N/A</w:t>
            </w:r>
          </w:p>
        </w:tc>
        <w:tc>
          <w:tcPr>
            <w:tcW w:w="937" w:type="pct"/>
            <w:shd w:val="clear" w:color="auto" w:fill="auto"/>
          </w:tcPr>
          <w:p w14:paraId="6771CF80" w14:textId="77777777" w:rsidR="003F0D4E" w:rsidRPr="00097A86" w:rsidRDefault="003F0D4E" w:rsidP="00D22D3F">
            <w:pPr>
              <w:pStyle w:val="Tabletext"/>
            </w:pPr>
            <w:r w:rsidRPr="00097A86">
              <w:t>ASTM D 1298 – 99 (2005)</w:t>
            </w:r>
          </w:p>
        </w:tc>
      </w:tr>
      <w:tr w:rsidR="003F0D4E" w:rsidRPr="00097A86" w14:paraId="555B0455" w14:textId="77777777" w:rsidTr="00C20CC2">
        <w:trPr>
          <w:trHeight w:val="351"/>
        </w:trPr>
        <w:tc>
          <w:tcPr>
            <w:tcW w:w="548" w:type="pct"/>
            <w:shd w:val="clear" w:color="auto" w:fill="auto"/>
          </w:tcPr>
          <w:p w14:paraId="6B486EA8" w14:textId="77777777" w:rsidR="003F0D4E" w:rsidRPr="00097A86" w:rsidRDefault="003F0D4E" w:rsidP="00D22D3F">
            <w:pPr>
              <w:pStyle w:val="Tabletext"/>
            </w:pPr>
            <w:r w:rsidRPr="00097A86">
              <w:t>5</w:t>
            </w:r>
          </w:p>
        </w:tc>
        <w:tc>
          <w:tcPr>
            <w:tcW w:w="1250" w:type="pct"/>
            <w:shd w:val="clear" w:color="auto" w:fill="auto"/>
          </w:tcPr>
          <w:p w14:paraId="54CA0EC7" w14:textId="77777777" w:rsidR="003F0D4E" w:rsidRPr="00097A86" w:rsidRDefault="003F0D4E" w:rsidP="00D22D3F">
            <w:pPr>
              <w:pStyle w:val="Tabletext"/>
            </w:pPr>
            <w:r w:rsidRPr="00097A86">
              <w:t>Gasoline (other than for use as fuel in an aircraft)</w:t>
            </w:r>
          </w:p>
        </w:tc>
        <w:tc>
          <w:tcPr>
            <w:tcW w:w="1094" w:type="pct"/>
            <w:shd w:val="clear" w:color="auto" w:fill="auto"/>
          </w:tcPr>
          <w:p w14:paraId="66A5C9EC" w14:textId="77777777" w:rsidR="003F0D4E" w:rsidRPr="00097A86" w:rsidRDefault="003F0D4E" w:rsidP="00D22D3F">
            <w:pPr>
              <w:pStyle w:val="Tabletext"/>
            </w:pPr>
            <w:r w:rsidRPr="00097A86">
              <w:t>ASTM D 240</w:t>
            </w:r>
            <w:r w:rsidR="00097A86">
              <w:noBreakHyphen/>
            </w:r>
            <w:r w:rsidRPr="00097A86">
              <w:t>02 (2007)</w:t>
            </w:r>
          </w:p>
          <w:p w14:paraId="01405694"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1C461833" w14:textId="77777777" w:rsidR="003F0D4E" w:rsidRPr="00097A86" w:rsidRDefault="003F0D4E" w:rsidP="00D22D3F">
            <w:pPr>
              <w:pStyle w:val="Tabletext"/>
            </w:pPr>
            <w:r w:rsidRPr="00097A86">
              <w:t>N/A</w:t>
            </w:r>
          </w:p>
        </w:tc>
        <w:tc>
          <w:tcPr>
            <w:tcW w:w="937" w:type="pct"/>
            <w:shd w:val="clear" w:color="auto" w:fill="auto"/>
          </w:tcPr>
          <w:p w14:paraId="481B2B5A" w14:textId="77777777" w:rsidR="003F0D4E" w:rsidRPr="00097A86" w:rsidRDefault="003F0D4E" w:rsidP="00D22D3F">
            <w:pPr>
              <w:pStyle w:val="Tabletext"/>
            </w:pPr>
            <w:r w:rsidRPr="00097A86">
              <w:t>ASTM D 1298 – 99 (2005)</w:t>
            </w:r>
          </w:p>
        </w:tc>
      </w:tr>
      <w:tr w:rsidR="003F0D4E" w:rsidRPr="00097A86" w14:paraId="07CDE10A" w14:textId="77777777" w:rsidTr="00C20CC2">
        <w:trPr>
          <w:trHeight w:val="361"/>
        </w:trPr>
        <w:tc>
          <w:tcPr>
            <w:tcW w:w="548" w:type="pct"/>
            <w:shd w:val="clear" w:color="auto" w:fill="auto"/>
          </w:tcPr>
          <w:p w14:paraId="1FC210F0" w14:textId="77777777" w:rsidR="003F0D4E" w:rsidRPr="00097A86" w:rsidRDefault="003F0D4E" w:rsidP="00D22D3F">
            <w:pPr>
              <w:pStyle w:val="Tabletext"/>
            </w:pPr>
            <w:r w:rsidRPr="00097A86">
              <w:t>6</w:t>
            </w:r>
          </w:p>
        </w:tc>
        <w:tc>
          <w:tcPr>
            <w:tcW w:w="1250" w:type="pct"/>
            <w:shd w:val="clear" w:color="auto" w:fill="auto"/>
          </w:tcPr>
          <w:p w14:paraId="73109BC7" w14:textId="77777777" w:rsidR="003F0D4E" w:rsidRPr="00097A86" w:rsidRDefault="003F0D4E" w:rsidP="00D22D3F">
            <w:pPr>
              <w:pStyle w:val="Tabletext"/>
            </w:pPr>
            <w:r w:rsidRPr="00097A86">
              <w:t>Gasoline for use as fuel in an aircraft</w:t>
            </w:r>
          </w:p>
        </w:tc>
        <w:tc>
          <w:tcPr>
            <w:tcW w:w="1094" w:type="pct"/>
            <w:shd w:val="clear" w:color="auto" w:fill="auto"/>
          </w:tcPr>
          <w:p w14:paraId="5F352444" w14:textId="77777777" w:rsidR="003F0D4E" w:rsidRPr="00097A86" w:rsidRDefault="003F0D4E" w:rsidP="00D22D3F">
            <w:pPr>
              <w:pStyle w:val="Tabletext"/>
            </w:pPr>
            <w:r w:rsidRPr="00097A86">
              <w:t>ASTM D 240</w:t>
            </w:r>
            <w:r w:rsidR="00097A86">
              <w:noBreakHyphen/>
            </w:r>
            <w:r w:rsidRPr="00097A86">
              <w:t>02 (2007)</w:t>
            </w:r>
          </w:p>
          <w:p w14:paraId="14BD3207"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3934EA8B" w14:textId="77777777" w:rsidR="003F0D4E" w:rsidRPr="00097A86" w:rsidRDefault="003F0D4E" w:rsidP="00D22D3F">
            <w:pPr>
              <w:pStyle w:val="Tabletext"/>
            </w:pPr>
            <w:r w:rsidRPr="00097A86">
              <w:t>N/A</w:t>
            </w:r>
          </w:p>
        </w:tc>
        <w:tc>
          <w:tcPr>
            <w:tcW w:w="937" w:type="pct"/>
            <w:shd w:val="clear" w:color="auto" w:fill="auto"/>
          </w:tcPr>
          <w:p w14:paraId="3E16B295" w14:textId="77777777" w:rsidR="003F0D4E" w:rsidRPr="00097A86" w:rsidRDefault="003F0D4E" w:rsidP="00D22D3F">
            <w:pPr>
              <w:pStyle w:val="Tabletext"/>
            </w:pPr>
            <w:r w:rsidRPr="00097A86">
              <w:t>ASTM D 1298 – 99 (2005)</w:t>
            </w:r>
          </w:p>
        </w:tc>
      </w:tr>
      <w:tr w:rsidR="003F0D4E" w:rsidRPr="00097A86" w14:paraId="0DE6316D" w14:textId="77777777" w:rsidTr="00C20CC2">
        <w:trPr>
          <w:trHeight w:val="401"/>
        </w:trPr>
        <w:tc>
          <w:tcPr>
            <w:tcW w:w="548" w:type="pct"/>
            <w:shd w:val="clear" w:color="auto" w:fill="auto"/>
          </w:tcPr>
          <w:p w14:paraId="003EE71F" w14:textId="77777777" w:rsidR="003F0D4E" w:rsidRPr="00097A86" w:rsidRDefault="003F0D4E" w:rsidP="00D22D3F">
            <w:pPr>
              <w:pStyle w:val="Tabletext"/>
            </w:pPr>
            <w:r w:rsidRPr="00097A86">
              <w:t>7</w:t>
            </w:r>
          </w:p>
        </w:tc>
        <w:tc>
          <w:tcPr>
            <w:tcW w:w="1250" w:type="pct"/>
            <w:shd w:val="clear" w:color="auto" w:fill="auto"/>
          </w:tcPr>
          <w:p w14:paraId="0835435E" w14:textId="77777777" w:rsidR="003F0D4E" w:rsidRPr="00097A86" w:rsidRDefault="003F0D4E" w:rsidP="00D22D3F">
            <w:pPr>
              <w:pStyle w:val="Tabletext"/>
            </w:pPr>
            <w:r w:rsidRPr="00097A86">
              <w:t>Kerosene (other than for use as fuel in an aircraft)</w:t>
            </w:r>
          </w:p>
        </w:tc>
        <w:tc>
          <w:tcPr>
            <w:tcW w:w="1094" w:type="pct"/>
            <w:shd w:val="clear" w:color="auto" w:fill="auto"/>
          </w:tcPr>
          <w:p w14:paraId="7E661BFA" w14:textId="77777777" w:rsidR="003F0D4E" w:rsidRPr="00097A86" w:rsidRDefault="003F0D4E" w:rsidP="00D22D3F">
            <w:pPr>
              <w:pStyle w:val="Tabletext"/>
            </w:pPr>
            <w:r w:rsidRPr="00097A86">
              <w:t>ASTM D 240</w:t>
            </w:r>
            <w:r w:rsidR="00097A86">
              <w:noBreakHyphen/>
            </w:r>
            <w:r w:rsidRPr="00097A86">
              <w:t>02 (2007)</w:t>
            </w:r>
          </w:p>
          <w:p w14:paraId="2E4C4231"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3E943096" w14:textId="77777777" w:rsidR="003F0D4E" w:rsidRPr="00097A86" w:rsidRDefault="003F0D4E" w:rsidP="00D22D3F">
            <w:pPr>
              <w:pStyle w:val="Tabletext"/>
            </w:pPr>
            <w:r w:rsidRPr="00097A86">
              <w:t>N/A</w:t>
            </w:r>
          </w:p>
        </w:tc>
        <w:tc>
          <w:tcPr>
            <w:tcW w:w="937" w:type="pct"/>
            <w:shd w:val="clear" w:color="auto" w:fill="auto"/>
          </w:tcPr>
          <w:p w14:paraId="5618BBB7" w14:textId="77777777" w:rsidR="003F0D4E" w:rsidRPr="00097A86" w:rsidRDefault="003F0D4E" w:rsidP="00D22D3F">
            <w:pPr>
              <w:pStyle w:val="Tabletext"/>
            </w:pPr>
            <w:r w:rsidRPr="00097A86">
              <w:t>ASTM D 1298 – 99 (2005)</w:t>
            </w:r>
            <w:r w:rsidR="002D379A" w:rsidRPr="00097A86">
              <w:t xml:space="preserve"> ASTM D 4052 – 96 (2002) e1</w:t>
            </w:r>
          </w:p>
        </w:tc>
      </w:tr>
      <w:tr w:rsidR="003F0D4E" w:rsidRPr="00097A86" w14:paraId="1417BB22" w14:textId="77777777" w:rsidTr="00C20CC2">
        <w:trPr>
          <w:trHeight w:val="451"/>
        </w:trPr>
        <w:tc>
          <w:tcPr>
            <w:tcW w:w="548" w:type="pct"/>
            <w:shd w:val="clear" w:color="auto" w:fill="auto"/>
          </w:tcPr>
          <w:p w14:paraId="5302E32F" w14:textId="77777777" w:rsidR="003F0D4E" w:rsidRPr="00097A86" w:rsidRDefault="003F0D4E" w:rsidP="00D22D3F">
            <w:pPr>
              <w:pStyle w:val="Tabletext"/>
            </w:pPr>
            <w:r w:rsidRPr="00097A86">
              <w:t>8</w:t>
            </w:r>
          </w:p>
        </w:tc>
        <w:tc>
          <w:tcPr>
            <w:tcW w:w="1250" w:type="pct"/>
            <w:shd w:val="clear" w:color="auto" w:fill="auto"/>
          </w:tcPr>
          <w:p w14:paraId="30D271F2" w14:textId="77777777" w:rsidR="003F0D4E" w:rsidRPr="00097A86" w:rsidRDefault="003F0D4E" w:rsidP="00D22D3F">
            <w:pPr>
              <w:pStyle w:val="Tabletext"/>
            </w:pPr>
            <w:r w:rsidRPr="00097A86">
              <w:t>Kerosene for use as fuel in an aircraft</w:t>
            </w:r>
          </w:p>
        </w:tc>
        <w:tc>
          <w:tcPr>
            <w:tcW w:w="1094" w:type="pct"/>
            <w:shd w:val="clear" w:color="auto" w:fill="auto"/>
          </w:tcPr>
          <w:p w14:paraId="146A0BA9" w14:textId="77777777" w:rsidR="003F0D4E" w:rsidRPr="00097A86" w:rsidRDefault="003F0D4E" w:rsidP="00D22D3F">
            <w:pPr>
              <w:pStyle w:val="Tabletext"/>
            </w:pPr>
            <w:r w:rsidRPr="00097A86">
              <w:t>ASTM D 240</w:t>
            </w:r>
            <w:r w:rsidR="00097A86">
              <w:noBreakHyphen/>
            </w:r>
            <w:r w:rsidRPr="00097A86">
              <w:t>02 (2007)</w:t>
            </w:r>
          </w:p>
          <w:p w14:paraId="434E1575"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2599F2C9" w14:textId="77777777" w:rsidR="003F0D4E" w:rsidRPr="00097A86" w:rsidRDefault="003F0D4E" w:rsidP="00D22D3F">
            <w:pPr>
              <w:pStyle w:val="Tabletext"/>
            </w:pPr>
            <w:r w:rsidRPr="00097A86">
              <w:t>N/A</w:t>
            </w:r>
          </w:p>
        </w:tc>
        <w:tc>
          <w:tcPr>
            <w:tcW w:w="937" w:type="pct"/>
            <w:shd w:val="clear" w:color="auto" w:fill="auto"/>
          </w:tcPr>
          <w:p w14:paraId="1E03D539" w14:textId="77777777" w:rsidR="003F0D4E" w:rsidRPr="00097A86" w:rsidRDefault="003F0D4E" w:rsidP="00D22D3F">
            <w:pPr>
              <w:pStyle w:val="Tabletext"/>
            </w:pPr>
            <w:r w:rsidRPr="00097A86">
              <w:rPr>
                <w:bCs/>
              </w:rPr>
              <w:t>ASTM D 1298 – 99 (2005)</w:t>
            </w:r>
            <w:r w:rsidR="00362243" w:rsidRPr="00097A86">
              <w:t xml:space="preserve"> ASTM D 4052 – 96 (2002) e1</w:t>
            </w:r>
          </w:p>
        </w:tc>
      </w:tr>
      <w:tr w:rsidR="003F0D4E" w:rsidRPr="00097A86" w14:paraId="53986051" w14:textId="77777777" w:rsidTr="00C20CC2">
        <w:trPr>
          <w:trHeight w:val="424"/>
        </w:trPr>
        <w:tc>
          <w:tcPr>
            <w:tcW w:w="548" w:type="pct"/>
            <w:shd w:val="clear" w:color="auto" w:fill="auto"/>
          </w:tcPr>
          <w:p w14:paraId="6D72CF81" w14:textId="77777777" w:rsidR="003F0D4E" w:rsidRPr="00097A86" w:rsidRDefault="003F0D4E" w:rsidP="00D22D3F">
            <w:pPr>
              <w:pStyle w:val="Tabletext"/>
            </w:pPr>
            <w:r w:rsidRPr="00097A86">
              <w:t>9</w:t>
            </w:r>
          </w:p>
        </w:tc>
        <w:tc>
          <w:tcPr>
            <w:tcW w:w="1250" w:type="pct"/>
            <w:shd w:val="clear" w:color="auto" w:fill="auto"/>
          </w:tcPr>
          <w:p w14:paraId="688F84FE" w14:textId="77777777" w:rsidR="003F0D4E" w:rsidRPr="00097A86" w:rsidRDefault="003F0D4E" w:rsidP="00D22D3F">
            <w:pPr>
              <w:pStyle w:val="Tabletext"/>
            </w:pPr>
            <w:r w:rsidRPr="00097A86">
              <w:t>Heating oil</w:t>
            </w:r>
          </w:p>
        </w:tc>
        <w:tc>
          <w:tcPr>
            <w:tcW w:w="1094" w:type="pct"/>
            <w:shd w:val="clear" w:color="auto" w:fill="auto"/>
          </w:tcPr>
          <w:p w14:paraId="64EDEB4C" w14:textId="77777777" w:rsidR="003F0D4E" w:rsidRPr="00097A86" w:rsidRDefault="003F0D4E" w:rsidP="00D22D3F">
            <w:pPr>
              <w:pStyle w:val="Tabletext"/>
            </w:pPr>
            <w:r w:rsidRPr="00097A86">
              <w:t>ASTM D 240</w:t>
            </w:r>
            <w:r w:rsidR="00097A86">
              <w:noBreakHyphen/>
            </w:r>
            <w:r w:rsidRPr="00097A86">
              <w:t>02 (2007)</w:t>
            </w:r>
          </w:p>
          <w:p w14:paraId="1668B973"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4A9F2766" w14:textId="77777777" w:rsidR="003F0D4E" w:rsidRPr="00097A86" w:rsidRDefault="003F0D4E" w:rsidP="00D22D3F">
            <w:pPr>
              <w:pStyle w:val="Tabletext"/>
            </w:pPr>
            <w:r w:rsidRPr="00097A86">
              <w:t>ASTM D 5291</w:t>
            </w:r>
            <w:r w:rsidR="00097A86">
              <w:noBreakHyphen/>
            </w:r>
            <w:r w:rsidRPr="00097A86">
              <w:t>02 (2007)</w:t>
            </w:r>
          </w:p>
        </w:tc>
        <w:tc>
          <w:tcPr>
            <w:tcW w:w="937" w:type="pct"/>
            <w:shd w:val="clear" w:color="auto" w:fill="auto"/>
          </w:tcPr>
          <w:p w14:paraId="56B75DDA" w14:textId="77777777" w:rsidR="003F0D4E" w:rsidRPr="00097A86" w:rsidRDefault="003F0D4E" w:rsidP="00D22D3F">
            <w:pPr>
              <w:pStyle w:val="Tabletext"/>
            </w:pPr>
            <w:r w:rsidRPr="00097A86">
              <w:t>ASTM D 1298 – 99 (2005)</w:t>
            </w:r>
          </w:p>
        </w:tc>
      </w:tr>
      <w:tr w:rsidR="003F0D4E" w:rsidRPr="00097A86" w14:paraId="35F42C75" w14:textId="77777777" w:rsidTr="00C20CC2">
        <w:trPr>
          <w:trHeight w:val="424"/>
        </w:trPr>
        <w:tc>
          <w:tcPr>
            <w:tcW w:w="548" w:type="pct"/>
            <w:shd w:val="clear" w:color="auto" w:fill="auto"/>
          </w:tcPr>
          <w:p w14:paraId="17B3E163" w14:textId="77777777" w:rsidR="003F0D4E" w:rsidRPr="00097A86" w:rsidRDefault="003F0D4E" w:rsidP="00D22D3F">
            <w:pPr>
              <w:pStyle w:val="Tabletext"/>
            </w:pPr>
            <w:r w:rsidRPr="00097A86">
              <w:t>10</w:t>
            </w:r>
          </w:p>
        </w:tc>
        <w:tc>
          <w:tcPr>
            <w:tcW w:w="1250" w:type="pct"/>
            <w:shd w:val="clear" w:color="auto" w:fill="auto"/>
          </w:tcPr>
          <w:p w14:paraId="6ADA6442" w14:textId="77777777" w:rsidR="003F0D4E" w:rsidRPr="00097A86" w:rsidRDefault="003F0D4E" w:rsidP="00D22D3F">
            <w:pPr>
              <w:pStyle w:val="Tabletext"/>
            </w:pPr>
            <w:r w:rsidRPr="00097A86">
              <w:t>Diesel oil</w:t>
            </w:r>
          </w:p>
        </w:tc>
        <w:tc>
          <w:tcPr>
            <w:tcW w:w="1094" w:type="pct"/>
            <w:shd w:val="clear" w:color="auto" w:fill="auto"/>
          </w:tcPr>
          <w:p w14:paraId="57453B40" w14:textId="77777777" w:rsidR="003F0D4E" w:rsidRPr="00097A86" w:rsidRDefault="003F0D4E" w:rsidP="00D22D3F">
            <w:pPr>
              <w:pStyle w:val="Tabletext"/>
            </w:pPr>
            <w:r w:rsidRPr="00097A86">
              <w:t>ASTM D 240</w:t>
            </w:r>
            <w:r w:rsidR="00097A86">
              <w:noBreakHyphen/>
            </w:r>
            <w:r w:rsidRPr="00097A86">
              <w:t>02 (2007)</w:t>
            </w:r>
          </w:p>
          <w:p w14:paraId="15FEE915"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6F409481" w14:textId="77777777" w:rsidR="003F0D4E" w:rsidRPr="00097A86" w:rsidRDefault="003F0D4E" w:rsidP="00D22D3F">
            <w:pPr>
              <w:pStyle w:val="Tabletext"/>
            </w:pPr>
            <w:r w:rsidRPr="00097A86">
              <w:t>ASTM D 5291</w:t>
            </w:r>
            <w:r w:rsidR="00097A86">
              <w:noBreakHyphen/>
            </w:r>
            <w:r w:rsidRPr="00097A86">
              <w:t>02 (2007)</w:t>
            </w:r>
          </w:p>
        </w:tc>
        <w:tc>
          <w:tcPr>
            <w:tcW w:w="937" w:type="pct"/>
            <w:shd w:val="clear" w:color="auto" w:fill="auto"/>
          </w:tcPr>
          <w:p w14:paraId="1B8E1CD1" w14:textId="77777777" w:rsidR="003F0D4E" w:rsidRPr="00097A86" w:rsidRDefault="003F0D4E" w:rsidP="00D22D3F">
            <w:pPr>
              <w:pStyle w:val="Tabletext"/>
            </w:pPr>
            <w:r w:rsidRPr="00097A86">
              <w:t>ASTM D 1298 – 99 (2005)</w:t>
            </w:r>
          </w:p>
        </w:tc>
      </w:tr>
      <w:tr w:rsidR="003F0D4E" w:rsidRPr="00097A86" w14:paraId="04999682" w14:textId="77777777" w:rsidTr="00C20CC2">
        <w:trPr>
          <w:trHeight w:val="424"/>
        </w:trPr>
        <w:tc>
          <w:tcPr>
            <w:tcW w:w="548" w:type="pct"/>
            <w:shd w:val="clear" w:color="auto" w:fill="auto"/>
          </w:tcPr>
          <w:p w14:paraId="735A569F" w14:textId="77777777" w:rsidR="003F0D4E" w:rsidRPr="00097A86" w:rsidRDefault="003F0D4E" w:rsidP="00D22D3F">
            <w:pPr>
              <w:pStyle w:val="Tabletext"/>
            </w:pPr>
            <w:r w:rsidRPr="00097A86">
              <w:t>11</w:t>
            </w:r>
          </w:p>
        </w:tc>
        <w:tc>
          <w:tcPr>
            <w:tcW w:w="1250" w:type="pct"/>
            <w:shd w:val="clear" w:color="auto" w:fill="auto"/>
          </w:tcPr>
          <w:p w14:paraId="6BBA14F5" w14:textId="77777777" w:rsidR="003F0D4E" w:rsidRPr="00097A86" w:rsidRDefault="003F0D4E" w:rsidP="00D22D3F">
            <w:pPr>
              <w:pStyle w:val="Tabletext"/>
            </w:pPr>
            <w:r w:rsidRPr="00097A86">
              <w:t>Fuel oil</w:t>
            </w:r>
          </w:p>
        </w:tc>
        <w:tc>
          <w:tcPr>
            <w:tcW w:w="1094" w:type="pct"/>
            <w:shd w:val="clear" w:color="auto" w:fill="auto"/>
          </w:tcPr>
          <w:p w14:paraId="5CC2FD4E" w14:textId="77777777" w:rsidR="003F0D4E" w:rsidRPr="00097A86" w:rsidRDefault="003F0D4E" w:rsidP="00D22D3F">
            <w:pPr>
              <w:pStyle w:val="Tabletext"/>
            </w:pPr>
            <w:r w:rsidRPr="00097A86">
              <w:t>ASTM D 240</w:t>
            </w:r>
            <w:r w:rsidR="00097A86">
              <w:noBreakHyphen/>
            </w:r>
            <w:r w:rsidRPr="00097A86">
              <w:t>02 (2007)</w:t>
            </w:r>
          </w:p>
          <w:p w14:paraId="3F7C6E61" w14:textId="77777777" w:rsidR="003F0D4E" w:rsidRPr="00097A86" w:rsidRDefault="003F0D4E" w:rsidP="00D22D3F">
            <w:pPr>
              <w:pStyle w:val="Tabletext"/>
            </w:pPr>
            <w:r w:rsidRPr="00097A86">
              <w:t>ASTM D 4809</w:t>
            </w:r>
            <w:r w:rsidR="00097A86">
              <w:noBreakHyphen/>
            </w:r>
            <w:r w:rsidRPr="00097A86">
              <w:t>06</w:t>
            </w:r>
          </w:p>
        </w:tc>
        <w:tc>
          <w:tcPr>
            <w:tcW w:w="1172" w:type="pct"/>
            <w:shd w:val="clear" w:color="auto" w:fill="auto"/>
          </w:tcPr>
          <w:p w14:paraId="23A35F4C" w14:textId="77777777" w:rsidR="003F0D4E" w:rsidRPr="00097A86" w:rsidRDefault="003F0D4E" w:rsidP="00D22D3F">
            <w:pPr>
              <w:pStyle w:val="Tabletext"/>
            </w:pPr>
            <w:r w:rsidRPr="00097A86">
              <w:t>ASTM D 5291</w:t>
            </w:r>
            <w:r w:rsidR="00097A86">
              <w:noBreakHyphen/>
            </w:r>
            <w:r w:rsidRPr="00097A86">
              <w:t>02 (2007)</w:t>
            </w:r>
          </w:p>
        </w:tc>
        <w:tc>
          <w:tcPr>
            <w:tcW w:w="937" w:type="pct"/>
            <w:shd w:val="clear" w:color="auto" w:fill="auto"/>
          </w:tcPr>
          <w:p w14:paraId="4D8BBB34" w14:textId="77777777" w:rsidR="003F0D4E" w:rsidRPr="00097A86" w:rsidRDefault="003F0D4E" w:rsidP="00D22D3F">
            <w:pPr>
              <w:pStyle w:val="Tabletext"/>
            </w:pPr>
            <w:r w:rsidRPr="00097A86">
              <w:t>ASTM D 1298 – 99 (2005)</w:t>
            </w:r>
          </w:p>
        </w:tc>
      </w:tr>
      <w:tr w:rsidR="003F0D4E" w:rsidRPr="00097A86" w14:paraId="75012B4B" w14:textId="77777777" w:rsidTr="00C20CC2">
        <w:trPr>
          <w:trHeight w:val="424"/>
        </w:trPr>
        <w:tc>
          <w:tcPr>
            <w:tcW w:w="548" w:type="pct"/>
            <w:shd w:val="clear" w:color="auto" w:fill="auto"/>
          </w:tcPr>
          <w:p w14:paraId="132F99D3" w14:textId="77777777" w:rsidR="003F0D4E" w:rsidRPr="00097A86" w:rsidRDefault="003F0D4E" w:rsidP="00D22D3F">
            <w:pPr>
              <w:pStyle w:val="Tabletext"/>
            </w:pPr>
            <w:r w:rsidRPr="00097A86">
              <w:t>12</w:t>
            </w:r>
          </w:p>
        </w:tc>
        <w:tc>
          <w:tcPr>
            <w:tcW w:w="1250" w:type="pct"/>
            <w:shd w:val="clear" w:color="auto" w:fill="auto"/>
          </w:tcPr>
          <w:p w14:paraId="242CE7A8" w14:textId="77777777" w:rsidR="003F0D4E" w:rsidRPr="00097A86" w:rsidRDefault="003F0D4E" w:rsidP="00D22D3F">
            <w:pPr>
              <w:pStyle w:val="Tabletext"/>
            </w:pPr>
            <w:r w:rsidRPr="00097A86">
              <w:t>Liquefied aromatic hydrocarbons</w:t>
            </w:r>
          </w:p>
        </w:tc>
        <w:tc>
          <w:tcPr>
            <w:tcW w:w="1094" w:type="pct"/>
            <w:shd w:val="clear" w:color="auto" w:fill="auto"/>
          </w:tcPr>
          <w:p w14:paraId="69BFCDC1" w14:textId="77777777" w:rsidR="003F0D4E" w:rsidRPr="00097A86" w:rsidRDefault="003F0D4E" w:rsidP="00D22D3F">
            <w:pPr>
              <w:pStyle w:val="Tabletext"/>
            </w:pPr>
            <w:r w:rsidRPr="00097A86">
              <w:t>N/A</w:t>
            </w:r>
          </w:p>
        </w:tc>
        <w:tc>
          <w:tcPr>
            <w:tcW w:w="1172" w:type="pct"/>
            <w:shd w:val="clear" w:color="auto" w:fill="auto"/>
          </w:tcPr>
          <w:p w14:paraId="7E454804" w14:textId="77777777" w:rsidR="003F0D4E" w:rsidRPr="00097A86" w:rsidRDefault="003F0D4E" w:rsidP="00D22D3F">
            <w:pPr>
              <w:pStyle w:val="Tabletext"/>
            </w:pPr>
            <w:r w:rsidRPr="00097A86">
              <w:t>N/A</w:t>
            </w:r>
          </w:p>
        </w:tc>
        <w:tc>
          <w:tcPr>
            <w:tcW w:w="937" w:type="pct"/>
            <w:shd w:val="clear" w:color="auto" w:fill="auto"/>
          </w:tcPr>
          <w:p w14:paraId="42E8B8AA" w14:textId="77777777" w:rsidR="003F0D4E" w:rsidRPr="00097A86" w:rsidRDefault="003F0D4E" w:rsidP="00D22D3F">
            <w:pPr>
              <w:pStyle w:val="Tabletext"/>
            </w:pPr>
            <w:r w:rsidRPr="00097A86">
              <w:t>ASTM D 1298 – 99 (2005)</w:t>
            </w:r>
          </w:p>
        </w:tc>
      </w:tr>
      <w:tr w:rsidR="003F0D4E" w:rsidRPr="00097A86" w14:paraId="3FC8484F" w14:textId="77777777" w:rsidTr="00C20CC2">
        <w:trPr>
          <w:cantSplit/>
          <w:trHeight w:val="439"/>
        </w:trPr>
        <w:tc>
          <w:tcPr>
            <w:tcW w:w="548" w:type="pct"/>
            <w:tcBorders>
              <w:bottom w:val="single" w:sz="4" w:space="0" w:color="auto"/>
            </w:tcBorders>
            <w:shd w:val="clear" w:color="auto" w:fill="auto"/>
          </w:tcPr>
          <w:p w14:paraId="48E6DEC5" w14:textId="77777777" w:rsidR="003F0D4E" w:rsidRPr="00097A86" w:rsidRDefault="003F0D4E" w:rsidP="00D22D3F">
            <w:pPr>
              <w:pStyle w:val="Tabletext"/>
            </w:pPr>
            <w:r w:rsidRPr="00097A86">
              <w:t>13</w:t>
            </w:r>
          </w:p>
        </w:tc>
        <w:tc>
          <w:tcPr>
            <w:tcW w:w="1250" w:type="pct"/>
            <w:tcBorders>
              <w:bottom w:val="single" w:sz="4" w:space="0" w:color="auto"/>
            </w:tcBorders>
            <w:shd w:val="clear" w:color="auto" w:fill="auto"/>
          </w:tcPr>
          <w:p w14:paraId="5BFD1597" w14:textId="77777777" w:rsidR="003F0D4E" w:rsidRPr="00097A86" w:rsidRDefault="003F0D4E" w:rsidP="00D22D3F">
            <w:pPr>
              <w:pStyle w:val="Tabletext"/>
            </w:pPr>
            <w:r w:rsidRPr="00097A86">
              <w:t>Solvents if mineral turpentine or white spirits</w:t>
            </w:r>
          </w:p>
        </w:tc>
        <w:tc>
          <w:tcPr>
            <w:tcW w:w="1094" w:type="pct"/>
            <w:tcBorders>
              <w:bottom w:val="single" w:sz="4" w:space="0" w:color="auto"/>
            </w:tcBorders>
            <w:shd w:val="clear" w:color="auto" w:fill="auto"/>
          </w:tcPr>
          <w:p w14:paraId="17321C86" w14:textId="77777777" w:rsidR="003F0D4E" w:rsidRPr="00097A86" w:rsidRDefault="003F0D4E" w:rsidP="00D22D3F">
            <w:pPr>
              <w:pStyle w:val="Tabletext"/>
            </w:pPr>
            <w:r w:rsidRPr="00097A86">
              <w:t>N/A</w:t>
            </w:r>
          </w:p>
        </w:tc>
        <w:tc>
          <w:tcPr>
            <w:tcW w:w="1172" w:type="pct"/>
            <w:tcBorders>
              <w:bottom w:val="single" w:sz="4" w:space="0" w:color="auto"/>
            </w:tcBorders>
            <w:shd w:val="clear" w:color="auto" w:fill="auto"/>
          </w:tcPr>
          <w:p w14:paraId="787CEBE9" w14:textId="77777777" w:rsidR="003F0D4E" w:rsidRPr="00097A86" w:rsidRDefault="003F0D4E" w:rsidP="00D22D3F">
            <w:pPr>
              <w:pStyle w:val="Tabletext"/>
            </w:pPr>
            <w:r w:rsidRPr="00097A86">
              <w:t>N/A</w:t>
            </w:r>
          </w:p>
        </w:tc>
        <w:tc>
          <w:tcPr>
            <w:tcW w:w="937" w:type="pct"/>
            <w:tcBorders>
              <w:bottom w:val="single" w:sz="4" w:space="0" w:color="auto"/>
            </w:tcBorders>
            <w:shd w:val="clear" w:color="auto" w:fill="auto"/>
          </w:tcPr>
          <w:p w14:paraId="6B73426D" w14:textId="77777777" w:rsidR="003F0D4E" w:rsidRPr="00097A86" w:rsidRDefault="003F0D4E" w:rsidP="00D22D3F">
            <w:pPr>
              <w:pStyle w:val="Tabletext"/>
            </w:pPr>
            <w:r w:rsidRPr="00097A86">
              <w:t>N/A</w:t>
            </w:r>
          </w:p>
        </w:tc>
      </w:tr>
      <w:tr w:rsidR="003F0D4E" w:rsidRPr="00097A86" w14:paraId="5C858CF2" w14:textId="77777777" w:rsidTr="00C20CC2">
        <w:trPr>
          <w:cantSplit/>
          <w:trHeight w:val="401"/>
        </w:trPr>
        <w:tc>
          <w:tcPr>
            <w:tcW w:w="548" w:type="pct"/>
            <w:tcBorders>
              <w:bottom w:val="single" w:sz="4" w:space="0" w:color="auto"/>
            </w:tcBorders>
            <w:shd w:val="clear" w:color="auto" w:fill="auto"/>
          </w:tcPr>
          <w:p w14:paraId="018ACA28" w14:textId="77777777" w:rsidR="003F0D4E" w:rsidRPr="00097A86" w:rsidRDefault="003F0D4E" w:rsidP="00D22D3F">
            <w:pPr>
              <w:pStyle w:val="Tabletext"/>
            </w:pPr>
            <w:bookmarkStart w:id="163" w:name="CU_15246402"/>
            <w:bookmarkEnd w:id="163"/>
            <w:r w:rsidRPr="00097A86">
              <w:t>14</w:t>
            </w:r>
          </w:p>
        </w:tc>
        <w:tc>
          <w:tcPr>
            <w:tcW w:w="1250" w:type="pct"/>
            <w:tcBorders>
              <w:bottom w:val="single" w:sz="4" w:space="0" w:color="auto"/>
            </w:tcBorders>
            <w:shd w:val="clear" w:color="auto" w:fill="auto"/>
          </w:tcPr>
          <w:p w14:paraId="447A10A3" w14:textId="77777777" w:rsidR="003F0D4E" w:rsidRPr="00097A86" w:rsidRDefault="003F0D4E" w:rsidP="00D22D3F">
            <w:pPr>
              <w:pStyle w:val="Tabletext"/>
            </w:pPr>
            <w:r w:rsidRPr="00097A86">
              <w:t>Liquefied Petroleum Gas</w:t>
            </w:r>
          </w:p>
        </w:tc>
        <w:tc>
          <w:tcPr>
            <w:tcW w:w="1094" w:type="pct"/>
            <w:tcBorders>
              <w:bottom w:val="single" w:sz="4" w:space="0" w:color="auto"/>
            </w:tcBorders>
            <w:shd w:val="clear" w:color="auto" w:fill="auto"/>
          </w:tcPr>
          <w:p w14:paraId="19DD0839" w14:textId="77777777" w:rsidR="003F0D4E" w:rsidRPr="00097A86" w:rsidRDefault="003F0D4E" w:rsidP="00D22D3F">
            <w:pPr>
              <w:pStyle w:val="Tabletext"/>
            </w:pPr>
            <w:r w:rsidRPr="00097A86">
              <w:t>N/A</w:t>
            </w:r>
          </w:p>
        </w:tc>
        <w:tc>
          <w:tcPr>
            <w:tcW w:w="1172" w:type="pct"/>
            <w:tcBorders>
              <w:bottom w:val="single" w:sz="4" w:space="0" w:color="auto"/>
            </w:tcBorders>
            <w:shd w:val="clear" w:color="auto" w:fill="auto"/>
          </w:tcPr>
          <w:p w14:paraId="4F912AD4" w14:textId="77777777" w:rsidR="003F0D4E" w:rsidRPr="00097A86" w:rsidRDefault="003F0D4E" w:rsidP="00D22D3F">
            <w:pPr>
              <w:pStyle w:val="Tabletext"/>
            </w:pPr>
            <w:r w:rsidRPr="00097A86">
              <w:t>ISO 7941:1988</w:t>
            </w:r>
          </w:p>
        </w:tc>
        <w:tc>
          <w:tcPr>
            <w:tcW w:w="937" w:type="pct"/>
            <w:tcBorders>
              <w:bottom w:val="single" w:sz="4" w:space="0" w:color="auto"/>
            </w:tcBorders>
            <w:shd w:val="clear" w:color="auto" w:fill="auto"/>
          </w:tcPr>
          <w:p w14:paraId="0F24E2BB" w14:textId="77777777" w:rsidR="003F0D4E" w:rsidRPr="00097A86" w:rsidRDefault="003F0D4E" w:rsidP="00D22D3F">
            <w:pPr>
              <w:pStyle w:val="Tabletext"/>
            </w:pPr>
            <w:r w:rsidRPr="00097A86">
              <w:t>ISO 6578:1991</w:t>
            </w:r>
          </w:p>
          <w:p w14:paraId="151AE000" w14:textId="77777777" w:rsidR="003F0D4E" w:rsidRPr="00097A86" w:rsidRDefault="003F0D4E" w:rsidP="00D22D3F">
            <w:pPr>
              <w:pStyle w:val="Tabletext"/>
            </w:pPr>
            <w:r w:rsidRPr="00097A86">
              <w:t>ISO 8973:1997</w:t>
            </w:r>
          </w:p>
          <w:p w14:paraId="43101F17" w14:textId="77777777" w:rsidR="00221EF0" w:rsidRPr="00097A86" w:rsidRDefault="00221EF0" w:rsidP="00D22D3F">
            <w:pPr>
              <w:pStyle w:val="Tabletext"/>
            </w:pPr>
            <w:r w:rsidRPr="00097A86">
              <w:t>ASTM D 1657 – 02</w:t>
            </w:r>
          </w:p>
        </w:tc>
      </w:tr>
      <w:tr w:rsidR="003F0D4E" w:rsidRPr="00097A86" w14:paraId="6651D325" w14:textId="77777777" w:rsidTr="00C20CC2">
        <w:trPr>
          <w:trHeight w:val="304"/>
        </w:trPr>
        <w:tc>
          <w:tcPr>
            <w:tcW w:w="548" w:type="pct"/>
            <w:tcBorders>
              <w:top w:val="single" w:sz="4" w:space="0" w:color="auto"/>
            </w:tcBorders>
            <w:shd w:val="clear" w:color="auto" w:fill="auto"/>
          </w:tcPr>
          <w:p w14:paraId="0A7D06B8" w14:textId="77777777" w:rsidR="003F0D4E" w:rsidRPr="00097A86" w:rsidRDefault="003F0D4E" w:rsidP="00D22D3F">
            <w:pPr>
              <w:pStyle w:val="Tabletext"/>
            </w:pPr>
            <w:r w:rsidRPr="00097A86">
              <w:lastRenderedPageBreak/>
              <w:t>15</w:t>
            </w:r>
          </w:p>
        </w:tc>
        <w:tc>
          <w:tcPr>
            <w:tcW w:w="1250" w:type="pct"/>
            <w:tcBorders>
              <w:top w:val="single" w:sz="4" w:space="0" w:color="auto"/>
            </w:tcBorders>
            <w:shd w:val="clear" w:color="auto" w:fill="auto"/>
          </w:tcPr>
          <w:p w14:paraId="79777C69" w14:textId="77777777" w:rsidR="003F0D4E" w:rsidRPr="00097A86" w:rsidRDefault="003F0D4E" w:rsidP="00D22D3F">
            <w:pPr>
              <w:pStyle w:val="Tabletext"/>
            </w:pPr>
            <w:r w:rsidRPr="00097A86">
              <w:t>Naphtha</w:t>
            </w:r>
          </w:p>
        </w:tc>
        <w:tc>
          <w:tcPr>
            <w:tcW w:w="1094" w:type="pct"/>
            <w:tcBorders>
              <w:top w:val="single" w:sz="4" w:space="0" w:color="auto"/>
            </w:tcBorders>
            <w:shd w:val="clear" w:color="auto" w:fill="auto"/>
          </w:tcPr>
          <w:p w14:paraId="77ECB17E" w14:textId="77777777" w:rsidR="003F0D4E" w:rsidRPr="00097A86" w:rsidRDefault="003F0D4E" w:rsidP="00D22D3F">
            <w:pPr>
              <w:pStyle w:val="Tabletext"/>
            </w:pPr>
            <w:r w:rsidRPr="00097A86">
              <w:t>N/A</w:t>
            </w:r>
          </w:p>
        </w:tc>
        <w:tc>
          <w:tcPr>
            <w:tcW w:w="1172" w:type="pct"/>
            <w:tcBorders>
              <w:top w:val="single" w:sz="4" w:space="0" w:color="auto"/>
            </w:tcBorders>
            <w:shd w:val="clear" w:color="auto" w:fill="auto"/>
          </w:tcPr>
          <w:p w14:paraId="4E621799" w14:textId="77777777" w:rsidR="003F0D4E" w:rsidRPr="00097A86" w:rsidRDefault="003F0D4E" w:rsidP="00D22D3F">
            <w:pPr>
              <w:pStyle w:val="Tabletext"/>
            </w:pPr>
            <w:r w:rsidRPr="00097A86">
              <w:t>N/A</w:t>
            </w:r>
          </w:p>
        </w:tc>
        <w:tc>
          <w:tcPr>
            <w:tcW w:w="937" w:type="pct"/>
            <w:tcBorders>
              <w:top w:val="single" w:sz="4" w:space="0" w:color="auto"/>
            </w:tcBorders>
            <w:shd w:val="clear" w:color="auto" w:fill="auto"/>
          </w:tcPr>
          <w:p w14:paraId="243026EB" w14:textId="77777777" w:rsidR="003F0D4E" w:rsidRPr="00097A86" w:rsidRDefault="003F0D4E" w:rsidP="00D22D3F">
            <w:pPr>
              <w:pStyle w:val="Tabletext"/>
            </w:pPr>
            <w:r w:rsidRPr="00097A86">
              <w:t>N/A</w:t>
            </w:r>
          </w:p>
        </w:tc>
      </w:tr>
      <w:tr w:rsidR="003F0D4E" w:rsidRPr="00097A86" w14:paraId="462EDBA7" w14:textId="77777777" w:rsidTr="00C20CC2">
        <w:trPr>
          <w:trHeight w:val="304"/>
        </w:trPr>
        <w:tc>
          <w:tcPr>
            <w:tcW w:w="548" w:type="pct"/>
            <w:shd w:val="clear" w:color="auto" w:fill="auto"/>
          </w:tcPr>
          <w:p w14:paraId="6C1E211C" w14:textId="77777777" w:rsidR="003F0D4E" w:rsidRPr="00097A86" w:rsidRDefault="003F0D4E" w:rsidP="00D22D3F">
            <w:pPr>
              <w:pStyle w:val="Tabletext"/>
            </w:pPr>
            <w:r w:rsidRPr="00097A86">
              <w:t>16</w:t>
            </w:r>
          </w:p>
        </w:tc>
        <w:tc>
          <w:tcPr>
            <w:tcW w:w="1250" w:type="pct"/>
            <w:shd w:val="clear" w:color="auto" w:fill="auto"/>
          </w:tcPr>
          <w:p w14:paraId="5AE913E0" w14:textId="77777777" w:rsidR="003F0D4E" w:rsidRPr="00097A86" w:rsidRDefault="003F0D4E" w:rsidP="00D22D3F">
            <w:pPr>
              <w:pStyle w:val="Tabletext"/>
            </w:pPr>
            <w:r w:rsidRPr="00097A86">
              <w:t>Petroleum coke</w:t>
            </w:r>
          </w:p>
        </w:tc>
        <w:tc>
          <w:tcPr>
            <w:tcW w:w="1094" w:type="pct"/>
            <w:shd w:val="clear" w:color="auto" w:fill="auto"/>
          </w:tcPr>
          <w:p w14:paraId="3AAC5703" w14:textId="77777777" w:rsidR="003F0D4E" w:rsidRPr="00097A86" w:rsidRDefault="003F0D4E" w:rsidP="00D22D3F">
            <w:pPr>
              <w:pStyle w:val="Tabletext"/>
            </w:pPr>
            <w:r w:rsidRPr="00097A86">
              <w:t>N/A</w:t>
            </w:r>
          </w:p>
        </w:tc>
        <w:tc>
          <w:tcPr>
            <w:tcW w:w="1172" w:type="pct"/>
            <w:shd w:val="clear" w:color="auto" w:fill="auto"/>
          </w:tcPr>
          <w:p w14:paraId="0092D161" w14:textId="77777777" w:rsidR="003F0D4E" w:rsidRPr="00097A86" w:rsidRDefault="003F0D4E" w:rsidP="00D22D3F">
            <w:pPr>
              <w:pStyle w:val="Tabletext"/>
            </w:pPr>
            <w:r w:rsidRPr="00097A86">
              <w:t>N/A</w:t>
            </w:r>
          </w:p>
        </w:tc>
        <w:tc>
          <w:tcPr>
            <w:tcW w:w="937" w:type="pct"/>
            <w:shd w:val="clear" w:color="auto" w:fill="auto"/>
          </w:tcPr>
          <w:p w14:paraId="1B772E10" w14:textId="77777777" w:rsidR="003F0D4E" w:rsidRPr="00097A86" w:rsidRDefault="003F0D4E" w:rsidP="00D22D3F">
            <w:pPr>
              <w:pStyle w:val="Tabletext"/>
            </w:pPr>
            <w:r w:rsidRPr="00097A86">
              <w:t>N/A</w:t>
            </w:r>
          </w:p>
        </w:tc>
      </w:tr>
      <w:tr w:rsidR="003F0D4E" w:rsidRPr="00097A86" w14:paraId="7944C9DA" w14:textId="77777777" w:rsidTr="00C20CC2">
        <w:trPr>
          <w:trHeight w:val="304"/>
        </w:trPr>
        <w:tc>
          <w:tcPr>
            <w:tcW w:w="548" w:type="pct"/>
            <w:shd w:val="clear" w:color="auto" w:fill="auto"/>
          </w:tcPr>
          <w:p w14:paraId="0EAD71B9" w14:textId="77777777" w:rsidR="003F0D4E" w:rsidRPr="00097A86" w:rsidRDefault="003F0D4E" w:rsidP="00D22D3F">
            <w:pPr>
              <w:pStyle w:val="Tabletext"/>
            </w:pPr>
            <w:r w:rsidRPr="00097A86">
              <w:t>17</w:t>
            </w:r>
          </w:p>
        </w:tc>
        <w:tc>
          <w:tcPr>
            <w:tcW w:w="1250" w:type="pct"/>
            <w:shd w:val="clear" w:color="auto" w:fill="auto"/>
          </w:tcPr>
          <w:p w14:paraId="2EF06C1F" w14:textId="77777777" w:rsidR="003F0D4E" w:rsidRPr="00097A86" w:rsidRDefault="003F0D4E" w:rsidP="00D22D3F">
            <w:pPr>
              <w:pStyle w:val="Tabletext"/>
            </w:pPr>
            <w:r w:rsidRPr="00097A86">
              <w:t>Refinery gas and liquids</w:t>
            </w:r>
          </w:p>
        </w:tc>
        <w:tc>
          <w:tcPr>
            <w:tcW w:w="1094" w:type="pct"/>
            <w:shd w:val="clear" w:color="auto" w:fill="auto"/>
          </w:tcPr>
          <w:p w14:paraId="5870B7A7" w14:textId="77777777" w:rsidR="003F0D4E" w:rsidRPr="00097A86" w:rsidRDefault="003F0D4E" w:rsidP="00D22D3F">
            <w:pPr>
              <w:pStyle w:val="Tabletext"/>
            </w:pPr>
            <w:r w:rsidRPr="00097A86">
              <w:t>N/A</w:t>
            </w:r>
          </w:p>
        </w:tc>
        <w:tc>
          <w:tcPr>
            <w:tcW w:w="1172" w:type="pct"/>
            <w:shd w:val="clear" w:color="auto" w:fill="auto"/>
          </w:tcPr>
          <w:p w14:paraId="77426C10" w14:textId="77777777" w:rsidR="003F0D4E" w:rsidRPr="00097A86" w:rsidRDefault="003F0D4E" w:rsidP="00D22D3F">
            <w:pPr>
              <w:pStyle w:val="Tabletext"/>
            </w:pPr>
            <w:r w:rsidRPr="00097A86">
              <w:t>N/A</w:t>
            </w:r>
          </w:p>
        </w:tc>
        <w:tc>
          <w:tcPr>
            <w:tcW w:w="937" w:type="pct"/>
            <w:shd w:val="clear" w:color="auto" w:fill="auto"/>
          </w:tcPr>
          <w:p w14:paraId="4A389F51" w14:textId="77777777" w:rsidR="003F0D4E" w:rsidRPr="00097A86" w:rsidRDefault="003F0D4E" w:rsidP="00D22D3F">
            <w:pPr>
              <w:pStyle w:val="Tabletext"/>
            </w:pPr>
            <w:r w:rsidRPr="00097A86">
              <w:t>N/A</w:t>
            </w:r>
          </w:p>
        </w:tc>
      </w:tr>
      <w:tr w:rsidR="003F0D4E" w:rsidRPr="00097A86" w14:paraId="0AB6D167" w14:textId="77777777" w:rsidTr="00C20CC2">
        <w:trPr>
          <w:trHeight w:val="304"/>
        </w:trPr>
        <w:tc>
          <w:tcPr>
            <w:tcW w:w="548" w:type="pct"/>
            <w:shd w:val="clear" w:color="auto" w:fill="auto"/>
          </w:tcPr>
          <w:p w14:paraId="5F00B1D2" w14:textId="77777777" w:rsidR="003F0D4E" w:rsidRPr="00097A86" w:rsidRDefault="003F0D4E" w:rsidP="00D22D3F">
            <w:pPr>
              <w:pStyle w:val="Tabletext"/>
            </w:pPr>
            <w:r w:rsidRPr="00097A86">
              <w:t>18</w:t>
            </w:r>
          </w:p>
        </w:tc>
        <w:tc>
          <w:tcPr>
            <w:tcW w:w="1250" w:type="pct"/>
            <w:shd w:val="clear" w:color="auto" w:fill="auto"/>
          </w:tcPr>
          <w:p w14:paraId="38B2A86C" w14:textId="77777777" w:rsidR="003F0D4E" w:rsidRPr="00097A86" w:rsidRDefault="003F0D4E" w:rsidP="00D22D3F">
            <w:pPr>
              <w:pStyle w:val="Tabletext"/>
            </w:pPr>
            <w:r w:rsidRPr="00097A86">
              <w:t>Refinery coke</w:t>
            </w:r>
          </w:p>
        </w:tc>
        <w:tc>
          <w:tcPr>
            <w:tcW w:w="1094" w:type="pct"/>
            <w:shd w:val="clear" w:color="auto" w:fill="auto"/>
          </w:tcPr>
          <w:p w14:paraId="38F3F6A0" w14:textId="77777777" w:rsidR="003F0D4E" w:rsidRPr="00097A86" w:rsidRDefault="003F0D4E" w:rsidP="00D22D3F">
            <w:pPr>
              <w:pStyle w:val="Tabletext"/>
            </w:pPr>
            <w:r w:rsidRPr="00097A86">
              <w:t>N/A</w:t>
            </w:r>
          </w:p>
        </w:tc>
        <w:tc>
          <w:tcPr>
            <w:tcW w:w="1172" w:type="pct"/>
            <w:shd w:val="clear" w:color="auto" w:fill="auto"/>
          </w:tcPr>
          <w:p w14:paraId="0249253B" w14:textId="77777777" w:rsidR="003F0D4E" w:rsidRPr="00097A86" w:rsidRDefault="003F0D4E" w:rsidP="00D22D3F">
            <w:pPr>
              <w:pStyle w:val="Tabletext"/>
            </w:pPr>
            <w:r w:rsidRPr="00097A86">
              <w:t>N/A</w:t>
            </w:r>
          </w:p>
        </w:tc>
        <w:tc>
          <w:tcPr>
            <w:tcW w:w="937" w:type="pct"/>
            <w:shd w:val="clear" w:color="auto" w:fill="auto"/>
          </w:tcPr>
          <w:p w14:paraId="4B25F863" w14:textId="77777777" w:rsidR="003F0D4E" w:rsidRPr="00097A86" w:rsidRDefault="003F0D4E" w:rsidP="00D22D3F">
            <w:pPr>
              <w:pStyle w:val="Tabletext"/>
            </w:pPr>
            <w:r w:rsidRPr="00097A86">
              <w:t>N/A</w:t>
            </w:r>
          </w:p>
        </w:tc>
      </w:tr>
      <w:tr w:rsidR="003F0D4E" w:rsidRPr="00097A86" w14:paraId="051259DE" w14:textId="77777777" w:rsidTr="00C20CC2">
        <w:trPr>
          <w:trHeight w:val="304"/>
        </w:trPr>
        <w:tc>
          <w:tcPr>
            <w:tcW w:w="548" w:type="pct"/>
            <w:shd w:val="clear" w:color="auto" w:fill="auto"/>
          </w:tcPr>
          <w:p w14:paraId="228C01F6" w14:textId="77777777" w:rsidR="003F0D4E" w:rsidRPr="00097A86" w:rsidRDefault="003F0D4E" w:rsidP="00D22D3F">
            <w:pPr>
              <w:pStyle w:val="Tabletext"/>
            </w:pPr>
            <w:r w:rsidRPr="00097A86">
              <w:t>19</w:t>
            </w:r>
          </w:p>
        </w:tc>
        <w:tc>
          <w:tcPr>
            <w:tcW w:w="1250" w:type="pct"/>
            <w:shd w:val="clear" w:color="auto" w:fill="auto"/>
          </w:tcPr>
          <w:p w14:paraId="7033EDEA" w14:textId="77777777" w:rsidR="003F0D4E" w:rsidRPr="00097A86" w:rsidRDefault="003F0D4E" w:rsidP="00D22D3F">
            <w:pPr>
              <w:pStyle w:val="Tabletext"/>
              <w:rPr>
                <w:snapToGrid w:val="0"/>
              </w:rPr>
            </w:pPr>
            <w:r w:rsidRPr="00097A86">
              <w:rPr>
                <w:snapToGrid w:val="0"/>
              </w:rPr>
              <w:t>Petroleum based products other than:</w:t>
            </w:r>
          </w:p>
          <w:p w14:paraId="133B2904" w14:textId="77777777" w:rsidR="003F0D4E" w:rsidRPr="00097A86" w:rsidRDefault="00D22D3F" w:rsidP="00D22D3F">
            <w:pPr>
              <w:pStyle w:val="Tablea"/>
              <w:rPr>
                <w:snapToGrid w:val="0"/>
              </w:rPr>
            </w:pPr>
            <w:r w:rsidRPr="00097A86">
              <w:rPr>
                <w:snapToGrid w:val="0"/>
              </w:rPr>
              <w:t>(</w:t>
            </w:r>
            <w:r w:rsidR="003F0D4E" w:rsidRPr="00097A86">
              <w:rPr>
                <w:snapToGrid w:val="0"/>
              </w:rPr>
              <w:t>a</w:t>
            </w:r>
            <w:r w:rsidRPr="00097A86">
              <w:rPr>
                <w:snapToGrid w:val="0"/>
              </w:rPr>
              <w:t xml:space="preserve">) </w:t>
            </w:r>
            <w:r w:rsidR="003F0D4E" w:rsidRPr="00097A86">
              <w:rPr>
                <w:snapToGrid w:val="0"/>
              </w:rPr>
              <w:t>petroleum based oils and petroleum based greases mentioned in items</w:t>
            </w:r>
            <w:r w:rsidR="00097A86">
              <w:rPr>
                <w:snapToGrid w:val="0"/>
              </w:rPr>
              <w:t> </w:t>
            </w:r>
            <w:r w:rsidR="003F0D4E" w:rsidRPr="00097A86">
              <w:rPr>
                <w:snapToGrid w:val="0"/>
              </w:rPr>
              <w:t>1and 2</w:t>
            </w:r>
          </w:p>
          <w:p w14:paraId="5FA12D6E" w14:textId="77777777" w:rsidR="003F0D4E" w:rsidRPr="00097A86" w:rsidRDefault="00D22D3F" w:rsidP="00D22D3F">
            <w:pPr>
              <w:pStyle w:val="Tablea"/>
            </w:pPr>
            <w:r w:rsidRPr="00097A86">
              <w:rPr>
                <w:snapToGrid w:val="0"/>
              </w:rPr>
              <w:t>(</w:t>
            </w:r>
            <w:r w:rsidR="003F0D4E" w:rsidRPr="00097A86">
              <w:rPr>
                <w:snapToGrid w:val="0"/>
              </w:rPr>
              <w:t>b</w:t>
            </w:r>
            <w:r w:rsidRPr="00097A86">
              <w:rPr>
                <w:snapToGrid w:val="0"/>
              </w:rPr>
              <w:t xml:space="preserve">) </w:t>
            </w:r>
            <w:r w:rsidR="003F0D4E" w:rsidRPr="00097A86">
              <w:rPr>
                <w:snapToGrid w:val="0"/>
              </w:rPr>
              <w:t>the petroleum based products mentioned in items</w:t>
            </w:r>
            <w:r w:rsidR="00097A86">
              <w:rPr>
                <w:snapToGrid w:val="0"/>
              </w:rPr>
              <w:t> </w:t>
            </w:r>
            <w:r w:rsidR="003F0D4E" w:rsidRPr="00097A86">
              <w:rPr>
                <w:snapToGrid w:val="0"/>
              </w:rPr>
              <w:t>3 to 18</w:t>
            </w:r>
          </w:p>
        </w:tc>
        <w:tc>
          <w:tcPr>
            <w:tcW w:w="1094" w:type="pct"/>
            <w:shd w:val="clear" w:color="auto" w:fill="auto"/>
          </w:tcPr>
          <w:p w14:paraId="4558D0E4" w14:textId="77777777" w:rsidR="003F0D4E" w:rsidRPr="00097A86" w:rsidRDefault="003F0D4E" w:rsidP="00D22D3F">
            <w:pPr>
              <w:pStyle w:val="Tabletext"/>
            </w:pPr>
            <w:r w:rsidRPr="00097A86">
              <w:t>N/A</w:t>
            </w:r>
          </w:p>
        </w:tc>
        <w:tc>
          <w:tcPr>
            <w:tcW w:w="1172" w:type="pct"/>
            <w:shd w:val="clear" w:color="auto" w:fill="auto"/>
          </w:tcPr>
          <w:p w14:paraId="7B52A54C" w14:textId="77777777" w:rsidR="003F0D4E" w:rsidRPr="00097A86" w:rsidRDefault="003F0D4E" w:rsidP="00D22D3F">
            <w:pPr>
              <w:pStyle w:val="Tabletext"/>
            </w:pPr>
            <w:r w:rsidRPr="00097A86">
              <w:t>N/A</w:t>
            </w:r>
          </w:p>
        </w:tc>
        <w:tc>
          <w:tcPr>
            <w:tcW w:w="937" w:type="pct"/>
            <w:shd w:val="clear" w:color="auto" w:fill="auto"/>
          </w:tcPr>
          <w:p w14:paraId="2C9C5916" w14:textId="77777777" w:rsidR="003F0D4E" w:rsidRPr="00097A86" w:rsidRDefault="003F0D4E" w:rsidP="00D22D3F">
            <w:pPr>
              <w:pStyle w:val="Tabletext"/>
            </w:pPr>
            <w:r w:rsidRPr="00097A86">
              <w:t>N/A</w:t>
            </w:r>
          </w:p>
        </w:tc>
      </w:tr>
      <w:tr w:rsidR="003F0D4E" w:rsidRPr="00097A86" w14:paraId="2F6FB2F5" w14:textId="77777777" w:rsidTr="00C20CC2">
        <w:trPr>
          <w:trHeight w:val="304"/>
        </w:trPr>
        <w:tc>
          <w:tcPr>
            <w:tcW w:w="548" w:type="pct"/>
            <w:shd w:val="clear" w:color="auto" w:fill="auto"/>
          </w:tcPr>
          <w:p w14:paraId="2C0E47F5" w14:textId="77777777" w:rsidR="003F0D4E" w:rsidRPr="00097A86" w:rsidRDefault="003F0D4E" w:rsidP="00D22D3F">
            <w:pPr>
              <w:pStyle w:val="Tabletext"/>
            </w:pPr>
            <w:r w:rsidRPr="00097A86">
              <w:t>20</w:t>
            </w:r>
          </w:p>
        </w:tc>
        <w:tc>
          <w:tcPr>
            <w:tcW w:w="1250" w:type="pct"/>
            <w:shd w:val="clear" w:color="auto" w:fill="auto"/>
          </w:tcPr>
          <w:p w14:paraId="3AEB3F39" w14:textId="77777777" w:rsidR="003F0D4E" w:rsidRPr="00097A86" w:rsidRDefault="003F0D4E" w:rsidP="00D22D3F">
            <w:pPr>
              <w:pStyle w:val="Tabletext"/>
            </w:pPr>
            <w:r w:rsidRPr="00097A86">
              <w:t xml:space="preserve">Biodiesel </w:t>
            </w:r>
          </w:p>
        </w:tc>
        <w:tc>
          <w:tcPr>
            <w:tcW w:w="1094" w:type="pct"/>
            <w:shd w:val="clear" w:color="auto" w:fill="auto"/>
          </w:tcPr>
          <w:p w14:paraId="6DE5308A" w14:textId="77777777" w:rsidR="003F0D4E" w:rsidRPr="00097A86" w:rsidRDefault="003F0D4E" w:rsidP="00D22D3F">
            <w:pPr>
              <w:pStyle w:val="Tabletext"/>
            </w:pPr>
            <w:r w:rsidRPr="00097A86">
              <w:t>N/A</w:t>
            </w:r>
          </w:p>
        </w:tc>
        <w:tc>
          <w:tcPr>
            <w:tcW w:w="1172" w:type="pct"/>
            <w:shd w:val="clear" w:color="auto" w:fill="auto"/>
          </w:tcPr>
          <w:p w14:paraId="0C841F3D" w14:textId="77777777" w:rsidR="003F0D4E" w:rsidRPr="00097A86" w:rsidRDefault="003F0D4E" w:rsidP="00D22D3F">
            <w:pPr>
              <w:pStyle w:val="Tabletext"/>
            </w:pPr>
            <w:r w:rsidRPr="00097A86">
              <w:t>N/A</w:t>
            </w:r>
          </w:p>
        </w:tc>
        <w:tc>
          <w:tcPr>
            <w:tcW w:w="937" w:type="pct"/>
            <w:shd w:val="clear" w:color="auto" w:fill="auto"/>
          </w:tcPr>
          <w:p w14:paraId="43AF1970" w14:textId="77777777" w:rsidR="003F0D4E" w:rsidRPr="00097A86" w:rsidRDefault="003F0D4E" w:rsidP="00D22D3F">
            <w:pPr>
              <w:pStyle w:val="Tabletext"/>
            </w:pPr>
            <w:r w:rsidRPr="00097A86">
              <w:t>N/A</w:t>
            </w:r>
          </w:p>
        </w:tc>
      </w:tr>
      <w:tr w:rsidR="003F0D4E" w:rsidRPr="00097A86" w14:paraId="2C0ADB02" w14:textId="77777777" w:rsidTr="00C20CC2">
        <w:trPr>
          <w:trHeight w:val="304"/>
        </w:trPr>
        <w:tc>
          <w:tcPr>
            <w:tcW w:w="548" w:type="pct"/>
            <w:tcBorders>
              <w:bottom w:val="single" w:sz="4" w:space="0" w:color="auto"/>
            </w:tcBorders>
            <w:shd w:val="clear" w:color="auto" w:fill="auto"/>
          </w:tcPr>
          <w:p w14:paraId="6B312F9A" w14:textId="77777777" w:rsidR="003F0D4E" w:rsidRPr="00097A86" w:rsidRDefault="003F0D4E" w:rsidP="00D22D3F">
            <w:pPr>
              <w:pStyle w:val="Tabletext"/>
            </w:pPr>
            <w:r w:rsidRPr="00097A86">
              <w:t>21</w:t>
            </w:r>
          </w:p>
        </w:tc>
        <w:tc>
          <w:tcPr>
            <w:tcW w:w="1250" w:type="pct"/>
            <w:tcBorders>
              <w:bottom w:val="single" w:sz="4" w:space="0" w:color="auto"/>
            </w:tcBorders>
            <w:shd w:val="clear" w:color="auto" w:fill="auto"/>
          </w:tcPr>
          <w:p w14:paraId="58FC158A" w14:textId="77777777" w:rsidR="003F0D4E" w:rsidRPr="00097A86" w:rsidRDefault="003F0D4E" w:rsidP="00D22D3F">
            <w:pPr>
              <w:pStyle w:val="Tabletext"/>
            </w:pPr>
            <w:r w:rsidRPr="00097A86">
              <w:t xml:space="preserve">Ethanol for use as a fuel in an internal combustion engine </w:t>
            </w:r>
          </w:p>
        </w:tc>
        <w:tc>
          <w:tcPr>
            <w:tcW w:w="1094" w:type="pct"/>
            <w:tcBorders>
              <w:bottom w:val="single" w:sz="4" w:space="0" w:color="auto"/>
            </w:tcBorders>
            <w:shd w:val="clear" w:color="auto" w:fill="auto"/>
          </w:tcPr>
          <w:p w14:paraId="59D32CDE" w14:textId="77777777" w:rsidR="003F0D4E" w:rsidRPr="00097A86" w:rsidRDefault="003F0D4E" w:rsidP="00D22D3F">
            <w:pPr>
              <w:pStyle w:val="Tabletext"/>
            </w:pPr>
            <w:r w:rsidRPr="00097A86">
              <w:t>N/A</w:t>
            </w:r>
          </w:p>
        </w:tc>
        <w:tc>
          <w:tcPr>
            <w:tcW w:w="1172" w:type="pct"/>
            <w:tcBorders>
              <w:bottom w:val="single" w:sz="4" w:space="0" w:color="auto"/>
            </w:tcBorders>
            <w:shd w:val="clear" w:color="auto" w:fill="auto"/>
          </w:tcPr>
          <w:p w14:paraId="156D2368" w14:textId="77777777" w:rsidR="003F0D4E" w:rsidRPr="00097A86" w:rsidRDefault="003F0D4E" w:rsidP="00D22D3F">
            <w:pPr>
              <w:pStyle w:val="Tabletext"/>
            </w:pPr>
            <w:r w:rsidRPr="00097A86">
              <w:t>N/A</w:t>
            </w:r>
          </w:p>
        </w:tc>
        <w:tc>
          <w:tcPr>
            <w:tcW w:w="937" w:type="pct"/>
            <w:tcBorders>
              <w:bottom w:val="single" w:sz="4" w:space="0" w:color="auto"/>
            </w:tcBorders>
            <w:shd w:val="clear" w:color="auto" w:fill="auto"/>
          </w:tcPr>
          <w:p w14:paraId="16F40FB2" w14:textId="77777777" w:rsidR="003F0D4E" w:rsidRPr="00097A86" w:rsidRDefault="003F0D4E" w:rsidP="00D22D3F">
            <w:pPr>
              <w:pStyle w:val="Tabletext"/>
            </w:pPr>
            <w:r w:rsidRPr="00097A86">
              <w:t>N/A</w:t>
            </w:r>
          </w:p>
        </w:tc>
      </w:tr>
      <w:tr w:rsidR="003F0D4E" w:rsidRPr="00097A86" w14:paraId="21A5B70E" w14:textId="77777777" w:rsidTr="00C20CC2">
        <w:trPr>
          <w:trHeight w:val="830"/>
        </w:trPr>
        <w:tc>
          <w:tcPr>
            <w:tcW w:w="548" w:type="pct"/>
            <w:tcBorders>
              <w:bottom w:val="single" w:sz="12" w:space="0" w:color="auto"/>
            </w:tcBorders>
            <w:shd w:val="clear" w:color="auto" w:fill="auto"/>
          </w:tcPr>
          <w:p w14:paraId="3780B02C" w14:textId="77777777" w:rsidR="003F0D4E" w:rsidRPr="00097A86" w:rsidRDefault="003F0D4E" w:rsidP="00D22D3F">
            <w:pPr>
              <w:pStyle w:val="Tabletext"/>
            </w:pPr>
            <w:r w:rsidRPr="00097A86">
              <w:t>22</w:t>
            </w:r>
          </w:p>
        </w:tc>
        <w:tc>
          <w:tcPr>
            <w:tcW w:w="1250" w:type="pct"/>
            <w:tcBorders>
              <w:bottom w:val="single" w:sz="12" w:space="0" w:color="auto"/>
            </w:tcBorders>
            <w:shd w:val="clear" w:color="auto" w:fill="auto"/>
          </w:tcPr>
          <w:p w14:paraId="5EF356A8" w14:textId="77777777" w:rsidR="003F0D4E" w:rsidRPr="00097A86" w:rsidRDefault="003F0D4E" w:rsidP="00D22D3F">
            <w:pPr>
              <w:pStyle w:val="Tabletext"/>
            </w:pPr>
            <w:r w:rsidRPr="00097A86">
              <w:t>Biofuels other than those mentioned in items</w:t>
            </w:r>
            <w:r w:rsidR="00097A86">
              <w:t> </w:t>
            </w:r>
            <w:r w:rsidRPr="00097A86">
              <w:t>20 and 21</w:t>
            </w:r>
          </w:p>
        </w:tc>
        <w:tc>
          <w:tcPr>
            <w:tcW w:w="1094" w:type="pct"/>
            <w:tcBorders>
              <w:bottom w:val="single" w:sz="12" w:space="0" w:color="auto"/>
            </w:tcBorders>
            <w:shd w:val="clear" w:color="auto" w:fill="auto"/>
          </w:tcPr>
          <w:p w14:paraId="38506098" w14:textId="77777777" w:rsidR="003F0D4E" w:rsidRPr="00097A86" w:rsidRDefault="003F0D4E" w:rsidP="00D22D3F">
            <w:pPr>
              <w:pStyle w:val="Tabletext"/>
            </w:pPr>
            <w:r w:rsidRPr="00097A86">
              <w:t>N/A</w:t>
            </w:r>
          </w:p>
        </w:tc>
        <w:tc>
          <w:tcPr>
            <w:tcW w:w="1172" w:type="pct"/>
            <w:tcBorders>
              <w:bottom w:val="single" w:sz="12" w:space="0" w:color="auto"/>
            </w:tcBorders>
            <w:shd w:val="clear" w:color="auto" w:fill="auto"/>
          </w:tcPr>
          <w:p w14:paraId="7E9680D4" w14:textId="77777777" w:rsidR="003F0D4E" w:rsidRPr="00097A86" w:rsidRDefault="003F0D4E" w:rsidP="00D22D3F">
            <w:pPr>
              <w:pStyle w:val="Tabletext"/>
            </w:pPr>
            <w:r w:rsidRPr="00097A86">
              <w:t>N/A</w:t>
            </w:r>
          </w:p>
        </w:tc>
        <w:tc>
          <w:tcPr>
            <w:tcW w:w="937" w:type="pct"/>
            <w:tcBorders>
              <w:bottom w:val="single" w:sz="12" w:space="0" w:color="auto"/>
            </w:tcBorders>
            <w:shd w:val="clear" w:color="auto" w:fill="auto"/>
          </w:tcPr>
          <w:p w14:paraId="6ED94E82" w14:textId="77777777" w:rsidR="003F0D4E" w:rsidRPr="00097A86" w:rsidRDefault="003F0D4E" w:rsidP="00D22D3F">
            <w:pPr>
              <w:pStyle w:val="Tabletext"/>
            </w:pPr>
            <w:r w:rsidRPr="00097A86">
              <w:t>N/A</w:t>
            </w:r>
          </w:p>
        </w:tc>
      </w:tr>
    </w:tbl>
    <w:p w14:paraId="6D6C683A" w14:textId="77777777" w:rsidR="003F0D4E" w:rsidRPr="00097A86" w:rsidRDefault="003F0D4E" w:rsidP="00D22D3F">
      <w:pPr>
        <w:pStyle w:val="subsection"/>
      </w:pPr>
      <w:r w:rsidRPr="00097A86">
        <w:tab/>
        <w:t>(2)</w:t>
      </w:r>
      <w:r w:rsidRPr="00097A86">
        <w:tab/>
        <w:t xml:space="preserve">A liquid fuel of a type mentioned in column 2 of an item in the table in </w:t>
      </w:r>
      <w:r w:rsidR="00097A86">
        <w:t>subsection (</w:t>
      </w:r>
      <w:r w:rsidRPr="00097A86">
        <w:t>1) may also be analysed for energy content, carbon and density in accordance with a standard that is equivalent to a standard mentioned in columns 3, 4 and 5 for that item.</w:t>
      </w:r>
    </w:p>
    <w:p w14:paraId="72E77898" w14:textId="77777777" w:rsidR="003F0D4E" w:rsidRPr="00097A86" w:rsidRDefault="003F0D4E" w:rsidP="00D22D3F">
      <w:pPr>
        <w:pStyle w:val="subsection"/>
      </w:pPr>
      <w:r w:rsidRPr="00097A86">
        <w:tab/>
        <w:t>(3)</w:t>
      </w:r>
      <w:r w:rsidRPr="00097A86">
        <w:tab/>
        <w:t>Analysis must be undertaken by an accredited laboratory or by a laboratory that meets requirements equivalent to those in AS ISO/IEC 17025:2005.</w:t>
      </w:r>
    </w:p>
    <w:p w14:paraId="350A656B" w14:textId="77777777" w:rsidR="003F0D4E" w:rsidRPr="00097A86" w:rsidRDefault="003F0D4E" w:rsidP="00D22D3F">
      <w:pPr>
        <w:pStyle w:val="ActHead5"/>
      </w:pPr>
      <w:bookmarkStart w:id="164" w:name="_Toc13233608"/>
      <w:r w:rsidRPr="00097A86">
        <w:rPr>
          <w:rStyle w:val="CharSectno"/>
        </w:rPr>
        <w:t>2.46</w:t>
      </w:r>
      <w:r w:rsidR="00D22D3F" w:rsidRPr="00097A86">
        <w:t xml:space="preserve">  </w:t>
      </w:r>
      <w:r w:rsidRPr="00097A86">
        <w:t>Frequency of analysis</w:t>
      </w:r>
      <w:bookmarkEnd w:id="164"/>
    </w:p>
    <w:p w14:paraId="6AE179A2" w14:textId="77777777" w:rsidR="003F0D4E" w:rsidRPr="00097A86" w:rsidRDefault="003F0D4E" w:rsidP="00D22D3F">
      <w:pPr>
        <w:pStyle w:val="subsection"/>
      </w:pPr>
      <w:r w:rsidRPr="00097A86">
        <w:tab/>
      </w:r>
      <w:r w:rsidRPr="00097A86">
        <w:tab/>
        <w:t>Liquid fuel of a type mentioned in column 2 of an item in the following table must be analysed for the parameter mentioned in column 3 for that item at least at the frequency mentioned in column 4 for that item.</w:t>
      </w:r>
    </w:p>
    <w:p w14:paraId="67042BCB"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12"/>
        <w:gridCol w:w="2078"/>
        <w:gridCol w:w="2467"/>
        <w:gridCol w:w="2856"/>
      </w:tblGrid>
      <w:tr w:rsidR="003F0D4E" w:rsidRPr="00097A86" w14:paraId="667BADE0" w14:textId="77777777" w:rsidTr="00C20CC2">
        <w:trPr>
          <w:trHeight w:val="340"/>
          <w:tblHeader/>
        </w:trPr>
        <w:tc>
          <w:tcPr>
            <w:tcW w:w="548" w:type="pct"/>
            <w:tcBorders>
              <w:top w:val="single" w:sz="12" w:space="0" w:color="auto"/>
              <w:bottom w:val="single" w:sz="12" w:space="0" w:color="auto"/>
            </w:tcBorders>
            <w:shd w:val="clear" w:color="auto" w:fill="auto"/>
          </w:tcPr>
          <w:p w14:paraId="2610F2F9" w14:textId="77777777" w:rsidR="003F0D4E" w:rsidRPr="00097A86" w:rsidRDefault="003F0D4E" w:rsidP="00D22D3F">
            <w:pPr>
              <w:pStyle w:val="TableHeading"/>
            </w:pPr>
            <w:r w:rsidRPr="00097A86">
              <w:t>Item</w:t>
            </w:r>
          </w:p>
        </w:tc>
        <w:tc>
          <w:tcPr>
            <w:tcW w:w="1250" w:type="pct"/>
            <w:tcBorders>
              <w:top w:val="single" w:sz="12" w:space="0" w:color="auto"/>
              <w:bottom w:val="single" w:sz="12" w:space="0" w:color="auto"/>
            </w:tcBorders>
            <w:shd w:val="clear" w:color="auto" w:fill="auto"/>
          </w:tcPr>
          <w:p w14:paraId="73460755" w14:textId="77777777" w:rsidR="003F0D4E" w:rsidRPr="00097A86" w:rsidRDefault="003F0D4E" w:rsidP="00D22D3F">
            <w:pPr>
              <w:pStyle w:val="TableHeading"/>
            </w:pPr>
            <w:r w:rsidRPr="00097A86">
              <w:t>Fuel</w:t>
            </w:r>
          </w:p>
        </w:tc>
        <w:tc>
          <w:tcPr>
            <w:tcW w:w="1484" w:type="pct"/>
            <w:tcBorders>
              <w:top w:val="single" w:sz="12" w:space="0" w:color="auto"/>
              <w:bottom w:val="single" w:sz="12" w:space="0" w:color="auto"/>
            </w:tcBorders>
            <w:shd w:val="clear" w:color="auto" w:fill="auto"/>
          </w:tcPr>
          <w:p w14:paraId="60942FA7" w14:textId="77777777" w:rsidR="003F0D4E" w:rsidRPr="00097A86" w:rsidRDefault="003F0D4E" w:rsidP="00D22D3F">
            <w:pPr>
              <w:pStyle w:val="TableHeading"/>
            </w:pPr>
            <w:r w:rsidRPr="00097A86">
              <w:t>Parameter</w:t>
            </w:r>
          </w:p>
        </w:tc>
        <w:tc>
          <w:tcPr>
            <w:tcW w:w="1719" w:type="pct"/>
            <w:tcBorders>
              <w:top w:val="single" w:sz="12" w:space="0" w:color="auto"/>
              <w:bottom w:val="single" w:sz="12" w:space="0" w:color="auto"/>
            </w:tcBorders>
            <w:shd w:val="clear" w:color="auto" w:fill="auto"/>
          </w:tcPr>
          <w:p w14:paraId="2FF5098A" w14:textId="77777777" w:rsidR="003F0D4E" w:rsidRPr="00097A86" w:rsidRDefault="003F0D4E" w:rsidP="00D22D3F">
            <w:pPr>
              <w:pStyle w:val="TableHeading"/>
            </w:pPr>
            <w:r w:rsidRPr="00097A86">
              <w:t>Frequency</w:t>
            </w:r>
          </w:p>
        </w:tc>
      </w:tr>
      <w:tr w:rsidR="003F0D4E" w:rsidRPr="00097A86" w14:paraId="54F71D5A" w14:textId="77777777" w:rsidTr="00C20CC2">
        <w:tc>
          <w:tcPr>
            <w:tcW w:w="548" w:type="pct"/>
            <w:tcBorders>
              <w:top w:val="single" w:sz="12" w:space="0" w:color="auto"/>
              <w:bottom w:val="single" w:sz="4" w:space="0" w:color="auto"/>
            </w:tcBorders>
            <w:shd w:val="clear" w:color="auto" w:fill="auto"/>
          </w:tcPr>
          <w:p w14:paraId="31CA53CD" w14:textId="77777777" w:rsidR="003F0D4E" w:rsidRPr="00097A86" w:rsidRDefault="003F0D4E" w:rsidP="00D22D3F">
            <w:pPr>
              <w:pStyle w:val="Tabletext"/>
            </w:pPr>
            <w:r w:rsidRPr="00097A86">
              <w:t>1</w:t>
            </w:r>
          </w:p>
        </w:tc>
        <w:tc>
          <w:tcPr>
            <w:tcW w:w="1250" w:type="pct"/>
            <w:tcBorders>
              <w:top w:val="single" w:sz="12" w:space="0" w:color="auto"/>
              <w:bottom w:val="single" w:sz="4" w:space="0" w:color="auto"/>
            </w:tcBorders>
            <w:shd w:val="clear" w:color="auto" w:fill="auto"/>
          </w:tcPr>
          <w:p w14:paraId="39FDA8C1" w14:textId="77777777" w:rsidR="003F0D4E" w:rsidRPr="00097A86" w:rsidRDefault="003F0D4E" w:rsidP="00D22D3F">
            <w:pPr>
              <w:pStyle w:val="Tabletext"/>
            </w:pPr>
            <w:r w:rsidRPr="00097A86">
              <w:t>All types of liquid fuel</w:t>
            </w:r>
          </w:p>
        </w:tc>
        <w:tc>
          <w:tcPr>
            <w:tcW w:w="1484" w:type="pct"/>
            <w:tcBorders>
              <w:top w:val="single" w:sz="12" w:space="0" w:color="auto"/>
              <w:bottom w:val="single" w:sz="4" w:space="0" w:color="auto"/>
            </w:tcBorders>
            <w:shd w:val="clear" w:color="auto" w:fill="auto"/>
          </w:tcPr>
          <w:p w14:paraId="533FC051" w14:textId="77777777" w:rsidR="003F0D4E" w:rsidRPr="00097A86" w:rsidRDefault="003F0D4E" w:rsidP="00D22D3F">
            <w:pPr>
              <w:pStyle w:val="Tabletext"/>
            </w:pPr>
            <w:r w:rsidRPr="00097A86">
              <w:t>Carbon</w:t>
            </w:r>
          </w:p>
        </w:tc>
        <w:tc>
          <w:tcPr>
            <w:tcW w:w="1719" w:type="pct"/>
            <w:tcBorders>
              <w:top w:val="single" w:sz="12" w:space="0" w:color="auto"/>
              <w:bottom w:val="single" w:sz="4" w:space="0" w:color="auto"/>
            </w:tcBorders>
            <w:shd w:val="clear" w:color="auto" w:fill="auto"/>
          </w:tcPr>
          <w:p w14:paraId="4FC1B2D9" w14:textId="77777777" w:rsidR="003F0D4E" w:rsidRPr="00097A86" w:rsidRDefault="003F0D4E" w:rsidP="00D22D3F">
            <w:pPr>
              <w:pStyle w:val="Tabletext"/>
            </w:pPr>
            <w:r w:rsidRPr="00097A86">
              <w:t>Quarterly or by delivery of the fuel</w:t>
            </w:r>
          </w:p>
        </w:tc>
      </w:tr>
      <w:tr w:rsidR="003F0D4E" w:rsidRPr="00097A86" w14:paraId="0F956E6C" w14:textId="77777777" w:rsidTr="00C20CC2">
        <w:tc>
          <w:tcPr>
            <w:tcW w:w="548" w:type="pct"/>
            <w:tcBorders>
              <w:bottom w:val="single" w:sz="12" w:space="0" w:color="auto"/>
            </w:tcBorders>
            <w:shd w:val="clear" w:color="auto" w:fill="auto"/>
          </w:tcPr>
          <w:p w14:paraId="272DDC77" w14:textId="77777777" w:rsidR="003F0D4E" w:rsidRPr="00097A86" w:rsidRDefault="003F0D4E" w:rsidP="00D22D3F">
            <w:pPr>
              <w:pStyle w:val="Tabletext"/>
            </w:pPr>
            <w:r w:rsidRPr="00097A86">
              <w:t>2</w:t>
            </w:r>
          </w:p>
        </w:tc>
        <w:tc>
          <w:tcPr>
            <w:tcW w:w="1250" w:type="pct"/>
            <w:tcBorders>
              <w:bottom w:val="single" w:sz="12" w:space="0" w:color="auto"/>
            </w:tcBorders>
            <w:shd w:val="clear" w:color="auto" w:fill="auto"/>
          </w:tcPr>
          <w:p w14:paraId="256F81BF" w14:textId="77777777" w:rsidR="003F0D4E" w:rsidRPr="00097A86" w:rsidRDefault="003F0D4E" w:rsidP="00D22D3F">
            <w:pPr>
              <w:pStyle w:val="Tabletext"/>
            </w:pPr>
            <w:r w:rsidRPr="00097A86">
              <w:t>All types of liquid fuel</w:t>
            </w:r>
          </w:p>
        </w:tc>
        <w:tc>
          <w:tcPr>
            <w:tcW w:w="1484" w:type="pct"/>
            <w:tcBorders>
              <w:bottom w:val="single" w:sz="12" w:space="0" w:color="auto"/>
            </w:tcBorders>
            <w:shd w:val="clear" w:color="auto" w:fill="auto"/>
          </w:tcPr>
          <w:p w14:paraId="41D13EEC" w14:textId="77777777" w:rsidR="003F0D4E" w:rsidRPr="00097A86" w:rsidRDefault="003F0D4E" w:rsidP="00D22D3F">
            <w:pPr>
              <w:pStyle w:val="Tabletext"/>
            </w:pPr>
            <w:r w:rsidRPr="00097A86">
              <w:t>Energy</w:t>
            </w:r>
          </w:p>
        </w:tc>
        <w:tc>
          <w:tcPr>
            <w:tcW w:w="1719" w:type="pct"/>
            <w:tcBorders>
              <w:bottom w:val="single" w:sz="12" w:space="0" w:color="auto"/>
            </w:tcBorders>
            <w:shd w:val="clear" w:color="auto" w:fill="auto"/>
          </w:tcPr>
          <w:p w14:paraId="1367C8F7" w14:textId="77777777" w:rsidR="003F0D4E" w:rsidRPr="00097A86" w:rsidRDefault="003F0D4E" w:rsidP="00D22D3F">
            <w:pPr>
              <w:pStyle w:val="Tabletext"/>
            </w:pPr>
            <w:r w:rsidRPr="00097A86">
              <w:t>Quarterly or by delivery of the fuel</w:t>
            </w:r>
          </w:p>
        </w:tc>
      </w:tr>
    </w:tbl>
    <w:p w14:paraId="72B9CBAB" w14:textId="77777777" w:rsidR="00111EA0" w:rsidRPr="00097A86" w:rsidRDefault="00111EA0" w:rsidP="009A46A7">
      <w:pPr>
        <w:pStyle w:val="ActHead3"/>
        <w:pageBreakBefore/>
        <w:rPr>
          <w:rStyle w:val="Emphasis"/>
          <w:i w:val="0"/>
          <w:iCs w:val="0"/>
        </w:rPr>
      </w:pPr>
      <w:bookmarkStart w:id="165" w:name="_Toc13233609"/>
      <w:r w:rsidRPr="00097A86">
        <w:rPr>
          <w:rStyle w:val="CharDivNo"/>
        </w:rPr>
        <w:lastRenderedPageBreak/>
        <w:t>Division</w:t>
      </w:r>
      <w:r w:rsidR="00097A86">
        <w:rPr>
          <w:rStyle w:val="CharDivNo"/>
        </w:rPr>
        <w:t> </w:t>
      </w:r>
      <w:r w:rsidRPr="00097A86">
        <w:rPr>
          <w:rStyle w:val="CharDivNo"/>
        </w:rPr>
        <w:t>2.4.4</w:t>
      </w:r>
      <w:r w:rsidR="00D22D3F" w:rsidRPr="00097A86">
        <w:t>—</w:t>
      </w:r>
      <w:r w:rsidRPr="00097A86">
        <w:rPr>
          <w:rStyle w:val="CharDivText"/>
        </w:rPr>
        <w:t>Method 3</w:t>
      </w:r>
      <w:r w:rsidR="00D22D3F" w:rsidRPr="00097A86">
        <w:rPr>
          <w:rStyle w:val="CharDivText"/>
        </w:rPr>
        <w:t>—</w:t>
      </w:r>
      <w:r w:rsidRPr="00097A86">
        <w:rPr>
          <w:rStyle w:val="CharDivText"/>
        </w:rPr>
        <w:t>emissions of carbon dioxide from liquid fuels other than petroleum based oils or greases</w:t>
      </w:r>
      <w:bookmarkEnd w:id="165"/>
    </w:p>
    <w:p w14:paraId="5CC7664A" w14:textId="77777777" w:rsidR="003F0D4E" w:rsidRPr="00097A86" w:rsidRDefault="003F0D4E" w:rsidP="00D22D3F">
      <w:pPr>
        <w:pStyle w:val="ActHead5"/>
      </w:pPr>
      <w:bookmarkStart w:id="166" w:name="_Toc13233610"/>
      <w:r w:rsidRPr="00097A86">
        <w:rPr>
          <w:rStyle w:val="CharSectno"/>
        </w:rPr>
        <w:t>2.47</w:t>
      </w:r>
      <w:r w:rsidR="00D22D3F" w:rsidRPr="00097A86">
        <w:t xml:space="preserve">  </w:t>
      </w:r>
      <w:r w:rsidRPr="00097A86">
        <w:t>Method 3</w:t>
      </w:r>
      <w:r w:rsidR="00D22D3F" w:rsidRPr="00097A86">
        <w:t>—</w:t>
      </w:r>
      <w:r w:rsidRPr="00097A86">
        <w:t>emissions of carbon dioxide from the combustion of liquid fuels</w:t>
      </w:r>
      <w:bookmarkEnd w:id="166"/>
    </w:p>
    <w:p w14:paraId="68AC18CB" w14:textId="77777777" w:rsidR="003F0D4E" w:rsidRPr="00097A86" w:rsidRDefault="003F0D4E" w:rsidP="00D22D3F">
      <w:pPr>
        <w:pStyle w:val="subsection"/>
      </w:pPr>
      <w:r w:rsidRPr="00097A86">
        <w:tab/>
        <w:t>(1)</w:t>
      </w:r>
      <w:r w:rsidRPr="00097A86">
        <w:tab/>
        <w:t>For subparagraph</w:t>
      </w:r>
      <w:r w:rsidR="00097A86">
        <w:t> </w:t>
      </w:r>
      <w:r w:rsidRPr="00097A86">
        <w:t>2.40</w:t>
      </w:r>
      <w:r w:rsidR="008A729A" w:rsidRPr="00097A86">
        <w:t>(</w:t>
      </w:r>
      <w:r w:rsidRPr="00097A86">
        <w:t>1)</w:t>
      </w:r>
      <w:r w:rsidR="008A729A" w:rsidRPr="00097A86">
        <w:t>(</w:t>
      </w:r>
      <w:r w:rsidRPr="00097A86">
        <w:t>a)</w:t>
      </w:r>
      <w:r w:rsidR="008A729A" w:rsidRPr="00097A86">
        <w:t>(</w:t>
      </w:r>
      <w:r w:rsidRPr="00097A86">
        <w:t>iii) and subject to this section, method 3 for estimating emissions of carbon dioxide is the same as method 2 under section</w:t>
      </w:r>
      <w:r w:rsidR="00097A86">
        <w:t> </w:t>
      </w:r>
      <w:r w:rsidRPr="00097A86">
        <w:t>2.42.</w:t>
      </w:r>
    </w:p>
    <w:p w14:paraId="2D4023E0" w14:textId="77777777" w:rsidR="003F0D4E" w:rsidRPr="00097A86" w:rsidRDefault="003F0D4E" w:rsidP="00D22D3F">
      <w:pPr>
        <w:pStyle w:val="subsection"/>
      </w:pPr>
      <w:r w:rsidRPr="00097A86">
        <w:tab/>
        <w:t>(2)</w:t>
      </w:r>
      <w:r w:rsidRPr="00097A86">
        <w:tab/>
        <w:t>In applying method 2 under section</w:t>
      </w:r>
      <w:r w:rsidR="00097A86">
        <w:t> </w:t>
      </w:r>
      <w:r w:rsidRPr="00097A86">
        <w:t xml:space="preserve">2.42, liquid fuels must be sampled in accordance with a standard specified in the table in </w:t>
      </w:r>
      <w:r w:rsidR="00097A86">
        <w:t>subsection (</w:t>
      </w:r>
      <w:r w:rsidRPr="00097A86">
        <w:t>3).</w:t>
      </w:r>
    </w:p>
    <w:p w14:paraId="10AD1315" w14:textId="77777777" w:rsidR="003F0D4E" w:rsidRPr="00097A86" w:rsidRDefault="003F0D4E" w:rsidP="00D22D3F">
      <w:pPr>
        <w:pStyle w:val="subsection"/>
      </w:pPr>
      <w:r w:rsidRPr="00097A86">
        <w:tab/>
        <w:t>(3)</w:t>
      </w:r>
      <w:r w:rsidRPr="00097A86">
        <w:tab/>
        <w:t>A standard for sampling a liquid fuel of a type mentioned in column 2 of an item in the following table is specified in column 3 for that item.</w:t>
      </w:r>
    </w:p>
    <w:p w14:paraId="5AC1C3C6"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4"/>
        <w:gridCol w:w="3352"/>
        <w:gridCol w:w="4157"/>
      </w:tblGrid>
      <w:tr w:rsidR="003F0D4E" w:rsidRPr="00097A86" w14:paraId="0A763AD3" w14:textId="77777777" w:rsidTr="00C20CC2">
        <w:trPr>
          <w:trHeight w:val="429"/>
          <w:tblHeader/>
        </w:trPr>
        <w:tc>
          <w:tcPr>
            <w:tcW w:w="484" w:type="pct"/>
            <w:tcBorders>
              <w:top w:val="single" w:sz="12" w:space="0" w:color="auto"/>
              <w:bottom w:val="single" w:sz="12" w:space="0" w:color="auto"/>
            </w:tcBorders>
            <w:shd w:val="clear" w:color="auto" w:fill="auto"/>
          </w:tcPr>
          <w:p w14:paraId="56807724" w14:textId="77777777" w:rsidR="003F0D4E" w:rsidRPr="00097A86" w:rsidRDefault="003F0D4E" w:rsidP="00D22D3F">
            <w:pPr>
              <w:pStyle w:val="TableHeading"/>
            </w:pPr>
            <w:r w:rsidRPr="00097A86">
              <w:t>item</w:t>
            </w:r>
          </w:p>
        </w:tc>
        <w:tc>
          <w:tcPr>
            <w:tcW w:w="2016" w:type="pct"/>
            <w:tcBorders>
              <w:top w:val="single" w:sz="12" w:space="0" w:color="auto"/>
              <w:bottom w:val="single" w:sz="12" w:space="0" w:color="auto"/>
            </w:tcBorders>
            <w:shd w:val="clear" w:color="auto" w:fill="auto"/>
          </w:tcPr>
          <w:p w14:paraId="196795B8" w14:textId="77777777" w:rsidR="003F0D4E" w:rsidRPr="00097A86" w:rsidRDefault="003F0D4E" w:rsidP="00D22D3F">
            <w:pPr>
              <w:pStyle w:val="TableHeading"/>
            </w:pPr>
            <w:r w:rsidRPr="00097A86">
              <w:t>Liquid Fuel</w:t>
            </w:r>
          </w:p>
        </w:tc>
        <w:tc>
          <w:tcPr>
            <w:tcW w:w="2500" w:type="pct"/>
            <w:tcBorders>
              <w:top w:val="single" w:sz="12" w:space="0" w:color="auto"/>
              <w:bottom w:val="single" w:sz="12" w:space="0" w:color="auto"/>
            </w:tcBorders>
            <w:shd w:val="clear" w:color="auto" w:fill="auto"/>
          </w:tcPr>
          <w:p w14:paraId="35E76E10" w14:textId="77777777" w:rsidR="003F0D4E" w:rsidRPr="00097A86" w:rsidRDefault="003F0D4E" w:rsidP="00D22D3F">
            <w:pPr>
              <w:pStyle w:val="TableHeading"/>
            </w:pPr>
            <w:r w:rsidRPr="00097A86">
              <w:t>Standard</w:t>
            </w:r>
          </w:p>
        </w:tc>
      </w:tr>
      <w:tr w:rsidR="003F0D4E" w:rsidRPr="00097A86" w14:paraId="63E9609E" w14:textId="77777777" w:rsidTr="00C20CC2">
        <w:trPr>
          <w:trHeight w:val="401"/>
        </w:trPr>
        <w:tc>
          <w:tcPr>
            <w:tcW w:w="484" w:type="pct"/>
            <w:tcBorders>
              <w:top w:val="single" w:sz="12" w:space="0" w:color="auto"/>
            </w:tcBorders>
            <w:shd w:val="clear" w:color="auto" w:fill="auto"/>
          </w:tcPr>
          <w:p w14:paraId="74BB706A" w14:textId="77777777" w:rsidR="003F0D4E" w:rsidRPr="00097A86" w:rsidRDefault="003F0D4E" w:rsidP="00D22D3F">
            <w:pPr>
              <w:pStyle w:val="Tabletext"/>
            </w:pPr>
            <w:r w:rsidRPr="00097A86">
              <w:t>1</w:t>
            </w:r>
          </w:p>
        </w:tc>
        <w:tc>
          <w:tcPr>
            <w:tcW w:w="2016" w:type="pct"/>
            <w:tcBorders>
              <w:top w:val="single" w:sz="12" w:space="0" w:color="auto"/>
            </w:tcBorders>
            <w:shd w:val="clear" w:color="auto" w:fill="auto"/>
          </w:tcPr>
          <w:p w14:paraId="55D48273" w14:textId="77777777" w:rsidR="003F0D4E" w:rsidRPr="00097A86" w:rsidRDefault="003F0D4E" w:rsidP="00D22D3F">
            <w:pPr>
              <w:pStyle w:val="Tabletext"/>
            </w:pPr>
            <w:r w:rsidRPr="00097A86">
              <w:t>Petroleum based oils (other than petroleum based oils used as fuel)</w:t>
            </w:r>
          </w:p>
        </w:tc>
        <w:tc>
          <w:tcPr>
            <w:tcW w:w="2500" w:type="pct"/>
            <w:tcBorders>
              <w:top w:val="single" w:sz="12" w:space="0" w:color="auto"/>
            </w:tcBorders>
            <w:shd w:val="clear" w:color="auto" w:fill="auto"/>
          </w:tcPr>
          <w:p w14:paraId="549D5E00" w14:textId="77777777" w:rsidR="003F0D4E" w:rsidRPr="00097A86" w:rsidRDefault="003F0D4E" w:rsidP="00D22D3F">
            <w:pPr>
              <w:pStyle w:val="Tabletext"/>
            </w:pPr>
            <w:r w:rsidRPr="00097A86">
              <w:t>ISO 3170:2004</w:t>
            </w:r>
          </w:p>
          <w:p w14:paraId="342C193E" w14:textId="77777777" w:rsidR="003F0D4E" w:rsidRPr="00097A86" w:rsidRDefault="003F0D4E" w:rsidP="00D22D3F">
            <w:pPr>
              <w:pStyle w:val="Tabletext"/>
            </w:pPr>
            <w:r w:rsidRPr="00097A86">
              <w:t>ISO 3171:1988</w:t>
            </w:r>
          </w:p>
          <w:p w14:paraId="1AD120F0" w14:textId="77777777" w:rsidR="003F0D4E" w:rsidRPr="00097A86" w:rsidRDefault="003F0D4E" w:rsidP="00D22D3F">
            <w:pPr>
              <w:pStyle w:val="Tabletext"/>
            </w:pPr>
            <w:r w:rsidRPr="00097A86">
              <w:t>ASTM D 4057 – 06</w:t>
            </w:r>
          </w:p>
        </w:tc>
      </w:tr>
      <w:tr w:rsidR="003F0D4E" w:rsidRPr="00097A86" w14:paraId="3F2B289A" w14:textId="77777777" w:rsidTr="00C20CC2">
        <w:trPr>
          <w:trHeight w:val="364"/>
        </w:trPr>
        <w:tc>
          <w:tcPr>
            <w:tcW w:w="484" w:type="pct"/>
            <w:shd w:val="clear" w:color="auto" w:fill="auto"/>
          </w:tcPr>
          <w:p w14:paraId="0B2C678A" w14:textId="77777777" w:rsidR="003F0D4E" w:rsidRPr="00097A86" w:rsidRDefault="003F0D4E" w:rsidP="00D22D3F">
            <w:pPr>
              <w:pStyle w:val="Tabletext"/>
            </w:pPr>
            <w:r w:rsidRPr="00097A86">
              <w:t>2</w:t>
            </w:r>
          </w:p>
        </w:tc>
        <w:tc>
          <w:tcPr>
            <w:tcW w:w="2016" w:type="pct"/>
            <w:shd w:val="clear" w:color="auto" w:fill="auto"/>
          </w:tcPr>
          <w:p w14:paraId="418CE051" w14:textId="77777777" w:rsidR="003F0D4E" w:rsidRPr="00097A86" w:rsidRDefault="003F0D4E" w:rsidP="00D22D3F">
            <w:pPr>
              <w:pStyle w:val="Tabletext"/>
            </w:pPr>
            <w:r w:rsidRPr="00097A86">
              <w:t>Petroleum based greases</w:t>
            </w:r>
          </w:p>
        </w:tc>
        <w:tc>
          <w:tcPr>
            <w:tcW w:w="2500" w:type="pct"/>
            <w:shd w:val="clear" w:color="auto" w:fill="auto"/>
          </w:tcPr>
          <w:p w14:paraId="54864C55" w14:textId="77777777" w:rsidR="003F0D4E" w:rsidRPr="00097A86" w:rsidRDefault="003F0D4E" w:rsidP="00D22D3F">
            <w:pPr>
              <w:pStyle w:val="Tabletext"/>
            </w:pPr>
          </w:p>
        </w:tc>
      </w:tr>
      <w:tr w:rsidR="003F0D4E" w:rsidRPr="00097A86" w14:paraId="2C91B8FB" w14:textId="77777777" w:rsidTr="00C20CC2">
        <w:trPr>
          <w:trHeight w:val="345"/>
        </w:trPr>
        <w:tc>
          <w:tcPr>
            <w:tcW w:w="484" w:type="pct"/>
            <w:shd w:val="clear" w:color="auto" w:fill="auto"/>
          </w:tcPr>
          <w:p w14:paraId="75C17FF9" w14:textId="77777777" w:rsidR="003F0D4E" w:rsidRPr="00097A86" w:rsidRDefault="003F0D4E" w:rsidP="00D22D3F">
            <w:pPr>
              <w:pStyle w:val="Tabletext"/>
            </w:pPr>
            <w:r w:rsidRPr="00097A86">
              <w:t>3</w:t>
            </w:r>
          </w:p>
        </w:tc>
        <w:tc>
          <w:tcPr>
            <w:tcW w:w="2016" w:type="pct"/>
            <w:shd w:val="clear" w:color="auto" w:fill="auto"/>
          </w:tcPr>
          <w:p w14:paraId="1B57601B" w14:textId="77777777" w:rsidR="003F0D4E" w:rsidRPr="00097A86" w:rsidRDefault="003F0D4E" w:rsidP="00D22D3F">
            <w:pPr>
              <w:pStyle w:val="Tabletext"/>
            </w:pPr>
            <w:r w:rsidRPr="00097A86">
              <w:t>Crude oil including crude oil condensates</w:t>
            </w:r>
          </w:p>
        </w:tc>
        <w:tc>
          <w:tcPr>
            <w:tcW w:w="2500" w:type="pct"/>
            <w:shd w:val="clear" w:color="auto" w:fill="auto"/>
          </w:tcPr>
          <w:p w14:paraId="020EADF9" w14:textId="77777777" w:rsidR="003F0D4E" w:rsidRPr="00097A86" w:rsidRDefault="003F0D4E" w:rsidP="00D22D3F">
            <w:pPr>
              <w:pStyle w:val="Tabletext"/>
            </w:pPr>
            <w:r w:rsidRPr="00097A86">
              <w:t>ISO 3170:2004</w:t>
            </w:r>
          </w:p>
          <w:p w14:paraId="0834EBD9" w14:textId="77777777" w:rsidR="003F0D4E" w:rsidRPr="00097A86" w:rsidRDefault="003F0D4E" w:rsidP="00D22D3F">
            <w:pPr>
              <w:pStyle w:val="Tabletext"/>
            </w:pPr>
            <w:r w:rsidRPr="00097A86">
              <w:t>ISO 3171:1988</w:t>
            </w:r>
          </w:p>
          <w:p w14:paraId="714894C3" w14:textId="77777777" w:rsidR="003F0D4E" w:rsidRPr="00097A86" w:rsidRDefault="003F0D4E" w:rsidP="00D22D3F">
            <w:pPr>
              <w:pStyle w:val="Tabletext"/>
            </w:pPr>
            <w:r w:rsidRPr="00097A86">
              <w:t>ASTM D 4057 – 06</w:t>
            </w:r>
          </w:p>
          <w:p w14:paraId="087FDEC4" w14:textId="77777777" w:rsidR="003F0D4E" w:rsidRPr="00097A86" w:rsidRDefault="003F0D4E" w:rsidP="00D22D3F">
            <w:pPr>
              <w:pStyle w:val="Tabletext"/>
            </w:pPr>
            <w:r w:rsidRPr="00097A86">
              <w:t>ASTM D 4177 – 95 (2005)</w:t>
            </w:r>
          </w:p>
        </w:tc>
      </w:tr>
      <w:tr w:rsidR="003F0D4E" w:rsidRPr="00097A86" w14:paraId="7BE05419" w14:textId="77777777" w:rsidTr="00C20CC2">
        <w:trPr>
          <w:trHeight w:val="340"/>
        </w:trPr>
        <w:tc>
          <w:tcPr>
            <w:tcW w:w="484" w:type="pct"/>
            <w:shd w:val="clear" w:color="auto" w:fill="auto"/>
          </w:tcPr>
          <w:p w14:paraId="6D723C5D" w14:textId="77777777" w:rsidR="003F0D4E" w:rsidRPr="00097A86" w:rsidRDefault="003F0D4E" w:rsidP="00D22D3F">
            <w:pPr>
              <w:pStyle w:val="Tabletext"/>
            </w:pPr>
            <w:r w:rsidRPr="00097A86">
              <w:t>4</w:t>
            </w:r>
          </w:p>
        </w:tc>
        <w:tc>
          <w:tcPr>
            <w:tcW w:w="2016" w:type="pct"/>
            <w:shd w:val="clear" w:color="auto" w:fill="auto"/>
          </w:tcPr>
          <w:p w14:paraId="5282AB0E" w14:textId="77777777" w:rsidR="003F0D4E" w:rsidRPr="00097A86" w:rsidRDefault="003F0D4E" w:rsidP="00D22D3F">
            <w:pPr>
              <w:pStyle w:val="Tabletext"/>
            </w:pPr>
            <w:r w:rsidRPr="00097A86">
              <w:t xml:space="preserve">Other natural gas liquids </w:t>
            </w:r>
          </w:p>
        </w:tc>
        <w:tc>
          <w:tcPr>
            <w:tcW w:w="2500" w:type="pct"/>
            <w:shd w:val="clear" w:color="auto" w:fill="auto"/>
          </w:tcPr>
          <w:p w14:paraId="79E907E2" w14:textId="77777777" w:rsidR="003F0D4E" w:rsidRPr="00097A86" w:rsidRDefault="003F0D4E" w:rsidP="00D22D3F">
            <w:pPr>
              <w:pStyle w:val="Tabletext"/>
            </w:pPr>
            <w:r w:rsidRPr="00097A86">
              <w:t xml:space="preserve">ASTM D1265 </w:t>
            </w:r>
            <w:r w:rsidR="005C3E39" w:rsidRPr="00097A86">
              <w:t>–</w:t>
            </w:r>
            <w:r w:rsidRPr="00097A86">
              <w:t xml:space="preserve"> 05</w:t>
            </w:r>
          </w:p>
        </w:tc>
      </w:tr>
      <w:tr w:rsidR="003F0D4E" w:rsidRPr="00097A86" w14:paraId="3D829CE1" w14:textId="77777777" w:rsidTr="00C20CC2">
        <w:trPr>
          <w:trHeight w:val="351"/>
        </w:trPr>
        <w:tc>
          <w:tcPr>
            <w:tcW w:w="484" w:type="pct"/>
            <w:shd w:val="clear" w:color="auto" w:fill="auto"/>
          </w:tcPr>
          <w:p w14:paraId="68072B9B" w14:textId="77777777" w:rsidR="003F0D4E" w:rsidRPr="00097A86" w:rsidRDefault="003F0D4E" w:rsidP="00D22D3F">
            <w:pPr>
              <w:pStyle w:val="Tabletext"/>
            </w:pPr>
            <w:r w:rsidRPr="00097A86">
              <w:t>5</w:t>
            </w:r>
          </w:p>
        </w:tc>
        <w:tc>
          <w:tcPr>
            <w:tcW w:w="2016" w:type="pct"/>
            <w:shd w:val="clear" w:color="auto" w:fill="auto"/>
          </w:tcPr>
          <w:p w14:paraId="7620C221" w14:textId="77777777" w:rsidR="003F0D4E" w:rsidRPr="00097A86" w:rsidRDefault="003F0D4E" w:rsidP="00D22D3F">
            <w:pPr>
              <w:pStyle w:val="Tabletext"/>
            </w:pPr>
            <w:r w:rsidRPr="00097A86">
              <w:rPr>
                <w:snapToGrid w:val="0"/>
              </w:rPr>
              <w:t>Gasoline (other than for use as fuel in an aircraft)</w:t>
            </w:r>
          </w:p>
        </w:tc>
        <w:tc>
          <w:tcPr>
            <w:tcW w:w="2500" w:type="pct"/>
            <w:shd w:val="clear" w:color="auto" w:fill="auto"/>
          </w:tcPr>
          <w:p w14:paraId="61C4709C" w14:textId="77777777" w:rsidR="003F0D4E" w:rsidRPr="00097A86" w:rsidRDefault="003F0D4E" w:rsidP="00D22D3F">
            <w:pPr>
              <w:pStyle w:val="Tabletext"/>
            </w:pPr>
            <w:r w:rsidRPr="00097A86">
              <w:t>ISO 3170:2004</w:t>
            </w:r>
          </w:p>
          <w:p w14:paraId="4820FDFE" w14:textId="77777777" w:rsidR="003F0D4E" w:rsidRPr="00097A86" w:rsidRDefault="003F0D4E" w:rsidP="00D22D3F">
            <w:pPr>
              <w:pStyle w:val="Tabletext"/>
            </w:pPr>
            <w:r w:rsidRPr="00097A86">
              <w:t>ISO 3171:1988</w:t>
            </w:r>
          </w:p>
          <w:p w14:paraId="34BCD3A3" w14:textId="77777777" w:rsidR="003F0D4E" w:rsidRPr="00097A86" w:rsidRDefault="003F0D4E" w:rsidP="00D22D3F">
            <w:pPr>
              <w:pStyle w:val="Tabletext"/>
            </w:pPr>
            <w:r w:rsidRPr="00097A86">
              <w:t>ASTM D 4057 – 06</w:t>
            </w:r>
          </w:p>
          <w:p w14:paraId="4B0FF04D" w14:textId="77777777" w:rsidR="003F0D4E" w:rsidRPr="00097A86" w:rsidRDefault="003F0D4E" w:rsidP="00D22D3F">
            <w:pPr>
              <w:pStyle w:val="Tabletext"/>
            </w:pPr>
            <w:r w:rsidRPr="00097A86">
              <w:t>ASTM D 4177 – 95 (2005)</w:t>
            </w:r>
          </w:p>
        </w:tc>
      </w:tr>
      <w:tr w:rsidR="003F0D4E" w:rsidRPr="00097A86" w14:paraId="66F8895D" w14:textId="77777777" w:rsidTr="00C20CC2">
        <w:trPr>
          <w:trHeight w:val="361"/>
        </w:trPr>
        <w:tc>
          <w:tcPr>
            <w:tcW w:w="484" w:type="pct"/>
            <w:shd w:val="clear" w:color="auto" w:fill="auto"/>
          </w:tcPr>
          <w:p w14:paraId="56C93496" w14:textId="77777777" w:rsidR="003F0D4E" w:rsidRPr="00097A86" w:rsidRDefault="003F0D4E" w:rsidP="00D22D3F">
            <w:pPr>
              <w:pStyle w:val="Tabletext"/>
            </w:pPr>
            <w:r w:rsidRPr="00097A86">
              <w:t>6</w:t>
            </w:r>
          </w:p>
        </w:tc>
        <w:tc>
          <w:tcPr>
            <w:tcW w:w="2016" w:type="pct"/>
            <w:shd w:val="clear" w:color="auto" w:fill="auto"/>
          </w:tcPr>
          <w:p w14:paraId="7FF337F4" w14:textId="77777777" w:rsidR="003F0D4E" w:rsidRPr="00097A86" w:rsidRDefault="003F0D4E" w:rsidP="00D22D3F">
            <w:pPr>
              <w:pStyle w:val="Tabletext"/>
            </w:pPr>
            <w:r w:rsidRPr="00097A86">
              <w:t>Gasoline for use as fuel in an aircraft</w:t>
            </w:r>
          </w:p>
        </w:tc>
        <w:tc>
          <w:tcPr>
            <w:tcW w:w="2500" w:type="pct"/>
            <w:shd w:val="clear" w:color="auto" w:fill="auto"/>
          </w:tcPr>
          <w:p w14:paraId="30B68733" w14:textId="77777777" w:rsidR="003F0D4E" w:rsidRPr="00097A86" w:rsidRDefault="003F0D4E" w:rsidP="00D22D3F">
            <w:pPr>
              <w:pStyle w:val="Tabletext"/>
            </w:pPr>
            <w:r w:rsidRPr="00097A86">
              <w:t>ISO 3170:2004</w:t>
            </w:r>
          </w:p>
          <w:p w14:paraId="656D773B" w14:textId="77777777" w:rsidR="003F0D4E" w:rsidRPr="00097A86" w:rsidRDefault="003F0D4E" w:rsidP="00D22D3F">
            <w:pPr>
              <w:pStyle w:val="Tabletext"/>
            </w:pPr>
            <w:r w:rsidRPr="00097A86">
              <w:t>ISO 3171:1988</w:t>
            </w:r>
          </w:p>
          <w:p w14:paraId="33840C1E" w14:textId="77777777" w:rsidR="003F0D4E" w:rsidRPr="00097A86" w:rsidRDefault="003F0D4E" w:rsidP="00D22D3F">
            <w:pPr>
              <w:pStyle w:val="Tabletext"/>
            </w:pPr>
            <w:r w:rsidRPr="00097A86">
              <w:t>ASTM D 4057 – 06</w:t>
            </w:r>
          </w:p>
          <w:p w14:paraId="6BD1B423" w14:textId="77777777" w:rsidR="003F0D4E" w:rsidRPr="00097A86" w:rsidRDefault="003F0D4E" w:rsidP="00D22D3F">
            <w:pPr>
              <w:pStyle w:val="Tabletext"/>
            </w:pPr>
            <w:r w:rsidRPr="00097A86">
              <w:t>ASTM D 4177 – 95 (2005)</w:t>
            </w:r>
          </w:p>
        </w:tc>
      </w:tr>
      <w:tr w:rsidR="003F0D4E" w:rsidRPr="00097A86" w14:paraId="1CB0896B" w14:textId="77777777" w:rsidTr="00C20CC2">
        <w:trPr>
          <w:trHeight w:val="401"/>
        </w:trPr>
        <w:tc>
          <w:tcPr>
            <w:tcW w:w="484" w:type="pct"/>
            <w:tcBorders>
              <w:bottom w:val="single" w:sz="4" w:space="0" w:color="auto"/>
            </w:tcBorders>
            <w:shd w:val="clear" w:color="auto" w:fill="auto"/>
          </w:tcPr>
          <w:p w14:paraId="67BAAF4A" w14:textId="77777777" w:rsidR="003F0D4E" w:rsidRPr="00097A86" w:rsidRDefault="003F0D4E" w:rsidP="00D22D3F">
            <w:pPr>
              <w:pStyle w:val="Tabletext"/>
            </w:pPr>
            <w:r w:rsidRPr="00097A86">
              <w:t>7</w:t>
            </w:r>
          </w:p>
        </w:tc>
        <w:tc>
          <w:tcPr>
            <w:tcW w:w="2016" w:type="pct"/>
            <w:tcBorders>
              <w:bottom w:val="single" w:sz="4" w:space="0" w:color="auto"/>
            </w:tcBorders>
            <w:shd w:val="clear" w:color="auto" w:fill="auto"/>
          </w:tcPr>
          <w:p w14:paraId="7FE3A968" w14:textId="77777777" w:rsidR="003F0D4E" w:rsidRPr="00097A86" w:rsidRDefault="003F0D4E" w:rsidP="00D22D3F">
            <w:pPr>
              <w:pStyle w:val="Tabletext"/>
            </w:pPr>
            <w:r w:rsidRPr="00097A86">
              <w:t>Kerosene (other than for use as fuel in an aircraft)</w:t>
            </w:r>
          </w:p>
        </w:tc>
        <w:tc>
          <w:tcPr>
            <w:tcW w:w="2500" w:type="pct"/>
            <w:tcBorders>
              <w:bottom w:val="single" w:sz="4" w:space="0" w:color="auto"/>
            </w:tcBorders>
            <w:shd w:val="clear" w:color="auto" w:fill="auto"/>
          </w:tcPr>
          <w:p w14:paraId="5BE700D4" w14:textId="77777777" w:rsidR="003F0D4E" w:rsidRPr="00097A86" w:rsidRDefault="003F0D4E" w:rsidP="00D22D3F">
            <w:pPr>
              <w:pStyle w:val="Tabletext"/>
            </w:pPr>
            <w:r w:rsidRPr="00097A86">
              <w:t>ISO 3170:2004</w:t>
            </w:r>
          </w:p>
          <w:p w14:paraId="48179D35" w14:textId="77777777" w:rsidR="003F0D4E" w:rsidRPr="00097A86" w:rsidRDefault="003F0D4E" w:rsidP="00D22D3F">
            <w:pPr>
              <w:pStyle w:val="Tabletext"/>
            </w:pPr>
            <w:r w:rsidRPr="00097A86">
              <w:t>ISO 3171:1988</w:t>
            </w:r>
          </w:p>
          <w:p w14:paraId="4CF6CC13" w14:textId="77777777" w:rsidR="003F0D4E" w:rsidRPr="00097A86" w:rsidRDefault="003F0D4E" w:rsidP="00D22D3F">
            <w:pPr>
              <w:pStyle w:val="Tabletext"/>
            </w:pPr>
            <w:r w:rsidRPr="00097A86">
              <w:t>ASTM D 4057 – 06</w:t>
            </w:r>
          </w:p>
          <w:p w14:paraId="32FFDC3B" w14:textId="77777777" w:rsidR="003F0D4E" w:rsidRPr="00097A86" w:rsidRDefault="003F0D4E" w:rsidP="00D22D3F">
            <w:pPr>
              <w:pStyle w:val="Tabletext"/>
            </w:pPr>
            <w:r w:rsidRPr="00097A86">
              <w:t>ASTM D 4177 – 95 (2005)</w:t>
            </w:r>
          </w:p>
        </w:tc>
      </w:tr>
      <w:tr w:rsidR="003F0D4E" w:rsidRPr="00097A86" w14:paraId="5ABBAD86" w14:textId="77777777" w:rsidTr="00C20CC2">
        <w:trPr>
          <w:trHeight w:val="451"/>
        </w:trPr>
        <w:tc>
          <w:tcPr>
            <w:tcW w:w="484" w:type="pct"/>
            <w:tcBorders>
              <w:bottom w:val="single" w:sz="4" w:space="0" w:color="auto"/>
            </w:tcBorders>
            <w:shd w:val="clear" w:color="auto" w:fill="auto"/>
          </w:tcPr>
          <w:p w14:paraId="3B949A60" w14:textId="77777777" w:rsidR="003F0D4E" w:rsidRPr="00097A86" w:rsidRDefault="003F0D4E" w:rsidP="00D22D3F">
            <w:pPr>
              <w:pStyle w:val="Tabletext"/>
            </w:pPr>
            <w:bookmarkStart w:id="167" w:name="CU_9249161"/>
            <w:bookmarkEnd w:id="167"/>
            <w:r w:rsidRPr="00097A86">
              <w:t>8</w:t>
            </w:r>
          </w:p>
        </w:tc>
        <w:tc>
          <w:tcPr>
            <w:tcW w:w="2016" w:type="pct"/>
            <w:tcBorders>
              <w:bottom w:val="single" w:sz="4" w:space="0" w:color="auto"/>
            </w:tcBorders>
            <w:shd w:val="clear" w:color="auto" w:fill="auto"/>
          </w:tcPr>
          <w:p w14:paraId="4EF319CF" w14:textId="77777777" w:rsidR="003F0D4E" w:rsidRPr="00097A86" w:rsidRDefault="003F0D4E" w:rsidP="00D22D3F">
            <w:pPr>
              <w:pStyle w:val="Tabletext"/>
            </w:pPr>
            <w:r w:rsidRPr="00097A86">
              <w:t>Kerosene for use as fuel in an aircraft</w:t>
            </w:r>
          </w:p>
        </w:tc>
        <w:tc>
          <w:tcPr>
            <w:tcW w:w="2500" w:type="pct"/>
            <w:tcBorders>
              <w:bottom w:val="single" w:sz="4" w:space="0" w:color="auto"/>
            </w:tcBorders>
            <w:shd w:val="clear" w:color="auto" w:fill="auto"/>
          </w:tcPr>
          <w:p w14:paraId="5F31F83C" w14:textId="77777777" w:rsidR="003F0D4E" w:rsidRPr="00097A86" w:rsidRDefault="003F0D4E" w:rsidP="00D22D3F">
            <w:pPr>
              <w:pStyle w:val="Tabletext"/>
            </w:pPr>
            <w:r w:rsidRPr="00097A86">
              <w:t>ISO 3170:2004</w:t>
            </w:r>
          </w:p>
          <w:p w14:paraId="1B0CEE11" w14:textId="77777777" w:rsidR="003F0D4E" w:rsidRPr="00097A86" w:rsidRDefault="003F0D4E" w:rsidP="00D22D3F">
            <w:pPr>
              <w:pStyle w:val="Tabletext"/>
            </w:pPr>
            <w:r w:rsidRPr="00097A86">
              <w:t>ISO 3171:1988</w:t>
            </w:r>
          </w:p>
          <w:p w14:paraId="5A15B49A" w14:textId="77777777" w:rsidR="003F0D4E" w:rsidRPr="00097A86" w:rsidRDefault="003F0D4E" w:rsidP="00D22D3F">
            <w:pPr>
              <w:pStyle w:val="Tabletext"/>
            </w:pPr>
            <w:r w:rsidRPr="00097A86">
              <w:t>ASTM D 4057 – 06</w:t>
            </w:r>
          </w:p>
          <w:p w14:paraId="0DBE5B27" w14:textId="77777777" w:rsidR="003F0D4E" w:rsidRPr="00097A86" w:rsidRDefault="003F0D4E" w:rsidP="00D22D3F">
            <w:pPr>
              <w:pStyle w:val="Tabletext"/>
            </w:pPr>
            <w:r w:rsidRPr="00097A86">
              <w:t>ASTM D 4177 – 95 (2005)</w:t>
            </w:r>
          </w:p>
        </w:tc>
      </w:tr>
      <w:tr w:rsidR="003F0D4E" w:rsidRPr="00097A86" w14:paraId="599BD7EE" w14:textId="77777777" w:rsidTr="00C20CC2">
        <w:trPr>
          <w:cantSplit/>
          <w:trHeight w:val="424"/>
        </w:trPr>
        <w:tc>
          <w:tcPr>
            <w:tcW w:w="484" w:type="pct"/>
            <w:tcBorders>
              <w:top w:val="single" w:sz="4" w:space="0" w:color="auto"/>
            </w:tcBorders>
            <w:shd w:val="clear" w:color="auto" w:fill="auto"/>
          </w:tcPr>
          <w:p w14:paraId="6CFCDD05" w14:textId="77777777" w:rsidR="003F0D4E" w:rsidRPr="00097A86" w:rsidRDefault="003F0D4E" w:rsidP="00D22D3F">
            <w:pPr>
              <w:pStyle w:val="Tabletext"/>
            </w:pPr>
            <w:r w:rsidRPr="00097A86">
              <w:lastRenderedPageBreak/>
              <w:t>9</w:t>
            </w:r>
          </w:p>
        </w:tc>
        <w:tc>
          <w:tcPr>
            <w:tcW w:w="2016" w:type="pct"/>
            <w:tcBorders>
              <w:top w:val="single" w:sz="4" w:space="0" w:color="auto"/>
            </w:tcBorders>
            <w:shd w:val="clear" w:color="auto" w:fill="auto"/>
          </w:tcPr>
          <w:p w14:paraId="3BB805DF" w14:textId="77777777" w:rsidR="003F0D4E" w:rsidRPr="00097A86" w:rsidRDefault="003F0D4E" w:rsidP="00D22D3F">
            <w:pPr>
              <w:pStyle w:val="Tabletext"/>
            </w:pPr>
            <w:r w:rsidRPr="00097A86">
              <w:t>Heating oil</w:t>
            </w:r>
          </w:p>
        </w:tc>
        <w:tc>
          <w:tcPr>
            <w:tcW w:w="2500" w:type="pct"/>
            <w:tcBorders>
              <w:top w:val="single" w:sz="4" w:space="0" w:color="auto"/>
            </w:tcBorders>
            <w:shd w:val="clear" w:color="auto" w:fill="auto"/>
          </w:tcPr>
          <w:p w14:paraId="1DC61BFF" w14:textId="77777777" w:rsidR="003F0D4E" w:rsidRPr="00097A86" w:rsidRDefault="003F0D4E" w:rsidP="00D22D3F">
            <w:pPr>
              <w:pStyle w:val="Tabletext"/>
            </w:pPr>
            <w:r w:rsidRPr="00097A86">
              <w:t>ISO 3170:2004</w:t>
            </w:r>
          </w:p>
          <w:p w14:paraId="542CD343" w14:textId="77777777" w:rsidR="003F0D4E" w:rsidRPr="00097A86" w:rsidRDefault="003F0D4E" w:rsidP="00D22D3F">
            <w:pPr>
              <w:pStyle w:val="Tabletext"/>
            </w:pPr>
            <w:r w:rsidRPr="00097A86">
              <w:t>ISO 3171:1988</w:t>
            </w:r>
          </w:p>
          <w:p w14:paraId="56B19212" w14:textId="77777777" w:rsidR="003F0D4E" w:rsidRPr="00097A86" w:rsidRDefault="003F0D4E" w:rsidP="00D22D3F">
            <w:pPr>
              <w:pStyle w:val="Tabletext"/>
            </w:pPr>
            <w:r w:rsidRPr="00097A86">
              <w:t>ASTM D 4057 – 06</w:t>
            </w:r>
          </w:p>
          <w:p w14:paraId="753DA97B" w14:textId="77777777" w:rsidR="003F0D4E" w:rsidRPr="00097A86" w:rsidRDefault="003F0D4E" w:rsidP="00D22D3F">
            <w:pPr>
              <w:pStyle w:val="Tabletext"/>
            </w:pPr>
            <w:r w:rsidRPr="00097A86">
              <w:t>ASTM D 4177 – 95 (2005)</w:t>
            </w:r>
          </w:p>
        </w:tc>
      </w:tr>
      <w:tr w:rsidR="003F0D4E" w:rsidRPr="00097A86" w14:paraId="66FED607" w14:textId="77777777" w:rsidTr="00C20CC2">
        <w:trPr>
          <w:trHeight w:val="424"/>
        </w:trPr>
        <w:tc>
          <w:tcPr>
            <w:tcW w:w="484" w:type="pct"/>
            <w:shd w:val="clear" w:color="auto" w:fill="auto"/>
          </w:tcPr>
          <w:p w14:paraId="4AB7B63A" w14:textId="77777777" w:rsidR="003F0D4E" w:rsidRPr="00097A86" w:rsidRDefault="003F0D4E" w:rsidP="00D22D3F">
            <w:pPr>
              <w:pStyle w:val="Tabletext"/>
            </w:pPr>
            <w:r w:rsidRPr="00097A86">
              <w:t>10</w:t>
            </w:r>
          </w:p>
        </w:tc>
        <w:tc>
          <w:tcPr>
            <w:tcW w:w="2016" w:type="pct"/>
            <w:shd w:val="clear" w:color="auto" w:fill="auto"/>
          </w:tcPr>
          <w:p w14:paraId="04D6B713" w14:textId="77777777" w:rsidR="003F0D4E" w:rsidRPr="00097A86" w:rsidRDefault="003F0D4E" w:rsidP="00D22D3F">
            <w:pPr>
              <w:pStyle w:val="Tabletext"/>
            </w:pPr>
            <w:r w:rsidRPr="00097A86">
              <w:t>Diesel oil</w:t>
            </w:r>
          </w:p>
        </w:tc>
        <w:tc>
          <w:tcPr>
            <w:tcW w:w="2500" w:type="pct"/>
            <w:shd w:val="clear" w:color="auto" w:fill="auto"/>
          </w:tcPr>
          <w:p w14:paraId="3C3A0BE0" w14:textId="77777777" w:rsidR="003F0D4E" w:rsidRPr="00097A86" w:rsidRDefault="003F0D4E" w:rsidP="00D22D3F">
            <w:pPr>
              <w:pStyle w:val="Tabletext"/>
            </w:pPr>
            <w:r w:rsidRPr="00097A86">
              <w:t>ISO 3170:2004</w:t>
            </w:r>
          </w:p>
          <w:p w14:paraId="19E65E27" w14:textId="77777777" w:rsidR="003F0D4E" w:rsidRPr="00097A86" w:rsidRDefault="003F0D4E" w:rsidP="00D22D3F">
            <w:pPr>
              <w:pStyle w:val="Tabletext"/>
            </w:pPr>
            <w:r w:rsidRPr="00097A86">
              <w:t>ISO 3171:1988</w:t>
            </w:r>
          </w:p>
          <w:p w14:paraId="35B6C67A" w14:textId="77777777" w:rsidR="003F0D4E" w:rsidRPr="00097A86" w:rsidRDefault="003F0D4E" w:rsidP="00D22D3F">
            <w:pPr>
              <w:pStyle w:val="Tabletext"/>
            </w:pPr>
            <w:r w:rsidRPr="00097A86">
              <w:t>ASTM D 4057 – 06</w:t>
            </w:r>
          </w:p>
          <w:p w14:paraId="3FE8F4A9" w14:textId="77777777" w:rsidR="003F0D4E" w:rsidRPr="00097A86" w:rsidRDefault="003F0D4E" w:rsidP="00D22D3F">
            <w:pPr>
              <w:pStyle w:val="Tabletext"/>
            </w:pPr>
            <w:r w:rsidRPr="00097A86">
              <w:t>ASTM D 4177 – 95 (2005)</w:t>
            </w:r>
          </w:p>
        </w:tc>
      </w:tr>
      <w:tr w:rsidR="003F0D4E" w:rsidRPr="00097A86" w14:paraId="6D541667" w14:textId="77777777" w:rsidTr="00C20CC2">
        <w:trPr>
          <w:trHeight w:val="424"/>
        </w:trPr>
        <w:tc>
          <w:tcPr>
            <w:tcW w:w="484" w:type="pct"/>
            <w:shd w:val="clear" w:color="auto" w:fill="auto"/>
          </w:tcPr>
          <w:p w14:paraId="5965B431" w14:textId="77777777" w:rsidR="003F0D4E" w:rsidRPr="00097A86" w:rsidRDefault="003F0D4E" w:rsidP="00D22D3F">
            <w:pPr>
              <w:pStyle w:val="Tabletext"/>
            </w:pPr>
            <w:r w:rsidRPr="00097A86">
              <w:t>11</w:t>
            </w:r>
          </w:p>
        </w:tc>
        <w:tc>
          <w:tcPr>
            <w:tcW w:w="2016" w:type="pct"/>
            <w:shd w:val="clear" w:color="auto" w:fill="auto"/>
          </w:tcPr>
          <w:p w14:paraId="2DBE99FD" w14:textId="77777777" w:rsidR="003F0D4E" w:rsidRPr="00097A86" w:rsidRDefault="003F0D4E" w:rsidP="00D22D3F">
            <w:pPr>
              <w:pStyle w:val="Tabletext"/>
            </w:pPr>
            <w:r w:rsidRPr="00097A86">
              <w:t>Fuel oil</w:t>
            </w:r>
          </w:p>
        </w:tc>
        <w:tc>
          <w:tcPr>
            <w:tcW w:w="2500" w:type="pct"/>
            <w:shd w:val="clear" w:color="auto" w:fill="auto"/>
          </w:tcPr>
          <w:p w14:paraId="04263EC1" w14:textId="77777777" w:rsidR="003F0D4E" w:rsidRPr="00097A86" w:rsidRDefault="003F0D4E" w:rsidP="00D22D3F">
            <w:pPr>
              <w:pStyle w:val="Tabletext"/>
            </w:pPr>
            <w:r w:rsidRPr="00097A86">
              <w:t>ISO 3170:2004</w:t>
            </w:r>
          </w:p>
          <w:p w14:paraId="4A421C4C" w14:textId="77777777" w:rsidR="003F0D4E" w:rsidRPr="00097A86" w:rsidRDefault="003F0D4E" w:rsidP="00D22D3F">
            <w:pPr>
              <w:pStyle w:val="Tabletext"/>
            </w:pPr>
            <w:r w:rsidRPr="00097A86">
              <w:t>ISO 3171:1988</w:t>
            </w:r>
          </w:p>
          <w:p w14:paraId="65447390" w14:textId="77777777" w:rsidR="003F0D4E" w:rsidRPr="00097A86" w:rsidRDefault="003F0D4E" w:rsidP="00D22D3F">
            <w:pPr>
              <w:pStyle w:val="Tabletext"/>
            </w:pPr>
            <w:r w:rsidRPr="00097A86">
              <w:t>ASTM D 4057 – 06</w:t>
            </w:r>
          </w:p>
          <w:p w14:paraId="0E1240FE" w14:textId="77777777" w:rsidR="003F0D4E" w:rsidRPr="00097A86" w:rsidRDefault="003F0D4E" w:rsidP="00D22D3F">
            <w:pPr>
              <w:pStyle w:val="Tabletext"/>
            </w:pPr>
            <w:r w:rsidRPr="00097A86">
              <w:t>ASTM D 4177 – 95 (2005)</w:t>
            </w:r>
          </w:p>
        </w:tc>
      </w:tr>
      <w:tr w:rsidR="003F0D4E" w:rsidRPr="00097A86" w14:paraId="68258338" w14:textId="77777777" w:rsidTr="00C20CC2">
        <w:trPr>
          <w:trHeight w:val="424"/>
        </w:trPr>
        <w:tc>
          <w:tcPr>
            <w:tcW w:w="484" w:type="pct"/>
            <w:shd w:val="clear" w:color="auto" w:fill="auto"/>
          </w:tcPr>
          <w:p w14:paraId="4DEC6E38" w14:textId="77777777" w:rsidR="003F0D4E" w:rsidRPr="00097A86" w:rsidRDefault="003F0D4E" w:rsidP="00D22D3F">
            <w:pPr>
              <w:pStyle w:val="Tabletext"/>
            </w:pPr>
            <w:r w:rsidRPr="00097A86">
              <w:t>12</w:t>
            </w:r>
          </w:p>
        </w:tc>
        <w:tc>
          <w:tcPr>
            <w:tcW w:w="2016" w:type="pct"/>
            <w:shd w:val="clear" w:color="auto" w:fill="auto"/>
          </w:tcPr>
          <w:p w14:paraId="024D3D7A" w14:textId="77777777" w:rsidR="003F0D4E" w:rsidRPr="00097A86" w:rsidRDefault="003F0D4E" w:rsidP="00D22D3F">
            <w:pPr>
              <w:pStyle w:val="Tabletext"/>
            </w:pPr>
            <w:r w:rsidRPr="00097A86">
              <w:t xml:space="preserve">Liquefied aromatic hydrocarbons </w:t>
            </w:r>
          </w:p>
        </w:tc>
        <w:tc>
          <w:tcPr>
            <w:tcW w:w="2500" w:type="pct"/>
            <w:shd w:val="clear" w:color="auto" w:fill="auto"/>
          </w:tcPr>
          <w:p w14:paraId="683C30B5" w14:textId="77777777" w:rsidR="003F0D4E" w:rsidRPr="00097A86" w:rsidRDefault="003F0D4E" w:rsidP="00D22D3F">
            <w:pPr>
              <w:pStyle w:val="Tabletext"/>
            </w:pPr>
            <w:r w:rsidRPr="00097A86">
              <w:t>ASTM D 4057 – 06</w:t>
            </w:r>
          </w:p>
        </w:tc>
      </w:tr>
      <w:tr w:rsidR="003F0D4E" w:rsidRPr="00097A86" w14:paraId="42BFA93E" w14:textId="77777777" w:rsidTr="00C20CC2">
        <w:trPr>
          <w:trHeight w:val="439"/>
        </w:trPr>
        <w:tc>
          <w:tcPr>
            <w:tcW w:w="484" w:type="pct"/>
            <w:shd w:val="clear" w:color="auto" w:fill="auto"/>
          </w:tcPr>
          <w:p w14:paraId="0227E8AB" w14:textId="77777777" w:rsidR="003F0D4E" w:rsidRPr="00097A86" w:rsidRDefault="003F0D4E" w:rsidP="00D22D3F">
            <w:pPr>
              <w:pStyle w:val="Tabletext"/>
            </w:pPr>
            <w:r w:rsidRPr="00097A86">
              <w:t>13</w:t>
            </w:r>
          </w:p>
        </w:tc>
        <w:tc>
          <w:tcPr>
            <w:tcW w:w="2016" w:type="pct"/>
            <w:shd w:val="clear" w:color="auto" w:fill="auto"/>
          </w:tcPr>
          <w:p w14:paraId="50159C1F" w14:textId="77777777" w:rsidR="003F0D4E" w:rsidRPr="00097A86" w:rsidRDefault="003F0D4E" w:rsidP="00D22D3F">
            <w:pPr>
              <w:pStyle w:val="Tabletext"/>
            </w:pPr>
            <w:r w:rsidRPr="00097A86">
              <w:t>Solvents if mineral turpentine or white spirits</w:t>
            </w:r>
          </w:p>
        </w:tc>
        <w:tc>
          <w:tcPr>
            <w:tcW w:w="2500" w:type="pct"/>
            <w:shd w:val="clear" w:color="auto" w:fill="auto"/>
          </w:tcPr>
          <w:p w14:paraId="68132D59" w14:textId="77777777" w:rsidR="003F0D4E" w:rsidRPr="00097A86" w:rsidRDefault="003F0D4E" w:rsidP="00D22D3F">
            <w:pPr>
              <w:pStyle w:val="Tabletext"/>
            </w:pPr>
            <w:r w:rsidRPr="00097A86">
              <w:t>ASTM D 4057 – 06</w:t>
            </w:r>
          </w:p>
        </w:tc>
      </w:tr>
      <w:tr w:rsidR="003F0D4E" w:rsidRPr="00097A86" w14:paraId="444A1EB2" w14:textId="77777777" w:rsidTr="00C20CC2">
        <w:trPr>
          <w:trHeight w:val="401"/>
        </w:trPr>
        <w:tc>
          <w:tcPr>
            <w:tcW w:w="484" w:type="pct"/>
            <w:shd w:val="clear" w:color="auto" w:fill="auto"/>
          </w:tcPr>
          <w:p w14:paraId="4DCC774E" w14:textId="77777777" w:rsidR="003F0D4E" w:rsidRPr="00097A86" w:rsidRDefault="003F0D4E" w:rsidP="00D22D3F">
            <w:pPr>
              <w:pStyle w:val="Tabletext"/>
            </w:pPr>
            <w:r w:rsidRPr="00097A86">
              <w:t>14</w:t>
            </w:r>
          </w:p>
        </w:tc>
        <w:tc>
          <w:tcPr>
            <w:tcW w:w="2016" w:type="pct"/>
            <w:shd w:val="clear" w:color="auto" w:fill="auto"/>
          </w:tcPr>
          <w:p w14:paraId="3809C5A0" w14:textId="77777777" w:rsidR="003F0D4E" w:rsidRPr="00097A86" w:rsidRDefault="003F0D4E" w:rsidP="00D22D3F">
            <w:pPr>
              <w:pStyle w:val="Tabletext"/>
            </w:pPr>
            <w:r w:rsidRPr="00097A86">
              <w:t>Liquefied Petroleum Gas</w:t>
            </w:r>
          </w:p>
        </w:tc>
        <w:tc>
          <w:tcPr>
            <w:tcW w:w="2500" w:type="pct"/>
            <w:shd w:val="clear" w:color="auto" w:fill="auto"/>
          </w:tcPr>
          <w:p w14:paraId="69EF603E" w14:textId="77777777" w:rsidR="003F0D4E" w:rsidRPr="00097A86" w:rsidRDefault="003F0D4E" w:rsidP="00D22D3F">
            <w:pPr>
              <w:pStyle w:val="Tabletext"/>
            </w:pPr>
            <w:r w:rsidRPr="00097A86">
              <w:t xml:space="preserve">ASTM D1265 </w:t>
            </w:r>
            <w:r w:rsidR="005C3E39" w:rsidRPr="00097A86">
              <w:t>–</w:t>
            </w:r>
            <w:r w:rsidRPr="00097A86">
              <w:t xml:space="preserve"> 05)</w:t>
            </w:r>
          </w:p>
          <w:p w14:paraId="1F4C118D" w14:textId="77777777" w:rsidR="003F0D4E" w:rsidRPr="00097A86" w:rsidRDefault="003F0D4E" w:rsidP="00D22D3F">
            <w:pPr>
              <w:pStyle w:val="Tabletext"/>
            </w:pPr>
            <w:r w:rsidRPr="00097A86">
              <w:t>ISO 4257:2001</w:t>
            </w:r>
          </w:p>
        </w:tc>
      </w:tr>
      <w:tr w:rsidR="003F0D4E" w:rsidRPr="00097A86" w14:paraId="0ECC1E81" w14:textId="77777777" w:rsidTr="00C20CC2">
        <w:trPr>
          <w:trHeight w:val="304"/>
        </w:trPr>
        <w:tc>
          <w:tcPr>
            <w:tcW w:w="484" w:type="pct"/>
            <w:shd w:val="clear" w:color="auto" w:fill="auto"/>
          </w:tcPr>
          <w:p w14:paraId="6A886FA6" w14:textId="77777777" w:rsidR="003F0D4E" w:rsidRPr="00097A86" w:rsidRDefault="003F0D4E" w:rsidP="00D22D3F">
            <w:pPr>
              <w:pStyle w:val="Tabletext"/>
            </w:pPr>
            <w:r w:rsidRPr="00097A86">
              <w:t>15</w:t>
            </w:r>
          </w:p>
        </w:tc>
        <w:tc>
          <w:tcPr>
            <w:tcW w:w="2016" w:type="pct"/>
            <w:shd w:val="clear" w:color="auto" w:fill="auto"/>
          </w:tcPr>
          <w:p w14:paraId="0F301D1B" w14:textId="77777777" w:rsidR="003F0D4E" w:rsidRPr="00097A86" w:rsidRDefault="003F0D4E" w:rsidP="00D22D3F">
            <w:pPr>
              <w:pStyle w:val="Tabletext"/>
            </w:pPr>
            <w:r w:rsidRPr="00097A86">
              <w:t>Naphtha</w:t>
            </w:r>
          </w:p>
        </w:tc>
        <w:tc>
          <w:tcPr>
            <w:tcW w:w="2500" w:type="pct"/>
            <w:shd w:val="clear" w:color="auto" w:fill="auto"/>
          </w:tcPr>
          <w:p w14:paraId="43D95A91" w14:textId="77777777" w:rsidR="003F0D4E" w:rsidRPr="00097A86" w:rsidRDefault="003F0D4E" w:rsidP="00D22D3F">
            <w:pPr>
              <w:pStyle w:val="Tabletext"/>
            </w:pPr>
            <w:r w:rsidRPr="00097A86">
              <w:t>ISO 3170:2004</w:t>
            </w:r>
          </w:p>
          <w:p w14:paraId="04744AA4" w14:textId="77777777" w:rsidR="003F0D4E" w:rsidRPr="00097A86" w:rsidRDefault="003F0D4E" w:rsidP="00D22D3F">
            <w:pPr>
              <w:pStyle w:val="Tabletext"/>
            </w:pPr>
            <w:r w:rsidRPr="00097A86">
              <w:t>ISO 3171:1988</w:t>
            </w:r>
          </w:p>
          <w:p w14:paraId="7C602082" w14:textId="77777777" w:rsidR="003F0D4E" w:rsidRPr="00097A86" w:rsidRDefault="003F0D4E" w:rsidP="00D22D3F">
            <w:pPr>
              <w:pStyle w:val="Tabletext"/>
            </w:pPr>
            <w:r w:rsidRPr="00097A86">
              <w:t>ASTM D 4057 – 06</w:t>
            </w:r>
          </w:p>
        </w:tc>
      </w:tr>
      <w:tr w:rsidR="003F0D4E" w:rsidRPr="00097A86" w14:paraId="588273A1" w14:textId="77777777" w:rsidTr="00C20CC2">
        <w:trPr>
          <w:trHeight w:val="304"/>
        </w:trPr>
        <w:tc>
          <w:tcPr>
            <w:tcW w:w="484" w:type="pct"/>
            <w:shd w:val="clear" w:color="auto" w:fill="auto"/>
          </w:tcPr>
          <w:p w14:paraId="47BAF755" w14:textId="77777777" w:rsidR="003F0D4E" w:rsidRPr="00097A86" w:rsidRDefault="003F0D4E" w:rsidP="00D22D3F">
            <w:pPr>
              <w:pStyle w:val="Tabletext"/>
            </w:pPr>
            <w:r w:rsidRPr="00097A86">
              <w:t>16</w:t>
            </w:r>
          </w:p>
        </w:tc>
        <w:tc>
          <w:tcPr>
            <w:tcW w:w="2016" w:type="pct"/>
            <w:shd w:val="clear" w:color="auto" w:fill="auto"/>
          </w:tcPr>
          <w:p w14:paraId="6AAF41C2" w14:textId="77777777" w:rsidR="003F0D4E" w:rsidRPr="00097A86" w:rsidRDefault="003F0D4E" w:rsidP="00D22D3F">
            <w:pPr>
              <w:pStyle w:val="Tabletext"/>
            </w:pPr>
            <w:r w:rsidRPr="00097A86">
              <w:t>Petroleum coke</w:t>
            </w:r>
          </w:p>
        </w:tc>
        <w:tc>
          <w:tcPr>
            <w:tcW w:w="2500" w:type="pct"/>
            <w:shd w:val="clear" w:color="auto" w:fill="auto"/>
          </w:tcPr>
          <w:p w14:paraId="607A8D0F" w14:textId="77777777" w:rsidR="003F0D4E" w:rsidRPr="00097A86" w:rsidRDefault="003F0D4E" w:rsidP="00D22D3F">
            <w:pPr>
              <w:pStyle w:val="Tabletext"/>
            </w:pPr>
            <w:r w:rsidRPr="00097A86">
              <w:t>ASTM D 4057 – 06</w:t>
            </w:r>
          </w:p>
        </w:tc>
      </w:tr>
      <w:tr w:rsidR="003F0D4E" w:rsidRPr="00097A86" w14:paraId="35ABA251" w14:textId="77777777" w:rsidTr="00C20CC2">
        <w:trPr>
          <w:trHeight w:val="304"/>
        </w:trPr>
        <w:tc>
          <w:tcPr>
            <w:tcW w:w="484" w:type="pct"/>
            <w:shd w:val="clear" w:color="auto" w:fill="auto"/>
          </w:tcPr>
          <w:p w14:paraId="1F9AD902" w14:textId="77777777" w:rsidR="003F0D4E" w:rsidRPr="00097A86" w:rsidRDefault="003F0D4E" w:rsidP="00D22D3F">
            <w:pPr>
              <w:pStyle w:val="Tabletext"/>
            </w:pPr>
            <w:r w:rsidRPr="00097A86">
              <w:t>17</w:t>
            </w:r>
          </w:p>
        </w:tc>
        <w:tc>
          <w:tcPr>
            <w:tcW w:w="2016" w:type="pct"/>
            <w:shd w:val="clear" w:color="auto" w:fill="auto"/>
          </w:tcPr>
          <w:p w14:paraId="1283DC53" w14:textId="77777777" w:rsidR="003F0D4E" w:rsidRPr="00097A86" w:rsidRDefault="003F0D4E" w:rsidP="00D22D3F">
            <w:pPr>
              <w:pStyle w:val="Tabletext"/>
            </w:pPr>
            <w:r w:rsidRPr="00097A86">
              <w:t>Refinery gas and liquids</w:t>
            </w:r>
          </w:p>
        </w:tc>
        <w:tc>
          <w:tcPr>
            <w:tcW w:w="2500" w:type="pct"/>
            <w:shd w:val="clear" w:color="auto" w:fill="auto"/>
          </w:tcPr>
          <w:p w14:paraId="67A81146" w14:textId="77777777" w:rsidR="003F0D4E" w:rsidRPr="00097A86" w:rsidRDefault="003F0D4E" w:rsidP="00D22D3F">
            <w:pPr>
              <w:pStyle w:val="Tabletext"/>
            </w:pPr>
            <w:r w:rsidRPr="00097A86">
              <w:t>ASTM D 4057 – 06</w:t>
            </w:r>
          </w:p>
        </w:tc>
      </w:tr>
      <w:tr w:rsidR="003F0D4E" w:rsidRPr="00097A86" w14:paraId="78A468FE" w14:textId="77777777" w:rsidTr="00C20CC2">
        <w:trPr>
          <w:trHeight w:val="304"/>
        </w:trPr>
        <w:tc>
          <w:tcPr>
            <w:tcW w:w="484" w:type="pct"/>
            <w:shd w:val="clear" w:color="auto" w:fill="auto"/>
          </w:tcPr>
          <w:p w14:paraId="147EC8E2" w14:textId="77777777" w:rsidR="003F0D4E" w:rsidRPr="00097A86" w:rsidRDefault="003F0D4E" w:rsidP="00D22D3F">
            <w:pPr>
              <w:pStyle w:val="Tabletext"/>
            </w:pPr>
            <w:r w:rsidRPr="00097A86">
              <w:t>18</w:t>
            </w:r>
          </w:p>
        </w:tc>
        <w:tc>
          <w:tcPr>
            <w:tcW w:w="2016" w:type="pct"/>
            <w:shd w:val="clear" w:color="auto" w:fill="auto"/>
          </w:tcPr>
          <w:p w14:paraId="5EED3634" w14:textId="77777777" w:rsidR="003F0D4E" w:rsidRPr="00097A86" w:rsidRDefault="003F0D4E" w:rsidP="00D22D3F">
            <w:pPr>
              <w:pStyle w:val="Tabletext"/>
            </w:pPr>
            <w:r w:rsidRPr="00097A86">
              <w:t>Refinery coke</w:t>
            </w:r>
          </w:p>
        </w:tc>
        <w:tc>
          <w:tcPr>
            <w:tcW w:w="2500" w:type="pct"/>
            <w:shd w:val="clear" w:color="auto" w:fill="auto"/>
          </w:tcPr>
          <w:p w14:paraId="4D455A42" w14:textId="77777777" w:rsidR="003F0D4E" w:rsidRPr="00097A86" w:rsidRDefault="003F0D4E" w:rsidP="00D22D3F">
            <w:pPr>
              <w:pStyle w:val="Tabletext"/>
            </w:pPr>
            <w:r w:rsidRPr="00097A86">
              <w:t>ASTM D 4057 – 06</w:t>
            </w:r>
          </w:p>
        </w:tc>
      </w:tr>
      <w:tr w:rsidR="003F0D4E" w:rsidRPr="00097A86" w14:paraId="0FD1CFB3" w14:textId="77777777" w:rsidTr="00C20CC2">
        <w:trPr>
          <w:trHeight w:val="304"/>
        </w:trPr>
        <w:tc>
          <w:tcPr>
            <w:tcW w:w="484" w:type="pct"/>
            <w:shd w:val="clear" w:color="auto" w:fill="auto"/>
          </w:tcPr>
          <w:p w14:paraId="565CE25E" w14:textId="77777777" w:rsidR="003F0D4E" w:rsidRPr="00097A86" w:rsidRDefault="003F0D4E" w:rsidP="00D22D3F">
            <w:pPr>
              <w:pStyle w:val="Tabletext"/>
            </w:pPr>
            <w:r w:rsidRPr="00097A86">
              <w:t>19</w:t>
            </w:r>
          </w:p>
        </w:tc>
        <w:tc>
          <w:tcPr>
            <w:tcW w:w="2016" w:type="pct"/>
            <w:shd w:val="clear" w:color="auto" w:fill="auto"/>
          </w:tcPr>
          <w:p w14:paraId="446500FF" w14:textId="77777777" w:rsidR="003F0D4E" w:rsidRPr="00097A86" w:rsidRDefault="003F0D4E" w:rsidP="00D22D3F">
            <w:pPr>
              <w:pStyle w:val="Tabletext"/>
              <w:rPr>
                <w:snapToGrid w:val="0"/>
              </w:rPr>
            </w:pPr>
            <w:r w:rsidRPr="00097A86">
              <w:rPr>
                <w:snapToGrid w:val="0"/>
              </w:rPr>
              <w:t>Petroleum based products other than:</w:t>
            </w:r>
          </w:p>
          <w:p w14:paraId="71E41019" w14:textId="77777777" w:rsidR="003F0D4E" w:rsidRPr="00097A86" w:rsidRDefault="00D22D3F" w:rsidP="00D22D3F">
            <w:pPr>
              <w:pStyle w:val="Tablea"/>
              <w:rPr>
                <w:snapToGrid w:val="0"/>
              </w:rPr>
            </w:pPr>
            <w:r w:rsidRPr="00097A86">
              <w:rPr>
                <w:snapToGrid w:val="0"/>
              </w:rPr>
              <w:t>(</w:t>
            </w:r>
            <w:r w:rsidR="003F0D4E" w:rsidRPr="00097A86">
              <w:rPr>
                <w:snapToGrid w:val="0"/>
              </w:rPr>
              <w:t>a</w:t>
            </w:r>
            <w:r w:rsidRPr="00097A86">
              <w:rPr>
                <w:snapToGrid w:val="0"/>
              </w:rPr>
              <w:t xml:space="preserve">) </w:t>
            </w:r>
            <w:r w:rsidR="003F0D4E" w:rsidRPr="00097A86">
              <w:rPr>
                <w:snapToGrid w:val="0"/>
              </w:rPr>
              <w:t>petroleum based oils and petroleum based greases mentioned in items</w:t>
            </w:r>
            <w:r w:rsidR="00097A86">
              <w:rPr>
                <w:snapToGrid w:val="0"/>
              </w:rPr>
              <w:t> </w:t>
            </w:r>
            <w:r w:rsidR="003F0D4E" w:rsidRPr="00097A86">
              <w:rPr>
                <w:snapToGrid w:val="0"/>
              </w:rPr>
              <w:t xml:space="preserve">1 and 2; and </w:t>
            </w:r>
          </w:p>
          <w:p w14:paraId="554A8AA3" w14:textId="77777777" w:rsidR="003F0D4E" w:rsidRPr="00097A86" w:rsidRDefault="00D22D3F" w:rsidP="00D22D3F">
            <w:pPr>
              <w:pStyle w:val="Tablea"/>
            </w:pPr>
            <w:r w:rsidRPr="00097A86">
              <w:rPr>
                <w:snapToGrid w:val="0"/>
              </w:rPr>
              <w:t>(</w:t>
            </w:r>
            <w:r w:rsidR="003F0D4E" w:rsidRPr="00097A86">
              <w:rPr>
                <w:snapToGrid w:val="0"/>
              </w:rPr>
              <w:t>b</w:t>
            </w:r>
            <w:r w:rsidRPr="00097A86">
              <w:rPr>
                <w:snapToGrid w:val="0"/>
              </w:rPr>
              <w:t xml:space="preserve">) </w:t>
            </w:r>
            <w:r w:rsidR="003F0D4E" w:rsidRPr="00097A86">
              <w:rPr>
                <w:snapToGrid w:val="0"/>
              </w:rPr>
              <w:t>the petroleum based products mentioned in items</w:t>
            </w:r>
            <w:r w:rsidR="00097A86">
              <w:rPr>
                <w:snapToGrid w:val="0"/>
              </w:rPr>
              <w:t> </w:t>
            </w:r>
            <w:r w:rsidR="003F0D4E" w:rsidRPr="00097A86">
              <w:rPr>
                <w:snapToGrid w:val="0"/>
              </w:rPr>
              <w:t>3 to 18</w:t>
            </w:r>
          </w:p>
        </w:tc>
        <w:tc>
          <w:tcPr>
            <w:tcW w:w="2500" w:type="pct"/>
            <w:shd w:val="clear" w:color="auto" w:fill="auto"/>
          </w:tcPr>
          <w:p w14:paraId="27B57D49" w14:textId="77777777" w:rsidR="003F0D4E" w:rsidRPr="00097A86" w:rsidRDefault="003F0D4E" w:rsidP="00D22D3F">
            <w:pPr>
              <w:pStyle w:val="Tabletext"/>
            </w:pPr>
            <w:r w:rsidRPr="00097A86">
              <w:t>ISO 3170:2004</w:t>
            </w:r>
          </w:p>
          <w:p w14:paraId="78942CD6" w14:textId="77777777" w:rsidR="003F0D4E" w:rsidRPr="00097A86" w:rsidRDefault="003F0D4E" w:rsidP="00D22D3F">
            <w:pPr>
              <w:pStyle w:val="Tabletext"/>
            </w:pPr>
            <w:r w:rsidRPr="00097A86">
              <w:t>ISO 3171:1988</w:t>
            </w:r>
          </w:p>
          <w:p w14:paraId="67890D58" w14:textId="77777777" w:rsidR="003F0D4E" w:rsidRPr="00097A86" w:rsidRDefault="003F0D4E" w:rsidP="00D22D3F">
            <w:pPr>
              <w:pStyle w:val="Tabletext"/>
            </w:pPr>
            <w:r w:rsidRPr="00097A86">
              <w:t>ASTM D 4057 – 06</w:t>
            </w:r>
          </w:p>
        </w:tc>
      </w:tr>
      <w:tr w:rsidR="003F0D4E" w:rsidRPr="00097A86" w14:paraId="66A54BAD" w14:textId="77777777" w:rsidTr="00C20CC2">
        <w:trPr>
          <w:trHeight w:val="304"/>
        </w:trPr>
        <w:tc>
          <w:tcPr>
            <w:tcW w:w="484" w:type="pct"/>
            <w:shd w:val="clear" w:color="auto" w:fill="auto"/>
          </w:tcPr>
          <w:p w14:paraId="7F19BAA0" w14:textId="77777777" w:rsidR="003F0D4E" w:rsidRPr="00097A86" w:rsidRDefault="003F0D4E" w:rsidP="00D22D3F">
            <w:pPr>
              <w:pStyle w:val="Tabletext"/>
            </w:pPr>
            <w:r w:rsidRPr="00097A86">
              <w:t>20</w:t>
            </w:r>
          </w:p>
        </w:tc>
        <w:tc>
          <w:tcPr>
            <w:tcW w:w="2016" w:type="pct"/>
            <w:shd w:val="clear" w:color="auto" w:fill="auto"/>
          </w:tcPr>
          <w:p w14:paraId="19197999" w14:textId="77777777" w:rsidR="003F0D4E" w:rsidRPr="00097A86" w:rsidRDefault="003F0D4E" w:rsidP="00D22D3F">
            <w:pPr>
              <w:pStyle w:val="Tabletext"/>
            </w:pPr>
            <w:r w:rsidRPr="00097A86">
              <w:t xml:space="preserve">Biodiesel </w:t>
            </w:r>
          </w:p>
        </w:tc>
        <w:tc>
          <w:tcPr>
            <w:tcW w:w="2500" w:type="pct"/>
            <w:shd w:val="clear" w:color="auto" w:fill="auto"/>
          </w:tcPr>
          <w:p w14:paraId="015AA499" w14:textId="77777777" w:rsidR="003F0D4E" w:rsidRPr="00097A86" w:rsidRDefault="003F0D4E" w:rsidP="00D22D3F">
            <w:pPr>
              <w:pStyle w:val="Tabletext"/>
            </w:pPr>
            <w:r w:rsidRPr="00097A86">
              <w:t>ISO 3170:2004</w:t>
            </w:r>
          </w:p>
          <w:p w14:paraId="0D693609" w14:textId="77777777" w:rsidR="003F0D4E" w:rsidRPr="00097A86" w:rsidRDefault="003F0D4E" w:rsidP="00D22D3F">
            <w:pPr>
              <w:pStyle w:val="Tabletext"/>
            </w:pPr>
            <w:r w:rsidRPr="00097A86">
              <w:t>ISO 3171:1988</w:t>
            </w:r>
          </w:p>
          <w:p w14:paraId="184AB072" w14:textId="77777777" w:rsidR="003F0D4E" w:rsidRPr="00097A86" w:rsidRDefault="003F0D4E" w:rsidP="00D22D3F">
            <w:pPr>
              <w:pStyle w:val="Tabletext"/>
            </w:pPr>
            <w:r w:rsidRPr="00097A86">
              <w:t>ASTM D 4057 – 06</w:t>
            </w:r>
          </w:p>
          <w:p w14:paraId="045FB4BC" w14:textId="77777777" w:rsidR="003F0D4E" w:rsidRPr="00097A86" w:rsidRDefault="003F0D4E" w:rsidP="00D22D3F">
            <w:pPr>
              <w:pStyle w:val="Tabletext"/>
            </w:pPr>
            <w:r w:rsidRPr="00097A86">
              <w:t>ASTM D 4177 – 95 (2005)</w:t>
            </w:r>
          </w:p>
        </w:tc>
      </w:tr>
      <w:tr w:rsidR="003F0D4E" w:rsidRPr="00097A86" w14:paraId="5B709992" w14:textId="77777777" w:rsidTr="00C20CC2">
        <w:trPr>
          <w:trHeight w:val="304"/>
        </w:trPr>
        <w:tc>
          <w:tcPr>
            <w:tcW w:w="484" w:type="pct"/>
            <w:tcBorders>
              <w:bottom w:val="single" w:sz="4" w:space="0" w:color="auto"/>
            </w:tcBorders>
            <w:shd w:val="clear" w:color="auto" w:fill="auto"/>
          </w:tcPr>
          <w:p w14:paraId="6E5516F5" w14:textId="77777777" w:rsidR="003F0D4E" w:rsidRPr="00097A86" w:rsidRDefault="003F0D4E" w:rsidP="00D22D3F">
            <w:pPr>
              <w:pStyle w:val="Tabletext"/>
            </w:pPr>
            <w:r w:rsidRPr="00097A86">
              <w:t>21</w:t>
            </w:r>
          </w:p>
        </w:tc>
        <w:tc>
          <w:tcPr>
            <w:tcW w:w="2016" w:type="pct"/>
            <w:tcBorders>
              <w:bottom w:val="single" w:sz="4" w:space="0" w:color="auto"/>
            </w:tcBorders>
            <w:shd w:val="clear" w:color="auto" w:fill="auto"/>
          </w:tcPr>
          <w:p w14:paraId="515E94C3" w14:textId="77777777" w:rsidR="003F0D4E" w:rsidRPr="00097A86" w:rsidRDefault="003F0D4E" w:rsidP="00D22D3F">
            <w:pPr>
              <w:pStyle w:val="Tabletext"/>
            </w:pPr>
            <w:r w:rsidRPr="00097A86">
              <w:t>Ethanol for use as a fuel in an internal combustion engine</w:t>
            </w:r>
          </w:p>
        </w:tc>
        <w:tc>
          <w:tcPr>
            <w:tcW w:w="2500" w:type="pct"/>
            <w:tcBorders>
              <w:bottom w:val="single" w:sz="4" w:space="0" w:color="auto"/>
            </w:tcBorders>
            <w:shd w:val="clear" w:color="auto" w:fill="auto"/>
          </w:tcPr>
          <w:p w14:paraId="347DDC13" w14:textId="77777777" w:rsidR="003F0D4E" w:rsidRPr="00097A86" w:rsidRDefault="003F0D4E" w:rsidP="00D22D3F">
            <w:pPr>
              <w:pStyle w:val="Tabletext"/>
            </w:pPr>
            <w:r w:rsidRPr="00097A86">
              <w:t>ASTM D 4057 – 06</w:t>
            </w:r>
          </w:p>
        </w:tc>
      </w:tr>
      <w:tr w:rsidR="003F0D4E" w:rsidRPr="00097A86" w14:paraId="097D0D15" w14:textId="77777777" w:rsidTr="00C20CC2">
        <w:trPr>
          <w:trHeight w:val="195"/>
        </w:trPr>
        <w:tc>
          <w:tcPr>
            <w:tcW w:w="484" w:type="pct"/>
            <w:tcBorders>
              <w:bottom w:val="single" w:sz="4" w:space="0" w:color="auto"/>
            </w:tcBorders>
            <w:shd w:val="clear" w:color="auto" w:fill="auto"/>
          </w:tcPr>
          <w:p w14:paraId="09C0599F" w14:textId="77777777" w:rsidR="003F0D4E" w:rsidRPr="00097A86" w:rsidRDefault="003F0D4E" w:rsidP="00D22D3F">
            <w:pPr>
              <w:pStyle w:val="Tabletext"/>
            </w:pPr>
            <w:bookmarkStart w:id="168" w:name="CU_23250275"/>
            <w:bookmarkEnd w:id="168"/>
            <w:r w:rsidRPr="00097A86">
              <w:t>22</w:t>
            </w:r>
          </w:p>
        </w:tc>
        <w:tc>
          <w:tcPr>
            <w:tcW w:w="2016" w:type="pct"/>
            <w:tcBorders>
              <w:bottom w:val="single" w:sz="4" w:space="0" w:color="auto"/>
            </w:tcBorders>
            <w:shd w:val="clear" w:color="auto" w:fill="auto"/>
          </w:tcPr>
          <w:p w14:paraId="333AEB99" w14:textId="77777777" w:rsidR="003F0D4E" w:rsidRPr="00097A86" w:rsidRDefault="003F0D4E" w:rsidP="00D22D3F">
            <w:pPr>
              <w:pStyle w:val="Tabletext"/>
            </w:pPr>
            <w:r w:rsidRPr="00097A86">
              <w:t>Biofuels other than those mentioned in items</w:t>
            </w:r>
            <w:r w:rsidR="00097A86">
              <w:t> </w:t>
            </w:r>
            <w:r w:rsidRPr="00097A86">
              <w:t>20 and 21</w:t>
            </w:r>
          </w:p>
        </w:tc>
        <w:tc>
          <w:tcPr>
            <w:tcW w:w="2500" w:type="pct"/>
            <w:tcBorders>
              <w:bottom w:val="single" w:sz="4" w:space="0" w:color="auto"/>
            </w:tcBorders>
            <w:shd w:val="clear" w:color="auto" w:fill="auto"/>
          </w:tcPr>
          <w:p w14:paraId="766D2751" w14:textId="77777777" w:rsidR="003F0D4E" w:rsidRPr="00097A86" w:rsidRDefault="003F0D4E" w:rsidP="00D22D3F">
            <w:pPr>
              <w:pStyle w:val="Tabletext"/>
            </w:pPr>
            <w:r w:rsidRPr="00097A86">
              <w:t>ISO 3170:2004</w:t>
            </w:r>
          </w:p>
          <w:p w14:paraId="548A4D5A" w14:textId="77777777" w:rsidR="003F0D4E" w:rsidRPr="00097A86" w:rsidRDefault="003F0D4E" w:rsidP="00D22D3F">
            <w:pPr>
              <w:pStyle w:val="Tabletext"/>
            </w:pPr>
            <w:r w:rsidRPr="00097A86">
              <w:t>ISO 3171:1988</w:t>
            </w:r>
          </w:p>
          <w:p w14:paraId="58C66A82" w14:textId="77777777" w:rsidR="003F0D4E" w:rsidRPr="00097A86" w:rsidRDefault="003F0D4E" w:rsidP="00D22D3F">
            <w:pPr>
              <w:pStyle w:val="Tabletext"/>
            </w:pPr>
            <w:r w:rsidRPr="00097A86">
              <w:t>ASTM D 4057 – 06</w:t>
            </w:r>
          </w:p>
          <w:p w14:paraId="4EF0DDE2" w14:textId="77777777" w:rsidR="003F0D4E" w:rsidRPr="00097A86" w:rsidRDefault="003F0D4E" w:rsidP="00D22D3F">
            <w:pPr>
              <w:pStyle w:val="Tabletext"/>
            </w:pPr>
            <w:r w:rsidRPr="00097A86">
              <w:t>ASTM D 4177 – 95 (2005)</w:t>
            </w:r>
          </w:p>
        </w:tc>
      </w:tr>
    </w:tbl>
    <w:p w14:paraId="1D6B9A46" w14:textId="77777777" w:rsidR="003F0D4E" w:rsidRPr="00097A86" w:rsidRDefault="003F0D4E" w:rsidP="00D22D3F">
      <w:pPr>
        <w:pStyle w:val="subsection"/>
      </w:pPr>
      <w:r w:rsidRPr="00097A86">
        <w:lastRenderedPageBreak/>
        <w:tab/>
        <w:t>(4)</w:t>
      </w:r>
      <w:r w:rsidRPr="00097A86">
        <w:tab/>
        <w:t xml:space="preserve">A liquid fuel may also be sampled in accordance with a standard that is equivalent to a standard set out in the table in </w:t>
      </w:r>
      <w:r w:rsidR="00097A86">
        <w:t>subsection (</w:t>
      </w:r>
      <w:r w:rsidRPr="00097A86">
        <w:t>3) in relation to that liquid fuel.</w:t>
      </w:r>
    </w:p>
    <w:p w14:paraId="440A3962" w14:textId="77777777" w:rsidR="00111EA0" w:rsidRPr="00097A86" w:rsidRDefault="00111EA0" w:rsidP="009A46A7">
      <w:pPr>
        <w:pStyle w:val="ActHead3"/>
        <w:pageBreakBefore/>
      </w:pPr>
      <w:bookmarkStart w:id="169" w:name="_Toc13233611"/>
      <w:r w:rsidRPr="00097A86">
        <w:rPr>
          <w:rStyle w:val="CharDivNo"/>
        </w:rPr>
        <w:lastRenderedPageBreak/>
        <w:t>Division</w:t>
      </w:r>
      <w:r w:rsidR="00097A86">
        <w:rPr>
          <w:rStyle w:val="CharDivNo"/>
        </w:rPr>
        <w:t> </w:t>
      </w:r>
      <w:r w:rsidRPr="00097A86">
        <w:rPr>
          <w:rStyle w:val="CharDivNo"/>
        </w:rPr>
        <w:t>2.4.5</w:t>
      </w:r>
      <w:r w:rsidR="00D22D3F" w:rsidRPr="00097A86">
        <w:t>—</w:t>
      </w:r>
      <w:r w:rsidRPr="00097A86">
        <w:rPr>
          <w:rStyle w:val="CharDivText"/>
        </w:rPr>
        <w:t>Method 2</w:t>
      </w:r>
      <w:r w:rsidR="00D22D3F" w:rsidRPr="00097A86">
        <w:rPr>
          <w:rStyle w:val="CharDivText"/>
        </w:rPr>
        <w:t>—</w:t>
      </w:r>
      <w:r w:rsidRPr="00097A86">
        <w:rPr>
          <w:rStyle w:val="CharDivText"/>
        </w:rPr>
        <w:t>emissions of methane and nitrous oxide from liquid fuels other than petroleum based oils or greases</w:t>
      </w:r>
      <w:bookmarkEnd w:id="169"/>
    </w:p>
    <w:p w14:paraId="57484927" w14:textId="77777777" w:rsidR="003F0D4E" w:rsidRPr="00097A86" w:rsidRDefault="003F0D4E" w:rsidP="00D22D3F">
      <w:pPr>
        <w:pStyle w:val="ActHead5"/>
      </w:pPr>
      <w:bookmarkStart w:id="170" w:name="_Toc13233612"/>
      <w:r w:rsidRPr="00097A86">
        <w:rPr>
          <w:rStyle w:val="CharSectno"/>
        </w:rPr>
        <w:t>2.48</w:t>
      </w:r>
      <w:r w:rsidR="00D22D3F" w:rsidRPr="00097A86">
        <w:t xml:space="preserve">  </w:t>
      </w:r>
      <w:r w:rsidRPr="00097A86">
        <w:t>Method 2</w:t>
      </w:r>
      <w:r w:rsidR="00D22D3F" w:rsidRPr="00097A86">
        <w:t>—</w:t>
      </w:r>
      <w:r w:rsidRPr="00097A86">
        <w:t>emissions of methane and nitrous oxide from the combustion of liquid fuels</w:t>
      </w:r>
      <w:bookmarkEnd w:id="170"/>
    </w:p>
    <w:p w14:paraId="0B2B543C" w14:textId="77777777" w:rsidR="003F0D4E" w:rsidRPr="00097A86" w:rsidRDefault="003F0D4E" w:rsidP="00D22D3F">
      <w:pPr>
        <w:pStyle w:val="subsection"/>
      </w:pPr>
      <w:r w:rsidRPr="00097A86">
        <w:tab/>
        <w:t>(1)</w:t>
      </w:r>
      <w:r w:rsidRPr="00097A86">
        <w:tab/>
        <w:t>For subparagraph</w:t>
      </w:r>
      <w:r w:rsidR="00097A86">
        <w:t> </w:t>
      </w:r>
      <w:r w:rsidRPr="00097A86">
        <w:t>2.40</w:t>
      </w:r>
      <w:r w:rsidR="008A729A" w:rsidRPr="00097A86">
        <w:t>(</w:t>
      </w:r>
      <w:r w:rsidRPr="00097A86">
        <w:t>1)</w:t>
      </w:r>
      <w:r w:rsidR="008A729A" w:rsidRPr="00097A86">
        <w:t>(</w:t>
      </w:r>
      <w:r w:rsidRPr="00097A86">
        <w:t>b)</w:t>
      </w:r>
      <w:r w:rsidR="008A729A" w:rsidRPr="00097A86">
        <w:t>(</w:t>
      </w:r>
      <w:r w:rsidRPr="00097A86">
        <w:t xml:space="preserve">ii) and subject to </w:t>
      </w:r>
      <w:r w:rsidR="00097A86">
        <w:t>subsection (</w:t>
      </w:r>
      <w:r w:rsidRPr="00097A86">
        <w:t>2), method 2 for estimating emissions of methane and nitrous oxide is the same as method 1 under section</w:t>
      </w:r>
      <w:r w:rsidR="00097A86">
        <w:t> </w:t>
      </w:r>
      <w:r w:rsidRPr="00097A86">
        <w:t>2.41.</w:t>
      </w:r>
    </w:p>
    <w:p w14:paraId="184B26F7" w14:textId="77777777" w:rsidR="003F0D4E" w:rsidRPr="00097A86" w:rsidRDefault="003F0D4E" w:rsidP="00D22D3F">
      <w:pPr>
        <w:pStyle w:val="subsection"/>
      </w:pPr>
      <w:r w:rsidRPr="00097A86">
        <w:tab/>
        <w:t>(2)</w:t>
      </w:r>
      <w:r w:rsidRPr="00097A86">
        <w:tab/>
        <w:t>In applying method 1 in section</w:t>
      </w:r>
      <w:r w:rsidR="00097A86">
        <w:t> </w:t>
      </w:r>
      <w:r w:rsidRPr="00097A86">
        <w:t xml:space="preserve">2.41, the emission factor </w:t>
      </w:r>
      <w:r w:rsidRPr="00097A86">
        <w:rPr>
          <w:b/>
          <w:i/>
        </w:rPr>
        <w:t>EF</w:t>
      </w:r>
      <w:r w:rsidRPr="00097A86">
        <w:rPr>
          <w:b/>
          <w:i/>
          <w:vertAlign w:val="subscript"/>
        </w:rPr>
        <w:t>ijoxec</w:t>
      </w:r>
      <w:r w:rsidRPr="00097A86">
        <w:t xml:space="preserve"> is</w:t>
      </w:r>
      <w:r w:rsidRPr="00097A86">
        <w:rPr>
          <w:b/>
          <w:i/>
          <w:vertAlign w:val="subscript"/>
        </w:rPr>
        <w:t xml:space="preserve"> </w:t>
      </w:r>
      <w:r w:rsidRPr="00097A86">
        <w:t>taken to be the emission factor set out in:</w:t>
      </w:r>
    </w:p>
    <w:p w14:paraId="162288CE" w14:textId="77777777" w:rsidR="003F0D4E" w:rsidRPr="00097A86" w:rsidRDefault="003F0D4E" w:rsidP="00D22D3F">
      <w:pPr>
        <w:pStyle w:val="paragraph"/>
      </w:pPr>
      <w:r w:rsidRPr="00097A86">
        <w:tab/>
        <w:t>(a)</w:t>
      </w:r>
      <w:r w:rsidRPr="00097A86">
        <w:tab/>
        <w:t>for combustion of fuel by vehicles manufactured after 2004</w:t>
      </w:r>
      <w:r w:rsidR="00D22D3F" w:rsidRPr="00097A86">
        <w:t>—</w:t>
      </w:r>
      <w:r w:rsidR="003E5367" w:rsidRPr="00097A86">
        <w:t xml:space="preserve">columns 5 and 6 </w:t>
      </w:r>
      <w:r w:rsidRPr="00097A86">
        <w:t>of the table in Division</w:t>
      </w:r>
      <w:r w:rsidR="00097A86">
        <w:t> </w:t>
      </w:r>
      <w:r w:rsidRPr="00097A86">
        <w:t>4.2 of Part</w:t>
      </w:r>
      <w:r w:rsidR="00097A86">
        <w:t> </w:t>
      </w:r>
      <w:r w:rsidRPr="00097A86">
        <w:t>4 of Schedule</w:t>
      </w:r>
      <w:r w:rsidR="00097A86">
        <w:t> </w:t>
      </w:r>
      <w:r w:rsidRPr="00097A86">
        <w:t>1; and</w:t>
      </w:r>
    </w:p>
    <w:p w14:paraId="45E70DB8" w14:textId="77777777" w:rsidR="003F0D4E" w:rsidRPr="00097A86" w:rsidRDefault="003F0D4E" w:rsidP="00D22D3F">
      <w:pPr>
        <w:pStyle w:val="paragraph"/>
      </w:pPr>
      <w:r w:rsidRPr="00097A86">
        <w:tab/>
        <w:t>(b)</w:t>
      </w:r>
      <w:r w:rsidRPr="00097A86">
        <w:tab/>
        <w:t xml:space="preserve">for combustion of fuel by trucks that meet the design standards mentioned in </w:t>
      </w:r>
      <w:r w:rsidR="003E5367" w:rsidRPr="00097A86">
        <w:t xml:space="preserve">column 3 </w:t>
      </w:r>
      <w:r w:rsidRPr="00097A86">
        <w:t>of the table in Division</w:t>
      </w:r>
      <w:r w:rsidR="00097A86">
        <w:t> </w:t>
      </w:r>
      <w:r w:rsidRPr="00097A86">
        <w:t>4.3 of Part</w:t>
      </w:r>
      <w:r w:rsidR="00097A86">
        <w:t> </w:t>
      </w:r>
      <w:r w:rsidRPr="00097A86">
        <w:t>4 of Schedule</w:t>
      </w:r>
      <w:r w:rsidR="00097A86">
        <w:t> </w:t>
      </w:r>
      <w:r w:rsidRPr="00097A86">
        <w:t>1</w:t>
      </w:r>
      <w:r w:rsidR="00D22D3F" w:rsidRPr="00097A86">
        <w:t>—</w:t>
      </w:r>
      <w:r w:rsidR="003E5367" w:rsidRPr="00097A86">
        <w:t xml:space="preserve">columns 6 and 7 </w:t>
      </w:r>
      <w:r w:rsidRPr="00097A86">
        <w:t>of the table in that Division.</w:t>
      </w:r>
    </w:p>
    <w:p w14:paraId="4C061F3D" w14:textId="77777777" w:rsidR="00111EA0" w:rsidRPr="00097A86" w:rsidRDefault="00111EA0" w:rsidP="00D22D3F">
      <w:pPr>
        <w:pStyle w:val="ActHead3"/>
        <w:pageBreakBefore/>
      </w:pPr>
      <w:bookmarkStart w:id="171" w:name="_Toc13233613"/>
      <w:r w:rsidRPr="00097A86">
        <w:rPr>
          <w:rStyle w:val="CharDivNo"/>
        </w:rPr>
        <w:lastRenderedPageBreak/>
        <w:t>Division</w:t>
      </w:r>
      <w:r w:rsidR="00097A86">
        <w:rPr>
          <w:rStyle w:val="CharDivNo"/>
        </w:rPr>
        <w:t> </w:t>
      </w:r>
      <w:r w:rsidRPr="00097A86">
        <w:rPr>
          <w:rStyle w:val="CharDivNo"/>
        </w:rPr>
        <w:t>2.4.5A</w:t>
      </w:r>
      <w:r w:rsidR="00D22D3F" w:rsidRPr="00097A86">
        <w:t>—</w:t>
      </w:r>
      <w:r w:rsidRPr="00097A86">
        <w:rPr>
          <w:rStyle w:val="CharDivText"/>
        </w:rPr>
        <w:t>Methods for estimating emissions of carbon dioxide from petroleum based oils or greases</w:t>
      </w:r>
      <w:bookmarkEnd w:id="171"/>
    </w:p>
    <w:p w14:paraId="21E9475F" w14:textId="77777777" w:rsidR="00111EA0" w:rsidRPr="00097A86" w:rsidRDefault="00111EA0" w:rsidP="00D22D3F">
      <w:pPr>
        <w:pStyle w:val="ActHead5"/>
      </w:pPr>
      <w:bookmarkStart w:id="172" w:name="_Toc13233614"/>
      <w:r w:rsidRPr="00097A86">
        <w:rPr>
          <w:rStyle w:val="CharSectno"/>
        </w:rPr>
        <w:t>2.48A</w:t>
      </w:r>
      <w:r w:rsidR="00D22D3F" w:rsidRPr="00097A86">
        <w:t xml:space="preserve">  </w:t>
      </w:r>
      <w:r w:rsidRPr="00097A86">
        <w:t>Method 1</w:t>
      </w:r>
      <w:r w:rsidR="00D22D3F" w:rsidRPr="00097A86">
        <w:t>—</w:t>
      </w:r>
      <w:r w:rsidRPr="00097A86">
        <w:t>estimating emissions of carbon dioxide using an estimated oxidation factor</w:t>
      </w:r>
      <w:bookmarkEnd w:id="172"/>
    </w:p>
    <w:p w14:paraId="0D63C3AF" w14:textId="77777777" w:rsidR="00111EA0" w:rsidRPr="00097A86" w:rsidRDefault="00111EA0" w:rsidP="00D22D3F">
      <w:pPr>
        <w:pStyle w:val="subsection"/>
      </w:pPr>
      <w:r w:rsidRPr="00097A86">
        <w:tab/>
        <w:t>(1)</w:t>
      </w:r>
      <w:r w:rsidRPr="00097A86">
        <w:tab/>
        <w:t>For paragraph</w:t>
      </w:r>
      <w:r w:rsidR="00097A86">
        <w:t> </w:t>
      </w:r>
      <w:r w:rsidRPr="00097A86">
        <w:t>2.40A(1)(a), method 1 for estimating emissions of carbon dioxide from the consumption of petroleum based oils or petroleum based greases using an estimated oxidation factor is:</w:t>
      </w:r>
    </w:p>
    <w:p w14:paraId="4756BE94" w14:textId="77777777" w:rsidR="00111EA0" w:rsidRPr="00097A86" w:rsidRDefault="00D22D3F" w:rsidP="00D22D3F">
      <w:pPr>
        <w:pStyle w:val="subsection"/>
        <w:spacing w:before="120" w:after="120"/>
      </w:pPr>
      <w:r w:rsidRPr="00097A86">
        <w:tab/>
      </w:r>
      <w:r w:rsidRPr="00097A86">
        <w:tab/>
      </w:r>
      <w:r w:rsidR="009E1F90">
        <w:rPr>
          <w:noProof/>
        </w:rPr>
        <w:drawing>
          <wp:inline distT="0" distB="0" distL="0" distR="0" wp14:anchorId="11C8A698" wp14:editId="59ABD1D6">
            <wp:extent cx="2486025" cy="409575"/>
            <wp:effectExtent l="0" t="0" r="9525" b="9525"/>
            <wp:docPr id="2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6025" cy="409575"/>
                    </a:xfrm>
                    <a:prstGeom prst="rect">
                      <a:avLst/>
                    </a:prstGeom>
                    <a:noFill/>
                    <a:ln>
                      <a:noFill/>
                    </a:ln>
                  </pic:spPr>
                </pic:pic>
              </a:graphicData>
            </a:graphic>
          </wp:inline>
        </w:drawing>
      </w:r>
    </w:p>
    <w:p w14:paraId="65DA21D5" w14:textId="77777777" w:rsidR="00111EA0" w:rsidRPr="00097A86" w:rsidRDefault="00111EA0" w:rsidP="00D22D3F">
      <w:pPr>
        <w:pStyle w:val="subsection2"/>
      </w:pPr>
      <w:r w:rsidRPr="00097A86">
        <w:t>where:</w:t>
      </w:r>
    </w:p>
    <w:p w14:paraId="7C50E20F" w14:textId="77777777" w:rsidR="00111EA0" w:rsidRPr="00097A86" w:rsidRDefault="00111EA0" w:rsidP="00D22D3F">
      <w:pPr>
        <w:pStyle w:val="Definition"/>
      </w:pPr>
      <w:r w:rsidRPr="00097A86">
        <w:rPr>
          <w:b/>
          <w:i/>
        </w:rPr>
        <w:t>E</w:t>
      </w:r>
      <w:r w:rsidRPr="00097A86">
        <w:rPr>
          <w:rFonts w:ascii="Times" w:hAnsi="Times"/>
          <w:b/>
          <w:i/>
          <w:vertAlign w:val="subscript"/>
        </w:rPr>
        <w:t xml:space="preserve">pogco2 </w:t>
      </w:r>
      <w:r w:rsidRPr="00097A86">
        <w:t>is the emissions of carbon dioxide released from the consumption of petroleum based oils or petroleum based greases from the operation of the facility during the year measured in CO</w:t>
      </w:r>
      <w:r w:rsidRPr="00097A86">
        <w:rPr>
          <w:rStyle w:val="charsubscript0"/>
        </w:rPr>
        <w:t>2</w:t>
      </w:r>
      <w:r w:rsidR="00097A86">
        <w:noBreakHyphen/>
      </w:r>
      <w:r w:rsidRPr="00097A86">
        <w:t>e tonnes.</w:t>
      </w:r>
    </w:p>
    <w:p w14:paraId="45FD590D" w14:textId="77777777" w:rsidR="00111EA0" w:rsidRPr="00097A86" w:rsidRDefault="00111EA0" w:rsidP="00D22D3F">
      <w:pPr>
        <w:pStyle w:val="Definition"/>
        <w:rPr>
          <w:b/>
          <w:i/>
        </w:rPr>
      </w:pPr>
      <w:r w:rsidRPr="00097A86">
        <w:rPr>
          <w:b/>
          <w:i/>
        </w:rPr>
        <w:t>Q</w:t>
      </w:r>
      <w:r w:rsidRPr="00097A86">
        <w:rPr>
          <w:b/>
          <w:i/>
          <w:vertAlign w:val="subscript"/>
        </w:rPr>
        <w:t xml:space="preserve">pog </w:t>
      </w:r>
      <w:r w:rsidRPr="00097A86">
        <w:t xml:space="preserve">is the quantity of petroleum based oils or petroleum based greases consumed from the operation of the </w:t>
      </w:r>
      <w:r w:rsidR="00D23F89" w:rsidRPr="00097A86">
        <w:t>facility, estimated in accordance with Division</w:t>
      </w:r>
      <w:r w:rsidR="00097A86">
        <w:t> </w:t>
      </w:r>
      <w:r w:rsidR="00D23F89" w:rsidRPr="00097A86">
        <w:t>2.4.6.</w:t>
      </w:r>
    </w:p>
    <w:p w14:paraId="234E2E74" w14:textId="77777777" w:rsidR="00111EA0" w:rsidRPr="00097A86" w:rsidRDefault="00111EA0" w:rsidP="00D22D3F">
      <w:pPr>
        <w:pStyle w:val="Definition"/>
      </w:pPr>
      <w:r w:rsidRPr="00097A86">
        <w:rPr>
          <w:b/>
          <w:bCs/>
          <w:i/>
          <w:iCs/>
        </w:rPr>
        <w:t>EC</w:t>
      </w:r>
      <w:r w:rsidRPr="00097A86">
        <w:rPr>
          <w:b/>
          <w:bCs/>
          <w:i/>
          <w:iCs/>
          <w:vertAlign w:val="subscript"/>
        </w:rPr>
        <w:t xml:space="preserve">pogco2 </w:t>
      </w:r>
      <w:r w:rsidRPr="00097A86">
        <w:t>is the energy content factor of petroleum based oils or petroleum based greases measured in gigajoules per kilolitre as mentioned in Part</w:t>
      </w:r>
      <w:r w:rsidR="00097A86">
        <w:t> </w:t>
      </w:r>
      <w:r w:rsidRPr="00097A86">
        <w:t>3 of Schedule</w:t>
      </w:r>
      <w:r w:rsidR="00097A86">
        <w:t> </w:t>
      </w:r>
      <w:r w:rsidRPr="00097A86">
        <w:t>1.</w:t>
      </w:r>
    </w:p>
    <w:p w14:paraId="0958CCBE" w14:textId="77777777" w:rsidR="00111EA0" w:rsidRPr="00097A86" w:rsidRDefault="00111EA0" w:rsidP="00D22D3F">
      <w:pPr>
        <w:pStyle w:val="Definition"/>
      </w:pPr>
      <w:r w:rsidRPr="00097A86">
        <w:rPr>
          <w:b/>
          <w:i/>
        </w:rPr>
        <w:t>EF</w:t>
      </w:r>
      <w:r w:rsidRPr="00097A86">
        <w:rPr>
          <w:b/>
          <w:i/>
          <w:vertAlign w:val="subscript"/>
        </w:rPr>
        <w:t xml:space="preserve">pogco2oxec </w:t>
      </w:r>
      <w:r w:rsidRPr="00097A86">
        <w:t xml:space="preserve">has the meaning given in </w:t>
      </w:r>
      <w:r w:rsidR="00097A86">
        <w:t>subsection (</w:t>
      </w:r>
      <w:r w:rsidRPr="00097A86">
        <w:t>2).</w:t>
      </w:r>
    </w:p>
    <w:p w14:paraId="2EB35C22" w14:textId="77777777" w:rsidR="00111EA0" w:rsidRPr="00097A86" w:rsidRDefault="00111EA0" w:rsidP="00D22D3F">
      <w:pPr>
        <w:pStyle w:val="subsection"/>
      </w:pPr>
      <w:r w:rsidRPr="00097A86">
        <w:tab/>
        <w:t>(2)</w:t>
      </w:r>
      <w:r w:rsidRPr="00097A86">
        <w:tab/>
      </w:r>
      <w:r w:rsidRPr="00097A86">
        <w:rPr>
          <w:b/>
          <w:i/>
        </w:rPr>
        <w:t>EF</w:t>
      </w:r>
      <w:r w:rsidRPr="00097A86">
        <w:rPr>
          <w:b/>
          <w:i/>
          <w:vertAlign w:val="subscript"/>
        </w:rPr>
        <w:t>pogco2oxec</w:t>
      </w:r>
      <w:r w:rsidRPr="00097A86">
        <w:t xml:space="preserve"> is:</w:t>
      </w:r>
    </w:p>
    <w:p w14:paraId="31E2464A" w14:textId="77777777" w:rsidR="00111EA0" w:rsidRPr="00097A86" w:rsidRDefault="00111EA0" w:rsidP="00D22D3F">
      <w:pPr>
        <w:pStyle w:val="paragraph"/>
      </w:pPr>
      <w:r w:rsidRPr="00097A86">
        <w:tab/>
        <w:t>(a)</w:t>
      </w:r>
      <w:r w:rsidRPr="00097A86">
        <w:tab/>
        <w:t>the emission factor for carbon dioxide released from the operation of the facility during the year (which includes the effect of an oxidation factor) measured in kilograms CO</w:t>
      </w:r>
      <w:r w:rsidRPr="00097A86">
        <w:rPr>
          <w:rStyle w:val="charsubscript0"/>
        </w:rPr>
        <w:t>2</w:t>
      </w:r>
      <w:r w:rsidR="00097A86">
        <w:noBreakHyphen/>
      </w:r>
      <w:r w:rsidRPr="00097A86">
        <w:t>e per gigajoule of the petroleum based oils or petroleum based greases as mentioned in Part</w:t>
      </w:r>
      <w:r w:rsidR="00097A86">
        <w:t> </w:t>
      </w:r>
      <w:r w:rsidRPr="00097A86">
        <w:t>3 of Schedule</w:t>
      </w:r>
      <w:r w:rsidR="00097A86">
        <w:t> </w:t>
      </w:r>
      <w:r w:rsidRPr="00097A86">
        <w:t>1; or</w:t>
      </w:r>
    </w:p>
    <w:p w14:paraId="50AF58BA" w14:textId="77777777" w:rsidR="00111EA0" w:rsidRPr="00097A86" w:rsidRDefault="00111EA0" w:rsidP="00D22D3F">
      <w:pPr>
        <w:pStyle w:val="paragraph"/>
      </w:pPr>
      <w:r w:rsidRPr="00097A86">
        <w:tab/>
        <w:t>(b)</w:t>
      </w:r>
      <w:r w:rsidRPr="00097A86">
        <w:tab/>
        <w:t>to be estimated as follows:</w:t>
      </w:r>
    </w:p>
    <w:p w14:paraId="71EBBB39" w14:textId="77777777" w:rsidR="00111EA0" w:rsidRPr="00097A86" w:rsidRDefault="00D22D3F" w:rsidP="00D22D3F">
      <w:pPr>
        <w:pStyle w:val="paragraph"/>
        <w:spacing w:before="120" w:after="120"/>
      </w:pPr>
      <w:r w:rsidRPr="00097A86">
        <w:tab/>
      </w:r>
      <w:r w:rsidRPr="00097A86">
        <w:tab/>
      </w:r>
      <w:r w:rsidR="009E1F90">
        <w:rPr>
          <w:noProof/>
        </w:rPr>
        <w:drawing>
          <wp:inline distT="0" distB="0" distL="0" distR="0" wp14:anchorId="2F9DD68F" wp14:editId="553D014B">
            <wp:extent cx="1866900" cy="238125"/>
            <wp:effectExtent l="0" t="0" r="0" b="9525"/>
            <wp:docPr id="2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66900" cy="238125"/>
                    </a:xfrm>
                    <a:prstGeom prst="rect">
                      <a:avLst/>
                    </a:prstGeom>
                    <a:noFill/>
                    <a:ln>
                      <a:noFill/>
                    </a:ln>
                  </pic:spPr>
                </pic:pic>
              </a:graphicData>
            </a:graphic>
          </wp:inline>
        </w:drawing>
      </w:r>
    </w:p>
    <w:p w14:paraId="7B7A69DF" w14:textId="77777777" w:rsidR="00111EA0" w:rsidRPr="00097A86" w:rsidRDefault="00111EA0" w:rsidP="00D22D3F">
      <w:pPr>
        <w:pStyle w:val="subsection2"/>
      </w:pPr>
      <w:r w:rsidRPr="00097A86">
        <w:t>where:</w:t>
      </w:r>
    </w:p>
    <w:p w14:paraId="223C8D12" w14:textId="77777777" w:rsidR="00111EA0" w:rsidRPr="00097A86" w:rsidRDefault="00111EA0" w:rsidP="00D22D3F">
      <w:pPr>
        <w:pStyle w:val="Definition"/>
      </w:pPr>
      <w:r w:rsidRPr="00097A86">
        <w:rPr>
          <w:b/>
          <w:i/>
        </w:rPr>
        <w:t>OF</w:t>
      </w:r>
      <w:r w:rsidRPr="00097A86">
        <w:rPr>
          <w:rFonts w:ascii="Times" w:hAnsi="Times"/>
          <w:b/>
          <w:i/>
          <w:vertAlign w:val="subscript"/>
        </w:rPr>
        <w:t xml:space="preserve">pog </w:t>
      </w:r>
      <w:r w:rsidRPr="00097A86">
        <w:t>is the estimated oxidation factor for petroleum based oils or petroleum based greases.</w:t>
      </w:r>
    </w:p>
    <w:p w14:paraId="07FCA52A" w14:textId="77777777" w:rsidR="00111EA0" w:rsidRPr="00097A86" w:rsidRDefault="00111EA0" w:rsidP="00D22D3F">
      <w:pPr>
        <w:pStyle w:val="Definition"/>
      </w:pPr>
      <w:r w:rsidRPr="00097A86">
        <w:rPr>
          <w:b/>
          <w:i/>
        </w:rPr>
        <w:t>EF</w:t>
      </w:r>
      <w:r w:rsidRPr="00097A86">
        <w:rPr>
          <w:b/>
          <w:i/>
          <w:vertAlign w:val="subscript"/>
        </w:rPr>
        <w:t xml:space="preserve">pogco2ec </w:t>
      </w:r>
      <w:r w:rsidRPr="00097A86">
        <w:t>is 69.9.</w:t>
      </w:r>
    </w:p>
    <w:p w14:paraId="0258E386" w14:textId="77777777" w:rsidR="00D23F89" w:rsidRPr="00097A86" w:rsidRDefault="00D23F89" w:rsidP="00D22D3F">
      <w:pPr>
        <w:pStyle w:val="subsection"/>
      </w:pPr>
      <w:r w:rsidRPr="00097A86">
        <w:tab/>
        <w:t>(3)</w:t>
      </w:r>
      <w:r w:rsidRPr="00097A86">
        <w:tab/>
        <w:t xml:space="preserve">For </w:t>
      </w:r>
      <w:r w:rsidRPr="00097A86">
        <w:rPr>
          <w:b/>
          <w:i/>
        </w:rPr>
        <w:t>OF</w:t>
      </w:r>
      <w:r w:rsidRPr="00097A86">
        <w:rPr>
          <w:b/>
          <w:i/>
          <w:vertAlign w:val="subscript"/>
        </w:rPr>
        <w:t>pog</w:t>
      </w:r>
      <w:r w:rsidRPr="00097A86">
        <w:rPr>
          <w:i/>
        </w:rPr>
        <w:t xml:space="preserve"> </w:t>
      </w:r>
      <w:r w:rsidRPr="00097A86">
        <w:t xml:space="preserve">in </w:t>
      </w:r>
      <w:r w:rsidR="00097A86">
        <w:t>paragraph (</w:t>
      </w:r>
      <w:r w:rsidRPr="00097A86">
        <w:t>2)(b), estimate as follows:</w:t>
      </w:r>
    </w:p>
    <w:p w14:paraId="271D460D" w14:textId="77777777" w:rsidR="00D23F89" w:rsidRPr="00097A86" w:rsidRDefault="00D22D3F" w:rsidP="00D22D3F">
      <w:pPr>
        <w:pStyle w:val="subsection"/>
        <w:spacing w:before="120" w:after="120"/>
      </w:pPr>
      <w:r w:rsidRPr="00097A86">
        <w:tab/>
      </w:r>
      <w:r w:rsidRPr="00097A86">
        <w:tab/>
      </w:r>
      <w:r w:rsidR="009E1F90">
        <w:rPr>
          <w:noProof/>
        </w:rPr>
        <w:drawing>
          <wp:inline distT="0" distB="0" distL="0" distR="0" wp14:anchorId="20676FD1" wp14:editId="3B396909">
            <wp:extent cx="2371725" cy="466725"/>
            <wp:effectExtent l="0" t="0" r="9525" b="9525"/>
            <wp:docPr id="2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71725" cy="466725"/>
                    </a:xfrm>
                    <a:prstGeom prst="rect">
                      <a:avLst/>
                    </a:prstGeom>
                    <a:noFill/>
                    <a:ln>
                      <a:noFill/>
                    </a:ln>
                  </pic:spPr>
                </pic:pic>
              </a:graphicData>
            </a:graphic>
          </wp:inline>
        </w:drawing>
      </w:r>
    </w:p>
    <w:p w14:paraId="2915274F" w14:textId="77777777" w:rsidR="00D23F89" w:rsidRPr="00097A86" w:rsidRDefault="00D23F89" w:rsidP="00D22D3F">
      <w:pPr>
        <w:pStyle w:val="subsection2"/>
      </w:pPr>
      <w:r w:rsidRPr="00097A86">
        <w:t>where:</w:t>
      </w:r>
    </w:p>
    <w:p w14:paraId="2B91D03A" w14:textId="77777777" w:rsidR="00D23F89" w:rsidRPr="00097A86" w:rsidRDefault="00D23F89" w:rsidP="00D22D3F">
      <w:pPr>
        <w:pStyle w:val="Definition"/>
        <w:rPr>
          <w:b/>
          <w:i/>
        </w:rPr>
      </w:pPr>
      <w:r w:rsidRPr="00097A86">
        <w:rPr>
          <w:b/>
          <w:i/>
        </w:rPr>
        <w:lastRenderedPageBreak/>
        <w:t>Q</w:t>
      </w:r>
      <w:r w:rsidRPr="00097A86">
        <w:rPr>
          <w:b/>
          <w:i/>
          <w:vertAlign w:val="subscript"/>
        </w:rPr>
        <w:t>pog</w:t>
      </w:r>
      <w:r w:rsidRPr="00097A86">
        <w:rPr>
          <w:b/>
          <w:i/>
        </w:rPr>
        <w:t xml:space="preserve"> </w:t>
      </w:r>
      <w:r w:rsidRPr="00097A86">
        <w:t>is the quantity of petroleum based oils or petroleum based greases consumed from the operation of the facility, estimated in accordance with Division</w:t>
      </w:r>
      <w:r w:rsidR="00097A86">
        <w:t> </w:t>
      </w:r>
      <w:r w:rsidRPr="00097A86">
        <w:t>2.4.6.</w:t>
      </w:r>
    </w:p>
    <w:p w14:paraId="13EE0256" w14:textId="77777777" w:rsidR="00D23F89" w:rsidRPr="00097A86" w:rsidRDefault="00D23F89" w:rsidP="00D22D3F">
      <w:pPr>
        <w:pStyle w:val="Definition"/>
      </w:pPr>
      <w:r w:rsidRPr="00097A86">
        <w:rPr>
          <w:b/>
          <w:i/>
        </w:rPr>
        <w:t>Oil Transferred Offsite</w:t>
      </w:r>
      <w:r w:rsidRPr="00097A86">
        <w:rPr>
          <w:rFonts w:ascii="Times" w:hAnsi="Times"/>
          <w:b/>
          <w:i/>
          <w:vertAlign w:val="subscript"/>
        </w:rPr>
        <w:t>pog</w:t>
      </w:r>
      <w:r w:rsidRPr="00097A86">
        <w:rPr>
          <w:b/>
          <w:i/>
        </w:rPr>
        <w:t xml:space="preserve"> </w:t>
      </w:r>
      <w:r w:rsidRPr="00097A86">
        <w:t>is the quantity of oils, derived from petroleum based oils or petroleum based greases, transferred outside the facility, and estimated in accordance with Division</w:t>
      </w:r>
      <w:r w:rsidR="00097A86">
        <w:t> </w:t>
      </w:r>
      <w:r w:rsidRPr="00097A86">
        <w:t>2.4.6.</w:t>
      </w:r>
    </w:p>
    <w:p w14:paraId="2CDC58BD" w14:textId="77777777" w:rsidR="00111EA0" w:rsidRPr="00097A86" w:rsidRDefault="00111EA0" w:rsidP="00D22D3F">
      <w:pPr>
        <w:pStyle w:val="ActHead5"/>
      </w:pPr>
      <w:bookmarkStart w:id="173" w:name="_Toc13233615"/>
      <w:r w:rsidRPr="00097A86">
        <w:rPr>
          <w:rStyle w:val="CharSectno"/>
        </w:rPr>
        <w:t>2.48B</w:t>
      </w:r>
      <w:r w:rsidR="00D22D3F" w:rsidRPr="00097A86">
        <w:t xml:space="preserve">  </w:t>
      </w:r>
      <w:r w:rsidRPr="00097A86">
        <w:t>Method 2</w:t>
      </w:r>
      <w:r w:rsidR="00D22D3F" w:rsidRPr="00097A86">
        <w:t>—</w:t>
      </w:r>
      <w:r w:rsidRPr="00097A86">
        <w:t>estimating emissions of carbon dioxide using an estimated oxidation factor</w:t>
      </w:r>
      <w:bookmarkEnd w:id="173"/>
    </w:p>
    <w:p w14:paraId="1C4506AE" w14:textId="77777777" w:rsidR="00111EA0" w:rsidRPr="00097A86" w:rsidRDefault="00111EA0" w:rsidP="00D22D3F">
      <w:pPr>
        <w:pStyle w:val="subsection"/>
      </w:pPr>
      <w:r w:rsidRPr="00097A86">
        <w:tab/>
      </w:r>
      <w:r w:rsidRPr="00097A86">
        <w:tab/>
        <w:t>For paragraph</w:t>
      </w:r>
      <w:r w:rsidR="00097A86">
        <w:t> </w:t>
      </w:r>
      <w:r w:rsidRPr="00097A86">
        <w:t xml:space="preserve">2.40A(1)(b), method 2 is the same as method 1 but the emission factor </w:t>
      </w:r>
      <w:r w:rsidRPr="00097A86">
        <w:rPr>
          <w:b/>
          <w:i/>
        </w:rPr>
        <w:t>EF</w:t>
      </w:r>
      <w:r w:rsidRPr="00097A86">
        <w:rPr>
          <w:b/>
          <w:i/>
          <w:vertAlign w:val="subscript"/>
        </w:rPr>
        <w:t xml:space="preserve">pogco2ec </w:t>
      </w:r>
      <w:r w:rsidRPr="00097A86">
        <w:t>must be determined in accordance with Division</w:t>
      </w:r>
      <w:r w:rsidR="00097A86">
        <w:t> </w:t>
      </w:r>
      <w:r w:rsidRPr="00097A86">
        <w:t>2.4.3.</w:t>
      </w:r>
    </w:p>
    <w:p w14:paraId="1F1E07A5" w14:textId="77777777" w:rsidR="00111EA0" w:rsidRPr="00097A86" w:rsidRDefault="00111EA0" w:rsidP="00D22D3F">
      <w:pPr>
        <w:pStyle w:val="ActHead5"/>
      </w:pPr>
      <w:bookmarkStart w:id="174" w:name="_Toc13233616"/>
      <w:r w:rsidRPr="00097A86">
        <w:rPr>
          <w:rStyle w:val="CharSectno"/>
        </w:rPr>
        <w:t>2.48C</w:t>
      </w:r>
      <w:r w:rsidR="00D22D3F" w:rsidRPr="00097A86">
        <w:t xml:space="preserve">  </w:t>
      </w:r>
      <w:r w:rsidRPr="00097A86">
        <w:t>Method 3</w:t>
      </w:r>
      <w:r w:rsidR="00D22D3F" w:rsidRPr="00097A86">
        <w:t>—</w:t>
      </w:r>
      <w:r w:rsidRPr="00097A86">
        <w:t>estimating emissions of carbon dioxide using an estimated oxidation factor</w:t>
      </w:r>
      <w:bookmarkEnd w:id="174"/>
    </w:p>
    <w:p w14:paraId="5E1814E3" w14:textId="77777777" w:rsidR="00111EA0" w:rsidRPr="00097A86" w:rsidRDefault="00111EA0" w:rsidP="00D22D3F">
      <w:pPr>
        <w:pStyle w:val="subsection"/>
      </w:pPr>
      <w:r w:rsidRPr="00097A86">
        <w:tab/>
      </w:r>
      <w:r w:rsidRPr="00097A86">
        <w:tab/>
        <w:t>For paragraph</w:t>
      </w:r>
      <w:r w:rsidR="00097A86">
        <w:t> </w:t>
      </w:r>
      <w:r w:rsidRPr="00097A86">
        <w:t xml:space="preserve">2.40A(1)(c), method 3 is the same as method 1 but the emission factor </w:t>
      </w:r>
      <w:r w:rsidRPr="00097A86">
        <w:rPr>
          <w:b/>
          <w:i/>
        </w:rPr>
        <w:t>EF</w:t>
      </w:r>
      <w:r w:rsidRPr="00097A86">
        <w:rPr>
          <w:b/>
          <w:i/>
          <w:vertAlign w:val="subscript"/>
        </w:rPr>
        <w:t xml:space="preserve">pogco2ec </w:t>
      </w:r>
      <w:r w:rsidRPr="00097A86">
        <w:t>must be determined in accordance with Division</w:t>
      </w:r>
      <w:r w:rsidR="00097A86">
        <w:t> </w:t>
      </w:r>
      <w:r w:rsidRPr="00097A86">
        <w:t>2.4.4.</w:t>
      </w:r>
    </w:p>
    <w:p w14:paraId="5CE64166" w14:textId="77777777" w:rsidR="003F0D4E" w:rsidRPr="00097A86" w:rsidRDefault="003F0D4E" w:rsidP="00D22D3F">
      <w:pPr>
        <w:pStyle w:val="ActHead3"/>
        <w:pageBreakBefore/>
      </w:pPr>
      <w:bookmarkStart w:id="175" w:name="_Toc13233617"/>
      <w:r w:rsidRPr="00097A86">
        <w:rPr>
          <w:rStyle w:val="CharDivNo"/>
        </w:rPr>
        <w:lastRenderedPageBreak/>
        <w:t>Division</w:t>
      </w:r>
      <w:r w:rsidR="00097A86">
        <w:rPr>
          <w:rStyle w:val="CharDivNo"/>
        </w:rPr>
        <w:t> </w:t>
      </w:r>
      <w:r w:rsidRPr="00097A86">
        <w:rPr>
          <w:rStyle w:val="CharDivNo"/>
        </w:rPr>
        <w:t>2.4.6</w:t>
      </w:r>
      <w:r w:rsidR="00D22D3F" w:rsidRPr="00097A86">
        <w:t>—</w:t>
      </w:r>
      <w:r w:rsidRPr="00097A86">
        <w:rPr>
          <w:rStyle w:val="CharDivText"/>
        </w:rPr>
        <w:t>Measurement of quantity of liquid fuels</w:t>
      </w:r>
      <w:bookmarkEnd w:id="175"/>
    </w:p>
    <w:p w14:paraId="0867C657" w14:textId="77777777" w:rsidR="003F0D4E" w:rsidRPr="00097A86" w:rsidRDefault="003F0D4E" w:rsidP="00D22D3F">
      <w:pPr>
        <w:pStyle w:val="ActHead5"/>
      </w:pPr>
      <w:bookmarkStart w:id="176" w:name="_Toc13233618"/>
      <w:r w:rsidRPr="00097A86">
        <w:rPr>
          <w:rStyle w:val="CharSectno"/>
        </w:rPr>
        <w:t>2.49</w:t>
      </w:r>
      <w:r w:rsidR="00D22D3F" w:rsidRPr="00097A86">
        <w:t xml:space="preserve">  </w:t>
      </w:r>
      <w:r w:rsidRPr="00097A86">
        <w:t>Purpose of Division</w:t>
      </w:r>
      <w:bookmarkEnd w:id="176"/>
    </w:p>
    <w:p w14:paraId="1030BABF" w14:textId="77777777" w:rsidR="003F0D4E" w:rsidRPr="00097A86" w:rsidRDefault="003F0D4E" w:rsidP="00D22D3F">
      <w:pPr>
        <w:pStyle w:val="subsection"/>
      </w:pPr>
      <w:r w:rsidRPr="00097A86">
        <w:tab/>
      </w:r>
      <w:r w:rsidRPr="00097A86">
        <w:tab/>
        <w:t>This Division sets out how quantities of liquid fuels combusted from the operation of a facility are to be estimated for the purpose of working out the emissions released from the combustion of that fuel.</w:t>
      </w:r>
    </w:p>
    <w:p w14:paraId="3878DB46" w14:textId="77777777" w:rsidR="003F0D4E" w:rsidRPr="00097A86" w:rsidRDefault="003F0D4E" w:rsidP="00D22D3F">
      <w:pPr>
        <w:pStyle w:val="ActHead5"/>
      </w:pPr>
      <w:bookmarkStart w:id="177" w:name="_Toc13233619"/>
      <w:r w:rsidRPr="00097A86">
        <w:rPr>
          <w:rStyle w:val="CharSectno"/>
        </w:rPr>
        <w:t>2.50</w:t>
      </w:r>
      <w:r w:rsidR="00D22D3F" w:rsidRPr="00097A86">
        <w:t xml:space="preserve">  </w:t>
      </w:r>
      <w:r w:rsidRPr="00097A86">
        <w:t>Criteria for measurement</w:t>
      </w:r>
      <w:bookmarkEnd w:id="177"/>
    </w:p>
    <w:p w14:paraId="0F80D484" w14:textId="77777777" w:rsidR="003F0D4E" w:rsidRPr="00097A86" w:rsidRDefault="003F0D4E" w:rsidP="00D22D3F">
      <w:pPr>
        <w:pStyle w:val="subsection"/>
      </w:pPr>
      <w:r w:rsidRPr="00097A86">
        <w:tab/>
      </w:r>
      <w:r w:rsidR="00111EA0" w:rsidRPr="00097A86">
        <w:t>(1)</w:t>
      </w:r>
      <w:r w:rsidR="00111EA0" w:rsidRPr="00097A86">
        <w:tab/>
        <w:t>For the purpose</w:t>
      </w:r>
      <w:r w:rsidRPr="00097A86">
        <w:t xml:space="preserve"> of calculating the combustion of a liquid fuel from the operation of a facility for a year and, in particular, for </w:t>
      </w:r>
      <w:r w:rsidRPr="00097A86">
        <w:rPr>
          <w:b/>
          <w:i/>
        </w:rPr>
        <w:t>Q</w:t>
      </w:r>
      <w:r w:rsidRPr="00097A86">
        <w:rPr>
          <w:b/>
          <w:i/>
          <w:vertAlign w:val="subscript"/>
        </w:rPr>
        <w:t>i</w:t>
      </w:r>
      <w:r w:rsidRPr="00097A86">
        <w:t xml:space="preserve"> in sections</w:t>
      </w:r>
      <w:r w:rsidR="00097A86">
        <w:t> </w:t>
      </w:r>
      <w:r w:rsidRPr="00097A86">
        <w:t xml:space="preserve">2.41 and 2.42 the combustion must be estimated </w:t>
      </w:r>
      <w:r w:rsidR="00DF5093" w:rsidRPr="00097A86">
        <w:t>in accordance with this section.</w:t>
      </w:r>
    </w:p>
    <w:p w14:paraId="5C657563" w14:textId="77777777" w:rsidR="00DF5093" w:rsidRPr="00097A86" w:rsidRDefault="00DF5093" w:rsidP="00D22D3F">
      <w:pPr>
        <w:pStyle w:val="SubsectionHead"/>
      </w:pPr>
      <w:r w:rsidRPr="00097A86">
        <w:t>Acquisition involves commercial transaction</w:t>
      </w:r>
    </w:p>
    <w:p w14:paraId="3B5541F7" w14:textId="77777777" w:rsidR="00DF5093" w:rsidRPr="00097A86" w:rsidRDefault="00DF5093" w:rsidP="00D22D3F">
      <w:pPr>
        <w:pStyle w:val="subsection"/>
      </w:pPr>
      <w:r w:rsidRPr="00097A86">
        <w:tab/>
        <w:t>(2)</w:t>
      </w:r>
      <w:r w:rsidRPr="00097A86">
        <w:tab/>
        <w:t>If the acquisition of the liquid fuel involves a commercial transaction, the quantity of fuel combusted must be estimated using one of the following criteria:</w:t>
      </w:r>
    </w:p>
    <w:p w14:paraId="50D062E4" w14:textId="77777777" w:rsidR="00DF5093" w:rsidRPr="00097A86" w:rsidRDefault="00DF5093" w:rsidP="00D22D3F">
      <w:pPr>
        <w:pStyle w:val="paragraph"/>
      </w:pPr>
      <w:r w:rsidRPr="00097A86">
        <w:tab/>
        <w:t>(a)</w:t>
      </w:r>
      <w:r w:rsidRPr="00097A86">
        <w:tab/>
        <w:t>the amount of the liquid fuel delivered for the facility during the year as evidenced by invoices issued by the vendor of the fuel (</w:t>
      </w:r>
      <w:r w:rsidRPr="00097A86">
        <w:rPr>
          <w:b/>
          <w:bCs/>
          <w:i/>
          <w:iCs/>
        </w:rPr>
        <w:t>criterion A</w:t>
      </w:r>
      <w:r w:rsidRPr="00097A86">
        <w:t>);</w:t>
      </w:r>
    </w:p>
    <w:p w14:paraId="656EAD93" w14:textId="77777777" w:rsidR="00DF5093" w:rsidRPr="00097A86" w:rsidRDefault="00DF5093" w:rsidP="00D22D3F">
      <w:pPr>
        <w:pStyle w:val="paragraph"/>
      </w:pPr>
      <w:r w:rsidRPr="00097A86">
        <w:tab/>
        <w:t>(b)</w:t>
      </w:r>
      <w:r w:rsidRPr="00097A86">
        <w:tab/>
        <w:t>as provided in section</w:t>
      </w:r>
      <w:r w:rsidR="00097A86">
        <w:t> </w:t>
      </w:r>
      <w:r w:rsidRPr="00097A86">
        <w:t>2.51 (</w:t>
      </w:r>
      <w:r w:rsidRPr="00097A86">
        <w:rPr>
          <w:b/>
          <w:bCs/>
          <w:i/>
          <w:iCs/>
        </w:rPr>
        <w:t>criterion AA</w:t>
      </w:r>
      <w:r w:rsidRPr="00097A86">
        <w:t>);</w:t>
      </w:r>
    </w:p>
    <w:p w14:paraId="6205DE0E" w14:textId="77777777" w:rsidR="00DF5093" w:rsidRPr="00097A86" w:rsidRDefault="00DF5093" w:rsidP="00D22D3F">
      <w:pPr>
        <w:pStyle w:val="paragraph"/>
      </w:pPr>
      <w:r w:rsidRPr="00097A86">
        <w:tab/>
        <w:t>(c)</w:t>
      </w:r>
      <w:r w:rsidRPr="00097A86">
        <w:tab/>
        <w:t>as provided in section</w:t>
      </w:r>
      <w:r w:rsidR="00097A86">
        <w:t> </w:t>
      </w:r>
      <w:r w:rsidRPr="00097A86">
        <w:t>2.52 (</w:t>
      </w:r>
      <w:r w:rsidRPr="00097A86">
        <w:rPr>
          <w:b/>
          <w:bCs/>
          <w:i/>
          <w:iCs/>
        </w:rPr>
        <w:t>criterion AAA</w:t>
      </w:r>
      <w:r w:rsidRPr="00097A86">
        <w:t>).</w:t>
      </w:r>
    </w:p>
    <w:p w14:paraId="1624B061" w14:textId="77777777" w:rsidR="00DF5093" w:rsidRPr="00097A86" w:rsidRDefault="00DF5093" w:rsidP="00D22D3F">
      <w:pPr>
        <w:pStyle w:val="subsection"/>
      </w:pPr>
      <w:r w:rsidRPr="00097A86">
        <w:tab/>
        <w:t>(3)</w:t>
      </w:r>
      <w:r w:rsidRPr="00097A86">
        <w:tab/>
        <w:t>If, during a year, criterion AA, or criterion AAA using paragraph</w:t>
      </w:r>
      <w:r w:rsidR="00097A86">
        <w:t> </w:t>
      </w:r>
      <w:r w:rsidRPr="00097A86">
        <w:t>2.52(2)(a), is used to estimate the quantity of fuel combusted then, in each year following that year, only criterion AA, or criterion AAA using paragraph</w:t>
      </w:r>
      <w:r w:rsidR="00097A86">
        <w:t> </w:t>
      </w:r>
      <w:r w:rsidRPr="00097A86">
        <w:t>2.52(2)(a), (respectively) may be used.</w:t>
      </w:r>
    </w:p>
    <w:p w14:paraId="188F454B" w14:textId="77777777" w:rsidR="00DF5093" w:rsidRPr="00097A86" w:rsidRDefault="00DF5093" w:rsidP="00D22D3F">
      <w:pPr>
        <w:pStyle w:val="SubsectionHead"/>
      </w:pPr>
      <w:r w:rsidRPr="00097A86">
        <w:t>Acquisition does not involve commercial transaction</w:t>
      </w:r>
    </w:p>
    <w:p w14:paraId="4B620FBC" w14:textId="77777777" w:rsidR="00DF5093" w:rsidRPr="00097A86" w:rsidRDefault="00DF5093" w:rsidP="00D22D3F">
      <w:pPr>
        <w:pStyle w:val="subsection"/>
      </w:pPr>
      <w:r w:rsidRPr="00097A86">
        <w:tab/>
        <w:t>(4)</w:t>
      </w:r>
      <w:r w:rsidRPr="00097A86">
        <w:tab/>
        <w:t xml:space="preserve">If the acquisition of the liquid fuel does not involve a commercial transaction, the quantity of fuel combusted must be estimated using one of the following criteria: </w:t>
      </w:r>
    </w:p>
    <w:p w14:paraId="0C026FB3" w14:textId="77777777" w:rsidR="00DF5093" w:rsidRPr="00097A86" w:rsidRDefault="00DF5093" w:rsidP="00D22D3F">
      <w:pPr>
        <w:pStyle w:val="paragraph"/>
      </w:pPr>
      <w:r w:rsidRPr="00097A86">
        <w:tab/>
        <w:t>(a)</w:t>
      </w:r>
      <w:r w:rsidRPr="00097A86">
        <w:tab/>
        <w:t>as provided in paragraph</w:t>
      </w:r>
      <w:r w:rsidR="00097A86">
        <w:t> </w:t>
      </w:r>
      <w:r w:rsidRPr="00097A86">
        <w:t>2.52(2)(a) (</w:t>
      </w:r>
      <w:r w:rsidRPr="00097A86">
        <w:rPr>
          <w:b/>
          <w:bCs/>
          <w:i/>
          <w:iCs/>
        </w:rPr>
        <w:t>criterion AAA</w:t>
      </w:r>
      <w:r w:rsidRPr="00097A86">
        <w:t>);</w:t>
      </w:r>
    </w:p>
    <w:p w14:paraId="5483D5AE" w14:textId="77777777" w:rsidR="00DF5093" w:rsidRPr="00097A86" w:rsidRDefault="00DF5093" w:rsidP="00D22D3F">
      <w:pPr>
        <w:pStyle w:val="paragraph"/>
      </w:pPr>
      <w:r w:rsidRPr="00097A86">
        <w:tab/>
        <w:t>(b)</w:t>
      </w:r>
      <w:r w:rsidRPr="00097A86">
        <w:tab/>
        <w:t>as provided in section</w:t>
      </w:r>
      <w:r w:rsidR="00097A86">
        <w:t> </w:t>
      </w:r>
      <w:r w:rsidRPr="00097A86">
        <w:t>2.53 (</w:t>
      </w:r>
      <w:r w:rsidRPr="00097A86">
        <w:rPr>
          <w:b/>
          <w:i/>
        </w:rPr>
        <w:t>criterion BBB</w:t>
      </w:r>
      <w:r w:rsidRPr="00097A86">
        <w:t>).</w:t>
      </w:r>
    </w:p>
    <w:p w14:paraId="60A96221" w14:textId="77777777" w:rsidR="00843EC9" w:rsidRPr="00097A86" w:rsidRDefault="00843EC9" w:rsidP="00843EC9">
      <w:pPr>
        <w:pStyle w:val="ActHead5"/>
      </w:pPr>
      <w:bookmarkStart w:id="178" w:name="_Toc13233620"/>
      <w:r w:rsidRPr="00097A86">
        <w:rPr>
          <w:rStyle w:val="CharSectno"/>
        </w:rPr>
        <w:t>2.51</w:t>
      </w:r>
      <w:r w:rsidRPr="00097A86">
        <w:t xml:space="preserve">  Indirect measurement—criterion AA</w:t>
      </w:r>
      <w:bookmarkEnd w:id="178"/>
    </w:p>
    <w:p w14:paraId="5D2677BC" w14:textId="77777777" w:rsidR="003F0D4E" w:rsidRPr="00097A86" w:rsidRDefault="003F0D4E" w:rsidP="00D22D3F">
      <w:pPr>
        <w:pStyle w:val="subsection"/>
      </w:pPr>
      <w:r w:rsidRPr="00097A86">
        <w:tab/>
      </w:r>
      <w:r w:rsidRPr="00097A86">
        <w:tab/>
        <w:t>For paragraph</w:t>
      </w:r>
      <w:r w:rsidR="00097A86">
        <w:t> </w:t>
      </w:r>
      <w:r w:rsidR="00221EF0" w:rsidRPr="00097A86">
        <w:t>2.50(2)(b)</w:t>
      </w:r>
      <w:r w:rsidRPr="00097A86">
        <w:t>, criterion AA is the amount of the liquid fuel combusted from the operation of the facility during the year based on amounts delivered during the year (evidenced by invoices) as adjusted for the estimated change in the quantity of the stockpile of the fuel for the facility during the year.</w:t>
      </w:r>
    </w:p>
    <w:p w14:paraId="27CC48C8" w14:textId="77777777" w:rsidR="00843EC9" w:rsidRPr="00097A86" w:rsidRDefault="00843EC9" w:rsidP="00843EC9">
      <w:pPr>
        <w:pStyle w:val="ActHead5"/>
      </w:pPr>
      <w:bookmarkStart w:id="179" w:name="_Toc13233621"/>
      <w:r w:rsidRPr="00097A86">
        <w:rPr>
          <w:rStyle w:val="CharSectno"/>
        </w:rPr>
        <w:t>2.52</w:t>
      </w:r>
      <w:r w:rsidRPr="00097A86">
        <w:t xml:space="preserve">  Direct measurement—criterion AAA</w:t>
      </w:r>
      <w:bookmarkEnd w:id="179"/>
    </w:p>
    <w:p w14:paraId="6310E032" w14:textId="77777777" w:rsidR="003F0D4E" w:rsidRPr="00097A86" w:rsidRDefault="003F0D4E" w:rsidP="00D22D3F">
      <w:pPr>
        <w:pStyle w:val="subsection"/>
      </w:pPr>
      <w:r w:rsidRPr="00097A86">
        <w:tab/>
        <w:t>(1)</w:t>
      </w:r>
      <w:r w:rsidRPr="00097A86">
        <w:tab/>
        <w:t>For paragraph </w:t>
      </w:r>
      <w:r w:rsidR="00221EF0" w:rsidRPr="00097A86">
        <w:t xml:space="preserve"> 2.50(2)(c)</w:t>
      </w:r>
      <w:r w:rsidRPr="00097A86">
        <w:t>, criterion AAA is the measurement during the year of the liquid fuel combusted from the operation of the facility.</w:t>
      </w:r>
    </w:p>
    <w:p w14:paraId="1975B934" w14:textId="77777777" w:rsidR="003F0D4E" w:rsidRPr="00097A86" w:rsidRDefault="003F0D4E" w:rsidP="00D22D3F">
      <w:pPr>
        <w:pStyle w:val="subsection"/>
      </w:pPr>
      <w:r w:rsidRPr="00097A86">
        <w:tab/>
        <w:t>(2)</w:t>
      </w:r>
      <w:r w:rsidRPr="00097A86">
        <w:tab/>
        <w:t>The measurement must be carried out:</w:t>
      </w:r>
    </w:p>
    <w:p w14:paraId="544ECDF7" w14:textId="77777777" w:rsidR="003F0D4E" w:rsidRPr="00097A86" w:rsidRDefault="003F0D4E" w:rsidP="00D22D3F">
      <w:pPr>
        <w:pStyle w:val="paragraph"/>
      </w:pPr>
      <w:r w:rsidRPr="00097A86">
        <w:lastRenderedPageBreak/>
        <w:tab/>
        <w:t>(a)</w:t>
      </w:r>
      <w:r w:rsidRPr="00097A86">
        <w:tab/>
        <w:t>at the point of combustion at ambient temperatures and converted to standard temperatures, using measuring equipment calibrated to a measurement requirement; or</w:t>
      </w:r>
    </w:p>
    <w:p w14:paraId="6E4060E8" w14:textId="77777777" w:rsidR="003F0D4E" w:rsidRPr="00097A86" w:rsidRDefault="003F0D4E" w:rsidP="00D22D3F">
      <w:pPr>
        <w:pStyle w:val="paragraph"/>
      </w:pPr>
      <w:r w:rsidRPr="00097A86">
        <w:tab/>
        <w:t>(b)</w:t>
      </w:r>
      <w:r w:rsidRPr="00097A86">
        <w:tab/>
        <w:t>at ambient temperatures and converted to standard temperatures, at the point of sale of the liquid fuel, using measuring equipment calibrated to a measurement requirement.</w:t>
      </w:r>
    </w:p>
    <w:p w14:paraId="36D29EDD" w14:textId="77777777" w:rsidR="003F0D4E" w:rsidRPr="00097A86" w:rsidRDefault="003F0D4E" w:rsidP="00D22D3F">
      <w:pPr>
        <w:pStyle w:val="subsection"/>
      </w:pPr>
      <w:r w:rsidRPr="00097A86">
        <w:tab/>
        <w:t>(3)</w:t>
      </w:r>
      <w:r w:rsidRPr="00097A86">
        <w:tab/>
      </w:r>
      <w:r w:rsidR="00097A86">
        <w:t>Paragraph (</w:t>
      </w:r>
      <w:r w:rsidRPr="00097A86">
        <w:t>2)(b) only applies if:</w:t>
      </w:r>
    </w:p>
    <w:p w14:paraId="4925646B" w14:textId="77777777" w:rsidR="003F0D4E" w:rsidRPr="00097A86" w:rsidRDefault="003F0D4E" w:rsidP="00D22D3F">
      <w:pPr>
        <w:pStyle w:val="paragraph"/>
      </w:pPr>
      <w:r w:rsidRPr="00097A86">
        <w:tab/>
        <w:t>(a)</w:t>
      </w:r>
      <w:r w:rsidRPr="00097A86">
        <w:tab/>
        <w:t>the change in the stockpile of fuel for the facility for the year is less than 1% of total combustion on average for the facility during the year; and</w:t>
      </w:r>
    </w:p>
    <w:p w14:paraId="3A8A386F" w14:textId="77777777" w:rsidR="003F0D4E" w:rsidRPr="00097A86" w:rsidRDefault="003F0D4E" w:rsidP="00D22D3F">
      <w:pPr>
        <w:pStyle w:val="paragraph"/>
      </w:pPr>
      <w:r w:rsidRPr="00097A86">
        <w:tab/>
        <w:t>(b)</w:t>
      </w:r>
      <w:r w:rsidRPr="00097A86">
        <w:tab/>
        <w:t>the stockpile of the fuel for the facility at the beginning of the year is less than 5% of total combustion from the operation of the facility for the year.</w:t>
      </w:r>
    </w:p>
    <w:p w14:paraId="63A3D2D0" w14:textId="77777777" w:rsidR="003F0D4E" w:rsidRPr="00097A86" w:rsidRDefault="003F0D4E" w:rsidP="00D22D3F">
      <w:pPr>
        <w:pStyle w:val="ActHead5"/>
      </w:pPr>
      <w:bookmarkStart w:id="180" w:name="_Toc13233622"/>
      <w:r w:rsidRPr="00097A86">
        <w:rPr>
          <w:rStyle w:val="CharSectno"/>
        </w:rPr>
        <w:t>2.53</w:t>
      </w:r>
      <w:r w:rsidR="00D22D3F" w:rsidRPr="00097A86">
        <w:t xml:space="preserve">  </w:t>
      </w:r>
      <w:r w:rsidRPr="00097A86">
        <w:t>Simplified consumption measurements</w:t>
      </w:r>
      <w:r w:rsidR="00D22D3F" w:rsidRPr="00097A86">
        <w:t>—</w:t>
      </w:r>
      <w:r w:rsidRPr="00097A86">
        <w:t>criterion BBB</w:t>
      </w:r>
      <w:bookmarkEnd w:id="180"/>
    </w:p>
    <w:p w14:paraId="1EDB6343" w14:textId="77777777" w:rsidR="003F0D4E" w:rsidRPr="00097A86" w:rsidRDefault="003F0D4E" w:rsidP="00D22D3F">
      <w:pPr>
        <w:pStyle w:val="subsection"/>
      </w:pPr>
      <w:r w:rsidRPr="00097A86">
        <w:tab/>
      </w:r>
      <w:r w:rsidRPr="00097A86">
        <w:tab/>
        <w:t>For paragraph</w:t>
      </w:r>
      <w:r w:rsidR="00097A86">
        <w:t> </w:t>
      </w:r>
      <w:r w:rsidR="00221EF0" w:rsidRPr="00097A86">
        <w:t>2.50(4)(b)</w:t>
      </w:r>
      <w:r w:rsidRPr="00097A86">
        <w:t>, criterion BBB is the estimation of the combustion of a liquid fuel for the year using accepted industry measuring devices or, in the absence of such measuring devices, in accordance with industry practice if</w:t>
      </w:r>
      <w:r w:rsidR="00DF5093" w:rsidRPr="00097A86">
        <w:t xml:space="preserve"> the equipment used to measure consumption of the fuel is not calibrated to a measurement requirement.</w:t>
      </w:r>
    </w:p>
    <w:p w14:paraId="617BB1D1" w14:textId="77777777" w:rsidR="003F0D4E" w:rsidRPr="00097A86" w:rsidRDefault="003F0D4E" w:rsidP="009A46A7">
      <w:pPr>
        <w:pStyle w:val="ActHead2"/>
        <w:pageBreakBefore/>
      </w:pPr>
      <w:bookmarkStart w:id="181" w:name="_Toc13233623"/>
      <w:r w:rsidRPr="00097A86">
        <w:rPr>
          <w:rStyle w:val="CharPartNo"/>
        </w:rPr>
        <w:lastRenderedPageBreak/>
        <w:t>Part</w:t>
      </w:r>
      <w:r w:rsidR="00097A86">
        <w:rPr>
          <w:rStyle w:val="CharPartNo"/>
        </w:rPr>
        <w:t> </w:t>
      </w:r>
      <w:r w:rsidRPr="00097A86">
        <w:rPr>
          <w:rStyle w:val="CharPartNo"/>
        </w:rPr>
        <w:t>2.5</w:t>
      </w:r>
      <w:r w:rsidR="00D22D3F" w:rsidRPr="00097A86">
        <w:t>—</w:t>
      </w:r>
      <w:r w:rsidRPr="00097A86">
        <w:rPr>
          <w:rStyle w:val="CharPartText"/>
        </w:rPr>
        <w:t>Emissions released from fuel use by certain industries</w:t>
      </w:r>
      <w:bookmarkEnd w:id="181"/>
    </w:p>
    <w:p w14:paraId="61618CC5" w14:textId="77777777" w:rsidR="006C5314" w:rsidRPr="00097A86" w:rsidRDefault="006C5314" w:rsidP="006C5314">
      <w:pPr>
        <w:pStyle w:val="Header"/>
      </w:pPr>
      <w:r w:rsidRPr="00097A86">
        <w:rPr>
          <w:rStyle w:val="CharDivNo"/>
        </w:rPr>
        <w:t xml:space="preserve"> </w:t>
      </w:r>
      <w:r w:rsidRPr="00097A86">
        <w:rPr>
          <w:rStyle w:val="CharDivText"/>
        </w:rPr>
        <w:t xml:space="preserve"> </w:t>
      </w:r>
    </w:p>
    <w:p w14:paraId="76624658" w14:textId="77777777" w:rsidR="00493264" w:rsidRPr="00097A86" w:rsidRDefault="00493264" w:rsidP="00D22D3F">
      <w:pPr>
        <w:pStyle w:val="ActHead5"/>
      </w:pPr>
      <w:bookmarkStart w:id="182" w:name="_Toc13233624"/>
      <w:r w:rsidRPr="00097A86">
        <w:rPr>
          <w:rStyle w:val="CharSectno"/>
        </w:rPr>
        <w:t>2.54</w:t>
      </w:r>
      <w:r w:rsidR="00D22D3F" w:rsidRPr="00097A86">
        <w:t xml:space="preserve">  </w:t>
      </w:r>
      <w:r w:rsidRPr="00097A86">
        <w:t>Application</w:t>
      </w:r>
      <w:bookmarkEnd w:id="182"/>
    </w:p>
    <w:p w14:paraId="33318393" w14:textId="77777777" w:rsidR="00493264" w:rsidRPr="00097A86" w:rsidRDefault="00493264" w:rsidP="00D22D3F">
      <w:pPr>
        <w:pStyle w:val="subsection"/>
      </w:pPr>
      <w:r w:rsidRPr="00097A86">
        <w:tab/>
      </w:r>
      <w:r w:rsidRPr="00097A86">
        <w:tab/>
        <w:t>This Part applies to emissions from petroleum refining, solid fuel transformation (coke ovens) and petrochemical production.</w:t>
      </w:r>
    </w:p>
    <w:p w14:paraId="0D915D92" w14:textId="77777777" w:rsidR="003F0D4E" w:rsidRPr="00097A86" w:rsidRDefault="003F0D4E" w:rsidP="009A46A7">
      <w:pPr>
        <w:pStyle w:val="ActHead3"/>
        <w:pageBreakBefore/>
      </w:pPr>
      <w:bookmarkStart w:id="183" w:name="_Toc13233625"/>
      <w:r w:rsidRPr="00097A86">
        <w:rPr>
          <w:rStyle w:val="CharDivNo"/>
        </w:rPr>
        <w:lastRenderedPageBreak/>
        <w:t>Division</w:t>
      </w:r>
      <w:r w:rsidR="00097A86">
        <w:rPr>
          <w:rStyle w:val="CharDivNo"/>
        </w:rPr>
        <w:t> </w:t>
      </w:r>
      <w:r w:rsidRPr="00097A86">
        <w:rPr>
          <w:rStyle w:val="CharDivNo"/>
        </w:rPr>
        <w:t>2.5.1</w:t>
      </w:r>
      <w:r w:rsidR="00D22D3F" w:rsidRPr="00097A86">
        <w:t>—</w:t>
      </w:r>
      <w:r w:rsidRPr="00097A86">
        <w:rPr>
          <w:rStyle w:val="CharDivText"/>
        </w:rPr>
        <w:t>Energy</w:t>
      </w:r>
      <w:r w:rsidR="00D22D3F" w:rsidRPr="00097A86">
        <w:rPr>
          <w:rStyle w:val="CharDivText"/>
        </w:rPr>
        <w:t>—</w:t>
      </w:r>
      <w:r w:rsidRPr="00097A86">
        <w:rPr>
          <w:rStyle w:val="CharDivText"/>
        </w:rPr>
        <w:t>petroleum refining</w:t>
      </w:r>
      <w:bookmarkEnd w:id="183"/>
    </w:p>
    <w:p w14:paraId="1CBF623D" w14:textId="77777777" w:rsidR="003F0D4E" w:rsidRPr="00097A86" w:rsidRDefault="003F0D4E" w:rsidP="00D22D3F">
      <w:pPr>
        <w:pStyle w:val="ActHead5"/>
      </w:pPr>
      <w:bookmarkStart w:id="184" w:name="_Toc13233626"/>
      <w:r w:rsidRPr="00097A86">
        <w:rPr>
          <w:rStyle w:val="CharSectno"/>
        </w:rPr>
        <w:t>2.55</w:t>
      </w:r>
      <w:r w:rsidR="00D22D3F" w:rsidRPr="00097A86">
        <w:t xml:space="preserve">  </w:t>
      </w:r>
      <w:r w:rsidRPr="00097A86">
        <w:t>Application</w:t>
      </w:r>
      <w:bookmarkEnd w:id="184"/>
    </w:p>
    <w:p w14:paraId="75287A79" w14:textId="77777777" w:rsidR="003F0D4E" w:rsidRPr="00097A86" w:rsidRDefault="003F0D4E" w:rsidP="00D22D3F">
      <w:pPr>
        <w:pStyle w:val="subsection"/>
      </w:pPr>
      <w:r w:rsidRPr="00097A86">
        <w:tab/>
      </w:r>
      <w:r w:rsidRPr="00097A86">
        <w:tab/>
        <w:t>This Division applies to petroleum refining.</w:t>
      </w:r>
    </w:p>
    <w:p w14:paraId="2CEF7CA1" w14:textId="77777777" w:rsidR="003F0D4E" w:rsidRPr="00097A86" w:rsidRDefault="003F0D4E" w:rsidP="00D22D3F">
      <w:pPr>
        <w:pStyle w:val="ActHead5"/>
      </w:pPr>
      <w:bookmarkStart w:id="185" w:name="_Toc13233627"/>
      <w:r w:rsidRPr="00097A86">
        <w:rPr>
          <w:rStyle w:val="CharSectno"/>
        </w:rPr>
        <w:t>2.56</w:t>
      </w:r>
      <w:r w:rsidR="00D22D3F" w:rsidRPr="00097A86">
        <w:t xml:space="preserve">  </w:t>
      </w:r>
      <w:r w:rsidRPr="00097A86">
        <w:t>Methods</w:t>
      </w:r>
      <w:bookmarkEnd w:id="185"/>
    </w:p>
    <w:p w14:paraId="7A8CEBF3" w14:textId="77777777" w:rsidR="003F0D4E" w:rsidRPr="00097A86" w:rsidRDefault="003F0D4E" w:rsidP="00D22D3F">
      <w:pPr>
        <w:pStyle w:val="subsection"/>
      </w:pPr>
      <w:r w:rsidRPr="00097A86">
        <w:tab/>
        <w:t>(1)</w:t>
      </w:r>
      <w:r w:rsidRPr="00097A86">
        <w:tab/>
        <w:t>If:</w:t>
      </w:r>
    </w:p>
    <w:p w14:paraId="0B44C3B7" w14:textId="77777777" w:rsidR="003F0D4E" w:rsidRPr="00097A86" w:rsidRDefault="003F0D4E" w:rsidP="00D22D3F">
      <w:pPr>
        <w:pStyle w:val="paragraph"/>
      </w:pPr>
      <w:r w:rsidRPr="00097A86">
        <w:tab/>
        <w:t>(a)</w:t>
      </w:r>
      <w:r w:rsidRPr="00097A86">
        <w:tab/>
        <w:t>the operation of a facility is constituted by petroleum refining; and</w:t>
      </w:r>
    </w:p>
    <w:p w14:paraId="6814EF76" w14:textId="77777777" w:rsidR="003F0D4E" w:rsidRPr="00097A86" w:rsidRDefault="003F0D4E" w:rsidP="00D22D3F">
      <w:pPr>
        <w:pStyle w:val="paragraph"/>
      </w:pPr>
      <w:r w:rsidRPr="00097A86">
        <w:tab/>
        <w:t>(b)</w:t>
      </w:r>
      <w:r w:rsidRPr="00097A86">
        <w:tab/>
        <w:t>the refinery combusts fuels for energy;</w:t>
      </w:r>
    </w:p>
    <w:p w14:paraId="0633739D" w14:textId="77777777" w:rsidR="003F0D4E" w:rsidRPr="00097A86" w:rsidRDefault="003F0D4E" w:rsidP="00D22D3F">
      <w:pPr>
        <w:pStyle w:val="subsection2"/>
      </w:pPr>
      <w:r w:rsidRPr="00097A86">
        <w:t>then the methods for estimating emissions during a year from that combustion are as provided in Parts</w:t>
      </w:r>
      <w:r w:rsidR="00097A86">
        <w:t> </w:t>
      </w:r>
      <w:r w:rsidRPr="00097A86">
        <w:t>2.2, 2.3 and 2.4.</w:t>
      </w:r>
    </w:p>
    <w:p w14:paraId="7EE6F72B" w14:textId="77777777" w:rsidR="003F0D4E" w:rsidRPr="00097A86" w:rsidRDefault="003F0D4E" w:rsidP="00D22D3F">
      <w:pPr>
        <w:pStyle w:val="subsection"/>
      </w:pPr>
      <w:r w:rsidRPr="00097A86">
        <w:tab/>
        <w:t>(2)</w:t>
      </w:r>
      <w:r w:rsidRPr="00097A86">
        <w:tab/>
        <w:t>The method for estimating emissions from the production of hydrogen by the petroleum refinery must be in accordance with the method set out in section</w:t>
      </w:r>
      <w:r w:rsidR="00097A86">
        <w:t> </w:t>
      </w:r>
      <w:r w:rsidRPr="00097A86">
        <w:t>5 of the API Compendium.</w:t>
      </w:r>
    </w:p>
    <w:p w14:paraId="7DA5221B" w14:textId="77777777" w:rsidR="003F0D4E" w:rsidRPr="00097A86" w:rsidRDefault="003F0D4E" w:rsidP="00D22D3F">
      <w:pPr>
        <w:pStyle w:val="subsection"/>
      </w:pPr>
      <w:r w:rsidRPr="00097A86">
        <w:tab/>
        <w:t>(3)</w:t>
      </w:r>
      <w:r w:rsidRPr="00097A86">
        <w:tab/>
        <w:t>Fugitive emissions released from the petroleum refinery must be estimated using methods provided for in Chapter</w:t>
      </w:r>
      <w:r w:rsidR="00097A86">
        <w:t> </w:t>
      </w:r>
      <w:r w:rsidRPr="00097A86">
        <w:t>3.</w:t>
      </w:r>
    </w:p>
    <w:p w14:paraId="431A5ED1" w14:textId="77777777" w:rsidR="00D23F89" w:rsidRPr="00097A86" w:rsidRDefault="00D23F89" w:rsidP="009A46A7">
      <w:pPr>
        <w:pStyle w:val="ActHead3"/>
        <w:pageBreakBefore/>
      </w:pPr>
      <w:bookmarkStart w:id="186" w:name="_Toc13233628"/>
      <w:r w:rsidRPr="00097A86">
        <w:rPr>
          <w:rStyle w:val="CharDivNo"/>
        </w:rPr>
        <w:lastRenderedPageBreak/>
        <w:t>Division</w:t>
      </w:r>
      <w:r w:rsidR="00097A86">
        <w:rPr>
          <w:rStyle w:val="CharDivNo"/>
        </w:rPr>
        <w:t> </w:t>
      </w:r>
      <w:r w:rsidRPr="00097A86">
        <w:rPr>
          <w:rStyle w:val="CharDivNo"/>
        </w:rPr>
        <w:t>2.5.2</w:t>
      </w:r>
      <w:r w:rsidR="00D22D3F" w:rsidRPr="00097A86">
        <w:t>—</w:t>
      </w:r>
      <w:r w:rsidRPr="00097A86">
        <w:rPr>
          <w:rStyle w:val="CharDivText"/>
        </w:rPr>
        <w:t>Energy</w:t>
      </w:r>
      <w:r w:rsidR="00D22D3F" w:rsidRPr="00097A86">
        <w:rPr>
          <w:rStyle w:val="CharDivText"/>
        </w:rPr>
        <w:t>—</w:t>
      </w:r>
      <w:r w:rsidRPr="00097A86">
        <w:rPr>
          <w:rStyle w:val="CharDivText"/>
        </w:rPr>
        <w:t>manufacture of solid fuels</w:t>
      </w:r>
      <w:bookmarkEnd w:id="186"/>
    </w:p>
    <w:p w14:paraId="65B45F40" w14:textId="77777777" w:rsidR="003F0D4E" w:rsidRPr="00097A86" w:rsidRDefault="003F0D4E" w:rsidP="00D22D3F">
      <w:pPr>
        <w:pStyle w:val="ActHead5"/>
      </w:pPr>
      <w:bookmarkStart w:id="187" w:name="_Toc13233629"/>
      <w:r w:rsidRPr="00097A86">
        <w:rPr>
          <w:rStyle w:val="CharSectno"/>
        </w:rPr>
        <w:t>2.57</w:t>
      </w:r>
      <w:r w:rsidR="00D22D3F" w:rsidRPr="00097A86">
        <w:t xml:space="preserve">  </w:t>
      </w:r>
      <w:r w:rsidRPr="00097A86">
        <w:t>Application</w:t>
      </w:r>
      <w:bookmarkEnd w:id="187"/>
    </w:p>
    <w:p w14:paraId="53B70698" w14:textId="77777777" w:rsidR="003F0D4E" w:rsidRPr="00097A86" w:rsidRDefault="003F0D4E" w:rsidP="00D22D3F">
      <w:pPr>
        <w:pStyle w:val="subsection"/>
      </w:pPr>
      <w:r w:rsidRPr="00097A86">
        <w:tab/>
      </w:r>
      <w:r w:rsidRPr="00097A86">
        <w:tab/>
        <w:t xml:space="preserve">This Division applies to solid fuel transformation </w:t>
      </w:r>
      <w:r w:rsidR="00D23F89" w:rsidRPr="00097A86">
        <w:t>through the pyrolysis of coal or the coal briquette process.</w:t>
      </w:r>
    </w:p>
    <w:p w14:paraId="2F84E816" w14:textId="77777777" w:rsidR="003F0D4E" w:rsidRPr="00097A86" w:rsidRDefault="003F0D4E" w:rsidP="00D22D3F">
      <w:pPr>
        <w:pStyle w:val="ActHead5"/>
      </w:pPr>
      <w:bookmarkStart w:id="188" w:name="_Toc13233630"/>
      <w:r w:rsidRPr="00097A86">
        <w:rPr>
          <w:rStyle w:val="CharSectno"/>
        </w:rPr>
        <w:t>2.58</w:t>
      </w:r>
      <w:r w:rsidR="00D22D3F" w:rsidRPr="00097A86">
        <w:t xml:space="preserve">  </w:t>
      </w:r>
      <w:r w:rsidRPr="00097A86">
        <w:t>Methods</w:t>
      </w:r>
      <w:bookmarkEnd w:id="188"/>
    </w:p>
    <w:p w14:paraId="18C858EE" w14:textId="77777777" w:rsidR="00D23F89" w:rsidRPr="00097A86" w:rsidRDefault="00D23F89" w:rsidP="00D22D3F">
      <w:pPr>
        <w:pStyle w:val="subsection"/>
      </w:pPr>
      <w:r w:rsidRPr="00097A86">
        <w:tab/>
        <w:t>(1)</w:t>
      </w:r>
      <w:r w:rsidRPr="00097A86">
        <w:tab/>
        <w:t>One or more of the following methods must be used for estimating emissions during the year from combustion of fuels for energy in the manufacture of solid fuels:</w:t>
      </w:r>
    </w:p>
    <w:p w14:paraId="59085A22" w14:textId="77777777" w:rsidR="00D23F89" w:rsidRPr="00097A86" w:rsidRDefault="00D23F89" w:rsidP="00D22D3F">
      <w:pPr>
        <w:pStyle w:val="paragraph"/>
      </w:pPr>
      <w:r w:rsidRPr="00097A86">
        <w:tab/>
        <w:t>(a)</w:t>
      </w:r>
      <w:r w:rsidRPr="00097A86">
        <w:tab/>
        <w:t>if a facility is constituted by the manufacture of solid fuel using coke ovens as part of an integrated metalworks</w:t>
      </w:r>
      <w:r w:rsidR="00D22D3F" w:rsidRPr="00097A86">
        <w:t>—</w:t>
      </w:r>
      <w:r w:rsidRPr="00097A86">
        <w:t>the methods provided in Part</w:t>
      </w:r>
      <w:r w:rsidR="00097A86">
        <w:t> </w:t>
      </w:r>
      <w:r w:rsidRPr="00097A86">
        <w:t>4.4 must be used; and</w:t>
      </w:r>
    </w:p>
    <w:p w14:paraId="3076A29E" w14:textId="77777777" w:rsidR="00D23F89" w:rsidRPr="00097A86" w:rsidRDefault="00D23F89" w:rsidP="00D22D3F">
      <w:pPr>
        <w:pStyle w:val="paragraph"/>
      </w:pPr>
      <w:r w:rsidRPr="00097A86">
        <w:tab/>
        <w:t>(b)</w:t>
      </w:r>
      <w:r w:rsidRPr="00097A86">
        <w:tab/>
        <w:t>in any other case</w:t>
      </w:r>
      <w:r w:rsidR="00D22D3F" w:rsidRPr="00097A86">
        <w:t>—</w:t>
      </w:r>
      <w:r w:rsidRPr="00097A86">
        <w:t>one of the following methods must be used:</w:t>
      </w:r>
    </w:p>
    <w:p w14:paraId="52496030" w14:textId="77777777" w:rsidR="00D23F89" w:rsidRPr="00097A86" w:rsidRDefault="00D23F89" w:rsidP="00D22D3F">
      <w:pPr>
        <w:pStyle w:val="paragraphsub"/>
      </w:pPr>
      <w:r w:rsidRPr="00097A86">
        <w:tab/>
        <w:t>(i)</w:t>
      </w:r>
      <w:r w:rsidRPr="00097A86">
        <w:tab/>
        <w:t xml:space="preserve">method 1 under </w:t>
      </w:r>
      <w:r w:rsidR="00097A86">
        <w:t>subsection (</w:t>
      </w:r>
      <w:r w:rsidRPr="00097A86">
        <w:t>3);</w:t>
      </w:r>
    </w:p>
    <w:p w14:paraId="63FBF4A4" w14:textId="77777777" w:rsidR="00D23F89" w:rsidRPr="00097A86" w:rsidRDefault="00D23F89" w:rsidP="00D22D3F">
      <w:pPr>
        <w:pStyle w:val="paragraphsub"/>
      </w:pPr>
      <w:r w:rsidRPr="00097A86">
        <w:tab/>
        <w:t>(ii)</w:t>
      </w:r>
      <w:r w:rsidRPr="00097A86">
        <w:tab/>
        <w:t xml:space="preserve">method 2 under </w:t>
      </w:r>
      <w:r w:rsidR="00097A86">
        <w:t>subsections (</w:t>
      </w:r>
      <w:r w:rsidRPr="00097A86">
        <w:t>4) to (7);</w:t>
      </w:r>
    </w:p>
    <w:p w14:paraId="53E5244C" w14:textId="77777777" w:rsidR="00D23F89" w:rsidRPr="00097A86" w:rsidRDefault="00D23F89" w:rsidP="00D22D3F">
      <w:pPr>
        <w:pStyle w:val="paragraphsub"/>
      </w:pPr>
      <w:r w:rsidRPr="00097A86">
        <w:tab/>
        <w:t>(iii)</w:t>
      </w:r>
      <w:r w:rsidRPr="00097A86">
        <w:tab/>
        <w:t xml:space="preserve">method 3 under </w:t>
      </w:r>
      <w:r w:rsidR="00097A86">
        <w:t>subsections (</w:t>
      </w:r>
      <w:r w:rsidRPr="00097A86">
        <w:t>8) to (10);</w:t>
      </w:r>
    </w:p>
    <w:p w14:paraId="18AE66F5" w14:textId="77777777" w:rsidR="00D23F89" w:rsidRPr="00097A86" w:rsidRDefault="00D23F89" w:rsidP="00D22D3F">
      <w:pPr>
        <w:pStyle w:val="paragraphsub"/>
      </w:pPr>
      <w:r w:rsidRPr="00097A86">
        <w:tab/>
        <w:t>(iv)</w:t>
      </w:r>
      <w:r w:rsidRPr="00097A86">
        <w:tab/>
        <w:t>method 4 under Part</w:t>
      </w:r>
      <w:r w:rsidR="00097A86">
        <w:t> </w:t>
      </w:r>
      <w:r w:rsidRPr="00097A86">
        <w:t>1.3.</w:t>
      </w:r>
    </w:p>
    <w:p w14:paraId="75B07554" w14:textId="77777777" w:rsidR="00493264" w:rsidRPr="00097A86" w:rsidRDefault="00493264" w:rsidP="00D22D3F">
      <w:pPr>
        <w:pStyle w:val="subsection"/>
      </w:pPr>
      <w:r w:rsidRPr="00097A86">
        <w:tab/>
        <w:t>(2)</w:t>
      </w:r>
      <w:r w:rsidRPr="00097A86">
        <w:tab/>
        <w:t>These emissions are taken to be emissions from fuel combustion.</w:t>
      </w:r>
    </w:p>
    <w:p w14:paraId="0D921DCA" w14:textId="77777777" w:rsidR="004E22F1" w:rsidRPr="00097A86" w:rsidRDefault="004E22F1" w:rsidP="00D22D3F">
      <w:pPr>
        <w:pStyle w:val="SubsectionHead"/>
      </w:pPr>
      <w:r w:rsidRPr="00097A86">
        <w:t>Method 1</w:t>
      </w:r>
    </w:p>
    <w:p w14:paraId="398D950A" w14:textId="77777777" w:rsidR="004E22F1" w:rsidRPr="00097A86" w:rsidRDefault="004E22F1" w:rsidP="00705FFE">
      <w:pPr>
        <w:pStyle w:val="subsection"/>
        <w:spacing w:after="60"/>
      </w:pPr>
      <w:r w:rsidRPr="00097A86">
        <w:tab/>
        <w:t>(3)</w:t>
      </w:r>
      <w:r w:rsidRPr="00097A86">
        <w:tab/>
        <w:t>Method 1, based on a carbon mass balance approach, is:</w:t>
      </w:r>
    </w:p>
    <w:tbl>
      <w:tblPr>
        <w:tblW w:w="5000" w:type="pct"/>
        <w:tblLook w:val="04A0" w:firstRow="1" w:lastRow="0" w:firstColumn="1" w:lastColumn="0" w:noHBand="0" w:noVBand="1"/>
      </w:tblPr>
      <w:tblGrid>
        <w:gridCol w:w="908"/>
        <w:gridCol w:w="7405"/>
      </w:tblGrid>
      <w:tr w:rsidR="00272216" w:rsidRPr="00097A86" w14:paraId="767235C4" w14:textId="77777777" w:rsidTr="00C20CC2">
        <w:trPr>
          <w:cantSplit/>
          <w:trHeight w:val="1242"/>
        </w:trPr>
        <w:tc>
          <w:tcPr>
            <w:tcW w:w="546" w:type="pct"/>
            <w:hideMark/>
          </w:tcPr>
          <w:p w14:paraId="079B857D" w14:textId="77777777" w:rsidR="00272216" w:rsidRPr="00097A86" w:rsidRDefault="00272216" w:rsidP="002803FD">
            <w:pPr>
              <w:pStyle w:val="Tabletext"/>
              <w:keepNext/>
              <w:keepLines/>
              <w:rPr>
                <w:sz w:val="22"/>
                <w:szCs w:val="22"/>
              </w:rPr>
            </w:pPr>
            <w:r w:rsidRPr="00097A86">
              <w:rPr>
                <w:sz w:val="22"/>
                <w:szCs w:val="22"/>
              </w:rPr>
              <w:t>Step 1</w:t>
            </w:r>
          </w:p>
        </w:tc>
        <w:tc>
          <w:tcPr>
            <w:tcW w:w="4454" w:type="pct"/>
            <w:hideMark/>
          </w:tcPr>
          <w:p w14:paraId="745CD29D" w14:textId="77777777" w:rsidR="00272216" w:rsidRPr="00097A86" w:rsidRDefault="00272216" w:rsidP="002803FD">
            <w:pPr>
              <w:pStyle w:val="Tabletext"/>
              <w:keepNext/>
              <w:keepLines/>
              <w:rPr>
                <w:sz w:val="22"/>
                <w:szCs w:val="22"/>
              </w:rPr>
            </w:pPr>
            <w:r w:rsidRPr="00097A86">
              <w:rPr>
                <w:sz w:val="22"/>
                <w:szCs w:val="22"/>
              </w:rPr>
              <w:t>Work out the carbon content in fuel types (i) or carbonaceous input material delivered for the activity during the year, measured in tonnes of carbon, as follows:</w:t>
            </w:r>
          </w:p>
          <w:p w14:paraId="2808D8CF" w14:textId="77777777" w:rsidR="00272216" w:rsidRPr="00097A86" w:rsidRDefault="009E1F90" w:rsidP="002803FD">
            <w:pPr>
              <w:pStyle w:val="Tabletext"/>
              <w:keepNext/>
              <w:keepLines/>
              <w:rPr>
                <w:sz w:val="22"/>
                <w:szCs w:val="22"/>
              </w:rPr>
            </w:pPr>
            <w:r>
              <w:rPr>
                <w:noProof/>
                <w:sz w:val="22"/>
                <w:szCs w:val="22"/>
              </w:rPr>
              <w:drawing>
                <wp:inline distT="0" distB="0" distL="0" distR="0" wp14:anchorId="247F5C62" wp14:editId="4507D479">
                  <wp:extent cx="885825" cy="219075"/>
                  <wp:effectExtent l="0" t="0" r="9525" b="9525"/>
                  <wp:docPr id="2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272216" w:rsidRPr="00097A86" w14:paraId="0889AFD0" w14:textId="77777777" w:rsidTr="00C20CC2">
        <w:trPr>
          <w:cantSplit/>
          <w:trHeight w:val="80"/>
        </w:trPr>
        <w:tc>
          <w:tcPr>
            <w:tcW w:w="546" w:type="pct"/>
            <w:vAlign w:val="center"/>
            <w:hideMark/>
          </w:tcPr>
          <w:p w14:paraId="1685A5BA" w14:textId="77777777" w:rsidR="00272216" w:rsidRPr="00097A86" w:rsidRDefault="00272216" w:rsidP="00272216">
            <w:pPr>
              <w:ind w:left="-97" w:right="-24"/>
              <w:rPr>
                <w:i/>
              </w:rPr>
            </w:pPr>
          </w:p>
        </w:tc>
        <w:tc>
          <w:tcPr>
            <w:tcW w:w="4454" w:type="pct"/>
            <w:hideMark/>
          </w:tcPr>
          <w:p w14:paraId="20339E6C" w14:textId="77777777" w:rsidR="00272216" w:rsidRPr="00097A86" w:rsidRDefault="00272216" w:rsidP="002803FD">
            <w:pPr>
              <w:pStyle w:val="subsection2"/>
              <w:ind w:left="34"/>
            </w:pPr>
            <w:r w:rsidRPr="00097A86">
              <w:t>where:</w:t>
            </w:r>
          </w:p>
          <w:p w14:paraId="77516481" w14:textId="77777777" w:rsidR="00272216" w:rsidRPr="00097A86" w:rsidRDefault="00272216" w:rsidP="009F3FBB">
            <w:pPr>
              <w:pStyle w:val="Definition"/>
              <w:spacing w:after="60"/>
              <w:ind w:left="34"/>
            </w:pPr>
            <w:r w:rsidRPr="00097A86">
              <w:rPr>
                <w:rFonts w:ascii="Symbol" w:hAnsi="Symbol"/>
                <w:b/>
                <w:i/>
              </w:rPr>
              <w:t></w:t>
            </w:r>
            <w:r w:rsidRPr="00097A86">
              <w:rPr>
                <w:b/>
                <w:i/>
                <w:vertAlign w:val="subscript"/>
              </w:rPr>
              <w:t>i</w:t>
            </w:r>
            <w:r w:rsidRPr="00097A86">
              <w:rPr>
                <w:i/>
              </w:rPr>
              <w:t xml:space="preserve"> </w:t>
            </w:r>
            <w:r w:rsidRPr="00097A86">
              <w:t>means the sum of the carbon content values obtained for all fuel types (</w:t>
            </w:r>
            <w:r w:rsidRPr="00097A86">
              <w:rPr>
                <w:b/>
                <w:i/>
              </w:rPr>
              <w:t>i</w:t>
            </w:r>
            <w:r w:rsidRPr="00097A86">
              <w:t>) or carbonaceous input material.</w:t>
            </w:r>
          </w:p>
        </w:tc>
      </w:tr>
      <w:tr w:rsidR="00272216" w:rsidRPr="00097A86" w14:paraId="49106D12" w14:textId="77777777" w:rsidTr="00C20CC2">
        <w:trPr>
          <w:cantSplit/>
          <w:trHeight w:val="80"/>
        </w:trPr>
        <w:tc>
          <w:tcPr>
            <w:tcW w:w="546" w:type="pct"/>
            <w:vAlign w:val="center"/>
            <w:hideMark/>
          </w:tcPr>
          <w:p w14:paraId="252A7749" w14:textId="77777777" w:rsidR="00272216" w:rsidRPr="00097A86" w:rsidRDefault="00272216" w:rsidP="00272216">
            <w:pPr>
              <w:ind w:left="-97" w:right="-24"/>
              <w:rPr>
                <w:i/>
              </w:rPr>
            </w:pPr>
          </w:p>
        </w:tc>
        <w:tc>
          <w:tcPr>
            <w:tcW w:w="4454" w:type="pct"/>
            <w:hideMark/>
          </w:tcPr>
          <w:p w14:paraId="692EF240" w14:textId="77777777" w:rsidR="00272216" w:rsidRPr="00097A86" w:rsidRDefault="00272216" w:rsidP="009F3FBB">
            <w:pPr>
              <w:pStyle w:val="Definition"/>
              <w:spacing w:before="60" w:after="60"/>
              <w:ind w:left="34"/>
              <w:rPr>
                <w:b/>
                <w:i/>
              </w:rPr>
            </w:pPr>
            <w:r w:rsidRPr="00097A86">
              <w:rPr>
                <w:b/>
                <w:i/>
              </w:rPr>
              <w:t>CCF</w:t>
            </w:r>
            <w:r w:rsidRPr="00097A86">
              <w:rPr>
                <w:b/>
                <w:i/>
                <w:vertAlign w:val="subscript"/>
              </w:rPr>
              <w:t>i</w:t>
            </w:r>
            <w:r w:rsidRPr="00097A86">
              <w:rPr>
                <w:b/>
                <w:i/>
              </w:rPr>
              <w:t xml:space="preserve"> </w:t>
            </w:r>
            <w:r w:rsidRPr="00097A86">
              <w:t>is the carbon content factor mentioned in Schedule</w:t>
            </w:r>
            <w:r w:rsidR="00097A86">
              <w:t> </w:t>
            </w:r>
            <w:r w:rsidRPr="00097A86">
              <w:t xml:space="preserve">3, measured in tonnes of </w:t>
            </w:r>
            <w:r w:rsidRPr="00097A86">
              <w:rPr>
                <w:iCs/>
              </w:rPr>
              <w:t>carbon</w:t>
            </w:r>
            <w:r w:rsidRPr="00097A86">
              <w:t>, for each appropriate unit of fuel type (</w:t>
            </w:r>
            <w:r w:rsidRPr="00097A86">
              <w:rPr>
                <w:b/>
                <w:i/>
              </w:rPr>
              <w:t>i</w:t>
            </w:r>
            <w:r w:rsidRPr="00097A86">
              <w:t>) or carbonaceous input material consumed during the year from the operation of the activity.</w:t>
            </w:r>
          </w:p>
        </w:tc>
      </w:tr>
      <w:tr w:rsidR="00272216" w:rsidRPr="00097A86" w14:paraId="4A292BB7" w14:textId="77777777" w:rsidTr="00C20CC2">
        <w:trPr>
          <w:cantSplit/>
          <w:trHeight w:val="80"/>
        </w:trPr>
        <w:tc>
          <w:tcPr>
            <w:tcW w:w="546" w:type="pct"/>
            <w:vAlign w:val="center"/>
            <w:hideMark/>
          </w:tcPr>
          <w:p w14:paraId="163533FE" w14:textId="77777777" w:rsidR="00272216" w:rsidRPr="00097A86" w:rsidRDefault="00272216" w:rsidP="00272216">
            <w:pPr>
              <w:ind w:left="-97" w:right="-24"/>
              <w:rPr>
                <w:i/>
              </w:rPr>
            </w:pPr>
          </w:p>
        </w:tc>
        <w:tc>
          <w:tcPr>
            <w:tcW w:w="4454" w:type="pct"/>
            <w:hideMark/>
          </w:tcPr>
          <w:p w14:paraId="121852B2" w14:textId="77777777" w:rsidR="00272216" w:rsidRPr="00097A86" w:rsidRDefault="00272216" w:rsidP="009F3FBB">
            <w:pPr>
              <w:pStyle w:val="Definition"/>
              <w:spacing w:before="60" w:after="60"/>
              <w:ind w:left="34"/>
              <w:rPr>
                <w:b/>
                <w:i/>
              </w:rPr>
            </w:pPr>
            <w:r w:rsidRPr="00097A86">
              <w:rPr>
                <w:b/>
                <w:i/>
              </w:rPr>
              <w:t>Q</w:t>
            </w:r>
            <w:r w:rsidRPr="00097A86">
              <w:rPr>
                <w:b/>
                <w:i/>
                <w:vertAlign w:val="subscript"/>
              </w:rPr>
              <w:t>i</w:t>
            </w:r>
            <w:r w:rsidRPr="00097A86">
              <w:rPr>
                <w:b/>
                <w:i/>
              </w:rPr>
              <w:t xml:space="preserve"> </w:t>
            </w:r>
            <w:r w:rsidRPr="00097A86">
              <w:t xml:space="preserve">is the quantity </w:t>
            </w:r>
            <w:r w:rsidRPr="00097A86">
              <w:rPr>
                <w:szCs w:val="22"/>
              </w:rPr>
              <w:t>of</w:t>
            </w:r>
            <w:r w:rsidRPr="00097A86">
              <w:t xml:space="preserve"> fuel type (</w:t>
            </w:r>
            <w:r w:rsidRPr="00097A86">
              <w:rPr>
                <w:b/>
                <w:i/>
              </w:rPr>
              <w:t>i</w:t>
            </w:r>
            <w:r w:rsidRPr="00097A86">
              <w:t xml:space="preserve">) or carbonaceous input material delivered </w:t>
            </w:r>
            <w:r w:rsidRPr="00097A86">
              <w:rPr>
                <w:iCs/>
              </w:rPr>
              <w:t>for</w:t>
            </w:r>
            <w:r w:rsidRPr="00097A86">
              <w:t xml:space="preserve"> the activity during the year, measured in an appropriate unit and estimated in accordance with criterion A in Divisions</w:t>
            </w:r>
            <w:r w:rsidR="00097A86">
              <w:t> </w:t>
            </w:r>
            <w:r w:rsidRPr="00097A86">
              <w:t>2.2.5, 2.3.6 and 2.4.6.</w:t>
            </w:r>
          </w:p>
        </w:tc>
      </w:tr>
      <w:tr w:rsidR="00272216" w:rsidRPr="00097A86" w14:paraId="7D95DCD5" w14:textId="77777777" w:rsidTr="00C20CC2">
        <w:trPr>
          <w:cantSplit/>
          <w:trHeight w:val="993"/>
        </w:trPr>
        <w:tc>
          <w:tcPr>
            <w:tcW w:w="546" w:type="pct"/>
            <w:vMerge w:val="restart"/>
            <w:hideMark/>
          </w:tcPr>
          <w:p w14:paraId="287ED609" w14:textId="77777777" w:rsidR="00272216" w:rsidRPr="00097A86" w:rsidRDefault="00272216" w:rsidP="002803FD">
            <w:pPr>
              <w:pStyle w:val="Tabletext"/>
              <w:keepNext/>
              <w:keepLines/>
              <w:rPr>
                <w:sz w:val="22"/>
                <w:szCs w:val="22"/>
              </w:rPr>
            </w:pPr>
            <w:r w:rsidRPr="00097A86">
              <w:rPr>
                <w:sz w:val="22"/>
                <w:szCs w:val="22"/>
              </w:rPr>
              <w:lastRenderedPageBreak/>
              <w:t>Step 2</w:t>
            </w:r>
          </w:p>
        </w:tc>
        <w:tc>
          <w:tcPr>
            <w:tcW w:w="4454" w:type="pct"/>
            <w:hideMark/>
          </w:tcPr>
          <w:p w14:paraId="24E5E6D8" w14:textId="77777777" w:rsidR="00272216" w:rsidRPr="00097A86" w:rsidRDefault="00272216" w:rsidP="002803FD">
            <w:pPr>
              <w:pStyle w:val="Tabletext"/>
              <w:keepNext/>
              <w:keepLines/>
              <w:rPr>
                <w:sz w:val="22"/>
                <w:szCs w:val="22"/>
              </w:rPr>
            </w:pPr>
            <w:r w:rsidRPr="00097A86">
              <w:rPr>
                <w:sz w:val="22"/>
                <w:szCs w:val="22"/>
              </w:rPr>
              <w:t>Work out the carbon content in products (</w:t>
            </w:r>
            <w:r w:rsidRPr="00097A86">
              <w:rPr>
                <w:b/>
                <w:i/>
                <w:sz w:val="22"/>
                <w:szCs w:val="22"/>
              </w:rPr>
              <w:t>p</w:t>
            </w:r>
            <w:r w:rsidRPr="00097A86">
              <w:rPr>
                <w:sz w:val="22"/>
                <w:szCs w:val="22"/>
              </w:rPr>
              <w:t>) leaving the activity during the year, measured in tonnes of carbon, as follows:</w:t>
            </w:r>
          </w:p>
          <w:p w14:paraId="22D5C290" w14:textId="77777777" w:rsidR="00272216" w:rsidRPr="00097A86" w:rsidRDefault="009E1F90" w:rsidP="00617697">
            <w:pPr>
              <w:pStyle w:val="Formula"/>
              <w:spacing w:before="120" w:after="120"/>
              <w:ind w:left="111" w:hanging="111"/>
              <w:jc w:val="both"/>
            </w:pPr>
            <w:r>
              <w:rPr>
                <w:noProof/>
                <w:position w:val="-14"/>
              </w:rPr>
              <w:drawing>
                <wp:inline distT="0" distB="0" distL="0" distR="0" wp14:anchorId="586EFAA0" wp14:editId="3491AFB5">
                  <wp:extent cx="952500" cy="238125"/>
                  <wp:effectExtent l="0" t="0" r="0" b="9525"/>
                  <wp:docPr id="20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r>
      <w:tr w:rsidR="00272216" w:rsidRPr="00097A86" w14:paraId="5D09344D" w14:textId="77777777" w:rsidTr="00C20CC2">
        <w:trPr>
          <w:cantSplit/>
        </w:trPr>
        <w:tc>
          <w:tcPr>
            <w:tcW w:w="546" w:type="pct"/>
            <w:vMerge/>
            <w:vAlign w:val="center"/>
            <w:hideMark/>
          </w:tcPr>
          <w:p w14:paraId="7945E55D" w14:textId="77777777" w:rsidR="00272216" w:rsidRPr="00097A86" w:rsidRDefault="00272216" w:rsidP="002803FD">
            <w:pPr>
              <w:pStyle w:val="Tabletext"/>
              <w:keepNext/>
              <w:keepLines/>
              <w:rPr>
                <w:sz w:val="22"/>
                <w:szCs w:val="22"/>
              </w:rPr>
            </w:pPr>
          </w:p>
        </w:tc>
        <w:tc>
          <w:tcPr>
            <w:tcW w:w="4454" w:type="pct"/>
            <w:hideMark/>
          </w:tcPr>
          <w:p w14:paraId="097D2915" w14:textId="77777777" w:rsidR="00272216" w:rsidRPr="00097A86" w:rsidRDefault="00272216" w:rsidP="002803FD">
            <w:pPr>
              <w:pStyle w:val="subsection2"/>
              <w:ind w:left="34"/>
            </w:pPr>
            <w:r w:rsidRPr="00097A86">
              <w:t>where:</w:t>
            </w:r>
          </w:p>
          <w:p w14:paraId="219DCDB1" w14:textId="77777777" w:rsidR="00272216" w:rsidRPr="00097A86" w:rsidRDefault="00272216" w:rsidP="002803FD">
            <w:pPr>
              <w:pStyle w:val="Definition"/>
              <w:ind w:left="34"/>
            </w:pPr>
            <w:r w:rsidRPr="00097A86">
              <w:rPr>
                <w:rFonts w:ascii="Symbol" w:hAnsi="Symbol"/>
                <w:b/>
                <w:i/>
              </w:rPr>
              <w:t></w:t>
            </w:r>
            <w:r w:rsidRPr="00097A86">
              <w:rPr>
                <w:b/>
                <w:i/>
                <w:vertAlign w:val="subscript"/>
              </w:rPr>
              <w:t>p</w:t>
            </w:r>
            <w:r w:rsidRPr="00097A86">
              <w:rPr>
                <w:b/>
                <w:i/>
              </w:rPr>
              <w:t xml:space="preserve"> </w:t>
            </w:r>
            <w:r w:rsidRPr="00097A86">
              <w:t xml:space="preserve">means the sum of the </w:t>
            </w:r>
            <w:r w:rsidRPr="00097A86">
              <w:rPr>
                <w:szCs w:val="22"/>
              </w:rPr>
              <w:t>carbon</w:t>
            </w:r>
            <w:r w:rsidRPr="00097A86">
              <w:t xml:space="preserve"> content values obtained for all product types (</w:t>
            </w:r>
            <w:r w:rsidRPr="00097A86">
              <w:rPr>
                <w:b/>
                <w:i/>
              </w:rPr>
              <w:t>p</w:t>
            </w:r>
            <w:r w:rsidRPr="00097A86">
              <w:t>).</w:t>
            </w:r>
          </w:p>
          <w:p w14:paraId="3DE8C895" w14:textId="77777777" w:rsidR="00272216" w:rsidRPr="00097A86" w:rsidRDefault="00272216" w:rsidP="009F3FBB">
            <w:pPr>
              <w:pStyle w:val="Definition"/>
              <w:spacing w:before="60" w:after="60"/>
              <w:ind w:left="34"/>
              <w:rPr>
                <w:iCs/>
              </w:rPr>
            </w:pPr>
            <w:r w:rsidRPr="00097A86">
              <w:rPr>
                <w:b/>
                <w:i/>
                <w:iCs/>
              </w:rPr>
              <w:t>CCF</w:t>
            </w:r>
            <w:r w:rsidRPr="00097A86">
              <w:rPr>
                <w:b/>
                <w:i/>
                <w:iCs/>
                <w:vertAlign w:val="subscript"/>
              </w:rPr>
              <w:t>p</w:t>
            </w:r>
            <w:r w:rsidRPr="00097A86">
              <w:rPr>
                <w:iCs/>
              </w:rPr>
              <w:t xml:space="preserve"> is the carbon </w:t>
            </w:r>
            <w:r w:rsidRPr="00097A86">
              <w:rPr>
                <w:szCs w:val="22"/>
              </w:rPr>
              <w:t>content</w:t>
            </w:r>
            <w:r w:rsidRPr="00097A86">
              <w:rPr>
                <w:iCs/>
              </w:rPr>
              <w:t xml:space="preserve"> factor, measured in tonnes of carbon, for each tonne of product type</w:t>
            </w:r>
            <w:r w:rsidRPr="00097A86">
              <w:rPr>
                <w:b/>
                <w:i/>
                <w:iCs/>
              </w:rPr>
              <w:t xml:space="preserve"> </w:t>
            </w:r>
            <w:r w:rsidRPr="00097A86">
              <w:rPr>
                <w:iCs/>
              </w:rPr>
              <w:t>(</w:t>
            </w:r>
            <w:r w:rsidRPr="00097A86">
              <w:rPr>
                <w:b/>
                <w:i/>
                <w:iCs/>
              </w:rPr>
              <w:t>p</w:t>
            </w:r>
            <w:r w:rsidRPr="00097A86">
              <w:rPr>
                <w:iCs/>
              </w:rPr>
              <w:t>) produced during the year.</w:t>
            </w:r>
          </w:p>
          <w:p w14:paraId="2663C855" w14:textId="77777777" w:rsidR="00272216" w:rsidRPr="00097A86" w:rsidRDefault="00272216" w:rsidP="009F3FBB">
            <w:pPr>
              <w:pStyle w:val="Definition"/>
              <w:spacing w:before="60" w:after="60"/>
              <w:ind w:left="34"/>
            </w:pPr>
            <w:r w:rsidRPr="00097A86">
              <w:rPr>
                <w:b/>
                <w:i/>
              </w:rPr>
              <w:t>A</w:t>
            </w:r>
            <w:r w:rsidRPr="00097A86">
              <w:rPr>
                <w:b/>
                <w:i/>
                <w:vertAlign w:val="subscript"/>
              </w:rPr>
              <w:t>p</w:t>
            </w:r>
            <w:r w:rsidRPr="00097A86">
              <w:rPr>
                <w:b/>
                <w:i/>
              </w:rPr>
              <w:t xml:space="preserve"> </w:t>
            </w:r>
            <w:r w:rsidRPr="00097A86">
              <w:t xml:space="preserve">is the </w:t>
            </w:r>
            <w:r w:rsidRPr="00097A86">
              <w:rPr>
                <w:iCs/>
              </w:rPr>
              <w:t>quantity</w:t>
            </w:r>
            <w:r w:rsidRPr="00097A86">
              <w:t xml:space="preserve"> of </w:t>
            </w:r>
            <w:r w:rsidRPr="00097A86">
              <w:rPr>
                <w:iCs/>
              </w:rPr>
              <w:t>product</w:t>
            </w:r>
            <w:r w:rsidRPr="00097A86">
              <w:t xml:space="preserve"> types (</w:t>
            </w:r>
            <w:r w:rsidRPr="00097A86">
              <w:rPr>
                <w:b/>
                <w:i/>
              </w:rPr>
              <w:t>p</w:t>
            </w:r>
            <w:r w:rsidRPr="00097A86">
              <w:t>) produced leaving the activity during the year, measured in tonnes.</w:t>
            </w:r>
          </w:p>
        </w:tc>
      </w:tr>
      <w:tr w:rsidR="00272216" w:rsidRPr="00097A86" w14:paraId="26C79AA1" w14:textId="77777777" w:rsidTr="00C20CC2">
        <w:trPr>
          <w:cantSplit/>
        </w:trPr>
        <w:tc>
          <w:tcPr>
            <w:tcW w:w="546" w:type="pct"/>
            <w:hideMark/>
          </w:tcPr>
          <w:p w14:paraId="45285C7E" w14:textId="77777777" w:rsidR="00272216" w:rsidRPr="00097A86" w:rsidRDefault="00272216" w:rsidP="002803FD">
            <w:pPr>
              <w:pStyle w:val="Tabletext"/>
              <w:keepNext/>
              <w:keepLines/>
              <w:rPr>
                <w:sz w:val="22"/>
                <w:szCs w:val="22"/>
              </w:rPr>
            </w:pPr>
            <w:r w:rsidRPr="00097A86">
              <w:rPr>
                <w:sz w:val="22"/>
                <w:szCs w:val="22"/>
              </w:rPr>
              <w:t>Step 3</w:t>
            </w:r>
          </w:p>
        </w:tc>
        <w:tc>
          <w:tcPr>
            <w:tcW w:w="4454" w:type="pct"/>
            <w:hideMark/>
          </w:tcPr>
          <w:p w14:paraId="3871248B" w14:textId="77777777" w:rsidR="00272216" w:rsidRPr="00097A86" w:rsidRDefault="00272216" w:rsidP="002803FD">
            <w:pPr>
              <w:pStyle w:val="Tabletext"/>
              <w:keepNext/>
              <w:keepLines/>
              <w:rPr>
                <w:sz w:val="22"/>
                <w:szCs w:val="22"/>
              </w:rPr>
            </w:pPr>
            <w:r w:rsidRPr="00097A86">
              <w:rPr>
                <w:sz w:val="22"/>
                <w:szCs w:val="22"/>
              </w:rPr>
              <w:t>Work out the carbon content in waste by</w:t>
            </w:r>
            <w:r w:rsidR="00097A86">
              <w:rPr>
                <w:sz w:val="22"/>
                <w:szCs w:val="22"/>
              </w:rPr>
              <w:noBreakHyphen/>
            </w:r>
            <w:r w:rsidRPr="00097A86">
              <w:rPr>
                <w:sz w:val="22"/>
                <w:szCs w:val="22"/>
              </w:rPr>
              <w:t>product types (r) leaving the activity, other than as an emission of greenhouse gas, during the year, measured in tonnes of carbon, as follows:</w:t>
            </w:r>
          </w:p>
          <w:p w14:paraId="6793A902" w14:textId="77777777" w:rsidR="00272216" w:rsidRPr="00097A86" w:rsidRDefault="009E1F90" w:rsidP="00106923">
            <w:pPr>
              <w:pStyle w:val="Formula"/>
              <w:spacing w:before="120" w:after="120"/>
              <w:ind w:left="0"/>
              <w:rPr>
                <w:iCs/>
              </w:rPr>
            </w:pPr>
            <w:r>
              <w:rPr>
                <w:noProof/>
                <w:position w:val="-10"/>
              </w:rPr>
              <w:drawing>
                <wp:inline distT="0" distB="0" distL="0" distR="0" wp14:anchorId="540E7597" wp14:editId="49C1FC98">
                  <wp:extent cx="885825" cy="219075"/>
                  <wp:effectExtent l="0" t="0" r="9525" b="9525"/>
                  <wp:docPr id="20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272216" w:rsidRPr="00097A86" w14:paraId="194DB03F" w14:textId="77777777" w:rsidTr="00C20CC2">
        <w:trPr>
          <w:cantSplit/>
        </w:trPr>
        <w:tc>
          <w:tcPr>
            <w:tcW w:w="546" w:type="pct"/>
            <w:hideMark/>
          </w:tcPr>
          <w:p w14:paraId="5283D15A" w14:textId="77777777" w:rsidR="00272216" w:rsidRPr="00097A86" w:rsidRDefault="00272216" w:rsidP="00106923">
            <w:pPr>
              <w:pStyle w:val="Tabletext"/>
              <w:keepNext/>
              <w:keepLines/>
              <w:rPr>
                <w:sz w:val="22"/>
                <w:szCs w:val="22"/>
              </w:rPr>
            </w:pPr>
          </w:p>
        </w:tc>
        <w:tc>
          <w:tcPr>
            <w:tcW w:w="4454" w:type="pct"/>
            <w:hideMark/>
          </w:tcPr>
          <w:p w14:paraId="260352BF" w14:textId="77777777" w:rsidR="00272216" w:rsidRPr="00097A86" w:rsidRDefault="00272216" w:rsidP="002803FD">
            <w:pPr>
              <w:pStyle w:val="subsection2"/>
              <w:ind w:left="34"/>
            </w:pPr>
            <w:r w:rsidRPr="00097A86">
              <w:t>where:</w:t>
            </w:r>
          </w:p>
          <w:p w14:paraId="688A3630" w14:textId="77777777" w:rsidR="00272216" w:rsidRPr="00097A86" w:rsidRDefault="00272216" w:rsidP="002803FD">
            <w:pPr>
              <w:pStyle w:val="Definition"/>
              <w:ind w:left="34"/>
            </w:pPr>
            <w:r w:rsidRPr="00097A86">
              <w:rPr>
                <w:rFonts w:ascii="Symbol" w:hAnsi="Symbol"/>
                <w:b/>
                <w:i/>
              </w:rPr>
              <w:t></w:t>
            </w:r>
            <w:r w:rsidRPr="00097A86">
              <w:rPr>
                <w:b/>
                <w:i/>
                <w:vertAlign w:val="subscript"/>
              </w:rPr>
              <w:t>r</w:t>
            </w:r>
            <w:r w:rsidRPr="00097A86">
              <w:rPr>
                <w:b/>
                <w:i/>
              </w:rPr>
              <w:t xml:space="preserve"> </w:t>
            </w:r>
            <w:r w:rsidRPr="00097A86">
              <w:t>means the sum of the carbon content values obtained for all waste by</w:t>
            </w:r>
            <w:r w:rsidR="00097A86">
              <w:noBreakHyphen/>
            </w:r>
            <w:r w:rsidRPr="00097A86">
              <w:t>product types (</w:t>
            </w:r>
            <w:r w:rsidRPr="00097A86">
              <w:rPr>
                <w:b/>
                <w:i/>
              </w:rPr>
              <w:t>r</w:t>
            </w:r>
            <w:r w:rsidRPr="00097A86">
              <w:t>).</w:t>
            </w:r>
          </w:p>
        </w:tc>
      </w:tr>
      <w:tr w:rsidR="00272216" w:rsidRPr="00097A86" w14:paraId="64A54FFA" w14:textId="77777777" w:rsidTr="00C20CC2">
        <w:trPr>
          <w:cantSplit/>
        </w:trPr>
        <w:tc>
          <w:tcPr>
            <w:tcW w:w="546" w:type="pct"/>
            <w:vAlign w:val="center"/>
            <w:hideMark/>
          </w:tcPr>
          <w:p w14:paraId="546F2E70" w14:textId="77777777" w:rsidR="00272216" w:rsidRPr="00097A86" w:rsidRDefault="00272216" w:rsidP="00106923">
            <w:pPr>
              <w:pStyle w:val="Tabletext"/>
              <w:keepNext/>
              <w:keepLines/>
              <w:rPr>
                <w:sz w:val="22"/>
                <w:szCs w:val="22"/>
              </w:rPr>
            </w:pPr>
          </w:p>
        </w:tc>
        <w:tc>
          <w:tcPr>
            <w:tcW w:w="4454" w:type="pct"/>
            <w:hideMark/>
          </w:tcPr>
          <w:p w14:paraId="48555874" w14:textId="77777777" w:rsidR="00272216" w:rsidRPr="00097A86" w:rsidRDefault="00272216" w:rsidP="009F3FBB">
            <w:pPr>
              <w:pStyle w:val="Definition"/>
              <w:spacing w:before="60" w:after="60"/>
              <w:ind w:left="34"/>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0D2F24D9" w14:textId="77777777" w:rsidR="00272216" w:rsidRPr="00097A86" w:rsidRDefault="00272216" w:rsidP="009F3FBB">
            <w:pPr>
              <w:pStyle w:val="Definition"/>
              <w:spacing w:before="60" w:after="60"/>
              <w:ind w:left="34"/>
            </w:pPr>
            <w:r w:rsidRPr="00097A86">
              <w:rPr>
                <w:b/>
                <w:i/>
              </w:rPr>
              <w:t>Y</w:t>
            </w:r>
            <w:r w:rsidRPr="00097A86">
              <w:rPr>
                <w:b/>
                <w:i/>
                <w:vertAlign w:val="subscript"/>
              </w:rPr>
              <w:t>r</w:t>
            </w:r>
            <w:r w:rsidRPr="00097A86">
              <w:rPr>
                <w:b/>
                <w:i/>
              </w:rPr>
              <w:t xml:space="preserve"> </w:t>
            </w:r>
            <w:r w:rsidRPr="00097A86">
              <w:t xml:space="preserve">is the </w:t>
            </w:r>
            <w:r w:rsidRPr="00097A86">
              <w:rPr>
                <w:szCs w:val="22"/>
              </w:rPr>
              <w:t>quantity</w:t>
            </w:r>
            <w:r w:rsidRPr="00097A86">
              <w:t xml:space="preserve"> of waste by</w:t>
            </w:r>
            <w:r w:rsidR="00097A86">
              <w:noBreakHyphen/>
            </w:r>
            <w:r w:rsidRPr="00097A86">
              <w:t>product types (</w:t>
            </w:r>
            <w:r w:rsidRPr="00097A86">
              <w:rPr>
                <w:b/>
                <w:i/>
              </w:rPr>
              <w:t>r</w:t>
            </w:r>
            <w:r w:rsidRPr="00097A86">
              <w:t>) leaving the activity during the year, measured in tonnes.</w:t>
            </w:r>
          </w:p>
        </w:tc>
      </w:tr>
      <w:tr w:rsidR="00272216" w:rsidRPr="00097A86" w14:paraId="2B249D5A" w14:textId="77777777" w:rsidTr="00C20CC2">
        <w:trPr>
          <w:cantSplit/>
        </w:trPr>
        <w:tc>
          <w:tcPr>
            <w:tcW w:w="546" w:type="pct"/>
            <w:vMerge w:val="restart"/>
            <w:hideMark/>
          </w:tcPr>
          <w:p w14:paraId="34FA1E09" w14:textId="77777777" w:rsidR="00272216" w:rsidRPr="00097A86" w:rsidRDefault="00272216" w:rsidP="00106923">
            <w:pPr>
              <w:pStyle w:val="Tabletext"/>
              <w:keepNext/>
              <w:keepLines/>
            </w:pPr>
            <w:r w:rsidRPr="00097A86">
              <w:rPr>
                <w:sz w:val="22"/>
                <w:szCs w:val="22"/>
              </w:rPr>
              <w:t>Step 4</w:t>
            </w:r>
          </w:p>
        </w:tc>
        <w:tc>
          <w:tcPr>
            <w:tcW w:w="4454" w:type="pct"/>
            <w:hideMark/>
          </w:tcPr>
          <w:p w14:paraId="7A5F0E8A" w14:textId="77777777" w:rsidR="00272216" w:rsidRPr="00097A86" w:rsidRDefault="00272216" w:rsidP="00106923">
            <w:pPr>
              <w:pStyle w:val="Tabletext"/>
              <w:keepNext/>
              <w:keepLines/>
              <w:spacing w:after="120"/>
              <w:rPr>
                <w:iCs/>
                <w:sz w:val="22"/>
                <w:szCs w:val="22"/>
              </w:rPr>
            </w:pPr>
            <w:r w:rsidRPr="00097A86">
              <w:rPr>
                <w:sz w:val="22"/>
                <w:szCs w:val="22"/>
              </w:rPr>
              <w:t xml:space="preserve">Work out the carbon content in the amount of the change in </w:t>
            </w:r>
            <w:r w:rsidRPr="00097A86">
              <w:rPr>
                <w:iCs/>
                <w:sz w:val="22"/>
                <w:szCs w:val="22"/>
              </w:rPr>
              <w:t>stocks of inputs, products and waste by</w:t>
            </w:r>
            <w:r w:rsidR="00097A86">
              <w:rPr>
                <w:iCs/>
                <w:sz w:val="22"/>
                <w:szCs w:val="22"/>
              </w:rPr>
              <w:noBreakHyphen/>
            </w:r>
            <w:r w:rsidRPr="00097A86">
              <w:rPr>
                <w:iCs/>
                <w:sz w:val="22"/>
                <w:szCs w:val="22"/>
              </w:rPr>
              <w:t>products held within the boundary of the activity during the year, measured in tonnes of carbon, as follows:</w:t>
            </w:r>
          </w:p>
          <w:p w14:paraId="2BBDCB15" w14:textId="77777777" w:rsidR="00272216" w:rsidRPr="00097A86" w:rsidRDefault="009E1F90" w:rsidP="00106923">
            <w:pPr>
              <w:pStyle w:val="Formula"/>
              <w:spacing w:after="120"/>
              <w:ind w:left="0"/>
            </w:pPr>
            <w:r>
              <w:rPr>
                <w:noProof/>
                <w:position w:val="-14"/>
              </w:rPr>
              <w:drawing>
                <wp:inline distT="0" distB="0" distL="0" distR="0" wp14:anchorId="32042BC9" wp14:editId="65108C51">
                  <wp:extent cx="3657600" cy="238125"/>
                  <wp:effectExtent l="0" t="0" r="0" b="9525"/>
                  <wp:docPr id="2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0" cy="238125"/>
                          </a:xfrm>
                          <a:prstGeom prst="rect">
                            <a:avLst/>
                          </a:prstGeom>
                          <a:noFill/>
                          <a:ln>
                            <a:noFill/>
                          </a:ln>
                        </pic:spPr>
                      </pic:pic>
                    </a:graphicData>
                  </a:graphic>
                </wp:inline>
              </w:drawing>
            </w:r>
          </w:p>
        </w:tc>
      </w:tr>
      <w:tr w:rsidR="00272216" w:rsidRPr="00097A86" w14:paraId="7B423D91" w14:textId="77777777" w:rsidTr="00C20CC2">
        <w:trPr>
          <w:cantSplit/>
        </w:trPr>
        <w:tc>
          <w:tcPr>
            <w:tcW w:w="546" w:type="pct"/>
            <w:vMerge/>
            <w:vAlign w:val="center"/>
            <w:hideMark/>
          </w:tcPr>
          <w:p w14:paraId="36B54C6E" w14:textId="77777777" w:rsidR="00272216" w:rsidRPr="00097A86" w:rsidRDefault="00272216" w:rsidP="00272216">
            <w:pPr>
              <w:ind w:left="-97" w:right="-24"/>
              <w:rPr>
                <w:i/>
              </w:rPr>
            </w:pPr>
          </w:p>
        </w:tc>
        <w:tc>
          <w:tcPr>
            <w:tcW w:w="4454" w:type="pct"/>
            <w:hideMark/>
          </w:tcPr>
          <w:p w14:paraId="6441DD6B" w14:textId="77777777" w:rsidR="00272216" w:rsidRPr="00097A86" w:rsidRDefault="00272216" w:rsidP="00106923">
            <w:pPr>
              <w:pStyle w:val="subsection2"/>
              <w:ind w:left="34"/>
            </w:pPr>
            <w:r w:rsidRPr="00097A86">
              <w:t>where:</w:t>
            </w:r>
          </w:p>
          <w:p w14:paraId="4DD83A52" w14:textId="77777777" w:rsidR="00272216" w:rsidRPr="00097A86" w:rsidRDefault="00272216" w:rsidP="00106923">
            <w:pPr>
              <w:pStyle w:val="Definition"/>
              <w:ind w:left="34"/>
              <w:rPr>
                <w:b/>
                <w:i/>
              </w:rPr>
            </w:pPr>
            <w:r w:rsidRPr="00097A86">
              <w:rPr>
                <w:rFonts w:ascii="Symbol" w:hAnsi="Symbol"/>
                <w:b/>
                <w:i/>
              </w:rPr>
              <w:t></w:t>
            </w:r>
            <w:r w:rsidRPr="00097A86">
              <w:rPr>
                <w:b/>
                <w:i/>
                <w:vertAlign w:val="subscript"/>
              </w:rPr>
              <w:t>i</w:t>
            </w:r>
            <w:r w:rsidRPr="00097A86">
              <w:rPr>
                <w:b/>
                <w:i/>
              </w:rPr>
              <w:t xml:space="preserve"> </w:t>
            </w:r>
            <w:r w:rsidRPr="00097A86">
              <w:t>has the same meaning as in step 1.</w:t>
            </w:r>
          </w:p>
        </w:tc>
      </w:tr>
      <w:tr w:rsidR="00272216" w:rsidRPr="00097A86" w14:paraId="402F0B41" w14:textId="77777777" w:rsidTr="00C20CC2">
        <w:trPr>
          <w:cantSplit/>
        </w:trPr>
        <w:tc>
          <w:tcPr>
            <w:tcW w:w="546" w:type="pct"/>
            <w:vAlign w:val="center"/>
            <w:hideMark/>
          </w:tcPr>
          <w:p w14:paraId="3740E574" w14:textId="77777777" w:rsidR="00272216" w:rsidRPr="00097A86" w:rsidRDefault="00272216" w:rsidP="00272216">
            <w:pPr>
              <w:ind w:left="-97" w:right="-24"/>
              <w:rPr>
                <w:i/>
              </w:rPr>
            </w:pPr>
          </w:p>
        </w:tc>
        <w:tc>
          <w:tcPr>
            <w:tcW w:w="4454" w:type="pct"/>
            <w:hideMark/>
          </w:tcPr>
          <w:p w14:paraId="4FAF5DB2" w14:textId="77777777" w:rsidR="00272216" w:rsidRPr="00097A86" w:rsidRDefault="00272216" w:rsidP="009F3FBB">
            <w:pPr>
              <w:pStyle w:val="Definition"/>
              <w:spacing w:before="60" w:after="60"/>
              <w:ind w:left="34"/>
            </w:pPr>
            <w:r w:rsidRPr="00097A86">
              <w:rPr>
                <w:b/>
                <w:i/>
              </w:rPr>
              <w:t>CCF</w:t>
            </w:r>
            <w:r w:rsidRPr="00097A86">
              <w:rPr>
                <w:b/>
                <w:i/>
                <w:vertAlign w:val="subscript"/>
              </w:rPr>
              <w:t>i</w:t>
            </w:r>
            <w:r w:rsidRPr="00097A86">
              <w:rPr>
                <w:b/>
                <w:i/>
              </w:rPr>
              <w:t xml:space="preserve"> </w:t>
            </w:r>
            <w:r w:rsidRPr="00097A86">
              <w:t xml:space="preserve">has the </w:t>
            </w:r>
            <w:r w:rsidRPr="00097A86">
              <w:rPr>
                <w:iCs/>
              </w:rPr>
              <w:t>same</w:t>
            </w:r>
            <w:r w:rsidRPr="00097A86">
              <w:t xml:space="preserve"> meaning as in step 1.</w:t>
            </w:r>
          </w:p>
          <w:p w14:paraId="15AA453E" w14:textId="77777777" w:rsidR="00272216" w:rsidRPr="00097A86" w:rsidRDefault="00272216" w:rsidP="009F3FBB">
            <w:pPr>
              <w:pStyle w:val="Definition"/>
              <w:spacing w:before="60" w:after="60"/>
              <w:ind w:left="34"/>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w:t>
            </w:r>
            <w:r w:rsidRPr="00097A86">
              <w:rPr>
                <w:szCs w:val="22"/>
              </w:rPr>
              <w:t>boundary</w:t>
            </w:r>
            <w:r w:rsidRPr="00097A86">
              <w:rPr>
                <w:iCs/>
              </w:rPr>
              <w:t xml:space="preserve"> of </w:t>
            </w:r>
            <w:r w:rsidRPr="00097A86">
              <w:t xml:space="preserve">the activity </w:t>
            </w:r>
            <w:r w:rsidRPr="00097A86">
              <w:rPr>
                <w:iCs/>
              </w:rPr>
              <w:t xml:space="preserve">during the year, </w:t>
            </w:r>
            <w:r w:rsidRPr="00097A86">
              <w:t>measured</w:t>
            </w:r>
            <w:r w:rsidRPr="00097A86">
              <w:rPr>
                <w:iCs/>
              </w:rPr>
              <w:t xml:space="preserve"> in tonnes.</w:t>
            </w:r>
          </w:p>
        </w:tc>
      </w:tr>
      <w:tr w:rsidR="00272216" w:rsidRPr="00097A86" w14:paraId="0A5E7D40" w14:textId="77777777" w:rsidTr="00C20CC2">
        <w:trPr>
          <w:cantSplit/>
        </w:trPr>
        <w:tc>
          <w:tcPr>
            <w:tcW w:w="546" w:type="pct"/>
            <w:vAlign w:val="center"/>
            <w:hideMark/>
          </w:tcPr>
          <w:p w14:paraId="67CF8B23" w14:textId="77777777" w:rsidR="00272216" w:rsidRPr="00097A86" w:rsidRDefault="00272216" w:rsidP="00272216">
            <w:pPr>
              <w:ind w:left="-97" w:right="-24"/>
              <w:rPr>
                <w:i/>
              </w:rPr>
            </w:pPr>
          </w:p>
        </w:tc>
        <w:tc>
          <w:tcPr>
            <w:tcW w:w="4454" w:type="pct"/>
            <w:hideMark/>
          </w:tcPr>
          <w:p w14:paraId="2019A558" w14:textId="77777777" w:rsidR="00272216" w:rsidRPr="00097A86" w:rsidRDefault="00272216" w:rsidP="009F3FBB">
            <w:pPr>
              <w:pStyle w:val="Definition"/>
              <w:spacing w:before="60" w:after="60"/>
              <w:ind w:left="34"/>
              <w:rPr>
                <w:b/>
                <w:i/>
              </w:rPr>
            </w:pPr>
            <w:r w:rsidRPr="00097A86">
              <w:rPr>
                <w:rFonts w:ascii="Symbol" w:hAnsi="Symbol"/>
                <w:b/>
                <w:i/>
              </w:rPr>
              <w:t></w:t>
            </w:r>
            <w:r w:rsidRPr="00097A86">
              <w:rPr>
                <w:b/>
                <w:i/>
                <w:vertAlign w:val="subscript"/>
              </w:rPr>
              <w:t>p</w:t>
            </w:r>
            <w:r w:rsidRPr="00097A86">
              <w:rPr>
                <w:b/>
                <w:i/>
              </w:rPr>
              <w:t xml:space="preserve"> </w:t>
            </w:r>
            <w:r w:rsidRPr="00097A86">
              <w:t>has the same meaning as in step 2.</w:t>
            </w:r>
          </w:p>
          <w:p w14:paraId="12E8DC77" w14:textId="77777777" w:rsidR="00272216" w:rsidRPr="00097A86" w:rsidRDefault="00272216" w:rsidP="009F3FBB">
            <w:pPr>
              <w:pStyle w:val="Definition"/>
              <w:spacing w:before="60" w:after="60"/>
              <w:ind w:left="34"/>
              <w:rPr>
                <w:b/>
                <w:i/>
                <w:iCs/>
              </w:rPr>
            </w:pPr>
            <w:r w:rsidRPr="00097A86">
              <w:rPr>
                <w:b/>
                <w:i/>
              </w:rPr>
              <w:t>CCF</w:t>
            </w:r>
            <w:r w:rsidRPr="00097A86">
              <w:rPr>
                <w:b/>
                <w:i/>
                <w:vertAlign w:val="subscript"/>
              </w:rPr>
              <w:t>p</w:t>
            </w:r>
            <w:r w:rsidRPr="00097A86">
              <w:rPr>
                <w:b/>
                <w:i/>
              </w:rPr>
              <w:t xml:space="preserve"> </w:t>
            </w:r>
            <w:r w:rsidRPr="00097A86">
              <w:t>has the same meaning as in step 2.</w:t>
            </w:r>
          </w:p>
        </w:tc>
      </w:tr>
      <w:tr w:rsidR="00272216" w:rsidRPr="00097A86" w14:paraId="7A5DA23F" w14:textId="77777777" w:rsidTr="00C20CC2">
        <w:trPr>
          <w:cantSplit/>
        </w:trPr>
        <w:tc>
          <w:tcPr>
            <w:tcW w:w="546" w:type="pct"/>
            <w:vAlign w:val="center"/>
            <w:hideMark/>
          </w:tcPr>
          <w:p w14:paraId="65F7C6AE" w14:textId="77777777" w:rsidR="00272216" w:rsidRPr="00097A86" w:rsidRDefault="00272216" w:rsidP="00272216">
            <w:pPr>
              <w:ind w:left="-97" w:right="-24"/>
              <w:rPr>
                <w:i/>
              </w:rPr>
            </w:pPr>
          </w:p>
        </w:tc>
        <w:tc>
          <w:tcPr>
            <w:tcW w:w="4454" w:type="pct"/>
            <w:hideMark/>
          </w:tcPr>
          <w:p w14:paraId="6D8DF785" w14:textId="77777777" w:rsidR="00272216" w:rsidRPr="00097A86" w:rsidRDefault="00272216" w:rsidP="009F3FBB">
            <w:pPr>
              <w:pStyle w:val="Definition"/>
              <w:spacing w:before="60" w:after="60"/>
              <w:ind w:left="34"/>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stocks of </w:t>
            </w:r>
            <w:r w:rsidRPr="00097A86">
              <w:rPr>
                <w:iCs/>
              </w:rPr>
              <w:t>product types (</w:t>
            </w:r>
            <w:r w:rsidRPr="00097A86">
              <w:rPr>
                <w:b/>
                <w:i/>
                <w:iCs/>
              </w:rPr>
              <w:t>p)</w:t>
            </w:r>
            <w:r w:rsidRPr="00097A86">
              <w:rPr>
                <w:iCs/>
              </w:rPr>
              <w:t xml:space="preserve"> produced by the activity and held </w:t>
            </w:r>
            <w:r w:rsidRPr="00097A86">
              <w:rPr>
                <w:szCs w:val="22"/>
              </w:rPr>
              <w:t>within</w:t>
            </w:r>
            <w:r w:rsidRPr="00097A86">
              <w:t xml:space="preserve"> </w:t>
            </w:r>
            <w:r w:rsidRPr="00097A86">
              <w:rPr>
                <w:iCs/>
              </w:rPr>
              <w:t xml:space="preserve">the boundary of </w:t>
            </w:r>
            <w:r w:rsidRPr="00097A86">
              <w:t xml:space="preserve">the activity </w:t>
            </w:r>
            <w:r w:rsidRPr="00097A86">
              <w:rPr>
                <w:iCs/>
              </w:rPr>
              <w:t>during the year, measured in tonnes.</w:t>
            </w:r>
          </w:p>
        </w:tc>
      </w:tr>
      <w:tr w:rsidR="00272216" w:rsidRPr="00097A86" w14:paraId="7C0AA030" w14:textId="77777777" w:rsidTr="00C20CC2">
        <w:trPr>
          <w:cantSplit/>
        </w:trPr>
        <w:tc>
          <w:tcPr>
            <w:tcW w:w="546" w:type="pct"/>
          </w:tcPr>
          <w:p w14:paraId="752651AE" w14:textId="77777777" w:rsidR="00272216" w:rsidRPr="00097A86" w:rsidRDefault="00272216" w:rsidP="00272216">
            <w:pPr>
              <w:spacing w:before="60" w:after="60"/>
              <w:ind w:left="-97" w:right="-24"/>
              <w:rPr>
                <w:i/>
              </w:rPr>
            </w:pPr>
          </w:p>
        </w:tc>
        <w:tc>
          <w:tcPr>
            <w:tcW w:w="4454" w:type="pct"/>
            <w:hideMark/>
          </w:tcPr>
          <w:p w14:paraId="5A1877B8" w14:textId="77777777" w:rsidR="00272216" w:rsidRPr="00097A86" w:rsidRDefault="00272216" w:rsidP="009F3FBB">
            <w:pPr>
              <w:pStyle w:val="Definition"/>
              <w:spacing w:before="60" w:after="60"/>
              <w:ind w:left="34"/>
              <w:rPr>
                <w:b/>
                <w:i/>
              </w:rPr>
            </w:pPr>
            <w:r w:rsidRPr="00097A86">
              <w:rPr>
                <w:rFonts w:ascii="Symbol" w:hAnsi="Symbol"/>
                <w:b/>
                <w:i/>
              </w:rPr>
              <w:t></w:t>
            </w:r>
            <w:r w:rsidRPr="00097A86">
              <w:rPr>
                <w:b/>
                <w:i/>
                <w:vertAlign w:val="subscript"/>
              </w:rPr>
              <w:t>r</w:t>
            </w:r>
            <w:r w:rsidRPr="00097A86">
              <w:rPr>
                <w:b/>
                <w:i/>
              </w:rPr>
              <w:t xml:space="preserve"> </w:t>
            </w:r>
            <w:r w:rsidRPr="00097A86">
              <w:t>has the same meaning as in step 3.</w:t>
            </w:r>
          </w:p>
          <w:p w14:paraId="77B5C341" w14:textId="77777777" w:rsidR="00272216" w:rsidRPr="00097A86" w:rsidRDefault="00272216" w:rsidP="009F3FBB">
            <w:pPr>
              <w:pStyle w:val="Definition"/>
              <w:spacing w:before="60" w:after="60"/>
              <w:ind w:left="34"/>
              <w:rPr>
                <w:b/>
                <w:i/>
                <w:iCs/>
              </w:rPr>
            </w:pPr>
            <w:r w:rsidRPr="00097A86">
              <w:rPr>
                <w:b/>
                <w:i/>
              </w:rPr>
              <w:t>CCF</w:t>
            </w:r>
            <w:r w:rsidRPr="00097A86">
              <w:rPr>
                <w:b/>
                <w:i/>
                <w:vertAlign w:val="subscript"/>
              </w:rPr>
              <w:t>r</w:t>
            </w:r>
            <w:r w:rsidRPr="00097A86">
              <w:rPr>
                <w:b/>
                <w:i/>
              </w:rPr>
              <w:t xml:space="preserve"> </w:t>
            </w:r>
            <w:r w:rsidRPr="00097A86">
              <w:t>has the same meaning as in step 3.</w:t>
            </w:r>
          </w:p>
          <w:p w14:paraId="131086A8" w14:textId="77777777" w:rsidR="00272216" w:rsidRPr="00097A86" w:rsidRDefault="00272216" w:rsidP="009F3FBB">
            <w:pPr>
              <w:pStyle w:val="Definition"/>
              <w:spacing w:before="60" w:after="60"/>
              <w:ind w:left="34"/>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change in stocks of waste by</w:t>
            </w:r>
            <w:r w:rsidR="00097A86">
              <w:rPr>
                <w:iCs/>
              </w:rPr>
              <w:noBreakHyphen/>
            </w:r>
            <w:r w:rsidRPr="00097A86">
              <w:rPr>
                <w:iCs/>
              </w:rPr>
              <w:t>product types (</w:t>
            </w:r>
            <w:r w:rsidRPr="00097A86">
              <w:rPr>
                <w:b/>
                <w:i/>
                <w:iCs/>
              </w:rPr>
              <w:t>r</w:t>
            </w:r>
            <w:r w:rsidRPr="00097A86">
              <w:rPr>
                <w:iCs/>
              </w:rPr>
              <w:t xml:space="preserve">) produced from the operation </w:t>
            </w:r>
            <w:r w:rsidRPr="00097A86">
              <w:rPr>
                <w:szCs w:val="22"/>
              </w:rPr>
              <w:t>of</w:t>
            </w:r>
            <w:r w:rsidRPr="00097A86">
              <w:rPr>
                <w:iCs/>
              </w:rPr>
              <w:t xml:space="preserve">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272216" w:rsidRPr="00097A86" w14:paraId="02916623" w14:textId="77777777" w:rsidTr="00C20CC2">
        <w:trPr>
          <w:cantSplit/>
        </w:trPr>
        <w:tc>
          <w:tcPr>
            <w:tcW w:w="546" w:type="pct"/>
            <w:hideMark/>
          </w:tcPr>
          <w:p w14:paraId="3EB04461" w14:textId="77777777" w:rsidR="00272216" w:rsidRPr="00097A86" w:rsidRDefault="00272216" w:rsidP="00106923">
            <w:pPr>
              <w:pStyle w:val="Tabletext"/>
              <w:keepNext/>
              <w:keepLines/>
              <w:rPr>
                <w:sz w:val="22"/>
                <w:szCs w:val="22"/>
              </w:rPr>
            </w:pPr>
            <w:r w:rsidRPr="00097A86">
              <w:rPr>
                <w:sz w:val="22"/>
                <w:szCs w:val="22"/>
              </w:rPr>
              <w:t>Step 5</w:t>
            </w:r>
          </w:p>
        </w:tc>
        <w:tc>
          <w:tcPr>
            <w:tcW w:w="4454" w:type="pct"/>
            <w:hideMark/>
          </w:tcPr>
          <w:p w14:paraId="0B3C094B" w14:textId="77777777" w:rsidR="00272216" w:rsidRPr="00097A86" w:rsidRDefault="00272216" w:rsidP="00106923">
            <w:pPr>
              <w:pStyle w:val="Tabletext"/>
              <w:keepNext/>
              <w:keepLines/>
              <w:spacing w:after="120"/>
              <w:rPr>
                <w:sz w:val="22"/>
                <w:szCs w:val="22"/>
              </w:rPr>
            </w:pPr>
            <w:r w:rsidRPr="00097A86">
              <w:rPr>
                <w:sz w:val="22"/>
                <w:szCs w:val="22"/>
              </w:rPr>
              <w:t>Work out the emissions of carbon dioxide released from the operation of the activity during the year, measured in CO</w:t>
            </w:r>
            <w:r w:rsidRPr="00097A86">
              <w:rPr>
                <w:sz w:val="22"/>
                <w:szCs w:val="22"/>
                <w:vertAlign w:val="subscript"/>
              </w:rPr>
              <w:t>2</w:t>
            </w:r>
            <w:r w:rsidR="00097A86">
              <w:rPr>
                <w:sz w:val="22"/>
                <w:szCs w:val="22"/>
              </w:rPr>
              <w:noBreakHyphen/>
            </w:r>
            <w:r w:rsidRPr="00097A86">
              <w:rPr>
                <w:sz w:val="22"/>
                <w:szCs w:val="22"/>
              </w:rPr>
              <w:t>e tonnes, as follows:</w:t>
            </w:r>
          </w:p>
          <w:p w14:paraId="193D43BC" w14:textId="77777777" w:rsidR="00272216" w:rsidRPr="00097A86" w:rsidRDefault="00272216" w:rsidP="00272216">
            <w:pPr>
              <w:pStyle w:val="TableP1a"/>
            </w:pPr>
            <w:r w:rsidRPr="00097A86">
              <w:tab/>
              <w:t>(a)</w:t>
            </w:r>
            <w:r w:rsidRPr="00097A86">
              <w:tab/>
              <w:t>add the amounts worked out under steps 2, 3 and 4 to work out a new amount (</w:t>
            </w:r>
            <w:r w:rsidRPr="00097A86">
              <w:rPr>
                <w:b/>
                <w:i/>
              </w:rPr>
              <w:t>amount A</w:t>
            </w:r>
            <w:r w:rsidRPr="00097A86">
              <w:t>);</w:t>
            </w:r>
          </w:p>
          <w:p w14:paraId="5E5C53B2" w14:textId="77777777" w:rsidR="00272216" w:rsidRPr="00097A86" w:rsidRDefault="00272216" w:rsidP="00272216">
            <w:pPr>
              <w:pStyle w:val="TableP1a"/>
            </w:pPr>
            <w:r w:rsidRPr="00097A86">
              <w:tab/>
              <w:t>(b)</w:t>
            </w:r>
            <w:r w:rsidRPr="00097A86">
              <w:tab/>
              <w:t>subtract amount A from the amount worked out under step 1 to work out a new amount (</w:t>
            </w:r>
            <w:r w:rsidRPr="00097A86">
              <w:rPr>
                <w:b/>
                <w:i/>
              </w:rPr>
              <w:t>amount B</w:t>
            </w:r>
            <w:r w:rsidRPr="00097A86">
              <w:t>);</w:t>
            </w:r>
          </w:p>
          <w:p w14:paraId="1703A9AF" w14:textId="77777777" w:rsidR="00272216" w:rsidRPr="00097A86" w:rsidRDefault="00272216" w:rsidP="00272216">
            <w:pPr>
              <w:pStyle w:val="TableP1a"/>
            </w:pPr>
            <w:r w:rsidRPr="00097A86">
              <w:tab/>
              <w:t>(c)</w:t>
            </w:r>
            <w:r w:rsidRPr="00097A86">
              <w:tab/>
              <w:t>multiply amount B by 3.664 to work out the amount of emissions released from the operation of the activity during the year.</w:t>
            </w:r>
          </w:p>
        </w:tc>
      </w:tr>
    </w:tbl>
    <w:p w14:paraId="1F07EBBD" w14:textId="77777777" w:rsidR="004E22F1" w:rsidRPr="00097A86" w:rsidRDefault="004E22F1" w:rsidP="00D22D3F">
      <w:pPr>
        <w:pStyle w:val="SubsectionHead"/>
      </w:pPr>
      <w:r w:rsidRPr="00097A86">
        <w:t>Method 2</w:t>
      </w:r>
    </w:p>
    <w:p w14:paraId="0DEB6CC9" w14:textId="77777777" w:rsidR="004E22F1" w:rsidRPr="00097A86" w:rsidRDefault="004E22F1" w:rsidP="00D22D3F">
      <w:pPr>
        <w:pStyle w:val="subsection"/>
      </w:pPr>
      <w:r w:rsidRPr="00097A86">
        <w:tab/>
        <w:t>(4)</w:t>
      </w:r>
      <w:r w:rsidRPr="00097A86">
        <w:tab/>
        <w:t xml:space="preserve">Subject to </w:t>
      </w:r>
      <w:r w:rsidR="00097A86">
        <w:t>subsections (</w:t>
      </w:r>
      <w:r w:rsidRPr="00097A86">
        <w:t xml:space="preserve">5) to (7), method 2 is the same as method 1 under </w:t>
      </w:r>
      <w:r w:rsidR="00097A86">
        <w:t>subsection (</w:t>
      </w:r>
      <w:r w:rsidRPr="00097A86">
        <w:t>3).</w:t>
      </w:r>
    </w:p>
    <w:p w14:paraId="1BB90B33" w14:textId="77777777" w:rsidR="004E22F1" w:rsidRPr="00097A86" w:rsidRDefault="004E22F1" w:rsidP="00705FFE">
      <w:pPr>
        <w:pStyle w:val="subsection"/>
        <w:spacing w:after="60"/>
      </w:pPr>
      <w:r w:rsidRPr="00097A86">
        <w:tab/>
        <w:t>(5)</w:t>
      </w:r>
      <w:r w:rsidRPr="00097A86">
        <w:tab/>
        <w:t xml:space="preserve">In applying method 1 as method 2, step 4 in </w:t>
      </w:r>
      <w:r w:rsidR="00097A86">
        <w:t>subsection (</w:t>
      </w:r>
      <w:r w:rsidRPr="00097A86">
        <w:t>3) is to be omitted and the following step 4 substituted.</w:t>
      </w:r>
    </w:p>
    <w:tbl>
      <w:tblPr>
        <w:tblW w:w="5000" w:type="pct"/>
        <w:tblLook w:val="04A0" w:firstRow="1" w:lastRow="0" w:firstColumn="1" w:lastColumn="0" w:noHBand="0" w:noVBand="1"/>
      </w:tblPr>
      <w:tblGrid>
        <w:gridCol w:w="956"/>
        <w:gridCol w:w="7357"/>
      </w:tblGrid>
      <w:tr w:rsidR="00705FFE" w:rsidRPr="00097A86" w14:paraId="0AF93926" w14:textId="77777777" w:rsidTr="00C20CC2">
        <w:trPr>
          <w:cantSplit/>
          <w:trHeight w:val="74"/>
        </w:trPr>
        <w:tc>
          <w:tcPr>
            <w:tcW w:w="575" w:type="pct"/>
            <w:vMerge w:val="restart"/>
            <w:hideMark/>
          </w:tcPr>
          <w:p w14:paraId="24EF7580" w14:textId="77777777" w:rsidR="00705FFE" w:rsidRPr="00097A86" w:rsidRDefault="00705FFE" w:rsidP="00106923">
            <w:pPr>
              <w:pStyle w:val="Tabletext"/>
              <w:keepNext/>
              <w:keepLines/>
            </w:pPr>
            <w:r w:rsidRPr="00097A86">
              <w:rPr>
                <w:sz w:val="22"/>
                <w:szCs w:val="22"/>
              </w:rPr>
              <w:t>Step 4</w:t>
            </w:r>
          </w:p>
        </w:tc>
        <w:tc>
          <w:tcPr>
            <w:tcW w:w="4425" w:type="pct"/>
            <w:hideMark/>
          </w:tcPr>
          <w:p w14:paraId="117B7E67" w14:textId="77777777" w:rsidR="00705FFE" w:rsidRPr="00097A86" w:rsidRDefault="00705FFE" w:rsidP="00106923">
            <w:pPr>
              <w:pStyle w:val="Tabletext"/>
              <w:keepNext/>
              <w:keepLines/>
              <w:rPr>
                <w:sz w:val="22"/>
                <w:szCs w:val="22"/>
              </w:rPr>
            </w:pPr>
            <w:r w:rsidRPr="00097A86">
              <w:rPr>
                <w:sz w:val="22"/>
                <w:szCs w:val="22"/>
              </w:rPr>
              <w:t>Work out the carbon content in the amount of the change in stocks of inputs, products and waste by</w:t>
            </w:r>
            <w:r w:rsidR="00097A86">
              <w:rPr>
                <w:sz w:val="22"/>
                <w:szCs w:val="22"/>
              </w:rPr>
              <w:noBreakHyphen/>
            </w:r>
            <w:r w:rsidRPr="00097A86">
              <w:rPr>
                <w:sz w:val="22"/>
                <w:szCs w:val="22"/>
              </w:rPr>
              <w:t>products held within the boundary of the activity during the year, measured in tonnes of carbon, as follows:</w:t>
            </w:r>
          </w:p>
          <w:p w14:paraId="49ACF329" w14:textId="77777777" w:rsidR="00705FFE" w:rsidRPr="00097A86" w:rsidRDefault="009E1F90" w:rsidP="00617697">
            <w:pPr>
              <w:pStyle w:val="Formula"/>
              <w:spacing w:before="120" w:after="120"/>
              <w:ind w:left="13" w:right="-213"/>
              <w:rPr>
                <w:sz w:val="22"/>
                <w:szCs w:val="22"/>
              </w:rPr>
            </w:pPr>
            <w:r>
              <w:rPr>
                <w:noProof/>
                <w:position w:val="-16"/>
                <w:sz w:val="22"/>
                <w:szCs w:val="22"/>
              </w:rPr>
              <w:drawing>
                <wp:inline distT="0" distB="0" distL="0" distR="0" wp14:anchorId="46E3F883" wp14:editId="32C18172">
                  <wp:extent cx="4210050" cy="238125"/>
                  <wp:effectExtent l="0" t="0" r="0" b="9525"/>
                  <wp:docPr id="2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0050" cy="238125"/>
                          </a:xfrm>
                          <a:prstGeom prst="rect">
                            <a:avLst/>
                          </a:prstGeom>
                          <a:noFill/>
                          <a:ln>
                            <a:noFill/>
                          </a:ln>
                        </pic:spPr>
                      </pic:pic>
                    </a:graphicData>
                  </a:graphic>
                </wp:inline>
              </w:drawing>
            </w:r>
          </w:p>
        </w:tc>
      </w:tr>
      <w:tr w:rsidR="00705FFE" w:rsidRPr="00097A86" w14:paraId="0BE45D88" w14:textId="77777777" w:rsidTr="00C20CC2">
        <w:trPr>
          <w:cantSplit/>
        </w:trPr>
        <w:tc>
          <w:tcPr>
            <w:tcW w:w="575" w:type="pct"/>
            <w:vMerge/>
            <w:vAlign w:val="center"/>
            <w:hideMark/>
          </w:tcPr>
          <w:p w14:paraId="161224B3" w14:textId="77777777" w:rsidR="00705FFE" w:rsidRPr="00097A86" w:rsidRDefault="00705FFE" w:rsidP="00617697">
            <w:pPr>
              <w:rPr>
                <w:i/>
              </w:rPr>
            </w:pPr>
          </w:p>
        </w:tc>
        <w:tc>
          <w:tcPr>
            <w:tcW w:w="4425" w:type="pct"/>
            <w:hideMark/>
          </w:tcPr>
          <w:p w14:paraId="51169BDA" w14:textId="77777777" w:rsidR="00705FFE" w:rsidRPr="00097A86" w:rsidRDefault="00705FFE" w:rsidP="00106923">
            <w:pPr>
              <w:pStyle w:val="subsection2"/>
              <w:ind w:left="34"/>
            </w:pPr>
            <w:r w:rsidRPr="00097A86">
              <w:t>where:</w:t>
            </w:r>
          </w:p>
          <w:p w14:paraId="6B65D634" w14:textId="77777777" w:rsidR="00705FFE" w:rsidRPr="00097A86" w:rsidRDefault="00705FFE" w:rsidP="00106923">
            <w:pPr>
              <w:pStyle w:val="Definition"/>
              <w:ind w:left="34"/>
            </w:pPr>
            <w:r w:rsidRPr="00097A86">
              <w:rPr>
                <w:rFonts w:ascii="Symbol" w:hAnsi="Symbol"/>
                <w:b/>
                <w:i/>
              </w:rPr>
              <w:t></w:t>
            </w:r>
            <w:r w:rsidRPr="00097A86">
              <w:rPr>
                <w:b/>
                <w:i/>
                <w:vertAlign w:val="subscript"/>
              </w:rPr>
              <w:t>i</w:t>
            </w:r>
            <w:r w:rsidRPr="00097A86">
              <w:rPr>
                <w:b/>
                <w:i/>
              </w:rPr>
              <w:t xml:space="preserve"> </w:t>
            </w:r>
            <w:r w:rsidRPr="00097A86">
              <w:t>has the same meaning as in step 1.</w:t>
            </w:r>
          </w:p>
          <w:p w14:paraId="3CD78B31" w14:textId="77777777" w:rsidR="00705FFE" w:rsidRPr="00097A86" w:rsidRDefault="00705FFE" w:rsidP="009F3FBB">
            <w:pPr>
              <w:pStyle w:val="Definition"/>
              <w:spacing w:before="60" w:after="60"/>
              <w:ind w:left="34"/>
              <w:rPr>
                <w:iCs/>
              </w:rPr>
            </w:pPr>
            <w:r w:rsidRPr="00097A86">
              <w:rPr>
                <w:b/>
                <w:i/>
              </w:rPr>
              <w:t>CCF</w:t>
            </w:r>
            <w:r w:rsidRPr="00097A86">
              <w:rPr>
                <w:b/>
                <w:i/>
                <w:vertAlign w:val="subscript"/>
              </w:rPr>
              <w:t>i</w:t>
            </w:r>
            <w:r w:rsidRPr="00097A86">
              <w:rPr>
                <w:b/>
                <w:i/>
              </w:rPr>
              <w:t xml:space="preserve"> </w:t>
            </w:r>
            <w:r w:rsidRPr="00097A86">
              <w:t>has the same meaning as in step 1.</w:t>
            </w:r>
          </w:p>
          <w:p w14:paraId="3403ABD8" w14:textId="77777777" w:rsidR="00705FFE" w:rsidRPr="00097A86" w:rsidRDefault="00705FFE" w:rsidP="009F3FBB">
            <w:pPr>
              <w:pStyle w:val="Definition"/>
              <w:spacing w:before="60" w:after="60"/>
              <w:ind w:left="34"/>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w:t>
            </w:r>
            <w:r w:rsidRPr="00097A86">
              <w:rPr>
                <w:szCs w:val="22"/>
              </w:rPr>
              <w:t>stocks</w:t>
            </w:r>
            <w:r w:rsidRPr="00097A86">
              <w:rPr>
                <w:iCs/>
              </w:rPr>
              <w:t xml:space="preserve">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705FFE" w:rsidRPr="00097A86" w14:paraId="13D50BC9" w14:textId="77777777" w:rsidTr="00C20CC2">
        <w:trPr>
          <w:cantSplit/>
        </w:trPr>
        <w:tc>
          <w:tcPr>
            <w:tcW w:w="575" w:type="pct"/>
            <w:vAlign w:val="center"/>
            <w:hideMark/>
          </w:tcPr>
          <w:p w14:paraId="52E4D8A3" w14:textId="77777777" w:rsidR="00705FFE" w:rsidRPr="00097A86" w:rsidRDefault="00705FFE" w:rsidP="00617697">
            <w:pPr>
              <w:rPr>
                <w:i/>
              </w:rPr>
            </w:pPr>
          </w:p>
        </w:tc>
        <w:tc>
          <w:tcPr>
            <w:tcW w:w="4425" w:type="pct"/>
            <w:hideMark/>
          </w:tcPr>
          <w:p w14:paraId="3057C1D4" w14:textId="77777777" w:rsidR="00705FFE" w:rsidRPr="00097A86" w:rsidRDefault="00705FFE" w:rsidP="009F3FBB">
            <w:pPr>
              <w:pStyle w:val="Definition"/>
              <w:spacing w:before="60" w:after="60"/>
              <w:ind w:left="34"/>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31B3A8F9" w14:textId="77777777" w:rsidR="00705FFE" w:rsidRPr="00097A86" w:rsidRDefault="00705FFE" w:rsidP="009F3FBB">
            <w:pPr>
              <w:pStyle w:val="Definition"/>
              <w:spacing w:before="60" w:after="60"/>
              <w:ind w:left="34"/>
              <w:rPr>
                <w:b/>
                <w:i/>
                <w:iCs/>
              </w:rPr>
            </w:pPr>
            <w:r w:rsidRPr="00097A86">
              <w:rPr>
                <w:b/>
                <w:i/>
              </w:rPr>
              <w:t>CCF</w:t>
            </w:r>
            <w:r w:rsidRPr="00097A86">
              <w:rPr>
                <w:b/>
                <w:i/>
                <w:vertAlign w:val="subscript"/>
              </w:rPr>
              <w:t>p</w:t>
            </w:r>
            <w:r w:rsidRPr="00097A86">
              <w:rPr>
                <w:i/>
              </w:rPr>
              <w:t xml:space="preserve"> </w:t>
            </w:r>
            <w:r w:rsidRPr="00097A86">
              <w:t>has the same meaning as in step 2.</w:t>
            </w:r>
          </w:p>
          <w:p w14:paraId="546632D2" w14:textId="77777777" w:rsidR="00705FFE" w:rsidRPr="00097A86" w:rsidRDefault="00705FFE" w:rsidP="009F3FBB">
            <w:pPr>
              <w:pStyle w:val="Definition"/>
              <w:spacing w:before="60" w:after="60"/>
              <w:ind w:left="34"/>
              <w:rPr>
                <w:iCs/>
              </w:rPr>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w:t>
            </w:r>
            <w:r w:rsidRPr="00097A86">
              <w:rPr>
                <w:szCs w:val="22"/>
              </w:rPr>
              <w:t>stocks</w:t>
            </w:r>
            <w:r w:rsidRPr="00097A86">
              <w:rPr>
                <w:iCs/>
                <w:szCs w:val="18"/>
              </w:rPr>
              <w:t xml:space="preserve">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6FB87E60" w14:textId="77777777" w:rsidR="00705FFE" w:rsidRPr="00097A86" w:rsidRDefault="00705FFE" w:rsidP="009F3FBB">
            <w:pPr>
              <w:pStyle w:val="Definition"/>
              <w:spacing w:before="60" w:after="60"/>
              <w:ind w:left="34"/>
            </w:pPr>
            <w:r w:rsidRPr="00097A86">
              <w:rPr>
                <w:rFonts w:ascii="Symbol" w:hAnsi="Symbol"/>
                <w:b/>
                <w:i/>
              </w:rPr>
              <w:t></w:t>
            </w:r>
            <w:r w:rsidRPr="00097A86">
              <w:rPr>
                <w:b/>
                <w:i/>
                <w:vertAlign w:val="subscript"/>
              </w:rPr>
              <w:t>r</w:t>
            </w:r>
            <w:r w:rsidRPr="00097A86">
              <w:rPr>
                <w:i/>
              </w:rPr>
              <w:t xml:space="preserve"> </w:t>
            </w:r>
            <w:r w:rsidRPr="00097A86">
              <w:t>has the same meaning as in step 3.</w:t>
            </w:r>
          </w:p>
        </w:tc>
      </w:tr>
      <w:tr w:rsidR="00705FFE" w:rsidRPr="00097A86" w14:paraId="035C29DD" w14:textId="77777777" w:rsidTr="00C20CC2">
        <w:trPr>
          <w:cantSplit/>
        </w:trPr>
        <w:tc>
          <w:tcPr>
            <w:tcW w:w="575" w:type="pct"/>
          </w:tcPr>
          <w:p w14:paraId="6F31C880" w14:textId="77777777" w:rsidR="00705FFE" w:rsidRPr="00097A86" w:rsidRDefault="00705FFE" w:rsidP="00617697">
            <w:pPr>
              <w:spacing w:before="60" w:after="60"/>
              <w:rPr>
                <w:i/>
              </w:rPr>
            </w:pPr>
          </w:p>
        </w:tc>
        <w:tc>
          <w:tcPr>
            <w:tcW w:w="4425" w:type="pct"/>
            <w:hideMark/>
          </w:tcPr>
          <w:p w14:paraId="63E5D653" w14:textId="77777777" w:rsidR="00705FFE" w:rsidRPr="00097A86" w:rsidRDefault="00705FFE" w:rsidP="009F3FBB">
            <w:pPr>
              <w:pStyle w:val="Definition"/>
              <w:spacing w:before="60" w:after="60"/>
              <w:ind w:left="34"/>
              <w:rPr>
                <w:b/>
                <w:i/>
                <w:iCs/>
              </w:rPr>
            </w:pPr>
            <w:r w:rsidRPr="00097A86">
              <w:rPr>
                <w:b/>
                <w:i/>
              </w:rPr>
              <w:t>CCF</w:t>
            </w:r>
            <w:r w:rsidRPr="00097A86">
              <w:rPr>
                <w:b/>
                <w:i/>
                <w:vertAlign w:val="subscript"/>
              </w:rPr>
              <w:t>r</w:t>
            </w:r>
            <w:r w:rsidRPr="00097A86">
              <w:rPr>
                <w:i/>
              </w:rPr>
              <w:t xml:space="preserve"> </w:t>
            </w:r>
            <w:r w:rsidRPr="00097A86">
              <w:t>has the same meaning as in step 3.</w:t>
            </w:r>
          </w:p>
        </w:tc>
      </w:tr>
      <w:tr w:rsidR="00705FFE" w:rsidRPr="00097A86" w14:paraId="1E4F6F37" w14:textId="77777777" w:rsidTr="00C20CC2">
        <w:trPr>
          <w:cantSplit/>
          <w:trHeight w:val="704"/>
        </w:trPr>
        <w:tc>
          <w:tcPr>
            <w:tcW w:w="575" w:type="pct"/>
          </w:tcPr>
          <w:p w14:paraId="01BEB27E" w14:textId="77777777" w:rsidR="00705FFE" w:rsidRPr="00097A86" w:rsidRDefault="00705FFE" w:rsidP="00617697">
            <w:pPr>
              <w:spacing w:before="60" w:after="60"/>
              <w:rPr>
                <w:i/>
              </w:rPr>
            </w:pPr>
          </w:p>
        </w:tc>
        <w:tc>
          <w:tcPr>
            <w:tcW w:w="4425" w:type="pct"/>
            <w:hideMark/>
          </w:tcPr>
          <w:p w14:paraId="0BD24FE3" w14:textId="77777777" w:rsidR="00705FFE" w:rsidRPr="00097A86" w:rsidRDefault="00705FFE" w:rsidP="009F3FBB">
            <w:pPr>
              <w:pStyle w:val="Definition"/>
              <w:spacing w:before="60" w:after="60"/>
              <w:ind w:left="34"/>
              <w:rPr>
                <w:rFonts w:ascii="Symbol" w:hAnsi="Symbol"/>
                <w:b/>
                <w:i/>
              </w:rPr>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change </w:t>
            </w:r>
            <w:r w:rsidRPr="00097A86">
              <w:rPr>
                <w:szCs w:val="22"/>
              </w:rPr>
              <w:t>in</w:t>
            </w:r>
            <w:r w:rsidRPr="00097A86">
              <w:rPr>
                <w:iCs/>
              </w:rPr>
              <w:t xml:space="preserve"> stocks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705FFE" w:rsidRPr="00097A86" w14:paraId="56900102" w14:textId="77777777" w:rsidTr="00C20CC2">
        <w:trPr>
          <w:cantSplit/>
          <w:trHeight w:val="433"/>
        </w:trPr>
        <w:tc>
          <w:tcPr>
            <w:tcW w:w="575" w:type="pct"/>
          </w:tcPr>
          <w:p w14:paraId="686A60D8" w14:textId="77777777" w:rsidR="00705FFE" w:rsidRPr="00097A86" w:rsidRDefault="00705FFE" w:rsidP="00617697">
            <w:pPr>
              <w:spacing w:before="60" w:after="60"/>
              <w:rPr>
                <w:i/>
              </w:rPr>
            </w:pPr>
          </w:p>
        </w:tc>
        <w:tc>
          <w:tcPr>
            <w:tcW w:w="4425" w:type="pct"/>
            <w:hideMark/>
          </w:tcPr>
          <w:p w14:paraId="54122130" w14:textId="77777777" w:rsidR="00705FFE" w:rsidRPr="00097A86" w:rsidRDefault="00705FFE" w:rsidP="00617697">
            <w:pPr>
              <w:pStyle w:val="TableText0"/>
              <w:spacing w:before="80"/>
            </w:pPr>
            <w:r w:rsidRPr="00097A86">
              <w:rPr>
                <w:b/>
                <w:i/>
              </w:rPr>
              <w:t>α</w:t>
            </w:r>
            <w:r w:rsidRPr="00097A86">
              <w:t xml:space="preserve"> is the factor </w:t>
            </w:r>
            <w:r w:rsidRPr="00097A86">
              <w:rPr>
                <w:noProof/>
                <w:lang w:eastAsia="en-AU"/>
              </w:rPr>
              <mc:AlternateContent>
                <mc:Choice Requires="wpc">
                  <w:drawing>
                    <wp:inline distT="0" distB="0" distL="0" distR="0" wp14:anchorId="448FD3AC" wp14:editId="5CB83E7B">
                      <wp:extent cx="232410" cy="283845"/>
                      <wp:effectExtent l="0" t="0" r="0" b="1905"/>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Rectangle 4"/>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8D82" w14:textId="77777777" w:rsidR="00497E3C" w:rsidRDefault="00497E3C" w:rsidP="00705FFE">
                                    <w:r w:rsidRPr="000A5860">
                                      <w:rPr>
                                        <w:color w:val="000000"/>
                                        <w:position w:val="-12"/>
                                        <w:sz w:val="16"/>
                                        <w:szCs w:val="16"/>
                                        <w:lang w:val="en-US"/>
                                      </w:rPr>
                                      <w:t>1</w:t>
                                    </w:r>
                                  </w:p>
                                </w:txbxContent>
                              </wps:txbx>
                              <wps:bodyPr rot="0" vert="horz" wrap="none" lIns="0" tIns="0" rIns="0" bIns="0" anchor="t" anchorCtr="0" upright="1">
                                <a:noAutofit/>
                              </wps:bodyPr>
                            </wps:wsp>
                            <wps:wsp>
                              <wps:cNvPr id="22" name="Line 5"/>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2CEB" w14:textId="77777777" w:rsidR="00497E3C" w:rsidRPr="000A5860" w:rsidRDefault="00497E3C" w:rsidP="003857D2">
                                    <w:pPr>
                                      <w:spacing w:line="276" w:lineRule="auto"/>
                                      <w:rPr>
                                        <w:position w:val="-12"/>
                                        <w:sz w:val="16"/>
                                        <w:szCs w:val="16"/>
                                      </w:rPr>
                                    </w:pPr>
                                    <w:r w:rsidRPr="000A5860">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448FD3AC" id="Canvas 2" o:spid="_x0000_s1026" editas="canvas" style="width:18.3pt;height:22.35pt;mso-position-horizontal-relative:char;mso-position-vertical-relative:line" coordsize="23241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RwfwMAALkMAAAOAAAAZHJzL2Uyb0RvYy54bWzsl91O2zAUgO8n7R0s34f8NE2biIBYS6dJ&#10;bENjewA3cRpriR3Zpimb9u47dhJayqoh2BAX9CI4tnN8fr5zjjk+3dQVWlOpmOAp9o88jCjPRM74&#10;KsXfvi6cKUZKE56TSnCa4huq8OnJ2zfHbZPQQJSiyqlEIISrpG1SXGrdJK6rspLWRB2JhnJYLISs&#10;iYZXuXJzSVqQXldu4HmR2wqZN1JkVCmYnXeL+MTKLwqa6c9FoahGVYpBN22f0j6X5umeHJNkJUlT&#10;sqxXgzxCi5owDofeipoTTdC1ZPdE1SyTQolCH2WidkVRsIxaG8Aa39uzZkb4mihrTAbeGRSE0T+U&#10;u1wZvblYsKoCb7ggPTFz5m8L8aEw2TYQHdXcxkk97fyrkjTUmqWS7NP6UiKWAzwTjDipAZIvEDbC&#10;VxVFoQmQOR22XTWX0qiqmguRfVeIi1kJu+iZlKItKclBK9/sBxN2PjAvCj5Fy/ajyEE6udbCxmpT&#10;yNoIhCigTYqno2kAiNyAFM+PejToRqMMFsd+OBpjlJlVP5qGdtklySCjkUq/p6JGZpBiCRbYM8j6&#10;QmmjE0mGLXfcTZKK35mAjd0MnAyfmjWjg2XpZ+zF59PzaeiEQXTuhN587pwtZqETLfzJeD6az2Zz&#10;/5c51w+TkuU55SaqA9d++LCw9RnWEXlLthIVy404o5KSq+WskmhNIK8W9mc9Dyvbbe5dNawTwJY9&#10;k/wg9N4FsbOIphMnXIRjJ554U8fz43dx5IVxOF/cNemCcfp0k1Cb4ngcjG2UdpTes82zv/u2kaRm&#10;GipXxWog53YTSQyI5zyHkJNEE1Z14x1XGPW3roBwD4G22BpSO+L1Zrnp4V+K/AYAlgLIAkKh3MKg&#10;FPIHRi2UrhRzqK0YVR84pICpcsNADoPlMCA8gw9TrDHqhjPdVcPrRrJVCXJ96xEuziBNCmbZNSnU&#10;6dAnF9SCZyoKQTAUBRv28U49mPFL2TvoQfntjwCsLr9HsRdZUV1ymQQPvLHv9RkeQap3OXsgvSuI&#10;oXXTQ9LbkOZ7j+ZMiusep0NovdCCsW0ph+rAYfg72kwMDHvPiBsQsN+Doh3m/ncP6vmMohGgCubv&#10;8BnEwbYDTcLJXxB97UDQqHbKbte5OuIGv/ZN9bUD9VeNP3Sg7mY2ZMDLbESgtr0e267a3+XNBXz3&#10;3VaS7X8cJ78BAAD//wMAUEsDBBQABgAIAAAAIQC4fIoY3AAAAAMBAAAPAAAAZHJzL2Rvd25yZXYu&#10;eG1sTI/BSsNAEIbvgu+wjOCl2F1tiRqzKUUQPGixVbDHaXZMgtnZkN228e0dvehlYPh/vvmmWIy+&#10;UwcaYhvYwuXUgCKugmu5tvD2+nBxAyomZIddYLLwRREW5elJgbkLR17TYZNqJRCOOVpoUupzrWPV&#10;kMc4DT2xZB9h8JhkHWrtBjwK3Hf6yphMe2xZLjTY031D1edm74VyO1lOVu/8+Lwan6psvTWz7Yux&#10;9vxsXN6BSjSmvzL86Is6lOK0C3t2UXUW5JH0OyWbZRmonYX5/Bp0Wej/7uU3AAAA//8DAFBLAQIt&#10;ABQABgAIAAAAIQC2gziS/gAAAOEBAAATAAAAAAAAAAAAAAAAAAAAAABbQ29udGVudF9UeXBlc10u&#10;eG1sUEsBAi0AFAAGAAgAAAAhADj9If/WAAAAlAEAAAsAAAAAAAAAAAAAAAAALwEAAF9yZWxzLy5y&#10;ZWxzUEsBAi0AFAAGAAgAAAAhAKoThHB/AwAAuQwAAA4AAAAAAAAAAAAAAAAALgIAAGRycy9lMm9E&#10;b2MueG1sUEsBAi0AFAAGAAgAAAAhALh8ihjcAAAAAwEAAA8AAAAAAAAAAAAAAAAA2QUAAGRycy9k&#10;b3ducmV2LnhtbFBLBQYAAAAABAAEAPMAAADiBgAAAAA=&#10;">
                      <v:shape id="_x0000_s1027" type="#_x0000_t75" style="position:absolute;width:232410;height:283845;visibility:visible;mso-wrap-style:square">
                        <v:fill o:detectmouseclick="t"/>
                        <v:path o:connecttype="none"/>
                      </v:shape>
                      <v:rect id="Rectangle 4" o:spid="_x0000_s1028"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14:paraId="50398D82" w14:textId="77777777" w:rsidR="00497E3C" w:rsidRDefault="00497E3C" w:rsidP="00705FFE">
                              <w:r w:rsidRPr="000A5860">
                                <w:rPr>
                                  <w:color w:val="000000"/>
                                  <w:position w:val="-12"/>
                                  <w:sz w:val="16"/>
                                  <w:szCs w:val="16"/>
                                  <w:lang w:val="en-US"/>
                                </w:rPr>
                                <w:t>1</w:t>
                              </w:r>
                            </w:p>
                          </w:txbxContent>
                        </v:textbox>
                      </v:rect>
                      <v:line id="Line 5" o:spid="_x0000_s1029"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S2cMAAADbAAAADwAAAGRycy9kb3ducmV2LnhtbESPQWvCQBSE74X+h+UJ3urGHFpJXUWk&#10;0ng0ycXbM/tMQrNvw+6q0V/vFgo9DjPzDbNcj6YXV3K+s6xgPktAENdWd9woqMrd2wKED8gae8uk&#10;4E4e1qvXlyVm2t74QNciNCJC2GeooA1hyKT0dUsG/cwOxNE7W2cwROkaqR3eItz0Mk2Sd2mw47jQ&#10;4kDbluqf4mIUPPLyqzrm34dT9TiWe1t493FeKDWdjJtPEIHG8B/+a+daQZrC7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ZEtnDAAAA2wAAAA8AAAAAAAAAAAAA&#10;AAAAoQIAAGRycy9kb3ducmV2LnhtbFBLBQYAAAAABAAEAPkAAACRAwAAAAA=&#10;" strokeweight="28e-5mm"/>
                      <v:rect id="Rectangle 6" o:spid="_x0000_s1030"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14:paraId="73162CEB" w14:textId="77777777" w:rsidR="00497E3C" w:rsidRPr="000A5860" w:rsidRDefault="00497E3C" w:rsidP="003857D2">
                              <w:pPr>
                                <w:spacing w:line="276" w:lineRule="auto"/>
                                <w:rPr>
                                  <w:position w:val="-12"/>
                                  <w:sz w:val="16"/>
                                  <w:szCs w:val="16"/>
                                </w:rPr>
                              </w:pPr>
                              <w:r w:rsidRPr="000A5860">
                                <w:rPr>
                                  <w:color w:val="000000"/>
                                  <w:position w:val="-12"/>
                                  <w:sz w:val="16"/>
                                  <w:szCs w:val="16"/>
                                  <w:lang w:val="en-US"/>
                                </w:rPr>
                                <w:t>3.664</w:t>
                              </w:r>
                            </w:p>
                          </w:txbxContent>
                        </v:textbox>
                      </v:rect>
                      <w10:anchorlock/>
                    </v:group>
                  </w:pict>
                </mc:Fallback>
              </mc:AlternateContent>
            </w:r>
            <w:r w:rsidRPr="00097A86">
              <w:t xml:space="preserve"> for converting the mass of carbon dioxide to a mass of carbon.</w:t>
            </w:r>
          </w:p>
        </w:tc>
      </w:tr>
      <w:tr w:rsidR="00705FFE" w:rsidRPr="00097A86" w14:paraId="10AE06E0" w14:textId="77777777" w:rsidTr="00C20CC2">
        <w:trPr>
          <w:cantSplit/>
        </w:trPr>
        <w:tc>
          <w:tcPr>
            <w:tcW w:w="575" w:type="pct"/>
          </w:tcPr>
          <w:p w14:paraId="6D838A02" w14:textId="77777777" w:rsidR="00705FFE" w:rsidRPr="00097A86" w:rsidRDefault="00705FFE" w:rsidP="00617697">
            <w:pPr>
              <w:spacing w:before="60" w:after="60"/>
              <w:rPr>
                <w:i/>
              </w:rPr>
            </w:pPr>
          </w:p>
        </w:tc>
        <w:tc>
          <w:tcPr>
            <w:tcW w:w="4425" w:type="pct"/>
            <w:hideMark/>
          </w:tcPr>
          <w:p w14:paraId="6A525839" w14:textId="77777777" w:rsidR="00705FFE" w:rsidRPr="00097A86" w:rsidRDefault="00705FFE" w:rsidP="009F3FBB">
            <w:pPr>
              <w:pStyle w:val="Definition"/>
              <w:spacing w:before="60" w:after="60"/>
              <w:ind w:left="34"/>
              <w:rPr>
                <w:iCs/>
                <w:szCs w:val="22"/>
              </w:rPr>
            </w:pPr>
            <w:r w:rsidRPr="00097A86">
              <w:rPr>
                <w:b/>
                <w:i/>
                <w:szCs w:val="22"/>
              </w:rPr>
              <w:t xml:space="preserve">γ </w:t>
            </w:r>
            <w:r w:rsidRPr="00097A86">
              <w:rPr>
                <w:szCs w:val="22"/>
              </w:rPr>
              <w:t>is the factor 1.861 ×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p w14:paraId="740F7951" w14:textId="77777777" w:rsidR="00705FFE" w:rsidRPr="00097A86" w:rsidRDefault="00705FFE" w:rsidP="009F3FBB">
            <w:pPr>
              <w:pStyle w:val="Definition"/>
              <w:spacing w:before="60" w:after="60"/>
              <w:ind w:left="34"/>
              <w:rPr>
                <w:rFonts w:ascii="Symbol" w:hAnsi="Symbol"/>
                <w:b/>
                <w:i/>
                <w:szCs w:val="22"/>
              </w:rPr>
            </w:pPr>
            <w:r w:rsidRPr="00097A86">
              <w:rPr>
                <w:b/>
                <w:i/>
                <w:szCs w:val="22"/>
              </w:rPr>
              <w:t>RCCS</w:t>
            </w:r>
            <w:r w:rsidRPr="00097A86">
              <w:rPr>
                <w:b/>
                <w:i/>
                <w:szCs w:val="22"/>
                <w:vertAlign w:val="subscript"/>
              </w:rPr>
              <w:t>CO</w:t>
            </w:r>
            <w:r w:rsidRPr="00097A86">
              <w:rPr>
                <w:b/>
                <w:i/>
                <w:position w:val="-4"/>
                <w:szCs w:val="22"/>
                <w:vertAlign w:val="subscript"/>
              </w:rPr>
              <w:t>2</w:t>
            </w:r>
            <w:r w:rsidRPr="00097A86">
              <w:rPr>
                <w:szCs w:val="22"/>
              </w:rPr>
              <w:t xml:space="preserve"> is carbon dioxide captured for permanent </w:t>
            </w:r>
            <w:r w:rsidRPr="00097A86">
              <w:rPr>
                <w:iCs/>
                <w:szCs w:val="22"/>
              </w:rPr>
              <w:t>storage</w:t>
            </w:r>
            <w:r w:rsidRPr="00097A86">
              <w:rPr>
                <w:szCs w:val="22"/>
              </w:rPr>
              <w:t>, measured in cubic metres in accordance with Division</w:t>
            </w:r>
            <w:r w:rsidR="00097A86">
              <w:rPr>
                <w:szCs w:val="22"/>
              </w:rPr>
              <w:t> </w:t>
            </w:r>
            <w:r w:rsidRPr="00097A86">
              <w:rPr>
                <w:szCs w:val="22"/>
              </w:rPr>
              <w:t>1.2.3.</w:t>
            </w:r>
          </w:p>
        </w:tc>
      </w:tr>
    </w:tbl>
    <w:p w14:paraId="7F4A68F5" w14:textId="77777777" w:rsidR="004E22F1" w:rsidRPr="00097A86" w:rsidRDefault="004E22F1" w:rsidP="00D22D3F">
      <w:pPr>
        <w:pStyle w:val="subsection"/>
      </w:pPr>
      <w:r w:rsidRPr="00097A86">
        <w:tab/>
        <w:t>(6)</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64A977F0" w14:textId="77777777" w:rsidR="004E22F1" w:rsidRPr="00097A86" w:rsidRDefault="004E22F1" w:rsidP="00D22D3F">
      <w:pPr>
        <w:pStyle w:val="subsection"/>
      </w:pPr>
      <w:r w:rsidRPr="00097A86">
        <w:tab/>
        <w:t>(7)</w:t>
      </w:r>
      <w:r w:rsidRPr="00097A86">
        <w:tab/>
        <w:t>The sampling and analysis is to be carried out using the sampling and analysis provided for in Divisions</w:t>
      </w:r>
      <w:r w:rsidR="00097A86">
        <w:t> </w:t>
      </w:r>
      <w:r w:rsidRPr="00097A86">
        <w:t>2.2.3, 2.3.3 and 2.4.3 that apply to the combustion of solid, gaseous and liquid fuels.</w:t>
      </w:r>
    </w:p>
    <w:p w14:paraId="546B129F" w14:textId="77777777" w:rsidR="004E22F1" w:rsidRPr="00097A86" w:rsidRDefault="004E22F1" w:rsidP="00D22D3F">
      <w:pPr>
        <w:pStyle w:val="SubsectionHead"/>
      </w:pPr>
      <w:r w:rsidRPr="00097A86">
        <w:t>Method 3</w:t>
      </w:r>
    </w:p>
    <w:p w14:paraId="2AB62ED6" w14:textId="77777777" w:rsidR="004E22F1" w:rsidRPr="00097A86" w:rsidRDefault="004E22F1" w:rsidP="00D22D3F">
      <w:pPr>
        <w:pStyle w:val="subsection"/>
      </w:pPr>
      <w:r w:rsidRPr="00097A86">
        <w:tab/>
        <w:t>(8)</w:t>
      </w:r>
      <w:r w:rsidRPr="00097A86">
        <w:tab/>
        <w:t xml:space="preserve">Subject to </w:t>
      </w:r>
      <w:r w:rsidR="00097A86">
        <w:t>subsections (</w:t>
      </w:r>
      <w:r w:rsidRPr="00097A86">
        <w:t xml:space="preserve">9) and (10), method 3 is the same as method 2 under </w:t>
      </w:r>
      <w:r w:rsidR="00097A86">
        <w:t>subsections (</w:t>
      </w:r>
      <w:r w:rsidRPr="00097A86">
        <w:t>4) to (7).</w:t>
      </w:r>
    </w:p>
    <w:p w14:paraId="2A2F8FC0" w14:textId="77777777" w:rsidR="004E22F1" w:rsidRPr="00097A86" w:rsidRDefault="004E22F1" w:rsidP="00D22D3F">
      <w:pPr>
        <w:pStyle w:val="subsection"/>
      </w:pPr>
      <w:r w:rsidRPr="00097A86">
        <w:tab/>
        <w:t>(9)</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7DAA8194" w14:textId="77777777" w:rsidR="004E22F1" w:rsidRPr="00097A86" w:rsidRDefault="004E22F1" w:rsidP="00D22D3F">
      <w:pPr>
        <w:pStyle w:val="subsection"/>
      </w:pPr>
      <w:r w:rsidRPr="00097A86">
        <w:tab/>
        <w:t>(10)</w:t>
      </w:r>
      <w:r w:rsidRPr="00097A86">
        <w:tab/>
        <w:t>The sampling and analysis is to be carried out using the methods set out in Divisions</w:t>
      </w:r>
      <w:r w:rsidR="00097A86">
        <w:t> </w:t>
      </w:r>
      <w:r w:rsidRPr="00097A86">
        <w:t>2.2.4, 2.3.4 and 2.4.4 that apply to the combustion of solid, gaseous and liquid fuels.</w:t>
      </w:r>
    </w:p>
    <w:p w14:paraId="1139F9E3" w14:textId="77777777" w:rsidR="003F0D4E" w:rsidRPr="00097A86" w:rsidRDefault="003F0D4E" w:rsidP="009A46A7">
      <w:pPr>
        <w:pStyle w:val="ActHead3"/>
        <w:pageBreakBefore/>
      </w:pPr>
      <w:bookmarkStart w:id="189" w:name="_Toc13233631"/>
      <w:r w:rsidRPr="00097A86">
        <w:rPr>
          <w:rStyle w:val="CharDivNo"/>
        </w:rPr>
        <w:lastRenderedPageBreak/>
        <w:t>Division</w:t>
      </w:r>
      <w:r w:rsidR="00097A86">
        <w:rPr>
          <w:rStyle w:val="CharDivNo"/>
        </w:rPr>
        <w:t> </w:t>
      </w:r>
      <w:r w:rsidRPr="00097A86">
        <w:rPr>
          <w:rStyle w:val="CharDivNo"/>
        </w:rPr>
        <w:t>2.5.3</w:t>
      </w:r>
      <w:r w:rsidR="00D22D3F" w:rsidRPr="00097A86">
        <w:t>—</w:t>
      </w:r>
      <w:r w:rsidRPr="00097A86">
        <w:rPr>
          <w:rStyle w:val="CharDivText"/>
        </w:rPr>
        <w:t>Energy</w:t>
      </w:r>
      <w:r w:rsidR="00D22D3F" w:rsidRPr="00097A86">
        <w:rPr>
          <w:rStyle w:val="CharDivText"/>
        </w:rPr>
        <w:t>—</w:t>
      </w:r>
      <w:r w:rsidRPr="00097A86">
        <w:rPr>
          <w:rStyle w:val="CharDivText"/>
        </w:rPr>
        <w:t>petrochemical production</w:t>
      </w:r>
      <w:bookmarkEnd w:id="189"/>
    </w:p>
    <w:p w14:paraId="78343B53" w14:textId="77777777" w:rsidR="003F0D4E" w:rsidRPr="00097A86" w:rsidRDefault="003F0D4E" w:rsidP="00D22D3F">
      <w:pPr>
        <w:pStyle w:val="ActHead5"/>
      </w:pPr>
      <w:bookmarkStart w:id="190" w:name="_Toc13233632"/>
      <w:r w:rsidRPr="00097A86">
        <w:rPr>
          <w:rStyle w:val="CharSectno"/>
        </w:rPr>
        <w:t>2.59</w:t>
      </w:r>
      <w:r w:rsidR="00D22D3F" w:rsidRPr="00097A86">
        <w:t xml:space="preserve">  </w:t>
      </w:r>
      <w:r w:rsidRPr="00097A86">
        <w:t>Application</w:t>
      </w:r>
      <w:bookmarkEnd w:id="190"/>
    </w:p>
    <w:p w14:paraId="06D4D265" w14:textId="77777777" w:rsidR="003F0D4E" w:rsidRPr="00097A86" w:rsidRDefault="003F0D4E" w:rsidP="00D22D3F">
      <w:pPr>
        <w:pStyle w:val="subsection"/>
      </w:pPr>
      <w:r w:rsidRPr="00097A86">
        <w:tab/>
      </w:r>
      <w:r w:rsidRPr="00097A86">
        <w:tab/>
        <w:t>This Division applies to petrochemical production (where fuel is consumed as a feedstock).</w:t>
      </w:r>
    </w:p>
    <w:p w14:paraId="2D982E41" w14:textId="77777777" w:rsidR="003F0D4E" w:rsidRPr="00097A86" w:rsidRDefault="003F0D4E" w:rsidP="00D22D3F">
      <w:pPr>
        <w:pStyle w:val="ActHead5"/>
      </w:pPr>
      <w:bookmarkStart w:id="191" w:name="_Toc13233633"/>
      <w:r w:rsidRPr="00097A86">
        <w:rPr>
          <w:rStyle w:val="CharSectno"/>
        </w:rPr>
        <w:t>2.60</w:t>
      </w:r>
      <w:r w:rsidR="00D22D3F" w:rsidRPr="00097A86">
        <w:t xml:space="preserve">  </w:t>
      </w:r>
      <w:r w:rsidRPr="00097A86">
        <w:t>Available methods</w:t>
      </w:r>
      <w:bookmarkEnd w:id="191"/>
    </w:p>
    <w:p w14:paraId="42334AFB"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released during a year from the operation of a facility that is constituted by an activity that is petrochemical production:</w:t>
      </w:r>
    </w:p>
    <w:p w14:paraId="44D05115" w14:textId="77777777" w:rsidR="003F0D4E" w:rsidRPr="00097A86" w:rsidRDefault="003F0D4E" w:rsidP="00D22D3F">
      <w:pPr>
        <w:pStyle w:val="paragraph"/>
      </w:pPr>
      <w:r w:rsidRPr="00097A86">
        <w:tab/>
        <w:t>(a)</w:t>
      </w:r>
      <w:r w:rsidRPr="00097A86">
        <w:tab/>
        <w:t>method 1 under section</w:t>
      </w:r>
      <w:r w:rsidR="00097A86">
        <w:t> </w:t>
      </w:r>
      <w:r w:rsidRPr="00097A86">
        <w:t>2.61;</w:t>
      </w:r>
    </w:p>
    <w:p w14:paraId="06C35A90" w14:textId="77777777" w:rsidR="003F0D4E" w:rsidRPr="00097A86" w:rsidRDefault="003F0D4E" w:rsidP="00D22D3F">
      <w:pPr>
        <w:pStyle w:val="paragraph"/>
      </w:pPr>
      <w:r w:rsidRPr="00097A86">
        <w:tab/>
        <w:t>(b)</w:t>
      </w:r>
      <w:r w:rsidRPr="00097A86">
        <w:tab/>
        <w:t>method 2 under section</w:t>
      </w:r>
      <w:r w:rsidR="00097A86">
        <w:t> </w:t>
      </w:r>
      <w:r w:rsidRPr="00097A86">
        <w:t>2.62;</w:t>
      </w:r>
    </w:p>
    <w:p w14:paraId="0F76082E" w14:textId="77777777" w:rsidR="003F0D4E" w:rsidRPr="00097A86" w:rsidRDefault="003F0D4E" w:rsidP="00D22D3F">
      <w:pPr>
        <w:pStyle w:val="paragraph"/>
      </w:pPr>
      <w:r w:rsidRPr="00097A86">
        <w:tab/>
        <w:t>(c)</w:t>
      </w:r>
      <w:r w:rsidRPr="00097A86">
        <w:tab/>
        <w:t>method 3 under section</w:t>
      </w:r>
      <w:r w:rsidR="00097A86">
        <w:t> </w:t>
      </w:r>
      <w:r w:rsidRPr="00097A86">
        <w:t>2.63;</w:t>
      </w:r>
    </w:p>
    <w:p w14:paraId="3E247339" w14:textId="77777777" w:rsidR="003F0D4E" w:rsidRPr="00097A86" w:rsidRDefault="003F0D4E" w:rsidP="00D22D3F">
      <w:pPr>
        <w:pStyle w:val="paragraph"/>
      </w:pPr>
      <w:r w:rsidRPr="00097A86">
        <w:tab/>
        <w:t>(d)</w:t>
      </w:r>
      <w:r w:rsidRPr="00097A86">
        <w:tab/>
        <w:t>method 4 under Part</w:t>
      </w:r>
      <w:r w:rsidR="00097A86">
        <w:t> </w:t>
      </w:r>
      <w:r w:rsidRPr="00097A86">
        <w:t>1.3.</w:t>
      </w:r>
    </w:p>
    <w:p w14:paraId="1765397C" w14:textId="77777777" w:rsidR="003F0D4E" w:rsidRPr="00097A86" w:rsidRDefault="003F0D4E" w:rsidP="00D22D3F">
      <w:pPr>
        <w:pStyle w:val="subsection"/>
      </w:pPr>
      <w:r w:rsidRPr="00097A86">
        <w:tab/>
        <w:t>(2)</w:t>
      </w:r>
      <w:r w:rsidRPr="00097A86">
        <w:tab/>
        <w:t xml:space="preserve">However, for </w:t>
      </w:r>
      <w:r w:rsidR="005E0545" w:rsidRPr="00097A86">
        <w:t>incidental emissions</w:t>
      </w:r>
      <w:r w:rsidRPr="00097A86">
        <w:t xml:space="preserve"> another method may be used that is consistent with the principles in section</w:t>
      </w:r>
      <w:r w:rsidR="00097A86">
        <w:t> </w:t>
      </w:r>
      <w:r w:rsidRPr="00097A86">
        <w:t>1.13.</w:t>
      </w:r>
    </w:p>
    <w:p w14:paraId="215B137B" w14:textId="77777777" w:rsidR="003F0D4E" w:rsidRPr="00097A86" w:rsidRDefault="003F0D4E" w:rsidP="00D22D3F">
      <w:pPr>
        <w:pStyle w:val="ActHead5"/>
      </w:pPr>
      <w:bookmarkStart w:id="192" w:name="_Toc13233634"/>
      <w:r w:rsidRPr="00097A86">
        <w:rPr>
          <w:rStyle w:val="CharSectno"/>
        </w:rPr>
        <w:t>2.61</w:t>
      </w:r>
      <w:r w:rsidR="00D22D3F" w:rsidRPr="00097A86">
        <w:t xml:space="preserve">  </w:t>
      </w:r>
      <w:r w:rsidRPr="00097A86">
        <w:t>Method 1</w:t>
      </w:r>
      <w:r w:rsidR="00D22D3F" w:rsidRPr="00097A86">
        <w:t>—</w:t>
      </w:r>
      <w:r w:rsidRPr="00097A86">
        <w:t>petrochemical production</w:t>
      </w:r>
      <w:bookmarkEnd w:id="192"/>
    </w:p>
    <w:p w14:paraId="3E070976" w14:textId="77777777" w:rsidR="003F0D4E" w:rsidRPr="00097A86" w:rsidRDefault="003F0D4E" w:rsidP="00D22D3F">
      <w:pPr>
        <w:pStyle w:val="subsection"/>
      </w:pPr>
      <w:r w:rsidRPr="00097A86">
        <w:tab/>
      </w:r>
      <w:r w:rsidRPr="00097A86">
        <w:tab/>
        <w:t>Method 1, based on a carbon mass balance approach, is:</w:t>
      </w:r>
    </w:p>
    <w:p w14:paraId="2F02BB0D" w14:textId="77777777" w:rsidR="00D22D3F" w:rsidRPr="00097A86" w:rsidRDefault="00D22D3F" w:rsidP="00D22D3F">
      <w:pPr>
        <w:pStyle w:val="Tabletext"/>
      </w:pPr>
    </w:p>
    <w:tbl>
      <w:tblPr>
        <w:tblW w:w="5000" w:type="pct"/>
        <w:tblLook w:val="0000" w:firstRow="0" w:lastRow="0" w:firstColumn="0" w:lastColumn="0" w:noHBand="0" w:noVBand="0"/>
      </w:tblPr>
      <w:tblGrid>
        <w:gridCol w:w="969"/>
        <w:gridCol w:w="7344"/>
      </w:tblGrid>
      <w:tr w:rsidR="00926860" w:rsidRPr="00097A86" w14:paraId="39109797" w14:textId="77777777" w:rsidTr="00C20CC2">
        <w:trPr>
          <w:cantSplit/>
          <w:trHeight w:val="80"/>
        </w:trPr>
        <w:tc>
          <w:tcPr>
            <w:tcW w:w="583" w:type="pct"/>
          </w:tcPr>
          <w:p w14:paraId="16CEAAA1" w14:textId="77777777" w:rsidR="00926860" w:rsidRPr="00097A86" w:rsidRDefault="00926860" w:rsidP="005D3415">
            <w:pPr>
              <w:pStyle w:val="Tabletext"/>
              <w:keepNext/>
              <w:keepLines/>
            </w:pPr>
            <w:r w:rsidRPr="00097A86">
              <w:rPr>
                <w:sz w:val="22"/>
                <w:szCs w:val="22"/>
              </w:rPr>
              <w:t>Step 1</w:t>
            </w:r>
          </w:p>
        </w:tc>
        <w:tc>
          <w:tcPr>
            <w:tcW w:w="4417" w:type="pct"/>
          </w:tcPr>
          <w:p w14:paraId="1174B237" w14:textId="77777777" w:rsidR="00926860" w:rsidRPr="00097A86" w:rsidRDefault="00926860" w:rsidP="002802F3">
            <w:pPr>
              <w:pStyle w:val="Tabletext"/>
              <w:keepNext/>
              <w:keepLines/>
              <w:spacing w:after="60"/>
              <w:rPr>
                <w:sz w:val="22"/>
                <w:szCs w:val="22"/>
              </w:rPr>
            </w:pPr>
            <w:r w:rsidRPr="00097A86">
              <w:rPr>
                <w:sz w:val="22"/>
                <w:szCs w:val="22"/>
              </w:rPr>
              <w:t>Calculate the carbon content in all fuel types</w:t>
            </w:r>
            <w:r w:rsidRPr="00097A86">
              <w:rPr>
                <w:b/>
                <w:i/>
                <w:sz w:val="22"/>
                <w:szCs w:val="22"/>
              </w:rPr>
              <w:t xml:space="preserve"> </w:t>
            </w:r>
            <w:r w:rsidRPr="00097A86">
              <w:rPr>
                <w:sz w:val="22"/>
                <w:szCs w:val="22"/>
              </w:rPr>
              <w:t>(</w:t>
            </w:r>
            <w:r w:rsidRPr="00097A86">
              <w:rPr>
                <w:b/>
                <w:i/>
                <w:sz w:val="22"/>
                <w:szCs w:val="22"/>
              </w:rPr>
              <w:t>i</w:t>
            </w:r>
            <w:r w:rsidRPr="00097A86">
              <w:rPr>
                <w:sz w:val="22"/>
                <w:szCs w:val="22"/>
              </w:rPr>
              <w:t>) delivered for the activity during the year as follows:</w:t>
            </w:r>
          </w:p>
          <w:p w14:paraId="44E5A5A5" w14:textId="77777777" w:rsidR="00926860" w:rsidRPr="00097A86" w:rsidRDefault="00926860" w:rsidP="00617697">
            <w:pPr>
              <w:pStyle w:val="Formula"/>
              <w:ind w:left="13"/>
            </w:pPr>
            <w:r w:rsidRPr="00097A86">
              <w:rPr>
                <w:noProof/>
              </w:rPr>
              <w:drawing>
                <wp:inline distT="0" distB="0" distL="0" distR="0" wp14:anchorId="2341DC16" wp14:editId="30A504F2">
                  <wp:extent cx="790575"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tc>
      </w:tr>
      <w:tr w:rsidR="00926860" w:rsidRPr="00097A86" w14:paraId="21D95070" w14:textId="77777777" w:rsidTr="00C20CC2">
        <w:trPr>
          <w:cantSplit/>
          <w:trHeight w:val="80"/>
        </w:trPr>
        <w:tc>
          <w:tcPr>
            <w:tcW w:w="583" w:type="pct"/>
          </w:tcPr>
          <w:p w14:paraId="4C943DDE" w14:textId="77777777" w:rsidR="00926860" w:rsidRPr="00097A86" w:rsidRDefault="00926860" w:rsidP="00617697">
            <w:pPr>
              <w:spacing w:before="60" w:after="60"/>
            </w:pPr>
          </w:p>
        </w:tc>
        <w:tc>
          <w:tcPr>
            <w:tcW w:w="4417" w:type="pct"/>
          </w:tcPr>
          <w:p w14:paraId="6E164876" w14:textId="77777777" w:rsidR="00926860" w:rsidRPr="00097A86" w:rsidRDefault="00926860" w:rsidP="005D3415">
            <w:pPr>
              <w:pStyle w:val="subsection2"/>
              <w:ind w:left="34"/>
            </w:pPr>
            <w:r w:rsidRPr="00097A86">
              <w:t>where:</w:t>
            </w:r>
          </w:p>
          <w:p w14:paraId="67E6B666" w14:textId="77777777" w:rsidR="00926860" w:rsidRPr="00097A86" w:rsidRDefault="00926860" w:rsidP="002802F3">
            <w:pPr>
              <w:pStyle w:val="Definition"/>
              <w:spacing w:before="60" w:after="60"/>
              <w:ind w:left="34"/>
            </w:pPr>
            <w:r w:rsidRPr="00097A86">
              <w:rPr>
                <w:rFonts w:ascii="Symbol" w:hAnsi="Symbol"/>
                <w:b/>
                <w:i/>
              </w:rPr>
              <w:t></w:t>
            </w:r>
            <w:r w:rsidRPr="00097A86">
              <w:rPr>
                <w:b/>
                <w:i/>
                <w:vertAlign w:val="subscript"/>
              </w:rPr>
              <w:t xml:space="preserve">i </w:t>
            </w:r>
            <w:r w:rsidRPr="00097A86">
              <w:t>means sum the carbon content values obtained for all fuel types (</w:t>
            </w:r>
            <w:r w:rsidRPr="00097A86">
              <w:rPr>
                <w:b/>
                <w:i/>
              </w:rPr>
              <w:t>i</w:t>
            </w:r>
            <w:r w:rsidRPr="00097A86">
              <w:t>).</w:t>
            </w:r>
          </w:p>
          <w:p w14:paraId="18F057AD" w14:textId="77777777" w:rsidR="00926860" w:rsidRPr="00097A86" w:rsidRDefault="00926860" w:rsidP="002802F3">
            <w:pPr>
              <w:pStyle w:val="Definition"/>
              <w:spacing w:before="60" w:after="60"/>
              <w:ind w:left="34"/>
              <w:rPr>
                <w:b/>
                <w:i/>
              </w:rPr>
            </w:pPr>
            <w:r w:rsidRPr="00097A86">
              <w:rPr>
                <w:b/>
                <w:i/>
              </w:rPr>
              <w:t>CCF</w:t>
            </w:r>
            <w:r w:rsidRPr="00097A86">
              <w:rPr>
                <w:b/>
                <w:i/>
                <w:vertAlign w:val="subscript"/>
              </w:rPr>
              <w:t xml:space="preserve">i </w:t>
            </w:r>
            <w:r w:rsidRPr="00097A86">
              <w:t>is the carbon content factor measured in tonnes of carbon for each tonne of fuel type (</w:t>
            </w:r>
            <w:r w:rsidRPr="00097A86">
              <w:rPr>
                <w:b/>
                <w:i/>
              </w:rPr>
              <w:t>i</w:t>
            </w:r>
            <w:r w:rsidRPr="00097A86">
              <w:t>) as mentioned in Schedule</w:t>
            </w:r>
            <w:r w:rsidR="00097A86">
              <w:t> </w:t>
            </w:r>
            <w:r w:rsidRPr="00097A86">
              <w:t>3 consumed in the operation of the activity.</w:t>
            </w:r>
          </w:p>
          <w:p w14:paraId="57603B8C" w14:textId="77777777" w:rsidR="00926860" w:rsidRPr="00097A86" w:rsidRDefault="00926860" w:rsidP="002802F3">
            <w:pPr>
              <w:pStyle w:val="Definition"/>
              <w:spacing w:before="60" w:after="60"/>
              <w:ind w:left="34"/>
            </w:pPr>
            <w:r w:rsidRPr="00097A86">
              <w:rPr>
                <w:b/>
                <w:i/>
              </w:rPr>
              <w:t>Q</w:t>
            </w:r>
            <w:r w:rsidRPr="00097A86">
              <w:rPr>
                <w:b/>
                <w:i/>
                <w:vertAlign w:val="subscript"/>
              </w:rPr>
              <w:t xml:space="preserve">i </w:t>
            </w:r>
            <w:r w:rsidRPr="00097A86">
              <w:t>is the quantity of fuel type (</w:t>
            </w:r>
            <w:r w:rsidRPr="00097A86">
              <w:rPr>
                <w:b/>
                <w:i/>
              </w:rPr>
              <w:t>i</w:t>
            </w:r>
            <w:r w:rsidRPr="00097A86">
              <w:t>) delivered for the activity during the year measured in tonnes and estimated in accordance with criterion A in Divisions</w:t>
            </w:r>
            <w:r w:rsidR="00097A86">
              <w:t> </w:t>
            </w:r>
            <w:r w:rsidRPr="00097A86">
              <w:t>2.2.5, 2.3.6 and 2.4.6.</w:t>
            </w:r>
          </w:p>
        </w:tc>
      </w:tr>
      <w:tr w:rsidR="00926860" w:rsidRPr="00097A86" w14:paraId="2BA09D91" w14:textId="77777777" w:rsidTr="00C20CC2">
        <w:trPr>
          <w:cantSplit/>
        </w:trPr>
        <w:tc>
          <w:tcPr>
            <w:tcW w:w="583" w:type="pct"/>
          </w:tcPr>
          <w:p w14:paraId="28EFA5B7" w14:textId="77777777" w:rsidR="00926860" w:rsidRPr="00097A86" w:rsidRDefault="00926860" w:rsidP="00E72BAE">
            <w:pPr>
              <w:pStyle w:val="Tabletext"/>
              <w:rPr>
                <w:sz w:val="22"/>
                <w:szCs w:val="22"/>
              </w:rPr>
            </w:pPr>
            <w:r w:rsidRPr="00097A86">
              <w:rPr>
                <w:sz w:val="22"/>
                <w:szCs w:val="22"/>
              </w:rPr>
              <w:t>Step 2</w:t>
            </w:r>
          </w:p>
        </w:tc>
        <w:tc>
          <w:tcPr>
            <w:tcW w:w="4417" w:type="pct"/>
          </w:tcPr>
          <w:p w14:paraId="0CB52CD5" w14:textId="77777777" w:rsidR="00926860" w:rsidRPr="00097A86" w:rsidRDefault="00926860" w:rsidP="002802F3">
            <w:pPr>
              <w:pStyle w:val="Tabletext"/>
              <w:spacing w:after="60"/>
              <w:rPr>
                <w:sz w:val="22"/>
                <w:szCs w:val="22"/>
              </w:rPr>
            </w:pPr>
            <w:r w:rsidRPr="00097A86">
              <w:rPr>
                <w:sz w:val="22"/>
                <w:szCs w:val="22"/>
              </w:rPr>
              <w:t>Calculate the carbon content in products (</w:t>
            </w:r>
            <w:r w:rsidRPr="00097A86">
              <w:rPr>
                <w:b/>
                <w:i/>
                <w:sz w:val="22"/>
                <w:szCs w:val="22"/>
              </w:rPr>
              <w:t>p</w:t>
            </w:r>
            <w:r w:rsidRPr="00097A86">
              <w:rPr>
                <w:sz w:val="22"/>
                <w:szCs w:val="22"/>
              </w:rPr>
              <w:t>) leaving the activity during the year as follows:</w:t>
            </w:r>
          </w:p>
          <w:p w14:paraId="1D85A892" w14:textId="77777777" w:rsidR="00926860" w:rsidRPr="00097A86" w:rsidRDefault="00926860" w:rsidP="00E72BAE">
            <w:pPr>
              <w:pStyle w:val="Formula"/>
              <w:ind w:left="13"/>
            </w:pPr>
            <w:r w:rsidRPr="00097A86">
              <w:rPr>
                <w:noProof/>
              </w:rPr>
              <w:drawing>
                <wp:inline distT="0" distB="0" distL="0" distR="0" wp14:anchorId="45BB804B" wp14:editId="4535A8EB">
                  <wp:extent cx="98107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p>
        </w:tc>
      </w:tr>
      <w:tr w:rsidR="00926860" w:rsidRPr="00097A86" w14:paraId="6CB8F9A1" w14:textId="77777777" w:rsidTr="00C20CC2">
        <w:trPr>
          <w:cantSplit/>
          <w:trHeight w:val="798"/>
        </w:trPr>
        <w:tc>
          <w:tcPr>
            <w:tcW w:w="583" w:type="pct"/>
          </w:tcPr>
          <w:p w14:paraId="4BC983D0" w14:textId="77777777" w:rsidR="00926860" w:rsidRPr="00097A86" w:rsidRDefault="00926860" w:rsidP="00E72BAE">
            <w:pPr>
              <w:pStyle w:val="Tabletext"/>
              <w:rPr>
                <w:sz w:val="22"/>
                <w:szCs w:val="22"/>
              </w:rPr>
            </w:pPr>
          </w:p>
        </w:tc>
        <w:tc>
          <w:tcPr>
            <w:tcW w:w="4417" w:type="pct"/>
          </w:tcPr>
          <w:p w14:paraId="0CD2AEFD" w14:textId="77777777" w:rsidR="00926860" w:rsidRPr="00097A86" w:rsidRDefault="00926860" w:rsidP="00E72BAE">
            <w:pPr>
              <w:pStyle w:val="subsection2"/>
              <w:ind w:left="34"/>
            </w:pPr>
            <w:r w:rsidRPr="00097A86">
              <w:t>where:</w:t>
            </w:r>
          </w:p>
          <w:p w14:paraId="098FCD05" w14:textId="77777777" w:rsidR="00926860" w:rsidRPr="00097A86" w:rsidRDefault="00926860" w:rsidP="002802F3">
            <w:pPr>
              <w:pStyle w:val="Definition"/>
              <w:spacing w:before="60" w:after="60"/>
              <w:ind w:left="34"/>
            </w:pPr>
            <w:r w:rsidRPr="00097A86">
              <w:rPr>
                <w:rFonts w:ascii="Symbol" w:hAnsi="Symbol"/>
                <w:b/>
                <w:i/>
              </w:rPr>
              <w:t></w:t>
            </w:r>
            <w:r w:rsidRPr="00097A86">
              <w:rPr>
                <w:b/>
                <w:i/>
                <w:vertAlign w:val="subscript"/>
              </w:rPr>
              <w:t xml:space="preserve">p </w:t>
            </w:r>
            <w:r w:rsidRPr="00097A86">
              <w:t>means sum the carbon content values obtained for all product types (</w:t>
            </w:r>
            <w:r w:rsidRPr="00097A86">
              <w:rPr>
                <w:b/>
                <w:i/>
              </w:rPr>
              <w:t>p</w:t>
            </w:r>
            <w:r w:rsidRPr="00097A86">
              <w:t>).</w:t>
            </w:r>
          </w:p>
        </w:tc>
      </w:tr>
      <w:tr w:rsidR="00E72BAE" w:rsidRPr="00097A86" w14:paraId="7F453527" w14:textId="77777777" w:rsidTr="00C20CC2">
        <w:trPr>
          <w:cantSplit/>
          <w:trHeight w:val="735"/>
        </w:trPr>
        <w:tc>
          <w:tcPr>
            <w:tcW w:w="583" w:type="pct"/>
          </w:tcPr>
          <w:p w14:paraId="0F4D73E7" w14:textId="77777777" w:rsidR="00E72BAE" w:rsidRPr="00097A86" w:rsidRDefault="00E72BAE" w:rsidP="00E72BAE">
            <w:pPr>
              <w:pStyle w:val="Tabletext"/>
              <w:rPr>
                <w:sz w:val="22"/>
                <w:szCs w:val="22"/>
              </w:rPr>
            </w:pPr>
          </w:p>
        </w:tc>
        <w:tc>
          <w:tcPr>
            <w:tcW w:w="4417" w:type="pct"/>
          </w:tcPr>
          <w:p w14:paraId="2964134D" w14:textId="77777777" w:rsidR="00E72BAE" w:rsidRPr="00097A86" w:rsidRDefault="00E72BAE" w:rsidP="002802F3">
            <w:pPr>
              <w:pStyle w:val="Definition"/>
              <w:spacing w:before="60" w:after="60"/>
              <w:ind w:left="34"/>
            </w:pPr>
            <w:r w:rsidRPr="00097A86">
              <w:rPr>
                <w:b/>
                <w:i/>
                <w:iCs/>
              </w:rPr>
              <w:t>CCF</w:t>
            </w:r>
            <w:r w:rsidRPr="00097A86">
              <w:rPr>
                <w:b/>
                <w:i/>
                <w:iCs/>
                <w:vertAlign w:val="subscript"/>
              </w:rPr>
              <w:t>p</w:t>
            </w:r>
            <w:r w:rsidRPr="00097A86">
              <w:rPr>
                <w:iCs/>
              </w:rPr>
              <w:t xml:space="preserve"> is the carbon content factor measured in tonnes of carbon for each tonne of product</w:t>
            </w:r>
            <w:r w:rsidRPr="00097A86">
              <w:rPr>
                <w:b/>
                <w:i/>
                <w:iCs/>
              </w:rPr>
              <w:t xml:space="preserve"> </w:t>
            </w:r>
            <w:r w:rsidRPr="00097A86">
              <w:rPr>
                <w:iCs/>
              </w:rPr>
              <w:t>(</w:t>
            </w:r>
            <w:r w:rsidRPr="00097A86">
              <w:rPr>
                <w:b/>
                <w:i/>
                <w:iCs/>
              </w:rPr>
              <w:t>p</w:t>
            </w:r>
            <w:r w:rsidRPr="00097A86">
              <w:rPr>
                <w:iCs/>
              </w:rPr>
              <w:t>).</w:t>
            </w:r>
          </w:p>
        </w:tc>
      </w:tr>
      <w:tr w:rsidR="00E72BAE" w:rsidRPr="00097A86" w14:paraId="254686F0" w14:textId="77777777" w:rsidTr="00C20CC2">
        <w:trPr>
          <w:cantSplit/>
          <w:trHeight w:val="622"/>
        </w:trPr>
        <w:tc>
          <w:tcPr>
            <w:tcW w:w="583" w:type="pct"/>
          </w:tcPr>
          <w:p w14:paraId="1D15249D" w14:textId="77777777" w:rsidR="00E72BAE" w:rsidRPr="00097A86" w:rsidRDefault="00E72BAE" w:rsidP="00E72BAE">
            <w:pPr>
              <w:pStyle w:val="Tabletext"/>
              <w:rPr>
                <w:sz w:val="22"/>
                <w:szCs w:val="22"/>
              </w:rPr>
            </w:pPr>
          </w:p>
        </w:tc>
        <w:tc>
          <w:tcPr>
            <w:tcW w:w="4417" w:type="pct"/>
          </w:tcPr>
          <w:p w14:paraId="4F2A4FDC" w14:textId="77777777" w:rsidR="00E72BAE" w:rsidRPr="00097A86" w:rsidRDefault="00E72BAE" w:rsidP="00E72BAE">
            <w:pPr>
              <w:pStyle w:val="Definition"/>
              <w:ind w:left="34"/>
              <w:rPr>
                <w:b/>
                <w:i/>
                <w:iCs/>
              </w:rPr>
            </w:pPr>
            <w:r w:rsidRPr="00097A86">
              <w:rPr>
                <w:b/>
                <w:i/>
              </w:rPr>
              <w:t>A</w:t>
            </w:r>
            <w:r w:rsidRPr="00097A86">
              <w:rPr>
                <w:b/>
                <w:i/>
                <w:vertAlign w:val="subscript"/>
              </w:rPr>
              <w:t xml:space="preserve">p </w:t>
            </w:r>
            <w:r w:rsidRPr="00097A86">
              <w:t>is the quantity of products produced (</w:t>
            </w:r>
            <w:r w:rsidRPr="00097A86">
              <w:rPr>
                <w:b/>
                <w:i/>
              </w:rPr>
              <w:t>p</w:t>
            </w:r>
            <w:r w:rsidRPr="00097A86">
              <w:t>) leaving the activity during the year measured in tonnes.</w:t>
            </w:r>
          </w:p>
        </w:tc>
      </w:tr>
      <w:tr w:rsidR="00926860" w:rsidRPr="00097A86" w14:paraId="70698C98" w14:textId="77777777" w:rsidTr="00C20CC2">
        <w:trPr>
          <w:cantSplit/>
        </w:trPr>
        <w:tc>
          <w:tcPr>
            <w:tcW w:w="583" w:type="pct"/>
          </w:tcPr>
          <w:p w14:paraId="1DB35AC3" w14:textId="77777777" w:rsidR="00926860" w:rsidRPr="00097A86" w:rsidRDefault="00926860" w:rsidP="00E72BAE">
            <w:pPr>
              <w:pStyle w:val="Tabletext"/>
              <w:rPr>
                <w:sz w:val="22"/>
                <w:szCs w:val="22"/>
              </w:rPr>
            </w:pPr>
            <w:r w:rsidRPr="00097A86">
              <w:rPr>
                <w:sz w:val="22"/>
                <w:szCs w:val="22"/>
              </w:rPr>
              <w:t>Step3</w:t>
            </w:r>
          </w:p>
        </w:tc>
        <w:tc>
          <w:tcPr>
            <w:tcW w:w="4417" w:type="pct"/>
          </w:tcPr>
          <w:p w14:paraId="04ADBFD0" w14:textId="77777777" w:rsidR="00926860" w:rsidRPr="00097A86" w:rsidRDefault="00926860" w:rsidP="002802F3">
            <w:pPr>
              <w:pStyle w:val="Tabletext"/>
              <w:spacing w:after="60"/>
              <w:rPr>
                <w:sz w:val="22"/>
                <w:szCs w:val="22"/>
              </w:rPr>
            </w:pPr>
            <w:r w:rsidRPr="00097A86">
              <w:rPr>
                <w:sz w:val="22"/>
                <w:szCs w:val="22"/>
              </w:rPr>
              <w:t>Calculate the carbon content in waste by</w:t>
            </w:r>
            <w:r w:rsidR="00097A86">
              <w:rPr>
                <w:sz w:val="22"/>
                <w:szCs w:val="22"/>
              </w:rPr>
              <w:noBreakHyphen/>
            </w:r>
            <w:r w:rsidRPr="00097A86">
              <w:rPr>
                <w:sz w:val="22"/>
                <w:szCs w:val="22"/>
              </w:rPr>
              <w:t>products (r) leaving the activity, other than as an emission of greenhouse gas, during the year as follows:</w:t>
            </w:r>
          </w:p>
          <w:p w14:paraId="18A4414B" w14:textId="77777777" w:rsidR="00926860" w:rsidRPr="00097A86" w:rsidRDefault="00926860" w:rsidP="00E72BAE">
            <w:pPr>
              <w:pStyle w:val="Tabletext"/>
              <w:spacing w:after="120"/>
              <w:rPr>
                <w:sz w:val="22"/>
                <w:szCs w:val="22"/>
              </w:rPr>
            </w:pPr>
            <w:r w:rsidRPr="00097A86">
              <w:rPr>
                <w:noProof/>
                <w:sz w:val="22"/>
                <w:szCs w:val="22"/>
              </w:rPr>
              <w:drawing>
                <wp:inline distT="0" distB="0" distL="0" distR="0" wp14:anchorId="369E19E3" wp14:editId="6A53DD1F">
                  <wp:extent cx="933450" cy="19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p>
        </w:tc>
      </w:tr>
      <w:tr w:rsidR="00926860" w:rsidRPr="00097A86" w14:paraId="46CEC45D" w14:textId="77777777" w:rsidTr="00C20CC2">
        <w:trPr>
          <w:cantSplit/>
        </w:trPr>
        <w:tc>
          <w:tcPr>
            <w:tcW w:w="583" w:type="pct"/>
          </w:tcPr>
          <w:p w14:paraId="1C43A5D2" w14:textId="77777777" w:rsidR="00926860" w:rsidRPr="00097A86" w:rsidRDefault="00926860" w:rsidP="00E72BAE">
            <w:pPr>
              <w:pStyle w:val="Tabletext"/>
              <w:rPr>
                <w:sz w:val="22"/>
                <w:szCs w:val="22"/>
              </w:rPr>
            </w:pPr>
          </w:p>
        </w:tc>
        <w:tc>
          <w:tcPr>
            <w:tcW w:w="4417" w:type="pct"/>
          </w:tcPr>
          <w:p w14:paraId="6A3D33D7" w14:textId="77777777" w:rsidR="00926860" w:rsidRPr="00097A86" w:rsidRDefault="00926860" w:rsidP="0068292D">
            <w:pPr>
              <w:pStyle w:val="subsection2"/>
              <w:ind w:left="34"/>
            </w:pPr>
            <w:r w:rsidRPr="00097A86">
              <w:t>where:</w:t>
            </w:r>
          </w:p>
          <w:p w14:paraId="48FAB50B" w14:textId="77777777" w:rsidR="00926860" w:rsidRPr="00097A86" w:rsidRDefault="00926860" w:rsidP="002802F3">
            <w:pPr>
              <w:pStyle w:val="Definition"/>
              <w:spacing w:before="60" w:after="60"/>
              <w:ind w:left="34"/>
            </w:pPr>
            <w:r w:rsidRPr="00097A86">
              <w:rPr>
                <w:rFonts w:ascii="Symbol" w:hAnsi="Symbol"/>
                <w:b/>
                <w:i/>
              </w:rPr>
              <w:t></w:t>
            </w:r>
            <w:r w:rsidRPr="00097A86">
              <w:rPr>
                <w:b/>
                <w:i/>
                <w:vertAlign w:val="subscript"/>
              </w:rPr>
              <w:t xml:space="preserve">r </w:t>
            </w:r>
            <w:r w:rsidRPr="00097A86">
              <w:t>means sum the carbon content values obtained for all waste by</w:t>
            </w:r>
            <w:r w:rsidR="00097A86">
              <w:noBreakHyphen/>
            </w:r>
            <w:r w:rsidRPr="00097A86">
              <w:t>product types (</w:t>
            </w:r>
            <w:r w:rsidRPr="00097A86">
              <w:rPr>
                <w:b/>
                <w:i/>
              </w:rPr>
              <w:t>r</w:t>
            </w:r>
            <w:r w:rsidRPr="00097A86">
              <w:t>).</w:t>
            </w:r>
          </w:p>
          <w:p w14:paraId="55003D16" w14:textId="77777777" w:rsidR="00926860" w:rsidRPr="00097A86" w:rsidRDefault="00926860" w:rsidP="002802F3">
            <w:pPr>
              <w:pStyle w:val="Definition"/>
              <w:spacing w:before="60" w:after="60"/>
              <w:ind w:left="34"/>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w:t>
            </w:r>
            <w:r w:rsidRPr="00097A86">
              <w:rPr>
                <w:b/>
                <w:i/>
                <w:iCs/>
              </w:rPr>
              <w:t xml:space="preserve"> </w:t>
            </w:r>
            <w:r w:rsidRPr="00097A86">
              <w:rPr>
                <w:iCs/>
              </w:rPr>
              <w:t>(</w:t>
            </w:r>
            <w:r w:rsidRPr="00097A86">
              <w:rPr>
                <w:b/>
                <w:i/>
                <w:iCs/>
              </w:rPr>
              <w:t>r</w:t>
            </w:r>
            <w:r w:rsidRPr="00097A86">
              <w:rPr>
                <w:iCs/>
              </w:rPr>
              <w:t>).</w:t>
            </w:r>
          </w:p>
          <w:p w14:paraId="053469E2" w14:textId="77777777" w:rsidR="00926860" w:rsidRPr="00097A86" w:rsidRDefault="00926860" w:rsidP="002802F3">
            <w:pPr>
              <w:pStyle w:val="Definition"/>
              <w:spacing w:before="60" w:after="60"/>
              <w:ind w:left="34"/>
            </w:pPr>
            <w:r w:rsidRPr="00097A86">
              <w:rPr>
                <w:b/>
                <w:i/>
              </w:rPr>
              <w:t>Y</w:t>
            </w:r>
            <w:r w:rsidRPr="00097A86">
              <w:rPr>
                <w:b/>
                <w:i/>
                <w:vertAlign w:val="subscript"/>
              </w:rPr>
              <w:t xml:space="preserve">r </w:t>
            </w:r>
            <w:r w:rsidRPr="00097A86">
              <w:t>is the quantity of waste by</w:t>
            </w:r>
            <w:r w:rsidR="00097A86">
              <w:noBreakHyphen/>
            </w:r>
            <w:r w:rsidRPr="00097A86">
              <w:t>product (</w:t>
            </w:r>
            <w:r w:rsidRPr="00097A86">
              <w:rPr>
                <w:b/>
                <w:i/>
              </w:rPr>
              <w:t>r</w:t>
            </w:r>
            <w:r w:rsidRPr="00097A86">
              <w:t>) leaving the activity during the year measured in tonnes.</w:t>
            </w:r>
          </w:p>
        </w:tc>
      </w:tr>
      <w:tr w:rsidR="00926860" w:rsidRPr="00097A86" w14:paraId="5AA7B56B" w14:textId="77777777" w:rsidTr="00C20CC2">
        <w:trPr>
          <w:cantSplit/>
        </w:trPr>
        <w:tc>
          <w:tcPr>
            <w:tcW w:w="583" w:type="pct"/>
          </w:tcPr>
          <w:p w14:paraId="055005A5" w14:textId="77777777" w:rsidR="00926860" w:rsidRPr="00097A86" w:rsidRDefault="00926860" w:rsidP="005D3415">
            <w:pPr>
              <w:pStyle w:val="Tabletext"/>
              <w:keepNext/>
              <w:keepLines/>
              <w:rPr>
                <w:sz w:val="22"/>
                <w:szCs w:val="22"/>
              </w:rPr>
            </w:pPr>
            <w:r w:rsidRPr="00097A86">
              <w:rPr>
                <w:sz w:val="22"/>
                <w:szCs w:val="22"/>
              </w:rPr>
              <w:t>Step 4</w:t>
            </w:r>
          </w:p>
        </w:tc>
        <w:tc>
          <w:tcPr>
            <w:tcW w:w="4417" w:type="pct"/>
          </w:tcPr>
          <w:p w14:paraId="69F546F5" w14:textId="77777777" w:rsidR="00926860" w:rsidRPr="00097A86" w:rsidRDefault="00926860" w:rsidP="002802F3">
            <w:pPr>
              <w:pStyle w:val="Tabletext"/>
              <w:keepNext/>
              <w:keepLines/>
              <w:spacing w:after="60"/>
              <w:rPr>
                <w:iCs/>
                <w:sz w:val="22"/>
                <w:szCs w:val="22"/>
              </w:rPr>
            </w:pPr>
            <w:r w:rsidRPr="00097A86">
              <w:rPr>
                <w:iCs/>
                <w:sz w:val="22"/>
                <w:szCs w:val="22"/>
              </w:rPr>
              <w:t>Calculate the carbon content in the amount of the increase in stocks of inputs, products and waste by</w:t>
            </w:r>
            <w:r w:rsidR="00097A86">
              <w:rPr>
                <w:iCs/>
                <w:sz w:val="22"/>
                <w:szCs w:val="22"/>
              </w:rPr>
              <w:noBreakHyphen/>
            </w:r>
            <w:r w:rsidRPr="00097A86">
              <w:rPr>
                <w:iCs/>
                <w:sz w:val="22"/>
                <w:szCs w:val="22"/>
              </w:rPr>
              <w:t>products held within the boundary of the activity during the year as follows:</w:t>
            </w:r>
          </w:p>
          <w:p w14:paraId="01B011CE" w14:textId="77777777" w:rsidR="00926860" w:rsidRPr="00097A86" w:rsidRDefault="009E1F90" w:rsidP="00617697">
            <w:pPr>
              <w:pStyle w:val="Formula"/>
              <w:ind w:left="13"/>
            </w:pPr>
            <w:r>
              <w:rPr>
                <w:noProof/>
                <w:position w:val="-8"/>
                <w:vertAlign w:val="superscript"/>
              </w:rPr>
              <w:drawing>
                <wp:inline distT="0" distB="0" distL="0" distR="0" wp14:anchorId="2E56EF4A" wp14:editId="5826BB7B">
                  <wp:extent cx="3533775" cy="209550"/>
                  <wp:effectExtent l="0" t="0" r="9525" b="0"/>
                  <wp:docPr id="1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33775" cy="209550"/>
                          </a:xfrm>
                          <a:prstGeom prst="rect">
                            <a:avLst/>
                          </a:prstGeom>
                          <a:noFill/>
                          <a:ln>
                            <a:noFill/>
                          </a:ln>
                        </pic:spPr>
                      </pic:pic>
                    </a:graphicData>
                  </a:graphic>
                </wp:inline>
              </w:drawing>
            </w:r>
          </w:p>
        </w:tc>
      </w:tr>
      <w:tr w:rsidR="00926860" w:rsidRPr="00097A86" w14:paraId="16880F40" w14:textId="77777777" w:rsidTr="00C20CC2">
        <w:trPr>
          <w:cantSplit/>
        </w:trPr>
        <w:tc>
          <w:tcPr>
            <w:tcW w:w="583" w:type="pct"/>
          </w:tcPr>
          <w:p w14:paraId="6EE7C2CE" w14:textId="77777777" w:rsidR="00926860" w:rsidRPr="00097A86" w:rsidRDefault="00926860" w:rsidP="00617697">
            <w:pPr>
              <w:spacing w:before="60" w:after="60"/>
              <w:rPr>
                <w:i/>
              </w:rPr>
            </w:pPr>
          </w:p>
        </w:tc>
        <w:tc>
          <w:tcPr>
            <w:tcW w:w="4417" w:type="pct"/>
          </w:tcPr>
          <w:p w14:paraId="4C29501F" w14:textId="77777777" w:rsidR="00926860" w:rsidRPr="00097A86" w:rsidRDefault="00926860" w:rsidP="0068292D">
            <w:pPr>
              <w:pStyle w:val="subsection2"/>
              <w:ind w:left="34"/>
            </w:pPr>
            <w:r w:rsidRPr="00097A86">
              <w:t>where:</w:t>
            </w:r>
          </w:p>
          <w:p w14:paraId="67F395B1" w14:textId="77777777" w:rsidR="00926860" w:rsidRPr="00097A86" w:rsidRDefault="00926860" w:rsidP="005D3415">
            <w:pPr>
              <w:pStyle w:val="Definition"/>
              <w:ind w:left="34"/>
              <w:rPr>
                <w:b/>
                <w:i/>
              </w:rPr>
            </w:pPr>
            <w:r w:rsidRPr="00097A86">
              <w:rPr>
                <w:rFonts w:ascii="Symbol" w:hAnsi="Symbol"/>
                <w:b/>
                <w:i/>
              </w:rPr>
              <w:t></w:t>
            </w:r>
            <w:r w:rsidRPr="00097A86">
              <w:rPr>
                <w:b/>
                <w:i/>
                <w:vertAlign w:val="subscript"/>
              </w:rPr>
              <w:t>i</w:t>
            </w:r>
            <w:r w:rsidRPr="00097A86">
              <w:rPr>
                <w:b/>
                <w:i/>
              </w:rPr>
              <w:t xml:space="preserve"> </w:t>
            </w:r>
            <w:r w:rsidRPr="00097A86">
              <w:t>has the same meaning as in step 1.</w:t>
            </w:r>
          </w:p>
          <w:p w14:paraId="06C29EBE" w14:textId="77777777" w:rsidR="00926860" w:rsidRPr="00097A86" w:rsidRDefault="00926860" w:rsidP="002802F3">
            <w:pPr>
              <w:pStyle w:val="Definition"/>
              <w:spacing w:before="60" w:after="60"/>
              <w:ind w:left="34"/>
              <w:rPr>
                <w:iCs/>
              </w:rPr>
            </w:pPr>
            <w:r w:rsidRPr="00097A86">
              <w:rPr>
                <w:b/>
                <w:i/>
              </w:rPr>
              <w:t>CCF</w:t>
            </w:r>
            <w:r w:rsidRPr="00097A86">
              <w:rPr>
                <w:b/>
                <w:i/>
                <w:vertAlign w:val="subscript"/>
              </w:rPr>
              <w:t xml:space="preserve">i </w:t>
            </w:r>
            <w:r w:rsidRPr="00097A86">
              <w:t>has the same meaning as in step 1.</w:t>
            </w:r>
          </w:p>
          <w:p w14:paraId="735080AA" w14:textId="77777777" w:rsidR="00926860" w:rsidRPr="00097A86" w:rsidRDefault="00926860" w:rsidP="002802F3">
            <w:pPr>
              <w:pStyle w:val="TableText0"/>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increase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7264E8F3" w14:textId="77777777" w:rsidR="00926860" w:rsidRPr="00097A86" w:rsidRDefault="00926860" w:rsidP="002802F3">
            <w:pPr>
              <w:pStyle w:val="Definition"/>
              <w:spacing w:before="60" w:after="60"/>
              <w:ind w:left="34"/>
              <w:rPr>
                <w:b/>
                <w:i/>
              </w:rPr>
            </w:pPr>
            <w:r w:rsidRPr="00097A86">
              <w:rPr>
                <w:rFonts w:ascii="Symbol" w:hAnsi="Symbol"/>
                <w:b/>
                <w:i/>
              </w:rPr>
              <w:t></w:t>
            </w:r>
            <w:r w:rsidRPr="00097A86">
              <w:rPr>
                <w:b/>
                <w:i/>
                <w:vertAlign w:val="subscript"/>
              </w:rPr>
              <w:t xml:space="preserve">p </w:t>
            </w:r>
            <w:r w:rsidRPr="00097A86">
              <w:t>has the same meaning as in step 2.</w:t>
            </w:r>
          </w:p>
          <w:p w14:paraId="2449A166" w14:textId="77777777" w:rsidR="00926860" w:rsidRPr="00097A86" w:rsidRDefault="00926860" w:rsidP="002802F3">
            <w:pPr>
              <w:pStyle w:val="Definition"/>
              <w:spacing w:before="60" w:after="60"/>
              <w:ind w:left="34"/>
              <w:rPr>
                <w:b/>
                <w:i/>
                <w:iCs/>
              </w:rPr>
            </w:pPr>
            <w:r w:rsidRPr="00097A86">
              <w:rPr>
                <w:b/>
                <w:i/>
              </w:rPr>
              <w:t>CCF</w:t>
            </w:r>
            <w:r w:rsidRPr="00097A86">
              <w:rPr>
                <w:b/>
                <w:i/>
                <w:vertAlign w:val="subscript"/>
              </w:rPr>
              <w:t xml:space="preserve">p </w:t>
            </w:r>
            <w:r w:rsidRPr="00097A86">
              <w:t>has the same meaning as in step 2.</w:t>
            </w:r>
          </w:p>
          <w:p w14:paraId="37C187EB" w14:textId="77777777" w:rsidR="00926860" w:rsidRPr="00097A86" w:rsidRDefault="00926860" w:rsidP="002802F3">
            <w:pPr>
              <w:pStyle w:val="Definition"/>
              <w:spacing w:before="60" w:after="60"/>
              <w:ind w:left="34"/>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w:t>
            </w:r>
            <w:r w:rsidRPr="00097A86">
              <w:rPr>
                <w:b/>
                <w:i/>
                <w:iCs/>
              </w:rPr>
              <w:t>increase</w:t>
            </w:r>
            <w:r w:rsidRPr="00097A86">
              <w:rPr>
                <w:iCs/>
                <w:szCs w:val="18"/>
              </w:rPr>
              <w:t xml:space="preserve"> in stocks of </w:t>
            </w:r>
            <w:r w:rsidRPr="00097A86">
              <w:rPr>
                <w:iCs/>
              </w:rPr>
              <w:t>products produced (</w:t>
            </w:r>
            <w:r w:rsidRPr="00097A86">
              <w:rPr>
                <w:b/>
                <w:i/>
                <w:iCs/>
              </w:rPr>
              <w:t>p)</w:t>
            </w:r>
            <w:r w:rsidRPr="00097A86">
              <w:rPr>
                <w:iCs/>
              </w:rPr>
              <w:t xml:space="preserve">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26860" w:rsidRPr="00097A86" w14:paraId="23AE842F" w14:textId="77777777" w:rsidTr="00C20CC2">
        <w:trPr>
          <w:cantSplit/>
        </w:trPr>
        <w:tc>
          <w:tcPr>
            <w:tcW w:w="583" w:type="pct"/>
          </w:tcPr>
          <w:p w14:paraId="7CBDCBA9" w14:textId="77777777" w:rsidR="00926860" w:rsidRPr="00097A86" w:rsidRDefault="00926860" w:rsidP="00617697">
            <w:pPr>
              <w:spacing w:before="60" w:after="60"/>
              <w:rPr>
                <w:i/>
              </w:rPr>
            </w:pPr>
          </w:p>
        </w:tc>
        <w:tc>
          <w:tcPr>
            <w:tcW w:w="4417" w:type="pct"/>
          </w:tcPr>
          <w:p w14:paraId="183B0231" w14:textId="77777777" w:rsidR="00926860" w:rsidRPr="00097A86" w:rsidRDefault="00926860" w:rsidP="002802F3">
            <w:pPr>
              <w:pStyle w:val="Definition"/>
              <w:spacing w:before="60" w:after="60"/>
              <w:ind w:left="34"/>
              <w:rPr>
                <w:b/>
                <w:i/>
              </w:rPr>
            </w:pPr>
            <w:r w:rsidRPr="00097A86">
              <w:rPr>
                <w:rFonts w:ascii="Symbol" w:hAnsi="Symbol"/>
                <w:b/>
                <w:i/>
              </w:rPr>
              <w:t></w:t>
            </w:r>
            <w:r w:rsidRPr="00097A86">
              <w:rPr>
                <w:b/>
                <w:i/>
                <w:vertAlign w:val="subscript"/>
              </w:rPr>
              <w:t xml:space="preserve">r </w:t>
            </w:r>
            <w:r w:rsidRPr="00097A86">
              <w:t>has the same meaning as in step 3.</w:t>
            </w:r>
          </w:p>
          <w:p w14:paraId="2ACFC594" w14:textId="77777777" w:rsidR="00926860" w:rsidRPr="00097A86" w:rsidRDefault="00926860" w:rsidP="002802F3">
            <w:pPr>
              <w:pStyle w:val="Definition"/>
              <w:spacing w:before="60" w:after="60"/>
              <w:ind w:left="34"/>
              <w:rPr>
                <w:b/>
                <w:i/>
                <w:iCs/>
              </w:rPr>
            </w:pPr>
            <w:r w:rsidRPr="00097A86">
              <w:rPr>
                <w:b/>
                <w:i/>
              </w:rPr>
              <w:t>CCF</w:t>
            </w:r>
            <w:r w:rsidRPr="00097A86">
              <w:rPr>
                <w:b/>
                <w:i/>
                <w:vertAlign w:val="subscript"/>
              </w:rPr>
              <w:t xml:space="preserve">r </w:t>
            </w:r>
            <w:r w:rsidRPr="00097A86">
              <w:t>has the same meaning as in step 3.</w:t>
            </w:r>
          </w:p>
          <w:p w14:paraId="7FDB85F2" w14:textId="77777777" w:rsidR="00926860" w:rsidRPr="00097A86" w:rsidRDefault="00926860" w:rsidP="002802F3">
            <w:pPr>
              <w:pStyle w:val="Definition"/>
              <w:spacing w:before="60" w:after="60"/>
              <w:ind w:left="34"/>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increase in stocks of waste by</w:t>
            </w:r>
            <w:r w:rsidR="00097A86">
              <w:rPr>
                <w:iCs/>
              </w:rPr>
              <w:noBreakHyphen/>
            </w:r>
            <w:r w:rsidRPr="00097A86">
              <w:rPr>
                <w:iCs/>
              </w:rPr>
              <w:t>products (</w:t>
            </w:r>
            <w:r w:rsidRPr="00097A86">
              <w:rPr>
                <w:b/>
                <w:i/>
                <w:iCs/>
              </w:rPr>
              <w:t>r</w:t>
            </w:r>
            <w:r w:rsidRPr="00097A86">
              <w:rPr>
                <w:iCs/>
              </w:rPr>
              <w:t xml:space="preserve">) produced by the activity and held </w:t>
            </w:r>
            <w:r w:rsidRPr="00097A86">
              <w:t xml:space="preserve">within </w:t>
            </w:r>
            <w:r w:rsidRPr="00097A86">
              <w:rPr>
                <w:b/>
                <w:i/>
                <w:iCs/>
              </w:rPr>
              <w:t>the</w:t>
            </w:r>
            <w:r w:rsidRPr="00097A86">
              <w:rPr>
                <w:iCs/>
              </w:rPr>
              <w:t xml:space="preserve"> boundary of </w:t>
            </w:r>
            <w:r w:rsidRPr="00097A86">
              <w:t xml:space="preserve">the activity </w:t>
            </w:r>
            <w:r w:rsidRPr="00097A86">
              <w:rPr>
                <w:iCs/>
              </w:rPr>
              <w:t>during the year measured in tonnes.</w:t>
            </w:r>
          </w:p>
        </w:tc>
      </w:tr>
      <w:tr w:rsidR="00926860" w:rsidRPr="00097A86" w14:paraId="01B2982E" w14:textId="77777777" w:rsidTr="00C20CC2">
        <w:trPr>
          <w:cantSplit/>
        </w:trPr>
        <w:tc>
          <w:tcPr>
            <w:tcW w:w="583" w:type="pct"/>
          </w:tcPr>
          <w:p w14:paraId="7911CEDF" w14:textId="77777777" w:rsidR="00926860" w:rsidRPr="00097A86" w:rsidRDefault="00926860" w:rsidP="00D17239">
            <w:pPr>
              <w:pStyle w:val="Tabletext"/>
              <w:rPr>
                <w:sz w:val="22"/>
                <w:szCs w:val="22"/>
              </w:rPr>
            </w:pPr>
            <w:r w:rsidRPr="00097A86">
              <w:rPr>
                <w:sz w:val="22"/>
                <w:szCs w:val="22"/>
              </w:rPr>
              <w:t>Step 5</w:t>
            </w:r>
          </w:p>
        </w:tc>
        <w:tc>
          <w:tcPr>
            <w:tcW w:w="4417" w:type="pct"/>
          </w:tcPr>
          <w:p w14:paraId="3B3A2C03" w14:textId="77777777" w:rsidR="00926860" w:rsidRPr="00097A86" w:rsidRDefault="00926860" w:rsidP="00D17239">
            <w:pPr>
              <w:pStyle w:val="Tabletext"/>
              <w:spacing w:after="120"/>
              <w:rPr>
                <w:iCs/>
                <w:sz w:val="22"/>
                <w:szCs w:val="22"/>
              </w:rPr>
            </w:pPr>
            <w:r w:rsidRPr="00097A86">
              <w:rPr>
                <w:iCs/>
                <w:sz w:val="22"/>
                <w:szCs w:val="22"/>
              </w:rPr>
              <w:t>Calculate the emissions of carbon dioxide released from the activity during the year measured in CO2</w:t>
            </w:r>
            <w:r w:rsidR="00097A86">
              <w:rPr>
                <w:iCs/>
                <w:sz w:val="22"/>
                <w:szCs w:val="22"/>
              </w:rPr>
              <w:noBreakHyphen/>
            </w:r>
            <w:r w:rsidRPr="00097A86">
              <w:rPr>
                <w:iCs/>
                <w:sz w:val="22"/>
                <w:szCs w:val="22"/>
              </w:rPr>
              <w:t>e tonnes as follows:</w:t>
            </w:r>
          </w:p>
          <w:p w14:paraId="41B73140" w14:textId="77777777" w:rsidR="00926860" w:rsidRPr="00097A86" w:rsidRDefault="00926860" w:rsidP="00D17239">
            <w:pPr>
              <w:pStyle w:val="TableP1a"/>
            </w:pPr>
            <w:r w:rsidRPr="00097A86">
              <w:tab/>
              <w:t>(a)</w:t>
            </w:r>
            <w:r w:rsidRPr="00097A86">
              <w:tab/>
              <w:t>add the amounts worked out under steps 2, 3 and 4 to work out a new amount (</w:t>
            </w:r>
            <w:r w:rsidRPr="00097A86">
              <w:rPr>
                <w:b/>
                <w:i/>
              </w:rPr>
              <w:t>amount A</w:t>
            </w:r>
            <w:r w:rsidRPr="00097A86">
              <w:t>)</w:t>
            </w:r>
          </w:p>
          <w:p w14:paraId="2BE94D00" w14:textId="77777777" w:rsidR="00926860" w:rsidRPr="00097A86" w:rsidRDefault="00926860" w:rsidP="00D17239">
            <w:pPr>
              <w:pStyle w:val="TableP1a"/>
            </w:pPr>
            <w:r w:rsidRPr="00097A86">
              <w:tab/>
              <w:t>(b)</w:t>
            </w:r>
            <w:r w:rsidRPr="00097A86">
              <w:tab/>
              <w:t>subtract amount A from the amount worked out under step 1 to work out a new amount (</w:t>
            </w:r>
            <w:r w:rsidRPr="00097A86">
              <w:rPr>
                <w:b/>
                <w:i/>
              </w:rPr>
              <w:t>amount B</w:t>
            </w:r>
            <w:r w:rsidRPr="00097A86">
              <w:t>);</w:t>
            </w:r>
          </w:p>
          <w:p w14:paraId="303BD04B" w14:textId="77777777" w:rsidR="00926860" w:rsidRPr="00097A86" w:rsidRDefault="00926860" w:rsidP="00D17239">
            <w:pPr>
              <w:pStyle w:val="TableP1a"/>
            </w:pPr>
            <w:r w:rsidRPr="00097A86">
              <w:tab/>
              <w:t>(c)</w:t>
            </w:r>
            <w:r w:rsidRPr="00097A86">
              <w:tab/>
              <w:t>multiply amount B by 3.664 to work out the amount of emissions released from the activity during a year.</w:t>
            </w:r>
          </w:p>
        </w:tc>
      </w:tr>
    </w:tbl>
    <w:p w14:paraId="3B84C267" w14:textId="77777777" w:rsidR="003F0D4E" w:rsidRPr="00097A86" w:rsidRDefault="003F0D4E" w:rsidP="00D17239">
      <w:pPr>
        <w:pStyle w:val="ActHead5"/>
      </w:pPr>
      <w:bookmarkStart w:id="193" w:name="_Toc13233635"/>
      <w:r w:rsidRPr="00097A86">
        <w:rPr>
          <w:rStyle w:val="CharSectno"/>
        </w:rPr>
        <w:lastRenderedPageBreak/>
        <w:t>2.62</w:t>
      </w:r>
      <w:r w:rsidR="00D22D3F" w:rsidRPr="00097A86">
        <w:t xml:space="preserve">  </w:t>
      </w:r>
      <w:r w:rsidRPr="00097A86">
        <w:t>Method 2</w:t>
      </w:r>
      <w:r w:rsidR="00D22D3F" w:rsidRPr="00097A86">
        <w:t>—</w:t>
      </w:r>
      <w:r w:rsidRPr="00097A86">
        <w:t>petrochemical production</w:t>
      </w:r>
      <w:bookmarkEnd w:id="193"/>
    </w:p>
    <w:p w14:paraId="6F22AAE8" w14:textId="77777777" w:rsidR="003F0D4E" w:rsidRPr="00097A86" w:rsidRDefault="003F0D4E" w:rsidP="00D17239">
      <w:pPr>
        <w:pStyle w:val="subsection"/>
      </w:pPr>
      <w:r w:rsidRPr="00097A86">
        <w:tab/>
        <w:t>(1)</w:t>
      </w:r>
      <w:r w:rsidRPr="00097A86">
        <w:tab/>
      </w:r>
      <w:r w:rsidR="00221EF0" w:rsidRPr="00097A86">
        <w:t xml:space="preserve">Subject to </w:t>
      </w:r>
      <w:r w:rsidR="00097A86">
        <w:t>subsections (</w:t>
      </w:r>
      <w:r w:rsidR="00221EF0" w:rsidRPr="00097A86">
        <w:t>2) and (3), method 2 is the same as method 1 under section</w:t>
      </w:r>
      <w:r w:rsidR="00097A86">
        <w:t> </w:t>
      </w:r>
      <w:r w:rsidR="00221EF0" w:rsidRPr="00097A86">
        <w:t xml:space="preserve">2.61 </w:t>
      </w:r>
      <w:r w:rsidRPr="00097A86">
        <w:t>but sampling and analysis of fuel types</w:t>
      </w:r>
      <w:r w:rsidRPr="00097A86">
        <w:rPr>
          <w:b/>
          <w:i/>
        </w:rPr>
        <w:t> (i)</w:t>
      </w:r>
      <w:r w:rsidRPr="00097A86">
        <w:t xml:space="preserve"> is used to determine carbon content of the fuel.</w:t>
      </w:r>
    </w:p>
    <w:p w14:paraId="20036DAF" w14:textId="77777777" w:rsidR="003F0D4E" w:rsidRPr="00097A86" w:rsidRDefault="003F0D4E" w:rsidP="00D22D3F">
      <w:pPr>
        <w:pStyle w:val="subsection"/>
      </w:pPr>
      <w:r w:rsidRPr="00097A86">
        <w:tab/>
        <w:t>(2)</w:t>
      </w:r>
      <w:r w:rsidRPr="00097A86">
        <w:tab/>
        <w:t>The sampling and analysis is to be carried out using the methods set out in Divisions</w:t>
      </w:r>
      <w:r w:rsidR="00097A86">
        <w:t> </w:t>
      </w:r>
      <w:r w:rsidRPr="00097A86">
        <w:t>2.2.3, 2.3.3 and 2.4.3 that apply to the combustion of solid, liquid or gaseous fuels.</w:t>
      </w:r>
    </w:p>
    <w:p w14:paraId="3E939F87" w14:textId="77777777" w:rsidR="00221EF0" w:rsidRPr="00097A86" w:rsidRDefault="00221EF0" w:rsidP="00926860">
      <w:pPr>
        <w:pStyle w:val="subsection"/>
        <w:spacing w:after="60"/>
      </w:pPr>
      <w:r w:rsidRPr="00097A86">
        <w:tab/>
        <w:t>(3)</w:t>
      </w:r>
      <w:r w:rsidRPr="00097A86">
        <w:tab/>
        <w:t>In applying method 1 as method 2, step 4 in section</w:t>
      </w:r>
      <w:r w:rsidR="00097A86">
        <w:t> </w:t>
      </w:r>
      <w:r w:rsidRPr="00097A86">
        <w:t>2.61 is to be omitted and the following step 4 substituted:</w:t>
      </w:r>
    </w:p>
    <w:tbl>
      <w:tblPr>
        <w:tblW w:w="5000" w:type="pct"/>
        <w:tblLook w:val="0000" w:firstRow="0" w:lastRow="0" w:firstColumn="0" w:lastColumn="0" w:noHBand="0" w:noVBand="0"/>
      </w:tblPr>
      <w:tblGrid>
        <w:gridCol w:w="969"/>
        <w:gridCol w:w="7344"/>
      </w:tblGrid>
      <w:tr w:rsidR="00926860" w:rsidRPr="00097A86" w14:paraId="49DA86CB" w14:textId="77777777" w:rsidTr="00C20CC2">
        <w:trPr>
          <w:cantSplit/>
          <w:trHeight w:val="74"/>
        </w:trPr>
        <w:tc>
          <w:tcPr>
            <w:tcW w:w="583" w:type="pct"/>
            <w:vMerge w:val="restart"/>
          </w:tcPr>
          <w:p w14:paraId="405BC66D" w14:textId="77777777" w:rsidR="00926860" w:rsidRPr="00097A86" w:rsidRDefault="00926860" w:rsidP="002802F3">
            <w:pPr>
              <w:pStyle w:val="Tabletext"/>
              <w:keepNext/>
              <w:keepLines/>
              <w:rPr>
                <w:sz w:val="22"/>
                <w:szCs w:val="22"/>
              </w:rPr>
            </w:pPr>
            <w:r w:rsidRPr="00097A86">
              <w:rPr>
                <w:sz w:val="22"/>
                <w:szCs w:val="22"/>
              </w:rPr>
              <w:t>Step 4</w:t>
            </w:r>
          </w:p>
        </w:tc>
        <w:tc>
          <w:tcPr>
            <w:tcW w:w="4417" w:type="pct"/>
          </w:tcPr>
          <w:p w14:paraId="1BD808E9" w14:textId="77777777" w:rsidR="00926860" w:rsidRPr="00097A86" w:rsidRDefault="00926860" w:rsidP="005D3415">
            <w:pPr>
              <w:pStyle w:val="Tabletext"/>
              <w:keepNext/>
              <w:keepLines/>
              <w:spacing w:after="120"/>
              <w:rPr>
                <w:iCs/>
              </w:rPr>
            </w:pPr>
            <w:r w:rsidRPr="00097A86">
              <w:rPr>
                <w:iCs/>
                <w:sz w:val="22"/>
                <w:szCs w:val="22"/>
              </w:rPr>
              <w:t>Calculate the carbon content in the amount of the increase in stocks of inputs, products and waste by</w:t>
            </w:r>
            <w:r w:rsidR="00097A86">
              <w:rPr>
                <w:iCs/>
                <w:sz w:val="22"/>
                <w:szCs w:val="22"/>
              </w:rPr>
              <w:noBreakHyphen/>
            </w:r>
            <w:r w:rsidRPr="00097A86">
              <w:rPr>
                <w:iCs/>
                <w:sz w:val="22"/>
                <w:szCs w:val="22"/>
              </w:rPr>
              <w:t>products held within the boundary of the activity during the year as follows:</w:t>
            </w:r>
          </w:p>
        </w:tc>
      </w:tr>
      <w:tr w:rsidR="00926860" w:rsidRPr="00097A86" w14:paraId="1D75E408" w14:textId="77777777" w:rsidTr="00C20CC2">
        <w:trPr>
          <w:cantSplit/>
          <w:trHeight w:val="167"/>
        </w:trPr>
        <w:tc>
          <w:tcPr>
            <w:tcW w:w="583" w:type="pct"/>
            <w:vMerge/>
          </w:tcPr>
          <w:p w14:paraId="5F7203C5" w14:textId="77777777" w:rsidR="00926860" w:rsidRPr="00097A86" w:rsidRDefault="00926860" w:rsidP="00617697">
            <w:pPr>
              <w:spacing w:before="60" w:after="60"/>
              <w:rPr>
                <w:i/>
              </w:rPr>
            </w:pPr>
          </w:p>
        </w:tc>
        <w:tc>
          <w:tcPr>
            <w:tcW w:w="4417" w:type="pct"/>
          </w:tcPr>
          <w:p w14:paraId="3407773B" w14:textId="77777777" w:rsidR="00926860" w:rsidRPr="00097A86" w:rsidRDefault="009E1F90" w:rsidP="00617697">
            <w:pPr>
              <w:pStyle w:val="Formula"/>
              <w:ind w:left="13"/>
            </w:pPr>
            <w:r>
              <w:rPr>
                <w:noProof/>
                <w:position w:val="-14"/>
              </w:rPr>
              <w:drawing>
                <wp:inline distT="0" distB="0" distL="0" distR="0" wp14:anchorId="60F3301A" wp14:editId="6C894E27">
                  <wp:extent cx="4152900" cy="238125"/>
                  <wp:effectExtent l="0" t="0" r="0" b="9525"/>
                  <wp:docPr id="19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52900" cy="238125"/>
                          </a:xfrm>
                          <a:prstGeom prst="rect">
                            <a:avLst/>
                          </a:prstGeom>
                          <a:noFill/>
                          <a:ln>
                            <a:noFill/>
                          </a:ln>
                        </pic:spPr>
                      </pic:pic>
                    </a:graphicData>
                  </a:graphic>
                </wp:inline>
              </w:drawing>
            </w:r>
          </w:p>
        </w:tc>
      </w:tr>
      <w:tr w:rsidR="00926860" w:rsidRPr="00097A86" w14:paraId="7EAE5A19" w14:textId="77777777" w:rsidTr="00C20CC2">
        <w:trPr>
          <w:cantSplit/>
          <w:trHeight w:val="1095"/>
        </w:trPr>
        <w:tc>
          <w:tcPr>
            <w:tcW w:w="583" w:type="pct"/>
          </w:tcPr>
          <w:p w14:paraId="4EB9D954" w14:textId="77777777" w:rsidR="00926860" w:rsidRPr="00097A86" w:rsidRDefault="00926860" w:rsidP="00617697">
            <w:pPr>
              <w:spacing w:before="60" w:after="60"/>
              <w:rPr>
                <w:i/>
              </w:rPr>
            </w:pPr>
          </w:p>
        </w:tc>
        <w:tc>
          <w:tcPr>
            <w:tcW w:w="4417" w:type="pct"/>
          </w:tcPr>
          <w:p w14:paraId="4AD33DDD" w14:textId="77777777" w:rsidR="00926860" w:rsidRPr="00097A86" w:rsidRDefault="00926860" w:rsidP="0068292D">
            <w:pPr>
              <w:pStyle w:val="subsection2"/>
              <w:ind w:left="34"/>
            </w:pPr>
            <w:r w:rsidRPr="00097A86">
              <w:t>where:</w:t>
            </w:r>
          </w:p>
          <w:p w14:paraId="24F912AA" w14:textId="77777777" w:rsidR="00926860" w:rsidRPr="00097A86" w:rsidRDefault="00926860" w:rsidP="002802F3">
            <w:pPr>
              <w:pStyle w:val="Definition"/>
              <w:spacing w:after="60"/>
              <w:ind w:left="34"/>
              <w:rPr>
                <w:b/>
                <w:i/>
              </w:rPr>
            </w:pPr>
            <w:r w:rsidRPr="00097A86">
              <w:rPr>
                <w:rFonts w:ascii="Symbol" w:hAnsi="Symbol"/>
                <w:b/>
                <w:i/>
              </w:rPr>
              <w:t></w:t>
            </w:r>
            <w:r w:rsidRPr="00097A86">
              <w:rPr>
                <w:b/>
                <w:i/>
                <w:vertAlign w:val="subscript"/>
              </w:rPr>
              <w:t>i</w:t>
            </w:r>
            <w:r w:rsidRPr="00097A86">
              <w:rPr>
                <w:b/>
                <w:i/>
              </w:rPr>
              <w:t xml:space="preserve"> </w:t>
            </w:r>
            <w:r w:rsidRPr="00097A86">
              <w:t>has the same meaning as in step 1.</w:t>
            </w:r>
          </w:p>
          <w:p w14:paraId="024DD343" w14:textId="77777777" w:rsidR="00926860" w:rsidRPr="00097A86" w:rsidRDefault="00926860" w:rsidP="002802F3">
            <w:pPr>
              <w:pStyle w:val="Definition"/>
              <w:spacing w:before="60" w:after="60"/>
              <w:ind w:left="34"/>
              <w:rPr>
                <w:iCs/>
              </w:rPr>
            </w:pPr>
            <w:r w:rsidRPr="00097A86">
              <w:rPr>
                <w:b/>
                <w:i/>
              </w:rPr>
              <w:t>CCF</w:t>
            </w:r>
            <w:r w:rsidRPr="00097A86">
              <w:rPr>
                <w:b/>
                <w:i/>
                <w:vertAlign w:val="subscript"/>
              </w:rPr>
              <w:t xml:space="preserve">i </w:t>
            </w:r>
            <w:r w:rsidRPr="00097A86">
              <w:t>has the same meaning as in step 1.</w:t>
            </w:r>
          </w:p>
        </w:tc>
      </w:tr>
      <w:tr w:rsidR="00926860" w:rsidRPr="00097A86" w14:paraId="1E6D26FD" w14:textId="77777777" w:rsidTr="00C20CC2">
        <w:trPr>
          <w:cantSplit/>
          <w:trHeight w:val="495"/>
        </w:trPr>
        <w:tc>
          <w:tcPr>
            <w:tcW w:w="583" w:type="pct"/>
          </w:tcPr>
          <w:p w14:paraId="01C36A19" w14:textId="77777777" w:rsidR="00926860" w:rsidRPr="00097A86" w:rsidRDefault="00926860" w:rsidP="00617697">
            <w:pPr>
              <w:spacing w:before="60" w:after="60"/>
              <w:rPr>
                <w:i/>
              </w:rPr>
            </w:pPr>
          </w:p>
        </w:tc>
        <w:tc>
          <w:tcPr>
            <w:tcW w:w="4417" w:type="pct"/>
          </w:tcPr>
          <w:p w14:paraId="40C9F29C" w14:textId="77777777" w:rsidR="00926860" w:rsidRPr="00097A86" w:rsidRDefault="00926860" w:rsidP="002802F3">
            <w:pPr>
              <w:pStyle w:val="Definition"/>
              <w:spacing w:before="60" w:after="60"/>
              <w:ind w:left="34"/>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increase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26860" w:rsidRPr="00097A86" w14:paraId="1A159D49" w14:textId="77777777" w:rsidTr="00C20CC2">
        <w:trPr>
          <w:cantSplit/>
          <w:trHeight w:val="486"/>
        </w:trPr>
        <w:tc>
          <w:tcPr>
            <w:tcW w:w="583" w:type="pct"/>
          </w:tcPr>
          <w:p w14:paraId="5C7D79FF" w14:textId="77777777" w:rsidR="00926860" w:rsidRPr="00097A86" w:rsidRDefault="00926860" w:rsidP="00617697">
            <w:pPr>
              <w:spacing w:before="60" w:after="60"/>
              <w:rPr>
                <w:i/>
              </w:rPr>
            </w:pPr>
          </w:p>
        </w:tc>
        <w:tc>
          <w:tcPr>
            <w:tcW w:w="4417" w:type="pct"/>
          </w:tcPr>
          <w:p w14:paraId="54BE0D6B" w14:textId="77777777" w:rsidR="00926860" w:rsidRPr="00097A86" w:rsidRDefault="00926860" w:rsidP="002802F3">
            <w:pPr>
              <w:pStyle w:val="Definition"/>
              <w:spacing w:before="60" w:after="60"/>
              <w:ind w:left="34"/>
              <w:rPr>
                <w:b/>
                <w:i/>
                <w:iCs/>
              </w:rPr>
            </w:pPr>
            <w:r w:rsidRPr="00097A86">
              <w:rPr>
                <w:rFonts w:ascii="Symbol" w:hAnsi="Symbol"/>
                <w:b/>
                <w:i/>
              </w:rPr>
              <w:t></w:t>
            </w:r>
            <w:r w:rsidRPr="00097A86">
              <w:rPr>
                <w:b/>
                <w:i/>
                <w:vertAlign w:val="subscript"/>
              </w:rPr>
              <w:t xml:space="preserve">p </w:t>
            </w:r>
            <w:r w:rsidRPr="00097A86">
              <w:t>has the same meaning as in step 2.</w:t>
            </w:r>
          </w:p>
        </w:tc>
      </w:tr>
      <w:tr w:rsidR="00E72BAE" w:rsidRPr="00097A86" w14:paraId="5E840A69" w14:textId="77777777" w:rsidTr="00C20CC2">
        <w:trPr>
          <w:cantSplit/>
          <w:trHeight w:val="384"/>
        </w:trPr>
        <w:tc>
          <w:tcPr>
            <w:tcW w:w="583" w:type="pct"/>
          </w:tcPr>
          <w:p w14:paraId="4A3FC413" w14:textId="77777777" w:rsidR="00E72BAE" w:rsidRPr="00097A86" w:rsidRDefault="00E72BAE" w:rsidP="00617697">
            <w:pPr>
              <w:spacing w:before="60" w:after="60"/>
              <w:rPr>
                <w:i/>
              </w:rPr>
            </w:pPr>
          </w:p>
        </w:tc>
        <w:tc>
          <w:tcPr>
            <w:tcW w:w="4417" w:type="pct"/>
          </w:tcPr>
          <w:p w14:paraId="0B51DC7B" w14:textId="77777777" w:rsidR="00E72BAE" w:rsidRPr="00097A86" w:rsidRDefault="00E72BAE" w:rsidP="002802F3">
            <w:pPr>
              <w:pStyle w:val="Definition"/>
              <w:spacing w:before="60" w:after="60"/>
              <w:ind w:left="34"/>
              <w:rPr>
                <w:rFonts w:ascii="Symbol" w:hAnsi="Symbol"/>
                <w:b/>
                <w:i/>
              </w:rPr>
            </w:pPr>
            <w:r w:rsidRPr="00097A86">
              <w:rPr>
                <w:b/>
                <w:i/>
              </w:rPr>
              <w:t>CCF</w:t>
            </w:r>
            <w:r w:rsidRPr="00097A86">
              <w:rPr>
                <w:b/>
                <w:i/>
                <w:vertAlign w:val="subscript"/>
              </w:rPr>
              <w:t xml:space="preserve">p </w:t>
            </w:r>
            <w:r w:rsidRPr="00097A86">
              <w:t>has the same meaning as in step 2.</w:t>
            </w:r>
          </w:p>
        </w:tc>
      </w:tr>
      <w:tr w:rsidR="00E72BAE" w:rsidRPr="00097A86" w14:paraId="4CB4E043" w14:textId="77777777" w:rsidTr="00C20CC2">
        <w:trPr>
          <w:cantSplit/>
          <w:trHeight w:val="825"/>
        </w:trPr>
        <w:tc>
          <w:tcPr>
            <w:tcW w:w="583" w:type="pct"/>
          </w:tcPr>
          <w:p w14:paraId="0A905309" w14:textId="77777777" w:rsidR="00E72BAE" w:rsidRPr="00097A86" w:rsidRDefault="00E72BAE" w:rsidP="00E72BAE">
            <w:pPr>
              <w:keepNext/>
              <w:keepLines/>
              <w:spacing w:before="60" w:after="60"/>
              <w:rPr>
                <w:i/>
              </w:rPr>
            </w:pPr>
          </w:p>
        </w:tc>
        <w:tc>
          <w:tcPr>
            <w:tcW w:w="4417" w:type="pct"/>
          </w:tcPr>
          <w:p w14:paraId="5DCE4188" w14:textId="77777777" w:rsidR="00E72BAE" w:rsidRPr="00097A86" w:rsidRDefault="00E72BAE" w:rsidP="002802F3">
            <w:pPr>
              <w:pStyle w:val="Definition"/>
              <w:spacing w:before="60" w:after="60"/>
              <w:ind w:left="34"/>
              <w:rPr>
                <w:b/>
                <w:i/>
              </w:rPr>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increase in stocks of </w:t>
            </w:r>
            <w:r w:rsidRPr="00097A86">
              <w:rPr>
                <w:iCs/>
              </w:rPr>
              <w:t>products produced (</w:t>
            </w:r>
            <w:r w:rsidRPr="00097A86">
              <w:rPr>
                <w:b/>
                <w:i/>
                <w:iCs/>
              </w:rPr>
              <w:t>p</w:t>
            </w:r>
            <w:r w:rsidRPr="00097A86">
              <w:rPr>
                <w:iCs/>
              </w:rPr>
              <w:t xml:space="preserve">) by the activity and held </w:t>
            </w:r>
            <w:r w:rsidRPr="00097A86">
              <w:t xml:space="preserve">within </w:t>
            </w:r>
            <w:r w:rsidRPr="00097A86">
              <w:rPr>
                <w:iCs/>
              </w:rPr>
              <w:t xml:space="preserve">the </w:t>
            </w:r>
            <w:r w:rsidRPr="00097A86">
              <w:rPr>
                <w:b/>
                <w:i/>
              </w:rPr>
              <w:t>boundary</w:t>
            </w:r>
            <w:r w:rsidRPr="00097A86">
              <w:rPr>
                <w:iCs/>
              </w:rPr>
              <w:t xml:space="preserve"> of </w:t>
            </w:r>
            <w:r w:rsidRPr="00097A86">
              <w:t xml:space="preserve">the activity </w:t>
            </w:r>
            <w:r w:rsidRPr="00097A86">
              <w:rPr>
                <w:iCs/>
              </w:rPr>
              <w:t>during the year measured in tonnes.</w:t>
            </w:r>
          </w:p>
        </w:tc>
      </w:tr>
      <w:tr w:rsidR="00926860" w:rsidRPr="00097A86" w14:paraId="5794379D" w14:textId="77777777" w:rsidTr="00C20CC2">
        <w:trPr>
          <w:cantSplit/>
          <w:trHeight w:val="968"/>
        </w:trPr>
        <w:tc>
          <w:tcPr>
            <w:tcW w:w="583" w:type="pct"/>
          </w:tcPr>
          <w:p w14:paraId="520C4CB8" w14:textId="77777777" w:rsidR="00926860" w:rsidRPr="00097A86" w:rsidRDefault="00926860" w:rsidP="00617697">
            <w:pPr>
              <w:spacing w:before="60" w:after="60"/>
              <w:rPr>
                <w:i/>
              </w:rPr>
            </w:pPr>
          </w:p>
        </w:tc>
        <w:tc>
          <w:tcPr>
            <w:tcW w:w="4417" w:type="pct"/>
          </w:tcPr>
          <w:p w14:paraId="3CE81BA4" w14:textId="77777777" w:rsidR="00926860" w:rsidRPr="00097A86" w:rsidRDefault="00926860" w:rsidP="002802F3">
            <w:pPr>
              <w:pStyle w:val="Definition"/>
              <w:spacing w:before="60" w:after="60"/>
              <w:ind w:left="34"/>
              <w:rPr>
                <w:b/>
                <w:i/>
              </w:rPr>
            </w:pPr>
            <w:r w:rsidRPr="00097A86">
              <w:rPr>
                <w:rFonts w:ascii="Symbol" w:hAnsi="Symbol"/>
                <w:b/>
                <w:i/>
              </w:rPr>
              <w:t></w:t>
            </w:r>
            <w:r w:rsidRPr="00097A86">
              <w:rPr>
                <w:b/>
                <w:i/>
                <w:vertAlign w:val="subscript"/>
              </w:rPr>
              <w:t xml:space="preserve">r </w:t>
            </w:r>
            <w:r w:rsidRPr="00097A86">
              <w:t>has the same meaning as in step 3.</w:t>
            </w:r>
          </w:p>
          <w:p w14:paraId="2F793287" w14:textId="77777777" w:rsidR="00926860" w:rsidRPr="00097A86" w:rsidRDefault="00926860" w:rsidP="002802F3">
            <w:pPr>
              <w:pStyle w:val="Definition"/>
              <w:spacing w:before="60" w:after="60"/>
              <w:ind w:left="34"/>
            </w:pPr>
            <w:r w:rsidRPr="00097A86">
              <w:rPr>
                <w:b/>
                <w:i/>
              </w:rPr>
              <w:t>CCF</w:t>
            </w:r>
            <w:r w:rsidRPr="00097A86">
              <w:rPr>
                <w:b/>
                <w:i/>
                <w:vertAlign w:val="subscript"/>
              </w:rPr>
              <w:t xml:space="preserve">r </w:t>
            </w:r>
            <w:r w:rsidRPr="00097A86">
              <w:t>has the same meaning as in step 3.</w:t>
            </w:r>
            <w:r w:rsidRPr="00097A86">
              <w:rPr>
                <w:b/>
                <w:i/>
                <w:iCs/>
              </w:rPr>
              <w:t>ΔS</w:t>
            </w:r>
            <w:r w:rsidRPr="00097A86">
              <w:rPr>
                <w:b/>
                <w:i/>
                <w:iCs/>
                <w:szCs w:val="18"/>
                <w:vertAlign w:val="subscript"/>
              </w:rPr>
              <w:t>y</w:t>
            </w:r>
            <w:r w:rsidRPr="00097A86">
              <w:rPr>
                <w:b/>
                <w:i/>
                <w:iCs/>
                <w:vertAlign w:val="subscript"/>
              </w:rPr>
              <w:t>r</w:t>
            </w:r>
            <w:r w:rsidRPr="00097A86">
              <w:rPr>
                <w:iCs/>
              </w:rPr>
              <w:t xml:space="preserve"> is the increase in stocks of waste by</w:t>
            </w:r>
            <w:r w:rsidR="00097A86">
              <w:rPr>
                <w:b/>
                <w:iCs/>
              </w:rPr>
              <w:noBreakHyphen/>
            </w:r>
            <w:r w:rsidRPr="00097A86">
              <w:rPr>
                <w:iCs/>
              </w:rPr>
              <w:t>products (</w:t>
            </w:r>
            <w:r w:rsidRPr="00097A86">
              <w:rPr>
                <w:b/>
                <w:i/>
                <w:iCs/>
              </w:rPr>
              <w:t>r</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E72BAE" w:rsidRPr="00097A86" w14:paraId="098EA259" w14:textId="77777777" w:rsidTr="00C20CC2">
        <w:trPr>
          <w:cantSplit/>
        </w:trPr>
        <w:tc>
          <w:tcPr>
            <w:tcW w:w="583" w:type="pct"/>
          </w:tcPr>
          <w:p w14:paraId="6C266251" w14:textId="77777777" w:rsidR="00E72BAE" w:rsidRPr="00097A86" w:rsidRDefault="00E72BAE" w:rsidP="00A24F5F">
            <w:pPr>
              <w:spacing w:before="60" w:after="60"/>
              <w:rPr>
                <w:i/>
              </w:rPr>
            </w:pPr>
          </w:p>
        </w:tc>
        <w:tc>
          <w:tcPr>
            <w:tcW w:w="4417" w:type="pct"/>
          </w:tcPr>
          <w:p w14:paraId="1796A6ED" w14:textId="77777777" w:rsidR="00E72BAE" w:rsidRPr="00097A86" w:rsidRDefault="00E72BAE" w:rsidP="00C4455B">
            <w:pPr>
              <w:pStyle w:val="TableText0"/>
              <w:ind w:left="13"/>
              <w:rPr>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6A881FE8" wp14:editId="033CFD4C">
                      <wp:extent cx="232410" cy="283845"/>
                      <wp:effectExtent l="0" t="0" r="0" b="1905"/>
                      <wp:docPr id="3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971E" w14:textId="77777777" w:rsidR="00497E3C" w:rsidRDefault="00497E3C" w:rsidP="00E72BAE">
                                    <w:r w:rsidRPr="000A5860">
                                      <w:rPr>
                                        <w:color w:val="000000"/>
                                        <w:position w:val="-12"/>
                                        <w:sz w:val="16"/>
                                        <w:szCs w:val="16"/>
                                        <w:lang w:val="en-US"/>
                                      </w:rPr>
                                      <w:t>1</w:t>
                                    </w:r>
                                  </w:p>
                                </w:txbxContent>
                              </wps:txbx>
                              <wps:bodyPr rot="0" vert="horz" wrap="none" lIns="0" tIns="0" rIns="0" bIns="0" anchor="t" anchorCtr="0" upright="1">
                                <a:noAutofit/>
                              </wps:bodyPr>
                            </wps:wsp>
                            <wps:wsp>
                              <wps:cNvPr id="13" name="Line 5"/>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6"/>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755D" w14:textId="77777777" w:rsidR="00497E3C" w:rsidRPr="000A5860" w:rsidRDefault="00497E3C" w:rsidP="00E72BAE">
                                    <w:pPr>
                                      <w:spacing w:line="276" w:lineRule="auto"/>
                                      <w:rPr>
                                        <w:position w:val="-12"/>
                                        <w:sz w:val="16"/>
                                        <w:szCs w:val="16"/>
                                      </w:rPr>
                                    </w:pPr>
                                    <w:r w:rsidRPr="000A5860">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6A881FE8" id="_x0000_s1031" editas="canvas" style="width:18.3pt;height:22.35pt;mso-position-horizontal-relative:char;mso-position-vertical-relative:line" coordsize="23241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KfQMAAL8MAAAOAAAAZHJzL2Uyb0RvYy54bWzsV1tvmzAUfp+0/2D5nYKBkIBKpy5ppknd&#10;Vu3yAxwwwRrYyHZDumn/fccGmrRTte6qPYwHcvDl+Fy+7xzn9Nm+bdCOKc2lyDE5CTBiopAlF9sc&#10;f3i/9hYYaUNFSRspWI5vmMbPzp4+Oe27jIWylk3JFAIlQmd9l+PamC7zfV3UrKX6RHZMwGQlVUsN&#10;fKqtXyrag/a28cMgSPxeqrJTsmBaw+hqmMRnTn9VscK8qSrNDGpyDLYZ91buvbFv/+yUZltFu5oX&#10;oxn0J6xoKRdw6K2qFTUUXSv+jaqWF0pqWZmTQra+rCpeMOcDeEOCe94sqdhR7ZwpIDqTgSD9Rr2b&#10;rbVbyDVvGoiGD9ozO2Z/e8gPg8G+g+zo7jZP+tfOf1fTjjm3dFa83l0pxMscJxgJ2gJG3kLWqNg2&#10;DMU2P/ZwWPWuu1LWUt1dyuKjRkIua1jFzpWSfc1oCUYRux48ONpgPzRsRZv+lSxBO7020qVqX6nW&#10;KoQkoH2OF9EiBITcgJaAJCMy2N6gAiZnJI5mGBV2liSL2E37NJt0dEqbF0y2yAo5VuCBO4PuLrWx&#10;NtFsWnIn2jRrxJ0BWDiMwMmw1c5ZGxyUPqdBerG4WMReHCYXXhysVt75ehl7yZrMZ6totVyuyBd7&#10;LomzmpclEzapE6xJ/LisjQQbAHkLbC0bXlp11iSttptlo9COAq3W7nGRh5nDMv+uGS4I4Ms9l0gY&#10;B8/D1Fsni7kXr+OZl86DhReQ9HmaBHEar9Z3Xbrkgv26S6jPcToLZy5LR0bf8y1wz7e+0azlBgpX&#10;w1tAzu0imlkgXogSUk4zQ3kzyEehsOYfQgHpnhLtYGuROiDe7Dd7R4tw4sBGljeAYyUBYABUKLog&#10;1FJ9wqiHApZjARUWo+alACbYWjcJahI2k0BFARtzbDAaxKUZauJ1p/i2Br3EBUbIc2BLxR2ELZMG&#10;G0aOQUX4S6WBRFNtcNmfTSGBsrAUV2osEo+iOYkAXwPNozRInKqBY5bnYTAjwUj0BBg/UPcBljeQ&#10;Shemx7DcAo4EPw03Ja9HVD2EsH+0bhway0Pl4GEODGizObDY+3twi8gEt0MrSo4w96db0YjPJIkA&#10;qq6U2B7g8Bmm4aERzeP5dyD6vxFBvzqqvkMDGxD3vxH9WCOKJgb8m43IXVzh0uqa63ijt9fw429X&#10;SQ7/O86+AgAA//8DAFBLAwQUAAYACAAAACEAuHyKGNwAAAADAQAADwAAAGRycy9kb3ducmV2Lnht&#10;bEyPwUrDQBCG74LvsIzgpdhdbYkasylFEDxosVWwx2l2TILZ2ZDdtvHtHb3oZWD4f775pliMvlMH&#10;GmIb2MLl1IAiroJrubbw9vpwcQMqJmSHXWCy8EURFuXpSYG5C0de02GTaiUQjjlaaFLqc61j1ZDH&#10;OA09sWQfYfCYZB1q7QY8Ctx3+sqYTHtsWS402NN9Q9XnZu+FcjtZTlbv/Pi8Gp+qbL01s+2Lsfb8&#10;bFzegUo0pr8y/OiLOpTitAt7dlF1FuSR9Dslm2UZqJ2F+fwadFno/+7lNwAAAP//AwBQSwECLQAU&#10;AAYACAAAACEAtoM4kv4AAADhAQAAEwAAAAAAAAAAAAAAAAAAAAAAW0NvbnRlbnRfVHlwZXNdLnht&#10;bFBLAQItABQABgAIAAAAIQA4/SH/1gAAAJQBAAALAAAAAAAAAAAAAAAAAC8BAABfcmVscy8ucmVs&#10;c1BLAQItABQABgAIAAAAIQCa/6aKfQMAAL8MAAAOAAAAAAAAAAAAAAAAAC4CAABkcnMvZTJvRG9j&#10;LnhtbFBLAQItABQABgAIAAAAIQC4fIoY3AAAAAMBAAAPAAAAAAAAAAAAAAAAANcFAABkcnMvZG93&#10;bnJldi54bWxQSwUGAAAAAAQABADzAAAA4AYAAAAA&#10;">
                      <v:shape id="_x0000_s1032" type="#_x0000_t75" style="position:absolute;width:232410;height:283845;visibility:visible;mso-wrap-style:square">
                        <v:fill o:detectmouseclick="t"/>
                        <v:path o:connecttype="none"/>
                      </v:shape>
                      <v:rect id="Rectangle 4" o:spid="_x0000_s1033"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cIA&#10;AADaAAAADwAAAGRycy9kb3ducmV2LnhtbESP0WoCMRRE3wX/IVyhb5pdKUvdGkWFohR80PYDLpvb&#10;zermZk1SXf++EYQ+DjNzhpkve9uKK/nQOFaQTzIQxJXTDdcKvr8+xm8gQkTW2DomBXcKsFwMB3Ms&#10;tbvxga7HWIsE4VCiAhNjV0oZKkMWw8R1xMn7cd5iTNLXUnu8Jbht5TTLCmmx4bRgsKONoep8/LUK&#10;aL09zE6rYPbS5yHffxaz1+1FqZdRv3oHEamP/+Fne6cVF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5twgAAANoAAAAPAAAAAAAAAAAAAAAAAJgCAABkcnMvZG93&#10;bnJldi54bWxQSwUGAAAAAAQABAD1AAAAhwMAAAAA&#10;" filled="f" stroked="f">
                        <v:textbox inset="0,0,0,0">
                          <w:txbxContent>
                            <w:p w14:paraId="30B8971E" w14:textId="77777777" w:rsidR="00497E3C" w:rsidRDefault="00497E3C" w:rsidP="00E72BAE">
                              <w:r w:rsidRPr="000A5860">
                                <w:rPr>
                                  <w:color w:val="000000"/>
                                  <w:position w:val="-12"/>
                                  <w:sz w:val="16"/>
                                  <w:szCs w:val="16"/>
                                  <w:lang w:val="en-US"/>
                                </w:rPr>
                                <w:t>1</w:t>
                              </w:r>
                            </w:p>
                          </w:txbxContent>
                        </v:textbox>
                      </v:rect>
                      <v:line id="Line 5" o:spid="_x0000_s1034"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9/8EAAADbAAAADwAAAGRycy9kb3ducmV2LnhtbERPTWvCQBC9F/wPywje6sYKrURXEVFM&#10;jya5eBuzYxLMzobdrab++m6h0Ns83uesNoPpxJ2cby0rmE0TEMSV1S3XCsri8LoA4QOyxs4yKfgm&#10;D5v16GWFqbYPPtE9D7WIIexTVNCE0KdS+qohg35qe+LIXa0zGCJ0tdQOHzHcdPItSd6lwZZjQ4M9&#10;7RqqbvmXUfDMin15zo6nS/k8F5829+7julBqMh62SxCBhvAv/nNnOs6fw+8v8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uX3/wQAAANsAAAAPAAAAAAAAAAAAAAAA&#10;AKECAABkcnMvZG93bnJldi54bWxQSwUGAAAAAAQABAD5AAAAjwMAAAAA&#10;" strokeweight="28e-5mm"/>
                      <v:rect id="Rectangle 6" o:spid="_x0000_s1035"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14:paraId="3149755D" w14:textId="77777777" w:rsidR="00497E3C" w:rsidRPr="000A5860" w:rsidRDefault="00497E3C" w:rsidP="00E72BAE">
                              <w:pPr>
                                <w:spacing w:line="276" w:lineRule="auto"/>
                                <w:rPr>
                                  <w:position w:val="-12"/>
                                  <w:sz w:val="16"/>
                                  <w:szCs w:val="16"/>
                                </w:rPr>
                              </w:pPr>
                              <w:r w:rsidRPr="000A5860">
                                <w:rPr>
                                  <w:color w:val="000000"/>
                                  <w:position w:val="-12"/>
                                  <w:sz w:val="16"/>
                                  <w:szCs w:val="16"/>
                                  <w:lang w:val="en-US"/>
                                </w:rPr>
                                <w:t>3.664</w:t>
                              </w:r>
                            </w:p>
                          </w:txbxContent>
                        </v:textbox>
                      </v:rect>
                      <w10:anchorlock/>
                    </v:group>
                  </w:pict>
                </mc:Fallback>
              </mc:AlternateContent>
            </w:r>
            <w:r w:rsidRPr="00097A86">
              <w:t xml:space="preserve"> for converting the mass of carbon dioxide to a mass of carbon.</w:t>
            </w:r>
          </w:p>
        </w:tc>
      </w:tr>
      <w:tr w:rsidR="00926860" w:rsidRPr="00097A86" w14:paraId="7A908E67" w14:textId="77777777" w:rsidTr="00C20CC2">
        <w:trPr>
          <w:cantSplit/>
        </w:trPr>
        <w:tc>
          <w:tcPr>
            <w:tcW w:w="583" w:type="pct"/>
          </w:tcPr>
          <w:p w14:paraId="3FF6F86A" w14:textId="77777777" w:rsidR="00926860" w:rsidRPr="00097A86" w:rsidRDefault="00926860" w:rsidP="00617697">
            <w:pPr>
              <w:spacing w:before="60" w:after="60"/>
              <w:rPr>
                <w:i/>
              </w:rPr>
            </w:pPr>
          </w:p>
        </w:tc>
        <w:tc>
          <w:tcPr>
            <w:tcW w:w="4417" w:type="pct"/>
          </w:tcPr>
          <w:p w14:paraId="00A4CA50" w14:textId="77777777" w:rsidR="00926860" w:rsidRPr="00097A86" w:rsidRDefault="00926860" w:rsidP="002802F3">
            <w:pPr>
              <w:pStyle w:val="Definition"/>
              <w:spacing w:before="60" w:after="60"/>
              <w:ind w:left="34"/>
            </w:pPr>
            <w:r w:rsidRPr="00097A86">
              <w:rPr>
                <w:b/>
                <w:i/>
              </w:rPr>
              <w:t>γ</w:t>
            </w:r>
            <w:r w:rsidRPr="00097A86">
              <w:t xml:space="preserve"> is the factor 1.861 x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4CF1FD55" w14:textId="77777777" w:rsidR="00926860" w:rsidRPr="00097A86" w:rsidRDefault="00926860" w:rsidP="002802F3">
            <w:pPr>
              <w:pStyle w:val="Definition"/>
              <w:spacing w:before="60" w:after="60"/>
              <w:ind w:left="34"/>
            </w:pPr>
            <w:r w:rsidRPr="00097A86">
              <w:rPr>
                <w:b/>
                <w:i/>
              </w:rPr>
              <w:t>RCCS</w:t>
            </w:r>
            <w:r w:rsidRPr="00097A86">
              <w:rPr>
                <w:b/>
                <w:i/>
                <w:vertAlign w:val="subscript"/>
              </w:rPr>
              <w:t>CO</w:t>
            </w:r>
            <w:r w:rsidRPr="00097A86">
              <w:rPr>
                <w:b/>
                <w:i/>
                <w:position w:val="-4"/>
                <w:sz w:val="24"/>
                <w:vertAlign w:val="subscript"/>
              </w:rPr>
              <w:t>2</w:t>
            </w:r>
            <w:r w:rsidRPr="00097A86">
              <w:rPr>
                <w:b/>
                <w:i/>
                <w:vertAlign w:val="subscript"/>
              </w:rPr>
              <w:t xml:space="preserve"> </w:t>
            </w:r>
            <w:r w:rsidRPr="00097A86">
              <w:t xml:space="preserve">is carbon dioxide captured for permanent </w:t>
            </w:r>
            <w:r w:rsidRPr="00097A86">
              <w:rPr>
                <w:b/>
                <w:i/>
              </w:rPr>
              <w:t>storage</w:t>
            </w:r>
            <w:r w:rsidRPr="00097A86">
              <w:t xml:space="preserve"> measured in cubic metres in accordance with Division</w:t>
            </w:r>
            <w:r w:rsidR="00097A86">
              <w:t> </w:t>
            </w:r>
            <w:r w:rsidRPr="00097A86">
              <w:t>1.2.3.</w:t>
            </w:r>
          </w:p>
        </w:tc>
      </w:tr>
    </w:tbl>
    <w:p w14:paraId="16B3F9A2" w14:textId="77777777" w:rsidR="003F0D4E" w:rsidRPr="00097A86" w:rsidRDefault="003F0D4E" w:rsidP="00D22D3F">
      <w:pPr>
        <w:pStyle w:val="ActHead5"/>
      </w:pPr>
      <w:bookmarkStart w:id="194" w:name="_Toc13233636"/>
      <w:r w:rsidRPr="00097A86">
        <w:rPr>
          <w:rStyle w:val="CharSectno"/>
        </w:rPr>
        <w:lastRenderedPageBreak/>
        <w:t>2.63</w:t>
      </w:r>
      <w:r w:rsidR="00D22D3F" w:rsidRPr="00097A86">
        <w:t xml:space="preserve">  </w:t>
      </w:r>
      <w:r w:rsidRPr="00097A86">
        <w:t>Method 3</w:t>
      </w:r>
      <w:r w:rsidR="00D22D3F" w:rsidRPr="00097A86">
        <w:t>—</w:t>
      </w:r>
      <w:r w:rsidRPr="00097A86">
        <w:t>petrochemical production</w:t>
      </w:r>
      <w:bookmarkEnd w:id="194"/>
    </w:p>
    <w:p w14:paraId="117C8B34" w14:textId="77777777" w:rsidR="003F0D4E" w:rsidRPr="00097A86" w:rsidRDefault="003F0D4E" w:rsidP="00D22D3F">
      <w:pPr>
        <w:pStyle w:val="subsection"/>
      </w:pPr>
      <w:r w:rsidRPr="00097A86">
        <w:tab/>
        <w:t>(1)</w:t>
      </w:r>
      <w:r w:rsidRPr="00097A86">
        <w:tab/>
      </w:r>
      <w:r w:rsidR="00221EF0" w:rsidRPr="00097A86">
        <w:t xml:space="preserve">Subject to </w:t>
      </w:r>
      <w:r w:rsidR="00097A86">
        <w:t>subsections (</w:t>
      </w:r>
      <w:r w:rsidR="00221EF0" w:rsidRPr="00097A86">
        <w:t>2) and (3), method 3 is the same as method 1 in section</w:t>
      </w:r>
      <w:r w:rsidR="00097A86">
        <w:t> </w:t>
      </w:r>
      <w:r w:rsidR="00221EF0" w:rsidRPr="00097A86">
        <w:t xml:space="preserve">2.61 </w:t>
      </w:r>
      <w:r w:rsidRPr="00097A86">
        <w:t>but the sampling and analysis of fuel types</w:t>
      </w:r>
      <w:r w:rsidRPr="00097A86">
        <w:rPr>
          <w:b/>
          <w:i/>
        </w:rPr>
        <w:t xml:space="preserve"> (i)</w:t>
      </w:r>
      <w:r w:rsidRPr="00097A86">
        <w:t xml:space="preserve"> is used to determine carbon content of the fuel.</w:t>
      </w:r>
    </w:p>
    <w:p w14:paraId="71F50B13" w14:textId="77777777" w:rsidR="003F0D4E" w:rsidRPr="00097A86" w:rsidRDefault="003F0D4E" w:rsidP="00D22D3F">
      <w:pPr>
        <w:pStyle w:val="subsection"/>
      </w:pPr>
      <w:r w:rsidRPr="00097A86">
        <w:tab/>
        <w:t>(2)</w:t>
      </w:r>
      <w:r w:rsidRPr="00097A86">
        <w:tab/>
        <w:t>The sampling and analysis is to be carried out using the methods set out in Divisions</w:t>
      </w:r>
      <w:r w:rsidR="00097A86">
        <w:t> </w:t>
      </w:r>
      <w:r w:rsidRPr="00097A86">
        <w:t>2.2.4, 2.3.4 and 2.4.4 that apply to the combustion of solid, liquid or gaseous fuels.</w:t>
      </w:r>
    </w:p>
    <w:p w14:paraId="60B6D927" w14:textId="77777777" w:rsidR="00221EF0" w:rsidRPr="00097A86" w:rsidRDefault="00221EF0" w:rsidP="00D22D3F">
      <w:pPr>
        <w:pStyle w:val="subsection"/>
      </w:pPr>
      <w:r w:rsidRPr="00097A86">
        <w:tab/>
        <w:t>(3)</w:t>
      </w:r>
      <w:r w:rsidRPr="00097A86">
        <w:tab/>
        <w:t>In applying method 1 as method 3, step 4 in section</w:t>
      </w:r>
      <w:r w:rsidR="00097A86">
        <w:t> </w:t>
      </w:r>
      <w:r w:rsidRPr="00097A86">
        <w:t>2.61 is to be omitted and the following step 4 substituted.</w:t>
      </w:r>
    </w:p>
    <w:tbl>
      <w:tblPr>
        <w:tblW w:w="5000" w:type="pct"/>
        <w:tblLook w:val="0000" w:firstRow="0" w:lastRow="0" w:firstColumn="0" w:lastColumn="0" w:noHBand="0" w:noVBand="0"/>
      </w:tblPr>
      <w:tblGrid>
        <w:gridCol w:w="969"/>
        <w:gridCol w:w="7344"/>
      </w:tblGrid>
      <w:tr w:rsidR="00BA13B0" w:rsidRPr="00097A86" w14:paraId="114858DC" w14:textId="77777777" w:rsidTr="00C20CC2">
        <w:trPr>
          <w:cantSplit/>
        </w:trPr>
        <w:tc>
          <w:tcPr>
            <w:tcW w:w="583" w:type="pct"/>
            <w:vMerge w:val="restart"/>
          </w:tcPr>
          <w:p w14:paraId="61B593BE" w14:textId="77777777" w:rsidR="00BA13B0" w:rsidRPr="00097A86" w:rsidRDefault="00BA13B0" w:rsidP="0068292D">
            <w:pPr>
              <w:pStyle w:val="Tabletext"/>
              <w:keepNext/>
              <w:keepLines/>
            </w:pPr>
            <w:r w:rsidRPr="00097A86">
              <w:rPr>
                <w:sz w:val="22"/>
                <w:szCs w:val="22"/>
              </w:rPr>
              <w:t>Step 4</w:t>
            </w:r>
          </w:p>
        </w:tc>
        <w:tc>
          <w:tcPr>
            <w:tcW w:w="4417" w:type="pct"/>
          </w:tcPr>
          <w:p w14:paraId="0DF1D36B" w14:textId="77777777" w:rsidR="00BA13B0" w:rsidRPr="00097A86" w:rsidRDefault="00BA13B0" w:rsidP="0068292D">
            <w:pPr>
              <w:pStyle w:val="Tabletext"/>
              <w:keepNext/>
              <w:keepLines/>
              <w:spacing w:after="120"/>
              <w:rPr>
                <w:iCs/>
                <w:sz w:val="22"/>
                <w:szCs w:val="22"/>
              </w:rPr>
            </w:pPr>
            <w:r w:rsidRPr="00097A86">
              <w:rPr>
                <w:iCs/>
                <w:sz w:val="22"/>
                <w:szCs w:val="22"/>
              </w:rPr>
              <w:t>Calculate the carbon content in the amount of the increase in stocks of inputs, products and waste by</w:t>
            </w:r>
            <w:r w:rsidR="00097A86">
              <w:rPr>
                <w:iCs/>
                <w:sz w:val="22"/>
                <w:szCs w:val="22"/>
              </w:rPr>
              <w:noBreakHyphen/>
            </w:r>
            <w:r w:rsidRPr="00097A86">
              <w:rPr>
                <w:iCs/>
                <w:sz w:val="22"/>
                <w:szCs w:val="22"/>
              </w:rPr>
              <w:t>products held within the boundary of the activity during the year as follows:</w:t>
            </w:r>
          </w:p>
        </w:tc>
      </w:tr>
      <w:tr w:rsidR="00BA13B0" w:rsidRPr="00097A86" w14:paraId="2C1071B3" w14:textId="77777777" w:rsidTr="00C20CC2">
        <w:trPr>
          <w:cantSplit/>
          <w:trHeight w:val="74"/>
        </w:trPr>
        <w:tc>
          <w:tcPr>
            <w:tcW w:w="583" w:type="pct"/>
            <w:vMerge/>
          </w:tcPr>
          <w:p w14:paraId="1F85B11D" w14:textId="77777777" w:rsidR="00BA13B0" w:rsidRPr="00097A86" w:rsidRDefault="00BA13B0" w:rsidP="002A4D1D">
            <w:pPr>
              <w:spacing w:before="60" w:after="60"/>
              <w:rPr>
                <w:i/>
              </w:rPr>
            </w:pPr>
          </w:p>
        </w:tc>
        <w:tc>
          <w:tcPr>
            <w:tcW w:w="4417" w:type="pct"/>
          </w:tcPr>
          <w:p w14:paraId="66E85A0F" w14:textId="77777777" w:rsidR="00BA13B0" w:rsidRPr="00097A86" w:rsidRDefault="009E1F90" w:rsidP="00BA13B0">
            <w:pPr>
              <w:pStyle w:val="Formula"/>
              <w:ind w:left="13"/>
              <w:rPr>
                <w:position w:val="-14"/>
              </w:rPr>
            </w:pPr>
            <w:r>
              <w:rPr>
                <w:noProof/>
                <w:position w:val="-14"/>
              </w:rPr>
              <w:drawing>
                <wp:inline distT="0" distB="0" distL="0" distR="0" wp14:anchorId="55CE034E" wp14:editId="5B61B81B">
                  <wp:extent cx="4095750" cy="238125"/>
                  <wp:effectExtent l="0" t="0" r="0" b="9525"/>
                  <wp:docPr id="19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a:ln>
                            <a:noFill/>
                          </a:ln>
                        </pic:spPr>
                      </pic:pic>
                    </a:graphicData>
                  </a:graphic>
                </wp:inline>
              </w:drawing>
            </w:r>
          </w:p>
          <w:p w14:paraId="7AD3D7F3" w14:textId="77777777" w:rsidR="00BA13B0" w:rsidRPr="00097A86" w:rsidRDefault="00BA13B0" w:rsidP="00BA13B0">
            <w:pPr>
              <w:pStyle w:val="Formula"/>
              <w:ind w:left="13"/>
              <w:rPr>
                <w:position w:val="-14"/>
              </w:rPr>
            </w:pPr>
          </w:p>
        </w:tc>
      </w:tr>
      <w:tr w:rsidR="00BA13B0" w:rsidRPr="00097A86" w14:paraId="5AAB9206" w14:textId="77777777" w:rsidTr="00C20CC2">
        <w:trPr>
          <w:cantSplit/>
        </w:trPr>
        <w:tc>
          <w:tcPr>
            <w:tcW w:w="583" w:type="pct"/>
            <w:vMerge/>
          </w:tcPr>
          <w:p w14:paraId="0DE6B393" w14:textId="77777777" w:rsidR="00BA13B0" w:rsidRPr="00097A86" w:rsidRDefault="00BA13B0" w:rsidP="002A4D1D">
            <w:pPr>
              <w:spacing w:before="60" w:after="60"/>
              <w:rPr>
                <w:i/>
              </w:rPr>
            </w:pPr>
          </w:p>
        </w:tc>
        <w:tc>
          <w:tcPr>
            <w:tcW w:w="4417" w:type="pct"/>
          </w:tcPr>
          <w:p w14:paraId="6683D62E" w14:textId="77777777" w:rsidR="00BA13B0" w:rsidRPr="00097A86" w:rsidRDefault="00BA13B0" w:rsidP="0068292D">
            <w:pPr>
              <w:pStyle w:val="subsection2"/>
              <w:ind w:left="34"/>
            </w:pPr>
            <w:r w:rsidRPr="00097A86">
              <w:t>where:</w:t>
            </w:r>
          </w:p>
          <w:p w14:paraId="6ABCA35C" w14:textId="77777777" w:rsidR="00BA13B0" w:rsidRPr="00097A86" w:rsidRDefault="00BA13B0" w:rsidP="0068292D">
            <w:pPr>
              <w:pStyle w:val="Definition"/>
              <w:spacing w:after="60"/>
              <w:ind w:left="34"/>
              <w:rPr>
                <w:b/>
                <w:i/>
              </w:rPr>
            </w:pPr>
            <w:r w:rsidRPr="00097A86">
              <w:rPr>
                <w:rFonts w:ascii="Symbol" w:hAnsi="Symbol"/>
                <w:b/>
                <w:i/>
              </w:rPr>
              <w:t></w:t>
            </w:r>
            <w:r w:rsidRPr="00097A86">
              <w:rPr>
                <w:b/>
                <w:i/>
                <w:vertAlign w:val="subscript"/>
              </w:rPr>
              <w:t>i</w:t>
            </w:r>
            <w:r w:rsidRPr="00097A86">
              <w:rPr>
                <w:b/>
                <w:i/>
              </w:rPr>
              <w:t xml:space="preserve"> </w:t>
            </w:r>
            <w:r w:rsidRPr="00097A86">
              <w:t>has the same meaning as in step 1.</w:t>
            </w:r>
          </w:p>
          <w:p w14:paraId="61D3FBE7" w14:textId="77777777" w:rsidR="00BA13B0" w:rsidRPr="00097A86" w:rsidRDefault="00BA13B0" w:rsidP="0068292D">
            <w:pPr>
              <w:pStyle w:val="Definition"/>
              <w:spacing w:before="60" w:after="60"/>
              <w:ind w:left="34"/>
              <w:rPr>
                <w:iCs/>
              </w:rPr>
            </w:pPr>
            <w:r w:rsidRPr="00097A86">
              <w:rPr>
                <w:b/>
                <w:i/>
              </w:rPr>
              <w:t>CCF</w:t>
            </w:r>
            <w:r w:rsidRPr="00097A86">
              <w:rPr>
                <w:b/>
                <w:i/>
                <w:vertAlign w:val="subscript"/>
              </w:rPr>
              <w:t xml:space="preserve">i </w:t>
            </w:r>
            <w:r w:rsidRPr="00097A86">
              <w:t>has the same meaning as in step 1.</w:t>
            </w:r>
          </w:p>
          <w:p w14:paraId="1C73B3F2" w14:textId="77777777" w:rsidR="00BA13B0" w:rsidRPr="00097A86" w:rsidRDefault="00BA13B0" w:rsidP="0068292D">
            <w:pPr>
              <w:pStyle w:val="Definition"/>
              <w:spacing w:before="60" w:after="60"/>
              <w:ind w:left="34"/>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increase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w:t>
            </w:r>
            <w:r w:rsidRPr="00097A86">
              <w:rPr>
                <w:iCs/>
              </w:rPr>
              <w:t>activity</w:t>
            </w:r>
            <w:r w:rsidRPr="00097A86">
              <w:t xml:space="preserve"> </w:t>
            </w:r>
            <w:r w:rsidRPr="00097A86">
              <w:rPr>
                <w:iCs/>
              </w:rPr>
              <w:t>during the year measured in tonnes.</w:t>
            </w:r>
          </w:p>
          <w:p w14:paraId="1DCB1B64" w14:textId="77777777" w:rsidR="00BA13B0" w:rsidRPr="00097A86" w:rsidRDefault="00BA13B0" w:rsidP="0068292D">
            <w:pPr>
              <w:pStyle w:val="Definition"/>
              <w:spacing w:before="60" w:after="60"/>
              <w:ind w:left="34"/>
              <w:rPr>
                <w:b/>
                <w:i/>
              </w:rPr>
            </w:pPr>
            <w:r w:rsidRPr="00097A86">
              <w:rPr>
                <w:rFonts w:ascii="Symbol" w:hAnsi="Symbol"/>
                <w:b/>
                <w:i/>
              </w:rPr>
              <w:t></w:t>
            </w:r>
            <w:r w:rsidRPr="00097A86">
              <w:rPr>
                <w:b/>
                <w:i/>
                <w:vertAlign w:val="subscript"/>
              </w:rPr>
              <w:t xml:space="preserve">p </w:t>
            </w:r>
            <w:r w:rsidRPr="00097A86">
              <w:t>has the same meaning as in step 2.</w:t>
            </w:r>
          </w:p>
          <w:p w14:paraId="13E681F4" w14:textId="77777777" w:rsidR="00BA13B0" w:rsidRPr="00097A86" w:rsidRDefault="00BA13B0" w:rsidP="0068292D">
            <w:pPr>
              <w:pStyle w:val="Definition"/>
              <w:spacing w:before="60" w:after="60"/>
              <w:ind w:left="34"/>
              <w:rPr>
                <w:b/>
                <w:i/>
                <w:iCs/>
              </w:rPr>
            </w:pPr>
            <w:r w:rsidRPr="00097A86">
              <w:rPr>
                <w:b/>
                <w:i/>
              </w:rPr>
              <w:t>CCF</w:t>
            </w:r>
            <w:r w:rsidRPr="00097A86">
              <w:rPr>
                <w:b/>
                <w:i/>
                <w:vertAlign w:val="subscript"/>
              </w:rPr>
              <w:t xml:space="preserve">p </w:t>
            </w:r>
            <w:r w:rsidRPr="00097A86">
              <w:t>has the same meaning as in step 2.</w:t>
            </w:r>
          </w:p>
          <w:p w14:paraId="0D143114" w14:textId="77777777" w:rsidR="00BA13B0" w:rsidRPr="00097A86" w:rsidRDefault="00BA13B0" w:rsidP="0068292D">
            <w:pPr>
              <w:pStyle w:val="Definition"/>
              <w:spacing w:before="60" w:after="60"/>
              <w:ind w:left="34"/>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increase in stocks of </w:t>
            </w:r>
            <w:r w:rsidRPr="00097A86">
              <w:rPr>
                <w:iCs/>
              </w:rPr>
              <w:t>products produced (</w:t>
            </w:r>
            <w:r w:rsidRPr="00097A86">
              <w:rPr>
                <w:b/>
                <w:i/>
                <w:iCs/>
              </w:rPr>
              <w:t>p</w:t>
            </w:r>
            <w:r w:rsidRPr="00097A86">
              <w:rPr>
                <w:iCs/>
              </w:rPr>
              <w:t xml:space="preserve">)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BA13B0" w:rsidRPr="00097A86" w14:paraId="55FEFD85" w14:textId="77777777" w:rsidTr="00C20CC2">
        <w:trPr>
          <w:cantSplit/>
          <w:trHeight w:val="1365"/>
        </w:trPr>
        <w:tc>
          <w:tcPr>
            <w:tcW w:w="583" w:type="pct"/>
          </w:tcPr>
          <w:p w14:paraId="030DCE25" w14:textId="77777777" w:rsidR="00BA13B0" w:rsidRPr="00097A86" w:rsidRDefault="00BA13B0" w:rsidP="002A4D1D">
            <w:pPr>
              <w:spacing w:before="60" w:after="60"/>
              <w:rPr>
                <w:i/>
              </w:rPr>
            </w:pPr>
          </w:p>
        </w:tc>
        <w:tc>
          <w:tcPr>
            <w:tcW w:w="4417" w:type="pct"/>
          </w:tcPr>
          <w:p w14:paraId="43AA0C60" w14:textId="77777777" w:rsidR="00BA13B0" w:rsidRPr="00097A86" w:rsidRDefault="00BA13B0" w:rsidP="0068292D">
            <w:pPr>
              <w:pStyle w:val="Definition"/>
              <w:spacing w:before="60" w:after="60"/>
              <w:ind w:left="34"/>
              <w:rPr>
                <w:b/>
                <w:i/>
              </w:rPr>
            </w:pPr>
            <w:r w:rsidRPr="00097A86">
              <w:rPr>
                <w:rFonts w:ascii="Symbol" w:hAnsi="Symbol"/>
                <w:b/>
                <w:i/>
              </w:rPr>
              <w:t></w:t>
            </w:r>
            <w:r w:rsidRPr="00097A86">
              <w:rPr>
                <w:b/>
                <w:i/>
                <w:vertAlign w:val="subscript"/>
              </w:rPr>
              <w:t xml:space="preserve">r </w:t>
            </w:r>
            <w:r w:rsidRPr="00097A86">
              <w:t>has the same meaning as in step 3.</w:t>
            </w:r>
          </w:p>
          <w:p w14:paraId="6DA99BC9" w14:textId="77777777" w:rsidR="00BA13B0" w:rsidRPr="00097A86" w:rsidRDefault="00BA13B0" w:rsidP="0068292D">
            <w:pPr>
              <w:pStyle w:val="Definition"/>
              <w:spacing w:before="60" w:after="60"/>
              <w:ind w:left="34"/>
              <w:rPr>
                <w:b/>
                <w:i/>
                <w:iCs/>
              </w:rPr>
            </w:pPr>
            <w:r w:rsidRPr="00097A86">
              <w:rPr>
                <w:b/>
                <w:i/>
              </w:rPr>
              <w:t>CCF</w:t>
            </w:r>
            <w:r w:rsidRPr="00097A86">
              <w:rPr>
                <w:b/>
                <w:i/>
                <w:vertAlign w:val="subscript"/>
              </w:rPr>
              <w:t xml:space="preserve">r </w:t>
            </w:r>
            <w:r w:rsidRPr="00097A86">
              <w:t>has the same meaning as in step 3.</w:t>
            </w:r>
          </w:p>
          <w:p w14:paraId="1ECA67DB" w14:textId="77777777" w:rsidR="00BA13B0" w:rsidRPr="00097A86" w:rsidRDefault="00BA13B0" w:rsidP="0068292D">
            <w:pPr>
              <w:pStyle w:val="Definition"/>
              <w:spacing w:before="60" w:after="60"/>
              <w:ind w:left="34"/>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increase in stocks of waste by</w:t>
            </w:r>
            <w:r w:rsidR="00097A86">
              <w:rPr>
                <w:b/>
                <w:iCs/>
              </w:rPr>
              <w:noBreakHyphen/>
            </w:r>
            <w:r w:rsidRPr="00097A86">
              <w:rPr>
                <w:iCs/>
              </w:rPr>
              <w:t>products (</w:t>
            </w:r>
            <w:r w:rsidRPr="00097A86">
              <w:rPr>
                <w:b/>
                <w:i/>
                <w:iCs/>
              </w:rPr>
              <w:t>r</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68292D" w:rsidRPr="00097A86" w14:paraId="44C25846" w14:textId="77777777" w:rsidTr="00C20CC2">
        <w:trPr>
          <w:cantSplit/>
        </w:trPr>
        <w:tc>
          <w:tcPr>
            <w:tcW w:w="583" w:type="pct"/>
          </w:tcPr>
          <w:p w14:paraId="3250C3AA" w14:textId="77777777" w:rsidR="0068292D" w:rsidRPr="00097A86" w:rsidRDefault="0068292D" w:rsidP="00A24F5F">
            <w:pPr>
              <w:spacing w:before="60" w:after="60"/>
              <w:rPr>
                <w:i/>
              </w:rPr>
            </w:pPr>
          </w:p>
        </w:tc>
        <w:tc>
          <w:tcPr>
            <w:tcW w:w="4417" w:type="pct"/>
          </w:tcPr>
          <w:p w14:paraId="5F6F1D42" w14:textId="77777777" w:rsidR="0068292D" w:rsidRPr="00097A86" w:rsidRDefault="0068292D" w:rsidP="00A24F5F">
            <w:pPr>
              <w:pStyle w:val="TableText0"/>
              <w:rPr>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4EE0BC73" wp14:editId="1EAA5D0C">
                      <wp:extent cx="232410" cy="283845"/>
                      <wp:effectExtent l="0" t="0" r="0" b="1905"/>
                      <wp:docPr id="9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Rectangle 4"/>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1465" w14:textId="77777777" w:rsidR="00497E3C" w:rsidRDefault="00497E3C" w:rsidP="0068292D">
                                    <w:r w:rsidRPr="000A5860">
                                      <w:rPr>
                                        <w:color w:val="000000"/>
                                        <w:position w:val="-12"/>
                                        <w:sz w:val="16"/>
                                        <w:szCs w:val="16"/>
                                        <w:lang w:val="en-US"/>
                                      </w:rPr>
                                      <w:t>1</w:t>
                                    </w:r>
                                  </w:p>
                                </w:txbxContent>
                              </wps:txbx>
                              <wps:bodyPr rot="0" vert="horz" wrap="none" lIns="0" tIns="0" rIns="0" bIns="0" anchor="t" anchorCtr="0" upright="1">
                                <a:noAutofit/>
                              </wps:bodyPr>
                            </wps:wsp>
                            <wps:wsp>
                              <wps:cNvPr id="91" name="Line 5"/>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6"/>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B662" w14:textId="77777777" w:rsidR="00497E3C" w:rsidRPr="000A5860" w:rsidRDefault="00497E3C" w:rsidP="0068292D">
                                    <w:pPr>
                                      <w:spacing w:line="276" w:lineRule="auto"/>
                                      <w:rPr>
                                        <w:position w:val="-12"/>
                                        <w:sz w:val="16"/>
                                        <w:szCs w:val="16"/>
                                      </w:rPr>
                                    </w:pPr>
                                    <w:r w:rsidRPr="000A5860">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4EE0BC73" id="_x0000_s1036" editas="canvas" style="width:18.3pt;height:22.35pt;mso-position-horizontal-relative:char;mso-position-vertical-relative:line" coordsize="23241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EVegMAAMAMAAAOAAAAZHJzL2Uyb0RvYy54bWzsV11vmzAUfZ+0/2D5nYIJIQGVVl3STJO6&#10;rdrHD3DABGtgI9sN6ab9910bSNJO1bpP7aE8EGOb63vvOedecnq+a2q0ZUpzKTJMTgKMmMhlwcUm&#10;wx8/rLw5RtpQUdBaCpbhW6bx+dnzZ6ddm7JQVrIumEJgROi0azNcGdOmvq/zijVUn8iWCVgspWqo&#10;gUe18QtFO7De1H4YBLHfSVW0SuZMa5hd9ov4zNkvS5abt2WpmUF1hsE34+7K3df27p+d0nSjaFvx&#10;fHCD/oIXDeUCDt2bWlJD0Y3i35lqeK6klqU5yWXjy7LkOXMxQDQkuBfNgoot1S6YHLIzOgijP2h3&#10;vbF+C7nidQ3Z8MF6aufsbwf4MJjsWkBHt3uc9O+d/76iLXNh6TR/s71WiBcZTgAfQRsgyTuAjYpN&#10;zVBkAbKnw7b37bWyrur2SuafNBJyUcEudqGU7CpGC/CK2P0QwtEL9kHDq2jdvZYFWKc3RjqsdqVq&#10;rEFAAe0yPJ/MQ3DhFqwEJB6owXYG5bA4JdFkilFuV0k8j9yyT9PRRqu0eclkg+wgwwoicGfQ7ZU2&#10;1ieajlvupJumtbgzARv7GTgZXrVr1gfHpS9JkFzOL+eRF4XxpRcFy6V3sVpEXrwis+lyslwsluSr&#10;PZdEacWLggmL6shrEj0OtkFhPSP3zNay5oU1Z13SarNe1AptKehq5S6XeVg5bPPvuuGSALHcC4mE&#10;UfAiTLxVPJ950SqaesksmHsBSV4kcRAl0XJ1N6QrLtjvh4Q6YNw0nDqUjpy+F1vgru9jo2nDDVSu&#10;mjfAnP0mmloiXooCIKepobzux0epsO4fUgFwj0A72lqm9ow3u/XO6WKvgbUsboHHSgLBgKhQdWFQ&#10;SfUZow4qWIYFlFiM6lcClGCL3ThQ42A9DqjI4cUMG4z64cL0RfGmVXxTgV3iEiPkBail5I7CVkm9&#10;D4PGoCT8q9pAxtrg0J8elYWFuFZDkXiUzMkE+NXLfJIEsTPVa8zqPAymJBiEHoPie+k+oPIaoHRp&#10;eozKLeFI8Mt0U/JmYNVDDPtP68ahszxUDh7WQM82i4Hl3j+kWzjS7dCK4iPO/e1WNPAzjidAVVdK&#10;bA9w/AyT8NCIZtHsBxR9akTQr46qb9/AesY9NaKfa0T7qvt/NiL35Qpfra65Dp/09jv8+NlVksMf&#10;j7NvAAAA//8DAFBLAwQUAAYACAAAACEAuHyKGNwAAAADAQAADwAAAGRycy9kb3ducmV2LnhtbEyP&#10;wUrDQBCG74LvsIzgpdhdbYkasylFEDxosVWwx2l2TILZ2ZDdtvHtHb3oZWD4f775pliMvlMHGmIb&#10;2MLl1IAiroJrubbw9vpwcQMqJmSHXWCy8EURFuXpSYG5C0de02GTaiUQjjlaaFLqc61j1ZDHOA09&#10;sWQfYfCYZB1q7QY8Ctx3+sqYTHtsWS402NN9Q9XnZu+FcjtZTlbv/Pi8Gp+qbL01s+2Lsfb8bFze&#10;gUo0pr8y/OiLOpTitAt7dlF1FuSR9Dslm2UZqJ2F+fwadFno/+7lNwAAAP//AwBQSwECLQAUAAYA&#10;CAAAACEAtoM4kv4AAADhAQAAEwAAAAAAAAAAAAAAAAAAAAAAW0NvbnRlbnRfVHlwZXNdLnhtbFBL&#10;AQItABQABgAIAAAAIQA4/SH/1gAAAJQBAAALAAAAAAAAAAAAAAAAAC8BAABfcmVscy8ucmVsc1BL&#10;AQItABQABgAIAAAAIQCuTJEVegMAAMAMAAAOAAAAAAAAAAAAAAAAAC4CAABkcnMvZTJvRG9jLnht&#10;bFBLAQItABQABgAIAAAAIQC4fIoY3AAAAAMBAAAPAAAAAAAAAAAAAAAAANQFAABkcnMvZG93bnJl&#10;di54bWxQSwUGAAAAAAQABADzAAAA3QYAAAAA&#10;">
                      <v:shape id="_x0000_s1037" type="#_x0000_t75" style="position:absolute;width:232410;height:283845;visibility:visible;mso-wrap-style:square">
                        <v:fill o:detectmouseclick="t"/>
                        <v:path o:connecttype="none"/>
                      </v:shape>
                      <v:rect id="Rectangle 4" o:spid="_x0000_s1038"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0OMAA&#10;AADbAAAADwAAAGRycy9kb3ducmV2LnhtbERP3WrCMBS+H/gO4QjezbQislaj6ECUgRf+PMChOTbV&#10;5qRLonZvv1wMdvnx/S9WvW3Fk3xoHCvIxxkI4srphmsFl/P2/QNEiMgaW8ek4IcCrJaDtwWW2r34&#10;SM9TrEUK4VCiAhNjV0oZKkMWw9h1xIm7Om8xJuhrqT2+Urht5STLZtJiw6nBYEefhqr76WEV0GZ3&#10;LG7rYA7S5yE/fM2K6e5bqdGwX89BROrjv/jPvdcKir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T0OMAAAADbAAAADwAAAAAAAAAAAAAAAACYAgAAZHJzL2Rvd25y&#10;ZXYueG1sUEsFBgAAAAAEAAQA9QAAAIUDAAAAAA==&#10;" filled="f" stroked="f">
                        <v:textbox inset="0,0,0,0">
                          <w:txbxContent>
                            <w:p w14:paraId="26311465" w14:textId="77777777" w:rsidR="00497E3C" w:rsidRDefault="00497E3C" w:rsidP="0068292D">
                              <w:r w:rsidRPr="000A5860">
                                <w:rPr>
                                  <w:color w:val="000000"/>
                                  <w:position w:val="-12"/>
                                  <w:sz w:val="16"/>
                                  <w:szCs w:val="16"/>
                                  <w:lang w:val="en-US"/>
                                </w:rPr>
                                <w:t>1</w:t>
                              </w:r>
                            </w:p>
                          </w:txbxContent>
                        </v:textbox>
                      </v:rect>
                      <v:line id="Line 5" o:spid="_x0000_s1039"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ScQAAADbAAAADwAAAGRycy9kb3ducmV2LnhtbESPwW7CMBBE70j8g7WVegMHDi1NcaIK&#10;UTU9kuTCbRsvSdR4HdkupHx9XQmJ42hm3mi2+WQGcSbne8sKVssEBHFjdc+tgrp6X2xA+ICscbBM&#10;Cn7JQ57NZ1tMtb3wgc5laEWEsE9RQRfCmErpm44M+qUdiaN3ss5giNK1Uju8RLgZ5DpJnqTBnuNC&#10;hyPtOmq+yx+j4FpU+/pYfBy+6uux+rSld8+njVKPD9PbK4hAU7iHb+1CK3hZwf+X+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EVJxAAAANsAAAAPAAAAAAAAAAAA&#10;AAAAAKECAABkcnMvZG93bnJldi54bWxQSwUGAAAAAAQABAD5AAAAkgMAAAAA&#10;" strokeweight="28e-5mm"/>
                      <v:rect id="Rectangle 6" o:spid="_x0000_s1040"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1MMA&#10;AADbAAAADwAAAGRycy9kb3ducmV2LnhtbESP0WoCMRRE3wX/IVyhb5pdKeJujaKFYhF8UPsBl811&#10;s7q52Sapbv/eFAo+DjNzhlmsetuKG/nQOFaQTzIQxJXTDdcKvk4f4zmIEJE1to5JwS8FWC2HgwWW&#10;2t35QLdjrEWCcChRgYmxK6UMlSGLYeI64uSdnbcYk/S11B7vCW5bOc2ymbTYcFow2NG7oep6/LEK&#10;aLM9FJd1MHvp85Dvd7Pidfut1MuoX7+BiNTHZ/i//akVFF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rP1MMAAADbAAAADwAAAAAAAAAAAAAAAACYAgAAZHJzL2Rv&#10;d25yZXYueG1sUEsFBgAAAAAEAAQA9QAAAIgDAAAAAA==&#10;" filled="f" stroked="f">
                        <v:textbox inset="0,0,0,0">
                          <w:txbxContent>
                            <w:p w14:paraId="3CEFB662" w14:textId="77777777" w:rsidR="00497E3C" w:rsidRPr="000A5860" w:rsidRDefault="00497E3C" w:rsidP="0068292D">
                              <w:pPr>
                                <w:spacing w:line="276" w:lineRule="auto"/>
                                <w:rPr>
                                  <w:position w:val="-12"/>
                                  <w:sz w:val="16"/>
                                  <w:szCs w:val="16"/>
                                </w:rPr>
                              </w:pPr>
                              <w:r w:rsidRPr="000A5860">
                                <w:rPr>
                                  <w:color w:val="000000"/>
                                  <w:position w:val="-12"/>
                                  <w:sz w:val="16"/>
                                  <w:szCs w:val="16"/>
                                  <w:lang w:val="en-US"/>
                                </w:rPr>
                                <w:t>3.664</w:t>
                              </w:r>
                            </w:p>
                          </w:txbxContent>
                        </v:textbox>
                      </v:rect>
                      <w10:anchorlock/>
                    </v:group>
                  </w:pict>
                </mc:Fallback>
              </mc:AlternateContent>
            </w:r>
            <w:r w:rsidRPr="00097A86">
              <w:t xml:space="preserve"> for converting the mass of carbon dioxide to a mass of carbon.</w:t>
            </w:r>
          </w:p>
        </w:tc>
      </w:tr>
      <w:tr w:rsidR="00BA13B0" w:rsidRPr="00097A86" w14:paraId="5077FB0B" w14:textId="77777777" w:rsidTr="00C20CC2">
        <w:trPr>
          <w:cantSplit/>
          <w:trHeight w:val="1440"/>
        </w:trPr>
        <w:tc>
          <w:tcPr>
            <w:tcW w:w="583" w:type="pct"/>
          </w:tcPr>
          <w:p w14:paraId="6EC15376" w14:textId="77777777" w:rsidR="00BA13B0" w:rsidRPr="00097A86" w:rsidRDefault="00BA13B0" w:rsidP="002A4D1D">
            <w:pPr>
              <w:spacing w:before="60" w:after="60"/>
              <w:rPr>
                <w:i/>
              </w:rPr>
            </w:pPr>
          </w:p>
        </w:tc>
        <w:tc>
          <w:tcPr>
            <w:tcW w:w="4417" w:type="pct"/>
          </w:tcPr>
          <w:p w14:paraId="09ABD480" w14:textId="77777777" w:rsidR="00BA13B0" w:rsidRPr="00097A86" w:rsidRDefault="00BA13B0" w:rsidP="0068292D">
            <w:pPr>
              <w:pStyle w:val="Definition"/>
              <w:spacing w:before="60" w:after="60"/>
              <w:ind w:left="34"/>
            </w:pPr>
            <w:r w:rsidRPr="00097A86">
              <w:rPr>
                <w:b/>
                <w:i/>
              </w:rPr>
              <w:t>γ</w:t>
            </w:r>
            <w:r w:rsidRPr="00097A86">
              <w:t xml:space="preserve"> is the factor 1.861 x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2003E514" w14:textId="77777777" w:rsidR="00BA13B0" w:rsidRPr="00097A86" w:rsidRDefault="00BA13B0" w:rsidP="0068292D">
            <w:pPr>
              <w:pStyle w:val="Definition"/>
              <w:spacing w:before="60" w:after="60"/>
              <w:ind w:left="34"/>
              <w:rPr>
                <w:rFonts w:ascii="Symbol" w:hAnsi="Symbol"/>
                <w:b/>
                <w:i/>
              </w:rPr>
            </w:pPr>
            <w:r w:rsidRPr="00097A86">
              <w:rPr>
                <w:b/>
                <w:i/>
              </w:rPr>
              <w:t>RCCS</w:t>
            </w:r>
            <w:r w:rsidRPr="00097A86">
              <w:rPr>
                <w:b/>
                <w:i/>
                <w:vertAlign w:val="subscript"/>
              </w:rPr>
              <w:t>CO</w:t>
            </w:r>
            <w:r w:rsidRPr="00097A86">
              <w:rPr>
                <w:b/>
                <w:i/>
                <w:position w:val="-4"/>
                <w:sz w:val="24"/>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tc>
      </w:tr>
    </w:tbl>
    <w:p w14:paraId="25E6B97A" w14:textId="77777777" w:rsidR="00221EF0" w:rsidRPr="00097A86" w:rsidRDefault="00221EF0" w:rsidP="00221EF0"/>
    <w:p w14:paraId="1F66470D" w14:textId="77777777" w:rsidR="003F0D4E" w:rsidRPr="00097A86" w:rsidRDefault="003F0D4E" w:rsidP="00D22D3F">
      <w:pPr>
        <w:pStyle w:val="ActHead2"/>
        <w:pageBreakBefore/>
      </w:pPr>
      <w:bookmarkStart w:id="195" w:name="_Toc13233637"/>
      <w:r w:rsidRPr="00097A86">
        <w:rPr>
          <w:rStyle w:val="CharPartNo"/>
        </w:rPr>
        <w:lastRenderedPageBreak/>
        <w:t>Part</w:t>
      </w:r>
      <w:r w:rsidR="00097A86">
        <w:rPr>
          <w:rStyle w:val="CharPartNo"/>
        </w:rPr>
        <w:t> </w:t>
      </w:r>
      <w:r w:rsidRPr="00097A86">
        <w:rPr>
          <w:rStyle w:val="CharPartNo"/>
        </w:rPr>
        <w:t>2.6</w:t>
      </w:r>
      <w:r w:rsidR="00D22D3F" w:rsidRPr="00097A86">
        <w:t>—</w:t>
      </w:r>
      <w:r w:rsidRPr="00097A86">
        <w:rPr>
          <w:rStyle w:val="CharPartText"/>
        </w:rPr>
        <w:t>Blended fuels</w:t>
      </w:r>
      <w:bookmarkEnd w:id="195"/>
    </w:p>
    <w:p w14:paraId="31C08D5F"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42FC5293" w14:textId="77777777" w:rsidR="003F0D4E" w:rsidRPr="00097A86" w:rsidRDefault="003F0D4E" w:rsidP="00D22D3F">
      <w:pPr>
        <w:pStyle w:val="ActHead5"/>
      </w:pPr>
      <w:bookmarkStart w:id="196" w:name="_Toc13233638"/>
      <w:r w:rsidRPr="00097A86">
        <w:rPr>
          <w:rStyle w:val="CharSectno"/>
        </w:rPr>
        <w:t>2.64</w:t>
      </w:r>
      <w:r w:rsidR="00D22D3F" w:rsidRPr="00097A86">
        <w:t xml:space="preserve">  </w:t>
      </w:r>
      <w:r w:rsidRPr="00097A86">
        <w:t>Purpose</w:t>
      </w:r>
      <w:bookmarkEnd w:id="196"/>
    </w:p>
    <w:p w14:paraId="64F89BCE" w14:textId="77777777" w:rsidR="003F0D4E" w:rsidRPr="00097A86" w:rsidRDefault="003F0D4E" w:rsidP="00D22D3F">
      <w:pPr>
        <w:pStyle w:val="subsection"/>
      </w:pPr>
      <w:r w:rsidRPr="00097A86">
        <w:tab/>
      </w:r>
      <w:r w:rsidRPr="00097A86">
        <w:tab/>
        <w:t>This Part sets out how to determine the amounts of each kind of fuel that is in a blended fuel.</w:t>
      </w:r>
    </w:p>
    <w:p w14:paraId="307E15D6" w14:textId="77777777" w:rsidR="003F0D4E" w:rsidRPr="00097A86" w:rsidRDefault="003F0D4E" w:rsidP="00D22D3F">
      <w:pPr>
        <w:pStyle w:val="ActHead5"/>
      </w:pPr>
      <w:bookmarkStart w:id="197" w:name="_Toc13233639"/>
      <w:r w:rsidRPr="00097A86">
        <w:rPr>
          <w:rStyle w:val="CharSectno"/>
        </w:rPr>
        <w:t>2.65</w:t>
      </w:r>
      <w:r w:rsidR="00D22D3F" w:rsidRPr="00097A86">
        <w:t xml:space="preserve">  </w:t>
      </w:r>
      <w:r w:rsidRPr="00097A86">
        <w:t>Application</w:t>
      </w:r>
      <w:bookmarkEnd w:id="197"/>
    </w:p>
    <w:p w14:paraId="70189113" w14:textId="77777777" w:rsidR="003F0D4E" w:rsidRPr="00097A86" w:rsidRDefault="003F0D4E" w:rsidP="00D22D3F">
      <w:pPr>
        <w:pStyle w:val="subsection"/>
      </w:pPr>
      <w:r w:rsidRPr="00097A86">
        <w:tab/>
      </w:r>
      <w:r w:rsidRPr="00097A86">
        <w:tab/>
        <w:t>This Part sets out how to determine the amount of each fuel type (</w:t>
      </w:r>
      <w:r w:rsidRPr="00097A86">
        <w:rPr>
          <w:b/>
          <w:i/>
        </w:rPr>
        <w:t>i</w:t>
      </w:r>
      <w:r w:rsidRPr="00097A86">
        <w:t>) that is in a blended fuel if that blended fuel is a solid fuel or a liquid fuel.</w:t>
      </w:r>
    </w:p>
    <w:p w14:paraId="79827A0A" w14:textId="77777777" w:rsidR="003F0D4E" w:rsidRPr="00097A86" w:rsidRDefault="003F0D4E" w:rsidP="00D22D3F">
      <w:pPr>
        <w:pStyle w:val="ActHead5"/>
      </w:pPr>
      <w:bookmarkStart w:id="198" w:name="_Toc13233640"/>
      <w:r w:rsidRPr="00097A86">
        <w:rPr>
          <w:rStyle w:val="CharSectno"/>
        </w:rPr>
        <w:t>2.66</w:t>
      </w:r>
      <w:r w:rsidR="00D22D3F" w:rsidRPr="00097A86">
        <w:t xml:space="preserve">  </w:t>
      </w:r>
      <w:r w:rsidRPr="00097A86">
        <w:t>Blended solid fuels</w:t>
      </w:r>
      <w:bookmarkEnd w:id="198"/>
    </w:p>
    <w:p w14:paraId="1D90C074" w14:textId="77777777" w:rsidR="003F0D4E" w:rsidRPr="00097A86" w:rsidRDefault="003F0D4E" w:rsidP="00D22D3F">
      <w:pPr>
        <w:pStyle w:val="subsection"/>
      </w:pPr>
      <w:r w:rsidRPr="00097A86">
        <w:tab/>
        <w:t>(1)</w:t>
      </w:r>
      <w:r w:rsidRPr="00097A86">
        <w:tab/>
        <w:t>In determining the amounts of each kind of fuel that is in a blended solid fuel, a person may adopt the outcome of the sampling and analysis done by the manufacturer of the fuel if:</w:t>
      </w:r>
    </w:p>
    <w:p w14:paraId="5533EE7E" w14:textId="77777777" w:rsidR="003F0D4E" w:rsidRPr="00097A86" w:rsidRDefault="003F0D4E" w:rsidP="00D22D3F">
      <w:pPr>
        <w:pStyle w:val="paragraph"/>
      </w:pPr>
      <w:r w:rsidRPr="00097A86">
        <w:tab/>
        <w:t>(a)</w:t>
      </w:r>
      <w:r w:rsidRPr="00097A86">
        <w:tab/>
        <w:t>the sampling has been done in accordance with subsections</w:t>
      </w:r>
      <w:r w:rsidR="00097A86">
        <w:t> </w:t>
      </w:r>
      <w:r w:rsidRPr="00097A86">
        <w:t>2.12(3) and (4); and</w:t>
      </w:r>
    </w:p>
    <w:p w14:paraId="44513522" w14:textId="77777777" w:rsidR="003F0D4E" w:rsidRPr="00097A86" w:rsidRDefault="003F0D4E" w:rsidP="00D22D3F">
      <w:pPr>
        <w:pStyle w:val="paragraph"/>
      </w:pPr>
      <w:r w:rsidRPr="00097A86">
        <w:tab/>
        <w:t>(b)</w:t>
      </w:r>
      <w:r w:rsidRPr="00097A86">
        <w:tab/>
        <w:t>the analysis has been done in accordance with one of the following standards or a standard that is equivalent to one of those standards:</w:t>
      </w:r>
    </w:p>
    <w:p w14:paraId="7A703FA0" w14:textId="77777777" w:rsidR="003F0D4E" w:rsidRPr="00097A86" w:rsidRDefault="003F0D4E" w:rsidP="00D22D3F">
      <w:pPr>
        <w:pStyle w:val="paragraphsub"/>
      </w:pPr>
      <w:r w:rsidRPr="00097A86">
        <w:tab/>
        <w:t>(i)</w:t>
      </w:r>
      <w:r w:rsidRPr="00097A86">
        <w:tab/>
        <w:t>CEN/TS15440:2006;</w:t>
      </w:r>
    </w:p>
    <w:p w14:paraId="3F45DB01" w14:textId="77777777" w:rsidR="003F0D4E" w:rsidRPr="00097A86" w:rsidRDefault="003F0D4E" w:rsidP="00D22D3F">
      <w:pPr>
        <w:pStyle w:val="paragraphsub"/>
      </w:pPr>
      <w:r w:rsidRPr="00097A86">
        <w:tab/>
        <w:t>(ii)</w:t>
      </w:r>
      <w:r w:rsidRPr="00097A86">
        <w:tab/>
        <w:t>ASTM</w:t>
      </w:r>
      <w:r w:rsidR="00345CB2" w:rsidRPr="00097A86">
        <w:t xml:space="preserve"> D6866—10</w:t>
      </w:r>
      <w:r w:rsidRPr="00097A86">
        <w:t>.</w:t>
      </w:r>
    </w:p>
    <w:p w14:paraId="75EF9532" w14:textId="77777777" w:rsidR="003F0D4E" w:rsidRPr="00097A86" w:rsidRDefault="003F0D4E" w:rsidP="00D22D3F">
      <w:pPr>
        <w:pStyle w:val="subsection"/>
      </w:pPr>
      <w:r w:rsidRPr="00097A86">
        <w:tab/>
        <w:t>(2)</w:t>
      </w:r>
      <w:r w:rsidRPr="00097A86">
        <w:tab/>
        <w:t xml:space="preserve">The person may use his or her own sampling and analysis of the fuel if the sampling and analysis complies with the requirements of </w:t>
      </w:r>
      <w:r w:rsidR="00097A86">
        <w:t>paragraphs (</w:t>
      </w:r>
      <w:r w:rsidRPr="00097A86">
        <w:t>1)(a) and (b).</w:t>
      </w:r>
    </w:p>
    <w:p w14:paraId="033B8538" w14:textId="77777777" w:rsidR="003F0D4E" w:rsidRPr="00097A86" w:rsidRDefault="003F0D4E" w:rsidP="00D22D3F">
      <w:pPr>
        <w:pStyle w:val="ActHead5"/>
      </w:pPr>
      <w:bookmarkStart w:id="199" w:name="_Toc13233641"/>
      <w:r w:rsidRPr="00097A86">
        <w:rPr>
          <w:rStyle w:val="CharSectno"/>
        </w:rPr>
        <w:t>2.67</w:t>
      </w:r>
      <w:r w:rsidR="00D22D3F" w:rsidRPr="00097A86">
        <w:t xml:space="preserve">  </w:t>
      </w:r>
      <w:r w:rsidRPr="00097A86">
        <w:t>Blended liquid fuels</w:t>
      </w:r>
      <w:bookmarkEnd w:id="199"/>
    </w:p>
    <w:p w14:paraId="1D72781B" w14:textId="77777777" w:rsidR="003F0D4E" w:rsidRPr="00097A86" w:rsidRDefault="003F0D4E" w:rsidP="00D22D3F">
      <w:pPr>
        <w:pStyle w:val="subsection"/>
      </w:pPr>
      <w:r w:rsidRPr="00097A86">
        <w:tab/>
      </w:r>
      <w:r w:rsidRPr="00097A86">
        <w:tab/>
        <w:t>The person may adopt the manufacturer’s determination of each kind of fuel that is in a blended liquid fuel or adopt the analysis arrived at after doing both of the following:</w:t>
      </w:r>
    </w:p>
    <w:p w14:paraId="4B767795" w14:textId="77777777" w:rsidR="003F0D4E" w:rsidRPr="00097A86" w:rsidRDefault="003F0D4E" w:rsidP="00D22D3F">
      <w:pPr>
        <w:pStyle w:val="paragraph"/>
      </w:pPr>
      <w:r w:rsidRPr="00097A86">
        <w:tab/>
        <w:t>(a)</w:t>
      </w:r>
      <w:r w:rsidRPr="00097A86">
        <w:tab/>
        <w:t>sampling the fuel in accordance with a standard mentioned in subsections</w:t>
      </w:r>
      <w:r w:rsidR="00097A86">
        <w:t> </w:t>
      </w:r>
      <w:r w:rsidRPr="00097A86">
        <w:t>2.47(3) and (4);</w:t>
      </w:r>
    </w:p>
    <w:p w14:paraId="1AD65C75" w14:textId="77777777" w:rsidR="003F0D4E" w:rsidRPr="00097A86" w:rsidRDefault="003F0D4E" w:rsidP="00D22D3F">
      <w:pPr>
        <w:pStyle w:val="paragraph"/>
      </w:pPr>
      <w:r w:rsidRPr="00097A86">
        <w:tab/>
        <w:t>(b)</w:t>
      </w:r>
      <w:r w:rsidRPr="00097A86">
        <w:tab/>
        <w:t xml:space="preserve">analysing the fuel in accordance with ASTM: </w:t>
      </w:r>
      <w:r w:rsidR="00345CB2" w:rsidRPr="00097A86">
        <w:t xml:space="preserve">D6866—10 </w:t>
      </w:r>
      <w:r w:rsidRPr="00097A86">
        <w:t>or a standard that is equivalent to that standard.</w:t>
      </w:r>
    </w:p>
    <w:p w14:paraId="2CA5B95D" w14:textId="77777777" w:rsidR="003F0D4E" w:rsidRPr="00097A86" w:rsidRDefault="003F0D4E" w:rsidP="00D22D3F">
      <w:pPr>
        <w:pStyle w:val="ActHead2"/>
        <w:pageBreakBefore/>
      </w:pPr>
      <w:bookmarkStart w:id="200" w:name="_Toc13233642"/>
      <w:r w:rsidRPr="00097A86">
        <w:rPr>
          <w:rStyle w:val="CharPartNo"/>
        </w:rPr>
        <w:lastRenderedPageBreak/>
        <w:t>Part</w:t>
      </w:r>
      <w:r w:rsidR="00097A86">
        <w:rPr>
          <w:rStyle w:val="CharPartNo"/>
        </w:rPr>
        <w:t> </w:t>
      </w:r>
      <w:r w:rsidRPr="00097A86">
        <w:rPr>
          <w:rStyle w:val="CharPartNo"/>
        </w:rPr>
        <w:t>2.7</w:t>
      </w:r>
      <w:r w:rsidR="00D22D3F" w:rsidRPr="00097A86">
        <w:t>—</w:t>
      </w:r>
      <w:r w:rsidRPr="00097A86">
        <w:rPr>
          <w:rStyle w:val="CharPartText"/>
        </w:rPr>
        <w:t>Estimation of energy for certain purposes</w:t>
      </w:r>
      <w:bookmarkEnd w:id="200"/>
    </w:p>
    <w:p w14:paraId="6CC4FBD9"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5BFEB695" w14:textId="77777777" w:rsidR="003E5367" w:rsidRPr="00097A86" w:rsidRDefault="003E5367" w:rsidP="00D22D3F">
      <w:pPr>
        <w:pStyle w:val="ActHead5"/>
      </w:pPr>
      <w:bookmarkStart w:id="201" w:name="_Toc13233643"/>
      <w:r w:rsidRPr="00097A86">
        <w:rPr>
          <w:rStyle w:val="CharSectno"/>
        </w:rPr>
        <w:t>2.68</w:t>
      </w:r>
      <w:r w:rsidR="00D22D3F" w:rsidRPr="00097A86">
        <w:t xml:space="preserve">  </w:t>
      </w:r>
      <w:r w:rsidRPr="00097A86">
        <w:t>Amount of energy consumed without combustion</w:t>
      </w:r>
      <w:bookmarkEnd w:id="201"/>
    </w:p>
    <w:p w14:paraId="55AF4A9E" w14:textId="77777777" w:rsidR="003E5367" w:rsidRPr="00097A86" w:rsidRDefault="003E5367" w:rsidP="00D22D3F">
      <w:pPr>
        <w:pStyle w:val="subsection"/>
      </w:pPr>
      <w:r w:rsidRPr="00097A86">
        <w:tab/>
      </w:r>
      <w:r w:rsidRPr="00097A86">
        <w:tab/>
        <w:t>For paragraph</w:t>
      </w:r>
      <w:r w:rsidR="00097A86">
        <w:t> </w:t>
      </w:r>
      <w:r w:rsidRPr="00097A86">
        <w:t>4.22(1)(b) of the Regulations:</w:t>
      </w:r>
    </w:p>
    <w:p w14:paraId="40CE7D18" w14:textId="77777777" w:rsidR="003E5367" w:rsidRPr="00097A86" w:rsidRDefault="003E5367" w:rsidP="00D22D3F">
      <w:pPr>
        <w:pStyle w:val="paragraph"/>
      </w:pPr>
      <w:r w:rsidRPr="00097A86">
        <w:tab/>
        <w:t>(a)</w:t>
      </w:r>
      <w:r w:rsidRPr="00097A86">
        <w:tab/>
        <w:t>the energy is to be measured:</w:t>
      </w:r>
    </w:p>
    <w:p w14:paraId="4CA1D88F" w14:textId="77777777" w:rsidR="003E5367" w:rsidRPr="00097A86" w:rsidRDefault="003E5367" w:rsidP="00D22D3F">
      <w:pPr>
        <w:pStyle w:val="paragraphsub"/>
      </w:pPr>
      <w:r w:rsidRPr="00097A86">
        <w:tab/>
        <w:t>(i)</w:t>
      </w:r>
      <w:r w:rsidRPr="00097A86">
        <w:tab/>
        <w:t>for solid fuel—in tonnes estimated under Division</w:t>
      </w:r>
      <w:r w:rsidR="00097A86">
        <w:t> </w:t>
      </w:r>
      <w:r w:rsidRPr="00097A86">
        <w:t>2.2.5; or</w:t>
      </w:r>
    </w:p>
    <w:p w14:paraId="77FDD3CA" w14:textId="77777777" w:rsidR="003E5367" w:rsidRPr="00097A86" w:rsidRDefault="003E5367" w:rsidP="00D22D3F">
      <w:pPr>
        <w:pStyle w:val="paragraphsub"/>
      </w:pPr>
      <w:r w:rsidRPr="00097A86">
        <w:tab/>
        <w:t>(ii)</w:t>
      </w:r>
      <w:r w:rsidRPr="00097A86">
        <w:tab/>
        <w:t>for gaseous fuel—in cubic metres estimated under Division</w:t>
      </w:r>
      <w:r w:rsidR="00097A86">
        <w:t> </w:t>
      </w:r>
      <w:r w:rsidRPr="00097A86">
        <w:t>2.3.6; or</w:t>
      </w:r>
    </w:p>
    <w:p w14:paraId="5FB2F786" w14:textId="77777777" w:rsidR="003E5367" w:rsidRPr="00097A86" w:rsidRDefault="003E5367" w:rsidP="00D22D3F">
      <w:pPr>
        <w:pStyle w:val="paragraphsub"/>
      </w:pPr>
      <w:r w:rsidRPr="00097A86">
        <w:tab/>
        <w:t>(iii)</w:t>
      </w:r>
      <w:r w:rsidRPr="00097A86">
        <w:tab/>
        <w:t>for liquid fuel—in kilolitres estimated under Division</w:t>
      </w:r>
      <w:r w:rsidR="00097A86">
        <w:t> </w:t>
      </w:r>
      <w:r w:rsidRPr="00097A86">
        <w:t>2.4.6; and</w:t>
      </w:r>
    </w:p>
    <w:p w14:paraId="6FCEB55B" w14:textId="77777777" w:rsidR="003E5367" w:rsidRPr="00097A86" w:rsidRDefault="003E5367" w:rsidP="00D22D3F">
      <w:pPr>
        <w:pStyle w:val="paragraphsub"/>
      </w:pPr>
      <w:r w:rsidRPr="00097A86">
        <w:tab/>
        <w:t>(iv)</w:t>
      </w:r>
      <w:r w:rsidRPr="00097A86">
        <w:tab/>
        <w:t>for electricity—in kilowatt hours:</w:t>
      </w:r>
    </w:p>
    <w:p w14:paraId="6810508D" w14:textId="77777777" w:rsidR="003E5367" w:rsidRPr="00097A86" w:rsidRDefault="003E5367" w:rsidP="00D22D3F">
      <w:pPr>
        <w:pStyle w:val="paragraphsub-sub"/>
      </w:pPr>
      <w:r w:rsidRPr="00097A86">
        <w:tab/>
        <w:t>(A)</w:t>
      </w:r>
      <w:r w:rsidRPr="00097A86">
        <w:tab/>
        <w:t>worked out using the evidence mentioned in paragraph</w:t>
      </w:r>
      <w:r w:rsidR="00097A86">
        <w:t> </w:t>
      </w:r>
      <w:r w:rsidRPr="00097A86">
        <w:t>6.5</w:t>
      </w:r>
      <w:r w:rsidR="00103B1D" w:rsidRPr="00097A86">
        <w:t>(2)</w:t>
      </w:r>
      <w:r w:rsidRPr="00097A86">
        <w:t>(a); or</w:t>
      </w:r>
    </w:p>
    <w:p w14:paraId="54EF3206" w14:textId="77777777" w:rsidR="003E5367" w:rsidRPr="00097A86" w:rsidRDefault="003E5367" w:rsidP="00D22D3F">
      <w:pPr>
        <w:pStyle w:val="paragraphsub-sub"/>
      </w:pPr>
      <w:r w:rsidRPr="00097A86">
        <w:tab/>
        <w:t>(B)</w:t>
      </w:r>
      <w:r w:rsidRPr="00097A86">
        <w:tab/>
        <w:t>if the evidence mentioned in paragraph</w:t>
      </w:r>
      <w:r w:rsidR="00097A86">
        <w:t> </w:t>
      </w:r>
      <w:r w:rsidRPr="00097A86">
        <w:t>6.5(2)(a) is unavailable—estimated in accordance with paragraph</w:t>
      </w:r>
      <w:r w:rsidR="00097A86">
        <w:t> </w:t>
      </w:r>
      <w:r w:rsidRPr="00097A86">
        <w:t>6.5(2)(b).</w:t>
      </w:r>
    </w:p>
    <w:p w14:paraId="775EF33B" w14:textId="77777777" w:rsidR="003E5367" w:rsidRPr="00097A86" w:rsidRDefault="003E5367" w:rsidP="00D22D3F">
      <w:pPr>
        <w:pStyle w:val="paragraph"/>
      </w:pPr>
      <w:r w:rsidRPr="00097A86">
        <w:tab/>
        <w:t>(b)</w:t>
      </w:r>
      <w:r w:rsidRPr="00097A86">
        <w:tab/>
        <w:t>the reporting threshold is:</w:t>
      </w:r>
    </w:p>
    <w:p w14:paraId="10A62396" w14:textId="77777777" w:rsidR="003E5367" w:rsidRPr="00097A86" w:rsidRDefault="003E5367" w:rsidP="00D22D3F">
      <w:pPr>
        <w:pStyle w:val="paragraphsub"/>
      </w:pPr>
      <w:r w:rsidRPr="00097A86">
        <w:tab/>
        <w:t>(i)</w:t>
      </w:r>
      <w:r w:rsidRPr="00097A86">
        <w:tab/>
        <w:t>for solid fuel—20 tonnes; or</w:t>
      </w:r>
    </w:p>
    <w:p w14:paraId="50AFDC6D" w14:textId="77777777" w:rsidR="003E5367" w:rsidRPr="00097A86" w:rsidRDefault="003E5367" w:rsidP="00D22D3F">
      <w:pPr>
        <w:pStyle w:val="paragraphsub"/>
      </w:pPr>
      <w:r w:rsidRPr="00097A86">
        <w:tab/>
        <w:t>(ii)</w:t>
      </w:r>
      <w:r w:rsidRPr="00097A86">
        <w:tab/>
        <w:t>for gaseous fuel—13</w:t>
      </w:r>
      <w:r w:rsidR="00097A86">
        <w:t> </w:t>
      </w:r>
      <w:r w:rsidRPr="00097A86">
        <w:t>000 cubic metres; or</w:t>
      </w:r>
    </w:p>
    <w:p w14:paraId="05A81E83" w14:textId="77777777" w:rsidR="003E5367" w:rsidRPr="00097A86" w:rsidRDefault="003E5367" w:rsidP="00D22D3F">
      <w:pPr>
        <w:pStyle w:val="paragraphsub"/>
      </w:pPr>
      <w:r w:rsidRPr="00097A86">
        <w:tab/>
        <w:t>(iii)</w:t>
      </w:r>
      <w:r w:rsidRPr="00097A86">
        <w:tab/>
        <w:t>for liquid fuel—15 kilolitres; or</w:t>
      </w:r>
    </w:p>
    <w:p w14:paraId="1DA7440F" w14:textId="77777777" w:rsidR="00992BEF" w:rsidRDefault="00992BEF" w:rsidP="00992BEF">
      <w:pPr>
        <w:pStyle w:val="paragraphsub"/>
      </w:pPr>
      <w:r w:rsidRPr="00097A86">
        <w:tab/>
        <w:t>(iv)</w:t>
      </w:r>
      <w:r w:rsidRPr="00097A86">
        <w:tab/>
        <w:t>for electricity consumed from a generating unit</w:t>
      </w:r>
      <w:r>
        <w:t xml:space="preserve"> at the facility—that each generating unit has</w:t>
      </w:r>
      <w:r w:rsidRPr="00097A86">
        <w:t xml:space="preserve"> a maximum capacity to produce </w:t>
      </w:r>
      <w:r>
        <w:t xml:space="preserve">at least 0.5 megawatts of electricity and produces over </w:t>
      </w:r>
      <w:r w:rsidRPr="00097A86">
        <w:t>100</w:t>
      </w:r>
      <w:r>
        <w:t> </w:t>
      </w:r>
      <w:r w:rsidRPr="00097A86">
        <w:t>000 kilowatt hours</w:t>
      </w:r>
      <w:r>
        <w:t xml:space="preserve"> of electricity in a reporting year</w:t>
      </w:r>
      <w:r w:rsidRPr="00097A86">
        <w:t>; or</w:t>
      </w:r>
    </w:p>
    <w:p w14:paraId="34EABD54" w14:textId="77777777" w:rsidR="00992BEF" w:rsidRPr="007A544F" w:rsidRDefault="00992BEF" w:rsidP="00992BEF">
      <w:pPr>
        <w:pStyle w:val="paragraphsub"/>
      </w:pPr>
      <w:r>
        <w:tab/>
        <w:t>(</w:t>
      </w:r>
      <w:r w:rsidRPr="00097A86">
        <w:t>v)</w:t>
      </w:r>
      <w:r w:rsidRPr="00097A86">
        <w:tab/>
      </w:r>
      <w:r w:rsidRPr="00222094">
        <w:t>for electricity consumed that was not generated by a generating unit at the facility—20 000 kilowatt hours</w:t>
      </w:r>
      <w:r>
        <w:t>.</w:t>
      </w:r>
    </w:p>
    <w:p w14:paraId="2C6E1D1A" w14:textId="77777777" w:rsidR="003E5367" w:rsidRPr="00097A86" w:rsidRDefault="003E5367" w:rsidP="00D22D3F">
      <w:pPr>
        <w:pStyle w:val="notetext"/>
      </w:pPr>
      <w:r w:rsidRPr="00097A86">
        <w:t>Example</w:t>
      </w:r>
      <w:r w:rsidR="0086261E" w:rsidRPr="00097A86">
        <w:t>:</w:t>
      </w:r>
      <w:r w:rsidR="0086261E" w:rsidRPr="00097A86">
        <w:tab/>
      </w:r>
      <w:r w:rsidRPr="00097A86">
        <w:t>A fuel is consumed without combustion when it is used as a solvent or a flocculent, or as an ingredient in the manufacture of products such as paints, solvents or explosives.</w:t>
      </w:r>
    </w:p>
    <w:p w14:paraId="175F4344" w14:textId="77777777" w:rsidR="003F0D4E" w:rsidRPr="00097A86" w:rsidRDefault="003F0D4E" w:rsidP="00D22D3F">
      <w:pPr>
        <w:pStyle w:val="ActHead5"/>
      </w:pPr>
      <w:bookmarkStart w:id="202" w:name="_Toc13233644"/>
      <w:r w:rsidRPr="00097A86">
        <w:rPr>
          <w:rStyle w:val="CharSectno"/>
        </w:rPr>
        <w:t>2.69</w:t>
      </w:r>
      <w:r w:rsidR="00D22D3F" w:rsidRPr="00097A86">
        <w:t xml:space="preserve">  </w:t>
      </w:r>
      <w:r w:rsidRPr="00097A86">
        <w:t>Apportionment of fuel consumed as carbon reductant or feedstock and energy</w:t>
      </w:r>
      <w:bookmarkEnd w:id="202"/>
    </w:p>
    <w:p w14:paraId="3CA452DB" w14:textId="77777777" w:rsidR="003F0D4E" w:rsidRPr="00097A86" w:rsidRDefault="003F0D4E" w:rsidP="00D22D3F">
      <w:pPr>
        <w:pStyle w:val="subsection"/>
      </w:pPr>
      <w:r w:rsidRPr="00097A86">
        <w:tab/>
        <w:t>(1)</w:t>
      </w:r>
      <w:r w:rsidRPr="00097A86">
        <w:tab/>
        <w:t>This section applies, other than for Division</w:t>
      </w:r>
      <w:r w:rsidR="00097A86">
        <w:t> </w:t>
      </w:r>
      <w:r w:rsidRPr="00097A86">
        <w:t>2.5.3, if:</w:t>
      </w:r>
    </w:p>
    <w:p w14:paraId="070B7C85" w14:textId="77777777" w:rsidR="003F0D4E" w:rsidRPr="00097A86" w:rsidRDefault="003F0D4E" w:rsidP="00D22D3F">
      <w:pPr>
        <w:pStyle w:val="paragraph"/>
      </w:pPr>
      <w:r w:rsidRPr="00097A86">
        <w:tab/>
        <w:t>(a)</w:t>
      </w:r>
      <w:r w:rsidRPr="00097A86">
        <w:tab/>
        <w:t>a fuel type as provided for in a method is consumed from the operation of a facility as either a reductant or a feedstock; and</w:t>
      </w:r>
    </w:p>
    <w:p w14:paraId="5EB4AF70" w14:textId="77777777" w:rsidR="003F0D4E" w:rsidRPr="00097A86" w:rsidRDefault="003F0D4E" w:rsidP="00D22D3F">
      <w:pPr>
        <w:pStyle w:val="paragraph"/>
      </w:pPr>
      <w:r w:rsidRPr="00097A86">
        <w:tab/>
        <w:t>(b)</w:t>
      </w:r>
      <w:r w:rsidRPr="00097A86">
        <w:tab/>
        <w:t>the fuel is combusted for energy; and</w:t>
      </w:r>
    </w:p>
    <w:p w14:paraId="54BB5392" w14:textId="77777777" w:rsidR="003F0D4E" w:rsidRPr="00097A86" w:rsidRDefault="003F0D4E" w:rsidP="00D22D3F">
      <w:pPr>
        <w:pStyle w:val="paragraph"/>
      </w:pPr>
      <w:r w:rsidRPr="00097A86">
        <w:tab/>
        <w:t>(c)</w:t>
      </w:r>
      <w:r w:rsidRPr="00097A86">
        <w:tab/>
        <w:t>the equipment used to measure the amount of the fuel for the relevant purpose was not calibrated to a measurement requirement.</w:t>
      </w:r>
    </w:p>
    <w:p w14:paraId="3181F9DB" w14:textId="77777777" w:rsidR="003F0D4E" w:rsidRPr="00097A86" w:rsidRDefault="00D22D3F" w:rsidP="00D22D3F">
      <w:pPr>
        <w:pStyle w:val="notetext"/>
      </w:pPr>
      <w:r w:rsidRPr="00097A86">
        <w:t>Note:</w:t>
      </w:r>
      <w:r w:rsidRPr="00097A86">
        <w:tab/>
      </w:r>
      <w:r w:rsidR="003F0D4E" w:rsidRPr="00097A86">
        <w:t>Division</w:t>
      </w:r>
      <w:r w:rsidR="00097A86">
        <w:t> </w:t>
      </w:r>
      <w:r w:rsidR="003F0D4E" w:rsidRPr="00097A86">
        <w:t>2.5.3 deals with petrochemicals.</w:t>
      </w:r>
      <w:r w:rsidR="003F0D4E" w:rsidRPr="00097A86">
        <w:rPr>
          <w:i/>
        </w:rPr>
        <w:t xml:space="preserve"> </w:t>
      </w:r>
      <w:r w:rsidR="003F0D4E" w:rsidRPr="00097A86">
        <w:t>For petrochemicals, all fuels, whether used as a feedstock, a reductant or combusted as energy are reported as energy.</w:t>
      </w:r>
    </w:p>
    <w:p w14:paraId="625B1D06" w14:textId="77777777" w:rsidR="003F0D4E" w:rsidRPr="00097A86" w:rsidRDefault="003F0D4E" w:rsidP="00D22D3F">
      <w:pPr>
        <w:pStyle w:val="subsection"/>
      </w:pPr>
      <w:r w:rsidRPr="00097A86">
        <w:tab/>
        <w:t>(2)</w:t>
      </w:r>
      <w:r w:rsidRPr="00097A86">
        <w:tab/>
        <w:t>The amount of the fuel type consumed as a reductant or a feedstock may be estimated:</w:t>
      </w:r>
    </w:p>
    <w:p w14:paraId="5C75608B" w14:textId="77777777" w:rsidR="003F0D4E" w:rsidRPr="00097A86" w:rsidRDefault="003F0D4E" w:rsidP="00D22D3F">
      <w:pPr>
        <w:pStyle w:val="paragraph"/>
      </w:pPr>
      <w:r w:rsidRPr="00097A86">
        <w:tab/>
        <w:t>(a)</w:t>
      </w:r>
      <w:r w:rsidRPr="00097A86">
        <w:tab/>
        <w:t>in accordance with industry measuring devices or industry practice; or</w:t>
      </w:r>
    </w:p>
    <w:p w14:paraId="1E05ADE2" w14:textId="77777777" w:rsidR="003F0D4E" w:rsidRPr="00097A86" w:rsidRDefault="003F0D4E" w:rsidP="00D22D3F">
      <w:pPr>
        <w:pStyle w:val="paragraph"/>
      </w:pPr>
      <w:r w:rsidRPr="00097A86">
        <w:lastRenderedPageBreak/>
        <w:tab/>
        <w:t>(b)</w:t>
      </w:r>
      <w:r w:rsidRPr="00097A86">
        <w:tab/>
        <w:t xml:space="preserve">if it is not practicable to estimate as provided for in </w:t>
      </w:r>
      <w:r w:rsidR="00097A86">
        <w:t>paragraph (</w:t>
      </w:r>
      <w:r w:rsidRPr="00097A86">
        <w:t>a)</w:t>
      </w:r>
      <w:r w:rsidR="00D22D3F" w:rsidRPr="00097A86">
        <w:t>—</w:t>
      </w:r>
      <w:r w:rsidRPr="00097A86">
        <w:t>to be the whole of the amount of the consumption of that fuel type from the operation of the facility.</w:t>
      </w:r>
    </w:p>
    <w:p w14:paraId="5AEC7477" w14:textId="77777777" w:rsidR="003F0D4E" w:rsidRPr="00097A86" w:rsidRDefault="003F0D4E" w:rsidP="00D22D3F">
      <w:pPr>
        <w:pStyle w:val="subsection"/>
      </w:pPr>
      <w:r w:rsidRPr="00097A86">
        <w:tab/>
        <w:t>(3)</w:t>
      </w:r>
      <w:r w:rsidRPr="00097A86">
        <w:tab/>
        <w:t xml:space="preserve">The amount of the fuel type combusted for energy may be estimated as the difference between the total amount of the fuel type consumed from the operation of the facility and the estimated amount worked out under </w:t>
      </w:r>
      <w:r w:rsidR="00097A86">
        <w:t>subsection (</w:t>
      </w:r>
      <w:r w:rsidRPr="00097A86">
        <w:t>2).</w:t>
      </w:r>
    </w:p>
    <w:p w14:paraId="3C3CF05E" w14:textId="77777777" w:rsidR="003F0D4E" w:rsidRPr="00097A86" w:rsidRDefault="003F0D4E" w:rsidP="00D22D3F">
      <w:pPr>
        <w:pStyle w:val="ActHead5"/>
      </w:pPr>
      <w:bookmarkStart w:id="203" w:name="_Toc13233645"/>
      <w:r w:rsidRPr="00097A86">
        <w:rPr>
          <w:rStyle w:val="CharSectno"/>
        </w:rPr>
        <w:t>2.70</w:t>
      </w:r>
      <w:r w:rsidR="00D22D3F" w:rsidRPr="00097A86">
        <w:t xml:space="preserve">  </w:t>
      </w:r>
      <w:r w:rsidRPr="00097A86">
        <w:t>Amount of energy consumed in a cogeneration process</w:t>
      </w:r>
      <w:bookmarkEnd w:id="203"/>
    </w:p>
    <w:p w14:paraId="08DE18A6" w14:textId="77777777" w:rsidR="003F0D4E" w:rsidRPr="00097A86" w:rsidRDefault="003F0D4E" w:rsidP="00D22D3F">
      <w:pPr>
        <w:pStyle w:val="subsection"/>
      </w:pPr>
      <w:r w:rsidRPr="00097A86">
        <w:tab/>
        <w:t>(1)</w:t>
      </w:r>
      <w:r w:rsidRPr="00097A86">
        <w:tab/>
        <w:t>For subregulation</w:t>
      </w:r>
      <w:r w:rsidR="00097A86">
        <w:t> </w:t>
      </w:r>
      <w:r w:rsidRPr="00097A86">
        <w:t xml:space="preserve">4.23(3) of the Regulations and subject to </w:t>
      </w:r>
      <w:r w:rsidR="00097A86">
        <w:t>subsection (</w:t>
      </w:r>
      <w:r w:rsidRPr="00097A86">
        <w:t>3), the method is the efficiency method.</w:t>
      </w:r>
    </w:p>
    <w:p w14:paraId="4B644B41" w14:textId="77777777" w:rsidR="003F0D4E" w:rsidRPr="00097A86" w:rsidRDefault="003F0D4E" w:rsidP="00D22D3F">
      <w:pPr>
        <w:pStyle w:val="subsection"/>
      </w:pPr>
      <w:r w:rsidRPr="00097A86">
        <w:tab/>
        <w:t>(2)</w:t>
      </w:r>
      <w:r w:rsidRPr="00097A86">
        <w:tab/>
        <w:t xml:space="preserve">The </w:t>
      </w:r>
      <w:r w:rsidRPr="00097A86">
        <w:rPr>
          <w:b/>
          <w:i/>
        </w:rPr>
        <w:t>efficiency method</w:t>
      </w:r>
      <w:r w:rsidRPr="00097A86">
        <w:t xml:space="preserve"> is as described in the publication entitled </w:t>
      </w:r>
      <w:r w:rsidRPr="00097A86">
        <w:rPr>
          <w:rStyle w:val="Strong"/>
          <w:b w:val="0"/>
          <w:i/>
        </w:rPr>
        <w:t>Allocation of Emissions from a Combined Heat and Power (CHP) Plant Guide to calculation worksheets (September 2006) v1</w:t>
      </w:r>
      <w:r w:rsidRPr="00097A86">
        <w:rPr>
          <w:rStyle w:val="Strong"/>
          <w:b w:val="0"/>
        </w:rPr>
        <w:t>.</w:t>
      </w:r>
      <w:r w:rsidRPr="00097A86">
        <w:rPr>
          <w:rStyle w:val="Strong"/>
          <w:b w:val="0"/>
          <w:i/>
        </w:rPr>
        <w:t>0</w:t>
      </w:r>
      <w:r w:rsidRPr="00097A86">
        <w:rPr>
          <w:rStyle w:val="Strong"/>
          <w:b w:val="0"/>
        </w:rPr>
        <w:t xml:space="preserve"> issued by the World Resource Institute and World Business Council for Sustainable Development</w:t>
      </w:r>
      <w:r w:rsidRPr="00097A86">
        <w:t>.</w:t>
      </w:r>
    </w:p>
    <w:p w14:paraId="61A7EA3B" w14:textId="77777777" w:rsidR="003F0D4E" w:rsidRPr="00097A86" w:rsidRDefault="003F0D4E" w:rsidP="00D22D3F">
      <w:pPr>
        <w:pStyle w:val="subsection"/>
      </w:pPr>
      <w:r w:rsidRPr="00097A86">
        <w:tab/>
        <w:t>(3)</w:t>
      </w:r>
      <w:r w:rsidRPr="00097A86">
        <w:tab/>
        <w:t>Where heat is to be used mainly for producing mechanical work, the work potential method may be used.</w:t>
      </w:r>
    </w:p>
    <w:p w14:paraId="01D1CFAD" w14:textId="77777777" w:rsidR="003F0D4E" w:rsidRPr="00097A86" w:rsidRDefault="003F0D4E" w:rsidP="00D22D3F">
      <w:pPr>
        <w:pStyle w:val="subsection"/>
        <w:rPr>
          <w:rStyle w:val="Strong"/>
          <w:b w:val="0"/>
        </w:rPr>
      </w:pPr>
      <w:r w:rsidRPr="00097A86">
        <w:tab/>
        <w:t>(4)</w:t>
      </w:r>
      <w:r w:rsidRPr="00097A86">
        <w:tab/>
        <w:t xml:space="preserve">The </w:t>
      </w:r>
      <w:r w:rsidRPr="00097A86">
        <w:rPr>
          <w:b/>
          <w:i/>
        </w:rPr>
        <w:t>work potential method</w:t>
      </w:r>
      <w:r w:rsidRPr="00097A86">
        <w:t xml:space="preserve"> is as described in the publication entitled </w:t>
      </w:r>
      <w:r w:rsidRPr="00097A86">
        <w:rPr>
          <w:rStyle w:val="Strong"/>
          <w:b w:val="0"/>
          <w:i/>
        </w:rPr>
        <w:t>Allocation of Emissions from a Combined Heat and Power (CHP) Plant Guide to calculation worksheets (September 2006) v1</w:t>
      </w:r>
      <w:r w:rsidRPr="00097A86">
        <w:rPr>
          <w:rStyle w:val="Strong"/>
          <w:b w:val="0"/>
        </w:rPr>
        <w:t>.</w:t>
      </w:r>
      <w:r w:rsidRPr="00097A86">
        <w:rPr>
          <w:rStyle w:val="Strong"/>
          <w:b w:val="0"/>
          <w:i/>
        </w:rPr>
        <w:t>0</w:t>
      </w:r>
      <w:r w:rsidRPr="00097A86">
        <w:rPr>
          <w:rStyle w:val="Strong"/>
          <w:b w:val="0"/>
        </w:rPr>
        <w:t xml:space="preserve"> issued by the World Resource Institute and World Business Council for Sustainable Development.</w:t>
      </w:r>
    </w:p>
    <w:p w14:paraId="6918C516" w14:textId="77777777" w:rsidR="003F0D4E" w:rsidRPr="00097A86" w:rsidRDefault="003F0D4E" w:rsidP="00D22D3F">
      <w:pPr>
        <w:pStyle w:val="ActHead5"/>
      </w:pPr>
      <w:bookmarkStart w:id="204" w:name="_Toc13233646"/>
      <w:r w:rsidRPr="00097A86">
        <w:rPr>
          <w:rStyle w:val="CharSectno"/>
        </w:rPr>
        <w:t>2.71</w:t>
      </w:r>
      <w:r w:rsidR="00D22D3F" w:rsidRPr="00097A86">
        <w:t xml:space="preserve">  </w:t>
      </w:r>
      <w:r w:rsidRPr="00097A86">
        <w:t>Apportionment of energy consumed for electricity, transport and for stationary energy</w:t>
      </w:r>
      <w:bookmarkEnd w:id="204"/>
    </w:p>
    <w:p w14:paraId="764DC165" w14:textId="77777777" w:rsidR="003F0D4E" w:rsidRPr="00097A86" w:rsidRDefault="003F0D4E" w:rsidP="00D22D3F">
      <w:pPr>
        <w:pStyle w:val="subsection"/>
      </w:pPr>
      <w:r w:rsidRPr="00097A86">
        <w:tab/>
      </w:r>
      <w:r w:rsidRPr="00097A86">
        <w:tab/>
        <w:t>Subject to section</w:t>
      </w:r>
      <w:r w:rsidR="00097A86">
        <w:t> </w:t>
      </w:r>
      <w:r w:rsidRPr="00097A86">
        <w:t>2.70, the amount of fuel type (</w:t>
      </w:r>
      <w:r w:rsidRPr="00097A86">
        <w:rPr>
          <w:b/>
          <w:i/>
        </w:rPr>
        <w:t>i</w:t>
      </w:r>
      <w:r w:rsidRPr="00097A86">
        <w:t xml:space="preserve">) consumed by a reporting corporation </w:t>
      </w:r>
      <w:r w:rsidR="00843EC9" w:rsidRPr="00097A86">
        <w:t xml:space="preserve">or </w:t>
      </w:r>
      <w:r w:rsidR="00FB7093">
        <w:t>registered person</w:t>
      </w:r>
      <w:r w:rsidR="00843EC9" w:rsidRPr="00097A86">
        <w:t xml:space="preserve"> </w:t>
      </w:r>
      <w:r w:rsidRPr="00097A86">
        <w:t xml:space="preserve">that is apportioned between electricity generation, transport (excluding international bunker fuels) and other stationary energy purposes may be determined using the </w:t>
      </w:r>
      <w:r w:rsidR="00843EC9" w:rsidRPr="00097A86">
        <w:t xml:space="preserve">records of the corporation or </w:t>
      </w:r>
      <w:r w:rsidR="00FB7093">
        <w:t>registered person</w:t>
      </w:r>
      <w:r w:rsidRPr="00097A86">
        <w:t xml:space="preserve"> if the records are based on the measurement equipment used by the corporation </w:t>
      </w:r>
      <w:r w:rsidR="00843EC9" w:rsidRPr="00097A86">
        <w:t xml:space="preserve">or the </w:t>
      </w:r>
      <w:r w:rsidR="00FB7093">
        <w:t>registered person</w:t>
      </w:r>
      <w:r w:rsidR="00843EC9" w:rsidRPr="00097A86">
        <w:t xml:space="preserve"> </w:t>
      </w:r>
      <w:r w:rsidRPr="00097A86">
        <w:t>to measure consumption of the fuel types.</w:t>
      </w:r>
    </w:p>
    <w:p w14:paraId="20013FD2" w14:textId="77777777" w:rsidR="000E12DC" w:rsidRPr="00097A86" w:rsidRDefault="000E12DC" w:rsidP="00C64E4F">
      <w:pPr>
        <w:pStyle w:val="ActHead1"/>
        <w:pageBreakBefore/>
      </w:pPr>
      <w:bookmarkStart w:id="205" w:name="_Toc13233647"/>
      <w:r w:rsidRPr="00097A86">
        <w:rPr>
          <w:rStyle w:val="CharChapNo"/>
        </w:rPr>
        <w:lastRenderedPageBreak/>
        <w:t>Chapter</w:t>
      </w:r>
      <w:r w:rsidR="00097A86">
        <w:rPr>
          <w:rStyle w:val="CharChapNo"/>
        </w:rPr>
        <w:t> </w:t>
      </w:r>
      <w:r w:rsidRPr="00097A86">
        <w:rPr>
          <w:rStyle w:val="CharChapNo"/>
        </w:rPr>
        <w:t>3</w:t>
      </w:r>
      <w:r w:rsidR="00D22D3F" w:rsidRPr="00097A86">
        <w:t>—</w:t>
      </w:r>
      <w:r w:rsidRPr="00097A86">
        <w:rPr>
          <w:rStyle w:val="CharChapText"/>
        </w:rPr>
        <w:t>Fugitive emissions</w:t>
      </w:r>
      <w:bookmarkEnd w:id="205"/>
    </w:p>
    <w:p w14:paraId="6AFA2624" w14:textId="77777777" w:rsidR="003F0D4E" w:rsidRPr="00097A86" w:rsidRDefault="003F0D4E" w:rsidP="00D22D3F">
      <w:pPr>
        <w:pStyle w:val="ActHead2"/>
      </w:pPr>
      <w:bookmarkStart w:id="206" w:name="_Toc13233648"/>
      <w:r w:rsidRPr="00097A86">
        <w:rPr>
          <w:rStyle w:val="CharPartNo"/>
        </w:rPr>
        <w:t>Part</w:t>
      </w:r>
      <w:r w:rsidR="00097A86">
        <w:rPr>
          <w:rStyle w:val="CharPartNo"/>
        </w:rPr>
        <w:t> </w:t>
      </w:r>
      <w:r w:rsidRPr="00097A86">
        <w:rPr>
          <w:rStyle w:val="CharPartNo"/>
        </w:rPr>
        <w:t>3.1</w:t>
      </w:r>
      <w:r w:rsidR="00D22D3F" w:rsidRPr="00097A86">
        <w:t>—</w:t>
      </w:r>
      <w:r w:rsidRPr="00097A86">
        <w:rPr>
          <w:rStyle w:val="CharPartText"/>
        </w:rPr>
        <w:t>Preliminary</w:t>
      </w:r>
      <w:bookmarkEnd w:id="206"/>
    </w:p>
    <w:p w14:paraId="19961E87"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2F1DE6CD" w14:textId="77777777" w:rsidR="000E12DC" w:rsidRPr="00097A86" w:rsidRDefault="000E12DC" w:rsidP="00D22D3F">
      <w:pPr>
        <w:pStyle w:val="ActHead5"/>
      </w:pPr>
      <w:bookmarkStart w:id="207" w:name="_Toc13233649"/>
      <w:r w:rsidRPr="00097A86">
        <w:rPr>
          <w:rStyle w:val="CharSectno"/>
        </w:rPr>
        <w:t>3.1</w:t>
      </w:r>
      <w:r w:rsidR="00D22D3F" w:rsidRPr="00097A86">
        <w:t xml:space="preserve">  </w:t>
      </w:r>
      <w:r w:rsidRPr="00097A86">
        <w:t>Outline of Chapter</w:t>
      </w:r>
      <w:bookmarkEnd w:id="207"/>
    </w:p>
    <w:p w14:paraId="292C246F" w14:textId="77777777" w:rsidR="000E12DC" w:rsidRPr="00097A86" w:rsidRDefault="000E12DC" w:rsidP="00D22D3F">
      <w:pPr>
        <w:pStyle w:val="subsection"/>
      </w:pPr>
      <w:r w:rsidRPr="00097A86">
        <w:tab/>
      </w:r>
      <w:r w:rsidRPr="00097A86">
        <w:tab/>
        <w:t>This Chapter provides for fugitive emissions from the following:</w:t>
      </w:r>
    </w:p>
    <w:p w14:paraId="1D7E87A0" w14:textId="77777777" w:rsidR="000E12DC" w:rsidRPr="00097A86" w:rsidRDefault="000E12DC" w:rsidP="00D22D3F">
      <w:pPr>
        <w:pStyle w:val="paragraph"/>
      </w:pPr>
      <w:r w:rsidRPr="00097A86">
        <w:tab/>
        <w:t>(a)</w:t>
      </w:r>
      <w:r w:rsidRPr="00097A86">
        <w:tab/>
        <w:t>coal mining (see Part</w:t>
      </w:r>
      <w:r w:rsidR="00097A86">
        <w:t> </w:t>
      </w:r>
      <w:r w:rsidRPr="00097A86">
        <w:t>3.2);</w:t>
      </w:r>
    </w:p>
    <w:p w14:paraId="1A25BBAD" w14:textId="77777777" w:rsidR="000E12DC" w:rsidRPr="00097A86" w:rsidRDefault="000E12DC" w:rsidP="00D22D3F">
      <w:pPr>
        <w:pStyle w:val="paragraph"/>
      </w:pPr>
      <w:r w:rsidRPr="00097A86">
        <w:tab/>
        <w:t>(b)</w:t>
      </w:r>
      <w:r w:rsidRPr="00097A86">
        <w:tab/>
        <w:t>oil and natural gas (see Part</w:t>
      </w:r>
      <w:r w:rsidR="00097A86">
        <w:t> </w:t>
      </w:r>
      <w:r w:rsidRPr="00097A86">
        <w:t>3.3);</w:t>
      </w:r>
    </w:p>
    <w:p w14:paraId="349D9851" w14:textId="77777777" w:rsidR="000E12DC" w:rsidRPr="00097A86" w:rsidRDefault="000E12DC" w:rsidP="00D22D3F">
      <w:pPr>
        <w:pStyle w:val="paragraph"/>
      </w:pPr>
      <w:r w:rsidRPr="00097A86">
        <w:tab/>
        <w:t>(c)</w:t>
      </w:r>
      <w:r w:rsidRPr="00097A86">
        <w:tab/>
        <w:t>carbon capture and storage (see Part</w:t>
      </w:r>
      <w:r w:rsidR="00097A86">
        <w:t> </w:t>
      </w:r>
      <w:r w:rsidRPr="00097A86">
        <w:t>3.4).</w:t>
      </w:r>
    </w:p>
    <w:p w14:paraId="1CE9254F" w14:textId="77777777" w:rsidR="000D7E86" w:rsidRPr="00097A86" w:rsidRDefault="000D7E86" w:rsidP="009A46A7">
      <w:pPr>
        <w:pStyle w:val="ActHead2"/>
        <w:pageBreakBefore/>
      </w:pPr>
      <w:bookmarkStart w:id="208" w:name="_Toc13233650"/>
      <w:r w:rsidRPr="00097A86">
        <w:rPr>
          <w:rStyle w:val="CharPartNo"/>
        </w:rPr>
        <w:lastRenderedPageBreak/>
        <w:t>Part</w:t>
      </w:r>
      <w:r w:rsidR="00097A86">
        <w:rPr>
          <w:rStyle w:val="CharPartNo"/>
        </w:rPr>
        <w:t> </w:t>
      </w:r>
      <w:r w:rsidRPr="00097A86">
        <w:rPr>
          <w:rStyle w:val="CharPartNo"/>
        </w:rPr>
        <w:t>3.2</w:t>
      </w:r>
      <w:r w:rsidR="00D22D3F" w:rsidRPr="00097A86">
        <w:t>—</w:t>
      </w:r>
      <w:r w:rsidRPr="00097A86">
        <w:rPr>
          <w:rStyle w:val="CharPartText"/>
        </w:rPr>
        <w:t>Coal mining</w:t>
      </w:r>
      <w:r w:rsidR="00D22D3F" w:rsidRPr="00097A86">
        <w:rPr>
          <w:rStyle w:val="CharPartText"/>
        </w:rPr>
        <w:t>—</w:t>
      </w:r>
      <w:r w:rsidRPr="00097A86">
        <w:rPr>
          <w:rStyle w:val="CharPartText"/>
        </w:rPr>
        <w:t>fugitive emissions</w:t>
      </w:r>
      <w:bookmarkEnd w:id="208"/>
    </w:p>
    <w:p w14:paraId="3748FEEC" w14:textId="77777777" w:rsidR="003F0D4E" w:rsidRPr="00097A86" w:rsidRDefault="003F0D4E" w:rsidP="00D22D3F">
      <w:pPr>
        <w:pStyle w:val="ActHead3"/>
      </w:pPr>
      <w:bookmarkStart w:id="209" w:name="_Toc13233651"/>
      <w:r w:rsidRPr="00097A86">
        <w:rPr>
          <w:rStyle w:val="CharDivNo"/>
        </w:rPr>
        <w:t>Division</w:t>
      </w:r>
      <w:r w:rsidR="00097A86">
        <w:rPr>
          <w:rStyle w:val="CharDivNo"/>
        </w:rPr>
        <w:t> </w:t>
      </w:r>
      <w:r w:rsidRPr="00097A86">
        <w:rPr>
          <w:rStyle w:val="CharDivNo"/>
        </w:rPr>
        <w:t>3.2.1</w:t>
      </w:r>
      <w:r w:rsidR="00D22D3F" w:rsidRPr="00097A86">
        <w:t>—</w:t>
      </w:r>
      <w:r w:rsidRPr="00097A86">
        <w:rPr>
          <w:rStyle w:val="CharDivText"/>
        </w:rPr>
        <w:t>Preliminary</w:t>
      </w:r>
      <w:bookmarkEnd w:id="209"/>
    </w:p>
    <w:p w14:paraId="0668788F" w14:textId="77777777" w:rsidR="000D7E86" w:rsidRPr="00097A86" w:rsidRDefault="000D7E86" w:rsidP="00D22D3F">
      <w:pPr>
        <w:pStyle w:val="ActHead5"/>
      </w:pPr>
      <w:bookmarkStart w:id="210" w:name="_Toc13233652"/>
      <w:r w:rsidRPr="00097A86">
        <w:rPr>
          <w:rStyle w:val="CharSectno"/>
        </w:rPr>
        <w:t>3.2</w:t>
      </w:r>
      <w:r w:rsidR="00D22D3F" w:rsidRPr="00097A86">
        <w:t xml:space="preserve">  </w:t>
      </w:r>
      <w:r w:rsidRPr="00097A86">
        <w:t>Outline of Part</w:t>
      </w:r>
      <w:bookmarkEnd w:id="210"/>
    </w:p>
    <w:p w14:paraId="70E5AABD" w14:textId="77777777" w:rsidR="000D7E86" w:rsidRPr="00097A86" w:rsidRDefault="000D7E86" w:rsidP="00D22D3F">
      <w:pPr>
        <w:pStyle w:val="subsection"/>
      </w:pPr>
      <w:r w:rsidRPr="00097A86">
        <w:tab/>
      </w:r>
      <w:r w:rsidRPr="00097A86">
        <w:tab/>
        <w:t>This Part provides for fugitive emissions from coal mining, as follows:</w:t>
      </w:r>
    </w:p>
    <w:p w14:paraId="35D3F59E" w14:textId="77777777" w:rsidR="000D7E86" w:rsidRPr="00097A86" w:rsidRDefault="000D7E86" w:rsidP="00D22D3F">
      <w:pPr>
        <w:pStyle w:val="paragraph"/>
      </w:pPr>
      <w:r w:rsidRPr="00097A86">
        <w:tab/>
        <w:t>(a)</w:t>
      </w:r>
      <w:r w:rsidRPr="00097A86">
        <w:tab/>
        <w:t>underground mining activities (see Division</w:t>
      </w:r>
      <w:r w:rsidR="00097A86">
        <w:t> </w:t>
      </w:r>
      <w:r w:rsidRPr="00097A86">
        <w:t>3.2.2);</w:t>
      </w:r>
    </w:p>
    <w:p w14:paraId="1F828A0A" w14:textId="77777777" w:rsidR="000D7E86" w:rsidRPr="00097A86" w:rsidRDefault="000D7E86" w:rsidP="00D22D3F">
      <w:pPr>
        <w:pStyle w:val="paragraph"/>
      </w:pPr>
      <w:r w:rsidRPr="00097A86">
        <w:tab/>
        <w:t>(b)</w:t>
      </w:r>
      <w:r w:rsidRPr="00097A86">
        <w:tab/>
        <w:t>open cut mining activities (see Division</w:t>
      </w:r>
      <w:r w:rsidR="00097A86">
        <w:t> </w:t>
      </w:r>
      <w:r w:rsidRPr="00097A86">
        <w:t>3.2.3);</w:t>
      </w:r>
    </w:p>
    <w:p w14:paraId="6DF65ABA" w14:textId="77777777" w:rsidR="000D7E86" w:rsidRPr="00097A86" w:rsidRDefault="000D7E86" w:rsidP="00D22D3F">
      <w:pPr>
        <w:pStyle w:val="paragraph"/>
      </w:pPr>
      <w:r w:rsidRPr="00097A86">
        <w:tab/>
        <w:t>(c)</w:t>
      </w:r>
      <w:r w:rsidRPr="00097A86">
        <w:tab/>
        <w:t>decommissioned underground mines (see Division</w:t>
      </w:r>
      <w:r w:rsidR="00097A86">
        <w:t> </w:t>
      </w:r>
      <w:r w:rsidRPr="00097A86">
        <w:t>3.2.4).</w:t>
      </w:r>
    </w:p>
    <w:p w14:paraId="1F037B26" w14:textId="77777777" w:rsidR="003F0D4E" w:rsidRPr="00097A86" w:rsidRDefault="003F0D4E" w:rsidP="00D22D3F">
      <w:pPr>
        <w:pStyle w:val="ActHead3"/>
        <w:pageBreakBefore/>
      </w:pPr>
      <w:bookmarkStart w:id="211" w:name="_Toc13233653"/>
      <w:r w:rsidRPr="00097A86">
        <w:rPr>
          <w:rStyle w:val="CharDivNo"/>
        </w:rPr>
        <w:lastRenderedPageBreak/>
        <w:t>Division</w:t>
      </w:r>
      <w:r w:rsidR="00097A86">
        <w:rPr>
          <w:rStyle w:val="CharDivNo"/>
        </w:rPr>
        <w:t> </w:t>
      </w:r>
      <w:r w:rsidRPr="00097A86">
        <w:rPr>
          <w:rStyle w:val="CharDivNo"/>
        </w:rPr>
        <w:t>3.2.2</w:t>
      </w:r>
      <w:r w:rsidR="00D22D3F" w:rsidRPr="00097A86">
        <w:t>—</w:t>
      </w:r>
      <w:r w:rsidRPr="00097A86">
        <w:rPr>
          <w:rStyle w:val="CharDivText"/>
        </w:rPr>
        <w:t>Underground mines</w:t>
      </w:r>
      <w:bookmarkEnd w:id="211"/>
    </w:p>
    <w:p w14:paraId="639811BB" w14:textId="77777777" w:rsidR="003F0D4E" w:rsidRPr="00097A86" w:rsidRDefault="003F0D4E" w:rsidP="00D22D3F">
      <w:pPr>
        <w:pStyle w:val="ActHead4"/>
      </w:pPr>
      <w:bookmarkStart w:id="212" w:name="_Toc13233654"/>
      <w:r w:rsidRPr="00097A86">
        <w:rPr>
          <w:rStyle w:val="CharSubdNo"/>
        </w:rPr>
        <w:t>Subdivision</w:t>
      </w:r>
      <w:r w:rsidR="00097A86">
        <w:rPr>
          <w:rStyle w:val="CharSubdNo"/>
        </w:rPr>
        <w:t> </w:t>
      </w:r>
      <w:r w:rsidRPr="00097A86">
        <w:rPr>
          <w:rStyle w:val="CharSubdNo"/>
        </w:rPr>
        <w:t>3.2.2.1</w:t>
      </w:r>
      <w:r w:rsidR="00D22D3F" w:rsidRPr="00097A86">
        <w:t>—</w:t>
      </w:r>
      <w:r w:rsidRPr="00097A86">
        <w:rPr>
          <w:rStyle w:val="CharSubdText"/>
        </w:rPr>
        <w:t>Preliminary</w:t>
      </w:r>
      <w:bookmarkEnd w:id="212"/>
    </w:p>
    <w:p w14:paraId="5BED2439" w14:textId="77777777" w:rsidR="003F0D4E" w:rsidRPr="00097A86" w:rsidRDefault="003F0D4E" w:rsidP="00D22D3F">
      <w:pPr>
        <w:pStyle w:val="ActHead5"/>
      </w:pPr>
      <w:bookmarkStart w:id="213" w:name="_Toc13233655"/>
      <w:r w:rsidRPr="00097A86">
        <w:rPr>
          <w:rStyle w:val="CharSectno"/>
        </w:rPr>
        <w:t>3.3</w:t>
      </w:r>
      <w:r w:rsidR="00D22D3F" w:rsidRPr="00097A86">
        <w:t xml:space="preserve">  </w:t>
      </w:r>
      <w:r w:rsidRPr="00097A86">
        <w:t>Application</w:t>
      </w:r>
      <w:bookmarkEnd w:id="213"/>
    </w:p>
    <w:p w14:paraId="33939120" w14:textId="77777777" w:rsidR="003F0D4E" w:rsidRPr="00097A86" w:rsidRDefault="003F0D4E" w:rsidP="00D22D3F">
      <w:pPr>
        <w:pStyle w:val="subsection"/>
      </w:pPr>
      <w:r w:rsidRPr="00097A86">
        <w:tab/>
      </w:r>
      <w:r w:rsidRPr="00097A86">
        <w:tab/>
        <w:t>This Division applies to fugitive emissions from underground mining activities (other than decommissioned underground mines).</w:t>
      </w:r>
    </w:p>
    <w:p w14:paraId="3F333A1D" w14:textId="77777777" w:rsidR="003F0D4E" w:rsidRPr="00097A86" w:rsidRDefault="003F0D4E" w:rsidP="00D22D3F">
      <w:pPr>
        <w:pStyle w:val="ActHead5"/>
      </w:pPr>
      <w:bookmarkStart w:id="214" w:name="_Toc13233656"/>
      <w:r w:rsidRPr="00097A86">
        <w:rPr>
          <w:rStyle w:val="CharSectno"/>
        </w:rPr>
        <w:t>3.4</w:t>
      </w:r>
      <w:r w:rsidR="00D22D3F" w:rsidRPr="00097A86">
        <w:t xml:space="preserve">  </w:t>
      </w:r>
      <w:r w:rsidRPr="00097A86">
        <w:t>Available methods</w:t>
      </w:r>
      <w:bookmarkEnd w:id="214"/>
    </w:p>
    <w:p w14:paraId="2B493AEF"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during a year from the operation of a facility that is constituted by underground mining activities (other than decommissioned underground mines) the methods as set out in this section must be used.</w:t>
      </w:r>
    </w:p>
    <w:p w14:paraId="3366B8D8" w14:textId="77777777" w:rsidR="00DF5093" w:rsidRPr="00097A86" w:rsidRDefault="00DF5093" w:rsidP="00D22D3F">
      <w:pPr>
        <w:pStyle w:val="SubsectionHead"/>
      </w:pPr>
      <w:r w:rsidRPr="00097A86">
        <w:t>Methane from extraction of coal</w:t>
      </w:r>
    </w:p>
    <w:p w14:paraId="06CDFE07" w14:textId="77777777" w:rsidR="00DF5093" w:rsidRPr="00097A86" w:rsidRDefault="00DF5093" w:rsidP="00D22D3F">
      <w:pPr>
        <w:pStyle w:val="subsection"/>
      </w:pPr>
      <w:r w:rsidRPr="00097A86">
        <w:tab/>
        <w:t>(2)</w:t>
      </w:r>
      <w:r w:rsidRPr="00097A86">
        <w:tab/>
        <w:t>Method 4 under section</w:t>
      </w:r>
      <w:r w:rsidR="00097A86">
        <w:t> </w:t>
      </w:r>
      <w:r w:rsidRPr="00097A86">
        <w:t>3.6 must be used for estimating fugitive emissions of methane that result from the extraction of coal from the underground mine.</w:t>
      </w:r>
    </w:p>
    <w:p w14:paraId="279717EE" w14:textId="77777777" w:rsidR="00DF5093" w:rsidRPr="00097A86" w:rsidRDefault="00D22D3F" w:rsidP="00D22D3F">
      <w:pPr>
        <w:pStyle w:val="notetext"/>
      </w:pPr>
      <w:r w:rsidRPr="00097A86">
        <w:t>Note:</w:t>
      </w:r>
      <w:r w:rsidRPr="00097A86">
        <w:tab/>
      </w:r>
      <w:r w:rsidR="00DF5093" w:rsidRPr="00097A86">
        <w:t xml:space="preserve">There is no method 1, 2 or 3 for </w:t>
      </w:r>
      <w:r w:rsidR="00097A86">
        <w:t>subsection (</w:t>
      </w:r>
      <w:r w:rsidR="00DF5093" w:rsidRPr="00097A86">
        <w:t>2).</w:t>
      </w:r>
    </w:p>
    <w:p w14:paraId="6A7DC094" w14:textId="77777777" w:rsidR="00DF5093" w:rsidRPr="00097A86" w:rsidRDefault="00DF5093" w:rsidP="00D22D3F">
      <w:pPr>
        <w:pStyle w:val="SubsectionHead"/>
      </w:pPr>
      <w:r w:rsidRPr="00097A86">
        <w:t>Carbon dioxide from extraction of coal</w:t>
      </w:r>
    </w:p>
    <w:p w14:paraId="7551D3AA" w14:textId="77777777" w:rsidR="00DF5093" w:rsidRPr="00097A86" w:rsidRDefault="00DF5093" w:rsidP="00D22D3F">
      <w:pPr>
        <w:pStyle w:val="subsection"/>
      </w:pPr>
      <w:r w:rsidRPr="00097A86">
        <w:tab/>
        <w:t>(3)</w:t>
      </w:r>
      <w:r w:rsidRPr="00097A86">
        <w:tab/>
        <w:t>Method 4 under section</w:t>
      </w:r>
      <w:r w:rsidR="00097A86">
        <w:t> </w:t>
      </w:r>
      <w:r w:rsidRPr="00097A86">
        <w:t xml:space="preserve">3.6 must be used for estimating fugitive emissions of carbon dioxide that result from the extraction of coal from the underground mine. </w:t>
      </w:r>
    </w:p>
    <w:p w14:paraId="5F322228" w14:textId="77777777" w:rsidR="003F0D4E" w:rsidRPr="00097A86" w:rsidRDefault="00D22D3F" w:rsidP="00D22D3F">
      <w:pPr>
        <w:pStyle w:val="notetext"/>
      </w:pPr>
      <w:r w:rsidRPr="00097A86">
        <w:t>Note:</w:t>
      </w:r>
      <w:r w:rsidRPr="00097A86">
        <w:tab/>
      </w:r>
      <w:r w:rsidR="003F0D4E" w:rsidRPr="00097A86">
        <w:t xml:space="preserve">There is no method 1, 2 or 3 for </w:t>
      </w:r>
      <w:r w:rsidR="00097A86">
        <w:t>subsection (</w:t>
      </w:r>
      <w:r w:rsidR="003F0D4E" w:rsidRPr="00097A86">
        <w:t>3).</w:t>
      </w:r>
    </w:p>
    <w:p w14:paraId="21554D0C" w14:textId="77777777" w:rsidR="003F0D4E" w:rsidRPr="00097A86" w:rsidRDefault="003F0D4E" w:rsidP="00D22D3F">
      <w:pPr>
        <w:pStyle w:val="SubsectionHead"/>
      </w:pPr>
      <w:r w:rsidRPr="00097A86">
        <w:t>Flaring</w:t>
      </w:r>
    </w:p>
    <w:p w14:paraId="60798A24" w14:textId="77777777" w:rsidR="003F0D4E" w:rsidRPr="00097A86" w:rsidRDefault="003F0D4E" w:rsidP="00D22D3F">
      <w:pPr>
        <w:pStyle w:val="subsection"/>
      </w:pPr>
      <w:r w:rsidRPr="00097A86">
        <w:tab/>
        <w:t>(4)</w:t>
      </w:r>
      <w:r w:rsidRPr="00097A86">
        <w:tab/>
        <w:t>For estimating emissions released from coal mine waste gas flared from the underground mine:</w:t>
      </w:r>
    </w:p>
    <w:p w14:paraId="31B57D8A" w14:textId="77777777" w:rsidR="003F0D4E" w:rsidRPr="00097A86" w:rsidRDefault="003F0D4E" w:rsidP="00D22D3F">
      <w:pPr>
        <w:pStyle w:val="paragraph"/>
      </w:pPr>
      <w:r w:rsidRPr="00097A86">
        <w:tab/>
        <w:t>(a)</w:t>
      </w:r>
      <w:r w:rsidRPr="00097A86">
        <w:tab/>
        <w:t>one of the following methods must be used for estimating emissions of carbon dioxide released:</w:t>
      </w:r>
    </w:p>
    <w:p w14:paraId="1A9DF7A5" w14:textId="77777777" w:rsidR="003F0D4E" w:rsidRPr="00097A86" w:rsidRDefault="003F0D4E" w:rsidP="00D22D3F">
      <w:pPr>
        <w:pStyle w:val="paragraphsub"/>
      </w:pPr>
      <w:r w:rsidRPr="00097A86">
        <w:tab/>
        <w:t>(i)</w:t>
      </w:r>
      <w:r w:rsidRPr="00097A86">
        <w:tab/>
        <w:t>method 1 under section</w:t>
      </w:r>
      <w:r w:rsidR="00097A86">
        <w:t> </w:t>
      </w:r>
      <w:r w:rsidRPr="00097A86">
        <w:t>3.14;</w:t>
      </w:r>
    </w:p>
    <w:p w14:paraId="3932269F" w14:textId="77777777" w:rsidR="003F0D4E" w:rsidRPr="00097A86" w:rsidRDefault="003F0D4E" w:rsidP="00D22D3F">
      <w:pPr>
        <w:pStyle w:val="paragraphsub"/>
      </w:pPr>
      <w:r w:rsidRPr="00097A86">
        <w:tab/>
        <w:t>(ii)</w:t>
      </w:r>
      <w:r w:rsidRPr="00097A86">
        <w:tab/>
        <w:t>method 2 under section</w:t>
      </w:r>
      <w:r w:rsidR="00097A86">
        <w:t> </w:t>
      </w:r>
      <w:r w:rsidRPr="00097A86">
        <w:t>3.15;</w:t>
      </w:r>
    </w:p>
    <w:p w14:paraId="540065A5" w14:textId="77777777" w:rsidR="003F0D4E" w:rsidRPr="00097A86" w:rsidRDefault="003F0D4E" w:rsidP="00D22D3F">
      <w:pPr>
        <w:pStyle w:val="paragraphsub"/>
      </w:pPr>
      <w:r w:rsidRPr="00097A86">
        <w:tab/>
        <w:t>(iii)</w:t>
      </w:r>
      <w:r w:rsidRPr="00097A86">
        <w:tab/>
        <w:t>method 3 under section</w:t>
      </w:r>
      <w:r w:rsidR="00097A86">
        <w:t> </w:t>
      </w:r>
      <w:r w:rsidRPr="00097A86">
        <w:t>3.16; and</w:t>
      </w:r>
    </w:p>
    <w:p w14:paraId="2E485A83" w14:textId="77777777" w:rsidR="00843EC9" w:rsidRPr="00097A86" w:rsidRDefault="00843EC9" w:rsidP="00843EC9">
      <w:pPr>
        <w:pStyle w:val="paragraph"/>
      </w:pPr>
      <w:r w:rsidRPr="00097A86">
        <w:tab/>
        <w:t>(b)</w:t>
      </w:r>
      <w:r w:rsidRPr="00097A86">
        <w:tab/>
        <w:t>one of the following methods must be used for estimating emissions of methane released:</w:t>
      </w:r>
    </w:p>
    <w:p w14:paraId="28C518D3" w14:textId="77777777" w:rsidR="00843EC9" w:rsidRPr="00097A86" w:rsidRDefault="00843EC9" w:rsidP="00843EC9">
      <w:pPr>
        <w:pStyle w:val="paragraphsub"/>
      </w:pPr>
      <w:r w:rsidRPr="00097A86">
        <w:tab/>
        <w:t>(i)</w:t>
      </w:r>
      <w:r w:rsidRPr="00097A86">
        <w:tab/>
        <w:t>method 1 under section</w:t>
      </w:r>
      <w:r w:rsidR="00097A86">
        <w:t> </w:t>
      </w:r>
      <w:r w:rsidRPr="00097A86">
        <w:t>3.14;</w:t>
      </w:r>
    </w:p>
    <w:p w14:paraId="2C562A33" w14:textId="77777777" w:rsidR="00843EC9" w:rsidRPr="00097A86" w:rsidRDefault="00843EC9" w:rsidP="00843EC9">
      <w:pPr>
        <w:pStyle w:val="paragraphsub"/>
      </w:pPr>
      <w:r w:rsidRPr="00097A86">
        <w:tab/>
        <w:t>(ii)</w:t>
      </w:r>
      <w:r w:rsidRPr="00097A86">
        <w:tab/>
        <w:t>method 2 under section</w:t>
      </w:r>
      <w:r w:rsidR="00097A86">
        <w:t> </w:t>
      </w:r>
      <w:r w:rsidRPr="00097A86">
        <w:t>3.15A; and</w:t>
      </w:r>
    </w:p>
    <w:p w14:paraId="009DAE50" w14:textId="77777777" w:rsidR="00843EC9" w:rsidRPr="00097A86" w:rsidRDefault="00843EC9" w:rsidP="00843EC9">
      <w:pPr>
        <w:pStyle w:val="paragraph"/>
      </w:pPr>
      <w:r w:rsidRPr="00097A86">
        <w:tab/>
        <w:t>(c)</w:t>
      </w:r>
      <w:r w:rsidRPr="00097A86">
        <w:tab/>
        <w:t>one of the following methods must be used for estimating emissions of nitrous oxide released:</w:t>
      </w:r>
    </w:p>
    <w:p w14:paraId="3C34E6FD" w14:textId="77777777" w:rsidR="00843EC9" w:rsidRPr="00097A86" w:rsidRDefault="00843EC9" w:rsidP="00843EC9">
      <w:pPr>
        <w:pStyle w:val="paragraphsub"/>
      </w:pPr>
      <w:r w:rsidRPr="00097A86">
        <w:tab/>
        <w:t>(i)</w:t>
      </w:r>
      <w:r w:rsidRPr="00097A86">
        <w:tab/>
        <w:t>method 1 under section</w:t>
      </w:r>
      <w:r w:rsidR="00097A86">
        <w:t> </w:t>
      </w:r>
      <w:r w:rsidRPr="00097A86">
        <w:t>3.14;</w:t>
      </w:r>
    </w:p>
    <w:p w14:paraId="548E4D07" w14:textId="77777777" w:rsidR="00843EC9" w:rsidRPr="00097A86" w:rsidRDefault="00843EC9" w:rsidP="00843EC9">
      <w:pPr>
        <w:pStyle w:val="paragraphsub"/>
      </w:pPr>
      <w:r w:rsidRPr="00097A86">
        <w:tab/>
        <w:t>(ii)</w:t>
      </w:r>
      <w:r w:rsidRPr="00097A86">
        <w:tab/>
        <w:t>method 2 under section</w:t>
      </w:r>
      <w:r w:rsidR="00097A86">
        <w:t> </w:t>
      </w:r>
      <w:r w:rsidRPr="00097A86">
        <w:t>3.15A.</w:t>
      </w:r>
    </w:p>
    <w:p w14:paraId="722DF808" w14:textId="77777777" w:rsidR="00843EC9" w:rsidRPr="00097A86" w:rsidRDefault="00843EC9" w:rsidP="00843EC9">
      <w:pPr>
        <w:pStyle w:val="notetext"/>
      </w:pPr>
      <w:r w:rsidRPr="00097A86">
        <w:t>Note:</w:t>
      </w:r>
      <w:r w:rsidRPr="00097A86">
        <w:tab/>
        <w:t>The flaring of coal mine waste gas releases emissions of carbon dioxide, methane and nitrous oxide. The reference to gas type (</w:t>
      </w:r>
      <w:r w:rsidRPr="00097A86">
        <w:rPr>
          <w:b/>
          <w:i/>
        </w:rPr>
        <w:t>j</w:t>
      </w:r>
      <w:r w:rsidRPr="00097A86">
        <w:t>) in method 1 under section</w:t>
      </w:r>
      <w:r w:rsidR="00097A86">
        <w:t> </w:t>
      </w:r>
      <w:r w:rsidRPr="00097A86">
        <w:t>3.14 or method 2 under section</w:t>
      </w:r>
      <w:r w:rsidR="00097A86">
        <w:t> </w:t>
      </w:r>
      <w:r w:rsidRPr="00097A86">
        <w:t xml:space="preserve">3.15A is a reference to these gases. The same formula in Method 1 is </w:t>
      </w:r>
      <w:r w:rsidRPr="00097A86">
        <w:lastRenderedPageBreak/>
        <w:t>used to estimate emissions of each of these gases. There is no method 4 for emissions of carbon dioxide and no method 3 or 4 for emissions of methane or nitrous oxide.</w:t>
      </w:r>
    </w:p>
    <w:p w14:paraId="689139B9" w14:textId="77777777" w:rsidR="003F0D4E" w:rsidRPr="00097A86" w:rsidRDefault="003F0D4E" w:rsidP="00D22D3F">
      <w:pPr>
        <w:pStyle w:val="SubsectionHead"/>
      </w:pPr>
      <w:r w:rsidRPr="00097A86">
        <w:t>Venting or other fugitive release before extraction of coal</w:t>
      </w:r>
    </w:p>
    <w:p w14:paraId="266060ED" w14:textId="77777777" w:rsidR="003F0D4E" w:rsidRPr="00097A86" w:rsidRDefault="003F0D4E" w:rsidP="00D22D3F">
      <w:pPr>
        <w:pStyle w:val="subsection"/>
      </w:pPr>
      <w:r w:rsidRPr="00097A86">
        <w:tab/>
        <w:t>(5)</w:t>
      </w:r>
      <w:r w:rsidRPr="00097A86">
        <w:tab/>
        <w:t>Method 4 under Part</w:t>
      </w:r>
      <w:r w:rsidR="00097A86">
        <w:t> </w:t>
      </w:r>
      <w:r w:rsidRPr="00097A86">
        <w:t>1.3 must be used for estimating fugitive emissions of each gas type, being carbon dioxide and methane, that result from venting or other fugitive release of gas from the underground mine before coal is extracted from the mine.</w:t>
      </w:r>
    </w:p>
    <w:p w14:paraId="5A731B18" w14:textId="77777777" w:rsidR="003F0D4E" w:rsidRPr="00097A86" w:rsidRDefault="00D22D3F" w:rsidP="00D22D3F">
      <w:pPr>
        <w:pStyle w:val="notetext"/>
      </w:pPr>
      <w:r w:rsidRPr="00097A86">
        <w:t>Note:</w:t>
      </w:r>
      <w:r w:rsidRPr="00097A86">
        <w:tab/>
      </w:r>
      <w:r w:rsidR="003F0D4E" w:rsidRPr="00097A86">
        <w:t xml:space="preserve">There is no method 1, 2 or 3 for </w:t>
      </w:r>
      <w:r w:rsidR="00097A86">
        <w:t>subsection (</w:t>
      </w:r>
      <w:r w:rsidR="003F0D4E" w:rsidRPr="00097A86">
        <w:t>5).</w:t>
      </w:r>
    </w:p>
    <w:p w14:paraId="0CE34E00" w14:textId="77777777" w:rsidR="003F0D4E" w:rsidRPr="00097A86" w:rsidRDefault="003F0D4E" w:rsidP="00D22D3F">
      <w:pPr>
        <w:pStyle w:val="SubsectionHead"/>
      </w:pPr>
      <w:r w:rsidRPr="00097A86">
        <w:t>Post</w:t>
      </w:r>
      <w:r w:rsidR="00097A86">
        <w:noBreakHyphen/>
      </w:r>
      <w:r w:rsidRPr="00097A86">
        <w:t>mining activities</w:t>
      </w:r>
    </w:p>
    <w:p w14:paraId="07340728" w14:textId="77777777" w:rsidR="003F0D4E" w:rsidRPr="00097A86" w:rsidRDefault="003F0D4E" w:rsidP="00D22D3F">
      <w:pPr>
        <w:pStyle w:val="subsection"/>
      </w:pPr>
      <w:r w:rsidRPr="00097A86">
        <w:tab/>
        <w:t>(6)</w:t>
      </w:r>
      <w:r w:rsidRPr="00097A86">
        <w:tab/>
        <w:t>Method 1 under section</w:t>
      </w:r>
      <w:r w:rsidR="00097A86">
        <w:t> </w:t>
      </w:r>
      <w:r w:rsidRPr="00097A86">
        <w:t>3.17 must be used for estimating fugitive emissions of methane that result from post</w:t>
      </w:r>
      <w:r w:rsidR="00097A86">
        <w:noBreakHyphen/>
      </w:r>
      <w:r w:rsidRPr="00097A86">
        <w:t>mining activities related to a gassy mine.</w:t>
      </w:r>
    </w:p>
    <w:p w14:paraId="72034300" w14:textId="77777777" w:rsidR="003F0D4E" w:rsidRPr="00097A86" w:rsidRDefault="00D22D3F" w:rsidP="00D22D3F">
      <w:pPr>
        <w:pStyle w:val="notetext"/>
      </w:pPr>
      <w:r w:rsidRPr="00097A86">
        <w:t>Note:</w:t>
      </w:r>
      <w:r w:rsidRPr="00097A86">
        <w:tab/>
      </w:r>
      <w:r w:rsidR="003F0D4E" w:rsidRPr="00097A86">
        <w:t xml:space="preserve">There is no method 2, 3 or 4 for </w:t>
      </w:r>
      <w:r w:rsidR="00097A86">
        <w:t>subsection (</w:t>
      </w:r>
      <w:r w:rsidR="003F0D4E" w:rsidRPr="00097A86">
        <w:t>6).</w:t>
      </w:r>
    </w:p>
    <w:p w14:paraId="022E3D0E" w14:textId="77777777" w:rsidR="003F0D4E" w:rsidRPr="00097A86" w:rsidRDefault="003F0D4E" w:rsidP="00D22D3F">
      <w:pPr>
        <w:pStyle w:val="subsection"/>
      </w:pPr>
      <w:r w:rsidRPr="00097A86">
        <w:tab/>
        <w:t>(7)</w:t>
      </w:r>
      <w:r w:rsidRPr="00097A86">
        <w:tab/>
        <w:t xml:space="preserve">However, for </w:t>
      </w:r>
      <w:r w:rsidR="00540BA5" w:rsidRPr="00097A86">
        <w:t>incidental emissions</w:t>
      </w:r>
      <w:r w:rsidRPr="00097A86">
        <w:t>, another method may be used that is consistent with the principles in section</w:t>
      </w:r>
      <w:r w:rsidR="00097A86">
        <w:t> </w:t>
      </w:r>
      <w:r w:rsidRPr="00097A86">
        <w:t>1.13.</w:t>
      </w:r>
    </w:p>
    <w:p w14:paraId="42E904D9" w14:textId="77777777" w:rsidR="003F0D4E" w:rsidRPr="00097A86" w:rsidRDefault="003F0D4E" w:rsidP="00D22D3F">
      <w:pPr>
        <w:pStyle w:val="ActHead4"/>
      </w:pPr>
      <w:bookmarkStart w:id="215" w:name="_Toc13233657"/>
      <w:r w:rsidRPr="00097A86">
        <w:rPr>
          <w:rStyle w:val="CharSubdNo"/>
        </w:rPr>
        <w:t>Subdivision</w:t>
      </w:r>
      <w:r w:rsidR="00097A86">
        <w:rPr>
          <w:rStyle w:val="CharSubdNo"/>
        </w:rPr>
        <w:t> </w:t>
      </w:r>
      <w:r w:rsidRPr="00097A86">
        <w:rPr>
          <w:rStyle w:val="CharSubdNo"/>
        </w:rPr>
        <w:t>3.2.2.2</w:t>
      </w:r>
      <w:r w:rsidR="00D22D3F" w:rsidRPr="00097A86">
        <w:t>—</w:t>
      </w:r>
      <w:r w:rsidRPr="00097A86">
        <w:rPr>
          <w:rStyle w:val="CharSubdText"/>
        </w:rPr>
        <w:t>Fugitive emissions from extraction of coal</w:t>
      </w:r>
      <w:bookmarkEnd w:id="215"/>
    </w:p>
    <w:p w14:paraId="006BCC9C" w14:textId="77777777" w:rsidR="003F0D4E" w:rsidRPr="00097A86" w:rsidRDefault="003F0D4E" w:rsidP="00D22D3F">
      <w:pPr>
        <w:pStyle w:val="ActHead5"/>
      </w:pPr>
      <w:bookmarkStart w:id="216" w:name="_Toc13233658"/>
      <w:r w:rsidRPr="00097A86">
        <w:rPr>
          <w:rStyle w:val="CharSectno"/>
        </w:rPr>
        <w:t>3.5</w:t>
      </w:r>
      <w:r w:rsidR="00D22D3F" w:rsidRPr="00097A86">
        <w:t xml:space="preserve">  </w:t>
      </w:r>
      <w:r w:rsidRPr="00097A86">
        <w:t>Method 1</w:t>
      </w:r>
      <w:r w:rsidR="00D22D3F" w:rsidRPr="00097A86">
        <w:t>—</w:t>
      </w:r>
      <w:r w:rsidRPr="00097A86">
        <w:t>extraction of coal</w:t>
      </w:r>
      <w:bookmarkEnd w:id="216"/>
    </w:p>
    <w:p w14:paraId="429523A2" w14:textId="77777777" w:rsidR="003F0D4E" w:rsidRPr="00097A86" w:rsidRDefault="003F0D4E" w:rsidP="00D22D3F">
      <w:pPr>
        <w:pStyle w:val="subsection"/>
      </w:pPr>
      <w:r w:rsidRPr="00097A86">
        <w:tab/>
      </w:r>
      <w:r w:rsidRPr="00097A86">
        <w:tab/>
        <w:t xml:space="preserve">For </w:t>
      </w:r>
      <w:r w:rsidR="00B41F69" w:rsidRPr="00097A86">
        <w:t>subsection</w:t>
      </w:r>
      <w:r w:rsidR="00097A86">
        <w:t> </w:t>
      </w:r>
      <w:r w:rsidR="00B41F69" w:rsidRPr="00097A86">
        <w:t>3.32(1)</w:t>
      </w:r>
      <w:r w:rsidRPr="00097A86">
        <w:t>, method 1 is:</w:t>
      </w:r>
    </w:p>
    <w:p w14:paraId="6E84E913"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08C063F6" wp14:editId="57C79C99">
            <wp:extent cx="923925" cy="238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14:paraId="7BEE606E" w14:textId="77777777" w:rsidR="003F0D4E" w:rsidRPr="00097A86" w:rsidRDefault="003F0D4E" w:rsidP="00D22D3F">
      <w:pPr>
        <w:pStyle w:val="subsection2"/>
      </w:pPr>
      <w:r w:rsidRPr="00097A86">
        <w:t>where:</w:t>
      </w:r>
    </w:p>
    <w:p w14:paraId="02F656C6" w14:textId="77777777" w:rsidR="003F0D4E" w:rsidRPr="00097A86" w:rsidRDefault="003F0D4E" w:rsidP="00D22D3F">
      <w:pPr>
        <w:pStyle w:val="Definition"/>
      </w:pPr>
      <w:r w:rsidRPr="00097A86">
        <w:rPr>
          <w:b/>
          <w:i/>
        </w:rPr>
        <w:t>E</w:t>
      </w:r>
      <w:r w:rsidRPr="00097A86">
        <w:rPr>
          <w:b/>
          <w:i/>
          <w:vertAlign w:val="subscript"/>
        </w:rPr>
        <w:t>j</w:t>
      </w:r>
      <w:r w:rsidRPr="00097A86">
        <w:rPr>
          <w:b/>
          <w:i/>
        </w:rPr>
        <w:t xml:space="preserve"> </w:t>
      </w:r>
      <w:r w:rsidRPr="00097A86">
        <w:t>is the fugitive emissions of methane (</w:t>
      </w:r>
      <w:r w:rsidRPr="00097A86">
        <w:rPr>
          <w:b/>
          <w:i/>
        </w:rPr>
        <w:t>j</w:t>
      </w:r>
      <w:r w:rsidRPr="00097A86">
        <w:t>) that result from the extraction of coal from the mine during the year measured in CO</w:t>
      </w:r>
      <w:r w:rsidRPr="00097A86">
        <w:rPr>
          <w:rStyle w:val="charSubscript"/>
          <w:iCs/>
        </w:rPr>
        <w:t>2</w:t>
      </w:r>
      <w:r w:rsidR="00097A86">
        <w:noBreakHyphen/>
      </w:r>
      <w:r w:rsidRPr="00097A86">
        <w:t>e tonnes.</w:t>
      </w:r>
    </w:p>
    <w:p w14:paraId="3F6B9251" w14:textId="77777777" w:rsidR="003F0D4E" w:rsidRPr="00097A86" w:rsidRDefault="003F0D4E" w:rsidP="00D22D3F">
      <w:pPr>
        <w:pStyle w:val="Definition"/>
      </w:pPr>
      <w:r w:rsidRPr="00097A86">
        <w:rPr>
          <w:b/>
          <w:i/>
        </w:rPr>
        <w:t xml:space="preserve">Q </w:t>
      </w:r>
      <w:r w:rsidRPr="00097A86">
        <w:t>is the quantity of run</w:t>
      </w:r>
      <w:r w:rsidR="00097A86">
        <w:noBreakHyphen/>
      </w:r>
      <w:r w:rsidRPr="00097A86">
        <w:t>of</w:t>
      </w:r>
      <w:r w:rsidR="00097A86">
        <w:noBreakHyphen/>
      </w:r>
      <w:r w:rsidRPr="00097A86">
        <w:t>mine coal extracted from the mine during the year measured in tonnes.</w:t>
      </w:r>
    </w:p>
    <w:p w14:paraId="1CD90399" w14:textId="77777777" w:rsidR="003F0D4E" w:rsidRPr="00097A86" w:rsidRDefault="003F0D4E" w:rsidP="00D22D3F">
      <w:pPr>
        <w:pStyle w:val="Definition"/>
      </w:pPr>
      <w:r w:rsidRPr="00097A86">
        <w:rPr>
          <w:b/>
          <w:i/>
        </w:rPr>
        <w:t>EF</w:t>
      </w:r>
      <w:r w:rsidRPr="00097A86">
        <w:rPr>
          <w:b/>
          <w:i/>
          <w:vertAlign w:val="subscript"/>
        </w:rPr>
        <w:t>j</w:t>
      </w:r>
      <w:r w:rsidRPr="00097A86">
        <w:rPr>
          <w:b/>
          <w:i/>
        </w:rPr>
        <w:t xml:space="preserve"> </w:t>
      </w:r>
      <w:r w:rsidRPr="00097A86">
        <w:t>is the emission factor for methane (</w:t>
      </w:r>
      <w:r w:rsidRPr="00097A86">
        <w:rPr>
          <w:b/>
          <w:i/>
        </w:rPr>
        <w:t>j</w:t>
      </w:r>
      <w:r w:rsidRPr="00097A86">
        <w:t>), measured in CO</w:t>
      </w:r>
      <w:r w:rsidRPr="00097A86">
        <w:rPr>
          <w:rStyle w:val="charSubscript"/>
        </w:rPr>
        <w:t>2</w:t>
      </w:r>
      <w:r w:rsidR="00097A86">
        <w:noBreakHyphen/>
      </w:r>
      <w:r w:rsidRPr="00097A86">
        <w:t>e tonnes per tonne of run</w:t>
      </w:r>
      <w:r w:rsidR="00097A86">
        <w:noBreakHyphen/>
      </w:r>
      <w:r w:rsidRPr="00097A86">
        <w:t>of</w:t>
      </w:r>
      <w:r w:rsidR="00097A86">
        <w:noBreakHyphen/>
      </w:r>
      <w:r w:rsidRPr="00097A86">
        <w:t>mine coal extracted from the mine, as follows:</w:t>
      </w:r>
    </w:p>
    <w:p w14:paraId="4C6BCAB7" w14:textId="77777777" w:rsidR="003F0D4E" w:rsidRPr="00097A86" w:rsidRDefault="003F0D4E" w:rsidP="00D22D3F">
      <w:pPr>
        <w:pStyle w:val="paragraph"/>
      </w:pPr>
      <w:r w:rsidRPr="00097A86">
        <w:tab/>
        <w:t>(a)</w:t>
      </w:r>
      <w:r w:rsidRPr="00097A86">
        <w:tab/>
        <w:t>for a gassy mine</w:t>
      </w:r>
      <w:r w:rsidR="00D22D3F" w:rsidRPr="00097A86">
        <w:t>—</w:t>
      </w:r>
      <w:r w:rsidR="00B41F69" w:rsidRPr="00097A86">
        <w:t>0.363</w:t>
      </w:r>
      <w:r w:rsidRPr="00097A86">
        <w:t>;</w:t>
      </w:r>
    </w:p>
    <w:p w14:paraId="5E4CA8EB" w14:textId="77777777" w:rsidR="003F0D4E" w:rsidRPr="00097A86" w:rsidRDefault="003F0D4E" w:rsidP="00D22D3F">
      <w:pPr>
        <w:pStyle w:val="paragraph"/>
      </w:pPr>
      <w:r w:rsidRPr="00097A86">
        <w:tab/>
        <w:t>(b)</w:t>
      </w:r>
      <w:r w:rsidRPr="00097A86">
        <w:tab/>
        <w:t>for a non</w:t>
      </w:r>
      <w:r w:rsidR="00097A86">
        <w:noBreakHyphen/>
      </w:r>
      <w:r w:rsidRPr="00097A86">
        <w:t>gassy mine</w:t>
      </w:r>
      <w:r w:rsidR="00D22D3F" w:rsidRPr="00097A86">
        <w:t>—</w:t>
      </w:r>
      <w:r w:rsidR="00B41F69" w:rsidRPr="00097A86">
        <w:t>0.010</w:t>
      </w:r>
      <w:r w:rsidRPr="00097A86">
        <w:t>.</w:t>
      </w:r>
    </w:p>
    <w:p w14:paraId="3DF9226D" w14:textId="77777777" w:rsidR="003F0D4E" w:rsidRPr="00097A86" w:rsidRDefault="003F0D4E" w:rsidP="00D22D3F">
      <w:pPr>
        <w:pStyle w:val="ActHead5"/>
      </w:pPr>
      <w:bookmarkStart w:id="217" w:name="_Toc13233659"/>
      <w:r w:rsidRPr="00097A86">
        <w:rPr>
          <w:rStyle w:val="CharSectno"/>
        </w:rPr>
        <w:t>3.6</w:t>
      </w:r>
      <w:r w:rsidR="00D22D3F" w:rsidRPr="00097A86">
        <w:t xml:space="preserve">  </w:t>
      </w:r>
      <w:r w:rsidRPr="00097A86">
        <w:t>Method 4</w:t>
      </w:r>
      <w:r w:rsidR="00D22D3F" w:rsidRPr="00097A86">
        <w:t>—</w:t>
      </w:r>
      <w:r w:rsidRPr="00097A86">
        <w:t>extraction of coal</w:t>
      </w:r>
      <w:bookmarkEnd w:id="217"/>
    </w:p>
    <w:p w14:paraId="19AA8E62" w14:textId="77777777" w:rsidR="003F0D4E" w:rsidRPr="00097A86" w:rsidRDefault="003F0D4E" w:rsidP="00D22D3F">
      <w:pPr>
        <w:pStyle w:val="subsection"/>
      </w:pPr>
      <w:r w:rsidRPr="00097A86">
        <w:tab/>
        <w:t>(1)</w:t>
      </w:r>
      <w:r w:rsidRPr="00097A86">
        <w:tab/>
      </w:r>
      <w:r w:rsidR="004E22F1" w:rsidRPr="00097A86">
        <w:t>For subsections</w:t>
      </w:r>
      <w:r w:rsidR="00097A86">
        <w:t> </w:t>
      </w:r>
      <w:r w:rsidR="004E22F1" w:rsidRPr="00097A86">
        <w:t xml:space="preserve">3.4(2) and (3), </w:t>
      </w:r>
      <w:r w:rsidRPr="00097A86">
        <w:t>method 4 is:</w:t>
      </w:r>
    </w:p>
    <w:p w14:paraId="3F2516D3"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FCF7752" wp14:editId="7521412E">
            <wp:extent cx="282892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28925" cy="276225"/>
                    </a:xfrm>
                    <a:prstGeom prst="rect">
                      <a:avLst/>
                    </a:prstGeom>
                    <a:noFill/>
                    <a:ln>
                      <a:noFill/>
                    </a:ln>
                  </pic:spPr>
                </pic:pic>
              </a:graphicData>
            </a:graphic>
          </wp:inline>
        </w:drawing>
      </w:r>
    </w:p>
    <w:p w14:paraId="0CE97299" w14:textId="77777777" w:rsidR="003F0D4E" w:rsidRPr="00097A86" w:rsidRDefault="003F0D4E" w:rsidP="00D22D3F">
      <w:pPr>
        <w:pStyle w:val="subsection2"/>
      </w:pPr>
      <w:r w:rsidRPr="00097A86">
        <w:t>where:</w:t>
      </w:r>
    </w:p>
    <w:p w14:paraId="72DE182B" w14:textId="77777777" w:rsidR="003F0D4E" w:rsidRPr="00097A86" w:rsidRDefault="003F0D4E" w:rsidP="00D22D3F">
      <w:pPr>
        <w:pStyle w:val="Definition"/>
      </w:pPr>
      <w:r w:rsidRPr="00097A86">
        <w:rPr>
          <w:b/>
          <w:i/>
        </w:rPr>
        <w:lastRenderedPageBreak/>
        <w:t>E</w:t>
      </w:r>
      <w:r w:rsidRPr="00097A86">
        <w:rPr>
          <w:b/>
          <w:i/>
          <w:vertAlign w:val="subscript"/>
        </w:rPr>
        <w:t>j</w:t>
      </w:r>
      <w:r w:rsidRPr="00097A86">
        <w:rPr>
          <w:b/>
          <w:i/>
        </w:rPr>
        <w:t xml:space="preserve"> </w:t>
      </w:r>
      <w:r w:rsidRPr="00097A86">
        <w:t>is the fugitive emissions of gas type (</w:t>
      </w:r>
      <w:r w:rsidRPr="00097A86">
        <w:rPr>
          <w:b/>
          <w:i/>
        </w:rPr>
        <w:t>j</w:t>
      </w:r>
      <w:r w:rsidRPr="00097A86">
        <w:t>) that result from the extraction of coal from the mine during the year, measured in CO</w:t>
      </w:r>
      <w:r w:rsidRPr="00097A86">
        <w:rPr>
          <w:vertAlign w:val="subscript"/>
        </w:rPr>
        <w:t>2</w:t>
      </w:r>
      <w:r w:rsidR="00097A86">
        <w:noBreakHyphen/>
      </w:r>
      <w:r w:rsidRPr="00097A86">
        <w:t>e tonnes.</w:t>
      </w:r>
    </w:p>
    <w:p w14:paraId="4D52197D" w14:textId="77777777" w:rsidR="003F0D4E" w:rsidRPr="00097A86" w:rsidRDefault="003F0D4E" w:rsidP="00D22D3F">
      <w:pPr>
        <w:pStyle w:val="Definition"/>
      </w:pPr>
      <w:r w:rsidRPr="00097A86">
        <w:rPr>
          <w:b/>
          <w:i/>
        </w:rPr>
        <w:t>CO</w:t>
      </w:r>
      <w:r w:rsidRPr="00097A86">
        <w:rPr>
          <w:b/>
          <w:i/>
          <w:vertAlign w:val="subscript"/>
        </w:rPr>
        <w:t>2</w:t>
      </w:r>
      <w:r w:rsidR="00097A86">
        <w:rPr>
          <w:b/>
          <w:i/>
        </w:rPr>
        <w:noBreakHyphen/>
      </w:r>
      <w:r w:rsidRPr="00097A86">
        <w:rPr>
          <w:b/>
          <w:i/>
        </w:rPr>
        <w:t xml:space="preserve">e </w:t>
      </w:r>
      <w:r w:rsidRPr="00097A86">
        <w:rPr>
          <w:b/>
          <w:i/>
          <w:vertAlign w:val="subscript"/>
        </w:rPr>
        <w:t xml:space="preserve">j gen, total </w:t>
      </w:r>
      <w:r w:rsidRPr="00097A86">
        <w:t>is the total mass of gas type (</w:t>
      </w:r>
      <w:r w:rsidRPr="00097A86">
        <w:rPr>
          <w:b/>
          <w:i/>
        </w:rPr>
        <w:t>j</w:t>
      </w:r>
      <w:r w:rsidRPr="00097A86">
        <w:t>) generated from the mine during the year before capture and flaring is undertaken at the mine, measured in CO</w:t>
      </w:r>
      <w:r w:rsidRPr="00097A86">
        <w:rPr>
          <w:vertAlign w:val="subscript"/>
        </w:rPr>
        <w:t>2</w:t>
      </w:r>
      <w:r w:rsidR="00097A86">
        <w:noBreakHyphen/>
      </w:r>
      <w:r w:rsidRPr="00097A86">
        <w:t xml:space="preserve">e tonnes and estimated using the direct measurement of emissions in accordance with </w:t>
      </w:r>
      <w:r w:rsidR="00097A86">
        <w:t>subsection (</w:t>
      </w:r>
      <w:r w:rsidRPr="00097A86">
        <w:t>2).</w:t>
      </w:r>
    </w:p>
    <w:p w14:paraId="61A8B197" w14:textId="77777777" w:rsidR="003F0D4E" w:rsidRPr="00097A86" w:rsidRDefault="003F0D4E" w:rsidP="00D22D3F">
      <w:pPr>
        <w:pStyle w:val="Definition"/>
      </w:pPr>
      <w:r w:rsidRPr="00097A86">
        <w:rPr>
          <w:b/>
          <w:i/>
        </w:rPr>
        <w:t>γ</w:t>
      </w:r>
      <w:r w:rsidRPr="00097A86">
        <w:rPr>
          <w:b/>
          <w:i/>
          <w:vertAlign w:val="subscript"/>
        </w:rPr>
        <w:t>j</w:t>
      </w:r>
      <w:r w:rsidRPr="00097A86">
        <w:rPr>
          <w:b/>
          <w:i/>
        </w:rPr>
        <w:t xml:space="preserve"> </w:t>
      </w:r>
      <w:r w:rsidRPr="00097A86">
        <w:t>is the factor for converting a quantity of gas type (</w:t>
      </w:r>
      <w:r w:rsidRPr="00097A86">
        <w:rPr>
          <w:b/>
          <w:i/>
        </w:rPr>
        <w:t>j</w:t>
      </w:r>
      <w:r w:rsidRPr="00097A86">
        <w:t>) from cubic metres at standard conditions of pressure and temperature to CO</w:t>
      </w:r>
      <w:r w:rsidRPr="00097A86">
        <w:rPr>
          <w:vertAlign w:val="subscript"/>
        </w:rPr>
        <w:t>2</w:t>
      </w:r>
      <w:r w:rsidR="00097A86">
        <w:noBreakHyphen/>
      </w:r>
      <w:r w:rsidRPr="00097A86">
        <w:t>e tonnes, being:</w:t>
      </w:r>
    </w:p>
    <w:p w14:paraId="1FB1DE40" w14:textId="77777777" w:rsidR="003F0D4E" w:rsidRPr="00097A86" w:rsidRDefault="003F0D4E" w:rsidP="00D22D3F">
      <w:pPr>
        <w:pStyle w:val="paragraph"/>
      </w:pPr>
      <w:r w:rsidRPr="00097A86">
        <w:tab/>
        <w:t>(a)</w:t>
      </w:r>
      <w:r w:rsidRPr="00097A86">
        <w:tab/>
        <w:t>for methane</w:t>
      </w:r>
      <w:r w:rsidR="00D22D3F" w:rsidRPr="00097A86">
        <w:t>—</w:t>
      </w:r>
      <w:r w:rsidRPr="00097A86">
        <w:t>6.784 × 10</w:t>
      </w:r>
      <w:r w:rsidR="00097A86">
        <w:rPr>
          <w:vertAlign w:val="superscript"/>
        </w:rPr>
        <w:noBreakHyphen/>
      </w:r>
      <w:r w:rsidRPr="00097A86">
        <w:rPr>
          <w:vertAlign w:val="superscript"/>
        </w:rPr>
        <w:t xml:space="preserve">4 </w:t>
      </w:r>
      <w:r w:rsidRPr="00097A86">
        <w:t xml:space="preserve">× </w:t>
      </w:r>
      <w:r w:rsidR="00B41F69" w:rsidRPr="00097A86">
        <w:t>25</w:t>
      </w:r>
      <w:r w:rsidRPr="00097A86">
        <w:t>; and</w:t>
      </w:r>
    </w:p>
    <w:p w14:paraId="05A8026A" w14:textId="77777777" w:rsidR="003F0D4E" w:rsidRPr="00097A86" w:rsidRDefault="003F0D4E" w:rsidP="00D22D3F">
      <w:pPr>
        <w:pStyle w:val="paragraph"/>
      </w:pPr>
      <w:r w:rsidRPr="00097A86">
        <w:tab/>
        <w:t>(b)</w:t>
      </w:r>
      <w:r w:rsidRPr="00097A86">
        <w:tab/>
        <w:t>for carbon dioxide</w:t>
      </w:r>
      <w:r w:rsidR="00D22D3F" w:rsidRPr="00097A86">
        <w:t>—</w:t>
      </w:r>
      <w:r w:rsidRPr="00097A86">
        <w:t>1.861 × 10</w:t>
      </w:r>
      <w:r w:rsidR="00097A86">
        <w:rPr>
          <w:vertAlign w:val="superscript"/>
        </w:rPr>
        <w:noBreakHyphen/>
      </w:r>
      <w:r w:rsidRPr="00097A86">
        <w:rPr>
          <w:vertAlign w:val="superscript"/>
        </w:rPr>
        <w:t>3</w:t>
      </w:r>
      <w:r w:rsidRPr="00097A86">
        <w:t>.</w:t>
      </w:r>
    </w:p>
    <w:p w14:paraId="197142B9" w14:textId="77777777" w:rsidR="003F0D4E" w:rsidRPr="00097A86" w:rsidRDefault="003F0D4E" w:rsidP="00D22D3F">
      <w:pPr>
        <w:pStyle w:val="Definition"/>
      </w:pPr>
      <w:r w:rsidRPr="00097A86">
        <w:rPr>
          <w:b/>
          <w:i/>
        </w:rPr>
        <w:t>Q</w:t>
      </w:r>
      <w:r w:rsidRPr="00097A86">
        <w:rPr>
          <w:b/>
          <w:i/>
          <w:vertAlign w:val="subscript"/>
        </w:rPr>
        <w:t>ij,</w:t>
      </w:r>
      <w:r w:rsidRPr="00097A86">
        <w:rPr>
          <w:rStyle w:val="charSubscript"/>
          <w:b/>
          <w:i/>
        </w:rPr>
        <w:t>cap</w:t>
      </w:r>
      <w:r w:rsidRPr="00097A86">
        <w:rPr>
          <w:b/>
          <w:i/>
          <w:vertAlign w:val="subscript"/>
        </w:rPr>
        <w:t xml:space="preserve"> </w:t>
      </w:r>
      <w:r w:rsidRPr="00097A86">
        <w:t>is the quantity of gas type (</w:t>
      </w:r>
      <w:r w:rsidRPr="00097A86">
        <w:rPr>
          <w:b/>
          <w:i/>
        </w:rPr>
        <w:t>j</w:t>
      </w:r>
      <w:r w:rsidRPr="00097A86">
        <w:t>) in coal mine waste gas type (</w:t>
      </w:r>
      <w:r w:rsidRPr="00097A86">
        <w:rPr>
          <w:b/>
          <w:i/>
        </w:rPr>
        <w:t>i</w:t>
      </w:r>
      <w:r w:rsidRPr="00097A86">
        <w:t>) captured for combustion from the mine and used during the year, measured in cubic metres and estimated in accordance with Division</w:t>
      </w:r>
      <w:r w:rsidR="00097A86">
        <w:t> </w:t>
      </w:r>
      <w:r w:rsidRPr="00097A86">
        <w:t>2.3.6.</w:t>
      </w:r>
    </w:p>
    <w:p w14:paraId="29197F1C" w14:textId="77777777" w:rsidR="003F0D4E" w:rsidRPr="00097A86" w:rsidRDefault="003F0D4E" w:rsidP="00D22D3F">
      <w:pPr>
        <w:pStyle w:val="Definition"/>
      </w:pPr>
      <w:r w:rsidRPr="00097A86">
        <w:rPr>
          <w:b/>
          <w:i/>
        </w:rPr>
        <w:t>Q</w:t>
      </w:r>
      <w:r w:rsidRPr="00097A86">
        <w:rPr>
          <w:b/>
          <w:i/>
          <w:vertAlign w:val="subscript"/>
        </w:rPr>
        <w:t xml:space="preserve">ij,flared </w:t>
      </w:r>
      <w:r w:rsidRPr="00097A86">
        <w:t>is the quantity of gas type (</w:t>
      </w:r>
      <w:r w:rsidRPr="00097A86">
        <w:rPr>
          <w:b/>
          <w:i/>
        </w:rPr>
        <w:t>j</w:t>
      </w:r>
      <w:r w:rsidRPr="00097A86">
        <w:t>) in coal mine waste gas type (</w:t>
      </w:r>
      <w:r w:rsidRPr="00097A86">
        <w:rPr>
          <w:b/>
          <w:i/>
        </w:rPr>
        <w:t>i</w:t>
      </w:r>
      <w:r w:rsidRPr="00097A86">
        <w:t>) flared from the mine during the year, measured in cubic metres and estimated in accordance with Division</w:t>
      </w:r>
      <w:r w:rsidR="00097A86">
        <w:t> </w:t>
      </w:r>
      <w:r w:rsidRPr="00097A86">
        <w:t>2.3.6.</w:t>
      </w:r>
    </w:p>
    <w:p w14:paraId="522E2F16" w14:textId="77777777" w:rsidR="003F0D4E" w:rsidRPr="00097A86" w:rsidRDefault="003F0D4E" w:rsidP="00D22D3F">
      <w:pPr>
        <w:pStyle w:val="Definition"/>
      </w:pPr>
      <w:r w:rsidRPr="00097A86">
        <w:rPr>
          <w:b/>
          <w:i/>
        </w:rPr>
        <w:t>Q</w:t>
      </w:r>
      <w:r w:rsidRPr="00097A86">
        <w:rPr>
          <w:b/>
          <w:i/>
          <w:vertAlign w:val="subscript"/>
        </w:rPr>
        <w:t>ijtr</w:t>
      </w:r>
      <w:r w:rsidRPr="00097A86">
        <w:rPr>
          <w:b/>
          <w:i/>
        </w:rPr>
        <w:t xml:space="preserve"> </w:t>
      </w:r>
      <w:r w:rsidRPr="00097A86">
        <w:t>is the quantity of gas type (</w:t>
      </w:r>
      <w:r w:rsidRPr="00097A86">
        <w:rPr>
          <w:b/>
          <w:i/>
        </w:rPr>
        <w:t>j</w:t>
      </w:r>
      <w:r w:rsidRPr="00097A86">
        <w:t>) in coal mine waste gas type (</w:t>
      </w:r>
      <w:r w:rsidRPr="00097A86">
        <w:rPr>
          <w:b/>
          <w:i/>
        </w:rPr>
        <w:t>i</w:t>
      </w:r>
      <w:r w:rsidRPr="00097A86">
        <w:t xml:space="preserve">) transferred out of the mining activities during the year measured in cubic metres. </w:t>
      </w:r>
    </w:p>
    <w:p w14:paraId="50D137A2" w14:textId="77777777" w:rsidR="003F0D4E" w:rsidRPr="00097A86" w:rsidRDefault="003F0D4E" w:rsidP="00D22D3F">
      <w:pPr>
        <w:pStyle w:val="subsection"/>
      </w:pPr>
      <w:r w:rsidRPr="00097A86">
        <w:tab/>
        <w:t>(2)</w:t>
      </w:r>
      <w:r w:rsidRPr="00097A86">
        <w:tab/>
        <w:t>The direct measurement of emissions released from the extraction of coal from an underground mine during a year by monitoring the gas stream at the underground mine may be undertaken by one of the following:</w:t>
      </w:r>
    </w:p>
    <w:p w14:paraId="05501720" w14:textId="77777777" w:rsidR="003F0D4E" w:rsidRPr="00097A86" w:rsidRDefault="003F0D4E" w:rsidP="00D22D3F">
      <w:pPr>
        <w:pStyle w:val="paragraph"/>
      </w:pPr>
      <w:r w:rsidRPr="00097A86">
        <w:tab/>
        <w:t>(a)</w:t>
      </w:r>
      <w:r w:rsidRPr="00097A86">
        <w:tab/>
        <w:t>continuous emissions monitoring (</w:t>
      </w:r>
      <w:r w:rsidRPr="00097A86">
        <w:rPr>
          <w:b/>
          <w:i/>
        </w:rPr>
        <w:t>CEM</w:t>
      </w:r>
      <w:r w:rsidRPr="00097A86">
        <w:t>) in accordance with Part</w:t>
      </w:r>
      <w:r w:rsidR="00097A86">
        <w:t> </w:t>
      </w:r>
      <w:r w:rsidRPr="00097A86">
        <w:t xml:space="preserve">1.3; </w:t>
      </w:r>
    </w:p>
    <w:p w14:paraId="6C93CEDC" w14:textId="77777777" w:rsidR="003F0D4E" w:rsidRPr="00097A86" w:rsidRDefault="003F0D4E" w:rsidP="00D22D3F">
      <w:pPr>
        <w:pStyle w:val="paragraph"/>
      </w:pPr>
      <w:r w:rsidRPr="00097A86">
        <w:tab/>
        <w:t>(b)</w:t>
      </w:r>
      <w:r w:rsidRPr="00097A86">
        <w:tab/>
        <w:t>periodic emissions monitoring (</w:t>
      </w:r>
      <w:r w:rsidRPr="00097A86">
        <w:rPr>
          <w:b/>
          <w:i/>
        </w:rPr>
        <w:t>PEM</w:t>
      </w:r>
      <w:r w:rsidRPr="00097A86">
        <w:t>) in accordance with sections</w:t>
      </w:r>
      <w:r w:rsidR="00097A86">
        <w:t> </w:t>
      </w:r>
      <w:r w:rsidRPr="00097A86">
        <w:t xml:space="preserve">3.7 to </w:t>
      </w:r>
      <w:r w:rsidR="00702712" w:rsidRPr="00097A86">
        <w:t>3.13</w:t>
      </w:r>
      <w:r w:rsidRPr="00097A86">
        <w:t>.</w:t>
      </w:r>
    </w:p>
    <w:p w14:paraId="7D73BC83" w14:textId="77777777" w:rsidR="00702712" w:rsidRPr="00097A86" w:rsidRDefault="00702712" w:rsidP="00702712">
      <w:pPr>
        <w:pStyle w:val="notetext"/>
      </w:pPr>
      <w:r w:rsidRPr="00097A86">
        <w:t>Note:</w:t>
      </w:r>
      <w:r w:rsidRPr="00097A86">
        <w:tab/>
        <w:t>Any estimates of emissions must be consistent with the principles in section</w:t>
      </w:r>
      <w:r w:rsidR="00097A86">
        <w:t> </w:t>
      </w:r>
      <w:r w:rsidRPr="00097A86">
        <w:t>1.13.</w:t>
      </w:r>
    </w:p>
    <w:p w14:paraId="5C13F1B0" w14:textId="77777777" w:rsidR="003F0D4E" w:rsidRPr="00097A86" w:rsidRDefault="003F0D4E" w:rsidP="00D22D3F">
      <w:pPr>
        <w:pStyle w:val="subsection"/>
      </w:pPr>
      <w:r w:rsidRPr="00097A86">
        <w:tab/>
        <w:t>(3)</w:t>
      </w:r>
      <w:r w:rsidRPr="00097A86">
        <w:tab/>
        <w:t xml:space="preserve">For </w:t>
      </w:r>
      <w:r w:rsidRPr="00097A86">
        <w:rPr>
          <w:b/>
          <w:i/>
        </w:rPr>
        <w:t>Q</w:t>
      </w:r>
      <w:r w:rsidRPr="00097A86">
        <w:rPr>
          <w:b/>
          <w:i/>
          <w:vertAlign w:val="subscript"/>
        </w:rPr>
        <w:t>ijtr</w:t>
      </w:r>
      <w:r w:rsidRPr="00097A86">
        <w:t xml:space="preserve"> in </w:t>
      </w:r>
      <w:r w:rsidR="00097A86">
        <w:t>subsection (</w:t>
      </w:r>
      <w:r w:rsidRPr="00097A86">
        <w:t>1), the quantity of gas type (</w:t>
      </w:r>
      <w:r w:rsidRPr="00097A86">
        <w:rPr>
          <w:b/>
          <w:i/>
        </w:rPr>
        <w:t>j</w:t>
      </w:r>
      <w:r w:rsidRPr="00097A86">
        <w:t>) must be estimated in accordance with Division</w:t>
      </w:r>
      <w:r w:rsidR="00097A86">
        <w:t> </w:t>
      </w:r>
      <w:r w:rsidRPr="00097A86">
        <w:t>2.3.6 as if a reference in that Division to quantities of gaseous fuels combusted from the operation of a facility was a reference to quantities of gaseous fuels transferred out of the operation of a facility.</w:t>
      </w:r>
    </w:p>
    <w:p w14:paraId="042BCFC6" w14:textId="77777777" w:rsidR="003F0D4E" w:rsidRPr="00097A86" w:rsidRDefault="003F0D4E" w:rsidP="00D22D3F">
      <w:pPr>
        <w:pStyle w:val="ActHead5"/>
      </w:pPr>
      <w:bookmarkStart w:id="218" w:name="_Toc13233660"/>
      <w:r w:rsidRPr="00097A86">
        <w:rPr>
          <w:rStyle w:val="CharSectno"/>
        </w:rPr>
        <w:t>3.7</w:t>
      </w:r>
      <w:r w:rsidR="00D22D3F" w:rsidRPr="00097A86">
        <w:t xml:space="preserve">  </w:t>
      </w:r>
      <w:r w:rsidRPr="00097A86">
        <w:t>Estimation of emissions</w:t>
      </w:r>
      <w:bookmarkEnd w:id="218"/>
    </w:p>
    <w:p w14:paraId="1FCE8273" w14:textId="77777777" w:rsidR="003F0D4E" w:rsidRPr="00097A86" w:rsidRDefault="003F0D4E" w:rsidP="00D22D3F">
      <w:pPr>
        <w:pStyle w:val="subsection"/>
      </w:pPr>
      <w:r w:rsidRPr="00097A86">
        <w:tab/>
        <w:t>(1)</w:t>
      </w:r>
      <w:r w:rsidRPr="00097A86">
        <w:tab/>
        <w:t>To obtain an estimate of the mass emissions rate of gas (</w:t>
      </w:r>
      <w:r w:rsidRPr="00097A86">
        <w:rPr>
          <w:b/>
          <w:i/>
        </w:rPr>
        <w:t>j</w:t>
      </w:r>
      <w:r w:rsidRPr="00097A86">
        <w:t>), being methane and carbon dioxide, at the time of measurement at the underground mine, the formula in subsection</w:t>
      </w:r>
      <w:r w:rsidR="00097A86">
        <w:t> </w:t>
      </w:r>
      <w:r w:rsidRPr="00097A86">
        <w:t>1.21(1) must be applied.</w:t>
      </w:r>
    </w:p>
    <w:p w14:paraId="506F2D00" w14:textId="77777777" w:rsidR="003F0D4E" w:rsidRPr="00097A86" w:rsidRDefault="003F0D4E" w:rsidP="00D22D3F">
      <w:pPr>
        <w:pStyle w:val="subsection"/>
      </w:pPr>
      <w:r w:rsidRPr="00097A86">
        <w:tab/>
        <w:t>(2)</w:t>
      </w:r>
      <w:r w:rsidRPr="00097A86">
        <w:tab/>
        <w:t>The mass of emissions estimated under the formula must be converted into CO</w:t>
      </w:r>
      <w:r w:rsidRPr="00097A86">
        <w:rPr>
          <w:vertAlign w:val="subscript"/>
        </w:rPr>
        <w:t>2</w:t>
      </w:r>
      <w:r w:rsidR="00097A86">
        <w:noBreakHyphen/>
      </w:r>
      <w:r w:rsidRPr="00097A86">
        <w:t>e tonnes.</w:t>
      </w:r>
    </w:p>
    <w:p w14:paraId="541E2DD1" w14:textId="77777777" w:rsidR="003F0D4E" w:rsidRPr="00097A86" w:rsidRDefault="003F0D4E" w:rsidP="00D22D3F">
      <w:pPr>
        <w:pStyle w:val="subsection"/>
      </w:pPr>
      <w:r w:rsidRPr="00097A86">
        <w:tab/>
        <w:t>(3)</w:t>
      </w:r>
      <w:r w:rsidRPr="00097A86">
        <w:tab/>
        <w:t>The average mass emission rate for gas type (</w:t>
      </w:r>
      <w:r w:rsidRPr="00097A86">
        <w:rPr>
          <w:b/>
          <w:i/>
        </w:rPr>
        <w:t>j</w:t>
      </w:r>
      <w:r w:rsidRPr="00097A86">
        <w:t>) measured in CO</w:t>
      </w:r>
      <w:r w:rsidRPr="00097A86">
        <w:rPr>
          <w:vertAlign w:val="subscript"/>
        </w:rPr>
        <w:t>2</w:t>
      </w:r>
      <w:r w:rsidRPr="00097A86">
        <w:t xml:space="preserve">–e tonnes per hour for a year must be calculated from the estimates obtained under </w:t>
      </w:r>
      <w:r w:rsidR="00097A86">
        <w:t>subsections (</w:t>
      </w:r>
      <w:r w:rsidRPr="00097A86">
        <w:t>1) and (2).</w:t>
      </w:r>
    </w:p>
    <w:p w14:paraId="24D09C72" w14:textId="77777777" w:rsidR="003F0D4E" w:rsidRPr="00097A86" w:rsidRDefault="003F0D4E" w:rsidP="00D22D3F">
      <w:pPr>
        <w:pStyle w:val="subsection"/>
      </w:pPr>
      <w:r w:rsidRPr="00097A86">
        <w:lastRenderedPageBreak/>
        <w:tab/>
        <w:t>(4)</w:t>
      </w:r>
      <w:r w:rsidRPr="00097A86">
        <w:tab/>
        <w:t>The total mass of emissions of gas type (</w:t>
      </w:r>
      <w:r w:rsidRPr="00097A86">
        <w:rPr>
          <w:b/>
          <w:i/>
        </w:rPr>
        <w:t>j</w:t>
      </w:r>
      <w:r w:rsidRPr="00097A86">
        <w:t xml:space="preserve">) from the underground mine for the year is calculated by multiplying the average emissions rate obtained under </w:t>
      </w:r>
      <w:r w:rsidR="00097A86">
        <w:t>subsection (</w:t>
      </w:r>
      <w:r w:rsidRPr="00097A86">
        <w:t>3) by the number of hours during the year.</w:t>
      </w:r>
    </w:p>
    <w:p w14:paraId="720E7C01" w14:textId="77777777" w:rsidR="003F0D4E" w:rsidRPr="00097A86" w:rsidRDefault="003F0D4E" w:rsidP="00D22D3F">
      <w:pPr>
        <w:pStyle w:val="ActHead5"/>
      </w:pPr>
      <w:bookmarkStart w:id="219" w:name="_Toc13233661"/>
      <w:r w:rsidRPr="00097A86">
        <w:rPr>
          <w:rStyle w:val="CharSectno"/>
        </w:rPr>
        <w:t>3.8</w:t>
      </w:r>
      <w:r w:rsidR="00D22D3F" w:rsidRPr="00097A86">
        <w:t xml:space="preserve">  </w:t>
      </w:r>
      <w:r w:rsidRPr="00097A86">
        <w:t>Overview</w:t>
      </w:r>
      <w:r w:rsidR="00D22D3F" w:rsidRPr="00097A86">
        <w:t>—</w:t>
      </w:r>
      <w:r w:rsidRPr="00097A86">
        <w:t>use of equipment</w:t>
      </w:r>
      <w:bookmarkEnd w:id="219"/>
    </w:p>
    <w:p w14:paraId="30B83437" w14:textId="77777777" w:rsidR="003F0D4E" w:rsidRPr="00097A86" w:rsidRDefault="003F0D4E" w:rsidP="00D22D3F">
      <w:pPr>
        <w:pStyle w:val="subsection"/>
      </w:pPr>
      <w:r w:rsidRPr="00097A86">
        <w:tab/>
      </w:r>
      <w:r w:rsidRPr="00097A86">
        <w:tab/>
        <w:t>The following requirements apply to the use of PEM equipment:</w:t>
      </w:r>
    </w:p>
    <w:p w14:paraId="25B7F394" w14:textId="77777777" w:rsidR="003F0D4E" w:rsidRPr="00097A86" w:rsidRDefault="003F0D4E" w:rsidP="00D22D3F">
      <w:pPr>
        <w:pStyle w:val="paragraph"/>
      </w:pPr>
      <w:r w:rsidRPr="00097A86">
        <w:tab/>
        <w:t>(a)</w:t>
      </w:r>
      <w:r w:rsidRPr="00097A86">
        <w:tab/>
        <w:t>the requirements in section</w:t>
      </w:r>
      <w:r w:rsidR="00097A86">
        <w:t> </w:t>
      </w:r>
      <w:r w:rsidRPr="00097A86">
        <w:t xml:space="preserve">3.9 about location of the sampling positions for the PEM equipment; </w:t>
      </w:r>
    </w:p>
    <w:p w14:paraId="1D084730" w14:textId="77777777" w:rsidR="003F0D4E" w:rsidRPr="00097A86" w:rsidRDefault="003F0D4E" w:rsidP="00D22D3F">
      <w:pPr>
        <w:pStyle w:val="paragraph"/>
      </w:pPr>
      <w:r w:rsidRPr="00097A86">
        <w:tab/>
        <w:t>(b)</w:t>
      </w:r>
      <w:r w:rsidRPr="00097A86">
        <w:tab/>
        <w:t>the requirements in section</w:t>
      </w:r>
      <w:r w:rsidR="00097A86">
        <w:t> </w:t>
      </w:r>
      <w:r w:rsidRPr="00097A86">
        <w:t xml:space="preserve">3.10 about measurement of volumetric flow rates in a gas stream; </w:t>
      </w:r>
    </w:p>
    <w:p w14:paraId="619FCEC8" w14:textId="77777777" w:rsidR="003F0D4E" w:rsidRPr="00097A86" w:rsidRDefault="003F0D4E" w:rsidP="00D22D3F">
      <w:pPr>
        <w:pStyle w:val="paragraph"/>
      </w:pPr>
      <w:r w:rsidRPr="00097A86">
        <w:tab/>
        <w:t>(c)</w:t>
      </w:r>
      <w:r w:rsidRPr="00097A86">
        <w:tab/>
        <w:t>the requirements in section</w:t>
      </w:r>
      <w:r w:rsidR="00097A86">
        <w:t> </w:t>
      </w:r>
      <w:r w:rsidRPr="00097A86">
        <w:t>3.11 about measurement of the concentrations of gas type (</w:t>
      </w:r>
      <w:r w:rsidRPr="00097A86">
        <w:rPr>
          <w:b/>
          <w:i/>
        </w:rPr>
        <w:t>j</w:t>
      </w:r>
      <w:r w:rsidRPr="00097A86">
        <w:t xml:space="preserve">) in the gas stream; </w:t>
      </w:r>
    </w:p>
    <w:p w14:paraId="4ACCC066" w14:textId="77777777" w:rsidR="003F0D4E" w:rsidRPr="00097A86" w:rsidRDefault="003F0D4E" w:rsidP="00D22D3F">
      <w:pPr>
        <w:pStyle w:val="paragraph"/>
      </w:pPr>
      <w:r w:rsidRPr="00097A86">
        <w:tab/>
        <w:t>(d)</w:t>
      </w:r>
      <w:r w:rsidRPr="00097A86">
        <w:tab/>
        <w:t>the requirements in section</w:t>
      </w:r>
      <w:r w:rsidR="00097A86">
        <w:t> </w:t>
      </w:r>
      <w:r w:rsidRPr="00097A86">
        <w:t>3.12 about representative data.</w:t>
      </w:r>
    </w:p>
    <w:p w14:paraId="2BFDD88E" w14:textId="77777777" w:rsidR="003F0D4E" w:rsidRPr="00097A86" w:rsidRDefault="003F0D4E" w:rsidP="00D22D3F">
      <w:pPr>
        <w:pStyle w:val="paragraph"/>
      </w:pPr>
      <w:r w:rsidRPr="00097A86">
        <w:tab/>
        <w:t>(e)</w:t>
      </w:r>
      <w:r w:rsidRPr="00097A86">
        <w:tab/>
        <w:t>the requirements in section</w:t>
      </w:r>
      <w:r w:rsidR="00097A86">
        <w:t> </w:t>
      </w:r>
      <w:r w:rsidRPr="00097A86">
        <w:t>3.13 about performance characteristics of equipment.</w:t>
      </w:r>
    </w:p>
    <w:p w14:paraId="44698EB6" w14:textId="77777777" w:rsidR="003F0D4E" w:rsidRPr="00097A86" w:rsidRDefault="003F0D4E" w:rsidP="00D22D3F">
      <w:pPr>
        <w:pStyle w:val="ActHead5"/>
      </w:pPr>
      <w:bookmarkStart w:id="220" w:name="_Toc13233662"/>
      <w:r w:rsidRPr="00097A86">
        <w:rPr>
          <w:rStyle w:val="CharSectno"/>
        </w:rPr>
        <w:t>3.9</w:t>
      </w:r>
      <w:r w:rsidR="00D22D3F" w:rsidRPr="00097A86">
        <w:t xml:space="preserve">  </w:t>
      </w:r>
      <w:r w:rsidRPr="00097A86">
        <w:t>Selection of sampling positions for PEM</w:t>
      </w:r>
      <w:bookmarkEnd w:id="220"/>
    </w:p>
    <w:p w14:paraId="2094AEC4" w14:textId="77777777" w:rsidR="003F0D4E" w:rsidRPr="00097A86" w:rsidRDefault="003F0D4E" w:rsidP="00D22D3F">
      <w:pPr>
        <w:pStyle w:val="subsection"/>
      </w:pPr>
      <w:r w:rsidRPr="00097A86">
        <w:tab/>
      </w:r>
      <w:r w:rsidRPr="00097A86">
        <w:tab/>
        <w:t>For paragraph</w:t>
      </w:r>
      <w:r w:rsidR="00097A86">
        <w:t> </w:t>
      </w:r>
      <w:r w:rsidR="00103B1D" w:rsidRPr="00097A86">
        <w:t>3.8</w:t>
      </w:r>
      <w:r w:rsidRPr="00097A86">
        <w:t>(a), an appropriate standard or applicable State or Territory legislation must be complied with for the location of sampling positions for PEM equipment.</w:t>
      </w:r>
    </w:p>
    <w:p w14:paraId="03015618" w14:textId="77777777" w:rsidR="003F0D4E" w:rsidRPr="00097A86" w:rsidRDefault="00D22D3F" w:rsidP="00D22D3F">
      <w:pPr>
        <w:pStyle w:val="notetext"/>
      </w:pPr>
      <w:r w:rsidRPr="00097A86">
        <w:t>Note:</w:t>
      </w:r>
      <w:r w:rsidRPr="00097A86">
        <w:tab/>
      </w:r>
      <w:r w:rsidR="003F0D4E" w:rsidRPr="00097A86">
        <w:t>Appropriate standards include:</w:t>
      </w:r>
    </w:p>
    <w:p w14:paraId="655095BB" w14:textId="77777777" w:rsidR="003F0D4E" w:rsidRPr="00097A86" w:rsidRDefault="003F0D4E" w:rsidP="00D22D3F">
      <w:pPr>
        <w:pStyle w:val="notepara"/>
      </w:pPr>
      <w:r w:rsidRPr="00097A86">
        <w:sym w:font="Symbol" w:char="F0B7"/>
      </w:r>
      <w:r w:rsidRPr="00097A86">
        <w:tab/>
        <w:t>AS 4323.1—1995/Amdt 1</w:t>
      </w:r>
      <w:r w:rsidR="00097A86">
        <w:noBreakHyphen/>
      </w:r>
      <w:r w:rsidRPr="00097A86">
        <w:t xml:space="preserve">1995, </w:t>
      </w:r>
      <w:r w:rsidRPr="00097A86">
        <w:rPr>
          <w:i/>
        </w:rPr>
        <w:t>Stationary source emissions</w:t>
      </w:r>
      <w:r w:rsidR="00D22D3F" w:rsidRPr="00097A86">
        <w:rPr>
          <w:i/>
        </w:rPr>
        <w:t>—</w:t>
      </w:r>
      <w:r w:rsidRPr="00097A86">
        <w:rPr>
          <w:i/>
        </w:rPr>
        <w:t>Selection of sampling positions</w:t>
      </w:r>
    </w:p>
    <w:p w14:paraId="5F8D1DEC" w14:textId="77777777" w:rsidR="003F0D4E" w:rsidRPr="00097A86" w:rsidRDefault="003F0D4E" w:rsidP="00D22D3F">
      <w:pPr>
        <w:pStyle w:val="notepara"/>
      </w:pPr>
      <w:r w:rsidRPr="00097A86">
        <w:sym w:font="Symbol" w:char="F0B7"/>
      </w:r>
      <w:r w:rsidRPr="00097A86">
        <w:tab/>
        <w:t>USEPA Method 1</w:t>
      </w:r>
      <w:r w:rsidR="00D22D3F" w:rsidRPr="00097A86">
        <w:t>—</w:t>
      </w:r>
      <w:r w:rsidRPr="00097A86">
        <w:rPr>
          <w:i/>
        </w:rPr>
        <w:t>Sample and velocity traverses for stationary sources (2000)</w:t>
      </w:r>
    </w:p>
    <w:p w14:paraId="43C1C24C" w14:textId="77777777" w:rsidR="003F0D4E" w:rsidRPr="00097A86" w:rsidRDefault="003F0D4E" w:rsidP="00D22D3F">
      <w:pPr>
        <w:pStyle w:val="ActHead5"/>
      </w:pPr>
      <w:bookmarkStart w:id="221" w:name="_Toc13233663"/>
      <w:r w:rsidRPr="00097A86">
        <w:rPr>
          <w:rStyle w:val="CharSectno"/>
        </w:rPr>
        <w:t>3.10</w:t>
      </w:r>
      <w:r w:rsidR="00D22D3F" w:rsidRPr="00097A86">
        <w:t xml:space="preserve">  </w:t>
      </w:r>
      <w:r w:rsidRPr="00097A86">
        <w:t>Measurement of volumetric flow rates by PEM</w:t>
      </w:r>
      <w:bookmarkEnd w:id="221"/>
    </w:p>
    <w:p w14:paraId="7B47B619" w14:textId="77777777" w:rsidR="003F0D4E" w:rsidRPr="00097A86" w:rsidRDefault="003F0D4E" w:rsidP="00D22D3F">
      <w:pPr>
        <w:pStyle w:val="subsection"/>
      </w:pPr>
      <w:r w:rsidRPr="00097A86">
        <w:tab/>
      </w:r>
      <w:r w:rsidRPr="00097A86">
        <w:tab/>
        <w:t>For paragraph</w:t>
      </w:r>
      <w:r w:rsidR="00097A86">
        <w:t> </w:t>
      </w:r>
      <w:r w:rsidRPr="00097A86">
        <w:t xml:space="preserve">3.8(b), the measurement of the volumetric flow rates by PEM of the gas stream must be undertaken in accordance with an appropriate standard or applicable State or Territory legislation. </w:t>
      </w:r>
    </w:p>
    <w:p w14:paraId="0921CAC8" w14:textId="77777777" w:rsidR="003F0D4E" w:rsidRPr="00097A86" w:rsidRDefault="00D22D3F" w:rsidP="00D22D3F">
      <w:pPr>
        <w:pStyle w:val="notetext"/>
      </w:pPr>
      <w:r w:rsidRPr="00097A86">
        <w:t>Note:</w:t>
      </w:r>
      <w:r w:rsidRPr="00097A86">
        <w:tab/>
      </w:r>
      <w:r w:rsidR="003F0D4E" w:rsidRPr="00097A86">
        <w:t>Appropriate standards include:</w:t>
      </w:r>
    </w:p>
    <w:p w14:paraId="706D0B22" w14:textId="77777777" w:rsidR="003F0D4E" w:rsidRPr="00097A86" w:rsidRDefault="003F0D4E" w:rsidP="00D22D3F">
      <w:pPr>
        <w:pStyle w:val="notepara"/>
      </w:pPr>
      <w:r w:rsidRPr="00097A86">
        <w:sym w:font="Symbol" w:char="F0B7"/>
      </w:r>
      <w:r w:rsidRPr="00097A86">
        <w:tab/>
        <w:t xml:space="preserve">ISO 14164:1999 </w:t>
      </w:r>
      <w:r w:rsidRPr="00097A86">
        <w:rPr>
          <w:i/>
        </w:rPr>
        <w:t xml:space="preserve">Stationary source emissions. Determination of the volume flowrate of gas streams in ducts </w:t>
      </w:r>
      <w:r w:rsidR="005C3E39" w:rsidRPr="00097A86">
        <w:rPr>
          <w:i/>
        </w:rPr>
        <w:t>–</w:t>
      </w:r>
      <w:r w:rsidRPr="00097A86">
        <w:rPr>
          <w:i/>
        </w:rPr>
        <w:t xml:space="preserve"> automated method</w:t>
      </w:r>
    </w:p>
    <w:p w14:paraId="22510533" w14:textId="77777777" w:rsidR="003F0D4E" w:rsidRPr="00097A86" w:rsidRDefault="003F0D4E" w:rsidP="00D22D3F">
      <w:pPr>
        <w:pStyle w:val="notepara"/>
      </w:pPr>
      <w:r w:rsidRPr="00097A86">
        <w:sym w:font="Symbol" w:char="F0B7"/>
      </w:r>
      <w:r w:rsidRPr="00097A86">
        <w:tab/>
        <w:t xml:space="preserve">ISO 10780:1994 </w:t>
      </w:r>
      <w:r w:rsidRPr="00097A86">
        <w:rPr>
          <w:i/>
        </w:rPr>
        <w:t>Stationary source emissions. Measurement of velocity and volume flowrate of gas streams in ducts</w:t>
      </w:r>
    </w:p>
    <w:p w14:paraId="19413418" w14:textId="77777777" w:rsidR="003F0D4E" w:rsidRPr="00097A86" w:rsidRDefault="003F0D4E" w:rsidP="00D22D3F">
      <w:pPr>
        <w:pStyle w:val="notepara"/>
      </w:pPr>
      <w:r w:rsidRPr="00097A86">
        <w:sym w:font="Symbol" w:char="F0B7"/>
      </w:r>
      <w:r w:rsidRPr="00097A86">
        <w:tab/>
        <w:t>USEPA Method 2</w:t>
      </w:r>
      <w:r w:rsidR="00D22D3F" w:rsidRPr="00097A86">
        <w:t>—</w:t>
      </w:r>
      <w:r w:rsidRPr="00097A86">
        <w:rPr>
          <w:i/>
        </w:rPr>
        <w:t>Determination of stack gas velocity and volumetric flow rate (Type S Pitot tube) (2000)</w:t>
      </w:r>
    </w:p>
    <w:p w14:paraId="757849E4" w14:textId="77777777" w:rsidR="003F0D4E" w:rsidRPr="00097A86" w:rsidRDefault="003F0D4E" w:rsidP="00D22D3F">
      <w:pPr>
        <w:pStyle w:val="notepara"/>
      </w:pPr>
      <w:r w:rsidRPr="00097A86">
        <w:sym w:font="Symbol" w:char="F0B7"/>
      </w:r>
      <w:r w:rsidRPr="00097A86">
        <w:tab/>
        <w:t>USEPA Method 2A</w:t>
      </w:r>
      <w:r w:rsidR="00D22D3F" w:rsidRPr="00097A86">
        <w:t>—</w:t>
      </w:r>
      <w:r w:rsidRPr="00097A86">
        <w:rPr>
          <w:i/>
        </w:rPr>
        <w:t>Direct measurement of gas volume through pipes and small ducts (2000)</w:t>
      </w:r>
      <w:r w:rsidRPr="00097A86">
        <w:t>.</w:t>
      </w:r>
    </w:p>
    <w:p w14:paraId="22B7B37B" w14:textId="77777777" w:rsidR="003F0D4E" w:rsidRPr="00097A86" w:rsidRDefault="003F0D4E" w:rsidP="00D22D3F">
      <w:pPr>
        <w:pStyle w:val="ActHead5"/>
      </w:pPr>
      <w:bookmarkStart w:id="222" w:name="_Toc13233664"/>
      <w:r w:rsidRPr="00097A86">
        <w:rPr>
          <w:rStyle w:val="CharSectno"/>
        </w:rPr>
        <w:t>3.11</w:t>
      </w:r>
      <w:r w:rsidR="00D22D3F" w:rsidRPr="00097A86">
        <w:t xml:space="preserve">  </w:t>
      </w:r>
      <w:r w:rsidRPr="00097A86">
        <w:t>Measurement of concentrations by PEM</w:t>
      </w:r>
      <w:bookmarkEnd w:id="222"/>
    </w:p>
    <w:p w14:paraId="7C6D2EB3" w14:textId="77777777" w:rsidR="003F0D4E" w:rsidRPr="00097A86" w:rsidRDefault="003F0D4E" w:rsidP="00D22D3F">
      <w:pPr>
        <w:pStyle w:val="subsection"/>
      </w:pPr>
      <w:r w:rsidRPr="00097A86">
        <w:tab/>
      </w:r>
      <w:r w:rsidRPr="00097A86">
        <w:tab/>
        <w:t>For paragraph</w:t>
      </w:r>
      <w:r w:rsidR="00097A86">
        <w:t> </w:t>
      </w:r>
      <w:r w:rsidRPr="00097A86">
        <w:t>3.8(c), the measurement of the concentrations of gas type (</w:t>
      </w:r>
      <w:r w:rsidRPr="00097A86">
        <w:rPr>
          <w:b/>
          <w:i/>
        </w:rPr>
        <w:t>j</w:t>
      </w:r>
      <w:r w:rsidRPr="00097A86">
        <w:t xml:space="preserve">) in the gas stream by PEM must be undertaken in accordance with an appropriate standard or applicable State or Territory legislation. </w:t>
      </w:r>
    </w:p>
    <w:p w14:paraId="03A59200" w14:textId="77777777" w:rsidR="003F0D4E" w:rsidRPr="00097A86" w:rsidRDefault="00D22D3F" w:rsidP="00D22D3F">
      <w:pPr>
        <w:pStyle w:val="notetext"/>
      </w:pPr>
      <w:r w:rsidRPr="00097A86">
        <w:lastRenderedPageBreak/>
        <w:t>Note:</w:t>
      </w:r>
      <w:r w:rsidRPr="00097A86">
        <w:tab/>
      </w:r>
      <w:r w:rsidR="003F0D4E" w:rsidRPr="00097A86">
        <w:t>Appropriate standards include USEPA</w:t>
      </w:r>
      <w:r w:rsidRPr="00097A86">
        <w:t>—</w:t>
      </w:r>
      <w:r w:rsidR="003F0D4E" w:rsidRPr="00097A86">
        <w:t>Method 3C</w:t>
      </w:r>
      <w:r w:rsidRPr="00097A86">
        <w:t>—</w:t>
      </w:r>
      <w:r w:rsidR="003F0D4E" w:rsidRPr="00097A86">
        <w:rPr>
          <w:i/>
        </w:rPr>
        <w:t>Determination of carbon dioxide, methane, nitrogen and oxygen from stationary sources (1996)</w:t>
      </w:r>
      <w:r w:rsidR="003F0D4E" w:rsidRPr="00097A86">
        <w:t>.</w:t>
      </w:r>
    </w:p>
    <w:p w14:paraId="01DEBEFA" w14:textId="77777777" w:rsidR="003F0D4E" w:rsidRPr="00097A86" w:rsidRDefault="003F0D4E" w:rsidP="00D22D3F">
      <w:pPr>
        <w:pStyle w:val="ActHead5"/>
      </w:pPr>
      <w:bookmarkStart w:id="223" w:name="_Toc13233665"/>
      <w:r w:rsidRPr="00097A86">
        <w:rPr>
          <w:rStyle w:val="CharSectno"/>
        </w:rPr>
        <w:t>3.12</w:t>
      </w:r>
      <w:r w:rsidR="00D22D3F" w:rsidRPr="00097A86">
        <w:t xml:space="preserve">  </w:t>
      </w:r>
      <w:r w:rsidRPr="00097A86">
        <w:t>Representative data for PEM</w:t>
      </w:r>
      <w:bookmarkEnd w:id="223"/>
    </w:p>
    <w:p w14:paraId="59514068" w14:textId="77777777" w:rsidR="003F0D4E" w:rsidRPr="00097A86" w:rsidRDefault="003F0D4E" w:rsidP="00D22D3F">
      <w:pPr>
        <w:pStyle w:val="subsection"/>
      </w:pPr>
      <w:r w:rsidRPr="00097A86">
        <w:tab/>
        <w:t>(1)</w:t>
      </w:r>
      <w:r w:rsidRPr="00097A86">
        <w:tab/>
        <w:t>For paragraph</w:t>
      </w:r>
      <w:r w:rsidR="00097A86">
        <w:t> </w:t>
      </w:r>
      <w:r w:rsidRPr="00097A86">
        <w:t>3.8(d), sampling by PEM must be undertaken during the year for a sufficient duration to produce representative data that may be reliably extrapolated to provide estimates of emissions across the full range of operating conditions for that year.</w:t>
      </w:r>
    </w:p>
    <w:p w14:paraId="1D20A97B" w14:textId="77777777" w:rsidR="003F0D4E" w:rsidRPr="00097A86" w:rsidRDefault="003F0D4E" w:rsidP="00D22D3F">
      <w:pPr>
        <w:pStyle w:val="subsection"/>
      </w:pPr>
      <w:r w:rsidRPr="00097A86">
        <w:tab/>
        <w:t>(2)</w:t>
      </w:r>
      <w:r w:rsidRPr="00097A86">
        <w:tab/>
        <w:t>Emission estimates of PEM equipment must also be consistent with the principles in section</w:t>
      </w:r>
      <w:r w:rsidR="00097A86">
        <w:t> </w:t>
      </w:r>
      <w:r w:rsidRPr="00097A86">
        <w:t>1.13.</w:t>
      </w:r>
    </w:p>
    <w:p w14:paraId="09129A0C" w14:textId="77777777" w:rsidR="003F0D4E" w:rsidRPr="00097A86" w:rsidRDefault="003F0D4E" w:rsidP="00D22D3F">
      <w:pPr>
        <w:pStyle w:val="ActHead5"/>
      </w:pPr>
      <w:bookmarkStart w:id="224" w:name="_Toc13233666"/>
      <w:r w:rsidRPr="00097A86">
        <w:rPr>
          <w:rStyle w:val="CharSectno"/>
        </w:rPr>
        <w:t>3.13</w:t>
      </w:r>
      <w:r w:rsidR="00D22D3F" w:rsidRPr="00097A86">
        <w:t xml:space="preserve">  </w:t>
      </w:r>
      <w:r w:rsidRPr="00097A86">
        <w:t>Performance characteristics of equipment</w:t>
      </w:r>
      <w:bookmarkEnd w:id="224"/>
    </w:p>
    <w:p w14:paraId="29AC60FA" w14:textId="77777777" w:rsidR="003F0D4E" w:rsidRPr="00097A86" w:rsidRDefault="003F0D4E" w:rsidP="00D22D3F">
      <w:pPr>
        <w:pStyle w:val="subsection"/>
      </w:pPr>
      <w:r w:rsidRPr="00097A86">
        <w:tab/>
      </w:r>
      <w:r w:rsidRPr="00097A86">
        <w:tab/>
        <w:t>For paragraph</w:t>
      </w:r>
      <w:r w:rsidR="00097A86">
        <w:t> </w:t>
      </w:r>
      <w:r w:rsidRPr="00097A86">
        <w:t xml:space="preserve">3.8(e), the performance characteristics of PEM equipment must be </w:t>
      </w:r>
      <w:r w:rsidR="00702712" w:rsidRPr="00097A86">
        <w:t>consistent with an appropriate standard or applicable State or Territory legislation</w:t>
      </w:r>
      <w:r w:rsidRPr="00097A86">
        <w:t>.</w:t>
      </w:r>
    </w:p>
    <w:p w14:paraId="55112D83" w14:textId="77777777" w:rsidR="00702712" w:rsidRPr="00097A86" w:rsidRDefault="00702712" w:rsidP="00702712">
      <w:pPr>
        <w:pStyle w:val="notetext"/>
      </w:pPr>
      <w:r w:rsidRPr="00097A86">
        <w:t>Note:</w:t>
      </w:r>
      <w:r w:rsidRPr="00097A86">
        <w:tab/>
        <w:t>The performance characteristics of PEM equipment includes calibration.</w:t>
      </w:r>
    </w:p>
    <w:p w14:paraId="0F0BDA80" w14:textId="77777777" w:rsidR="003F0D4E" w:rsidRPr="00097A86" w:rsidRDefault="003F0D4E" w:rsidP="00D22D3F">
      <w:pPr>
        <w:pStyle w:val="ActHead4"/>
      </w:pPr>
      <w:bookmarkStart w:id="225" w:name="_Toc13233667"/>
      <w:r w:rsidRPr="00097A86">
        <w:rPr>
          <w:rStyle w:val="CharSubdNo"/>
        </w:rPr>
        <w:t>Subdivision</w:t>
      </w:r>
      <w:r w:rsidR="00097A86">
        <w:rPr>
          <w:rStyle w:val="CharSubdNo"/>
        </w:rPr>
        <w:t> </w:t>
      </w:r>
      <w:r w:rsidRPr="00097A86">
        <w:rPr>
          <w:rStyle w:val="CharSubdNo"/>
        </w:rPr>
        <w:t>3.2.2.3</w:t>
      </w:r>
      <w:r w:rsidR="00D22D3F" w:rsidRPr="00097A86">
        <w:t>—</w:t>
      </w:r>
      <w:r w:rsidRPr="00097A86">
        <w:rPr>
          <w:rStyle w:val="CharSubdText"/>
        </w:rPr>
        <w:t>Emissions released from coal mine waste gas flared</w:t>
      </w:r>
      <w:bookmarkEnd w:id="225"/>
    </w:p>
    <w:p w14:paraId="54CA2728" w14:textId="77777777" w:rsidR="003F0D4E" w:rsidRPr="00097A86" w:rsidRDefault="003F0D4E" w:rsidP="00D22D3F">
      <w:pPr>
        <w:pStyle w:val="ActHead5"/>
      </w:pPr>
      <w:bookmarkStart w:id="226" w:name="_Toc13233668"/>
      <w:r w:rsidRPr="00097A86">
        <w:rPr>
          <w:rStyle w:val="CharSectno"/>
        </w:rPr>
        <w:t>3.14</w:t>
      </w:r>
      <w:r w:rsidR="00D22D3F" w:rsidRPr="00097A86">
        <w:t xml:space="preserve">  </w:t>
      </w:r>
      <w:r w:rsidRPr="00097A86">
        <w:t>Method 1</w:t>
      </w:r>
      <w:r w:rsidR="00D22D3F" w:rsidRPr="00097A86">
        <w:t>—</w:t>
      </w:r>
      <w:r w:rsidRPr="00097A86">
        <w:t>coal mine waste gas flared</w:t>
      </w:r>
      <w:bookmarkEnd w:id="226"/>
    </w:p>
    <w:p w14:paraId="6A4D0E62" w14:textId="77777777" w:rsidR="003F0D4E" w:rsidRPr="00097A86" w:rsidRDefault="003F0D4E" w:rsidP="00D22D3F">
      <w:pPr>
        <w:pStyle w:val="subsection"/>
      </w:pPr>
      <w:r w:rsidRPr="00097A86">
        <w:tab/>
      </w:r>
      <w:r w:rsidRPr="00097A86">
        <w:tab/>
        <w:t>For subparagraph</w:t>
      </w:r>
      <w:r w:rsidR="00097A86">
        <w:t> </w:t>
      </w:r>
      <w:r w:rsidRPr="00097A86">
        <w:t>3.4(4)(a)(i) and paragraphs 3.4(4)(b) and (c), method 1 is:</w:t>
      </w:r>
    </w:p>
    <w:p w14:paraId="292DB22D"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7CE6AFD" wp14:editId="64EB2754">
            <wp:extent cx="2305050" cy="4095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p w14:paraId="59192364" w14:textId="77777777" w:rsidR="003F0D4E" w:rsidRPr="00097A86" w:rsidRDefault="003F0D4E" w:rsidP="00D22D3F">
      <w:pPr>
        <w:pStyle w:val="subsection2"/>
      </w:pPr>
      <w:r w:rsidRPr="00097A86">
        <w:t>where:</w:t>
      </w:r>
    </w:p>
    <w:p w14:paraId="346F9243" w14:textId="77777777" w:rsidR="003F0D4E" w:rsidRPr="00097A86" w:rsidRDefault="003F0D4E" w:rsidP="00D22D3F">
      <w:pPr>
        <w:pStyle w:val="Definition"/>
      </w:pPr>
      <w:r w:rsidRPr="00097A86">
        <w:rPr>
          <w:b/>
          <w:i/>
        </w:rPr>
        <w:t>E</w:t>
      </w:r>
      <w:r w:rsidRPr="00097A86">
        <w:rPr>
          <w:b/>
          <w:i/>
          <w:vertAlign w:val="subscript"/>
        </w:rPr>
        <w:t xml:space="preserve">(fl)ij </w:t>
      </w:r>
      <w:r w:rsidRPr="00097A86">
        <w:t>is the emissions of gas type (</w:t>
      </w:r>
      <w:r w:rsidRPr="00097A86">
        <w:rPr>
          <w:b/>
          <w:i/>
        </w:rPr>
        <w:t>j</w:t>
      </w:r>
      <w:r w:rsidRPr="00097A86">
        <w:t>) released from coal mine waste gas (</w:t>
      </w:r>
      <w:r w:rsidRPr="00097A86">
        <w:rPr>
          <w:b/>
          <w:i/>
        </w:rPr>
        <w:t>i</w:t>
      </w:r>
      <w:r w:rsidRPr="00097A86">
        <w:t>) flared from the mine during the year, measured in CO</w:t>
      </w:r>
      <w:r w:rsidRPr="00097A86">
        <w:rPr>
          <w:vertAlign w:val="subscript"/>
        </w:rPr>
        <w:t>2</w:t>
      </w:r>
      <w:r w:rsidR="00097A86">
        <w:noBreakHyphen/>
      </w:r>
      <w:r w:rsidRPr="00097A86">
        <w:t>e tonnes.</w:t>
      </w:r>
    </w:p>
    <w:p w14:paraId="374AF380" w14:textId="77777777" w:rsidR="003F0D4E" w:rsidRPr="00097A86" w:rsidRDefault="003F0D4E" w:rsidP="00D22D3F">
      <w:pPr>
        <w:pStyle w:val="Definition"/>
      </w:pPr>
      <w:r w:rsidRPr="00097A86">
        <w:rPr>
          <w:b/>
          <w:i/>
        </w:rPr>
        <w:t>Q</w:t>
      </w:r>
      <w:r w:rsidRPr="00097A86">
        <w:rPr>
          <w:b/>
          <w:i/>
          <w:vertAlign w:val="subscript"/>
        </w:rPr>
        <w:t xml:space="preserve">i,flared </w:t>
      </w:r>
      <w:r w:rsidRPr="00097A86">
        <w:t>is the quantity of coal mine waste gas (</w:t>
      </w:r>
      <w:r w:rsidRPr="00097A86">
        <w:rPr>
          <w:b/>
          <w:i/>
        </w:rPr>
        <w:t>i</w:t>
      </w:r>
      <w:r w:rsidRPr="00097A86">
        <w:t>) flared from the mine during the year, measured in cubic metres and estimated under Division</w:t>
      </w:r>
      <w:r w:rsidR="00097A86">
        <w:t> </w:t>
      </w:r>
      <w:r w:rsidRPr="00097A86">
        <w:t>2.3.6.</w:t>
      </w:r>
    </w:p>
    <w:p w14:paraId="516C4333" w14:textId="77777777" w:rsidR="003F0D4E" w:rsidRPr="00097A86" w:rsidRDefault="003F0D4E" w:rsidP="00D22D3F">
      <w:pPr>
        <w:pStyle w:val="Definition"/>
        <w:rPr>
          <w:vertAlign w:val="subscript"/>
        </w:rPr>
      </w:pPr>
      <w:r w:rsidRPr="00097A86">
        <w:rPr>
          <w:b/>
          <w:i/>
        </w:rPr>
        <w:t>EC</w:t>
      </w:r>
      <w:r w:rsidRPr="00097A86">
        <w:rPr>
          <w:b/>
          <w:i/>
          <w:vertAlign w:val="subscript"/>
        </w:rPr>
        <w:t xml:space="preserve">i </w:t>
      </w:r>
      <w:r w:rsidRPr="00097A86">
        <w:t>is the energy content factor of coal mine waste gas (</w:t>
      </w:r>
      <w:r w:rsidRPr="00097A86">
        <w:rPr>
          <w:b/>
          <w:i/>
        </w:rPr>
        <w:t>i</w:t>
      </w:r>
      <w:r w:rsidRPr="00097A86">
        <w:t>) mentioned in item</w:t>
      </w:r>
      <w:r w:rsidR="00097A86">
        <w:t> </w:t>
      </w:r>
      <w:r w:rsidRPr="00097A86">
        <w:t>19 of Schedule</w:t>
      </w:r>
      <w:r w:rsidR="00097A86">
        <w:t> </w:t>
      </w:r>
      <w:r w:rsidRPr="00097A86">
        <w:t>1, measured in gigajoules per cubic metre.</w:t>
      </w:r>
    </w:p>
    <w:p w14:paraId="415AE33A" w14:textId="77777777" w:rsidR="003F0D4E" w:rsidRPr="00097A86" w:rsidRDefault="003F0D4E" w:rsidP="00D22D3F">
      <w:pPr>
        <w:pStyle w:val="Definition"/>
      </w:pPr>
      <w:r w:rsidRPr="00097A86">
        <w:rPr>
          <w:b/>
          <w:i/>
        </w:rPr>
        <w:t>EF</w:t>
      </w:r>
      <w:r w:rsidRPr="00097A86">
        <w:rPr>
          <w:b/>
          <w:i/>
          <w:vertAlign w:val="subscript"/>
        </w:rPr>
        <w:t xml:space="preserve">ij </w:t>
      </w:r>
      <w:r w:rsidRPr="00097A86">
        <w:t>is the emission factor for gas type (</w:t>
      </w:r>
      <w:r w:rsidRPr="00097A86">
        <w:rPr>
          <w:b/>
          <w:i/>
        </w:rPr>
        <w:t>j</w:t>
      </w:r>
      <w:r w:rsidRPr="00097A86">
        <w:t>) and coal mine waste gas (</w:t>
      </w:r>
      <w:r w:rsidRPr="00097A86">
        <w:rPr>
          <w:b/>
          <w:i/>
        </w:rPr>
        <w:t>i</w:t>
      </w:r>
      <w:r w:rsidRPr="00097A86">
        <w:t>) mentioned in item</w:t>
      </w:r>
      <w:r w:rsidR="00097A86">
        <w:t> </w:t>
      </w:r>
      <w:r w:rsidRPr="00097A86">
        <w:t>19 of Schedule</w:t>
      </w:r>
      <w:r w:rsidR="00097A86">
        <w:t> </w:t>
      </w:r>
      <w:r w:rsidRPr="00097A86">
        <w:t>1, measured in CO</w:t>
      </w:r>
      <w:r w:rsidRPr="00097A86">
        <w:rPr>
          <w:vertAlign w:val="subscript"/>
        </w:rPr>
        <w:t>2</w:t>
      </w:r>
      <w:r w:rsidR="00097A86">
        <w:noBreakHyphen/>
      </w:r>
      <w:r w:rsidRPr="00097A86">
        <w:t xml:space="preserve">e </w:t>
      </w:r>
      <w:r w:rsidR="00FA5CB6" w:rsidRPr="00097A86">
        <w:t>kilograms</w:t>
      </w:r>
      <w:r w:rsidRPr="00097A86">
        <w:t xml:space="preserve"> per gigajoule.</w:t>
      </w:r>
    </w:p>
    <w:p w14:paraId="56CC10E5" w14:textId="77777777" w:rsidR="00B41F69" w:rsidRPr="00097A86" w:rsidRDefault="00B41F69" w:rsidP="00B41F69">
      <w:pPr>
        <w:pStyle w:val="Definition"/>
      </w:pPr>
      <w:r w:rsidRPr="00097A86">
        <w:rPr>
          <w:b/>
          <w:i/>
        </w:rPr>
        <w:t>OF</w:t>
      </w:r>
      <w:r w:rsidRPr="00097A86">
        <w:rPr>
          <w:b/>
          <w:i/>
          <w:vertAlign w:val="subscript"/>
        </w:rPr>
        <w:t>if</w:t>
      </w:r>
      <w:r w:rsidRPr="00097A86">
        <w:t xml:space="preserve"> is 0.98, which is the destruction efficiency of coal mine waste gas (</w:t>
      </w:r>
      <w:r w:rsidRPr="00097A86">
        <w:rPr>
          <w:b/>
          <w:i/>
        </w:rPr>
        <w:t>i</w:t>
      </w:r>
      <w:r w:rsidRPr="00097A86">
        <w:t>) flared.</w:t>
      </w:r>
    </w:p>
    <w:p w14:paraId="6DB0FF73" w14:textId="77777777" w:rsidR="00843EC9" w:rsidRPr="00097A86" w:rsidRDefault="00843EC9" w:rsidP="00843EC9">
      <w:pPr>
        <w:pStyle w:val="ActHead5"/>
      </w:pPr>
      <w:bookmarkStart w:id="227" w:name="_Toc13233669"/>
      <w:r w:rsidRPr="00097A86">
        <w:rPr>
          <w:rStyle w:val="CharSectno"/>
        </w:rPr>
        <w:t>3.15</w:t>
      </w:r>
      <w:r w:rsidRPr="00097A86">
        <w:t xml:space="preserve">  Method 2—emissions of carbon dioxide from coal mine waste gas flared</w:t>
      </w:r>
      <w:bookmarkEnd w:id="227"/>
    </w:p>
    <w:p w14:paraId="3A44CBF3" w14:textId="77777777" w:rsidR="00843EC9" w:rsidRPr="00097A86" w:rsidRDefault="00843EC9" w:rsidP="00843EC9">
      <w:pPr>
        <w:pStyle w:val="subsection"/>
      </w:pPr>
      <w:r w:rsidRPr="00097A86">
        <w:tab/>
      </w:r>
      <w:r w:rsidRPr="00097A86">
        <w:tab/>
        <w:t>For subparagraph</w:t>
      </w:r>
      <w:r w:rsidR="00097A86">
        <w:t> </w:t>
      </w:r>
      <w:r w:rsidRPr="00097A86">
        <w:t>3.4(4)(a)(ii), method 2 is:</w:t>
      </w:r>
    </w:p>
    <w:bookmarkStart w:id="228" w:name="BKCheck15B_18"/>
    <w:bookmarkEnd w:id="228"/>
    <w:p w14:paraId="7C50F5C7" w14:textId="77777777" w:rsidR="00843EC9" w:rsidRPr="00097A86" w:rsidRDefault="00843EC9" w:rsidP="00843EC9">
      <w:pPr>
        <w:pStyle w:val="subsection2"/>
      </w:pPr>
      <w:r w:rsidRPr="00097A86">
        <w:rPr>
          <w:position w:val="-32"/>
        </w:rPr>
        <w:object w:dxaOrig="3620" w:dyaOrig="780" w14:anchorId="2C509CEE">
          <v:shape id="_x0000_i1026" type="#_x0000_t75" style="width:180.85pt;height:39.15pt" o:ole="">
            <v:imagedata r:id="rId62" o:title=""/>
          </v:shape>
          <o:OLEObject Type="Embed" ProgID="Equation.DSMT4" ShapeID="_x0000_i1026" DrawAspect="Content" ObjectID="_1624711030" r:id="rId63"/>
        </w:object>
      </w:r>
    </w:p>
    <w:p w14:paraId="48F1BE97" w14:textId="77777777" w:rsidR="00843EC9" w:rsidRPr="00097A86" w:rsidRDefault="00843EC9" w:rsidP="00843EC9">
      <w:pPr>
        <w:pStyle w:val="subsection2"/>
      </w:pPr>
      <w:r w:rsidRPr="00097A86">
        <w:lastRenderedPageBreak/>
        <w:t>where:</w:t>
      </w:r>
    </w:p>
    <w:p w14:paraId="7D2984E3" w14:textId="77777777" w:rsidR="00843EC9" w:rsidRPr="00097A86" w:rsidRDefault="00843EC9" w:rsidP="00843EC9">
      <w:pPr>
        <w:pStyle w:val="Definition"/>
      </w:pPr>
      <w:r w:rsidRPr="00097A86">
        <w:rPr>
          <w:b/>
          <w:i/>
        </w:rPr>
        <w:t>E</w:t>
      </w:r>
      <w:r w:rsidRPr="00097A86">
        <w:rPr>
          <w:b/>
          <w:i/>
          <w:iCs/>
          <w:vertAlign w:val="subscript"/>
        </w:rPr>
        <w:t>iCO</w:t>
      </w:r>
      <w:r w:rsidRPr="00097A86">
        <w:rPr>
          <w:b/>
          <w:i/>
          <w:position w:val="-6"/>
          <w:vertAlign w:val="subscript"/>
        </w:rPr>
        <w:t>2</w:t>
      </w:r>
      <w:r w:rsidRPr="00097A86">
        <w:t xml:space="preserve"> is the emissions of CO</w:t>
      </w:r>
      <w:r w:rsidRPr="00097A86">
        <w:rPr>
          <w:vertAlign w:val="subscript"/>
        </w:rPr>
        <w:t>2</w:t>
      </w:r>
      <w:r w:rsidRPr="00097A86">
        <w:t xml:space="preserve"> released from coal mine waste gas (</w:t>
      </w:r>
      <w:r w:rsidRPr="00097A86">
        <w:rPr>
          <w:b/>
          <w:i/>
        </w:rPr>
        <w:t>i</w:t>
      </w:r>
      <w:r w:rsidRPr="00097A86">
        <w:t>) flared from the mine during the year, measured in CO</w:t>
      </w:r>
      <w:r w:rsidRPr="00097A86">
        <w:rPr>
          <w:vertAlign w:val="subscript"/>
        </w:rPr>
        <w:t>2</w:t>
      </w:r>
      <w:r w:rsidR="00097A86">
        <w:noBreakHyphen/>
      </w:r>
      <w:r w:rsidRPr="00097A86">
        <w:t>e tonnes.</w:t>
      </w:r>
    </w:p>
    <w:p w14:paraId="3CDBF718" w14:textId="77777777" w:rsidR="00843EC9" w:rsidRPr="00097A86" w:rsidRDefault="00843EC9" w:rsidP="00843EC9">
      <w:pPr>
        <w:pStyle w:val="Definition"/>
      </w:pPr>
      <w:r w:rsidRPr="00097A86">
        <w:rPr>
          <w:b/>
          <w:i/>
        </w:rPr>
        <w:t>EC</w:t>
      </w:r>
      <w:r w:rsidRPr="00097A86">
        <w:rPr>
          <w:b/>
          <w:i/>
          <w:vertAlign w:val="subscript"/>
        </w:rPr>
        <w:t>i</w:t>
      </w:r>
      <w:r w:rsidRPr="00097A86">
        <w:rPr>
          <w:b/>
          <w:i/>
        </w:rPr>
        <w:t xml:space="preserve"> </w:t>
      </w:r>
      <w:r w:rsidRPr="00097A86">
        <w:t>is the energy content factor of the methane (</w:t>
      </w:r>
      <w:r w:rsidRPr="00097A86">
        <w:rPr>
          <w:b/>
          <w:i/>
        </w:rPr>
        <w:t>k</w:t>
      </w:r>
      <w:r w:rsidRPr="00097A86">
        <w:t>) within coal mine waste gas (</w:t>
      </w:r>
      <w:r w:rsidRPr="00097A86">
        <w:rPr>
          <w:b/>
          <w:i/>
        </w:rPr>
        <w:t>i</w:t>
      </w:r>
      <w:r w:rsidRPr="00097A86">
        <w:t>) mentioned in item</w:t>
      </w:r>
      <w:r w:rsidR="00097A86">
        <w:t> </w:t>
      </w:r>
      <w:r w:rsidRPr="00097A86">
        <w:t>19 of Schedule</w:t>
      </w:r>
      <w:r w:rsidR="00097A86">
        <w:t> </w:t>
      </w:r>
      <w:r w:rsidRPr="00097A86">
        <w:t>1, measured in gigajoules per cubic metre.</w:t>
      </w:r>
    </w:p>
    <w:p w14:paraId="5DA32CA8" w14:textId="77777777" w:rsidR="00843EC9" w:rsidRPr="00097A86" w:rsidRDefault="00843EC9" w:rsidP="00843EC9">
      <w:pPr>
        <w:pStyle w:val="Definition"/>
      </w:pPr>
      <w:r w:rsidRPr="00097A86">
        <w:rPr>
          <w:b/>
          <w:i/>
        </w:rPr>
        <w:t>EF</w:t>
      </w:r>
      <w:r w:rsidRPr="00097A86">
        <w:rPr>
          <w:b/>
          <w:i/>
          <w:vertAlign w:val="subscript"/>
        </w:rPr>
        <w:t>k</w:t>
      </w:r>
      <w:r w:rsidRPr="00097A86">
        <w:t xml:space="preserve"> is the emission factor for the methane (</w:t>
      </w:r>
      <w:r w:rsidRPr="00097A86">
        <w:rPr>
          <w:b/>
          <w:i/>
        </w:rPr>
        <w:t>k</w:t>
      </w:r>
      <w:r w:rsidRPr="00097A86">
        <w:t>) within the fuel type from the mine during the year, measured in kilograms of CO</w:t>
      </w:r>
      <w:r w:rsidRPr="00097A86">
        <w:rPr>
          <w:vertAlign w:val="subscript"/>
        </w:rPr>
        <w:t>2</w:t>
      </w:r>
      <w:r w:rsidR="00097A86">
        <w:noBreakHyphen/>
      </w:r>
      <w:r w:rsidRPr="00097A86">
        <w:t>e per gigajoule, estimated in accordance with Division</w:t>
      </w:r>
      <w:r w:rsidR="00097A86">
        <w:t> </w:t>
      </w:r>
      <w:r w:rsidRPr="00097A86">
        <w:t>2.3.3.</w:t>
      </w:r>
    </w:p>
    <w:p w14:paraId="57F51A2C" w14:textId="77777777" w:rsidR="00B41F69" w:rsidRPr="00097A86" w:rsidRDefault="00B41F69" w:rsidP="00B41F69">
      <w:pPr>
        <w:pStyle w:val="Definition"/>
      </w:pPr>
      <w:r w:rsidRPr="00097A86">
        <w:rPr>
          <w:b/>
          <w:i/>
        </w:rPr>
        <w:t>OF</w:t>
      </w:r>
      <w:r w:rsidRPr="00097A86">
        <w:rPr>
          <w:b/>
          <w:i/>
          <w:vertAlign w:val="subscript"/>
        </w:rPr>
        <w:t>i</w:t>
      </w:r>
      <w:r w:rsidRPr="00097A86">
        <w:t xml:space="preserve"> is 0.98, which is the destruction efficiency of coal mine waste gas (</w:t>
      </w:r>
      <w:r w:rsidRPr="00097A86">
        <w:rPr>
          <w:b/>
          <w:i/>
        </w:rPr>
        <w:t>i</w:t>
      </w:r>
      <w:r w:rsidRPr="00097A86">
        <w:t>) flared.</w:t>
      </w:r>
    </w:p>
    <w:p w14:paraId="70F9EE76" w14:textId="77777777" w:rsidR="00843EC9" w:rsidRPr="00097A86" w:rsidRDefault="00843EC9" w:rsidP="00843EC9">
      <w:pPr>
        <w:pStyle w:val="Definition"/>
      </w:pPr>
      <w:r w:rsidRPr="00097A86">
        <w:rPr>
          <w:b/>
          <w:i/>
        </w:rPr>
        <w:t>Q</w:t>
      </w:r>
      <w:r w:rsidRPr="00097A86">
        <w:rPr>
          <w:b/>
          <w:i/>
          <w:vertAlign w:val="subscript"/>
        </w:rPr>
        <w:t>k</w:t>
      </w:r>
      <w:r w:rsidRPr="00097A86">
        <w:t xml:space="preserve"> is the quantity of methane (</w:t>
      </w:r>
      <w:r w:rsidRPr="00097A86">
        <w:rPr>
          <w:b/>
          <w:i/>
        </w:rPr>
        <w:t>k</w:t>
      </w:r>
      <w:r w:rsidRPr="00097A86">
        <w:t>) within the fuel type from the mine during the year, measured in cubic metres in accordance with Division</w:t>
      </w:r>
      <w:r w:rsidR="00097A86">
        <w:t> </w:t>
      </w:r>
      <w:r w:rsidRPr="00097A86">
        <w:t>2.3.6.</w:t>
      </w:r>
    </w:p>
    <w:p w14:paraId="3F3E14F6" w14:textId="77777777" w:rsidR="00843EC9" w:rsidRPr="00097A86" w:rsidRDefault="00843EC9" w:rsidP="00843EC9">
      <w:pPr>
        <w:pStyle w:val="Definition"/>
      </w:pPr>
      <w:r w:rsidRPr="00097A86">
        <w:rPr>
          <w:b/>
          <w:i/>
        </w:rPr>
        <w:t>QCO</w:t>
      </w:r>
      <w:r w:rsidRPr="00097A86">
        <w:rPr>
          <w:b/>
          <w:i/>
          <w:vertAlign w:val="subscript"/>
        </w:rPr>
        <w:t>2</w:t>
      </w:r>
      <w:r w:rsidRPr="00097A86">
        <w:t xml:space="preserve"> is the quantity of carbon dioxide within the coal mine waste gas emitted from the mine during the year, measured in CO</w:t>
      </w:r>
      <w:r w:rsidRPr="00097A86">
        <w:rPr>
          <w:vertAlign w:val="subscript"/>
        </w:rPr>
        <w:t>2</w:t>
      </w:r>
      <w:r w:rsidR="00097A86">
        <w:noBreakHyphen/>
      </w:r>
      <w:r w:rsidRPr="00097A86">
        <w:t>e tonnes in accordance with Division</w:t>
      </w:r>
      <w:r w:rsidR="00097A86">
        <w:t> </w:t>
      </w:r>
      <w:r w:rsidRPr="00097A86">
        <w:t>2.3.3.</w:t>
      </w:r>
    </w:p>
    <w:p w14:paraId="4BB6F104" w14:textId="77777777" w:rsidR="00843EC9" w:rsidRPr="00097A86" w:rsidRDefault="00843EC9" w:rsidP="00843EC9">
      <w:pPr>
        <w:pStyle w:val="ActHead5"/>
      </w:pPr>
      <w:bookmarkStart w:id="229" w:name="_Toc13233670"/>
      <w:r w:rsidRPr="00097A86">
        <w:rPr>
          <w:rStyle w:val="CharSectno"/>
        </w:rPr>
        <w:t>3.15A</w:t>
      </w:r>
      <w:r w:rsidRPr="00097A86">
        <w:t xml:space="preserve">  Method 2—emissions of methane and nitrous oxide from coal mine waste gas flared</w:t>
      </w:r>
      <w:bookmarkEnd w:id="229"/>
    </w:p>
    <w:p w14:paraId="44490384" w14:textId="77777777" w:rsidR="00843EC9" w:rsidRPr="00097A86" w:rsidRDefault="00843EC9" w:rsidP="00843EC9">
      <w:pPr>
        <w:pStyle w:val="subsection"/>
      </w:pPr>
      <w:r w:rsidRPr="00097A86">
        <w:tab/>
      </w:r>
      <w:r w:rsidRPr="00097A86">
        <w:tab/>
        <w:t>For subparagraphs</w:t>
      </w:r>
      <w:r w:rsidR="00097A86">
        <w:t> </w:t>
      </w:r>
      <w:r w:rsidRPr="00097A86">
        <w:t>3.4(4)(b)(ii) and (c)(ii), method 2 is:</w:t>
      </w:r>
    </w:p>
    <w:p w14:paraId="4018A95B" w14:textId="77777777" w:rsidR="00843EC9" w:rsidRPr="00097A86" w:rsidRDefault="003D4EFE" w:rsidP="00843EC9">
      <w:pPr>
        <w:pStyle w:val="subsection2"/>
      </w:pPr>
      <w:bookmarkStart w:id="230" w:name="BKCheck15B_19"/>
      <w:bookmarkEnd w:id="230"/>
      <w:r w:rsidRPr="00097A86">
        <w:rPr>
          <w:noProof/>
        </w:rPr>
        <w:drawing>
          <wp:inline distT="0" distB="0" distL="0" distR="0" wp14:anchorId="2BA12104" wp14:editId="5F7C6606">
            <wp:extent cx="1682115" cy="50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82115" cy="504190"/>
                    </a:xfrm>
                    <a:prstGeom prst="rect">
                      <a:avLst/>
                    </a:prstGeom>
                    <a:noFill/>
                    <a:ln>
                      <a:noFill/>
                    </a:ln>
                  </pic:spPr>
                </pic:pic>
              </a:graphicData>
            </a:graphic>
          </wp:inline>
        </w:drawing>
      </w:r>
    </w:p>
    <w:p w14:paraId="0D25F010" w14:textId="77777777" w:rsidR="00843EC9" w:rsidRPr="00097A86" w:rsidRDefault="00843EC9" w:rsidP="00843EC9">
      <w:pPr>
        <w:pStyle w:val="subsection2"/>
      </w:pPr>
      <w:r w:rsidRPr="00097A86">
        <w:t>where:</w:t>
      </w:r>
    </w:p>
    <w:p w14:paraId="03774DCA" w14:textId="77777777" w:rsidR="00843EC9" w:rsidRPr="00097A86" w:rsidRDefault="00843EC9" w:rsidP="00843EC9">
      <w:pPr>
        <w:pStyle w:val="Definition"/>
      </w:pPr>
      <w:r w:rsidRPr="00097A86">
        <w:rPr>
          <w:b/>
          <w:i/>
        </w:rPr>
        <w:t>E</w:t>
      </w:r>
      <w:r w:rsidRPr="00097A86">
        <w:rPr>
          <w:b/>
          <w:i/>
          <w:vertAlign w:val="subscript"/>
        </w:rPr>
        <w:t>ij</w:t>
      </w:r>
      <w:r w:rsidRPr="00097A86">
        <w:t xml:space="preserve"> is the emissions of gas type (</w:t>
      </w:r>
      <w:r w:rsidRPr="00097A86">
        <w:rPr>
          <w:b/>
          <w:i/>
        </w:rPr>
        <w:t>j</w:t>
      </w:r>
      <w:r w:rsidRPr="00097A86">
        <w:t>), being methane or nitrous oxide, released from coal mine waste gas (</w:t>
      </w:r>
      <w:r w:rsidRPr="00097A86">
        <w:rPr>
          <w:b/>
          <w:i/>
        </w:rPr>
        <w:t>i</w:t>
      </w:r>
      <w:r w:rsidRPr="00097A86">
        <w:t>) flared from the mine during the year, measured in CO</w:t>
      </w:r>
      <w:r w:rsidRPr="00097A86">
        <w:rPr>
          <w:vertAlign w:val="subscript"/>
        </w:rPr>
        <w:t>2</w:t>
      </w:r>
      <w:r w:rsidR="00097A86">
        <w:noBreakHyphen/>
      </w:r>
      <w:r w:rsidRPr="00097A86">
        <w:t>e tonnes.</w:t>
      </w:r>
    </w:p>
    <w:p w14:paraId="12EFE5CC" w14:textId="77777777" w:rsidR="00843EC9" w:rsidRPr="00097A86" w:rsidRDefault="00843EC9" w:rsidP="00843EC9">
      <w:pPr>
        <w:pStyle w:val="Definition"/>
      </w:pPr>
      <w:r w:rsidRPr="00097A86">
        <w:rPr>
          <w:b/>
          <w:i/>
        </w:rPr>
        <w:t>EC</w:t>
      </w:r>
      <w:r w:rsidRPr="00097A86">
        <w:rPr>
          <w:b/>
          <w:i/>
          <w:vertAlign w:val="subscript"/>
        </w:rPr>
        <w:t>i</w:t>
      </w:r>
      <w:r w:rsidRPr="00097A86">
        <w:rPr>
          <w:b/>
          <w:i/>
        </w:rPr>
        <w:t xml:space="preserve"> </w:t>
      </w:r>
      <w:r w:rsidRPr="00097A86">
        <w:t>is the energy content factor of methane (</w:t>
      </w:r>
      <w:r w:rsidRPr="00097A86">
        <w:rPr>
          <w:b/>
          <w:i/>
        </w:rPr>
        <w:t>k</w:t>
      </w:r>
      <w:r w:rsidRPr="00097A86">
        <w:t>) within coal mine waste gas (</w:t>
      </w:r>
      <w:r w:rsidRPr="00097A86">
        <w:rPr>
          <w:b/>
          <w:i/>
        </w:rPr>
        <w:t>i</w:t>
      </w:r>
      <w:r w:rsidRPr="00097A86">
        <w:t>) mentioned in item</w:t>
      </w:r>
      <w:r w:rsidR="00097A86">
        <w:t> </w:t>
      </w:r>
      <w:r w:rsidRPr="00097A86">
        <w:t>19 of Schedule</w:t>
      </w:r>
      <w:r w:rsidR="00097A86">
        <w:t> </w:t>
      </w:r>
      <w:r w:rsidRPr="00097A86">
        <w:t>1, measured in gigajoules per cubic metre.</w:t>
      </w:r>
    </w:p>
    <w:p w14:paraId="184F8B6B" w14:textId="77777777" w:rsidR="00843EC9" w:rsidRPr="00097A86" w:rsidRDefault="00843EC9" w:rsidP="00843EC9">
      <w:pPr>
        <w:pStyle w:val="Definition"/>
      </w:pPr>
      <w:r w:rsidRPr="00097A86">
        <w:rPr>
          <w:b/>
          <w:i/>
        </w:rPr>
        <w:t>EF</w:t>
      </w:r>
      <w:r w:rsidRPr="00097A86">
        <w:rPr>
          <w:b/>
          <w:i/>
          <w:vertAlign w:val="subscript"/>
        </w:rPr>
        <w:t>kj</w:t>
      </w:r>
      <w:r w:rsidRPr="00097A86">
        <w:t xml:space="preserve"> is the emission factor of gas type (</w:t>
      </w:r>
      <w:r w:rsidRPr="00097A86">
        <w:rPr>
          <w:b/>
          <w:i/>
        </w:rPr>
        <w:t>j</w:t>
      </w:r>
      <w:r w:rsidRPr="00097A86">
        <w:t>), being methane or nitrous oxide, for the quantity of methane (</w:t>
      </w:r>
      <w:r w:rsidRPr="00097A86">
        <w:rPr>
          <w:b/>
          <w:i/>
        </w:rPr>
        <w:t>k</w:t>
      </w:r>
      <w:r w:rsidRPr="00097A86">
        <w:t>) within coal mine waste gas (</w:t>
      </w:r>
      <w:r w:rsidRPr="00097A86">
        <w:rPr>
          <w:b/>
          <w:i/>
        </w:rPr>
        <w:t>i</w:t>
      </w:r>
      <w:r w:rsidRPr="00097A86">
        <w:t>) flared, mentioned in item</w:t>
      </w:r>
      <w:r w:rsidR="00097A86">
        <w:t> </w:t>
      </w:r>
      <w:r w:rsidRPr="00097A86">
        <w:t>19 of Schedule</w:t>
      </w:r>
      <w:r w:rsidR="00097A86">
        <w:t> </w:t>
      </w:r>
      <w:r w:rsidRPr="00097A86">
        <w:t>1 and measured in kilograms of CO</w:t>
      </w:r>
      <w:r w:rsidRPr="00097A86">
        <w:rPr>
          <w:vertAlign w:val="subscript"/>
        </w:rPr>
        <w:t>2</w:t>
      </w:r>
      <w:r w:rsidR="00097A86">
        <w:noBreakHyphen/>
      </w:r>
      <w:r w:rsidRPr="00097A86">
        <w:t>e per gigajoule.</w:t>
      </w:r>
    </w:p>
    <w:p w14:paraId="3EA44636" w14:textId="77777777" w:rsidR="00B41F69" w:rsidRPr="00097A86" w:rsidRDefault="00B41F69" w:rsidP="00B41F69">
      <w:pPr>
        <w:pStyle w:val="Definition"/>
      </w:pPr>
      <w:r w:rsidRPr="00097A86">
        <w:rPr>
          <w:b/>
          <w:i/>
        </w:rPr>
        <w:t>OF</w:t>
      </w:r>
      <w:r w:rsidRPr="00097A86">
        <w:rPr>
          <w:b/>
          <w:i/>
          <w:vertAlign w:val="subscript"/>
        </w:rPr>
        <w:t>i</w:t>
      </w:r>
      <w:r w:rsidRPr="00097A86">
        <w:t xml:space="preserve"> is 0.98, which is the destruction efficiency of coal mine waste gas (</w:t>
      </w:r>
      <w:r w:rsidRPr="00097A86">
        <w:rPr>
          <w:b/>
          <w:i/>
        </w:rPr>
        <w:t>i</w:t>
      </w:r>
      <w:r w:rsidRPr="00097A86">
        <w:t>) flared.</w:t>
      </w:r>
    </w:p>
    <w:p w14:paraId="3F266441" w14:textId="77777777" w:rsidR="00843EC9" w:rsidRPr="00097A86" w:rsidRDefault="00843EC9" w:rsidP="00843EC9">
      <w:pPr>
        <w:pStyle w:val="Definition"/>
      </w:pPr>
      <w:r w:rsidRPr="00097A86">
        <w:rPr>
          <w:b/>
          <w:i/>
        </w:rPr>
        <w:t>Q</w:t>
      </w:r>
      <w:r w:rsidRPr="00097A86">
        <w:rPr>
          <w:b/>
          <w:i/>
          <w:vertAlign w:val="subscript"/>
        </w:rPr>
        <w:t>k</w:t>
      </w:r>
      <w:r w:rsidRPr="00097A86">
        <w:t xml:space="preserve"> is the quantity of methane (</w:t>
      </w:r>
      <w:r w:rsidRPr="00097A86">
        <w:rPr>
          <w:b/>
          <w:i/>
        </w:rPr>
        <w:t>k</w:t>
      </w:r>
      <w:r w:rsidRPr="00097A86">
        <w:t>) within the coal mine waste gas (</w:t>
      </w:r>
      <w:r w:rsidRPr="00097A86">
        <w:rPr>
          <w:b/>
          <w:i/>
        </w:rPr>
        <w:t>i</w:t>
      </w:r>
      <w:r w:rsidRPr="00097A86">
        <w:t>) flared from the mine during the year, measured in cubic metres in accordance with Division</w:t>
      </w:r>
      <w:r w:rsidR="00097A86">
        <w:t> </w:t>
      </w:r>
      <w:r w:rsidRPr="00097A86">
        <w:t>2.3.3.</w:t>
      </w:r>
    </w:p>
    <w:p w14:paraId="3EE0D4E6" w14:textId="77777777" w:rsidR="004E22F1" w:rsidRPr="00097A86" w:rsidRDefault="004E22F1" w:rsidP="00D22D3F">
      <w:pPr>
        <w:pStyle w:val="ActHead5"/>
      </w:pPr>
      <w:bookmarkStart w:id="231" w:name="_Toc13233671"/>
      <w:r w:rsidRPr="00097A86">
        <w:rPr>
          <w:rStyle w:val="CharSectno"/>
        </w:rPr>
        <w:lastRenderedPageBreak/>
        <w:t>3.16</w:t>
      </w:r>
      <w:r w:rsidR="00D22D3F" w:rsidRPr="00097A86">
        <w:t xml:space="preserve">  </w:t>
      </w:r>
      <w:r w:rsidRPr="00097A86">
        <w:t>Method 3</w:t>
      </w:r>
      <w:r w:rsidR="00D22D3F" w:rsidRPr="00097A86">
        <w:t>—</w:t>
      </w:r>
      <w:r w:rsidRPr="00097A86">
        <w:t>coal mine waste gas flared</w:t>
      </w:r>
      <w:bookmarkEnd w:id="231"/>
    </w:p>
    <w:p w14:paraId="525459BD" w14:textId="77777777" w:rsidR="004E22F1" w:rsidRPr="00097A86" w:rsidRDefault="004E22F1" w:rsidP="00D22D3F">
      <w:pPr>
        <w:pStyle w:val="subsection"/>
      </w:pPr>
      <w:r w:rsidRPr="00097A86">
        <w:tab/>
        <w:t>(1)</w:t>
      </w:r>
      <w:r w:rsidRPr="00097A86">
        <w:tab/>
        <w:t>For subparagraph</w:t>
      </w:r>
      <w:r w:rsidR="00097A86">
        <w:t> </w:t>
      </w:r>
      <w:r w:rsidRPr="00097A86">
        <w:t>3.4(4)(a)(iii), method 3 is the same as method 2 under section</w:t>
      </w:r>
      <w:r w:rsidR="00097A86">
        <w:t> </w:t>
      </w:r>
      <w:r w:rsidRPr="00097A86">
        <w:t>3.15.</w:t>
      </w:r>
    </w:p>
    <w:p w14:paraId="09038DDE" w14:textId="77777777" w:rsidR="004E22F1" w:rsidRPr="00097A86" w:rsidRDefault="004E22F1" w:rsidP="0093674A">
      <w:pPr>
        <w:tabs>
          <w:tab w:val="right" w:pos="993"/>
        </w:tabs>
        <w:spacing w:before="80"/>
        <w:ind w:left="1134" w:hanging="1134"/>
        <w:jc w:val="both"/>
      </w:pPr>
      <w:r w:rsidRPr="00097A86">
        <w:tab/>
        <w:t>(2)</w:t>
      </w:r>
      <w:r w:rsidRPr="00097A86">
        <w:tab/>
        <w:t>In applying method 2 under section</w:t>
      </w:r>
      <w:r w:rsidR="00097A86">
        <w:t> </w:t>
      </w:r>
      <w:r w:rsidRPr="00097A86">
        <w:t xml:space="preserve">3.15, the facility specific emission factor </w:t>
      </w:r>
      <w:r w:rsidR="00843EC9" w:rsidRPr="00097A86">
        <w:rPr>
          <w:b/>
          <w:i/>
        </w:rPr>
        <w:t>EF</w:t>
      </w:r>
      <w:r w:rsidR="00843EC9" w:rsidRPr="00097A86">
        <w:rPr>
          <w:b/>
          <w:i/>
          <w:vertAlign w:val="subscript"/>
        </w:rPr>
        <w:t>k</w:t>
      </w:r>
      <w:r w:rsidRPr="00097A86">
        <w:t xml:space="preserve"> must be determined in accordance with the procedure for determining </w:t>
      </w:r>
      <w:r w:rsidRPr="00097A86">
        <w:rPr>
          <w:b/>
          <w:i/>
        </w:rPr>
        <w:t>EF</w:t>
      </w:r>
      <w:r w:rsidRPr="00097A86">
        <w:rPr>
          <w:b/>
          <w:i/>
          <w:vertAlign w:val="subscript"/>
        </w:rPr>
        <w:t>iCO</w:t>
      </w:r>
      <w:r w:rsidRPr="00097A86">
        <w:rPr>
          <w:b/>
          <w:i/>
          <w:position w:val="-6"/>
          <w:vertAlign w:val="subscript"/>
        </w:rPr>
        <w:t>2</w:t>
      </w:r>
      <w:r w:rsidRPr="00097A86">
        <w:rPr>
          <w:b/>
          <w:i/>
          <w:vertAlign w:val="subscript"/>
        </w:rPr>
        <w:t>oxec</w:t>
      </w:r>
      <w:r w:rsidRPr="00097A86">
        <w:t xml:space="preserve"> in Division</w:t>
      </w:r>
      <w:r w:rsidR="00097A86">
        <w:t> </w:t>
      </w:r>
      <w:r w:rsidRPr="00097A86">
        <w:t>2.3.4.</w:t>
      </w:r>
    </w:p>
    <w:p w14:paraId="686627D5" w14:textId="77777777" w:rsidR="003F0D4E" w:rsidRPr="00097A86" w:rsidRDefault="003F0D4E" w:rsidP="00D22D3F">
      <w:pPr>
        <w:pStyle w:val="ActHead4"/>
      </w:pPr>
      <w:bookmarkStart w:id="232" w:name="_Toc13233672"/>
      <w:r w:rsidRPr="00097A86">
        <w:rPr>
          <w:rStyle w:val="CharSubdNo"/>
        </w:rPr>
        <w:t>Subdivision</w:t>
      </w:r>
      <w:r w:rsidR="00097A86">
        <w:rPr>
          <w:rStyle w:val="CharSubdNo"/>
        </w:rPr>
        <w:t> </w:t>
      </w:r>
      <w:r w:rsidRPr="00097A86">
        <w:rPr>
          <w:rStyle w:val="CharSubdNo"/>
        </w:rPr>
        <w:t>3.2.2.4</w:t>
      </w:r>
      <w:r w:rsidR="00D22D3F" w:rsidRPr="00097A86">
        <w:t>—</w:t>
      </w:r>
      <w:r w:rsidRPr="00097A86">
        <w:rPr>
          <w:rStyle w:val="CharSubdText"/>
        </w:rPr>
        <w:t>Fugitive emissions from post</w:t>
      </w:r>
      <w:r w:rsidR="00097A86">
        <w:rPr>
          <w:rStyle w:val="CharSubdText"/>
        </w:rPr>
        <w:noBreakHyphen/>
      </w:r>
      <w:r w:rsidRPr="00097A86">
        <w:rPr>
          <w:rStyle w:val="CharSubdText"/>
        </w:rPr>
        <w:t>mining activities</w:t>
      </w:r>
      <w:bookmarkEnd w:id="232"/>
    </w:p>
    <w:p w14:paraId="3212FA56" w14:textId="77777777" w:rsidR="003F0D4E" w:rsidRPr="00097A86" w:rsidRDefault="003F0D4E" w:rsidP="00D22D3F">
      <w:pPr>
        <w:pStyle w:val="ActHead5"/>
      </w:pPr>
      <w:bookmarkStart w:id="233" w:name="_Toc13233673"/>
      <w:r w:rsidRPr="00097A86">
        <w:rPr>
          <w:rStyle w:val="CharSectno"/>
        </w:rPr>
        <w:t>3.17</w:t>
      </w:r>
      <w:r w:rsidR="00D22D3F" w:rsidRPr="00097A86">
        <w:t xml:space="preserve">  </w:t>
      </w:r>
      <w:r w:rsidRPr="00097A86">
        <w:t>Method 1</w:t>
      </w:r>
      <w:r w:rsidR="00D22D3F" w:rsidRPr="00097A86">
        <w:t>—</w:t>
      </w:r>
      <w:r w:rsidRPr="00097A86">
        <w:t>post</w:t>
      </w:r>
      <w:r w:rsidR="00097A86">
        <w:noBreakHyphen/>
      </w:r>
      <w:r w:rsidRPr="00097A86">
        <w:t>mining activities related to gassy mines</w:t>
      </w:r>
      <w:bookmarkEnd w:id="233"/>
    </w:p>
    <w:p w14:paraId="1D1A748F" w14:textId="77777777" w:rsidR="003F0D4E" w:rsidRPr="00097A86" w:rsidRDefault="003F0D4E" w:rsidP="00D22D3F">
      <w:pPr>
        <w:pStyle w:val="subsection"/>
      </w:pPr>
      <w:r w:rsidRPr="00097A86">
        <w:tab/>
        <w:t>(1)</w:t>
      </w:r>
      <w:r w:rsidRPr="00097A86">
        <w:tab/>
        <w:t>For subsection</w:t>
      </w:r>
      <w:r w:rsidR="00097A86">
        <w:t> </w:t>
      </w:r>
      <w:r w:rsidRPr="00097A86">
        <w:t>3.4(6), method 1 is the same as method 1 under section</w:t>
      </w:r>
      <w:r w:rsidR="00097A86">
        <w:t> </w:t>
      </w:r>
      <w:r w:rsidRPr="00097A86">
        <w:t>3.5.</w:t>
      </w:r>
    </w:p>
    <w:p w14:paraId="1AF65816"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3.5, </w:t>
      </w:r>
      <w:r w:rsidRPr="00097A86">
        <w:rPr>
          <w:b/>
          <w:i/>
        </w:rPr>
        <w:t>EF</w:t>
      </w:r>
      <w:r w:rsidRPr="00097A86">
        <w:rPr>
          <w:b/>
          <w:i/>
          <w:vertAlign w:val="subscript"/>
        </w:rPr>
        <w:t>j</w:t>
      </w:r>
      <w:r w:rsidRPr="00097A86">
        <w:t xml:space="preserve"> is taken to be </w:t>
      </w:r>
      <w:r w:rsidR="00E76D51" w:rsidRPr="00097A86">
        <w:t>0.017</w:t>
      </w:r>
      <w:r w:rsidRPr="00097A86">
        <w:t>, which is the emission factor for methane (</w:t>
      </w:r>
      <w:r w:rsidRPr="00097A86">
        <w:rPr>
          <w:b/>
          <w:i/>
        </w:rPr>
        <w:t>j</w:t>
      </w:r>
      <w:r w:rsidRPr="00097A86">
        <w:t>), measured in CO</w:t>
      </w:r>
      <w:r w:rsidRPr="00097A86">
        <w:rPr>
          <w:rStyle w:val="charSubscript"/>
          <w:sz w:val="22"/>
        </w:rPr>
        <w:t>2</w:t>
      </w:r>
      <w:r w:rsidR="00097A86">
        <w:noBreakHyphen/>
      </w:r>
      <w:r w:rsidRPr="00097A86">
        <w:t>e tonnes per tonne of run</w:t>
      </w:r>
      <w:r w:rsidR="00097A86">
        <w:noBreakHyphen/>
      </w:r>
      <w:r w:rsidRPr="00097A86">
        <w:t>of</w:t>
      </w:r>
      <w:r w:rsidR="00097A86">
        <w:noBreakHyphen/>
      </w:r>
      <w:r w:rsidRPr="00097A86">
        <w:t>mine coal extracted from the mine.</w:t>
      </w:r>
    </w:p>
    <w:p w14:paraId="779DF810" w14:textId="77777777" w:rsidR="003F0D4E" w:rsidRPr="00097A86" w:rsidRDefault="003F0D4E" w:rsidP="00D22D3F">
      <w:pPr>
        <w:pStyle w:val="ActHead3"/>
        <w:pageBreakBefore/>
      </w:pPr>
      <w:bookmarkStart w:id="234" w:name="_Toc13233674"/>
      <w:r w:rsidRPr="00097A86">
        <w:rPr>
          <w:rStyle w:val="CharDivNo"/>
        </w:rPr>
        <w:lastRenderedPageBreak/>
        <w:t>Division</w:t>
      </w:r>
      <w:r w:rsidR="00097A86">
        <w:rPr>
          <w:rStyle w:val="CharDivNo"/>
        </w:rPr>
        <w:t> </w:t>
      </w:r>
      <w:r w:rsidRPr="00097A86">
        <w:rPr>
          <w:rStyle w:val="CharDivNo"/>
        </w:rPr>
        <w:t>3.2.3</w:t>
      </w:r>
      <w:r w:rsidR="00D22D3F" w:rsidRPr="00097A86">
        <w:t>—</w:t>
      </w:r>
      <w:r w:rsidRPr="00097A86">
        <w:rPr>
          <w:rStyle w:val="CharDivText"/>
        </w:rPr>
        <w:t>Open cut mines</w:t>
      </w:r>
      <w:bookmarkEnd w:id="234"/>
    </w:p>
    <w:p w14:paraId="0242873C" w14:textId="77777777" w:rsidR="003F0D4E" w:rsidRPr="00097A86" w:rsidRDefault="003F0D4E" w:rsidP="00D22D3F">
      <w:pPr>
        <w:pStyle w:val="ActHead4"/>
      </w:pPr>
      <w:bookmarkStart w:id="235" w:name="_Toc13233675"/>
      <w:r w:rsidRPr="00097A86">
        <w:rPr>
          <w:rStyle w:val="CharSubdNo"/>
        </w:rPr>
        <w:t>Subdivision</w:t>
      </w:r>
      <w:r w:rsidR="00097A86">
        <w:rPr>
          <w:rStyle w:val="CharSubdNo"/>
        </w:rPr>
        <w:t> </w:t>
      </w:r>
      <w:r w:rsidRPr="00097A86">
        <w:rPr>
          <w:rStyle w:val="CharSubdNo"/>
        </w:rPr>
        <w:t>3.2.3.1</w:t>
      </w:r>
      <w:r w:rsidR="00D22D3F" w:rsidRPr="00097A86">
        <w:t>—</w:t>
      </w:r>
      <w:r w:rsidRPr="00097A86">
        <w:rPr>
          <w:rStyle w:val="CharSubdText"/>
        </w:rPr>
        <w:t>Preliminary</w:t>
      </w:r>
      <w:bookmarkEnd w:id="235"/>
    </w:p>
    <w:p w14:paraId="4D4AC15E" w14:textId="77777777" w:rsidR="003F0D4E" w:rsidRPr="00097A86" w:rsidRDefault="003F0D4E" w:rsidP="00D22D3F">
      <w:pPr>
        <w:pStyle w:val="ActHead5"/>
      </w:pPr>
      <w:bookmarkStart w:id="236" w:name="_Toc13233676"/>
      <w:r w:rsidRPr="00097A86">
        <w:rPr>
          <w:rStyle w:val="CharSectno"/>
        </w:rPr>
        <w:t>3.18</w:t>
      </w:r>
      <w:r w:rsidR="00D22D3F" w:rsidRPr="00097A86">
        <w:t xml:space="preserve">  </w:t>
      </w:r>
      <w:r w:rsidRPr="00097A86">
        <w:t>Application</w:t>
      </w:r>
      <w:bookmarkEnd w:id="236"/>
    </w:p>
    <w:p w14:paraId="47E9124F" w14:textId="77777777" w:rsidR="003F0D4E" w:rsidRPr="00097A86" w:rsidRDefault="003F0D4E" w:rsidP="00D22D3F">
      <w:pPr>
        <w:pStyle w:val="subsection"/>
      </w:pPr>
      <w:r w:rsidRPr="00097A86">
        <w:tab/>
      </w:r>
      <w:r w:rsidRPr="00097A86">
        <w:tab/>
        <w:t>This Division applies to fugitive emissions from open cut mining activities.</w:t>
      </w:r>
    </w:p>
    <w:p w14:paraId="53704567" w14:textId="77777777" w:rsidR="003F0D4E" w:rsidRPr="00097A86" w:rsidRDefault="003F0D4E" w:rsidP="00D22D3F">
      <w:pPr>
        <w:pStyle w:val="ActHead5"/>
      </w:pPr>
      <w:bookmarkStart w:id="237" w:name="_Toc13233677"/>
      <w:r w:rsidRPr="00097A86">
        <w:rPr>
          <w:rStyle w:val="CharSectno"/>
        </w:rPr>
        <w:t>3.19</w:t>
      </w:r>
      <w:r w:rsidR="00D22D3F" w:rsidRPr="00097A86">
        <w:t xml:space="preserve">  </w:t>
      </w:r>
      <w:r w:rsidRPr="00097A86">
        <w:t>Available methods</w:t>
      </w:r>
      <w:bookmarkEnd w:id="237"/>
    </w:p>
    <w:p w14:paraId="15235F0E"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during a year from the operation of a facility that is constituted by an open cut mine the methods as set out in this section must be used.</w:t>
      </w:r>
    </w:p>
    <w:p w14:paraId="09025F60" w14:textId="77777777" w:rsidR="003F0D4E" w:rsidRPr="00097A86" w:rsidRDefault="003F0D4E" w:rsidP="00D22D3F">
      <w:pPr>
        <w:pStyle w:val="SubsectionHead"/>
      </w:pPr>
      <w:r w:rsidRPr="00097A86">
        <w:t>Methane from extraction of coal</w:t>
      </w:r>
    </w:p>
    <w:p w14:paraId="3B119DB2" w14:textId="77777777" w:rsidR="003F0D4E" w:rsidRPr="00097A86" w:rsidRDefault="003F0D4E" w:rsidP="00D22D3F">
      <w:pPr>
        <w:pStyle w:val="subsection"/>
      </w:pPr>
      <w:r w:rsidRPr="00097A86">
        <w:tab/>
        <w:t>(2)</w:t>
      </w:r>
      <w:r w:rsidRPr="00097A86">
        <w:tab/>
        <w:t xml:space="preserve">Subject to </w:t>
      </w:r>
      <w:r w:rsidR="00097A86">
        <w:t>subsection (</w:t>
      </w:r>
      <w:r w:rsidRPr="00097A86">
        <w:t>7), one of the following methods must be used for estimating fugitive emissions of methane that result from the extraction of coal from the mine:</w:t>
      </w:r>
    </w:p>
    <w:p w14:paraId="2DDB9BDE" w14:textId="77777777" w:rsidR="003F0D4E" w:rsidRPr="00097A86" w:rsidRDefault="003F0D4E" w:rsidP="00D22D3F">
      <w:pPr>
        <w:pStyle w:val="paragraph"/>
      </w:pPr>
      <w:r w:rsidRPr="00097A86">
        <w:tab/>
        <w:t>(a)</w:t>
      </w:r>
      <w:r w:rsidRPr="00097A86">
        <w:tab/>
        <w:t>method 1 under section</w:t>
      </w:r>
      <w:r w:rsidR="00097A86">
        <w:t> </w:t>
      </w:r>
      <w:r w:rsidRPr="00097A86">
        <w:t>3.20;</w:t>
      </w:r>
    </w:p>
    <w:p w14:paraId="5CF76432" w14:textId="77777777" w:rsidR="003F0D4E" w:rsidRPr="00097A86" w:rsidRDefault="003F0D4E" w:rsidP="00D22D3F">
      <w:pPr>
        <w:pStyle w:val="paragraph"/>
      </w:pPr>
      <w:r w:rsidRPr="00097A86">
        <w:tab/>
        <w:t>(b)</w:t>
      </w:r>
      <w:r w:rsidRPr="00097A86">
        <w:tab/>
        <w:t>method 2 under section</w:t>
      </w:r>
      <w:r w:rsidR="00097A86">
        <w:t> </w:t>
      </w:r>
      <w:r w:rsidRPr="00097A86">
        <w:t>3.21;</w:t>
      </w:r>
    </w:p>
    <w:p w14:paraId="19CBB61F" w14:textId="77777777" w:rsidR="003F0D4E" w:rsidRPr="00097A86" w:rsidRDefault="003F0D4E" w:rsidP="00D22D3F">
      <w:pPr>
        <w:pStyle w:val="paragraph"/>
      </w:pPr>
      <w:r w:rsidRPr="00097A86">
        <w:tab/>
        <w:t>(c)</w:t>
      </w:r>
      <w:r w:rsidRPr="00097A86">
        <w:tab/>
        <w:t>method 3 under section</w:t>
      </w:r>
      <w:r w:rsidR="00097A86">
        <w:t> </w:t>
      </w:r>
      <w:r w:rsidRPr="00097A86">
        <w:t>3.26.</w:t>
      </w:r>
    </w:p>
    <w:p w14:paraId="37168294" w14:textId="77777777" w:rsidR="003F0D4E" w:rsidRPr="00097A86" w:rsidRDefault="00D22D3F" w:rsidP="00D22D3F">
      <w:pPr>
        <w:pStyle w:val="notetext"/>
      </w:pPr>
      <w:r w:rsidRPr="00097A86">
        <w:t>Note:</w:t>
      </w:r>
      <w:r w:rsidRPr="00097A86">
        <w:tab/>
      </w:r>
      <w:r w:rsidR="003F0D4E" w:rsidRPr="00097A86">
        <w:t xml:space="preserve">There is no method 4 for </w:t>
      </w:r>
      <w:r w:rsidR="00097A86">
        <w:t>subsection (</w:t>
      </w:r>
      <w:r w:rsidR="003F0D4E" w:rsidRPr="00097A86">
        <w:t>2).</w:t>
      </w:r>
    </w:p>
    <w:p w14:paraId="759C2DE5" w14:textId="77777777" w:rsidR="003F0D4E" w:rsidRPr="00097A86" w:rsidRDefault="003F0D4E" w:rsidP="00D22D3F">
      <w:pPr>
        <w:pStyle w:val="SubsectionHead"/>
      </w:pPr>
      <w:r w:rsidRPr="00097A86">
        <w:t>Carbon dioxide from extraction of coal</w:t>
      </w:r>
    </w:p>
    <w:p w14:paraId="0399AAFF" w14:textId="77777777" w:rsidR="003F0D4E" w:rsidRPr="00097A86" w:rsidRDefault="003F0D4E" w:rsidP="00D22D3F">
      <w:pPr>
        <w:pStyle w:val="subsection"/>
      </w:pPr>
      <w:r w:rsidRPr="00097A86">
        <w:tab/>
        <w:t>(3)</w:t>
      </w:r>
      <w:r w:rsidRPr="00097A86">
        <w:tab/>
        <w:t>If method 2 under section</w:t>
      </w:r>
      <w:r w:rsidR="00097A86">
        <w:t> </w:t>
      </w:r>
      <w:r w:rsidRPr="00097A86">
        <w:t xml:space="preserve">3.21 is used under </w:t>
      </w:r>
      <w:r w:rsidR="00097A86">
        <w:t>subsection (</w:t>
      </w:r>
      <w:r w:rsidRPr="00097A86">
        <w:t>2), that method must be used for estimating fugitive emissions of carbon dioxide that result from the extraction of coal from the open cut mine.</w:t>
      </w:r>
    </w:p>
    <w:p w14:paraId="3941B568" w14:textId="77777777" w:rsidR="003F0D4E" w:rsidRPr="00097A86" w:rsidRDefault="003F0D4E" w:rsidP="00D22D3F">
      <w:pPr>
        <w:pStyle w:val="subsection"/>
      </w:pPr>
      <w:r w:rsidRPr="00097A86">
        <w:tab/>
        <w:t>(4)</w:t>
      </w:r>
      <w:r w:rsidRPr="00097A86">
        <w:tab/>
        <w:t>If method 3 under section</w:t>
      </w:r>
      <w:r w:rsidR="00097A86">
        <w:t> </w:t>
      </w:r>
      <w:r w:rsidRPr="00097A86">
        <w:t xml:space="preserve">3.26 is used under </w:t>
      </w:r>
      <w:r w:rsidR="00097A86">
        <w:t>subsection (</w:t>
      </w:r>
      <w:r w:rsidRPr="00097A86">
        <w:t>2), that method must be used for estimating fugitive emissions of carbon dioxide that result from the extraction of coal from the open cut mine.</w:t>
      </w:r>
    </w:p>
    <w:p w14:paraId="28D9162C" w14:textId="77777777" w:rsidR="003F0D4E" w:rsidRPr="00097A86" w:rsidRDefault="00D22D3F" w:rsidP="00D22D3F">
      <w:pPr>
        <w:pStyle w:val="notetext"/>
      </w:pPr>
      <w:r w:rsidRPr="00097A86">
        <w:t>Note:</w:t>
      </w:r>
      <w:r w:rsidRPr="00097A86">
        <w:tab/>
      </w:r>
      <w:r w:rsidR="003F0D4E" w:rsidRPr="00097A86">
        <w:t>There is no method 1 or 4 for estimating fugitive emissions of carbon dioxide that result from the extraction of coal from an open cut mine.</w:t>
      </w:r>
    </w:p>
    <w:p w14:paraId="2B346316" w14:textId="77777777" w:rsidR="003F0D4E" w:rsidRPr="00097A86" w:rsidRDefault="003F0D4E" w:rsidP="00D22D3F">
      <w:pPr>
        <w:pStyle w:val="SubsectionHead"/>
      </w:pPr>
      <w:r w:rsidRPr="00097A86">
        <w:t>Flaring</w:t>
      </w:r>
    </w:p>
    <w:p w14:paraId="13CA1950" w14:textId="77777777" w:rsidR="003F0D4E" w:rsidRPr="00097A86" w:rsidRDefault="003F0D4E" w:rsidP="00D22D3F">
      <w:pPr>
        <w:pStyle w:val="subsection"/>
      </w:pPr>
      <w:r w:rsidRPr="00097A86">
        <w:tab/>
        <w:t>(5)</w:t>
      </w:r>
      <w:r w:rsidRPr="00097A86">
        <w:tab/>
        <w:t>For estimating emissions released from coal mine waste gas flared from the open cut mine:</w:t>
      </w:r>
    </w:p>
    <w:p w14:paraId="4B39CF21" w14:textId="77777777" w:rsidR="003F0D4E" w:rsidRPr="00097A86" w:rsidRDefault="003F0D4E" w:rsidP="00D22D3F">
      <w:pPr>
        <w:pStyle w:val="paragraph"/>
      </w:pPr>
      <w:r w:rsidRPr="00097A86">
        <w:tab/>
        <w:t>(a)</w:t>
      </w:r>
      <w:r w:rsidRPr="00097A86">
        <w:tab/>
        <w:t>one of the following methods must be used for estimating emissions of carbon dioxide released:</w:t>
      </w:r>
    </w:p>
    <w:p w14:paraId="03CC0041" w14:textId="77777777" w:rsidR="003F0D4E" w:rsidRPr="00097A86" w:rsidRDefault="003F0D4E" w:rsidP="00D22D3F">
      <w:pPr>
        <w:pStyle w:val="paragraphsub"/>
      </w:pPr>
      <w:r w:rsidRPr="00097A86">
        <w:tab/>
        <w:t>(i)</w:t>
      </w:r>
      <w:r w:rsidRPr="00097A86">
        <w:tab/>
        <w:t>method 1 under section</w:t>
      </w:r>
      <w:r w:rsidR="00097A86">
        <w:t> </w:t>
      </w:r>
      <w:r w:rsidRPr="00097A86">
        <w:t>3.27;</w:t>
      </w:r>
    </w:p>
    <w:p w14:paraId="44327A3B" w14:textId="77777777" w:rsidR="003F0D4E" w:rsidRPr="00097A86" w:rsidRDefault="003F0D4E" w:rsidP="00D22D3F">
      <w:pPr>
        <w:pStyle w:val="paragraphsub"/>
      </w:pPr>
      <w:r w:rsidRPr="00097A86">
        <w:tab/>
        <w:t>(ii)</w:t>
      </w:r>
      <w:r w:rsidRPr="00097A86">
        <w:tab/>
        <w:t>method 2 under section</w:t>
      </w:r>
      <w:r w:rsidR="00097A86">
        <w:t> </w:t>
      </w:r>
      <w:r w:rsidRPr="00097A86">
        <w:t>3.28;</w:t>
      </w:r>
    </w:p>
    <w:p w14:paraId="5F88013F" w14:textId="77777777" w:rsidR="003F0D4E" w:rsidRPr="00097A86" w:rsidRDefault="003F0D4E" w:rsidP="00D22D3F">
      <w:pPr>
        <w:pStyle w:val="paragraphsub"/>
      </w:pPr>
      <w:r w:rsidRPr="00097A86">
        <w:tab/>
        <w:t>(iii)</w:t>
      </w:r>
      <w:r w:rsidRPr="00097A86">
        <w:tab/>
        <w:t>method 3 under section</w:t>
      </w:r>
      <w:r w:rsidR="00097A86">
        <w:t> </w:t>
      </w:r>
      <w:r w:rsidRPr="00097A86">
        <w:t>3.29; and</w:t>
      </w:r>
    </w:p>
    <w:p w14:paraId="7FA4C997" w14:textId="77777777" w:rsidR="003F0D4E" w:rsidRPr="00097A86" w:rsidRDefault="003F0D4E" w:rsidP="00D22D3F">
      <w:pPr>
        <w:pStyle w:val="paragraph"/>
      </w:pPr>
      <w:r w:rsidRPr="00097A86">
        <w:tab/>
        <w:t>(b)</w:t>
      </w:r>
      <w:r w:rsidRPr="00097A86">
        <w:tab/>
        <w:t>method 1 under section</w:t>
      </w:r>
      <w:r w:rsidR="00097A86">
        <w:t> </w:t>
      </w:r>
      <w:r w:rsidRPr="00097A86">
        <w:t>3.27 must be used for estimating emissions of methane released; and</w:t>
      </w:r>
    </w:p>
    <w:p w14:paraId="6FD6A1C9" w14:textId="77777777" w:rsidR="003F0D4E" w:rsidRPr="00097A86" w:rsidRDefault="003F0D4E" w:rsidP="00D22D3F">
      <w:pPr>
        <w:pStyle w:val="paragraph"/>
      </w:pPr>
      <w:r w:rsidRPr="00097A86">
        <w:lastRenderedPageBreak/>
        <w:tab/>
        <w:t>(c)</w:t>
      </w:r>
      <w:r w:rsidRPr="00097A86">
        <w:tab/>
        <w:t>method 1 under section</w:t>
      </w:r>
      <w:r w:rsidR="00097A86">
        <w:t> </w:t>
      </w:r>
      <w:r w:rsidRPr="00097A86">
        <w:t>3.27 must be used for estimating emissions of nitrous oxide released.</w:t>
      </w:r>
    </w:p>
    <w:p w14:paraId="180986A5" w14:textId="77777777" w:rsidR="003F0D4E" w:rsidRPr="00097A86" w:rsidRDefault="00D22D3F" w:rsidP="00D22D3F">
      <w:pPr>
        <w:pStyle w:val="notetext"/>
      </w:pPr>
      <w:r w:rsidRPr="00097A86">
        <w:t>Note:</w:t>
      </w:r>
      <w:r w:rsidRPr="00097A86">
        <w:tab/>
      </w:r>
      <w:r w:rsidR="003F0D4E" w:rsidRPr="00097A86">
        <w:t xml:space="preserve">The flaring of coal mine waste gas releases emissions of carbon dioxide, methane and nitrous oxide. The same formula is used to estimate emissions of each of these gases. There is no method 4 for emissions of carbon dioxide, no method 2, 3 or 4 for emissions of methane and no method 2, 3 or 4 for emissions of nitrous oxide. </w:t>
      </w:r>
    </w:p>
    <w:p w14:paraId="407F2DB3" w14:textId="77777777" w:rsidR="003F0D4E" w:rsidRPr="00097A86" w:rsidRDefault="003F0D4E" w:rsidP="00D22D3F">
      <w:pPr>
        <w:pStyle w:val="SubsectionHead"/>
      </w:pPr>
      <w:r w:rsidRPr="00097A86">
        <w:t>Venting or other fugitive release before extraction of coal</w:t>
      </w:r>
    </w:p>
    <w:p w14:paraId="6A0909FC" w14:textId="77777777" w:rsidR="003F0D4E" w:rsidRPr="00097A86" w:rsidRDefault="003F0D4E" w:rsidP="00D22D3F">
      <w:pPr>
        <w:pStyle w:val="subsection"/>
      </w:pPr>
      <w:r w:rsidRPr="00097A86">
        <w:tab/>
        <w:t>(6)</w:t>
      </w:r>
      <w:r w:rsidRPr="00097A86">
        <w:tab/>
        <w:t>Method 4 under Part</w:t>
      </w:r>
      <w:r w:rsidR="00097A86">
        <w:t> </w:t>
      </w:r>
      <w:r w:rsidRPr="00097A86">
        <w:t>1.3 must be used for estimating fugitive emissions of each gas type, being carbon dioxide and methane, that result from venting or other fugitive release of gas from the mine before coal is extracted from the mine.</w:t>
      </w:r>
    </w:p>
    <w:p w14:paraId="77D10034" w14:textId="77777777" w:rsidR="003F0D4E" w:rsidRPr="00097A86" w:rsidRDefault="00D22D3F" w:rsidP="00D22D3F">
      <w:pPr>
        <w:pStyle w:val="notetext"/>
      </w:pPr>
      <w:r w:rsidRPr="00097A86">
        <w:t>Note:</w:t>
      </w:r>
      <w:r w:rsidRPr="00097A86">
        <w:tab/>
      </w:r>
      <w:r w:rsidR="003F0D4E" w:rsidRPr="00097A86">
        <w:t xml:space="preserve">There is no method 1, 2 or 3 for </w:t>
      </w:r>
      <w:r w:rsidR="00097A86">
        <w:t>subsection (</w:t>
      </w:r>
      <w:r w:rsidR="003F0D4E" w:rsidRPr="00097A86">
        <w:t>6).</w:t>
      </w:r>
    </w:p>
    <w:p w14:paraId="2801CE2B" w14:textId="77777777" w:rsidR="003F0D4E" w:rsidRPr="00097A86" w:rsidRDefault="003F0D4E" w:rsidP="00D22D3F">
      <w:pPr>
        <w:pStyle w:val="subsection"/>
      </w:pPr>
      <w:r w:rsidRPr="00097A86">
        <w:tab/>
        <w:t>(7)</w:t>
      </w:r>
      <w:r w:rsidRPr="00097A86">
        <w:tab/>
        <w:t xml:space="preserve">However, for </w:t>
      </w:r>
      <w:r w:rsidR="005D2294" w:rsidRPr="00097A86">
        <w:t xml:space="preserve">incidental emissions </w:t>
      </w:r>
      <w:r w:rsidRPr="00097A86">
        <w:t>another method may be used that is consistent with the principles in section</w:t>
      </w:r>
      <w:r w:rsidR="00097A86">
        <w:t> </w:t>
      </w:r>
      <w:r w:rsidRPr="00097A86">
        <w:t>1.13.</w:t>
      </w:r>
    </w:p>
    <w:p w14:paraId="684F0416" w14:textId="77777777" w:rsidR="003F0D4E" w:rsidRPr="00097A86" w:rsidRDefault="003F0D4E" w:rsidP="00D22D3F">
      <w:pPr>
        <w:pStyle w:val="ActHead4"/>
      </w:pPr>
      <w:bookmarkStart w:id="238" w:name="_Toc13233678"/>
      <w:r w:rsidRPr="00097A86">
        <w:rPr>
          <w:rStyle w:val="CharSubdNo"/>
        </w:rPr>
        <w:t>Subdivision</w:t>
      </w:r>
      <w:r w:rsidR="00097A86">
        <w:rPr>
          <w:rStyle w:val="CharSubdNo"/>
        </w:rPr>
        <w:t> </w:t>
      </w:r>
      <w:r w:rsidRPr="00097A86">
        <w:rPr>
          <w:rStyle w:val="CharSubdNo"/>
        </w:rPr>
        <w:t>3.2.3.2</w:t>
      </w:r>
      <w:r w:rsidR="00D22D3F" w:rsidRPr="00097A86">
        <w:t>—</w:t>
      </w:r>
      <w:r w:rsidRPr="00097A86">
        <w:rPr>
          <w:rStyle w:val="CharSubdText"/>
        </w:rPr>
        <w:t>Fugitive emissions from extraction of coal</w:t>
      </w:r>
      <w:bookmarkEnd w:id="238"/>
    </w:p>
    <w:p w14:paraId="3A5CB03C" w14:textId="77777777" w:rsidR="003F0D4E" w:rsidRPr="00097A86" w:rsidRDefault="003F0D4E" w:rsidP="00D22D3F">
      <w:pPr>
        <w:pStyle w:val="ActHead5"/>
      </w:pPr>
      <w:bookmarkStart w:id="239" w:name="_Toc13233679"/>
      <w:r w:rsidRPr="00097A86">
        <w:rPr>
          <w:rStyle w:val="CharSectno"/>
        </w:rPr>
        <w:t>3.20</w:t>
      </w:r>
      <w:r w:rsidR="00D22D3F" w:rsidRPr="00097A86">
        <w:t xml:space="preserve">  </w:t>
      </w:r>
      <w:r w:rsidRPr="00097A86">
        <w:t>Method 1</w:t>
      </w:r>
      <w:r w:rsidR="00D22D3F" w:rsidRPr="00097A86">
        <w:t>—</w:t>
      </w:r>
      <w:r w:rsidRPr="00097A86">
        <w:t>extraction of coal</w:t>
      </w:r>
      <w:bookmarkEnd w:id="239"/>
    </w:p>
    <w:p w14:paraId="10E1CB63" w14:textId="77777777" w:rsidR="003F0D4E" w:rsidRPr="00097A86" w:rsidRDefault="003F0D4E" w:rsidP="00D22D3F">
      <w:pPr>
        <w:pStyle w:val="subsection"/>
      </w:pPr>
      <w:r w:rsidRPr="00097A86">
        <w:tab/>
      </w:r>
      <w:r w:rsidRPr="00097A86">
        <w:tab/>
        <w:t>For paragraph</w:t>
      </w:r>
      <w:r w:rsidR="00097A86">
        <w:t> </w:t>
      </w:r>
      <w:r w:rsidRPr="00097A86">
        <w:t>3.19(2)(a), method 1 is:</w:t>
      </w:r>
    </w:p>
    <w:p w14:paraId="4144436C" w14:textId="77777777" w:rsidR="003F0D4E" w:rsidRPr="00097A86" w:rsidRDefault="00D22D3F" w:rsidP="00D22D3F">
      <w:pPr>
        <w:pStyle w:val="subsection"/>
        <w:spacing w:before="120" w:after="120"/>
      </w:pPr>
      <w:r w:rsidRPr="00097A86">
        <w:tab/>
      </w:r>
      <w:r w:rsidR="00321F91" w:rsidRPr="00097A86">
        <w:tab/>
      </w:r>
      <w:r w:rsidR="005A1961" w:rsidRPr="00097A86">
        <w:rPr>
          <w:noProof/>
        </w:rPr>
        <w:drawing>
          <wp:inline distT="0" distB="0" distL="0" distR="0" wp14:anchorId="4262F0A3" wp14:editId="68B66BBD">
            <wp:extent cx="923925" cy="2381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14:paraId="72DB5162" w14:textId="77777777" w:rsidR="003F0D4E" w:rsidRPr="00097A86" w:rsidRDefault="003F0D4E" w:rsidP="00D22D3F">
      <w:pPr>
        <w:pStyle w:val="subsection2"/>
      </w:pPr>
      <w:r w:rsidRPr="00097A86">
        <w:t>where:</w:t>
      </w:r>
    </w:p>
    <w:p w14:paraId="62CE23EC" w14:textId="77777777" w:rsidR="003F0D4E" w:rsidRPr="00097A86" w:rsidRDefault="003F0D4E" w:rsidP="00D22D3F">
      <w:pPr>
        <w:pStyle w:val="Definition"/>
      </w:pPr>
      <w:r w:rsidRPr="00097A86">
        <w:rPr>
          <w:b/>
          <w:i/>
        </w:rPr>
        <w:t>E</w:t>
      </w:r>
      <w:r w:rsidRPr="00097A86">
        <w:rPr>
          <w:b/>
          <w:i/>
          <w:vertAlign w:val="subscript"/>
        </w:rPr>
        <w:t>j</w:t>
      </w:r>
      <w:r w:rsidRPr="00097A86">
        <w:rPr>
          <w:b/>
          <w:i/>
        </w:rPr>
        <w:t xml:space="preserve"> </w:t>
      </w:r>
      <w:r w:rsidRPr="00097A86">
        <w:t>is the fugitive emissions of methane (</w:t>
      </w:r>
      <w:r w:rsidRPr="00097A86">
        <w:rPr>
          <w:b/>
          <w:i/>
        </w:rPr>
        <w:t>j</w:t>
      </w:r>
      <w:r w:rsidRPr="00097A86">
        <w:t>) that result from the extraction of coal from the mine during the year measured in CO</w:t>
      </w:r>
      <w:r w:rsidRPr="00097A86">
        <w:rPr>
          <w:rStyle w:val="charSubscript"/>
          <w:iCs/>
        </w:rPr>
        <w:t>2</w:t>
      </w:r>
      <w:r w:rsidR="00097A86">
        <w:noBreakHyphen/>
      </w:r>
      <w:r w:rsidRPr="00097A86">
        <w:t>e tonnes.</w:t>
      </w:r>
    </w:p>
    <w:p w14:paraId="1944F060" w14:textId="77777777" w:rsidR="003F0D4E" w:rsidRPr="00097A86" w:rsidRDefault="003F0D4E" w:rsidP="00D22D3F">
      <w:pPr>
        <w:pStyle w:val="Definition"/>
      </w:pPr>
      <w:r w:rsidRPr="00097A86">
        <w:rPr>
          <w:b/>
          <w:i/>
        </w:rPr>
        <w:t xml:space="preserve">Q </w:t>
      </w:r>
      <w:r w:rsidRPr="00097A86">
        <w:t>is the quantity of run</w:t>
      </w:r>
      <w:r w:rsidR="00097A86">
        <w:noBreakHyphen/>
      </w:r>
      <w:r w:rsidRPr="00097A86">
        <w:t>of</w:t>
      </w:r>
      <w:r w:rsidR="00097A86">
        <w:noBreakHyphen/>
      </w:r>
      <w:r w:rsidRPr="00097A86">
        <w:t>mine coal extracted from the mine during the year measured in tonnes.</w:t>
      </w:r>
    </w:p>
    <w:p w14:paraId="04C64BF9" w14:textId="77777777" w:rsidR="003F0D4E" w:rsidRPr="00097A86" w:rsidRDefault="003F0D4E" w:rsidP="00D22D3F">
      <w:pPr>
        <w:pStyle w:val="Definition"/>
      </w:pPr>
      <w:r w:rsidRPr="00097A86">
        <w:rPr>
          <w:b/>
          <w:i/>
        </w:rPr>
        <w:t>EF</w:t>
      </w:r>
      <w:r w:rsidRPr="00097A86">
        <w:rPr>
          <w:b/>
          <w:i/>
          <w:vertAlign w:val="subscript"/>
        </w:rPr>
        <w:t>j</w:t>
      </w:r>
      <w:r w:rsidRPr="00097A86">
        <w:rPr>
          <w:b/>
          <w:i/>
        </w:rPr>
        <w:t xml:space="preserve"> </w:t>
      </w:r>
      <w:r w:rsidRPr="00097A86">
        <w:t>is the emission factor for methane (</w:t>
      </w:r>
      <w:r w:rsidRPr="00097A86">
        <w:rPr>
          <w:b/>
          <w:i/>
        </w:rPr>
        <w:t>j</w:t>
      </w:r>
      <w:r w:rsidRPr="00097A86">
        <w:t>), measured in CO</w:t>
      </w:r>
      <w:r w:rsidRPr="00097A86">
        <w:rPr>
          <w:rStyle w:val="charSubscript"/>
        </w:rPr>
        <w:t>2</w:t>
      </w:r>
      <w:r w:rsidR="00097A86">
        <w:noBreakHyphen/>
      </w:r>
      <w:r w:rsidRPr="00097A86">
        <w:t>e tonnes per tonne of run</w:t>
      </w:r>
      <w:r w:rsidR="00097A86">
        <w:noBreakHyphen/>
      </w:r>
      <w:r w:rsidRPr="00097A86">
        <w:t>of</w:t>
      </w:r>
      <w:r w:rsidR="00097A86">
        <w:noBreakHyphen/>
      </w:r>
      <w:r w:rsidRPr="00097A86">
        <w:t>mine coal extracted from the mine, taken to be the following:</w:t>
      </w:r>
    </w:p>
    <w:p w14:paraId="465D52AB" w14:textId="77777777" w:rsidR="00E76D51" w:rsidRPr="00097A86" w:rsidRDefault="00E76D51" w:rsidP="00E76D51">
      <w:pPr>
        <w:pStyle w:val="paragraph"/>
      </w:pPr>
      <w:r w:rsidRPr="00097A86">
        <w:tab/>
        <w:t>(a)</w:t>
      </w:r>
      <w:r w:rsidRPr="00097A86">
        <w:tab/>
        <w:t>for a mine in New South Wales—0.054;</w:t>
      </w:r>
    </w:p>
    <w:p w14:paraId="05394157" w14:textId="77777777" w:rsidR="00E76D51" w:rsidRPr="00097A86" w:rsidRDefault="00E76D51" w:rsidP="00E76D51">
      <w:pPr>
        <w:pStyle w:val="paragraph"/>
      </w:pPr>
      <w:r w:rsidRPr="00097A86">
        <w:tab/>
        <w:t>(b)</w:t>
      </w:r>
      <w:r w:rsidRPr="00097A86">
        <w:tab/>
        <w:t>for a mine in Victoria—0.00027;</w:t>
      </w:r>
    </w:p>
    <w:p w14:paraId="008C6A92" w14:textId="77777777" w:rsidR="00E76D51" w:rsidRPr="00097A86" w:rsidRDefault="00E76D51" w:rsidP="00E76D51">
      <w:pPr>
        <w:pStyle w:val="paragraph"/>
      </w:pPr>
      <w:r w:rsidRPr="00097A86">
        <w:tab/>
        <w:t>(c)</w:t>
      </w:r>
      <w:r w:rsidRPr="00097A86">
        <w:tab/>
        <w:t>for a mine in Queensland—0.020;</w:t>
      </w:r>
    </w:p>
    <w:p w14:paraId="25E10CDA" w14:textId="77777777" w:rsidR="00E76D51" w:rsidRPr="00097A86" w:rsidRDefault="00E76D51" w:rsidP="00E76D51">
      <w:pPr>
        <w:pStyle w:val="paragraph"/>
      </w:pPr>
      <w:r w:rsidRPr="00097A86">
        <w:tab/>
        <w:t>(d)</w:t>
      </w:r>
      <w:r w:rsidRPr="00097A86">
        <w:tab/>
        <w:t>for a mine in Western Australia—0.020;</w:t>
      </w:r>
    </w:p>
    <w:p w14:paraId="45B6C84F" w14:textId="77777777" w:rsidR="00E76D51" w:rsidRPr="00097A86" w:rsidRDefault="00E76D51" w:rsidP="00E76D51">
      <w:pPr>
        <w:pStyle w:val="paragraph"/>
      </w:pPr>
      <w:r w:rsidRPr="00097A86">
        <w:tab/>
        <w:t>(e)</w:t>
      </w:r>
      <w:r w:rsidRPr="00097A86">
        <w:tab/>
        <w:t>for a mine in South Australia—0.00027;</w:t>
      </w:r>
    </w:p>
    <w:p w14:paraId="102F5E20" w14:textId="77777777" w:rsidR="00E76D51" w:rsidRPr="00097A86" w:rsidRDefault="00E76D51" w:rsidP="00E76D51">
      <w:pPr>
        <w:pStyle w:val="paragraph"/>
      </w:pPr>
      <w:r w:rsidRPr="00097A86">
        <w:tab/>
        <w:t>(f)</w:t>
      </w:r>
      <w:r w:rsidRPr="00097A86">
        <w:tab/>
        <w:t>for a mine in Tasmania—0.017.</w:t>
      </w:r>
    </w:p>
    <w:p w14:paraId="043A9E23" w14:textId="77777777" w:rsidR="003F0D4E" w:rsidRPr="00097A86" w:rsidRDefault="003F0D4E" w:rsidP="00D22D3F">
      <w:pPr>
        <w:pStyle w:val="ActHead5"/>
      </w:pPr>
      <w:bookmarkStart w:id="240" w:name="_Toc13233680"/>
      <w:r w:rsidRPr="00097A86">
        <w:rPr>
          <w:rStyle w:val="CharSectno"/>
        </w:rPr>
        <w:t>3.21</w:t>
      </w:r>
      <w:r w:rsidR="00D22D3F" w:rsidRPr="00097A86">
        <w:t xml:space="preserve">  </w:t>
      </w:r>
      <w:r w:rsidRPr="00097A86">
        <w:t>Method 2</w:t>
      </w:r>
      <w:r w:rsidR="00D22D3F" w:rsidRPr="00097A86">
        <w:t>—</w:t>
      </w:r>
      <w:r w:rsidRPr="00097A86">
        <w:t>extraction of coal</w:t>
      </w:r>
      <w:bookmarkEnd w:id="240"/>
    </w:p>
    <w:p w14:paraId="57D15425" w14:textId="77777777" w:rsidR="003F0D4E" w:rsidRPr="00097A86" w:rsidRDefault="003F0D4E" w:rsidP="00D22D3F">
      <w:pPr>
        <w:pStyle w:val="subsection"/>
      </w:pPr>
      <w:r w:rsidRPr="00097A86">
        <w:tab/>
        <w:t>(1)</w:t>
      </w:r>
      <w:r w:rsidRPr="00097A86">
        <w:tab/>
        <w:t>For paragraph</w:t>
      </w:r>
      <w:r w:rsidR="00097A86">
        <w:t> </w:t>
      </w:r>
      <w:r w:rsidRPr="00097A86">
        <w:t>3.19(2)(b) and subsection</w:t>
      </w:r>
      <w:r w:rsidR="00097A86">
        <w:t> </w:t>
      </w:r>
      <w:r w:rsidRPr="00097A86">
        <w:t>3.19(3), method 2 is:</w:t>
      </w:r>
    </w:p>
    <w:p w14:paraId="1495E876"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9501949" wp14:editId="50E6E760">
            <wp:extent cx="1019175" cy="276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p>
    <w:p w14:paraId="5603A240" w14:textId="77777777" w:rsidR="003F0D4E" w:rsidRPr="00097A86" w:rsidRDefault="003F0D4E" w:rsidP="00D22D3F">
      <w:pPr>
        <w:pStyle w:val="subsection2"/>
      </w:pPr>
      <w:r w:rsidRPr="00097A86">
        <w:t>where:</w:t>
      </w:r>
    </w:p>
    <w:p w14:paraId="6474519B" w14:textId="77777777" w:rsidR="003F0D4E" w:rsidRPr="00097A86" w:rsidRDefault="003F0D4E" w:rsidP="00D22D3F">
      <w:pPr>
        <w:pStyle w:val="Definition"/>
      </w:pPr>
      <w:r w:rsidRPr="00097A86">
        <w:rPr>
          <w:b/>
          <w:i/>
        </w:rPr>
        <w:lastRenderedPageBreak/>
        <w:t>E</w:t>
      </w:r>
      <w:r w:rsidRPr="00097A86">
        <w:rPr>
          <w:b/>
          <w:i/>
          <w:vertAlign w:val="subscript"/>
        </w:rPr>
        <w:t>j</w:t>
      </w:r>
      <w:r w:rsidRPr="00097A86">
        <w:rPr>
          <w:b/>
          <w:i/>
        </w:rPr>
        <w:t xml:space="preserve"> </w:t>
      </w:r>
      <w:r w:rsidRPr="00097A86">
        <w:t>is the fugitive emissions of gas type (</w:t>
      </w:r>
      <w:r w:rsidRPr="00097A86">
        <w:rPr>
          <w:b/>
          <w:i/>
        </w:rPr>
        <w:t>j</w:t>
      </w:r>
      <w:r w:rsidRPr="00097A86">
        <w:t>) that result from the extraction of coal from the mine during the year, measured in CO</w:t>
      </w:r>
      <w:r w:rsidRPr="00097A86">
        <w:rPr>
          <w:vertAlign w:val="subscript"/>
        </w:rPr>
        <w:t>2</w:t>
      </w:r>
      <w:r w:rsidR="00097A86">
        <w:noBreakHyphen/>
      </w:r>
      <w:r w:rsidRPr="00097A86">
        <w:t>e tonnes.</w:t>
      </w:r>
    </w:p>
    <w:p w14:paraId="5D6B97C6" w14:textId="77777777" w:rsidR="003F0D4E" w:rsidRPr="00097A86" w:rsidRDefault="003F0D4E" w:rsidP="00D22D3F">
      <w:pPr>
        <w:pStyle w:val="Definition"/>
      </w:pPr>
      <w:r w:rsidRPr="00097A86">
        <w:rPr>
          <w:b/>
          <w:i/>
        </w:rPr>
        <w:t>γ</w:t>
      </w:r>
      <w:r w:rsidRPr="00097A86">
        <w:rPr>
          <w:b/>
          <w:i/>
          <w:vertAlign w:val="subscript"/>
        </w:rPr>
        <w:t>j</w:t>
      </w:r>
      <w:r w:rsidRPr="00097A86">
        <w:rPr>
          <w:b/>
          <w:i/>
        </w:rPr>
        <w:t xml:space="preserve"> </w:t>
      </w:r>
      <w:r w:rsidRPr="00097A86">
        <w:t>is the factor for converting a quantity of gas type (</w:t>
      </w:r>
      <w:r w:rsidRPr="00097A86">
        <w:rPr>
          <w:b/>
          <w:i/>
        </w:rPr>
        <w:t>j</w:t>
      </w:r>
      <w:r w:rsidRPr="00097A86">
        <w:t>) from cubic metres at standard conditions of pressure and temperature to CO</w:t>
      </w:r>
      <w:r w:rsidRPr="00097A86">
        <w:rPr>
          <w:vertAlign w:val="subscript"/>
        </w:rPr>
        <w:t>2</w:t>
      </w:r>
      <w:r w:rsidR="00097A86">
        <w:noBreakHyphen/>
      </w:r>
      <w:r w:rsidRPr="00097A86">
        <w:t>e tonnes, as follows:</w:t>
      </w:r>
    </w:p>
    <w:p w14:paraId="03AA796D" w14:textId="77777777" w:rsidR="003F0D4E" w:rsidRPr="00097A86" w:rsidRDefault="003F0D4E" w:rsidP="00D22D3F">
      <w:pPr>
        <w:pStyle w:val="paragraph"/>
      </w:pPr>
      <w:r w:rsidRPr="00097A86">
        <w:tab/>
        <w:t>(a)</w:t>
      </w:r>
      <w:r w:rsidRPr="00097A86">
        <w:tab/>
        <w:t>for methane</w:t>
      </w:r>
      <w:r w:rsidR="00D22D3F" w:rsidRPr="00097A86">
        <w:t>—</w:t>
      </w:r>
      <w:r w:rsidRPr="00097A86">
        <w:t>6.784 × 10</w:t>
      </w:r>
      <w:r w:rsidR="00097A86">
        <w:rPr>
          <w:vertAlign w:val="superscript"/>
        </w:rPr>
        <w:noBreakHyphen/>
      </w:r>
      <w:r w:rsidRPr="00097A86">
        <w:rPr>
          <w:vertAlign w:val="superscript"/>
        </w:rPr>
        <w:t xml:space="preserve">4 </w:t>
      </w:r>
      <w:r w:rsidRPr="00097A86">
        <w:t xml:space="preserve">× </w:t>
      </w:r>
      <w:r w:rsidR="00E76D51" w:rsidRPr="00097A86">
        <w:t>25</w:t>
      </w:r>
      <w:r w:rsidRPr="00097A86">
        <w:t>;</w:t>
      </w:r>
    </w:p>
    <w:p w14:paraId="3E00ECB1" w14:textId="77777777" w:rsidR="003F0D4E" w:rsidRPr="00097A86" w:rsidRDefault="003F0D4E" w:rsidP="00D22D3F">
      <w:pPr>
        <w:pStyle w:val="paragraph"/>
      </w:pPr>
      <w:r w:rsidRPr="00097A86">
        <w:tab/>
        <w:t>(b)</w:t>
      </w:r>
      <w:r w:rsidRPr="00097A86">
        <w:tab/>
        <w:t>for carbon dioxide</w:t>
      </w:r>
      <w:r w:rsidR="00D22D3F" w:rsidRPr="00097A86">
        <w:t>—</w:t>
      </w:r>
      <w:r w:rsidRPr="00097A86">
        <w:t>1.861 × 10</w:t>
      </w:r>
      <w:r w:rsidR="00097A86">
        <w:rPr>
          <w:vertAlign w:val="superscript"/>
        </w:rPr>
        <w:noBreakHyphen/>
      </w:r>
      <w:r w:rsidRPr="00097A86">
        <w:rPr>
          <w:vertAlign w:val="superscript"/>
        </w:rPr>
        <w:t>3</w:t>
      </w:r>
      <w:r w:rsidRPr="00097A86">
        <w:t>.</w:t>
      </w:r>
    </w:p>
    <w:p w14:paraId="44850E94" w14:textId="77777777" w:rsidR="003F0D4E" w:rsidRPr="00097A86" w:rsidRDefault="003F0D4E" w:rsidP="00D22D3F">
      <w:pPr>
        <w:pStyle w:val="Definition"/>
      </w:pPr>
      <w:r w:rsidRPr="00097A86">
        <w:rPr>
          <w:b/>
          <w:i/>
        </w:rPr>
        <w:t>∑</w:t>
      </w:r>
      <w:r w:rsidRPr="00097A86">
        <w:rPr>
          <w:b/>
          <w:i/>
          <w:vertAlign w:val="subscript"/>
        </w:rPr>
        <w:t xml:space="preserve">z </w:t>
      </w:r>
      <w:r w:rsidRPr="00097A86">
        <w:rPr>
          <w:b/>
          <w:i/>
        </w:rPr>
        <w:t>(S</w:t>
      </w:r>
      <w:r w:rsidRPr="00097A86">
        <w:rPr>
          <w:b/>
          <w:i/>
          <w:vertAlign w:val="subscript"/>
        </w:rPr>
        <w:t>j,z</w:t>
      </w:r>
      <w:r w:rsidRPr="00097A86">
        <w:rPr>
          <w:b/>
          <w:i/>
        </w:rPr>
        <w:t xml:space="preserve">) </w:t>
      </w:r>
      <w:r w:rsidRPr="00097A86">
        <w:t>is the total of gas type (</w:t>
      </w:r>
      <w:r w:rsidRPr="00097A86">
        <w:rPr>
          <w:b/>
          <w:i/>
        </w:rPr>
        <w:t>j</w:t>
      </w:r>
      <w:r w:rsidRPr="00097A86">
        <w:t>) in all gas bearing strata (</w:t>
      </w:r>
      <w:r w:rsidRPr="00097A86">
        <w:rPr>
          <w:b/>
          <w:i/>
        </w:rPr>
        <w:t>z</w:t>
      </w:r>
      <w:r w:rsidRPr="00097A86">
        <w:t>) under the extraction area of the mine during the year, measured in cubic metres, where the gas in each strata is estimated under section</w:t>
      </w:r>
      <w:r w:rsidR="00097A86">
        <w:t> </w:t>
      </w:r>
      <w:r w:rsidRPr="00097A86">
        <w:t>3.22.</w:t>
      </w:r>
    </w:p>
    <w:p w14:paraId="3F8D1A29" w14:textId="77777777" w:rsidR="003F0D4E" w:rsidRPr="00097A86" w:rsidRDefault="003F0D4E" w:rsidP="00D22D3F">
      <w:pPr>
        <w:pStyle w:val="subsection"/>
      </w:pPr>
      <w:r w:rsidRPr="00097A86">
        <w:tab/>
        <w:t>(2)</w:t>
      </w:r>
      <w:r w:rsidRPr="00097A86">
        <w:tab/>
        <w:t>Method 2 requires each gas in a gas bearing strata to be sampled and analysed in accordance with the requirements in sections</w:t>
      </w:r>
      <w:r w:rsidR="00097A86">
        <w:t> </w:t>
      </w:r>
      <w:r w:rsidR="003E5367" w:rsidRPr="00097A86">
        <w:t>3.24, 3.25 and 3.25A.</w:t>
      </w:r>
    </w:p>
    <w:p w14:paraId="23315AEE" w14:textId="77777777" w:rsidR="003F0D4E" w:rsidRPr="00097A86" w:rsidRDefault="003F0D4E" w:rsidP="00D22D3F">
      <w:pPr>
        <w:pStyle w:val="ActHead5"/>
      </w:pPr>
      <w:bookmarkStart w:id="241" w:name="_Toc13233681"/>
      <w:r w:rsidRPr="00097A86">
        <w:rPr>
          <w:rStyle w:val="CharSectno"/>
        </w:rPr>
        <w:t>3.22</w:t>
      </w:r>
      <w:r w:rsidR="00D22D3F" w:rsidRPr="00097A86">
        <w:t xml:space="preserve">  </w:t>
      </w:r>
      <w:r w:rsidRPr="00097A86">
        <w:t>Total gas contained by gas bearing strata</w:t>
      </w:r>
      <w:bookmarkEnd w:id="241"/>
    </w:p>
    <w:p w14:paraId="377A339A" w14:textId="77777777" w:rsidR="003F0D4E" w:rsidRPr="00097A86" w:rsidRDefault="003F0D4E" w:rsidP="00D22D3F">
      <w:pPr>
        <w:pStyle w:val="subsection"/>
      </w:pPr>
      <w:r w:rsidRPr="00097A86">
        <w:tab/>
        <w:t>(1)</w:t>
      </w:r>
      <w:r w:rsidRPr="00097A86">
        <w:tab/>
        <w:t>For method 2 under subsection</w:t>
      </w:r>
      <w:r w:rsidR="00097A86">
        <w:t> </w:t>
      </w:r>
      <w:r w:rsidRPr="00097A86">
        <w:t>3.21</w:t>
      </w:r>
      <w:r w:rsidR="008A729A" w:rsidRPr="00097A86">
        <w:t>(</w:t>
      </w:r>
      <w:r w:rsidRPr="00097A86">
        <w:t xml:space="preserve">1), </w:t>
      </w:r>
      <w:r w:rsidRPr="00097A86">
        <w:rPr>
          <w:b/>
          <w:i/>
        </w:rPr>
        <w:t>S</w:t>
      </w:r>
      <w:r w:rsidRPr="00097A86">
        <w:rPr>
          <w:b/>
          <w:i/>
          <w:vertAlign w:val="subscript"/>
        </w:rPr>
        <w:t>j,z</w:t>
      </w:r>
      <w:r w:rsidRPr="00097A86">
        <w:t xml:space="preserve"> for gas type (</w:t>
      </w:r>
      <w:r w:rsidRPr="00097A86">
        <w:rPr>
          <w:b/>
          <w:i/>
        </w:rPr>
        <w:t>j</w:t>
      </w:r>
      <w:r w:rsidRPr="00097A86">
        <w:t>) contained in a gas bearing strata (</w:t>
      </w:r>
      <w:r w:rsidRPr="00097A86">
        <w:rPr>
          <w:b/>
          <w:i/>
        </w:rPr>
        <w:t>z</w:t>
      </w:r>
      <w:r w:rsidRPr="00097A86">
        <w:t>) under the extraction area of the mine during the year, measured in cubic metres, is:</w:t>
      </w:r>
    </w:p>
    <w:p w14:paraId="661A7E4C" w14:textId="77777777" w:rsidR="003B25C5" w:rsidRPr="00097A86" w:rsidRDefault="00D22D3F" w:rsidP="00D22D3F">
      <w:pPr>
        <w:pStyle w:val="subsection"/>
        <w:spacing w:before="120" w:after="120"/>
      </w:pPr>
      <w:r w:rsidRPr="00097A86">
        <w:tab/>
      </w:r>
      <w:r w:rsidRPr="00097A86">
        <w:tab/>
      </w:r>
      <w:r w:rsidR="009E1F90">
        <w:rPr>
          <w:noProof/>
        </w:rPr>
        <w:drawing>
          <wp:inline distT="0" distB="0" distL="0" distR="0" wp14:anchorId="45473041" wp14:editId="57131A68">
            <wp:extent cx="4505325" cy="238125"/>
            <wp:effectExtent l="0" t="0" r="9525" b="9525"/>
            <wp:docPr id="19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05325" cy="238125"/>
                    </a:xfrm>
                    <a:prstGeom prst="rect">
                      <a:avLst/>
                    </a:prstGeom>
                    <a:noFill/>
                    <a:ln>
                      <a:noFill/>
                    </a:ln>
                  </pic:spPr>
                </pic:pic>
              </a:graphicData>
            </a:graphic>
          </wp:inline>
        </w:drawing>
      </w:r>
    </w:p>
    <w:p w14:paraId="216C2445" w14:textId="77777777" w:rsidR="003F0D4E" w:rsidRPr="00097A86" w:rsidRDefault="003F0D4E" w:rsidP="00D22D3F">
      <w:pPr>
        <w:pStyle w:val="subsection2"/>
      </w:pPr>
      <w:r w:rsidRPr="00097A86">
        <w:t>where:</w:t>
      </w:r>
    </w:p>
    <w:p w14:paraId="4CB82BCE" w14:textId="77777777" w:rsidR="003F0D4E" w:rsidRPr="00097A86" w:rsidRDefault="003F0D4E" w:rsidP="00D22D3F">
      <w:pPr>
        <w:pStyle w:val="Definition"/>
      </w:pPr>
      <w:r w:rsidRPr="00097A86">
        <w:rPr>
          <w:b/>
          <w:i/>
        </w:rPr>
        <w:t>M</w:t>
      </w:r>
      <w:r w:rsidRPr="00097A86">
        <w:rPr>
          <w:b/>
          <w:i/>
          <w:vertAlign w:val="subscript"/>
        </w:rPr>
        <w:t>z</w:t>
      </w:r>
      <w:r w:rsidRPr="00097A86">
        <w:rPr>
          <w:b/>
          <w:i/>
        </w:rPr>
        <w:t xml:space="preserve"> </w:t>
      </w:r>
      <w:r w:rsidRPr="00097A86">
        <w:t>is the mass of the gas bearing strata (</w:t>
      </w:r>
      <w:r w:rsidRPr="00097A86">
        <w:rPr>
          <w:b/>
          <w:i/>
        </w:rPr>
        <w:t>z</w:t>
      </w:r>
      <w:r w:rsidRPr="00097A86">
        <w:t>) under the extraction area of the mine during the year, measured in tonnes.</w:t>
      </w:r>
    </w:p>
    <w:p w14:paraId="50755547" w14:textId="77777777" w:rsidR="003F0D4E" w:rsidRPr="00097A86" w:rsidRDefault="00BD4ED9" w:rsidP="00D22D3F">
      <w:pPr>
        <w:pStyle w:val="Definition"/>
      </w:pPr>
      <w:r w:rsidRPr="00097A86">
        <w:rPr>
          <w:b/>
          <w:i/>
        </w:rPr>
        <w:t>β</w:t>
      </w:r>
      <w:r w:rsidRPr="00097A86">
        <w:rPr>
          <w:b/>
          <w:i/>
          <w:vertAlign w:val="subscript"/>
        </w:rPr>
        <w:t>z</w:t>
      </w:r>
      <w:r w:rsidRPr="00097A86">
        <w:rPr>
          <w:b/>
          <w:i/>
        </w:rPr>
        <w:t xml:space="preserve"> </w:t>
      </w:r>
      <w:r w:rsidR="003F0D4E" w:rsidRPr="00097A86">
        <w:t>is the proportion of the gas content of the gas bearing strata (</w:t>
      </w:r>
      <w:r w:rsidR="003F0D4E" w:rsidRPr="00097A86">
        <w:rPr>
          <w:b/>
          <w:i/>
        </w:rPr>
        <w:t>z</w:t>
      </w:r>
      <w:r w:rsidR="003F0D4E" w:rsidRPr="00097A86">
        <w:t>) that is released by extracting coal from the extraction area of the mine during the year, as follows:</w:t>
      </w:r>
    </w:p>
    <w:p w14:paraId="40555DA9" w14:textId="77777777" w:rsidR="003F0D4E" w:rsidRPr="00097A86" w:rsidRDefault="00C809FB" w:rsidP="00C809FB">
      <w:pPr>
        <w:pStyle w:val="paragraph"/>
      </w:pPr>
      <w:r w:rsidRPr="00097A86">
        <w:tab/>
      </w:r>
      <w:r w:rsidR="003F0D4E" w:rsidRPr="00097A86">
        <w:t>(a)</w:t>
      </w:r>
      <w:r w:rsidR="003F0D4E" w:rsidRPr="00097A86">
        <w:tab/>
        <w:t>if the gas bearing strata is at or above the pit floor</w:t>
      </w:r>
      <w:r w:rsidR="00D22D3F" w:rsidRPr="00097A86">
        <w:t>—</w:t>
      </w:r>
      <w:r w:rsidR="003F0D4E" w:rsidRPr="00097A86">
        <w:t>1;</w:t>
      </w:r>
    </w:p>
    <w:p w14:paraId="25F6E035" w14:textId="77777777" w:rsidR="003F0D4E" w:rsidRPr="00097A86" w:rsidRDefault="00C809FB" w:rsidP="00C809FB">
      <w:pPr>
        <w:pStyle w:val="paragraph"/>
      </w:pPr>
      <w:r w:rsidRPr="00097A86">
        <w:tab/>
      </w:r>
      <w:r w:rsidR="003F0D4E" w:rsidRPr="00097A86">
        <w:t>(b)</w:t>
      </w:r>
      <w:r w:rsidR="003F0D4E" w:rsidRPr="00097A86">
        <w:tab/>
        <w:t>in any other case</w:t>
      </w:r>
      <w:r w:rsidR="00D22D3F" w:rsidRPr="00097A86">
        <w:t>—</w:t>
      </w:r>
      <w:r w:rsidR="003F0D4E" w:rsidRPr="00097A86">
        <w:t>as estimated under section</w:t>
      </w:r>
      <w:r w:rsidR="00097A86">
        <w:t> </w:t>
      </w:r>
      <w:r w:rsidR="003F0D4E" w:rsidRPr="00097A86">
        <w:t xml:space="preserve">3.23. </w:t>
      </w:r>
    </w:p>
    <w:p w14:paraId="0B04137E" w14:textId="77777777" w:rsidR="003F0D4E" w:rsidRPr="00097A86" w:rsidRDefault="003F0D4E" w:rsidP="00D22D3F">
      <w:pPr>
        <w:pStyle w:val="Definition"/>
      </w:pPr>
      <w:r w:rsidRPr="00097A86">
        <w:rPr>
          <w:b/>
          <w:i/>
        </w:rPr>
        <w:t>GC</w:t>
      </w:r>
      <w:r w:rsidRPr="00097A86">
        <w:rPr>
          <w:b/>
          <w:i/>
          <w:vertAlign w:val="subscript"/>
        </w:rPr>
        <w:t>jz</w:t>
      </w:r>
      <w:r w:rsidRPr="00097A86">
        <w:rPr>
          <w:b/>
          <w:i/>
        </w:rPr>
        <w:t xml:space="preserve"> </w:t>
      </w:r>
      <w:r w:rsidRPr="00097A86">
        <w:t>is the content of gas type (</w:t>
      </w:r>
      <w:r w:rsidRPr="00097A86">
        <w:rPr>
          <w:b/>
          <w:i/>
        </w:rPr>
        <w:t>j</w:t>
      </w:r>
      <w:r w:rsidRPr="00097A86">
        <w:t>) contained by the gas bearing strata (</w:t>
      </w:r>
      <w:r w:rsidRPr="00097A86">
        <w:rPr>
          <w:b/>
          <w:i/>
        </w:rPr>
        <w:t>z</w:t>
      </w:r>
      <w:r w:rsidRPr="00097A86">
        <w:t>) before gas capture, flaring or venting is undertaken at the extraction area of the mine during the year, measured in cubic metres per tonne of gas bearing strata at standard conditions.</w:t>
      </w:r>
    </w:p>
    <w:p w14:paraId="366C9221" w14:textId="77777777" w:rsidR="003F0D4E" w:rsidRPr="00097A86" w:rsidRDefault="003F0D4E" w:rsidP="00D22D3F">
      <w:pPr>
        <w:pStyle w:val="Definition"/>
      </w:pPr>
      <w:r w:rsidRPr="00097A86">
        <w:t>∑</w:t>
      </w:r>
      <w:r w:rsidRPr="00097A86">
        <w:rPr>
          <w:b/>
          <w:i/>
        </w:rPr>
        <w:t>Q</w:t>
      </w:r>
      <w:r w:rsidRPr="00097A86">
        <w:rPr>
          <w:b/>
          <w:i/>
          <w:vertAlign w:val="subscript"/>
        </w:rPr>
        <w:t xml:space="preserve">ij,cap,z </w:t>
      </w:r>
      <w:r w:rsidRPr="00097A86">
        <w:t>is the total quantity of gas type (</w:t>
      </w:r>
      <w:r w:rsidRPr="00097A86">
        <w:rPr>
          <w:b/>
          <w:i/>
        </w:rPr>
        <w:t>j</w:t>
      </w:r>
      <w:r w:rsidRPr="00097A86">
        <w:t>) in coal mine waste gas (</w:t>
      </w:r>
      <w:r w:rsidRPr="00097A86">
        <w:rPr>
          <w:b/>
          <w:i/>
        </w:rPr>
        <w:t>i</w:t>
      </w:r>
      <w:r w:rsidRPr="00097A86">
        <w:t>) captured for combustion from the gas bearing strata (</w:t>
      </w:r>
      <w:r w:rsidRPr="00097A86">
        <w:rPr>
          <w:b/>
          <w:i/>
        </w:rPr>
        <w:t>z</w:t>
      </w:r>
      <w:r w:rsidRPr="00097A86">
        <w:t>) at any time before coal is extracted from the extraction area of the mine during the year, measured in cubic metres.</w:t>
      </w:r>
    </w:p>
    <w:p w14:paraId="7E2ECF28" w14:textId="77777777" w:rsidR="003F0D4E" w:rsidRPr="00097A86" w:rsidRDefault="003F0D4E" w:rsidP="00D22D3F">
      <w:pPr>
        <w:pStyle w:val="Definition"/>
      </w:pPr>
      <w:r w:rsidRPr="00097A86">
        <w:rPr>
          <w:b/>
          <w:i/>
        </w:rPr>
        <w:t>∑Q</w:t>
      </w:r>
      <w:r w:rsidRPr="00097A86">
        <w:rPr>
          <w:b/>
          <w:i/>
          <w:vertAlign w:val="subscript"/>
        </w:rPr>
        <w:t xml:space="preserve">ij,flared,z </w:t>
      </w:r>
      <w:r w:rsidRPr="00097A86">
        <w:t>is the total quantity of gas type (</w:t>
      </w:r>
      <w:r w:rsidRPr="00097A86">
        <w:rPr>
          <w:b/>
          <w:i/>
        </w:rPr>
        <w:t>j</w:t>
      </w:r>
      <w:r w:rsidRPr="00097A86">
        <w:t>) in coal mine waste gas (</w:t>
      </w:r>
      <w:r w:rsidRPr="00097A86">
        <w:rPr>
          <w:b/>
          <w:i/>
        </w:rPr>
        <w:t>i</w:t>
      </w:r>
      <w:r w:rsidRPr="00097A86">
        <w:t>) flared from the gas bearing strata (</w:t>
      </w:r>
      <w:r w:rsidRPr="00097A86">
        <w:rPr>
          <w:b/>
          <w:i/>
        </w:rPr>
        <w:t>z</w:t>
      </w:r>
      <w:r w:rsidRPr="00097A86">
        <w:t>) at any time before coal is extracted from the extraction area of the mine during the year, measured in cubic metres.</w:t>
      </w:r>
    </w:p>
    <w:p w14:paraId="64CE2332" w14:textId="77777777" w:rsidR="003F0D4E" w:rsidRPr="00097A86" w:rsidRDefault="003F0D4E" w:rsidP="00D22D3F">
      <w:pPr>
        <w:pStyle w:val="Definition"/>
      </w:pPr>
      <w:r w:rsidRPr="00097A86">
        <w:rPr>
          <w:b/>
          <w:i/>
        </w:rPr>
        <w:t>∑Q</w:t>
      </w:r>
      <w:r w:rsidRPr="00097A86">
        <w:rPr>
          <w:b/>
          <w:i/>
          <w:vertAlign w:val="subscript"/>
        </w:rPr>
        <w:t>ijtr</w:t>
      </w:r>
      <w:r w:rsidRPr="00097A86">
        <w:rPr>
          <w:b/>
          <w:i/>
        </w:rPr>
        <w:t xml:space="preserve"> </w:t>
      </w:r>
      <w:r w:rsidRPr="00097A86">
        <w:t>is the total quantity of gas type (</w:t>
      </w:r>
      <w:r w:rsidRPr="00097A86">
        <w:rPr>
          <w:b/>
          <w:i/>
        </w:rPr>
        <w:t>j</w:t>
      </w:r>
      <w:r w:rsidRPr="00097A86">
        <w:t>) in coal mine waste gas (</w:t>
      </w:r>
      <w:r w:rsidRPr="00097A86">
        <w:rPr>
          <w:b/>
          <w:i/>
        </w:rPr>
        <w:t>i</w:t>
      </w:r>
      <w:r w:rsidRPr="00097A86">
        <w:t>) transferred out of the mining activities at any time before coal is extracted from the extraction area of the mine during the year, measured in cubic metres.</w:t>
      </w:r>
    </w:p>
    <w:p w14:paraId="53292422" w14:textId="77777777" w:rsidR="003F0D4E" w:rsidRPr="00097A86" w:rsidRDefault="003F0D4E" w:rsidP="00D22D3F">
      <w:pPr>
        <w:pStyle w:val="Definition"/>
      </w:pPr>
      <w:r w:rsidRPr="00097A86">
        <w:rPr>
          <w:b/>
          <w:i/>
        </w:rPr>
        <w:lastRenderedPageBreak/>
        <w:t>∑E</w:t>
      </w:r>
      <w:r w:rsidRPr="00097A86">
        <w:rPr>
          <w:b/>
          <w:i/>
          <w:vertAlign w:val="subscript"/>
        </w:rPr>
        <w:t xml:space="preserve">j,vented,z </w:t>
      </w:r>
      <w:r w:rsidRPr="00097A86">
        <w:t>is the total emissions of gas type (</w:t>
      </w:r>
      <w:r w:rsidRPr="00097A86">
        <w:rPr>
          <w:b/>
          <w:i/>
        </w:rPr>
        <w:t>j</w:t>
      </w:r>
      <w:r w:rsidRPr="00097A86">
        <w:t>) vented from the gas bearing strata (</w:t>
      </w:r>
      <w:r w:rsidRPr="00097A86">
        <w:rPr>
          <w:b/>
          <w:i/>
        </w:rPr>
        <w:t>z</w:t>
      </w:r>
      <w:r w:rsidRPr="00097A86">
        <w:t>) at any time before coal is extracted from the extraction area of the mine during the year, measured in cubic metres and estimated under subsection</w:t>
      </w:r>
      <w:r w:rsidR="00097A86">
        <w:t> </w:t>
      </w:r>
      <w:r w:rsidRPr="00097A86">
        <w:t>3.19 (6).</w:t>
      </w:r>
    </w:p>
    <w:p w14:paraId="6C5C0690" w14:textId="77777777" w:rsidR="003F0D4E" w:rsidRPr="00097A86" w:rsidRDefault="003F0D4E" w:rsidP="00D22D3F">
      <w:pPr>
        <w:pStyle w:val="subsection"/>
      </w:pPr>
      <w:r w:rsidRPr="00097A86">
        <w:tab/>
        <w:t>(2)</w:t>
      </w:r>
      <w:r w:rsidRPr="00097A86">
        <w:tab/>
        <w:t>For ∑</w:t>
      </w:r>
      <w:r w:rsidRPr="00097A86">
        <w:rPr>
          <w:b/>
          <w:i/>
        </w:rPr>
        <w:t>Q</w:t>
      </w:r>
      <w:r w:rsidRPr="00097A86">
        <w:rPr>
          <w:b/>
          <w:i/>
          <w:vertAlign w:val="subscript"/>
        </w:rPr>
        <w:t>ij,cap,z</w:t>
      </w:r>
      <w:r w:rsidRPr="00097A86">
        <w:t xml:space="preserve">, </w:t>
      </w:r>
      <w:r w:rsidRPr="00097A86">
        <w:rPr>
          <w:b/>
          <w:i/>
        </w:rPr>
        <w:t>∑Q</w:t>
      </w:r>
      <w:r w:rsidRPr="00097A86">
        <w:rPr>
          <w:b/>
          <w:i/>
          <w:vertAlign w:val="subscript"/>
        </w:rPr>
        <w:t>ij,flared,z</w:t>
      </w:r>
      <w:r w:rsidRPr="00097A86">
        <w:t xml:space="preserve"> and </w:t>
      </w:r>
      <w:r w:rsidRPr="00097A86">
        <w:rPr>
          <w:b/>
          <w:i/>
        </w:rPr>
        <w:t>∑Q</w:t>
      </w:r>
      <w:r w:rsidRPr="00097A86">
        <w:rPr>
          <w:b/>
          <w:i/>
          <w:vertAlign w:val="subscript"/>
        </w:rPr>
        <w:t>ijtr</w:t>
      </w:r>
      <w:r w:rsidRPr="00097A86">
        <w:t xml:space="preserve"> in </w:t>
      </w:r>
      <w:r w:rsidR="00097A86">
        <w:t>subsection (</w:t>
      </w:r>
      <w:r w:rsidRPr="00097A86">
        <w:t>1), the quantity of gas type (</w:t>
      </w:r>
      <w:r w:rsidRPr="00097A86">
        <w:rPr>
          <w:b/>
          <w:i/>
        </w:rPr>
        <w:t>j</w:t>
      </w:r>
      <w:r w:rsidRPr="00097A86">
        <w:t>) must be estimated in accordance with Division</w:t>
      </w:r>
      <w:r w:rsidR="00097A86">
        <w:t> </w:t>
      </w:r>
      <w:r w:rsidRPr="00097A86">
        <w:t>2.3.6 as if a reference in that Division to quantities of gaseous fuels combusted from the operation of a facility was a reference to the following:</w:t>
      </w:r>
    </w:p>
    <w:p w14:paraId="2174B6D4" w14:textId="77777777" w:rsidR="003F0D4E" w:rsidRPr="00097A86" w:rsidRDefault="003F0D4E" w:rsidP="00D22D3F">
      <w:pPr>
        <w:pStyle w:val="paragraph"/>
      </w:pPr>
      <w:r w:rsidRPr="00097A86">
        <w:tab/>
        <w:t>(a)</w:t>
      </w:r>
      <w:r w:rsidRPr="00097A86">
        <w:tab/>
        <w:t>for ∑</w:t>
      </w:r>
      <w:r w:rsidRPr="00097A86">
        <w:rPr>
          <w:b/>
          <w:i/>
        </w:rPr>
        <w:t>Q</w:t>
      </w:r>
      <w:r w:rsidRPr="00097A86">
        <w:rPr>
          <w:b/>
          <w:i/>
          <w:vertAlign w:val="subscript"/>
        </w:rPr>
        <w:t>ij,cap,z</w:t>
      </w:r>
      <w:r w:rsidR="00D22D3F" w:rsidRPr="00097A86">
        <w:rPr>
          <w:b/>
          <w:i/>
          <w:vertAlign w:val="subscript"/>
        </w:rPr>
        <w:t>—</w:t>
      </w:r>
      <w:r w:rsidRPr="00097A86">
        <w:t>quantities of gaseous fuels captured from the operation of a facility;</w:t>
      </w:r>
    </w:p>
    <w:p w14:paraId="1596A7E1" w14:textId="77777777" w:rsidR="003F0D4E" w:rsidRPr="00097A86" w:rsidRDefault="003F0D4E" w:rsidP="00D22D3F">
      <w:pPr>
        <w:pStyle w:val="paragraph"/>
      </w:pPr>
      <w:r w:rsidRPr="00097A86">
        <w:tab/>
        <w:t>(b)</w:t>
      </w:r>
      <w:r w:rsidRPr="00097A86">
        <w:tab/>
        <w:t xml:space="preserve">for </w:t>
      </w:r>
      <w:r w:rsidRPr="00097A86">
        <w:rPr>
          <w:b/>
          <w:i/>
        </w:rPr>
        <w:t>∑</w:t>
      </w:r>
      <w:r w:rsidRPr="00097A86">
        <w:rPr>
          <w:b/>
          <w:i/>
          <w:vertAlign w:val="subscript"/>
        </w:rPr>
        <w:t>t</w:t>
      </w:r>
      <w:r w:rsidRPr="00097A86">
        <w:rPr>
          <w:b/>
          <w:i/>
        </w:rPr>
        <w:t>Q</w:t>
      </w:r>
      <w:r w:rsidRPr="00097A86">
        <w:rPr>
          <w:b/>
          <w:i/>
          <w:vertAlign w:val="subscript"/>
        </w:rPr>
        <w:t>ij,flared,z</w:t>
      </w:r>
      <w:r w:rsidR="00D22D3F" w:rsidRPr="00097A86">
        <w:rPr>
          <w:b/>
          <w:i/>
          <w:vertAlign w:val="subscript"/>
        </w:rPr>
        <w:t>—</w:t>
      </w:r>
      <w:r w:rsidRPr="00097A86">
        <w:t>quantities of gaseous fuels flared from the operation of a facility;</w:t>
      </w:r>
    </w:p>
    <w:p w14:paraId="4FB31371" w14:textId="77777777" w:rsidR="003F0D4E" w:rsidRPr="00097A86" w:rsidRDefault="003F0D4E" w:rsidP="00D22D3F">
      <w:pPr>
        <w:pStyle w:val="paragraph"/>
      </w:pPr>
      <w:r w:rsidRPr="00097A86">
        <w:tab/>
        <w:t>(c)</w:t>
      </w:r>
      <w:r w:rsidRPr="00097A86">
        <w:tab/>
        <w:t xml:space="preserve">for </w:t>
      </w:r>
      <w:r w:rsidRPr="00097A86">
        <w:rPr>
          <w:b/>
          <w:i/>
        </w:rPr>
        <w:t>∑Q</w:t>
      </w:r>
      <w:r w:rsidRPr="00097A86">
        <w:rPr>
          <w:b/>
          <w:i/>
          <w:vertAlign w:val="subscript"/>
        </w:rPr>
        <w:t>ijtr</w:t>
      </w:r>
      <w:r w:rsidR="00D22D3F" w:rsidRPr="00097A86">
        <w:rPr>
          <w:b/>
          <w:i/>
        </w:rPr>
        <w:t>—</w:t>
      </w:r>
      <w:r w:rsidRPr="00097A86">
        <w:t>quantities of gaseous fuels transferred out of the operation of a facility.</w:t>
      </w:r>
    </w:p>
    <w:p w14:paraId="23FDB270" w14:textId="77777777" w:rsidR="000E12DC" w:rsidRPr="00097A86" w:rsidRDefault="000E12DC" w:rsidP="00D22D3F">
      <w:pPr>
        <w:pStyle w:val="subsection"/>
      </w:pPr>
      <w:r w:rsidRPr="00097A86">
        <w:tab/>
        <w:t>(3)</w:t>
      </w:r>
      <w:r w:rsidRPr="00097A86">
        <w:tab/>
        <w:t xml:space="preserve">In </w:t>
      </w:r>
      <w:r w:rsidR="00097A86">
        <w:t>subsection (</w:t>
      </w:r>
      <w:r w:rsidRPr="00097A86">
        <w:t>1), ∑Q</w:t>
      </w:r>
      <w:r w:rsidRPr="00097A86">
        <w:rPr>
          <w:vertAlign w:val="subscript"/>
        </w:rPr>
        <w:t xml:space="preserve">ijtr </w:t>
      </w:r>
      <w:r w:rsidRPr="00097A86">
        <w:t>applies to carbon dioxide only if the carbon dioxide is captured for permanent storage.</w:t>
      </w:r>
    </w:p>
    <w:p w14:paraId="56B34B1A" w14:textId="77777777" w:rsidR="000E12DC" w:rsidRPr="00097A86" w:rsidRDefault="00D22D3F" w:rsidP="00D22D3F">
      <w:pPr>
        <w:pStyle w:val="notetext"/>
      </w:pPr>
      <w:r w:rsidRPr="00097A86">
        <w:t>Note:</w:t>
      </w:r>
      <w:r w:rsidRPr="00097A86">
        <w:tab/>
      </w:r>
      <w:r w:rsidR="000E12DC" w:rsidRPr="00097A86">
        <w:t>Division</w:t>
      </w:r>
      <w:r w:rsidR="00097A86">
        <w:t> </w:t>
      </w:r>
      <w:r w:rsidR="000E12DC" w:rsidRPr="00097A86">
        <w:t>1.2.3 contains a number of requirements in relation to deductions of carbon dioxide captured for permanent storage.</w:t>
      </w:r>
    </w:p>
    <w:p w14:paraId="37550B2C" w14:textId="77777777" w:rsidR="00BD4ED9" w:rsidRPr="00097A86" w:rsidRDefault="00BD4ED9" w:rsidP="00D22D3F">
      <w:pPr>
        <w:pStyle w:val="subsection"/>
      </w:pPr>
      <w:r w:rsidRPr="00097A86">
        <w:tab/>
        <w:t>(4)</w:t>
      </w:r>
      <w:r w:rsidRPr="00097A86">
        <w:tab/>
        <w:t xml:space="preserve">For </w:t>
      </w:r>
      <w:r w:rsidRPr="00097A86">
        <w:rPr>
          <w:b/>
          <w:i/>
        </w:rPr>
        <w:t>GC</w:t>
      </w:r>
      <w:r w:rsidRPr="00097A86">
        <w:rPr>
          <w:b/>
          <w:i/>
          <w:vertAlign w:val="subscript"/>
        </w:rPr>
        <w:t>jz</w:t>
      </w:r>
      <w:r w:rsidRPr="00097A86">
        <w:rPr>
          <w:vertAlign w:val="subscript"/>
        </w:rPr>
        <w:t xml:space="preserve"> </w:t>
      </w:r>
      <w:r w:rsidRPr="00097A86">
        <w:t xml:space="preserve">in </w:t>
      </w:r>
      <w:r w:rsidR="00097A86">
        <w:t>subsection (</w:t>
      </w:r>
      <w:r w:rsidRPr="00097A86">
        <w:t>1), the content of gas type (</w:t>
      </w:r>
      <w:r w:rsidRPr="00097A86">
        <w:rPr>
          <w:b/>
          <w:i/>
        </w:rPr>
        <w:t>j</w:t>
      </w:r>
      <w:r w:rsidRPr="00097A86">
        <w:t>) contained by the gas bearing strata (</w:t>
      </w:r>
      <w:r w:rsidRPr="00097A86">
        <w:rPr>
          <w:b/>
          <w:i/>
        </w:rPr>
        <w:t>z</w:t>
      </w:r>
      <w:r w:rsidRPr="00097A86">
        <w:t>) must be estimated in accordance with sections</w:t>
      </w:r>
      <w:r w:rsidR="00097A86">
        <w:t> </w:t>
      </w:r>
      <w:r w:rsidRPr="00097A86">
        <w:t>3.24, 3.25, 3.25A and 3.25B.</w:t>
      </w:r>
    </w:p>
    <w:p w14:paraId="549A71F2" w14:textId="77777777" w:rsidR="003F0D4E" w:rsidRPr="00097A86" w:rsidRDefault="003F0D4E" w:rsidP="00D22D3F">
      <w:pPr>
        <w:pStyle w:val="ActHead5"/>
      </w:pPr>
      <w:bookmarkStart w:id="242" w:name="_Toc13233682"/>
      <w:r w:rsidRPr="00097A86">
        <w:rPr>
          <w:rStyle w:val="CharSectno"/>
        </w:rPr>
        <w:t>3.23</w:t>
      </w:r>
      <w:r w:rsidR="00D22D3F" w:rsidRPr="00097A86">
        <w:t xml:space="preserve">  </w:t>
      </w:r>
      <w:r w:rsidRPr="00097A86">
        <w:t>Estimate of proportion of gas content released below pit floor</w:t>
      </w:r>
      <w:bookmarkEnd w:id="242"/>
    </w:p>
    <w:p w14:paraId="44123E62" w14:textId="77777777" w:rsidR="00FB6BF3" w:rsidRPr="00097A86" w:rsidRDefault="003F0D4E" w:rsidP="00D22D3F">
      <w:pPr>
        <w:pStyle w:val="subsection"/>
      </w:pPr>
      <w:r w:rsidRPr="00097A86">
        <w:tab/>
      </w:r>
      <w:r w:rsidR="00FB6BF3" w:rsidRPr="00097A86">
        <w:tab/>
        <w:t xml:space="preserve">For </w:t>
      </w:r>
      <w:r w:rsidR="00097A86">
        <w:t>paragraph (</w:t>
      </w:r>
      <w:r w:rsidR="00FB6BF3" w:rsidRPr="00097A86">
        <w:t xml:space="preserve">b) of the factor </w:t>
      </w:r>
      <w:r w:rsidR="00FB6BF3" w:rsidRPr="00097A86">
        <w:rPr>
          <w:b/>
          <w:i/>
        </w:rPr>
        <w:t>β</w:t>
      </w:r>
      <w:r w:rsidR="00FB6BF3" w:rsidRPr="00097A86">
        <w:rPr>
          <w:b/>
          <w:i/>
          <w:vertAlign w:val="subscript"/>
        </w:rPr>
        <w:t>z</w:t>
      </w:r>
      <w:r w:rsidR="00FB6BF3" w:rsidRPr="00097A86">
        <w:t xml:space="preserve"> in subsection</w:t>
      </w:r>
      <w:r w:rsidR="00097A86">
        <w:t> </w:t>
      </w:r>
      <w:r w:rsidR="00FB6BF3" w:rsidRPr="00097A86">
        <w:t>3.22</w:t>
      </w:r>
      <w:r w:rsidR="008A729A" w:rsidRPr="00097A86">
        <w:t>(</w:t>
      </w:r>
      <w:r w:rsidR="00FB6BF3" w:rsidRPr="00097A86">
        <w:t xml:space="preserve">1), estimate </w:t>
      </w:r>
      <w:r w:rsidR="00FB6BF3" w:rsidRPr="00097A86">
        <w:rPr>
          <w:b/>
          <w:i/>
        </w:rPr>
        <w:t>β</w:t>
      </w:r>
      <w:r w:rsidR="00FB6BF3" w:rsidRPr="00097A86">
        <w:rPr>
          <w:b/>
          <w:i/>
          <w:vertAlign w:val="subscript"/>
        </w:rPr>
        <w:t xml:space="preserve">z </w:t>
      </w:r>
      <w:r w:rsidR="00FB6BF3" w:rsidRPr="00097A86">
        <w:t>using one of the following equations:</w:t>
      </w:r>
    </w:p>
    <w:p w14:paraId="0AF01DE8" w14:textId="77777777" w:rsidR="00FB6BF3" w:rsidRPr="00097A86" w:rsidRDefault="00FB6BF3" w:rsidP="00D22D3F">
      <w:pPr>
        <w:pStyle w:val="paragraph"/>
      </w:pPr>
      <w:r w:rsidRPr="00097A86">
        <w:tab/>
        <w:t>(a)</w:t>
      </w:r>
      <w:r w:rsidRPr="00097A86">
        <w:tab/>
        <w:t>equation 1:</w:t>
      </w:r>
    </w:p>
    <w:p w14:paraId="38B7FAC3" w14:textId="77777777" w:rsidR="00FB6BF3" w:rsidRPr="00097A86" w:rsidRDefault="00D22D3F" w:rsidP="00D22D3F">
      <w:pPr>
        <w:pStyle w:val="paragraph"/>
        <w:spacing w:before="120" w:after="120"/>
      </w:pPr>
      <w:r w:rsidRPr="00097A86">
        <w:rPr>
          <w:position w:val="-24"/>
        </w:rPr>
        <w:tab/>
      </w:r>
      <w:r w:rsidRPr="00097A86">
        <w:rPr>
          <w:position w:val="-24"/>
        </w:rPr>
        <w:tab/>
      </w:r>
      <w:r w:rsidR="009E1F90">
        <w:rPr>
          <w:noProof/>
          <w:position w:val="-24"/>
        </w:rPr>
        <w:drawing>
          <wp:inline distT="0" distB="0" distL="0" distR="0" wp14:anchorId="12E8FE19" wp14:editId="0F68B14B">
            <wp:extent cx="1133475" cy="409575"/>
            <wp:effectExtent l="0" t="0" r="9525" b="9525"/>
            <wp:docPr id="1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r w:rsidR="00FB6BF3" w:rsidRPr="00097A86">
        <w:t>;</w:t>
      </w:r>
    </w:p>
    <w:p w14:paraId="051BEE80" w14:textId="77777777" w:rsidR="00FB6BF3" w:rsidRPr="00097A86" w:rsidRDefault="00FB6BF3" w:rsidP="00D22D3F">
      <w:pPr>
        <w:pStyle w:val="paragraph"/>
      </w:pPr>
      <w:r w:rsidRPr="00097A86">
        <w:tab/>
        <w:t>(b)</w:t>
      </w:r>
      <w:r w:rsidRPr="00097A86">
        <w:tab/>
        <w:t>equation 2:</w:t>
      </w:r>
    </w:p>
    <w:p w14:paraId="1B9947F2" w14:textId="77777777" w:rsidR="00FB6BF3" w:rsidRPr="00097A86" w:rsidRDefault="00D22D3F" w:rsidP="00D22D3F">
      <w:pPr>
        <w:pStyle w:val="paragraph"/>
        <w:spacing w:before="120" w:after="120"/>
      </w:pPr>
      <w:r w:rsidRPr="00097A86">
        <w:rPr>
          <w:position w:val="-10"/>
        </w:rPr>
        <w:tab/>
      </w:r>
      <w:r w:rsidRPr="00097A86">
        <w:rPr>
          <w:position w:val="-10"/>
        </w:rPr>
        <w:tab/>
      </w:r>
      <w:r w:rsidR="009E1F90">
        <w:rPr>
          <w:noProof/>
          <w:position w:val="-10"/>
        </w:rPr>
        <w:drawing>
          <wp:inline distT="0" distB="0" distL="0" distR="0" wp14:anchorId="3E66442B" wp14:editId="7451E8C1">
            <wp:extent cx="590550" cy="219075"/>
            <wp:effectExtent l="0" t="0" r="0" b="9525"/>
            <wp:docPr id="1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FB6BF3" w:rsidRPr="00097A86">
        <w:t>.</w:t>
      </w:r>
    </w:p>
    <w:p w14:paraId="6269BF2B" w14:textId="77777777" w:rsidR="003F0D4E" w:rsidRPr="00097A86" w:rsidRDefault="003F0D4E" w:rsidP="00D22D3F">
      <w:pPr>
        <w:pStyle w:val="subsection2"/>
      </w:pPr>
      <w:r w:rsidRPr="00097A86">
        <w:t>where:</w:t>
      </w:r>
    </w:p>
    <w:p w14:paraId="0DD7AD90" w14:textId="77777777" w:rsidR="003F0D4E" w:rsidRPr="00097A86" w:rsidRDefault="003F0D4E" w:rsidP="00D22D3F">
      <w:pPr>
        <w:pStyle w:val="Definition"/>
      </w:pPr>
      <w:r w:rsidRPr="00097A86">
        <w:rPr>
          <w:b/>
          <w:i/>
        </w:rPr>
        <w:t xml:space="preserve">x </w:t>
      </w:r>
      <w:r w:rsidRPr="00097A86">
        <w:t>is the depth in metres of the floor of the gas bearing strata (</w:t>
      </w:r>
      <w:r w:rsidRPr="00097A86">
        <w:rPr>
          <w:b/>
          <w:i/>
        </w:rPr>
        <w:t>z</w:t>
      </w:r>
      <w:r w:rsidRPr="00097A86">
        <w:t>) measured from ground level.</w:t>
      </w:r>
    </w:p>
    <w:p w14:paraId="262A3818" w14:textId="77777777" w:rsidR="003F0D4E" w:rsidRPr="00097A86" w:rsidRDefault="003F0D4E" w:rsidP="00D22D3F">
      <w:pPr>
        <w:pStyle w:val="Definition"/>
      </w:pPr>
      <w:r w:rsidRPr="00097A86">
        <w:rPr>
          <w:b/>
          <w:i/>
        </w:rPr>
        <w:t xml:space="preserve">h </w:t>
      </w:r>
      <w:r w:rsidRPr="00097A86">
        <w:t>is the depth in metres of the pit floor of the mine measured from ground level.</w:t>
      </w:r>
    </w:p>
    <w:p w14:paraId="3CB6AED6" w14:textId="77777777" w:rsidR="003F0D4E" w:rsidRPr="00097A86" w:rsidRDefault="003F0D4E" w:rsidP="00D22D3F">
      <w:pPr>
        <w:pStyle w:val="Definition"/>
      </w:pPr>
      <w:r w:rsidRPr="00097A86">
        <w:rPr>
          <w:b/>
          <w:i/>
        </w:rPr>
        <w:t xml:space="preserve">dh </w:t>
      </w:r>
      <w:r w:rsidRPr="00097A86">
        <w:t>is 20, being representative of the depth in metres of the gas bearing strata below the pit floor that releases gas.</w:t>
      </w:r>
    </w:p>
    <w:p w14:paraId="475E1179" w14:textId="77777777" w:rsidR="003F0D4E" w:rsidRPr="00097A86" w:rsidRDefault="003F0D4E" w:rsidP="00D22D3F">
      <w:pPr>
        <w:pStyle w:val="ActHead5"/>
      </w:pPr>
      <w:bookmarkStart w:id="243" w:name="_Toc13233683"/>
      <w:r w:rsidRPr="00097A86">
        <w:rPr>
          <w:rStyle w:val="CharSectno"/>
        </w:rPr>
        <w:lastRenderedPageBreak/>
        <w:t>3.24</w:t>
      </w:r>
      <w:r w:rsidR="00D22D3F" w:rsidRPr="00097A86">
        <w:t xml:space="preserve">  </w:t>
      </w:r>
      <w:r w:rsidRPr="00097A86">
        <w:t>General requirements for sampling</w:t>
      </w:r>
      <w:bookmarkEnd w:id="243"/>
    </w:p>
    <w:p w14:paraId="7ED11E9A" w14:textId="77777777" w:rsidR="003F0D4E" w:rsidRPr="00097A86" w:rsidRDefault="003F0D4E" w:rsidP="00D22D3F">
      <w:pPr>
        <w:pStyle w:val="subsection"/>
      </w:pPr>
      <w:r w:rsidRPr="00097A86">
        <w:tab/>
        <w:t>(1)</w:t>
      </w:r>
      <w:r w:rsidRPr="00097A86">
        <w:tab/>
        <w:t>Core samples of a gas bearing strata must be collected to produce estimates of gas content that are representative of the gas bearing strata in the extraction area of the mine during the year.</w:t>
      </w:r>
    </w:p>
    <w:p w14:paraId="378FFD5F" w14:textId="77777777" w:rsidR="003F0D4E" w:rsidRPr="00097A86" w:rsidRDefault="003F0D4E" w:rsidP="00D22D3F">
      <w:pPr>
        <w:pStyle w:val="subsection"/>
      </w:pPr>
      <w:r w:rsidRPr="00097A86">
        <w:tab/>
        <w:t>(2)</w:t>
      </w:r>
      <w:r w:rsidRPr="00097A86">
        <w:tab/>
        <w:t>The sampling process must also be free of bias so that any estimates are neither over nor under estimates of the true value.</w:t>
      </w:r>
    </w:p>
    <w:p w14:paraId="29F7F011" w14:textId="77777777" w:rsidR="003F0D4E" w:rsidRPr="00097A86" w:rsidRDefault="003F0D4E" w:rsidP="00D22D3F">
      <w:pPr>
        <w:pStyle w:val="subsection"/>
      </w:pPr>
      <w:r w:rsidRPr="00097A86">
        <w:tab/>
        <w:t>(3)</w:t>
      </w:r>
      <w:r w:rsidRPr="00097A86">
        <w:tab/>
        <w:t>Bias must be tested in accordance with an appropriate standard (if any).</w:t>
      </w:r>
    </w:p>
    <w:p w14:paraId="27C18BC0" w14:textId="77777777" w:rsidR="003F0D4E" w:rsidRPr="00097A86" w:rsidRDefault="003F0D4E" w:rsidP="00D22D3F">
      <w:pPr>
        <w:pStyle w:val="subsection"/>
      </w:pPr>
      <w:r w:rsidRPr="00097A86">
        <w:tab/>
        <w:t>(4)</w:t>
      </w:r>
      <w:r w:rsidRPr="00097A86">
        <w:tab/>
        <w:t xml:space="preserve">The value obtained from the samples must only be used for the open cut mine from which it was intended to be representative. </w:t>
      </w:r>
    </w:p>
    <w:p w14:paraId="471B1AD8" w14:textId="77777777" w:rsidR="00FB6BF3" w:rsidRPr="00097A86" w:rsidRDefault="00FB6BF3" w:rsidP="00D22D3F">
      <w:pPr>
        <w:pStyle w:val="subsection"/>
      </w:pPr>
      <w:r w:rsidRPr="00097A86">
        <w:tab/>
        <w:t>(5)</w:t>
      </w:r>
      <w:r w:rsidRPr="00097A86">
        <w:tab/>
        <w:t>Sampling must be carried out in accordance with:</w:t>
      </w:r>
    </w:p>
    <w:p w14:paraId="75E19EFE" w14:textId="77777777" w:rsidR="00FB6BF3" w:rsidRPr="00097A86" w:rsidRDefault="00FB6BF3" w:rsidP="00D22D3F">
      <w:pPr>
        <w:pStyle w:val="paragraph"/>
      </w:pPr>
      <w:r w:rsidRPr="00097A86">
        <w:tab/>
        <w:t>(a)</w:t>
      </w:r>
      <w:r w:rsidRPr="00097A86">
        <w:tab/>
        <w:t>the minimum requirements for data collection and gas testing mentioned in section</w:t>
      </w:r>
      <w:r w:rsidR="00097A86">
        <w:t> </w:t>
      </w:r>
      <w:r w:rsidRPr="00097A86">
        <w:t>2 of the ACARP Guidelines; and</w:t>
      </w:r>
    </w:p>
    <w:p w14:paraId="6B9D5DE6" w14:textId="77777777" w:rsidR="00FB6BF3" w:rsidRPr="00097A86" w:rsidRDefault="00FB6BF3" w:rsidP="00D22D3F">
      <w:pPr>
        <w:pStyle w:val="paragraph"/>
      </w:pPr>
      <w:r w:rsidRPr="00097A86">
        <w:tab/>
        <w:t>(b)</w:t>
      </w:r>
      <w:r w:rsidRPr="00097A86">
        <w:tab/>
        <w:t>the data validation, analysis and interpretation processes mentioned in section</w:t>
      </w:r>
      <w:r w:rsidR="00097A86">
        <w:t> </w:t>
      </w:r>
      <w:r w:rsidRPr="00097A86">
        <w:t>3 of the ACARP Guidelines.</w:t>
      </w:r>
    </w:p>
    <w:p w14:paraId="0F28227D" w14:textId="77777777" w:rsidR="003F0D4E" w:rsidRPr="00097A86" w:rsidRDefault="003F0D4E" w:rsidP="00D22D3F">
      <w:pPr>
        <w:pStyle w:val="ActHead5"/>
      </w:pPr>
      <w:bookmarkStart w:id="244" w:name="_Toc13233684"/>
      <w:r w:rsidRPr="00097A86">
        <w:rPr>
          <w:rStyle w:val="CharSectno"/>
        </w:rPr>
        <w:t>3.25</w:t>
      </w:r>
      <w:r w:rsidR="00D22D3F" w:rsidRPr="00097A86">
        <w:t xml:space="preserve">  </w:t>
      </w:r>
      <w:r w:rsidRPr="00097A86">
        <w:t>General requirements for analysis of gas and gas bearing strata</w:t>
      </w:r>
      <w:bookmarkEnd w:id="244"/>
    </w:p>
    <w:p w14:paraId="11BFD879" w14:textId="77777777" w:rsidR="00ED1549" w:rsidRPr="00097A86" w:rsidRDefault="003F0D4E" w:rsidP="00D22D3F">
      <w:pPr>
        <w:pStyle w:val="subsection"/>
      </w:pPr>
      <w:r w:rsidRPr="00097A86">
        <w:tab/>
      </w:r>
      <w:r w:rsidRPr="00097A86">
        <w:tab/>
        <w:t xml:space="preserve">Analysis of a gas and a gas bearing strata, including the mass and gas content of the strata, must be done </w:t>
      </w:r>
      <w:r w:rsidR="00FB6BF3" w:rsidRPr="00097A86">
        <w:t>in accordance with:</w:t>
      </w:r>
      <w:r w:rsidR="00ED1549" w:rsidRPr="00097A86">
        <w:t xml:space="preserve"> </w:t>
      </w:r>
    </w:p>
    <w:p w14:paraId="07E0633E" w14:textId="77777777" w:rsidR="00FB6BF3" w:rsidRPr="00097A86" w:rsidRDefault="00FB6BF3" w:rsidP="00D22D3F">
      <w:pPr>
        <w:pStyle w:val="paragraph"/>
      </w:pPr>
      <w:r w:rsidRPr="00097A86">
        <w:tab/>
        <w:t>(a)</w:t>
      </w:r>
      <w:r w:rsidRPr="00097A86">
        <w:tab/>
        <w:t>the minimum requirements for data collection and gas testing mentioned in section</w:t>
      </w:r>
      <w:r w:rsidR="00097A86">
        <w:t> </w:t>
      </w:r>
      <w:r w:rsidRPr="00097A86">
        <w:t>2 of the ACARP Guidelines; and</w:t>
      </w:r>
    </w:p>
    <w:p w14:paraId="464BE75D" w14:textId="77777777" w:rsidR="00FB6BF3" w:rsidRPr="00097A86" w:rsidRDefault="00FB6BF3" w:rsidP="00D22D3F">
      <w:pPr>
        <w:pStyle w:val="paragraph"/>
      </w:pPr>
      <w:r w:rsidRPr="00097A86">
        <w:tab/>
        <w:t>(b)</w:t>
      </w:r>
      <w:r w:rsidRPr="00097A86">
        <w:tab/>
        <w:t>the data validation, analysis and interpretation processes mentioned in section</w:t>
      </w:r>
      <w:r w:rsidR="00097A86">
        <w:t> </w:t>
      </w:r>
      <w:r w:rsidRPr="00097A86">
        <w:t>3 of the ACARP Guidelines; and</w:t>
      </w:r>
    </w:p>
    <w:p w14:paraId="68F7AA35" w14:textId="77777777" w:rsidR="00FB6BF3" w:rsidRPr="00097A86" w:rsidRDefault="00FB6BF3" w:rsidP="00D22D3F">
      <w:pPr>
        <w:pStyle w:val="paragraph"/>
      </w:pPr>
      <w:r w:rsidRPr="00097A86">
        <w:tab/>
        <w:t>(c)</w:t>
      </w:r>
      <w:r w:rsidRPr="00097A86">
        <w:tab/>
        <w:t>the method of applying the gas distribution model to develop an emissions estimate for an open cut mine mentioned in section</w:t>
      </w:r>
      <w:r w:rsidR="00097A86">
        <w:t> </w:t>
      </w:r>
      <w:r w:rsidRPr="00097A86">
        <w:t>4 of the ACARP Guidelines.</w:t>
      </w:r>
    </w:p>
    <w:p w14:paraId="0049A1C7" w14:textId="77777777" w:rsidR="00FB6BF3" w:rsidRPr="00097A86" w:rsidRDefault="00FB6BF3" w:rsidP="00D22D3F">
      <w:pPr>
        <w:pStyle w:val="ActHead5"/>
      </w:pPr>
      <w:bookmarkStart w:id="245" w:name="_Toc13233685"/>
      <w:r w:rsidRPr="00097A86">
        <w:rPr>
          <w:rStyle w:val="CharSectno"/>
        </w:rPr>
        <w:t>3.25A</w:t>
      </w:r>
      <w:r w:rsidR="00D22D3F" w:rsidRPr="00097A86">
        <w:t xml:space="preserve">  </w:t>
      </w:r>
      <w:r w:rsidRPr="00097A86">
        <w:t>Method of working out base of the low gas zone</w:t>
      </w:r>
      <w:bookmarkEnd w:id="245"/>
    </w:p>
    <w:p w14:paraId="23CFFFB3" w14:textId="77777777" w:rsidR="00FB6BF3" w:rsidRPr="00097A86" w:rsidRDefault="00FB6BF3" w:rsidP="00D22D3F">
      <w:pPr>
        <w:pStyle w:val="subsection"/>
      </w:pPr>
      <w:r w:rsidRPr="00097A86">
        <w:tab/>
        <w:t>(1)</w:t>
      </w:r>
      <w:r w:rsidRPr="00097A86">
        <w:tab/>
        <w:t>The estimator must:</w:t>
      </w:r>
    </w:p>
    <w:p w14:paraId="7D91368A" w14:textId="77777777" w:rsidR="00FB6BF3" w:rsidRPr="00097A86" w:rsidRDefault="00FB6BF3" w:rsidP="00D22D3F">
      <w:pPr>
        <w:pStyle w:val="paragraph"/>
      </w:pPr>
      <w:r w:rsidRPr="00097A86">
        <w:tab/>
        <w:t>(a)</w:t>
      </w:r>
      <w:r w:rsidRPr="00097A86">
        <w:tab/>
        <w:t>take all reasonable steps to ensure that samples of gas taken from the gas bearing strata of the open cut mine are taken in accordance with the minimum requirements for data collection and gas testing mentioned in section</w:t>
      </w:r>
      <w:r w:rsidR="00097A86">
        <w:t> </w:t>
      </w:r>
      <w:r w:rsidRPr="00097A86">
        <w:t>2 of the ACARP Guidelines; and</w:t>
      </w:r>
    </w:p>
    <w:p w14:paraId="46E6436B" w14:textId="77777777" w:rsidR="00FB6BF3" w:rsidRPr="00097A86" w:rsidRDefault="00FB6BF3" w:rsidP="00D22D3F">
      <w:pPr>
        <w:pStyle w:val="paragraph"/>
      </w:pPr>
      <w:r w:rsidRPr="00097A86">
        <w:tab/>
        <w:t>(b)</w:t>
      </w:r>
      <w:r w:rsidRPr="00097A86">
        <w:tab/>
        <w:t>take all reasonable steps to ensure that samples of gas taken from boreholes are taken in accordance with the requirements for:</w:t>
      </w:r>
    </w:p>
    <w:p w14:paraId="0AB5404F" w14:textId="77777777" w:rsidR="00FB6BF3" w:rsidRPr="00097A86" w:rsidRDefault="00FB6BF3" w:rsidP="00D22D3F">
      <w:pPr>
        <w:pStyle w:val="paragraphsub"/>
      </w:pPr>
      <w:r w:rsidRPr="00097A86">
        <w:tab/>
        <w:t>(i)</w:t>
      </w:r>
      <w:r w:rsidRPr="00097A86">
        <w:tab/>
        <w:t>the number of boreholes mentioned in sections</w:t>
      </w:r>
      <w:r w:rsidR="00097A86">
        <w:t> </w:t>
      </w:r>
      <w:r w:rsidRPr="00097A86">
        <w:t>2 and 3 of the ACARP Guidelines; and</w:t>
      </w:r>
    </w:p>
    <w:p w14:paraId="6670C168" w14:textId="77777777" w:rsidR="00FB6BF3" w:rsidRPr="00097A86" w:rsidRDefault="00FB6BF3" w:rsidP="00D22D3F">
      <w:pPr>
        <w:pStyle w:val="paragraphsub"/>
      </w:pPr>
      <w:r w:rsidRPr="00097A86">
        <w:tab/>
        <w:t>(ii)</w:t>
      </w:r>
      <w:r w:rsidRPr="00097A86">
        <w:tab/>
        <w:t>borehole spacing mentioned in section</w:t>
      </w:r>
      <w:r w:rsidR="00097A86">
        <w:t> </w:t>
      </w:r>
      <w:r w:rsidRPr="00097A86">
        <w:t>2 of the ACARP Guidelines; and</w:t>
      </w:r>
    </w:p>
    <w:p w14:paraId="0EB8A127" w14:textId="77777777" w:rsidR="00FB6BF3" w:rsidRPr="00097A86" w:rsidRDefault="00FB6BF3" w:rsidP="00D22D3F">
      <w:pPr>
        <w:pStyle w:val="paragraphsub"/>
      </w:pPr>
      <w:r w:rsidRPr="00097A86">
        <w:tab/>
        <w:t>(iii)</w:t>
      </w:r>
      <w:r w:rsidRPr="00097A86">
        <w:tab/>
        <w:t>sample selection mentioned in section</w:t>
      </w:r>
      <w:r w:rsidR="00097A86">
        <w:t> </w:t>
      </w:r>
      <w:r w:rsidRPr="00097A86">
        <w:t>2 of the ACARP Guidelines; and</w:t>
      </w:r>
    </w:p>
    <w:p w14:paraId="5C0B1DFF" w14:textId="77777777" w:rsidR="00FB6BF3" w:rsidRPr="00097A86" w:rsidRDefault="00FB6BF3" w:rsidP="00D22D3F">
      <w:pPr>
        <w:pStyle w:val="paragraph"/>
      </w:pPr>
      <w:r w:rsidRPr="00097A86">
        <w:lastRenderedPageBreak/>
        <w:tab/>
        <w:t>(c)</w:t>
      </w:r>
      <w:r w:rsidRPr="00097A86">
        <w:tab/>
        <w:t xml:space="preserve">work out the base of the low gas zone by using the method mentioned in </w:t>
      </w:r>
      <w:r w:rsidR="00097A86">
        <w:t>subsection (</w:t>
      </w:r>
      <w:r w:rsidRPr="00097A86">
        <w:t>2); and</w:t>
      </w:r>
    </w:p>
    <w:p w14:paraId="318AAEC2" w14:textId="77777777" w:rsidR="00FB6BF3" w:rsidRPr="00097A86" w:rsidRDefault="00FB6BF3" w:rsidP="00D22D3F">
      <w:pPr>
        <w:pStyle w:val="paragraph"/>
      </w:pPr>
      <w:r w:rsidRPr="00097A86">
        <w:tab/>
        <w:t>(d)</w:t>
      </w:r>
      <w:r w:rsidRPr="00097A86">
        <w:tab/>
        <w:t xml:space="preserve">if the base of the low gas zone worked out in accordance with </w:t>
      </w:r>
      <w:r w:rsidR="00097A86">
        <w:t>subsection (</w:t>
      </w:r>
      <w:r w:rsidRPr="00097A86">
        <w:t>2) varies, in a vertical plane, within:</w:t>
      </w:r>
    </w:p>
    <w:p w14:paraId="305F0A44" w14:textId="77777777" w:rsidR="00FB6BF3" w:rsidRPr="00097A86" w:rsidRDefault="00FB6BF3" w:rsidP="00D22D3F">
      <w:pPr>
        <w:pStyle w:val="paragraphsub"/>
      </w:pPr>
      <w:r w:rsidRPr="00097A86">
        <w:tab/>
        <w:t>(i)</w:t>
      </w:r>
      <w:r w:rsidRPr="00097A86">
        <w:tab/>
        <w:t xml:space="preserve">a range of 20 metres between boreholes located in the same domain of the open cut mine—work out the base of the low gas zone using the method mentioned in </w:t>
      </w:r>
      <w:r w:rsidR="00097A86">
        <w:t>subsection (</w:t>
      </w:r>
      <w:r w:rsidRPr="00097A86">
        <w:t>3); or</w:t>
      </w:r>
    </w:p>
    <w:p w14:paraId="4919989C" w14:textId="77777777" w:rsidR="00FB6BF3" w:rsidRPr="00097A86" w:rsidRDefault="00FB6BF3" w:rsidP="00D22D3F">
      <w:pPr>
        <w:pStyle w:val="paragraphsub"/>
      </w:pPr>
      <w:r w:rsidRPr="00097A86">
        <w:tab/>
        <w:t>(ii)</w:t>
      </w:r>
      <w:r w:rsidRPr="00097A86">
        <w:tab/>
        <w:t xml:space="preserve">a range of greater than 20 metres between boreholes located in the same domain of the open cut mine—the method mentioned in </w:t>
      </w:r>
      <w:r w:rsidR="00097A86">
        <w:t>subsection (</w:t>
      </w:r>
      <w:r w:rsidRPr="00097A86">
        <w:t>4).</w:t>
      </w:r>
    </w:p>
    <w:p w14:paraId="76008491" w14:textId="77777777" w:rsidR="00FB6BF3" w:rsidRPr="00097A86" w:rsidRDefault="00FB6BF3" w:rsidP="00D22D3F">
      <w:pPr>
        <w:pStyle w:val="SubsectionHead"/>
      </w:pPr>
      <w:r w:rsidRPr="00097A86">
        <w:t>Preliminary method of working out base of low gas zone</w:t>
      </w:r>
    </w:p>
    <w:p w14:paraId="0CEA9E19" w14:textId="77777777" w:rsidR="00FB6BF3" w:rsidRPr="00097A86" w:rsidRDefault="00FB6BF3" w:rsidP="00926860">
      <w:pPr>
        <w:pStyle w:val="subsection"/>
        <w:spacing w:after="60"/>
      </w:pPr>
      <w:r w:rsidRPr="00097A86">
        <w:tab/>
        <w:t>(2)</w:t>
      </w:r>
      <w:r w:rsidRPr="00097A86">
        <w:tab/>
        <w:t xml:space="preserve">For </w:t>
      </w:r>
      <w:r w:rsidR="00097A86">
        <w:t>paragraph (</w:t>
      </w:r>
      <w:r w:rsidRPr="00097A86">
        <w:t>1)(c), the method is that the estimator must perform the following steps:</w:t>
      </w:r>
    </w:p>
    <w:tbl>
      <w:tblPr>
        <w:tblW w:w="5000" w:type="pct"/>
        <w:tblLook w:val="04A0" w:firstRow="1" w:lastRow="0" w:firstColumn="1" w:lastColumn="0" w:noHBand="0" w:noVBand="1"/>
      </w:tblPr>
      <w:tblGrid>
        <w:gridCol w:w="946"/>
        <w:gridCol w:w="7367"/>
      </w:tblGrid>
      <w:tr w:rsidR="00926860" w:rsidRPr="00097A86" w14:paraId="562163A1" w14:textId="77777777" w:rsidTr="00C20CC2">
        <w:trPr>
          <w:cantSplit/>
          <w:trHeight w:val="80"/>
        </w:trPr>
        <w:tc>
          <w:tcPr>
            <w:tcW w:w="569" w:type="pct"/>
            <w:hideMark/>
          </w:tcPr>
          <w:p w14:paraId="1FBFDC75" w14:textId="77777777" w:rsidR="00926860" w:rsidRPr="00097A86" w:rsidRDefault="00926860" w:rsidP="006A1AD8">
            <w:pPr>
              <w:pStyle w:val="Tabletext"/>
              <w:rPr>
                <w:sz w:val="22"/>
                <w:szCs w:val="22"/>
              </w:rPr>
            </w:pPr>
            <w:r w:rsidRPr="00097A86">
              <w:rPr>
                <w:sz w:val="22"/>
                <w:szCs w:val="22"/>
              </w:rPr>
              <w:t>Step 1</w:t>
            </w:r>
          </w:p>
        </w:tc>
        <w:tc>
          <w:tcPr>
            <w:tcW w:w="4431" w:type="pct"/>
            <w:hideMark/>
          </w:tcPr>
          <w:p w14:paraId="1E7930E6" w14:textId="77777777" w:rsidR="00926860" w:rsidRPr="00097A86" w:rsidRDefault="00926860" w:rsidP="00617697">
            <w:pPr>
              <w:pStyle w:val="TableText0"/>
              <w:keepLines/>
              <w:rPr>
                <w:szCs w:val="22"/>
              </w:rPr>
            </w:pPr>
            <w:r w:rsidRPr="00097A86">
              <w:rPr>
                <w:szCs w:val="22"/>
              </w:rPr>
              <w:t>For each borehole, identify the depth at which:</w:t>
            </w:r>
          </w:p>
          <w:p w14:paraId="2A55AA78" w14:textId="77777777" w:rsidR="00926860" w:rsidRPr="00097A86" w:rsidRDefault="00926860" w:rsidP="00617697">
            <w:pPr>
              <w:pStyle w:val="TableP1a"/>
              <w:keepLines/>
              <w:rPr>
                <w:szCs w:val="22"/>
              </w:rPr>
            </w:pPr>
            <w:r w:rsidRPr="00097A86">
              <w:rPr>
                <w:szCs w:val="22"/>
              </w:rPr>
              <w:tab/>
              <w:t>(a)</w:t>
            </w:r>
            <w:r w:rsidRPr="00097A86">
              <w:rPr>
                <w:szCs w:val="22"/>
              </w:rPr>
              <w:tab/>
              <w:t>the results of greater than 3 consecutive samples taken in the borehole indicate that the gas content of the gas bearing strata is greater than 0.5 m</w:t>
            </w:r>
            <w:r w:rsidRPr="00097A86">
              <w:rPr>
                <w:szCs w:val="22"/>
                <w:vertAlign w:val="superscript"/>
              </w:rPr>
              <w:t>3</w:t>
            </w:r>
            <w:r w:rsidRPr="00097A86">
              <w:rPr>
                <w:szCs w:val="22"/>
              </w:rPr>
              <w:t>/t; or</w:t>
            </w:r>
          </w:p>
          <w:p w14:paraId="337978F0" w14:textId="77777777" w:rsidR="00926860" w:rsidRPr="00097A86" w:rsidRDefault="00926860" w:rsidP="00617697">
            <w:pPr>
              <w:pStyle w:val="TableP1a"/>
              <w:keepLines/>
              <w:rPr>
                <w:szCs w:val="22"/>
              </w:rPr>
            </w:pPr>
            <w:r w:rsidRPr="00097A86">
              <w:rPr>
                <w:szCs w:val="22"/>
              </w:rPr>
              <w:tab/>
              <w:t>(b)</w:t>
            </w:r>
            <w:r w:rsidRPr="00097A86">
              <w:rPr>
                <w:szCs w:val="22"/>
              </w:rPr>
              <w:tab/>
              <w:t>the results of 3 consecutive samples taken in the borehole indicate that the methane composition of the gas bearing strata is greater than 50% of total gas composition by volume.</w:t>
            </w:r>
          </w:p>
        </w:tc>
      </w:tr>
      <w:tr w:rsidR="00926860" w:rsidRPr="00097A86" w14:paraId="52004BD8" w14:textId="77777777" w:rsidTr="00C20CC2">
        <w:trPr>
          <w:cantSplit/>
          <w:trHeight w:val="80"/>
        </w:trPr>
        <w:tc>
          <w:tcPr>
            <w:tcW w:w="569" w:type="pct"/>
            <w:hideMark/>
          </w:tcPr>
          <w:p w14:paraId="59F80C86" w14:textId="77777777" w:rsidR="00926860" w:rsidRPr="00097A86" w:rsidRDefault="00926860" w:rsidP="006A1AD8">
            <w:pPr>
              <w:pStyle w:val="Tabletext"/>
              <w:rPr>
                <w:sz w:val="22"/>
                <w:szCs w:val="22"/>
              </w:rPr>
            </w:pPr>
            <w:r w:rsidRPr="00097A86">
              <w:rPr>
                <w:sz w:val="22"/>
                <w:szCs w:val="22"/>
              </w:rPr>
              <w:t>Step 2</w:t>
            </w:r>
          </w:p>
        </w:tc>
        <w:tc>
          <w:tcPr>
            <w:tcW w:w="4431" w:type="pct"/>
            <w:hideMark/>
          </w:tcPr>
          <w:p w14:paraId="1C05663F" w14:textId="77777777" w:rsidR="00926860" w:rsidRPr="00097A86" w:rsidRDefault="00926860" w:rsidP="00617697">
            <w:pPr>
              <w:pStyle w:val="TableText0"/>
              <w:keepLines/>
              <w:rPr>
                <w:szCs w:val="22"/>
              </w:rPr>
            </w:pPr>
            <w:r w:rsidRPr="00097A86">
              <w:rPr>
                <w:szCs w:val="22"/>
              </w:rPr>
              <w:t xml:space="preserve">If </w:t>
            </w:r>
            <w:r w:rsidR="00097A86">
              <w:rPr>
                <w:szCs w:val="22"/>
              </w:rPr>
              <w:t>paragraph (</w:t>
            </w:r>
            <w:r w:rsidRPr="00097A86">
              <w:rPr>
                <w:szCs w:val="22"/>
              </w:rPr>
              <w:t>a) or (b) of step 1 applies, identify, for each borehole, the depth of the top of the gas bearing strata at which the first of the 3 consecutive samples in the borehole was taken.</w:t>
            </w:r>
          </w:p>
          <w:p w14:paraId="16303224" w14:textId="77777777" w:rsidR="00926860" w:rsidRPr="00097A86" w:rsidRDefault="00926860" w:rsidP="006A1AD8">
            <w:r w:rsidRPr="00097A86">
              <w:t>Note   The depth of the top of the gas bearing strata worked out under step 2 is the same as the depth of the base of the low gas zone.</w:t>
            </w:r>
          </w:p>
        </w:tc>
      </w:tr>
    </w:tbl>
    <w:p w14:paraId="706A8338" w14:textId="77777777" w:rsidR="00FB6BF3" w:rsidRPr="00097A86" w:rsidRDefault="00FB6BF3" w:rsidP="00D22D3F">
      <w:pPr>
        <w:pStyle w:val="SubsectionHead"/>
      </w:pPr>
      <w:r w:rsidRPr="00097A86">
        <w:t xml:space="preserve">Method of working out base of low gas zone for </w:t>
      </w:r>
      <w:r w:rsidR="00097A86">
        <w:t>subparagraph (</w:t>
      </w:r>
      <w:r w:rsidR="006A1AD8" w:rsidRPr="00097A86">
        <w:t>1)</w:t>
      </w:r>
      <w:r w:rsidRPr="00097A86">
        <w:t>(</w:t>
      </w:r>
      <w:r w:rsidR="006A1AD8" w:rsidRPr="00097A86">
        <w:t>d)</w:t>
      </w:r>
      <w:r w:rsidRPr="00097A86">
        <w:t>(i)</w:t>
      </w:r>
    </w:p>
    <w:p w14:paraId="4138EECF" w14:textId="77777777" w:rsidR="00FB6BF3" w:rsidRPr="00097A86" w:rsidRDefault="00FB6BF3" w:rsidP="00D22D3F">
      <w:pPr>
        <w:pStyle w:val="subsection"/>
      </w:pPr>
      <w:r w:rsidRPr="00097A86">
        <w:tab/>
        <w:t>(3)</w:t>
      </w:r>
      <w:r w:rsidRPr="00097A86">
        <w:tab/>
        <w:t xml:space="preserve">For </w:t>
      </w:r>
      <w:r w:rsidR="00097A86">
        <w:t>subparagraph (</w:t>
      </w:r>
      <w:r w:rsidRPr="00097A86">
        <w:t xml:space="preserve">1)(d)(i), the method is that the estimator must work out the average depth at which step 2 of the method in </w:t>
      </w:r>
      <w:r w:rsidR="00097A86">
        <w:t>subsection (</w:t>
      </w:r>
      <w:r w:rsidRPr="00097A86">
        <w:t>2) applies.</w:t>
      </w:r>
    </w:p>
    <w:p w14:paraId="402E5198" w14:textId="77777777" w:rsidR="00FB6BF3" w:rsidRPr="00097A86" w:rsidRDefault="00FB6BF3" w:rsidP="00D22D3F">
      <w:pPr>
        <w:pStyle w:val="SubsectionHead"/>
      </w:pPr>
      <w:r w:rsidRPr="00097A86">
        <w:t xml:space="preserve">Method of working out base of low gas zone for </w:t>
      </w:r>
      <w:r w:rsidR="00097A86">
        <w:t>subparagraph (</w:t>
      </w:r>
      <w:r w:rsidR="006A1AD8" w:rsidRPr="00097A86">
        <w:t>1)</w:t>
      </w:r>
      <w:r w:rsidRPr="00097A86">
        <w:t>(</w:t>
      </w:r>
      <w:r w:rsidR="006A1AD8" w:rsidRPr="00097A86">
        <w:t>d)(</w:t>
      </w:r>
      <w:r w:rsidRPr="00097A86">
        <w:t>ii)</w:t>
      </w:r>
    </w:p>
    <w:p w14:paraId="4BFCF841" w14:textId="77777777" w:rsidR="00FB6BF3" w:rsidRPr="00097A86" w:rsidRDefault="00FB6BF3" w:rsidP="00D22D3F">
      <w:pPr>
        <w:pStyle w:val="subsection"/>
      </w:pPr>
      <w:r w:rsidRPr="00097A86">
        <w:tab/>
        <w:t>(4)</w:t>
      </w:r>
      <w:r w:rsidRPr="00097A86">
        <w:tab/>
        <w:t xml:space="preserve">For </w:t>
      </w:r>
      <w:r w:rsidR="00097A86">
        <w:t>subparagraph (</w:t>
      </w:r>
      <w:r w:rsidRPr="00097A86">
        <w:t>1)(d)(ii), the method is that the estimator must construct a 3</w:t>
      </w:r>
      <w:r w:rsidR="00097A86">
        <w:noBreakHyphen/>
      </w:r>
      <w:r w:rsidRPr="00097A86">
        <w:t>dimensional model of the surface of the low gas zone using a triangulation algorithm or a gridding algorithm.</w:t>
      </w:r>
    </w:p>
    <w:p w14:paraId="42CCACC1" w14:textId="77777777" w:rsidR="00FB6BF3" w:rsidRPr="00097A86" w:rsidRDefault="00FB6BF3" w:rsidP="00D22D3F">
      <w:pPr>
        <w:pStyle w:val="ActHead5"/>
      </w:pPr>
      <w:bookmarkStart w:id="246" w:name="_Toc13233686"/>
      <w:r w:rsidRPr="00097A86">
        <w:rPr>
          <w:rStyle w:val="CharSectno"/>
        </w:rPr>
        <w:t>3.25B</w:t>
      </w:r>
      <w:r w:rsidR="00D22D3F" w:rsidRPr="00097A86">
        <w:t xml:space="preserve">  </w:t>
      </w:r>
      <w:r w:rsidRPr="00097A86">
        <w:t>Further requirements for estimator</w:t>
      </w:r>
      <w:bookmarkEnd w:id="246"/>
    </w:p>
    <w:p w14:paraId="410C4B78" w14:textId="77777777" w:rsidR="00FB6BF3" w:rsidRPr="00097A86" w:rsidRDefault="00FB6BF3" w:rsidP="00D22D3F">
      <w:pPr>
        <w:pStyle w:val="subsection"/>
      </w:pPr>
      <w:r w:rsidRPr="00097A86">
        <w:tab/>
        <w:t>(1)</w:t>
      </w:r>
      <w:r w:rsidRPr="00097A86">
        <w:tab/>
        <w:t>This section applies if:</w:t>
      </w:r>
    </w:p>
    <w:p w14:paraId="0FB80EE4" w14:textId="77777777" w:rsidR="00FB6BF3" w:rsidRPr="00097A86" w:rsidRDefault="00FB6BF3" w:rsidP="00D22D3F">
      <w:pPr>
        <w:pStyle w:val="paragraph"/>
      </w:pPr>
      <w:r w:rsidRPr="00097A86">
        <w:tab/>
        <w:t>(a)</w:t>
      </w:r>
      <w:r w:rsidRPr="00097A86">
        <w:tab/>
        <w:t>the estimator constructs a 3</w:t>
      </w:r>
      <w:r w:rsidR="00097A86">
        <w:noBreakHyphen/>
      </w:r>
      <w:r w:rsidRPr="00097A86">
        <w:t>dimensional model of the surface of the base of the low gas zone in accordance with the method mentioned in subsection</w:t>
      </w:r>
      <w:r w:rsidR="00097A86">
        <w:t> </w:t>
      </w:r>
      <w:r w:rsidRPr="00097A86">
        <w:t>3.25A(4); and</w:t>
      </w:r>
    </w:p>
    <w:p w14:paraId="23200191" w14:textId="77777777" w:rsidR="00FB6BF3" w:rsidRPr="00097A86" w:rsidRDefault="00FB6BF3" w:rsidP="00D22D3F">
      <w:pPr>
        <w:pStyle w:val="paragraph"/>
      </w:pPr>
      <w:r w:rsidRPr="00097A86">
        <w:tab/>
        <w:t>(b)</w:t>
      </w:r>
      <w:r w:rsidRPr="00097A86">
        <w:tab/>
        <w:t>the 3</w:t>
      </w:r>
      <w:r w:rsidR="00097A86">
        <w:noBreakHyphen/>
      </w:r>
      <w:r w:rsidRPr="00097A86">
        <w:t>dimensional model of the surface of the low gas zone is extrapolated beyond the area modelled directly from boreholes in the domain.</w:t>
      </w:r>
    </w:p>
    <w:p w14:paraId="1DE8EF1F" w14:textId="77777777" w:rsidR="00FB6BF3" w:rsidRPr="00097A86" w:rsidRDefault="00FB6BF3" w:rsidP="00D22D3F">
      <w:pPr>
        <w:pStyle w:val="subsection"/>
      </w:pPr>
      <w:r w:rsidRPr="00097A86">
        <w:lastRenderedPageBreak/>
        <w:tab/>
        <w:t>(2)</w:t>
      </w:r>
      <w:r w:rsidRPr="00097A86">
        <w:tab/>
        <w:t>The estimator must:</w:t>
      </w:r>
    </w:p>
    <w:p w14:paraId="0C2A2AC4" w14:textId="77777777" w:rsidR="00FB6BF3" w:rsidRPr="00097A86" w:rsidRDefault="00FB6BF3" w:rsidP="00D22D3F">
      <w:pPr>
        <w:pStyle w:val="paragraph"/>
      </w:pPr>
      <w:r w:rsidRPr="00097A86">
        <w:tab/>
        <w:t>(a)</w:t>
      </w:r>
      <w:r w:rsidRPr="00097A86">
        <w:tab/>
        <w:t>ensure that the extrapolated surface:</w:t>
      </w:r>
    </w:p>
    <w:p w14:paraId="48B76503" w14:textId="77777777" w:rsidR="00FB6BF3" w:rsidRPr="00097A86" w:rsidRDefault="00FB6BF3" w:rsidP="00D22D3F">
      <w:pPr>
        <w:pStyle w:val="paragraphsub"/>
      </w:pPr>
      <w:r w:rsidRPr="00097A86">
        <w:tab/>
        <w:t>(i)</w:t>
      </w:r>
      <w:r w:rsidRPr="00097A86">
        <w:tab/>
        <w:t>applies the same geological modelling rules that were applied in the generation of the surface of the base of the low gas zone from the boreholes; and</w:t>
      </w:r>
    </w:p>
    <w:p w14:paraId="3EAB0CB1" w14:textId="77777777" w:rsidR="00FB6BF3" w:rsidRPr="00097A86" w:rsidRDefault="00FB6BF3" w:rsidP="00D22D3F">
      <w:pPr>
        <w:pStyle w:val="paragraphsub"/>
      </w:pPr>
      <w:r w:rsidRPr="00097A86">
        <w:tab/>
        <w:t>(ii)</w:t>
      </w:r>
      <w:r w:rsidRPr="00097A86">
        <w:tab/>
        <w:t>represents the base of the low gas zone in relation to the geological structures located within the domain; and</w:t>
      </w:r>
    </w:p>
    <w:p w14:paraId="4312ABA8" w14:textId="77777777" w:rsidR="00FB6BF3" w:rsidRPr="00097A86" w:rsidRDefault="00FB6BF3" w:rsidP="00D22D3F">
      <w:pPr>
        <w:pStyle w:val="paragraphsub"/>
      </w:pPr>
      <w:r w:rsidRPr="00097A86">
        <w:tab/>
        <w:t>(iii)</w:t>
      </w:r>
      <w:r w:rsidRPr="00097A86">
        <w:tab/>
        <w:t>is generated using a modelling methodology that is consistent with the geological model used to estimate the coal resource; and</w:t>
      </w:r>
    </w:p>
    <w:p w14:paraId="3E501F34" w14:textId="77777777" w:rsidR="00FB6BF3" w:rsidRPr="00097A86" w:rsidRDefault="00FB6BF3" w:rsidP="00D22D3F">
      <w:pPr>
        <w:pStyle w:val="paragraphsub"/>
      </w:pPr>
      <w:r w:rsidRPr="00097A86">
        <w:tab/>
        <w:t>(iv)</w:t>
      </w:r>
      <w:r w:rsidRPr="00097A86">
        <w:tab/>
        <w:t>the geological model used to estimate the coal resource meets the minimum requirements and the standard of quality mentioned in section</w:t>
      </w:r>
      <w:r w:rsidR="00097A86">
        <w:t> </w:t>
      </w:r>
      <w:r w:rsidRPr="00097A86">
        <w:t>1 of the ACARP Guidelines.</w:t>
      </w:r>
    </w:p>
    <w:p w14:paraId="22C9D932" w14:textId="77777777" w:rsidR="00FB6BF3" w:rsidRPr="00097A86" w:rsidRDefault="00FB6BF3" w:rsidP="00D22D3F">
      <w:pPr>
        <w:pStyle w:val="paragraph"/>
      </w:pPr>
      <w:r w:rsidRPr="00097A86">
        <w:tab/>
        <w:t>(b)</w:t>
      </w:r>
      <w:r w:rsidRPr="00097A86">
        <w:tab/>
        <w:t>make and retain a record:</w:t>
      </w:r>
    </w:p>
    <w:p w14:paraId="349E1BB2" w14:textId="77777777" w:rsidR="00FB6BF3" w:rsidRPr="00097A86" w:rsidRDefault="00FB6BF3" w:rsidP="00D22D3F">
      <w:pPr>
        <w:pStyle w:val="paragraphsub"/>
      </w:pPr>
      <w:r w:rsidRPr="00097A86">
        <w:tab/>
        <w:t>(i)</w:t>
      </w:r>
      <w:r w:rsidRPr="00097A86">
        <w:tab/>
        <w:t>of the data and assumptions incorporated into the generation of the 3</w:t>
      </w:r>
      <w:r w:rsidR="00097A86">
        <w:noBreakHyphen/>
      </w:r>
      <w:r w:rsidRPr="00097A86">
        <w:t>dimensional surface; and</w:t>
      </w:r>
    </w:p>
    <w:p w14:paraId="30994EE9" w14:textId="77777777" w:rsidR="00FB6BF3" w:rsidRPr="00097A86" w:rsidRDefault="00FB6BF3" w:rsidP="00D22D3F">
      <w:pPr>
        <w:pStyle w:val="paragraphsub"/>
      </w:pPr>
      <w:r w:rsidRPr="00097A86">
        <w:tab/>
        <w:t>(ii)</w:t>
      </w:r>
      <w:r w:rsidRPr="00097A86">
        <w:tab/>
        <w:t>that demonstrates that the delineation of the 3</w:t>
      </w:r>
      <w:r w:rsidR="00097A86">
        <w:noBreakHyphen/>
      </w:r>
      <w:r w:rsidRPr="00097A86">
        <w:t>dimensional surface complies with sections</w:t>
      </w:r>
      <w:r w:rsidR="00097A86">
        <w:t> </w:t>
      </w:r>
      <w:r w:rsidRPr="00097A86">
        <w:t>1.13 and 3.24.</w:t>
      </w:r>
    </w:p>
    <w:p w14:paraId="047512EB" w14:textId="77777777" w:rsidR="00FB6BF3" w:rsidRPr="00097A86" w:rsidRDefault="00FB6BF3" w:rsidP="00D22D3F">
      <w:pPr>
        <w:pStyle w:val="ActHead5"/>
      </w:pPr>
      <w:bookmarkStart w:id="247" w:name="_Toc13233687"/>
      <w:r w:rsidRPr="00097A86">
        <w:rPr>
          <w:rStyle w:val="CharSectno"/>
        </w:rPr>
        <w:t>3.25C</w:t>
      </w:r>
      <w:r w:rsidR="00D22D3F" w:rsidRPr="00097A86">
        <w:t xml:space="preserve">  </w:t>
      </w:r>
      <w:r w:rsidRPr="00097A86">
        <w:t>Default gas content for gas bearing strata in low gas zone</w:t>
      </w:r>
      <w:bookmarkEnd w:id="247"/>
    </w:p>
    <w:p w14:paraId="1A6385C9" w14:textId="77777777" w:rsidR="00FB6BF3" w:rsidRPr="00097A86" w:rsidRDefault="00FB6BF3" w:rsidP="00D22D3F">
      <w:pPr>
        <w:pStyle w:val="subsection"/>
      </w:pPr>
      <w:r w:rsidRPr="00097A86">
        <w:tab/>
      </w:r>
      <w:r w:rsidRPr="00097A86">
        <w:tab/>
        <w:t>A default gas content of 0.00023 tonnes of carbon dioxide per tonne of gas bearing strata must be assigned to all gas bearing strata located in the low gas zone.</w:t>
      </w:r>
    </w:p>
    <w:p w14:paraId="77101D46" w14:textId="77777777" w:rsidR="00FB6BF3" w:rsidRPr="00097A86" w:rsidRDefault="00FB6BF3" w:rsidP="00D22D3F">
      <w:pPr>
        <w:pStyle w:val="ActHead5"/>
      </w:pPr>
      <w:bookmarkStart w:id="248" w:name="_Toc13233688"/>
      <w:r w:rsidRPr="00097A86">
        <w:rPr>
          <w:rStyle w:val="CharSectno"/>
        </w:rPr>
        <w:t>3.25D</w:t>
      </w:r>
      <w:r w:rsidR="00D22D3F" w:rsidRPr="00097A86">
        <w:t xml:space="preserve">  </w:t>
      </w:r>
      <w:r w:rsidRPr="00097A86">
        <w:t>Requirements for estimating total gas contained in gas bearing strata</w:t>
      </w:r>
      <w:bookmarkEnd w:id="248"/>
    </w:p>
    <w:p w14:paraId="403FFB8B" w14:textId="77777777" w:rsidR="00FB6BF3" w:rsidRPr="00097A86" w:rsidRDefault="00FB6BF3" w:rsidP="00D22D3F">
      <w:pPr>
        <w:pStyle w:val="subsection"/>
      </w:pPr>
      <w:r w:rsidRPr="00097A86">
        <w:tab/>
        <w:t>(1)</w:t>
      </w:r>
      <w:r w:rsidRPr="00097A86">
        <w:tab/>
        <w:t>The total gas contained in gas bearing strata for an open cut coal mine must be estimated in accordance with the emissions estimation process mentioned in section</w:t>
      </w:r>
      <w:r w:rsidR="00097A86">
        <w:t> </w:t>
      </w:r>
      <w:r w:rsidRPr="00097A86">
        <w:t>1 of the ACARP Guidelines.</w:t>
      </w:r>
    </w:p>
    <w:p w14:paraId="71A1D9BC" w14:textId="77777777" w:rsidR="00FB6BF3" w:rsidRPr="00097A86" w:rsidRDefault="00FB6BF3" w:rsidP="00D22D3F">
      <w:pPr>
        <w:pStyle w:val="subsection"/>
      </w:pPr>
      <w:r w:rsidRPr="00097A86">
        <w:tab/>
        <w:t>(2)</w:t>
      </w:r>
      <w:r w:rsidRPr="00097A86">
        <w:tab/>
        <w:t>The gas distribution model used for estimating emissions must be applied in accordance with section</w:t>
      </w:r>
      <w:r w:rsidR="00097A86">
        <w:t> </w:t>
      </w:r>
      <w:r w:rsidRPr="00097A86">
        <w:t>4.1 of the ACARP Guidelines; and</w:t>
      </w:r>
    </w:p>
    <w:p w14:paraId="692B041F" w14:textId="77777777" w:rsidR="00FB6BF3" w:rsidRPr="00097A86" w:rsidRDefault="00FB6BF3" w:rsidP="00D22D3F">
      <w:pPr>
        <w:pStyle w:val="subsection"/>
      </w:pPr>
      <w:r w:rsidRPr="00097A86">
        <w:tab/>
        <w:t>(3)</w:t>
      </w:r>
      <w:r w:rsidRPr="00097A86">
        <w:tab/>
        <w:t>The modelling bias must be assessed in accordance with section</w:t>
      </w:r>
      <w:r w:rsidR="00097A86">
        <w:t> </w:t>
      </w:r>
      <w:r w:rsidRPr="00097A86">
        <w:t>4.2 of the ACARP Guidelines.</w:t>
      </w:r>
    </w:p>
    <w:p w14:paraId="3249F8CC" w14:textId="77777777" w:rsidR="00FB6BF3" w:rsidRPr="00097A86" w:rsidRDefault="00FB6BF3" w:rsidP="00D22D3F">
      <w:pPr>
        <w:pStyle w:val="subsection"/>
      </w:pPr>
      <w:r w:rsidRPr="00097A86">
        <w:tab/>
        <w:t>(4)</w:t>
      </w:r>
      <w:r w:rsidRPr="00097A86">
        <w:tab/>
        <w:t>The gas distribution model must be applied to the geology model in accordance with section</w:t>
      </w:r>
      <w:r w:rsidR="00097A86">
        <w:t> </w:t>
      </w:r>
      <w:r w:rsidRPr="00097A86">
        <w:t>4.3 of the ACARP Guidelines.</w:t>
      </w:r>
    </w:p>
    <w:p w14:paraId="5ADA7449" w14:textId="77777777" w:rsidR="003F0D4E" w:rsidRPr="00097A86" w:rsidRDefault="003F0D4E" w:rsidP="00D22D3F">
      <w:pPr>
        <w:pStyle w:val="ActHead5"/>
      </w:pPr>
      <w:bookmarkStart w:id="249" w:name="_Toc13233689"/>
      <w:r w:rsidRPr="00097A86">
        <w:rPr>
          <w:rStyle w:val="CharSectno"/>
        </w:rPr>
        <w:t>3.26</w:t>
      </w:r>
      <w:r w:rsidR="00D22D3F" w:rsidRPr="00097A86">
        <w:t xml:space="preserve">  </w:t>
      </w:r>
      <w:r w:rsidRPr="00097A86">
        <w:t>Method 3</w:t>
      </w:r>
      <w:r w:rsidR="00D22D3F" w:rsidRPr="00097A86">
        <w:t>—</w:t>
      </w:r>
      <w:r w:rsidRPr="00097A86">
        <w:t>extraction of coal</w:t>
      </w:r>
      <w:bookmarkEnd w:id="249"/>
    </w:p>
    <w:p w14:paraId="09AC0DFB" w14:textId="77777777" w:rsidR="003F0D4E" w:rsidRPr="00097A86" w:rsidRDefault="003F0D4E" w:rsidP="00D22D3F">
      <w:pPr>
        <w:pStyle w:val="subsection"/>
      </w:pPr>
      <w:r w:rsidRPr="00097A86">
        <w:tab/>
        <w:t>(1)</w:t>
      </w:r>
      <w:r w:rsidRPr="00097A86">
        <w:tab/>
        <w:t>For paragraph</w:t>
      </w:r>
      <w:r w:rsidR="00097A86">
        <w:t> </w:t>
      </w:r>
      <w:r w:rsidRPr="00097A86">
        <w:t>3.19(2)(c) and subsection</w:t>
      </w:r>
      <w:r w:rsidR="00097A86">
        <w:t> </w:t>
      </w:r>
      <w:r w:rsidRPr="00097A86">
        <w:t>3.19(4), method 3 is the same as method 2 under section</w:t>
      </w:r>
      <w:r w:rsidR="00097A86">
        <w:t> </w:t>
      </w:r>
      <w:r w:rsidRPr="00097A86">
        <w:t>3.21</w:t>
      </w:r>
    </w:p>
    <w:p w14:paraId="28A11A85" w14:textId="77777777" w:rsidR="003F0D4E" w:rsidRPr="00097A86" w:rsidRDefault="003F0D4E" w:rsidP="00D22D3F">
      <w:pPr>
        <w:pStyle w:val="subsection"/>
      </w:pPr>
      <w:r w:rsidRPr="00097A86">
        <w:tab/>
        <w:t>(2)</w:t>
      </w:r>
      <w:r w:rsidRPr="00097A86">
        <w:tab/>
        <w:t>In applying method 2 under section</w:t>
      </w:r>
      <w:r w:rsidR="00097A86">
        <w:t> </w:t>
      </w:r>
      <w:r w:rsidRPr="00097A86">
        <w:t>3.21 a sample of gas bearing strata must be collected in accordance with an appropriate standard, including:</w:t>
      </w:r>
    </w:p>
    <w:p w14:paraId="47832CF8" w14:textId="77777777" w:rsidR="003F0D4E" w:rsidRPr="00097A86" w:rsidRDefault="003F0D4E" w:rsidP="00D22D3F">
      <w:pPr>
        <w:pStyle w:val="paragraph"/>
      </w:pPr>
      <w:r w:rsidRPr="00097A86">
        <w:tab/>
        <w:t>(a)</w:t>
      </w:r>
      <w:r w:rsidRPr="00097A86">
        <w:tab/>
        <w:t xml:space="preserve">AS 2617—1996 </w:t>
      </w:r>
      <w:r w:rsidRPr="00097A86">
        <w:rPr>
          <w:i/>
        </w:rPr>
        <w:t xml:space="preserve">Sampling from coal seams </w:t>
      </w:r>
      <w:r w:rsidRPr="00097A86">
        <w:t>or an equivalent standard; and</w:t>
      </w:r>
    </w:p>
    <w:p w14:paraId="0E60F8F8" w14:textId="77777777" w:rsidR="003F0D4E" w:rsidRPr="00097A86" w:rsidRDefault="003F0D4E" w:rsidP="00D22D3F">
      <w:pPr>
        <w:pStyle w:val="paragraph"/>
      </w:pPr>
      <w:r w:rsidRPr="00097A86">
        <w:lastRenderedPageBreak/>
        <w:tab/>
        <w:t>(b)</w:t>
      </w:r>
      <w:r w:rsidRPr="00097A86">
        <w:tab/>
        <w:t xml:space="preserve">AS 2519—1993 </w:t>
      </w:r>
      <w:r w:rsidRPr="00097A86">
        <w:rPr>
          <w:i/>
        </w:rPr>
        <w:t xml:space="preserve">Guide to the technical evaluation of higher rank coal deposits </w:t>
      </w:r>
      <w:r w:rsidRPr="00097A86">
        <w:t>or an equivalent standard.</w:t>
      </w:r>
    </w:p>
    <w:p w14:paraId="393BF186" w14:textId="77777777" w:rsidR="003F0D4E" w:rsidRPr="00097A86" w:rsidRDefault="003F0D4E" w:rsidP="00D22D3F">
      <w:pPr>
        <w:pStyle w:val="ActHead4"/>
      </w:pPr>
      <w:bookmarkStart w:id="250" w:name="_Toc13233690"/>
      <w:r w:rsidRPr="00097A86">
        <w:rPr>
          <w:rStyle w:val="CharSubdNo"/>
        </w:rPr>
        <w:t>Subdivision</w:t>
      </w:r>
      <w:r w:rsidR="00097A86">
        <w:rPr>
          <w:rStyle w:val="CharSubdNo"/>
        </w:rPr>
        <w:t> </w:t>
      </w:r>
      <w:r w:rsidRPr="00097A86">
        <w:rPr>
          <w:rStyle w:val="CharSubdNo"/>
        </w:rPr>
        <w:t>3.2.3.3</w:t>
      </w:r>
      <w:r w:rsidR="00D22D3F" w:rsidRPr="00097A86">
        <w:t>—</w:t>
      </w:r>
      <w:r w:rsidRPr="00097A86">
        <w:rPr>
          <w:rStyle w:val="CharSubdText"/>
        </w:rPr>
        <w:t>Emissions released from coal mine waste gas flared</w:t>
      </w:r>
      <w:bookmarkEnd w:id="250"/>
    </w:p>
    <w:p w14:paraId="4BAD7AB2" w14:textId="77777777" w:rsidR="003F0D4E" w:rsidRPr="00097A86" w:rsidRDefault="003F0D4E" w:rsidP="00D22D3F">
      <w:pPr>
        <w:pStyle w:val="ActHead5"/>
      </w:pPr>
      <w:bookmarkStart w:id="251" w:name="_Toc13233691"/>
      <w:r w:rsidRPr="00097A86">
        <w:rPr>
          <w:rStyle w:val="CharSectno"/>
        </w:rPr>
        <w:t>3.27</w:t>
      </w:r>
      <w:r w:rsidR="00D22D3F" w:rsidRPr="00097A86">
        <w:t xml:space="preserve">  </w:t>
      </w:r>
      <w:r w:rsidRPr="00097A86">
        <w:t>Method 1</w:t>
      </w:r>
      <w:r w:rsidR="00D22D3F" w:rsidRPr="00097A86">
        <w:t>—</w:t>
      </w:r>
      <w:r w:rsidRPr="00097A86">
        <w:t>coal mine waste gas flared</w:t>
      </w:r>
      <w:bookmarkEnd w:id="251"/>
    </w:p>
    <w:p w14:paraId="5948D069" w14:textId="77777777" w:rsidR="003F0D4E" w:rsidRPr="00097A86" w:rsidRDefault="003F0D4E" w:rsidP="00D22D3F">
      <w:pPr>
        <w:pStyle w:val="subsection"/>
      </w:pPr>
      <w:r w:rsidRPr="00097A86">
        <w:tab/>
        <w:t>(1)</w:t>
      </w:r>
      <w:r w:rsidRPr="00097A86">
        <w:tab/>
        <w:t>For subparagraph</w:t>
      </w:r>
      <w:r w:rsidR="00097A86">
        <w:t> </w:t>
      </w:r>
      <w:r w:rsidRPr="00097A86">
        <w:t>3.19(5)(a)(i) and paragraph</w:t>
      </w:r>
      <w:r w:rsidR="00097A86">
        <w:t> </w:t>
      </w:r>
      <w:r w:rsidRPr="00097A86">
        <w:t xml:space="preserve">3.19(5)(b) and </w:t>
      </w:r>
      <w:r w:rsidR="00097A86">
        <w:t>paragraph (</w:t>
      </w:r>
      <w:r w:rsidRPr="00097A86">
        <w:t>5)(c), method 1 is the same as method 1 under section</w:t>
      </w:r>
      <w:r w:rsidR="00097A86">
        <w:t> </w:t>
      </w:r>
      <w:r w:rsidRPr="00097A86">
        <w:t>3.14.</w:t>
      </w:r>
    </w:p>
    <w:p w14:paraId="59702C80" w14:textId="77777777" w:rsidR="003F0D4E" w:rsidRPr="00097A86" w:rsidRDefault="003F0D4E" w:rsidP="00D22D3F">
      <w:pPr>
        <w:pStyle w:val="subsection"/>
      </w:pPr>
      <w:r w:rsidRPr="00097A86">
        <w:tab/>
        <w:t>(2)</w:t>
      </w:r>
      <w:r w:rsidRPr="00097A86">
        <w:tab/>
        <w:t>In applying method 1 under section</w:t>
      </w:r>
      <w:r w:rsidR="00097A86">
        <w:t> </w:t>
      </w:r>
      <w:r w:rsidRPr="00097A86">
        <w:t>3.14, a reference to an underground mine is taken to be a reference to an open cut mine.</w:t>
      </w:r>
    </w:p>
    <w:p w14:paraId="3F681AF8" w14:textId="77777777" w:rsidR="003F0D4E" w:rsidRPr="00097A86" w:rsidRDefault="003F0D4E" w:rsidP="00D22D3F">
      <w:pPr>
        <w:pStyle w:val="ActHead5"/>
      </w:pPr>
      <w:bookmarkStart w:id="252" w:name="_Toc13233692"/>
      <w:r w:rsidRPr="00097A86">
        <w:rPr>
          <w:rStyle w:val="CharSectno"/>
        </w:rPr>
        <w:t>3.28</w:t>
      </w:r>
      <w:r w:rsidR="00D22D3F" w:rsidRPr="00097A86">
        <w:t xml:space="preserve">  </w:t>
      </w:r>
      <w:r w:rsidRPr="00097A86">
        <w:t>Method 2</w:t>
      </w:r>
      <w:r w:rsidR="00D22D3F" w:rsidRPr="00097A86">
        <w:t>—</w:t>
      </w:r>
      <w:r w:rsidRPr="00097A86">
        <w:t>coal mine waste gas flared</w:t>
      </w:r>
      <w:bookmarkEnd w:id="252"/>
    </w:p>
    <w:p w14:paraId="17DF6839" w14:textId="77777777" w:rsidR="003F0D4E" w:rsidRPr="00097A86" w:rsidRDefault="003F0D4E" w:rsidP="00D22D3F">
      <w:pPr>
        <w:pStyle w:val="subsection"/>
      </w:pPr>
      <w:r w:rsidRPr="00097A86">
        <w:tab/>
      </w:r>
      <w:r w:rsidRPr="00097A86">
        <w:tab/>
        <w:t>For subparagraph</w:t>
      </w:r>
      <w:r w:rsidR="00097A86">
        <w:t> </w:t>
      </w:r>
      <w:r w:rsidRPr="00097A86">
        <w:t>3.19(5)(a)(ii), method 2 is the same as method 2 under section</w:t>
      </w:r>
      <w:r w:rsidR="00097A86">
        <w:t> </w:t>
      </w:r>
      <w:r w:rsidRPr="00097A86">
        <w:t>3.15.</w:t>
      </w:r>
    </w:p>
    <w:p w14:paraId="70AE1B29" w14:textId="77777777" w:rsidR="003F0D4E" w:rsidRPr="00097A86" w:rsidRDefault="003F0D4E" w:rsidP="00D22D3F">
      <w:pPr>
        <w:pStyle w:val="ActHead5"/>
      </w:pPr>
      <w:bookmarkStart w:id="253" w:name="_Toc13233693"/>
      <w:r w:rsidRPr="00097A86">
        <w:rPr>
          <w:rStyle w:val="CharSectno"/>
        </w:rPr>
        <w:t>3.29</w:t>
      </w:r>
      <w:r w:rsidR="00D22D3F" w:rsidRPr="00097A86">
        <w:t xml:space="preserve">  </w:t>
      </w:r>
      <w:r w:rsidRPr="00097A86">
        <w:t>Method 3</w:t>
      </w:r>
      <w:r w:rsidR="00D22D3F" w:rsidRPr="00097A86">
        <w:t>—</w:t>
      </w:r>
      <w:r w:rsidRPr="00097A86">
        <w:t>coal mine waste gas flared</w:t>
      </w:r>
      <w:bookmarkEnd w:id="253"/>
    </w:p>
    <w:p w14:paraId="6254E688" w14:textId="77777777" w:rsidR="003F0D4E" w:rsidRPr="00097A86" w:rsidRDefault="003F0D4E" w:rsidP="00D22D3F">
      <w:pPr>
        <w:pStyle w:val="subsection"/>
      </w:pPr>
      <w:r w:rsidRPr="00097A86">
        <w:tab/>
      </w:r>
      <w:r w:rsidRPr="00097A86">
        <w:tab/>
        <w:t>For subparagraph</w:t>
      </w:r>
      <w:r w:rsidR="00097A86">
        <w:t> </w:t>
      </w:r>
      <w:r w:rsidRPr="00097A86">
        <w:t>3.19(5)(a)(iii), method 3 is the same as method 3 under section</w:t>
      </w:r>
      <w:r w:rsidR="00097A86">
        <w:t> </w:t>
      </w:r>
      <w:r w:rsidRPr="00097A86">
        <w:t>3.16.</w:t>
      </w:r>
    </w:p>
    <w:p w14:paraId="6E1CEC4F" w14:textId="77777777" w:rsidR="003F0D4E" w:rsidRPr="00097A86" w:rsidRDefault="003F0D4E" w:rsidP="009A46A7">
      <w:pPr>
        <w:pStyle w:val="ActHead3"/>
        <w:pageBreakBefore/>
      </w:pPr>
      <w:bookmarkStart w:id="254" w:name="_Toc13233694"/>
      <w:r w:rsidRPr="00097A86">
        <w:rPr>
          <w:rStyle w:val="CharDivNo"/>
        </w:rPr>
        <w:lastRenderedPageBreak/>
        <w:t>Division</w:t>
      </w:r>
      <w:r w:rsidR="00097A86">
        <w:rPr>
          <w:rStyle w:val="CharDivNo"/>
        </w:rPr>
        <w:t> </w:t>
      </w:r>
      <w:r w:rsidRPr="00097A86">
        <w:rPr>
          <w:rStyle w:val="CharDivNo"/>
        </w:rPr>
        <w:t>3.2.4</w:t>
      </w:r>
      <w:r w:rsidR="00D22D3F" w:rsidRPr="00097A86">
        <w:t>—</w:t>
      </w:r>
      <w:r w:rsidRPr="00097A86">
        <w:rPr>
          <w:rStyle w:val="CharDivText"/>
        </w:rPr>
        <w:t>Decommissioned underground mines</w:t>
      </w:r>
      <w:bookmarkEnd w:id="254"/>
    </w:p>
    <w:p w14:paraId="66A28B08" w14:textId="77777777" w:rsidR="003F0D4E" w:rsidRPr="00097A86" w:rsidRDefault="003F0D4E" w:rsidP="00D22D3F">
      <w:pPr>
        <w:pStyle w:val="ActHead4"/>
      </w:pPr>
      <w:bookmarkStart w:id="255" w:name="_Toc13233695"/>
      <w:r w:rsidRPr="00097A86">
        <w:rPr>
          <w:rStyle w:val="CharSubdNo"/>
        </w:rPr>
        <w:t>Subdivision</w:t>
      </w:r>
      <w:r w:rsidR="00097A86">
        <w:rPr>
          <w:rStyle w:val="CharSubdNo"/>
        </w:rPr>
        <w:t> </w:t>
      </w:r>
      <w:r w:rsidRPr="00097A86">
        <w:rPr>
          <w:rStyle w:val="CharSubdNo"/>
        </w:rPr>
        <w:t>3.2.4.1</w:t>
      </w:r>
      <w:r w:rsidR="00D22D3F" w:rsidRPr="00097A86">
        <w:t>—</w:t>
      </w:r>
      <w:r w:rsidRPr="00097A86">
        <w:rPr>
          <w:rStyle w:val="CharSubdText"/>
        </w:rPr>
        <w:t>Preliminary</w:t>
      </w:r>
      <w:bookmarkEnd w:id="255"/>
    </w:p>
    <w:p w14:paraId="04BCA753" w14:textId="77777777" w:rsidR="00992BEF" w:rsidRPr="00097A86" w:rsidRDefault="00992BEF" w:rsidP="00992BEF">
      <w:pPr>
        <w:pStyle w:val="ActHead5"/>
      </w:pPr>
      <w:bookmarkStart w:id="256" w:name="_Toc13233696"/>
      <w:r w:rsidRPr="00097A86">
        <w:rPr>
          <w:rStyle w:val="CharSectno"/>
        </w:rPr>
        <w:t>3.30</w:t>
      </w:r>
      <w:r w:rsidRPr="00097A86">
        <w:t xml:space="preserve">  Application</w:t>
      </w:r>
      <w:bookmarkEnd w:id="256"/>
    </w:p>
    <w:p w14:paraId="546BC077" w14:textId="77777777" w:rsidR="00992BEF" w:rsidRPr="00BF38DC" w:rsidRDefault="00992BEF" w:rsidP="00992BEF">
      <w:pPr>
        <w:pStyle w:val="subsection"/>
      </w:pPr>
      <w:r w:rsidRPr="00097A86">
        <w:tab/>
      </w:r>
      <w:r w:rsidRPr="00097A86">
        <w:tab/>
        <w:t xml:space="preserve">This Division applies to fugitive emissions from decommissioned underground mines </w:t>
      </w:r>
      <w:r>
        <w:t>from the time that they became a decommissioned underground coal mine, other than mines which have been a decommissioned underground coal mine for a continuous period of 20 years or more</w:t>
      </w:r>
      <w:r w:rsidRPr="00097A86">
        <w:t>.</w:t>
      </w:r>
    </w:p>
    <w:p w14:paraId="44C3809A" w14:textId="77777777" w:rsidR="003F0D4E" w:rsidRPr="00097A86" w:rsidRDefault="003F0D4E" w:rsidP="00D22D3F">
      <w:pPr>
        <w:pStyle w:val="ActHead5"/>
      </w:pPr>
      <w:bookmarkStart w:id="257" w:name="_Toc13233697"/>
      <w:r w:rsidRPr="00097A86">
        <w:rPr>
          <w:rStyle w:val="CharSectno"/>
        </w:rPr>
        <w:t>3.31</w:t>
      </w:r>
      <w:r w:rsidR="00D22D3F" w:rsidRPr="00097A86">
        <w:t xml:space="preserve">  </w:t>
      </w:r>
      <w:r w:rsidRPr="00097A86">
        <w:t>Available methods</w:t>
      </w:r>
      <w:bookmarkEnd w:id="257"/>
    </w:p>
    <w:p w14:paraId="1B2978F4" w14:textId="77777777" w:rsidR="00992BEF" w:rsidRPr="00BF38DC" w:rsidRDefault="00992BEF" w:rsidP="00992BEF">
      <w:pPr>
        <w:pStyle w:val="subsection"/>
      </w:pPr>
      <w:r w:rsidRPr="00097A86">
        <w:tab/>
        <w:t>(1)</w:t>
      </w:r>
      <w:r w:rsidRPr="00097A86">
        <w:tab/>
        <w:t>Subject to section</w:t>
      </w:r>
      <w:r>
        <w:t>s </w:t>
      </w:r>
      <w:r w:rsidRPr="00097A86">
        <w:t>1.18</w:t>
      </w:r>
      <w:r>
        <w:t xml:space="preserve"> and 3.30</w:t>
      </w:r>
      <w:r w:rsidRPr="00097A86">
        <w:t>, for estimating emissions released during a year from the operation of a facility that is constituted by a decommissioned underground mine</w:t>
      </w:r>
      <w:r>
        <w:t xml:space="preserve"> </w:t>
      </w:r>
      <w:r w:rsidRPr="00097A86">
        <w:t>the methods as set out in this section must be used.</w:t>
      </w:r>
    </w:p>
    <w:p w14:paraId="2111D66D" w14:textId="77777777" w:rsidR="003F0D4E" w:rsidRPr="00097A86" w:rsidRDefault="003F0D4E" w:rsidP="00D22D3F">
      <w:pPr>
        <w:pStyle w:val="SubsectionHead"/>
      </w:pPr>
      <w:r w:rsidRPr="00097A86">
        <w:t>Methane from decommissioned mines</w:t>
      </w:r>
    </w:p>
    <w:p w14:paraId="445BC666" w14:textId="77777777" w:rsidR="003F0D4E" w:rsidRPr="00097A86" w:rsidRDefault="003F0D4E" w:rsidP="00D22D3F">
      <w:pPr>
        <w:pStyle w:val="subsection"/>
      </w:pPr>
      <w:r w:rsidRPr="00097A86">
        <w:tab/>
        <w:t>(2)</w:t>
      </w:r>
      <w:r w:rsidRPr="00097A86">
        <w:tab/>
        <w:t>One of the following methods must be used for estimating fugitive emissions of methane that result from the mine:</w:t>
      </w:r>
    </w:p>
    <w:p w14:paraId="0FD716BE" w14:textId="77777777" w:rsidR="003F0D4E" w:rsidRPr="00097A86" w:rsidRDefault="003F0D4E" w:rsidP="00D22D3F">
      <w:pPr>
        <w:pStyle w:val="paragraph"/>
      </w:pPr>
      <w:r w:rsidRPr="00097A86">
        <w:tab/>
        <w:t>(a)</w:t>
      </w:r>
      <w:r w:rsidRPr="00097A86">
        <w:tab/>
        <w:t xml:space="preserve">subject to </w:t>
      </w:r>
      <w:r w:rsidR="00097A86">
        <w:t>subsection (</w:t>
      </w:r>
      <w:r w:rsidRPr="00097A86">
        <w:t>6), method 1 under section</w:t>
      </w:r>
      <w:r w:rsidR="00097A86">
        <w:t> </w:t>
      </w:r>
      <w:r w:rsidRPr="00097A86">
        <w:t>3.32;</w:t>
      </w:r>
    </w:p>
    <w:p w14:paraId="499028C7" w14:textId="77777777" w:rsidR="003F0D4E" w:rsidRPr="00097A86" w:rsidRDefault="003F0D4E" w:rsidP="00D22D3F">
      <w:pPr>
        <w:pStyle w:val="paragraph"/>
      </w:pPr>
      <w:r w:rsidRPr="00097A86">
        <w:tab/>
        <w:t>(b)</w:t>
      </w:r>
      <w:r w:rsidRPr="00097A86">
        <w:tab/>
        <w:t>method 4 under section</w:t>
      </w:r>
      <w:r w:rsidR="00097A86">
        <w:t> </w:t>
      </w:r>
      <w:r w:rsidRPr="00097A86">
        <w:t>3.37.</w:t>
      </w:r>
    </w:p>
    <w:p w14:paraId="3A792526" w14:textId="77777777" w:rsidR="003F0D4E" w:rsidRPr="00097A86" w:rsidRDefault="00D22D3F" w:rsidP="00D22D3F">
      <w:pPr>
        <w:pStyle w:val="notetext"/>
      </w:pPr>
      <w:r w:rsidRPr="00097A86">
        <w:t>Note:</w:t>
      </w:r>
      <w:r w:rsidRPr="00097A86">
        <w:tab/>
      </w:r>
      <w:r w:rsidR="003F0D4E" w:rsidRPr="00097A86">
        <w:t xml:space="preserve">There is no method 2 or 3 for </w:t>
      </w:r>
      <w:r w:rsidR="00097A86">
        <w:t>subsection (</w:t>
      </w:r>
      <w:r w:rsidR="003F0D4E" w:rsidRPr="00097A86">
        <w:t>2).</w:t>
      </w:r>
    </w:p>
    <w:p w14:paraId="5492E7E3" w14:textId="77777777" w:rsidR="003F0D4E" w:rsidRPr="00097A86" w:rsidRDefault="003F0D4E" w:rsidP="00D22D3F">
      <w:pPr>
        <w:pStyle w:val="SubsectionHead"/>
      </w:pPr>
      <w:r w:rsidRPr="00097A86">
        <w:t>Carbon dioxide from decommissioned mines</w:t>
      </w:r>
    </w:p>
    <w:p w14:paraId="22D6DB70" w14:textId="77777777" w:rsidR="003F0D4E" w:rsidRPr="00097A86" w:rsidRDefault="003F0D4E" w:rsidP="00D22D3F">
      <w:pPr>
        <w:pStyle w:val="subsection"/>
      </w:pPr>
      <w:r w:rsidRPr="00097A86">
        <w:tab/>
        <w:t>(3)</w:t>
      </w:r>
      <w:r w:rsidRPr="00097A86">
        <w:tab/>
        <w:t>If method 4 under section</w:t>
      </w:r>
      <w:r w:rsidR="00097A86">
        <w:t> </w:t>
      </w:r>
      <w:r w:rsidRPr="00097A86">
        <w:t xml:space="preserve">3.37 is used under </w:t>
      </w:r>
      <w:r w:rsidR="00097A86">
        <w:t>subsection (</w:t>
      </w:r>
      <w:r w:rsidRPr="00097A86">
        <w:t>2), that method must be used for estimating fugitive emissions of carbon dioxide that result from the mine.</w:t>
      </w:r>
    </w:p>
    <w:p w14:paraId="27AD27B6" w14:textId="77777777" w:rsidR="003F0D4E" w:rsidRPr="00097A86" w:rsidRDefault="00D22D3F" w:rsidP="00D22D3F">
      <w:pPr>
        <w:pStyle w:val="notetext"/>
      </w:pPr>
      <w:r w:rsidRPr="00097A86">
        <w:t>Note:</w:t>
      </w:r>
      <w:r w:rsidRPr="00097A86">
        <w:tab/>
      </w:r>
      <w:r w:rsidR="003F0D4E" w:rsidRPr="00097A86">
        <w:t xml:space="preserve">There is no method 1, 2 or 3 for </w:t>
      </w:r>
      <w:r w:rsidR="00097A86">
        <w:t>subsection (</w:t>
      </w:r>
      <w:r w:rsidR="003F0D4E" w:rsidRPr="00097A86">
        <w:t>3).</w:t>
      </w:r>
    </w:p>
    <w:p w14:paraId="38D94AA8" w14:textId="77777777" w:rsidR="003F0D4E" w:rsidRPr="00097A86" w:rsidRDefault="003F0D4E" w:rsidP="00D22D3F">
      <w:pPr>
        <w:pStyle w:val="SubsectionHead"/>
      </w:pPr>
      <w:r w:rsidRPr="00097A86">
        <w:t>Flaring</w:t>
      </w:r>
    </w:p>
    <w:p w14:paraId="0311EB32" w14:textId="77777777" w:rsidR="003F0D4E" w:rsidRPr="00097A86" w:rsidRDefault="003F0D4E" w:rsidP="00D22D3F">
      <w:pPr>
        <w:pStyle w:val="subsection"/>
      </w:pPr>
      <w:r w:rsidRPr="00097A86">
        <w:tab/>
        <w:t>(4)</w:t>
      </w:r>
      <w:r w:rsidRPr="00097A86">
        <w:tab/>
        <w:t>For estimating emissions released from coal mine waste gas flared from the mine:</w:t>
      </w:r>
    </w:p>
    <w:p w14:paraId="6178A0AC" w14:textId="77777777" w:rsidR="003F0D4E" w:rsidRPr="00097A86" w:rsidRDefault="003F0D4E" w:rsidP="00D22D3F">
      <w:pPr>
        <w:pStyle w:val="paragraph"/>
      </w:pPr>
      <w:r w:rsidRPr="00097A86">
        <w:tab/>
        <w:t>(a)</w:t>
      </w:r>
      <w:r w:rsidRPr="00097A86">
        <w:tab/>
        <w:t>one of the following methods must be used for estimating emissions of carbon dioxide released:</w:t>
      </w:r>
    </w:p>
    <w:p w14:paraId="6BB8D993" w14:textId="77777777" w:rsidR="003F0D4E" w:rsidRPr="00097A86" w:rsidRDefault="003F0D4E" w:rsidP="00D22D3F">
      <w:pPr>
        <w:pStyle w:val="paragraphsub"/>
      </w:pPr>
      <w:r w:rsidRPr="00097A86">
        <w:tab/>
        <w:t>(i)</w:t>
      </w:r>
      <w:r w:rsidRPr="00097A86">
        <w:tab/>
        <w:t>method 1 under section</w:t>
      </w:r>
      <w:r w:rsidR="00097A86">
        <w:t> </w:t>
      </w:r>
      <w:r w:rsidRPr="00097A86">
        <w:t>3.38;</w:t>
      </w:r>
    </w:p>
    <w:p w14:paraId="2D7FCD3F" w14:textId="77777777" w:rsidR="003F0D4E" w:rsidRPr="00097A86" w:rsidRDefault="003F0D4E" w:rsidP="00D22D3F">
      <w:pPr>
        <w:pStyle w:val="paragraphsub"/>
      </w:pPr>
      <w:r w:rsidRPr="00097A86">
        <w:tab/>
        <w:t>(ii)</w:t>
      </w:r>
      <w:r w:rsidRPr="00097A86">
        <w:tab/>
        <w:t>method 2 under section</w:t>
      </w:r>
      <w:r w:rsidR="00097A86">
        <w:t> </w:t>
      </w:r>
      <w:r w:rsidRPr="00097A86">
        <w:t>3.39;</w:t>
      </w:r>
    </w:p>
    <w:p w14:paraId="1AF1B2A5" w14:textId="77777777" w:rsidR="003F0D4E" w:rsidRPr="00097A86" w:rsidRDefault="003F0D4E" w:rsidP="00D22D3F">
      <w:pPr>
        <w:pStyle w:val="paragraphsub"/>
      </w:pPr>
      <w:r w:rsidRPr="00097A86">
        <w:tab/>
        <w:t>(iii)</w:t>
      </w:r>
      <w:r w:rsidRPr="00097A86">
        <w:tab/>
        <w:t>method 3 under section</w:t>
      </w:r>
      <w:r w:rsidR="00097A86">
        <w:t> </w:t>
      </w:r>
      <w:r w:rsidRPr="00097A86">
        <w:t>3.40; and</w:t>
      </w:r>
    </w:p>
    <w:p w14:paraId="455F25BA" w14:textId="77777777" w:rsidR="003F0D4E" w:rsidRPr="00097A86" w:rsidRDefault="003F0D4E" w:rsidP="00D22D3F">
      <w:pPr>
        <w:pStyle w:val="paragraph"/>
      </w:pPr>
      <w:r w:rsidRPr="00097A86">
        <w:tab/>
        <w:t>(b)</w:t>
      </w:r>
      <w:r w:rsidRPr="00097A86">
        <w:tab/>
        <w:t>method 1 under section</w:t>
      </w:r>
      <w:r w:rsidR="00097A86">
        <w:t> </w:t>
      </w:r>
      <w:r w:rsidRPr="00097A86">
        <w:t>3.38 must be used for estimating emissions of methane released.</w:t>
      </w:r>
    </w:p>
    <w:p w14:paraId="6E373CD7" w14:textId="77777777" w:rsidR="003F0D4E" w:rsidRPr="00097A86" w:rsidRDefault="003F0D4E" w:rsidP="00D22D3F">
      <w:pPr>
        <w:pStyle w:val="paragraph"/>
      </w:pPr>
      <w:r w:rsidRPr="00097A86">
        <w:tab/>
        <w:t>(c)</w:t>
      </w:r>
      <w:r w:rsidRPr="00097A86">
        <w:tab/>
        <w:t>method 1 under section</w:t>
      </w:r>
      <w:r w:rsidR="00097A86">
        <w:t> </w:t>
      </w:r>
      <w:r w:rsidRPr="00097A86">
        <w:t>3.38 must be used for estimating emissions of nitrous oxide released.</w:t>
      </w:r>
    </w:p>
    <w:p w14:paraId="5825F000" w14:textId="77777777" w:rsidR="003F0D4E" w:rsidRPr="00097A86" w:rsidRDefault="00D22D3F" w:rsidP="00D22D3F">
      <w:pPr>
        <w:pStyle w:val="notetext"/>
      </w:pPr>
      <w:r w:rsidRPr="00097A86">
        <w:t>Note:</w:t>
      </w:r>
      <w:r w:rsidRPr="00097A86">
        <w:tab/>
      </w:r>
      <w:r w:rsidR="003F0D4E" w:rsidRPr="00097A86">
        <w:t xml:space="preserve">The flaring of coal mine waste gas releases emissions of carbon dioxide, methane and nitrous oxide. The same formula is used to estimate emissions of each of these gases. </w:t>
      </w:r>
      <w:r w:rsidR="003F0D4E" w:rsidRPr="00097A86">
        <w:lastRenderedPageBreak/>
        <w:t xml:space="preserve">There is no method 4 for emissions of carbon dioxide, no method 2, 3 or 4 for emissions of methane and no method 2, 3 or 4 for nitrous oxide. </w:t>
      </w:r>
    </w:p>
    <w:p w14:paraId="42751F6B" w14:textId="77777777" w:rsidR="003F0D4E" w:rsidRPr="00097A86" w:rsidRDefault="003F0D4E" w:rsidP="00D22D3F">
      <w:pPr>
        <w:pStyle w:val="subsection"/>
      </w:pPr>
      <w:r w:rsidRPr="00097A86">
        <w:tab/>
        <w:t>(5)</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22432989" w14:textId="77777777" w:rsidR="003F0D4E" w:rsidRPr="00097A86" w:rsidRDefault="003F0D4E" w:rsidP="00D22D3F">
      <w:pPr>
        <w:pStyle w:val="subsection"/>
      </w:pPr>
      <w:r w:rsidRPr="00097A86">
        <w:tab/>
        <w:t>(6)</w:t>
      </w:r>
      <w:r w:rsidRPr="00097A86">
        <w:tab/>
        <w:t>If coal mine waste gas from the decommission</w:t>
      </w:r>
      <w:r w:rsidR="00BC0F13">
        <w:t>ed underground mine is captured</w:t>
      </w:r>
      <w:r w:rsidRPr="00097A86">
        <w:t xml:space="preserve"> during the year, method 1 in </w:t>
      </w:r>
      <w:r w:rsidR="00097A86">
        <w:t>subsection (</w:t>
      </w:r>
      <w:r w:rsidRPr="00097A86">
        <w:t>2) must not be used.</w:t>
      </w:r>
    </w:p>
    <w:p w14:paraId="059D2233" w14:textId="77777777" w:rsidR="003F0D4E" w:rsidRPr="00097A86" w:rsidRDefault="003F0D4E" w:rsidP="00D22D3F">
      <w:pPr>
        <w:pStyle w:val="ActHead4"/>
      </w:pPr>
      <w:bookmarkStart w:id="258" w:name="_Toc13233698"/>
      <w:r w:rsidRPr="00097A86">
        <w:rPr>
          <w:rStyle w:val="CharSubdNo"/>
        </w:rPr>
        <w:t>Subdivision</w:t>
      </w:r>
      <w:r w:rsidR="00097A86">
        <w:rPr>
          <w:rStyle w:val="CharSubdNo"/>
        </w:rPr>
        <w:t> </w:t>
      </w:r>
      <w:r w:rsidRPr="00097A86">
        <w:rPr>
          <w:rStyle w:val="CharSubdNo"/>
        </w:rPr>
        <w:t>3.2.4.2</w:t>
      </w:r>
      <w:r w:rsidR="00D22D3F" w:rsidRPr="00097A86">
        <w:t>—</w:t>
      </w:r>
      <w:r w:rsidRPr="00097A86">
        <w:rPr>
          <w:rStyle w:val="CharSubdText"/>
        </w:rPr>
        <w:t>Fugitive emissions from decommissioned underground mines</w:t>
      </w:r>
      <w:bookmarkEnd w:id="258"/>
    </w:p>
    <w:p w14:paraId="78359F31" w14:textId="77777777" w:rsidR="003F0D4E" w:rsidRPr="00097A86" w:rsidRDefault="003F0D4E" w:rsidP="00D22D3F">
      <w:pPr>
        <w:pStyle w:val="ActHead5"/>
      </w:pPr>
      <w:bookmarkStart w:id="259" w:name="_Toc13233699"/>
      <w:r w:rsidRPr="00097A86">
        <w:rPr>
          <w:rStyle w:val="CharSectno"/>
        </w:rPr>
        <w:t>3.32</w:t>
      </w:r>
      <w:r w:rsidR="00D22D3F" w:rsidRPr="00097A86">
        <w:t xml:space="preserve">  </w:t>
      </w:r>
      <w:r w:rsidRPr="00097A86">
        <w:t>Method 1</w:t>
      </w:r>
      <w:r w:rsidR="00D22D3F" w:rsidRPr="00097A86">
        <w:t>—</w:t>
      </w:r>
      <w:r w:rsidRPr="00097A86">
        <w:t>decommissioned underground mines</w:t>
      </w:r>
      <w:bookmarkEnd w:id="259"/>
    </w:p>
    <w:p w14:paraId="3C29227F" w14:textId="77777777" w:rsidR="003F0D4E" w:rsidRPr="00097A86" w:rsidRDefault="003F0D4E" w:rsidP="00D22D3F">
      <w:pPr>
        <w:pStyle w:val="subsection"/>
      </w:pPr>
      <w:r w:rsidRPr="00097A86">
        <w:tab/>
        <w:t>(1)</w:t>
      </w:r>
      <w:r w:rsidRPr="00097A86">
        <w:tab/>
        <w:t>For paragraph</w:t>
      </w:r>
      <w:r w:rsidR="00097A86">
        <w:t> </w:t>
      </w:r>
      <w:r w:rsidRPr="00097A86">
        <w:t>3.31(2)(a), method 1 is:</w:t>
      </w:r>
    </w:p>
    <w:p w14:paraId="111D3A2E"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055B2ABB" wp14:editId="1582E9BB">
            <wp:extent cx="215265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52650" cy="238125"/>
                    </a:xfrm>
                    <a:prstGeom prst="rect">
                      <a:avLst/>
                    </a:prstGeom>
                    <a:noFill/>
                    <a:ln>
                      <a:noFill/>
                    </a:ln>
                  </pic:spPr>
                </pic:pic>
              </a:graphicData>
            </a:graphic>
          </wp:inline>
        </w:drawing>
      </w:r>
    </w:p>
    <w:p w14:paraId="294DBA99" w14:textId="77777777" w:rsidR="003F0D4E" w:rsidRPr="00097A86" w:rsidRDefault="003F0D4E" w:rsidP="00D22D3F">
      <w:pPr>
        <w:pStyle w:val="subsection2"/>
      </w:pPr>
      <w:r w:rsidRPr="00097A86">
        <w:t>where:</w:t>
      </w:r>
    </w:p>
    <w:p w14:paraId="25FC48CA" w14:textId="77777777" w:rsidR="003F0D4E" w:rsidRPr="00097A86" w:rsidRDefault="003F0D4E" w:rsidP="00D22D3F">
      <w:pPr>
        <w:pStyle w:val="Definition"/>
      </w:pPr>
      <w:r w:rsidRPr="00097A86">
        <w:rPr>
          <w:b/>
          <w:i/>
        </w:rPr>
        <w:t>E</w:t>
      </w:r>
      <w:r w:rsidRPr="00097A86">
        <w:rPr>
          <w:rStyle w:val="charSubscript"/>
          <w:b/>
          <w:i/>
        </w:rPr>
        <w:t>dm</w:t>
      </w:r>
      <w:r w:rsidRPr="00097A86">
        <w:rPr>
          <w:b/>
          <w:i/>
        </w:rPr>
        <w:t xml:space="preserve"> </w:t>
      </w:r>
      <w:r w:rsidRPr="00097A86">
        <w:t>is the fugitive emissions of methane from the mine during the year measured in CO</w:t>
      </w:r>
      <w:r w:rsidRPr="00097A86">
        <w:rPr>
          <w:rStyle w:val="charSubscript"/>
        </w:rPr>
        <w:t>2</w:t>
      </w:r>
      <w:r w:rsidR="00097A86">
        <w:noBreakHyphen/>
      </w:r>
      <w:r w:rsidRPr="00097A86">
        <w:t>e tonnes.</w:t>
      </w:r>
    </w:p>
    <w:p w14:paraId="5A81329E" w14:textId="77777777" w:rsidR="003F0D4E" w:rsidRPr="00097A86" w:rsidRDefault="003F0D4E" w:rsidP="00D22D3F">
      <w:pPr>
        <w:pStyle w:val="Definition"/>
      </w:pPr>
      <w:r w:rsidRPr="00097A86">
        <w:rPr>
          <w:b/>
          <w:i/>
        </w:rPr>
        <w:t>E</w:t>
      </w:r>
      <w:r w:rsidRPr="00097A86">
        <w:rPr>
          <w:rStyle w:val="charSubscript"/>
          <w:b/>
          <w:i/>
        </w:rPr>
        <w:t>tdm</w:t>
      </w:r>
      <w:r w:rsidRPr="00097A86">
        <w:rPr>
          <w:b/>
          <w:i/>
        </w:rPr>
        <w:t xml:space="preserve"> </w:t>
      </w:r>
      <w:r w:rsidRPr="00097A86">
        <w:t xml:space="preserve">is the emissions from the mine for the last </w:t>
      </w:r>
      <w:r w:rsidR="00992BEF">
        <w:t>12 month period before the mine became a decommissioned underground coal mine,</w:t>
      </w:r>
      <w:r w:rsidR="00992BEF" w:rsidRPr="00097A86">
        <w:t xml:space="preserve"> </w:t>
      </w:r>
      <w:r w:rsidR="00992BEF">
        <w:t xml:space="preserve">measured </w:t>
      </w:r>
      <w:r w:rsidR="00992BEF" w:rsidRPr="00097A86">
        <w:t>in CO</w:t>
      </w:r>
      <w:r w:rsidR="00992BEF" w:rsidRPr="00097A86">
        <w:rPr>
          <w:rStyle w:val="charSubscript"/>
        </w:rPr>
        <w:t>2</w:t>
      </w:r>
      <w:r w:rsidR="00992BEF">
        <w:noBreakHyphen/>
      </w:r>
      <w:r w:rsidR="00992BEF" w:rsidRPr="00097A86">
        <w:t>e tonnes and estimated under section 3.6</w:t>
      </w:r>
      <w:r w:rsidRPr="00097A86">
        <w:t>.</w:t>
      </w:r>
    </w:p>
    <w:p w14:paraId="297FAAF2" w14:textId="77777777" w:rsidR="003F0D4E" w:rsidRPr="00097A86" w:rsidRDefault="003F0D4E" w:rsidP="00D22D3F">
      <w:pPr>
        <w:pStyle w:val="Definition"/>
      </w:pPr>
      <w:r w:rsidRPr="00097A86">
        <w:rPr>
          <w:b/>
          <w:i/>
        </w:rPr>
        <w:t>EF</w:t>
      </w:r>
      <w:r w:rsidRPr="00097A86">
        <w:rPr>
          <w:rStyle w:val="charSubscript"/>
          <w:b/>
          <w:i/>
        </w:rPr>
        <w:t>dm</w:t>
      </w:r>
      <w:r w:rsidRPr="00097A86">
        <w:rPr>
          <w:b/>
          <w:i/>
        </w:rPr>
        <w:t xml:space="preserve"> </w:t>
      </w:r>
      <w:r w:rsidRPr="00097A86">
        <w:t>is the emission factor for the mine calculated under section</w:t>
      </w:r>
      <w:r w:rsidR="00097A86">
        <w:t> </w:t>
      </w:r>
      <w:r w:rsidRPr="00097A86">
        <w:t>3.33.</w:t>
      </w:r>
    </w:p>
    <w:p w14:paraId="21CDCDB3" w14:textId="77777777" w:rsidR="000E12DC" w:rsidRPr="00097A86" w:rsidRDefault="000E12DC" w:rsidP="00D22D3F">
      <w:pPr>
        <w:pStyle w:val="Definition"/>
      </w:pPr>
      <w:r w:rsidRPr="00097A86">
        <w:rPr>
          <w:b/>
          <w:i/>
        </w:rPr>
        <w:t>F</w:t>
      </w:r>
      <w:r w:rsidRPr="00097A86">
        <w:rPr>
          <w:b/>
          <w:i/>
          <w:vertAlign w:val="subscript"/>
        </w:rPr>
        <w:t>dm</w:t>
      </w:r>
      <w:r w:rsidRPr="00097A86">
        <w:rPr>
          <w:b/>
          <w:i/>
        </w:rPr>
        <w:t xml:space="preserve"> </w:t>
      </w:r>
      <w:r w:rsidRPr="00097A86">
        <w:t>is the proportion of the mine flooded at the end of the year, as estimated under section</w:t>
      </w:r>
      <w:r w:rsidR="00097A86">
        <w:t> </w:t>
      </w:r>
      <w:r w:rsidRPr="00097A86">
        <w:t>3.34, and must not be greater than 1.</w:t>
      </w:r>
    </w:p>
    <w:p w14:paraId="6F58FFF3" w14:textId="77777777" w:rsidR="003F0D4E" w:rsidRPr="00097A86" w:rsidRDefault="003F0D4E" w:rsidP="00D22D3F">
      <w:pPr>
        <w:pStyle w:val="subsection"/>
      </w:pPr>
      <w:r w:rsidRPr="00097A86">
        <w:tab/>
        <w:t>(2)</w:t>
      </w:r>
      <w:r w:rsidRPr="00097A86">
        <w:tab/>
        <w:t xml:space="preserve">However, if, under </w:t>
      </w:r>
      <w:r w:rsidR="00097A86">
        <w:t>subsection (</w:t>
      </w:r>
      <w:r w:rsidRPr="00097A86">
        <w:t>1), the estimated emissions in CO</w:t>
      </w:r>
      <w:r w:rsidRPr="00097A86">
        <w:rPr>
          <w:rStyle w:val="charSubscript"/>
          <w:sz w:val="22"/>
        </w:rPr>
        <w:t>2</w:t>
      </w:r>
      <w:r w:rsidR="00097A86">
        <w:noBreakHyphen/>
      </w:r>
      <w:r w:rsidRPr="00097A86">
        <w:t xml:space="preserve">e tonnes for the mine during the year is less than 0.02 </w:t>
      </w:r>
      <w:r w:rsidRPr="00097A86">
        <w:sym w:font="Symbol" w:char="F0B4"/>
      </w:r>
      <w:r w:rsidRPr="00097A86">
        <w:t xml:space="preserve"> </w:t>
      </w:r>
      <w:r w:rsidRPr="00097A86">
        <w:rPr>
          <w:iCs/>
        </w:rPr>
        <w:t>E</w:t>
      </w:r>
      <w:r w:rsidRPr="00097A86">
        <w:rPr>
          <w:rStyle w:val="charSubscript"/>
          <w:sz w:val="22"/>
        </w:rPr>
        <w:t>tdm</w:t>
      </w:r>
      <w:r w:rsidRPr="00097A86">
        <w:t xml:space="preserve">, the estimated emissions for the mine during the year is taken to be </w:t>
      </w:r>
      <w:r w:rsidRPr="00097A86">
        <w:rPr>
          <w:iCs/>
        </w:rPr>
        <w:t xml:space="preserve">0.02 </w:t>
      </w:r>
      <w:r w:rsidRPr="00097A86">
        <w:sym w:font="Symbol" w:char="F0B4"/>
      </w:r>
      <w:r w:rsidRPr="00097A86">
        <w:t xml:space="preserve"> </w:t>
      </w:r>
      <w:r w:rsidRPr="00097A86">
        <w:rPr>
          <w:iCs/>
        </w:rPr>
        <w:t>E</w:t>
      </w:r>
      <w:r w:rsidRPr="00097A86">
        <w:rPr>
          <w:rStyle w:val="charSubscript"/>
          <w:sz w:val="22"/>
        </w:rPr>
        <w:t>tdm</w:t>
      </w:r>
      <w:r w:rsidRPr="00097A86">
        <w:t>.</w:t>
      </w:r>
    </w:p>
    <w:p w14:paraId="446008C2" w14:textId="77777777" w:rsidR="003F0D4E" w:rsidRPr="00097A86" w:rsidRDefault="003F0D4E" w:rsidP="00D22D3F">
      <w:pPr>
        <w:pStyle w:val="ActHead5"/>
      </w:pPr>
      <w:bookmarkStart w:id="260" w:name="_Toc13233700"/>
      <w:r w:rsidRPr="00097A86">
        <w:rPr>
          <w:rStyle w:val="CharSectno"/>
        </w:rPr>
        <w:t>3.33</w:t>
      </w:r>
      <w:r w:rsidR="00D22D3F" w:rsidRPr="00097A86">
        <w:t xml:space="preserve">  </w:t>
      </w:r>
      <w:r w:rsidRPr="00097A86">
        <w:t>Emission factor for decommissioned underground mines</w:t>
      </w:r>
      <w:bookmarkEnd w:id="260"/>
    </w:p>
    <w:p w14:paraId="333CE181" w14:textId="77777777" w:rsidR="003F0D4E" w:rsidRPr="00097A86" w:rsidRDefault="003F0D4E" w:rsidP="00D22D3F">
      <w:pPr>
        <w:pStyle w:val="subsection"/>
      </w:pPr>
      <w:r w:rsidRPr="00097A86">
        <w:tab/>
      </w:r>
      <w:r w:rsidRPr="00097A86">
        <w:tab/>
        <w:t>For section</w:t>
      </w:r>
      <w:r w:rsidR="00097A86">
        <w:t> </w:t>
      </w:r>
      <w:r w:rsidRPr="00097A86">
        <w:t xml:space="preserve">3.32, </w:t>
      </w:r>
      <w:r w:rsidRPr="00097A86">
        <w:rPr>
          <w:b/>
          <w:i/>
        </w:rPr>
        <w:t>EF</w:t>
      </w:r>
      <w:r w:rsidRPr="00097A86">
        <w:rPr>
          <w:rStyle w:val="charSubscript"/>
          <w:b/>
          <w:i/>
          <w:sz w:val="22"/>
        </w:rPr>
        <w:t>dm</w:t>
      </w:r>
      <w:r w:rsidRPr="00097A86">
        <w:t xml:space="preserve"> is the integral under the curve of:</w:t>
      </w:r>
    </w:p>
    <w:p w14:paraId="41A3E256"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A4D5B56" wp14:editId="64B5D91E">
            <wp:extent cx="107632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p w14:paraId="472EDA3A" w14:textId="77777777" w:rsidR="003F0D4E" w:rsidRPr="00097A86" w:rsidRDefault="00BC0F13" w:rsidP="00D22D3F">
      <w:pPr>
        <w:pStyle w:val="subsection2"/>
      </w:pPr>
      <w:r>
        <w:t>for the period</w:t>
      </w:r>
      <w:r w:rsidR="003F0D4E" w:rsidRPr="00097A86">
        <w:t xml:space="preserve"> </w:t>
      </w:r>
      <w:r w:rsidR="00992BEF">
        <w:rPr>
          <w:color w:val="000000" w:themeColor="text1"/>
        </w:rPr>
        <w:t xml:space="preserve">between </w:t>
      </w:r>
      <w:r w:rsidR="00992BEF" w:rsidRPr="00761AF7">
        <w:rPr>
          <w:b/>
          <w:i/>
          <w:color w:val="000000" w:themeColor="text1"/>
        </w:rPr>
        <w:t>T</w:t>
      </w:r>
      <w:r w:rsidR="00992BEF">
        <w:rPr>
          <w:color w:val="000000" w:themeColor="text1"/>
        </w:rPr>
        <w:t xml:space="preserve"> and </w:t>
      </w:r>
      <w:r w:rsidR="00992BEF" w:rsidRPr="00761AF7">
        <w:rPr>
          <w:b/>
          <w:i/>
          <w:color w:val="000000" w:themeColor="text1"/>
        </w:rPr>
        <w:t>T</w:t>
      </w:r>
      <w:r w:rsidR="00992BEF">
        <w:rPr>
          <w:color w:val="000000" w:themeColor="text1"/>
        </w:rPr>
        <w:t>-</w:t>
      </w:r>
      <w:r w:rsidR="00992BEF" w:rsidRPr="00761AF7">
        <w:rPr>
          <w:b/>
          <w:i/>
          <w:color w:val="000000" w:themeColor="text1"/>
        </w:rPr>
        <w:t>N</w:t>
      </w:r>
      <w:r w:rsidR="003F0D4E" w:rsidRPr="00097A86">
        <w:t>,</w:t>
      </w:r>
    </w:p>
    <w:p w14:paraId="6B76CCDE" w14:textId="77777777" w:rsidR="003F0D4E" w:rsidRPr="00097A86" w:rsidRDefault="003F0D4E" w:rsidP="00D22D3F">
      <w:pPr>
        <w:pStyle w:val="subsection2"/>
      </w:pPr>
      <w:r w:rsidRPr="00097A86">
        <w:t>where:</w:t>
      </w:r>
    </w:p>
    <w:p w14:paraId="479E4CC5" w14:textId="77777777" w:rsidR="00992BEF" w:rsidRPr="00097A86" w:rsidRDefault="00992BEF" w:rsidP="00992BEF">
      <w:pPr>
        <w:pStyle w:val="Definition"/>
      </w:pPr>
      <w:r w:rsidRPr="00097A86">
        <w:rPr>
          <w:b/>
          <w:i/>
        </w:rPr>
        <w:t xml:space="preserve">A </w:t>
      </w:r>
      <w:r w:rsidRPr="00097A86">
        <w:t>is:</w:t>
      </w:r>
    </w:p>
    <w:p w14:paraId="1EF3FF9B" w14:textId="77777777" w:rsidR="00992BEF" w:rsidRPr="00097A86" w:rsidRDefault="00992BEF" w:rsidP="00D83DD8">
      <w:pPr>
        <w:pStyle w:val="paragraph"/>
        <w:ind w:left="1700" w:hanging="1700"/>
      </w:pPr>
      <w:r w:rsidRPr="00097A86">
        <w:tab/>
        <w:t>(a)</w:t>
      </w:r>
      <w:r w:rsidRPr="00097A86">
        <w:tab/>
        <w:t>for a gassy mine—</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0.23</m:t>
            </m:r>
          </m:num>
          <m:den>
            <m:r>
              <m:rPr>
                <m:sty m:val="p"/>
              </m:rPr>
              <w:rPr>
                <w:rFonts w:ascii="Cambria Math" w:hAnsi="Cambria Math"/>
              </w:rPr>
              <m:t>12</m:t>
            </m:r>
          </m:den>
        </m:f>
      </m:oMath>
      <w:r w:rsidRPr="00097A86">
        <w:t>; or</w:t>
      </w:r>
    </w:p>
    <w:p w14:paraId="11A18F37" w14:textId="77777777" w:rsidR="00992BEF" w:rsidRPr="00097A86" w:rsidRDefault="00992BEF" w:rsidP="00D83DD8">
      <w:pPr>
        <w:pStyle w:val="paragraph"/>
        <w:ind w:left="1700" w:hanging="1700"/>
      </w:pPr>
      <w:r w:rsidRPr="00097A86">
        <w:tab/>
        <w:t>(b)</w:t>
      </w:r>
      <w:r w:rsidRPr="00097A86">
        <w:tab/>
        <w:t>for a non</w:t>
      </w:r>
      <w:r>
        <w:noBreakHyphen/>
      </w:r>
      <w:r w:rsidRPr="00097A86">
        <w:t>gassy mine—</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0.35</m:t>
            </m:r>
          </m:num>
          <m:den>
            <m:r>
              <m:rPr>
                <m:sty m:val="p"/>
              </m:rPr>
              <w:rPr>
                <w:rFonts w:ascii="Cambria Math" w:hAnsi="Cambria Math"/>
              </w:rPr>
              <m:t>12</m:t>
            </m:r>
          </m:den>
        </m:f>
      </m:oMath>
      <w:r w:rsidRPr="00097A86">
        <w:t>.</w:t>
      </w:r>
    </w:p>
    <w:p w14:paraId="7DFFE367" w14:textId="77777777" w:rsidR="00992BEF" w:rsidRDefault="00992BEF" w:rsidP="00992BEF">
      <w:pPr>
        <w:pStyle w:val="Definition"/>
      </w:pPr>
      <w:r w:rsidRPr="00097A86">
        <w:rPr>
          <w:b/>
          <w:i/>
        </w:rPr>
        <w:t xml:space="preserve">T </w:t>
      </w:r>
      <w:r w:rsidRPr="00097A86">
        <w:t xml:space="preserve">is the number of </w:t>
      </w:r>
      <w:r>
        <w:t>whole months</w:t>
      </w:r>
      <w:r w:rsidRPr="00097A86">
        <w:t xml:space="preserve"> since the mine </w:t>
      </w:r>
      <w:r>
        <w:t>became a decommissioned underground coal mine, at the end of the reporting year.</w:t>
      </w:r>
    </w:p>
    <w:p w14:paraId="5CC3EFFC" w14:textId="77777777" w:rsidR="00992BEF" w:rsidRPr="00097A86" w:rsidRDefault="00992BEF" w:rsidP="00992BEF">
      <w:pPr>
        <w:pStyle w:val="Definition"/>
      </w:pPr>
      <w:r>
        <w:rPr>
          <w:b/>
          <w:i/>
        </w:rPr>
        <w:lastRenderedPageBreak/>
        <w:t>N</w:t>
      </w:r>
      <w:r w:rsidRPr="00097A86">
        <w:rPr>
          <w:b/>
          <w:i/>
        </w:rPr>
        <w:t xml:space="preserve"> </w:t>
      </w:r>
      <w:r w:rsidRPr="00097A86">
        <w:t>is</w:t>
      </w:r>
      <w:r>
        <w:t>:</w:t>
      </w:r>
      <w:r w:rsidRPr="00097A86">
        <w:t xml:space="preserve"> </w:t>
      </w:r>
    </w:p>
    <w:p w14:paraId="63DA8344" w14:textId="77777777" w:rsidR="00992BEF" w:rsidRPr="00097A86" w:rsidRDefault="00992BEF" w:rsidP="00992BEF">
      <w:pPr>
        <w:pStyle w:val="paragraph"/>
        <w:ind w:left="1700" w:hanging="1700"/>
      </w:pPr>
      <w:r w:rsidRPr="00097A86">
        <w:tab/>
        <w:t>(a)</w:t>
      </w:r>
      <w:r w:rsidRPr="00097A86">
        <w:tab/>
      </w:r>
      <w:r>
        <w:t xml:space="preserve">if </w:t>
      </w:r>
      <w:r w:rsidRPr="00797195">
        <w:rPr>
          <w:b/>
          <w:i/>
        </w:rPr>
        <w:t>T</w:t>
      </w:r>
      <w:r>
        <w:t xml:space="preserve"> is less than 12</w:t>
      </w:r>
      <w:r w:rsidRPr="00097A86">
        <w:t>—</w:t>
      </w:r>
      <w:r>
        <w:t xml:space="preserve">the value for </w:t>
      </w:r>
      <w:r w:rsidRPr="00797195">
        <w:rPr>
          <w:b/>
          <w:i/>
        </w:rPr>
        <w:t>T</w:t>
      </w:r>
      <w:r w:rsidRPr="00097A86">
        <w:t>; or</w:t>
      </w:r>
    </w:p>
    <w:p w14:paraId="50EAB70C" w14:textId="77777777" w:rsidR="00992BEF" w:rsidRDefault="00992BEF" w:rsidP="00992BEF">
      <w:pPr>
        <w:pStyle w:val="paragraph"/>
      </w:pPr>
      <w:r w:rsidRPr="00097A86">
        <w:tab/>
        <w:t>(b)</w:t>
      </w:r>
      <w:r w:rsidRPr="00097A86">
        <w:tab/>
      </w:r>
      <w:r>
        <w:t xml:space="preserve">if </w:t>
      </w:r>
      <w:r w:rsidRPr="00797195">
        <w:rPr>
          <w:b/>
          <w:i/>
        </w:rPr>
        <w:t>T</w:t>
      </w:r>
      <w:r>
        <w:t xml:space="preserve"> is 12 or greater</w:t>
      </w:r>
      <w:r w:rsidRPr="00097A86">
        <w:t>—</w:t>
      </w:r>
      <w:r>
        <w:t>12</w:t>
      </w:r>
      <w:r w:rsidRPr="00097A86">
        <w:t>.</w:t>
      </w:r>
    </w:p>
    <w:p w14:paraId="577D1E0D" w14:textId="77777777" w:rsidR="003F0D4E" w:rsidRPr="00097A86" w:rsidRDefault="003F0D4E" w:rsidP="00D22D3F">
      <w:pPr>
        <w:pStyle w:val="Definition"/>
      </w:pPr>
      <w:r w:rsidRPr="00097A86">
        <w:rPr>
          <w:b/>
          <w:i/>
        </w:rPr>
        <w:t xml:space="preserve">b </w:t>
      </w:r>
      <w:r w:rsidRPr="00097A86">
        <w:t>is:</w:t>
      </w:r>
    </w:p>
    <w:p w14:paraId="75F6B8A1" w14:textId="77777777" w:rsidR="003F0D4E" w:rsidRPr="00097A86" w:rsidRDefault="003F0D4E" w:rsidP="00D22D3F">
      <w:pPr>
        <w:pStyle w:val="paragraph"/>
      </w:pPr>
      <w:r w:rsidRPr="00097A86">
        <w:tab/>
        <w:t>(a)</w:t>
      </w:r>
      <w:r w:rsidRPr="00097A86">
        <w:tab/>
        <w:t>for a gassy mine</w:t>
      </w:r>
      <w:r w:rsidR="00D22D3F" w:rsidRPr="00097A86">
        <w:t>—</w:t>
      </w:r>
      <w:r w:rsidR="00097A86">
        <w:noBreakHyphen/>
      </w:r>
      <w:r w:rsidRPr="00097A86">
        <w:t>1.45; or</w:t>
      </w:r>
    </w:p>
    <w:p w14:paraId="1515E583" w14:textId="77777777" w:rsidR="003F0D4E" w:rsidRPr="00097A86" w:rsidRDefault="003F0D4E" w:rsidP="00D22D3F">
      <w:pPr>
        <w:pStyle w:val="paragraph"/>
      </w:pPr>
      <w:r w:rsidRPr="00097A86">
        <w:tab/>
        <w:t>(b)</w:t>
      </w:r>
      <w:r w:rsidRPr="00097A86">
        <w:tab/>
        <w:t>for a non</w:t>
      </w:r>
      <w:r w:rsidR="00097A86">
        <w:noBreakHyphen/>
      </w:r>
      <w:r w:rsidRPr="00097A86">
        <w:t>gassy mine</w:t>
      </w:r>
      <w:r w:rsidR="00D22D3F" w:rsidRPr="00097A86">
        <w:t>—</w:t>
      </w:r>
      <w:r w:rsidR="00097A86">
        <w:noBreakHyphen/>
      </w:r>
      <w:r w:rsidRPr="00097A86">
        <w:t>1.01.</w:t>
      </w:r>
    </w:p>
    <w:p w14:paraId="04129129" w14:textId="77777777" w:rsidR="003F0D4E" w:rsidRPr="00097A86" w:rsidRDefault="003F0D4E" w:rsidP="00D22D3F">
      <w:pPr>
        <w:pStyle w:val="Definition"/>
      </w:pPr>
      <w:r w:rsidRPr="00097A86">
        <w:rPr>
          <w:b/>
          <w:i/>
        </w:rPr>
        <w:t xml:space="preserve">C </w:t>
      </w:r>
      <w:r w:rsidRPr="00097A86">
        <w:t>is:</w:t>
      </w:r>
    </w:p>
    <w:p w14:paraId="575778B5" w14:textId="77777777" w:rsidR="003F0D4E" w:rsidRPr="00097A86" w:rsidRDefault="003F0D4E" w:rsidP="00D22D3F">
      <w:pPr>
        <w:pStyle w:val="paragraph"/>
      </w:pPr>
      <w:r w:rsidRPr="00097A86">
        <w:tab/>
        <w:t>(a)</w:t>
      </w:r>
      <w:r w:rsidRPr="00097A86">
        <w:tab/>
        <w:t>for a gassy mine</w:t>
      </w:r>
      <w:r w:rsidR="00D22D3F" w:rsidRPr="00097A86">
        <w:t>—</w:t>
      </w:r>
      <w:r w:rsidRPr="00097A86">
        <w:t>0.024; or</w:t>
      </w:r>
    </w:p>
    <w:p w14:paraId="51BE950A" w14:textId="77777777" w:rsidR="003F0D4E" w:rsidRPr="00097A86" w:rsidRDefault="003F0D4E" w:rsidP="00D22D3F">
      <w:pPr>
        <w:pStyle w:val="paragraph"/>
      </w:pPr>
      <w:r w:rsidRPr="00097A86">
        <w:tab/>
        <w:t>(b)</w:t>
      </w:r>
      <w:r w:rsidRPr="00097A86">
        <w:tab/>
        <w:t>for a non</w:t>
      </w:r>
      <w:r w:rsidR="00097A86">
        <w:noBreakHyphen/>
      </w:r>
      <w:r w:rsidRPr="00097A86">
        <w:t>gassy mine</w:t>
      </w:r>
      <w:r w:rsidR="00D22D3F" w:rsidRPr="00097A86">
        <w:t>—</w:t>
      </w:r>
      <w:r w:rsidRPr="00097A86">
        <w:t>0.088.</w:t>
      </w:r>
    </w:p>
    <w:p w14:paraId="17687FF2" w14:textId="77777777" w:rsidR="000E12DC" w:rsidRPr="00097A86" w:rsidRDefault="000E12DC" w:rsidP="00D22D3F">
      <w:pPr>
        <w:pStyle w:val="ActHead5"/>
      </w:pPr>
      <w:bookmarkStart w:id="261" w:name="_Toc13233701"/>
      <w:r w:rsidRPr="00097A86">
        <w:rPr>
          <w:rStyle w:val="CharSectno"/>
        </w:rPr>
        <w:t>3.34</w:t>
      </w:r>
      <w:r w:rsidR="00D22D3F" w:rsidRPr="00097A86">
        <w:t xml:space="preserve">  </w:t>
      </w:r>
      <w:r w:rsidRPr="00097A86">
        <w:t>Measurement of proportion of mine that is flooded</w:t>
      </w:r>
      <w:bookmarkEnd w:id="261"/>
    </w:p>
    <w:p w14:paraId="1F011C31" w14:textId="77777777" w:rsidR="000E12DC" w:rsidRPr="00097A86" w:rsidRDefault="000E12DC" w:rsidP="00D22D3F">
      <w:pPr>
        <w:pStyle w:val="subsection"/>
      </w:pPr>
      <w:r w:rsidRPr="00097A86">
        <w:tab/>
      </w:r>
      <w:r w:rsidRPr="00097A86">
        <w:tab/>
        <w:t>For subsection</w:t>
      </w:r>
      <w:r w:rsidR="00097A86">
        <w:t> </w:t>
      </w:r>
      <w:r w:rsidRPr="00097A86">
        <w:t xml:space="preserve">3.32(1), </w:t>
      </w:r>
      <w:r w:rsidRPr="00097A86">
        <w:rPr>
          <w:b/>
          <w:i/>
        </w:rPr>
        <w:t>F</w:t>
      </w:r>
      <w:r w:rsidRPr="00097A86">
        <w:rPr>
          <w:rStyle w:val="charSubscript"/>
          <w:b/>
          <w:i/>
          <w:sz w:val="22"/>
        </w:rPr>
        <w:t>dm</w:t>
      </w:r>
      <w:r w:rsidRPr="00097A86">
        <w:t xml:space="preserve"> is:</w:t>
      </w:r>
    </w:p>
    <w:p w14:paraId="08A33CE6" w14:textId="77777777" w:rsidR="00992BEF" w:rsidRPr="00C15961" w:rsidRDefault="00497E3C" w:rsidP="00992BEF">
      <w:pPr>
        <w:pStyle w:val="subsection"/>
        <w:rPr>
          <w:iCs/>
          <w:szCs w:val="22"/>
        </w:rPr>
      </w:pPr>
      <m:oMathPara>
        <m:oMathParaPr>
          <m:jc m:val="left"/>
        </m:oMathParaPr>
        <m:oMath>
          <m:f>
            <m:fPr>
              <m:ctrlPr>
                <w:rPr>
                  <w:rFonts w:ascii="Cambria Math" w:eastAsiaTheme="minorHAnsi" w:hAnsi="Cambria Math"/>
                  <w:i/>
                  <w:iCs/>
                  <w:szCs w:val="22"/>
                </w:rPr>
              </m:ctrlPr>
            </m:fPr>
            <m:num>
              <m:sSub>
                <m:sSubPr>
                  <m:ctrlPr>
                    <w:rPr>
                      <w:rFonts w:ascii="Cambria Math" w:eastAsiaTheme="minorHAnsi" w:hAnsi="Cambria Math"/>
                      <w:i/>
                      <w:iCs/>
                      <w:szCs w:val="22"/>
                    </w:rPr>
                  </m:ctrlPr>
                </m:sSubPr>
                <m:e>
                  <m:r>
                    <w:rPr>
                      <w:rFonts w:ascii="Cambria Math" w:hAnsi="Cambria Math"/>
                      <w:szCs w:val="22"/>
                    </w:rPr>
                    <m:t>M</m:t>
                  </m:r>
                </m:e>
                <m:sub>
                  <m:r>
                    <w:rPr>
                      <w:rFonts w:ascii="Cambria Math" w:hAnsi="Cambria Math"/>
                      <w:szCs w:val="22"/>
                    </w:rPr>
                    <m:t>WI</m:t>
                  </m:r>
                </m:sub>
              </m:sSub>
            </m:num>
            <m:den>
              <m:sSub>
                <m:sSubPr>
                  <m:ctrlPr>
                    <w:rPr>
                      <w:rFonts w:ascii="Cambria Math" w:eastAsiaTheme="minorHAnsi" w:hAnsi="Cambria Math"/>
                      <w:i/>
                      <w:iCs/>
                      <w:szCs w:val="22"/>
                    </w:rPr>
                  </m:ctrlPr>
                </m:sSubPr>
                <m:e>
                  <m:r>
                    <w:rPr>
                      <w:rFonts w:ascii="Cambria Math" w:hAnsi="Cambria Math"/>
                      <w:szCs w:val="22"/>
                    </w:rPr>
                    <m:t>M</m:t>
                  </m:r>
                </m:e>
                <m:sub>
                  <m:r>
                    <w:rPr>
                      <w:rFonts w:ascii="Cambria Math" w:hAnsi="Cambria Math"/>
                      <w:szCs w:val="22"/>
                    </w:rPr>
                    <m:t>VV</m:t>
                  </m:r>
                </m:sub>
              </m:sSub>
            </m:den>
          </m:f>
          <m:r>
            <w:rPr>
              <w:rFonts w:ascii="Cambria Math" w:hAnsi="Cambria Math"/>
              <w:szCs w:val="22"/>
            </w:rPr>
            <m:t>×</m:t>
          </m:r>
          <m:f>
            <m:fPr>
              <m:ctrlPr>
                <w:rPr>
                  <w:rFonts w:ascii="Cambria Math" w:eastAsiaTheme="minorHAnsi" w:hAnsi="Cambria Math"/>
                  <w:i/>
                  <w:iCs/>
                  <w:szCs w:val="22"/>
                </w:rPr>
              </m:ctrlPr>
            </m:fPr>
            <m:num>
              <m:r>
                <w:rPr>
                  <w:rFonts w:ascii="Cambria Math" w:eastAsiaTheme="minorHAnsi" w:hAnsi="Cambria Math"/>
                  <w:szCs w:val="22"/>
                </w:rPr>
                <m:t>months</m:t>
              </m:r>
            </m:num>
            <m:den>
              <m:r>
                <w:rPr>
                  <w:rFonts w:ascii="Cambria Math" w:eastAsiaTheme="minorHAnsi" w:hAnsi="Cambria Math"/>
                  <w:szCs w:val="22"/>
                </w:rPr>
                <m:t>12</m:t>
              </m:r>
            </m:den>
          </m:f>
        </m:oMath>
      </m:oMathPara>
    </w:p>
    <w:p w14:paraId="796406C3" w14:textId="77777777" w:rsidR="000E12DC" w:rsidRPr="00097A86" w:rsidRDefault="00D01DCF" w:rsidP="00992BEF">
      <w:pPr>
        <w:pStyle w:val="subsection"/>
        <w:spacing w:before="120" w:after="120"/>
      </w:pPr>
      <w:r>
        <w:tab/>
      </w:r>
      <w:r>
        <w:tab/>
      </w:r>
      <w:r w:rsidR="000E12DC" w:rsidRPr="00097A86">
        <w:t>where:</w:t>
      </w:r>
    </w:p>
    <w:p w14:paraId="0D64646C" w14:textId="77777777" w:rsidR="000E12DC" w:rsidRPr="00097A86" w:rsidRDefault="000E12DC" w:rsidP="00D22D3F">
      <w:pPr>
        <w:pStyle w:val="Definition"/>
      </w:pPr>
      <w:r w:rsidRPr="00097A86">
        <w:rPr>
          <w:b/>
          <w:i/>
        </w:rPr>
        <w:t>M</w:t>
      </w:r>
      <w:r w:rsidRPr="00097A86">
        <w:rPr>
          <w:b/>
          <w:i/>
          <w:vertAlign w:val="subscript"/>
        </w:rPr>
        <w:t>WI</w:t>
      </w:r>
      <w:r w:rsidRPr="00097A86">
        <w:rPr>
          <w:b/>
          <w:i/>
        </w:rPr>
        <w:t xml:space="preserve"> </w:t>
      </w:r>
      <w:r w:rsidRPr="00097A86">
        <w:t>is the rate of water flow into the mine in cubic metres per year as measured under section</w:t>
      </w:r>
      <w:r w:rsidR="00097A86">
        <w:t> </w:t>
      </w:r>
      <w:r w:rsidRPr="00097A86">
        <w:t>3.35.</w:t>
      </w:r>
    </w:p>
    <w:p w14:paraId="5F6D4731" w14:textId="77777777" w:rsidR="000E12DC" w:rsidRPr="00097A86" w:rsidRDefault="000E12DC" w:rsidP="00D22D3F">
      <w:pPr>
        <w:pStyle w:val="Definition"/>
      </w:pPr>
      <w:r w:rsidRPr="00097A86">
        <w:rPr>
          <w:b/>
          <w:i/>
        </w:rPr>
        <w:t>M</w:t>
      </w:r>
      <w:r w:rsidRPr="00097A86">
        <w:rPr>
          <w:b/>
          <w:i/>
          <w:vertAlign w:val="subscript"/>
        </w:rPr>
        <w:t>VV</w:t>
      </w:r>
      <w:r w:rsidRPr="00097A86">
        <w:rPr>
          <w:b/>
          <w:i/>
        </w:rPr>
        <w:t xml:space="preserve"> </w:t>
      </w:r>
      <w:r w:rsidRPr="00097A86">
        <w:t>is the mine void volume in cubic metres as measured under section</w:t>
      </w:r>
      <w:r w:rsidR="00097A86">
        <w:t> </w:t>
      </w:r>
      <w:r w:rsidRPr="00097A86">
        <w:t>3.36.</w:t>
      </w:r>
    </w:p>
    <w:p w14:paraId="7E511955" w14:textId="77777777" w:rsidR="00992BEF" w:rsidRDefault="00992BEF" w:rsidP="00992BEF">
      <w:pPr>
        <w:pStyle w:val="Definition"/>
      </w:pPr>
      <w:r>
        <w:rPr>
          <w:b/>
          <w:i/>
        </w:rPr>
        <w:t>months</w:t>
      </w:r>
      <w:r w:rsidRPr="00097A86">
        <w:rPr>
          <w:b/>
          <w:i/>
        </w:rPr>
        <w:t xml:space="preserve"> </w:t>
      </w:r>
      <w:r>
        <w:t xml:space="preserve">is the </w:t>
      </w:r>
      <w:r w:rsidRPr="00097A86">
        <w:t xml:space="preserve">number of </w:t>
      </w:r>
      <w:r>
        <w:t>whole months</w:t>
      </w:r>
      <w:r w:rsidRPr="00097A86">
        <w:t xml:space="preserve"> since the mine </w:t>
      </w:r>
      <w:r>
        <w:t>became a decommissioned underground coal mine, at the end of the reporting year.</w:t>
      </w:r>
    </w:p>
    <w:p w14:paraId="0845DFB9" w14:textId="77777777" w:rsidR="003F0D4E" w:rsidRPr="00097A86" w:rsidRDefault="003F0D4E" w:rsidP="00D22D3F">
      <w:pPr>
        <w:pStyle w:val="ActHead5"/>
      </w:pPr>
      <w:bookmarkStart w:id="262" w:name="_Toc13233702"/>
      <w:r w:rsidRPr="00097A86">
        <w:rPr>
          <w:rStyle w:val="CharSectno"/>
        </w:rPr>
        <w:t>3.35</w:t>
      </w:r>
      <w:r w:rsidR="00D22D3F" w:rsidRPr="00097A86">
        <w:t xml:space="preserve">  </w:t>
      </w:r>
      <w:r w:rsidRPr="00097A86">
        <w:t>Water flow into mine</w:t>
      </w:r>
      <w:bookmarkEnd w:id="262"/>
      <w:r w:rsidRPr="00097A86">
        <w:t xml:space="preserve"> </w:t>
      </w:r>
    </w:p>
    <w:p w14:paraId="7BA469D6" w14:textId="77777777" w:rsidR="003F0D4E" w:rsidRPr="00097A86" w:rsidRDefault="003F0D4E" w:rsidP="00D22D3F">
      <w:pPr>
        <w:pStyle w:val="subsection"/>
      </w:pPr>
      <w:r w:rsidRPr="00097A86">
        <w:tab/>
      </w:r>
      <w:r w:rsidRPr="00097A86">
        <w:tab/>
        <w:t xml:space="preserve">For </w:t>
      </w:r>
      <w:r w:rsidRPr="00097A86">
        <w:rPr>
          <w:b/>
          <w:i/>
        </w:rPr>
        <w:t>M</w:t>
      </w:r>
      <w:r w:rsidRPr="00097A86">
        <w:rPr>
          <w:b/>
          <w:i/>
          <w:vertAlign w:val="subscript"/>
        </w:rPr>
        <w:t>WI</w:t>
      </w:r>
      <w:r w:rsidRPr="00097A86">
        <w:rPr>
          <w:i/>
        </w:rPr>
        <w:t xml:space="preserve"> </w:t>
      </w:r>
      <w:r w:rsidRPr="00097A86">
        <w:t>in section</w:t>
      </w:r>
      <w:r w:rsidR="00097A86">
        <w:t> </w:t>
      </w:r>
      <w:r w:rsidRPr="00097A86">
        <w:t>3.34, the rate of water flow into the mine must be measured by:</w:t>
      </w:r>
    </w:p>
    <w:p w14:paraId="6D7D2855" w14:textId="77777777" w:rsidR="003F0D4E" w:rsidRPr="00097A86" w:rsidRDefault="003F0D4E" w:rsidP="00D22D3F">
      <w:pPr>
        <w:pStyle w:val="paragraph"/>
      </w:pPr>
      <w:r w:rsidRPr="00097A86">
        <w:tab/>
        <w:t>(a)</w:t>
      </w:r>
      <w:r w:rsidRPr="00097A86">
        <w:tab/>
        <w:t>using water flow rates for the mine estimated in accordance with an appropriate standard; or</w:t>
      </w:r>
    </w:p>
    <w:p w14:paraId="75812CCD" w14:textId="77777777" w:rsidR="003F0D4E" w:rsidRPr="00097A86" w:rsidRDefault="003F0D4E" w:rsidP="00D22D3F">
      <w:pPr>
        <w:pStyle w:val="paragraph"/>
      </w:pPr>
      <w:r w:rsidRPr="00097A86">
        <w:tab/>
        <w:t>(b)</w:t>
      </w:r>
      <w:r w:rsidRPr="00097A86">
        <w:tab/>
        <w:t>using the following average water flow rates:</w:t>
      </w:r>
    </w:p>
    <w:p w14:paraId="77A0B246" w14:textId="77777777" w:rsidR="003F0D4E" w:rsidRPr="00097A86" w:rsidRDefault="003F0D4E" w:rsidP="00D22D3F">
      <w:pPr>
        <w:pStyle w:val="paragraphsub"/>
      </w:pPr>
      <w:r w:rsidRPr="00097A86">
        <w:tab/>
        <w:t>(i)</w:t>
      </w:r>
      <w:r w:rsidRPr="00097A86">
        <w:tab/>
        <w:t>for a mine in the southern coalfield of New South Wales</w:t>
      </w:r>
      <w:r w:rsidR="00D22D3F" w:rsidRPr="00097A86">
        <w:t>—</w:t>
      </w:r>
      <w:r w:rsidRPr="00097A86">
        <w:t>913</w:t>
      </w:r>
      <w:r w:rsidR="00097A86">
        <w:t> </w:t>
      </w:r>
      <w:r w:rsidRPr="00097A86">
        <w:t>000 cubic metres per year; or</w:t>
      </w:r>
    </w:p>
    <w:p w14:paraId="6AE426BB" w14:textId="77777777" w:rsidR="003F0D4E" w:rsidRPr="00097A86" w:rsidRDefault="003F0D4E" w:rsidP="00D22D3F">
      <w:pPr>
        <w:pStyle w:val="paragraphsub"/>
      </w:pPr>
      <w:r w:rsidRPr="00097A86">
        <w:tab/>
        <w:t>(ii)</w:t>
      </w:r>
      <w:r w:rsidRPr="00097A86">
        <w:tab/>
        <w:t>for a mine in the Newcastle, Hunter, Western or Gunnedah coalfields in New South Wales</w:t>
      </w:r>
      <w:r w:rsidR="00D22D3F" w:rsidRPr="00097A86">
        <w:t>—</w:t>
      </w:r>
      <w:r w:rsidRPr="00097A86">
        <w:t>450</w:t>
      </w:r>
      <w:r w:rsidR="00097A86">
        <w:t> </w:t>
      </w:r>
      <w:r w:rsidRPr="00097A86">
        <w:t>000 cubic metres per year; or</w:t>
      </w:r>
    </w:p>
    <w:p w14:paraId="4DAEC526" w14:textId="77777777" w:rsidR="003F0D4E" w:rsidRPr="00097A86" w:rsidRDefault="003F0D4E" w:rsidP="00D22D3F">
      <w:pPr>
        <w:pStyle w:val="paragraphsub"/>
      </w:pPr>
      <w:r w:rsidRPr="00097A86">
        <w:tab/>
        <w:t>(iii)</w:t>
      </w:r>
      <w:r w:rsidRPr="00097A86">
        <w:tab/>
        <w:t>for a mine in Queensland</w:t>
      </w:r>
      <w:r w:rsidR="00D22D3F" w:rsidRPr="00097A86">
        <w:t>—</w:t>
      </w:r>
      <w:r w:rsidRPr="00097A86">
        <w:t>74</w:t>
      </w:r>
      <w:r w:rsidR="00097A86">
        <w:t> </w:t>
      </w:r>
      <w:r w:rsidRPr="00097A86">
        <w:t>000 cubic metres per year.</w:t>
      </w:r>
    </w:p>
    <w:p w14:paraId="44CE2E54" w14:textId="77777777" w:rsidR="003F0D4E" w:rsidRPr="00097A86" w:rsidRDefault="00D22D3F" w:rsidP="00D22D3F">
      <w:pPr>
        <w:pStyle w:val="notetext"/>
      </w:pPr>
      <w:r w:rsidRPr="00097A86">
        <w:t>Note:</w:t>
      </w:r>
      <w:r w:rsidRPr="00097A86">
        <w:tab/>
      </w:r>
      <w:r w:rsidR="003F0D4E" w:rsidRPr="00097A86">
        <w:t xml:space="preserve">An appropriate standard includes AS 2519—1993 </w:t>
      </w:r>
      <w:r w:rsidR="003F0D4E" w:rsidRPr="00097A86">
        <w:rPr>
          <w:i/>
        </w:rPr>
        <w:t>Guide to the technical evaluation of higher rank coal deposits</w:t>
      </w:r>
      <w:r w:rsidR="003F0D4E" w:rsidRPr="00097A86">
        <w:t>.</w:t>
      </w:r>
    </w:p>
    <w:p w14:paraId="34D41918" w14:textId="77777777" w:rsidR="003F0D4E" w:rsidRPr="00097A86" w:rsidRDefault="003F0D4E" w:rsidP="00D22D3F">
      <w:pPr>
        <w:pStyle w:val="ActHead5"/>
      </w:pPr>
      <w:bookmarkStart w:id="263" w:name="_Toc13233703"/>
      <w:r w:rsidRPr="00097A86">
        <w:rPr>
          <w:rStyle w:val="CharSectno"/>
        </w:rPr>
        <w:t>3.36</w:t>
      </w:r>
      <w:r w:rsidR="00D22D3F" w:rsidRPr="00097A86">
        <w:t xml:space="preserve">  </w:t>
      </w:r>
      <w:r w:rsidRPr="00097A86">
        <w:t>Size of mine void volume</w:t>
      </w:r>
      <w:bookmarkEnd w:id="263"/>
    </w:p>
    <w:p w14:paraId="47D3799F" w14:textId="77777777" w:rsidR="003F0D4E" w:rsidRPr="00097A86" w:rsidRDefault="003F0D4E" w:rsidP="00D22D3F">
      <w:pPr>
        <w:pStyle w:val="subsection"/>
      </w:pPr>
      <w:r w:rsidRPr="00097A86">
        <w:tab/>
      </w:r>
      <w:r w:rsidRPr="00097A86">
        <w:tab/>
        <w:t xml:space="preserve">For </w:t>
      </w:r>
      <w:r w:rsidRPr="00097A86">
        <w:rPr>
          <w:b/>
          <w:i/>
        </w:rPr>
        <w:t>M</w:t>
      </w:r>
      <w:r w:rsidRPr="00097A86">
        <w:rPr>
          <w:b/>
          <w:i/>
          <w:vertAlign w:val="subscript"/>
        </w:rPr>
        <w:t>VV</w:t>
      </w:r>
      <w:r w:rsidRPr="00097A86">
        <w:t xml:space="preserve"> in section</w:t>
      </w:r>
      <w:r w:rsidR="00097A86">
        <w:t> </w:t>
      </w:r>
      <w:r w:rsidRPr="00097A86">
        <w:t>3.34, the size of the mine void volume must be measured by:</w:t>
      </w:r>
    </w:p>
    <w:p w14:paraId="16EDA2AE" w14:textId="77777777" w:rsidR="003F0D4E" w:rsidRPr="00097A86" w:rsidRDefault="003F0D4E" w:rsidP="00D22D3F">
      <w:pPr>
        <w:pStyle w:val="paragraph"/>
      </w:pPr>
      <w:r w:rsidRPr="00097A86">
        <w:lastRenderedPageBreak/>
        <w:tab/>
        <w:t>(a)</w:t>
      </w:r>
      <w:r w:rsidRPr="00097A86">
        <w:tab/>
        <w:t>using mine void volumes for the mine estimated in accordance with industry practice; or</w:t>
      </w:r>
    </w:p>
    <w:p w14:paraId="35869F7D" w14:textId="77777777" w:rsidR="003F0D4E" w:rsidRPr="00097A86" w:rsidRDefault="003F0D4E" w:rsidP="00D22D3F">
      <w:pPr>
        <w:pStyle w:val="paragraph"/>
      </w:pPr>
      <w:r w:rsidRPr="00097A86">
        <w:tab/>
        <w:t>(b)</w:t>
      </w:r>
      <w:r w:rsidRPr="00097A86">
        <w:tab/>
        <w:t>dividing the total amount of run</w:t>
      </w:r>
      <w:r w:rsidR="00097A86">
        <w:noBreakHyphen/>
      </w:r>
      <w:r w:rsidRPr="00097A86">
        <w:t>of</w:t>
      </w:r>
      <w:r w:rsidR="00097A86">
        <w:noBreakHyphen/>
      </w:r>
      <w:r w:rsidRPr="00097A86">
        <w:t>mine coal extracted from the mine before the mine was decommissioned by 1.425.</w:t>
      </w:r>
    </w:p>
    <w:p w14:paraId="08A153AF" w14:textId="77777777" w:rsidR="003F0D4E" w:rsidRPr="00097A86" w:rsidRDefault="003F0D4E" w:rsidP="00D22D3F">
      <w:pPr>
        <w:pStyle w:val="ActHead5"/>
      </w:pPr>
      <w:bookmarkStart w:id="264" w:name="_Toc13233704"/>
      <w:r w:rsidRPr="00097A86">
        <w:rPr>
          <w:rStyle w:val="CharSectno"/>
        </w:rPr>
        <w:t>3.37</w:t>
      </w:r>
      <w:r w:rsidR="00D22D3F" w:rsidRPr="00097A86">
        <w:t xml:space="preserve">  </w:t>
      </w:r>
      <w:r w:rsidRPr="00097A86">
        <w:t>Method 4</w:t>
      </w:r>
      <w:r w:rsidR="00D22D3F" w:rsidRPr="00097A86">
        <w:t>—</w:t>
      </w:r>
      <w:r w:rsidRPr="00097A86">
        <w:t>decommissioned underground mines</w:t>
      </w:r>
      <w:bookmarkEnd w:id="264"/>
    </w:p>
    <w:p w14:paraId="301408D0" w14:textId="77777777" w:rsidR="003F0D4E" w:rsidRPr="00097A86" w:rsidRDefault="003F0D4E" w:rsidP="00D22D3F">
      <w:pPr>
        <w:pStyle w:val="subsection"/>
      </w:pPr>
      <w:r w:rsidRPr="00097A86">
        <w:tab/>
        <w:t>(1)</w:t>
      </w:r>
      <w:r w:rsidRPr="00097A86">
        <w:tab/>
        <w:t>For paragraph</w:t>
      </w:r>
      <w:r w:rsidR="00097A86">
        <w:t> </w:t>
      </w:r>
      <w:r w:rsidRPr="00097A86">
        <w:t>3.31(2)(b) and subsection</w:t>
      </w:r>
      <w:r w:rsidR="00097A86">
        <w:t> </w:t>
      </w:r>
      <w:r w:rsidRPr="00097A86">
        <w:t>3.31(3), method 4 is the same as method 4 in section</w:t>
      </w:r>
      <w:r w:rsidR="00097A86">
        <w:t> </w:t>
      </w:r>
      <w:r w:rsidRPr="00097A86">
        <w:t>3.6.</w:t>
      </w:r>
    </w:p>
    <w:p w14:paraId="0BA2DBCC" w14:textId="77777777" w:rsidR="003F0D4E" w:rsidRPr="00097A86" w:rsidRDefault="003F0D4E" w:rsidP="00D22D3F">
      <w:pPr>
        <w:pStyle w:val="subsection"/>
      </w:pPr>
      <w:r w:rsidRPr="00097A86">
        <w:tab/>
        <w:t>(2)</w:t>
      </w:r>
      <w:r w:rsidRPr="00097A86">
        <w:tab/>
        <w:t>In applying method 4 under section</w:t>
      </w:r>
      <w:r w:rsidR="00097A86">
        <w:t> </w:t>
      </w:r>
      <w:r w:rsidRPr="00097A86">
        <w:t>3.6, a reference to an underground mine is taken to be a reference to a decommissioned underground mine.</w:t>
      </w:r>
    </w:p>
    <w:p w14:paraId="01D6D87C" w14:textId="77777777" w:rsidR="003F0D4E" w:rsidRPr="00097A86" w:rsidRDefault="003F0D4E" w:rsidP="00D22D3F">
      <w:pPr>
        <w:pStyle w:val="ActHead4"/>
      </w:pPr>
      <w:bookmarkStart w:id="265" w:name="_Toc13233705"/>
      <w:r w:rsidRPr="00097A86">
        <w:rPr>
          <w:rStyle w:val="CharSubdNo"/>
        </w:rPr>
        <w:t>Subdivision</w:t>
      </w:r>
      <w:r w:rsidR="00097A86">
        <w:rPr>
          <w:rStyle w:val="CharSubdNo"/>
        </w:rPr>
        <w:t> </w:t>
      </w:r>
      <w:r w:rsidRPr="00097A86">
        <w:rPr>
          <w:rStyle w:val="CharSubdNo"/>
        </w:rPr>
        <w:t>3.2.4.3</w:t>
      </w:r>
      <w:r w:rsidR="00D22D3F" w:rsidRPr="00097A86">
        <w:t>—</w:t>
      </w:r>
      <w:r w:rsidRPr="00097A86">
        <w:rPr>
          <w:rStyle w:val="CharSubdText"/>
        </w:rPr>
        <w:t>Fugitive emissions from coal mine waste gas flared</w:t>
      </w:r>
      <w:bookmarkEnd w:id="265"/>
    </w:p>
    <w:p w14:paraId="2A3BC971" w14:textId="77777777" w:rsidR="003F0D4E" w:rsidRPr="00097A86" w:rsidRDefault="003F0D4E" w:rsidP="00D22D3F">
      <w:pPr>
        <w:pStyle w:val="ActHead5"/>
      </w:pPr>
      <w:bookmarkStart w:id="266" w:name="_Toc13233706"/>
      <w:r w:rsidRPr="00097A86">
        <w:rPr>
          <w:rStyle w:val="CharSectno"/>
        </w:rPr>
        <w:t>3.38</w:t>
      </w:r>
      <w:r w:rsidR="00D22D3F" w:rsidRPr="00097A86">
        <w:t xml:space="preserve">  </w:t>
      </w:r>
      <w:r w:rsidRPr="00097A86">
        <w:t>Method 1</w:t>
      </w:r>
      <w:r w:rsidR="00D22D3F" w:rsidRPr="00097A86">
        <w:t>—</w:t>
      </w:r>
      <w:r w:rsidRPr="00097A86">
        <w:t>coal mine waste gas flared</w:t>
      </w:r>
      <w:bookmarkEnd w:id="266"/>
      <w:r w:rsidRPr="00097A86">
        <w:t xml:space="preserve"> </w:t>
      </w:r>
    </w:p>
    <w:p w14:paraId="52ABB6F7" w14:textId="77777777" w:rsidR="003F0D4E" w:rsidRPr="00097A86" w:rsidRDefault="003F0D4E" w:rsidP="00D22D3F">
      <w:pPr>
        <w:pStyle w:val="subsection"/>
      </w:pPr>
      <w:r w:rsidRPr="00097A86">
        <w:tab/>
        <w:t>(1)</w:t>
      </w:r>
      <w:r w:rsidRPr="00097A86">
        <w:tab/>
        <w:t>For subparagraph</w:t>
      </w:r>
      <w:r w:rsidR="00097A86">
        <w:t> </w:t>
      </w:r>
      <w:r w:rsidRPr="00097A86">
        <w:t>3.31(4)(a)(i) and paragraphs 3.31(4)(b) and (4)(c), method 1 is the same as method 1 under section</w:t>
      </w:r>
      <w:r w:rsidR="00097A86">
        <w:t> </w:t>
      </w:r>
      <w:r w:rsidRPr="00097A86">
        <w:t>3.14.</w:t>
      </w:r>
    </w:p>
    <w:p w14:paraId="2096F414" w14:textId="77777777" w:rsidR="003F0D4E" w:rsidRPr="00097A86" w:rsidRDefault="003F0D4E" w:rsidP="00D22D3F">
      <w:pPr>
        <w:pStyle w:val="subsection"/>
      </w:pPr>
      <w:r w:rsidRPr="00097A86">
        <w:tab/>
        <w:t>(2)</w:t>
      </w:r>
      <w:r w:rsidRPr="00097A86">
        <w:tab/>
        <w:t>In applying method 1 under section</w:t>
      </w:r>
      <w:r w:rsidR="00097A86">
        <w:t> </w:t>
      </w:r>
      <w:r w:rsidRPr="00097A86">
        <w:t>3.14, a reference to an underground mine is taken to be a reference to a decommissioned underground mine.</w:t>
      </w:r>
    </w:p>
    <w:p w14:paraId="5A1E6EA4" w14:textId="77777777" w:rsidR="003F0D4E" w:rsidRPr="00097A86" w:rsidRDefault="003F0D4E" w:rsidP="00D22D3F">
      <w:pPr>
        <w:pStyle w:val="ActHead5"/>
      </w:pPr>
      <w:bookmarkStart w:id="267" w:name="_Toc13233707"/>
      <w:r w:rsidRPr="00097A86">
        <w:rPr>
          <w:rStyle w:val="CharSectno"/>
        </w:rPr>
        <w:t>3.39</w:t>
      </w:r>
      <w:r w:rsidR="00D22D3F" w:rsidRPr="00097A86">
        <w:t xml:space="preserve">  </w:t>
      </w:r>
      <w:r w:rsidRPr="00097A86">
        <w:t>Method 2</w:t>
      </w:r>
      <w:r w:rsidR="00D22D3F" w:rsidRPr="00097A86">
        <w:t>—</w:t>
      </w:r>
      <w:r w:rsidRPr="00097A86">
        <w:t>coal mine waste gas flared</w:t>
      </w:r>
      <w:bookmarkEnd w:id="267"/>
    </w:p>
    <w:p w14:paraId="5C877F70" w14:textId="77777777" w:rsidR="003F0D4E" w:rsidRPr="00097A86" w:rsidRDefault="003F0D4E" w:rsidP="00D22D3F">
      <w:pPr>
        <w:pStyle w:val="subsection"/>
      </w:pPr>
      <w:r w:rsidRPr="00097A86">
        <w:tab/>
      </w:r>
      <w:r w:rsidRPr="00097A86">
        <w:tab/>
        <w:t>For subparagraph</w:t>
      </w:r>
      <w:r w:rsidR="00097A86">
        <w:t> </w:t>
      </w:r>
      <w:r w:rsidRPr="00097A86">
        <w:t>3.31(4)(a)(ii), method 2 is the same as method 2 under section</w:t>
      </w:r>
      <w:r w:rsidR="00097A86">
        <w:t> </w:t>
      </w:r>
      <w:r w:rsidRPr="00097A86">
        <w:t>3.15.</w:t>
      </w:r>
    </w:p>
    <w:p w14:paraId="5530E12D" w14:textId="77777777" w:rsidR="003F0D4E" w:rsidRPr="00097A86" w:rsidRDefault="003F0D4E" w:rsidP="00D22D3F">
      <w:pPr>
        <w:pStyle w:val="ActHead5"/>
      </w:pPr>
      <w:bookmarkStart w:id="268" w:name="_Toc13233708"/>
      <w:r w:rsidRPr="00097A86">
        <w:rPr>
          <w:rStyle w:val="CharSectno"/>
        </w:rPr>
        <w:t>3.40</w:t>
      </w:r>
      <w:r w:rsidR="00D22D3F" w:rsidRPr="00097A86">
        <w:t xml:space="preserve">  </w:t>
      </w:r>
      <w:r w:rsidRPr="00097A86">
        <w:t>Method 3</w:t>
      </w:r>
      <w:r w:rsidR="00D22D3F" w:rsidRPr="00097A86">
        <w:t>—</w:t>
      </w:r>
      <w:r w:rsidRPr="00097A86">
        <w:t>coal mine waste gas flared</w:t>
      </w:r>
      <w:bookmarkEnd w:id="268"/>
    </w:p>
    <w:p w14:paraId="4F3B4DFE" w14:textId="77777777" w:rsidR="003F0D4E" w:rsidRPr="00097A86" w:rsidRDefault="003F0D4E" w:rsidP="00D22D3F">
      <w:pPr>
        <w:pStyle w:val="subsection"/>
      </w:pPr>
      <w:r w:rsidRPr="00097A86">
        <w:tab/>
      </w:r>
      <w:r w:rsidRPr="00097A86">
        <w:tab/>
        <w:t>For subparagraph</w:t>
      </w:r>
      <w:r w:rsidR="00097A86">
        <w:t> </w:t>
      </w:r>
      <w:r w:rsidRPr="00097A86">
        <w:t>3.31(4)(a)(iii), method 3 is the same as method 3 under section</w:t>
      </w:r>
      <w:r w:rsidR="00097A86">
        <w:t> </w:t>
      </w:r>
      <w:r w:rsidRPr="00097A86">
        <w:t xml:space="preserve">3.16. </w:t>
      </w:r>
    </w:p>
    <w:p w14:paraId="312BF087" w14:textId="77777777" w:rsidR="003F0D4E" w:rsidRPr="00097A86" w:rsidRDefault="003F0D4E" w:rsidP="00D22D3F">
      <w:pPr>
        <w:pStyle w:val="ActHead2"/>
        <w:pageBreakBefore/>
      </w:pPr>
      <w:bookmarkStart w:id="269" w:name="_Toc13233709"/>
      <w:r w:rsidRPr="00097A86">
        <w:rPr>
          <w:rStyle w:val="CharPartNo"/>
        </w:rPr>
        <w:lastRenderedPageBreak/>
        <w:t>Part</w:t>
      </w:r>
      <w:r w:rsidR="00097A86">
        <w:rPr>
          <w:rStyle w:val="CharPartNo"/>
        </w:rPr>
        <w:t> </w:t>
      </w:r>
      <w:r w:rsidRPr="00097A86">
        <w:rPr>
          <w:rStyle w:val="CharPartNo"/>
        </w:rPr>
        <w:t>3.3</w:t>
      </w:r>
      <w:r w:rsidR="00D22D3F" w:rsidRPr="00097A86">
        <w:t>—</w:t>
      </w:r>
      <w:r w:rsidRPr="00097A86">
        <w:rPr>
          <w:rStyle w:val="CharPartText"/>
        </w:rPr>
        <w:t>Oil and natural gas</w:t>
      </w:r>
      <w:r w:rsidR="00D22D3F" w:rsidRPr="00097A86">
        <w:rPr>
          <w:rStyle w:val="CharPartText"/>
        </w:rPr>
        <w:t>—</w:t>
      </w:r>
      <w:r w:rsidRPr="00097A86">
        <w:rPr>
          <w:rStyle w:val="CharPartText"/>
        </w:rPr>
        <w:t>fugitive emissions</w:t>
      </w:r>
      <w:bookmarkEnd w:id="269"/>
    </w:p>
    <w:p w14:paraId="7DB72A0E" w14:textId="77777777" w:rsidR="003F0D4E" w:rsidRPr="00097A86" w:rsidRDefault="003F0D4E" w:rsidP="00D22D3F">
      <w:pPr>
        <w:pStyle w:val="ActHead3"/>
      </w:pPr>
      <w:bookmarkStart w:id="270" w:name="_Toc13233710"/>
      <w:r w:rsidRPr="00097A86">
        <w:rPr>
          <w:rStyle w:val="CharDivNo"/>
        </w:rPr>
        <w:t>Division</w:t>
      </w:r>
      <w:r w:rsidR="00097A86">
        <w:rPr>
          <w:rStyle w:val="CharDivNo"/>
        </w:rPr>
        <w:t> </w:t>
      </w:r>
      <w:r w:rsidRPr="00097A86">
        <w:rPr>
          <w:rStyle w:val="CharDivNo"/>
        </w:rPr>
        <w:t>3.3.1</w:t>
      </w:r>
      <w:r w:rsidR="00D22D3F" w:rsidRPr="00097A86">
        <w:t>—</w:t>
      </w:r>
      <w:r w:rsidRPr="00097A86">
        <w:rPr>
          <w:rStyle w:val="CharDivText"/>
        </w:rPr>
        <w:t>Preliminary</w:t>
      </w:r>
      <w:bookmarkEnd w:id="270"/>
    </w:p>
    <w:p w14:paraId="76D55212" w14:textId="77777777" w:rsidR="00FA5CB6" w:rsidRPr="00097A86" w:rsidRDefault="00FA5CB6" w:rsidP="00D22D3F">
      <w:pPr>
        <w:pStyle w:val="ActHead5"/>
      </w:pPr>
      <w:bookmarkStart w:id="271" w:name="_Toc13233711"/>
      <w:r w:rsidRPr="00097A86">
        <w:rPr>
          <w:rStyle w:val="CharSectno"/>
        </w:rPr>
        <w:t>3.40A</w:t>
      </w:r>
      <w:r w:rsidR="00D22D3F" w:rsidRPr="00097A86">
        <w:t xml:space="preserve">  </w:t>
      </w:r>
      <w:r w:rsidRPr="00097A86">
        <w:t xml:space="preserve">Definition of </w:t>
      </w:r>
      <w:r w:rsidRPr="00097A86">
        <w:rPr>
          <w:i/>
        </w:rPr>
        <w:t xml:space="preserve">natural gas </w:t>
      </w:r>
      <w:r w:rsidRPr="00097A86">
        <w:t>for Part</w:t>
      </w:r>
      <w:r w:rsidR="00097A86">
        <w:t> </w:t>
      </w:r>
      <w:r w:rsidRPr="00097A86">
        <w:t>3.3</w:t>
      </w:r>
      <w:bookmarkEnd w:id="271"/>
    </w:p>
    <w:p w14:paraId="70BA6776" w14:textId="77777777" w:rsidR="00FA5CB6" w:rsidRPr="00097A86" w:rsidRDefault="00FA5CB6" w:rsidP="00D22D3F">
      <w:pPr>
        <w:pStyle w:val="subsection"/>
      </w:pPr>
      <w:r w:rsidRPr="00097A86">
        <w:rPr>
          <w:b/>
          <w:i/>
        </w:rPr>
        <w:tab/>
      </w:r>
      <w:r w:rsidRPr="00097A86">
        <w:tab/>
        <w:t>In this Part:</w:t>
      </w:r>
    </w:p>
    <w:p w14:paraId="3A1FFB80" w14:textId="77777777" w:rsidR="002209E8" w:rsidRPr="00097A86" w:rsidRDefault="002209E8" w:rsidP="002209E8">
      <w:pPr>
        <w:pStyle w:val="Definition"/>
      </w:pPr>
      <w:r w:rsidRPr="00097A86">
        <w:rPr>
          <w:b/>
          <w:i/>
        </w:rPr>
        <w:t>natural gas</w:t>
      </w:r>
      <w:r w:rsidRPr="00097A86">
        <w:t xml:space="preserve"> includes the following:</w:t>
      </w:r>
    </w:p>
    <w:p w14:paraId="78002B0C" w14:textId="77777777" w:rsidR="002209E8" w:rsidRPr="00097A86" w:rsidRDefault="002209E8" w:rsidP="002209E8">
      <w:pPr>
        <w:pStyle w:val="paragraph"/>
      </w:pPr>
      <w:r w:rsidRPr="00097A86">
        <w:tab/>
        <w:t>(a)</w:t>
      </w:r>
      <w:r w:rsidRPr="00097A86">
        <w:tab/>
        <w:t>shale gas;</w:t>
      </w:r>
    </w:p>
    <w:p w14:paraId="39806B7D" w14:textId="77777777" w:rsidR="002209E8" w:rsidRPr="00097A86" w:rsidRDefault="002209E8" w:rsidP="002209E8">
      <w:pPr>
        <w:pStyle w:val="paragraph"/>
      </w:pPr>
      <w:r w:rsidRPr="00097A86">
        <w:tab/>
        <w:t>(b)</w:t>
      </w:r>
      <w:r w:rsidRPr="00097A86">
        <w:tab/>
        <w:t>tight gas;</w:t>
      </w:r>
    </w:p>
    <w:p w14:paraId="0EA86544" w14:textId="77777777" w:rsidR="002209E8" w:rsidRPr="00097A86" w:rsidRDefault="002209E8" w:rsidP="002209E8">
      <w:pPr>
        <w:pStyle w:val="paragraph"/>
      </w:pPr>
      <w:r w:rsidRPr="00097A86">
        <w:tab/>
        <w:t>(c)</w:t>
      </w:r>
      <w:r w:rsidRPr="00097A86">
        <w:tab/>
        <w:t>coal seam methane.</w:t>
      </w:r>
    </w:p>
    <w:p w14:paraId="6D41A6C9" w14:textId="77777777" w:rsidR="000D7E86" w:rsidRPr="00097A86" w:rsidRDefault="000D7E86" w:rsidP="00D22D3F">
      <w:pPr>
        <w:pStyle w:val="ActHead5"/>
      </w:pPr>
      <w:bookmarkStart w:id="272" w:name="_Toc13233712"/>
      <w:r w:rsidRPr="00097A86">
        <w:rPr>
          <w:rStyle w:val="CharSectno"/>
        </w:rPr>
        <w:t>3.41</w:t>
      </w:r>
      <w:r w:rsidR="00D22D3F" w:rsidRPr="00097A86">
        <w:t xml:space="preserve">  </w:t>
      </w:r>
      <w:r w:rsidRPr="00097A86">
        <w:t>Outline of Part</w:t>
      </w:r>
      <w:bookmarkEnd w:id="272"/>
    </w:p>
    <w:p w14:paraId="0AA858FF" w14:textId="77777777" w:rsidR="000D7E86" w:rsidRPr="00097A86" w:rsidRDefault="000D7E86" w:rsidP="00D22D3F">
      <w:pPr>
        <w:pStyle w:val="subsection"/>
      </w:pPr>
      <w:r w:rsidRPr="00097A86">
        <w:tab/>
      </w:r>
      <w:r w:rsidRPr="00097A86">
        <w:tab/>
        <w:t>This Part provides for fugitive emissions from the following:</w:t>
      </w:r>
    </w:p>
    <w:p w14:paraId="776AD85E" w14:textId="77777777" w:rsidR="000D7E86" w:rsidRPr="00097A86" w:rsidRDefault="000D7E86" w:rsidP="00D22D3F">
      <w:pPr>
        <w:pStyle w:val="paragraph"/>
      </w:pPr>
      <w:r w:rsidRPr="00097A86">
        <w:tab/>
        <w:t>(a)</w:t>
      </w:r>
      <w:r w:rsidRPr="00097A86">
        <w:tab/>
        <w:t>oil or gas exploration (see Division</w:t>
      </w:r>
      <w:r w:rsidR="00097A86">
        <w:t> </w:t>
      </w:r>
      <w:r w:rsidRPr="00097A86">
        <w:t>3.3.2);</w:t>
      </w:r>
    </w:p>
    <w:p w14:paraId="58FB9505" w14:textId="77777777" w:rsidR="000D7E86" w:rsidRPr="00097A86" w:rsidRDefault="000D7E86" w:rsidP="00D22D3F">
      <w:pPr>
        <w:pStyle w:val="paragraph"/>
      </w:pPr>
      <w:r w:rsidRPr="00097A86">
        <w:tab/>
        <w:t>(b)</w:t>
      </w:r>
      <w:r w:rsidRPr="00097A86">
        <w:tab/>
        <w:t>crude oil production (see Division</w:t>
      </w:r>
      <w:r w:rsidR="00097A86">
        <w:t> </w:t>
      </w:r>
      <w:r w:rsidRPr="00097A86">
        <w:t>3.3.3);</w:t>
      </w:r>
    </w:p>
    <w:p w14:paraId="4690B8DB" w14:textId="77777777" w:rsidR="000D7E86" w:rsidRPr="00097A86" w:rsidRDefault="000D7E86" w:rsidP="00D22D3F">
      <w:pPr>
        <w:pStyle w:val="paragraph"/>
      </w:pPr>
      <w:r w:rsidRPr="00097A86">
        <w:tab/>
        <w:t>(c)</w:t>
      </w:r>
      <w:r w:rsidRPr="00097A86">
        <w:tab/>
        <w:t>crude oil transport (see Division</w:t>
      </w:r>
      <w:r w:rsidR="00097A86">
        <w:t> </w:t>
      </w:r>
      <w:r w:rsidRPr="00097A86">
        <w:t>3.3.4);</w:t>
      </w:r>
    </w:p>
    <w:p w14:paraId="391093CF" w14:textId="77777777" w:rsidR="000D7E86" w:rsidRPr="00097A86" w:rsidRDefault="000D7E86" w:rsidP="00D22D3F">
      <w:pPr>
        <w:pStyle w:val="paragraph"/>
      </w:pPr>
      <w:r w:rsidRPr="00097A86">
        <w:tab/>
        <w:t xml:space="preserve">(d) </w:t>
      </w:r>
      <w:r w:rsidRPr="00097A86">
        <w:tab/>
        <w:t>crude oil refining (see Division</w:t>
      </w:r>
      <w:r w:rsidR="00097A86">
        <w:t> </w:t>
      </w:r>
      <w:r w:rsidRPr="00097A86">
        <w:t>3.3.5);</w:t>
      </w:r>
    </w:p>
    <w:p w14:paraId="4C033567" w14:textId="77777777" w:rsidR="000D7E86" w:rsidRPr="00097A86" w:rsidRDefault="000D7E86" w:rsidP="00D22D3F">
      <w:pPr>
        <w:pStyle w:val="paragraph"/>
      </w:pPr>
      <w:r w:rsidRPr="00097A86">
        <w:tab/>
        <w:t>(e)</w:t>
      </w:r>
      <w:r w:rsidRPr="00097A86">
        <w:tab/>
        <w:t>natural gas production or processing, other than emissions that are vented or flared (see Division</w:t>
      </w:r>
      <w:r w:rsidR="00097A86">
        <w:t> </w:t>
      </w:r>
      <w:r w:rsidRPr="00097A86">
        <w:t>3.3.6);</w:t>
      </w:r>
    </w:p>
    <w:p w14:paraId="32249C04" w14:textId="77777777" w:rsidR="000D7E86" w:rsidRPr="00097A86" w:rsidRDefault="000D7E86" w:rsidP="00D22D3F">
      <w:pPr>
        <w:pStyle w:val="paragraph"/>
      </w:pPr>
      <w:r w:rsidRPr="00097A86">
        <w:tab/>
        <w:t>(f)</w:t>
      </w:r>
      <w:r w:rsidRPr="00097A86">
        <w:tab/>
        <w:t>natural gas transmission (see Division</w:t>
      </w:r>
      <w:r w:rsidR="00097A86">
        <w:t> </w:t>
      </w:r>
      <w:r w:rsidRPr="00097A86">
        <w:t>3.3.7);</w:t>
      </w:r>
    </w:p>
    <w:p w14:paraId="41821900" w14:textId="77777777" w:rsidR="000D7E86" w:rsidRPr="00097A86" w:rsidRDefault="000D7E86" w:rsidP="00D22D3F">
      <w:pPr>
        <w:pStyle w:val="paragraph"/>
      </w:pPr>
      <w:r w:rsidRPr="00097A86">
        <w:tab/>
        <w:t>(g)</w:t>
      </w:r>
      <w:r w:rsidRPr="00097A86">
        <w:tab/>
        <w:t>natural gas distribution (see Division</w:t>
      </w:r>
      <w:r w:rsidR="00097A86">
        <w:t> </w:t>
      </w:r>
      <w:r w:rsidRPr="00097A86">
        <w:t>3.3.8);</w:t>
      </w:r>
    </w:p>
    <w:p w14:paraId="3705DCC8" w14:textId="77777777" w:rsidR="000D7E86" w:rsidRPr="00097A86" w:rsidRDefault="000D7E86" w:rsidP="00D22D3F">
      <w:pPr>
        <w:pStyle w:val="paragraph"/>
      </w:pPr>
      <w:r w:rsidRPr="00097A86">
        <w:tab/>
        <w:t>(h)</w:t>
      </w:r>
      <w:r w:rsidRPr="00097A86">
        <w:tab/>
        <w:t>natural gas production or processing (emissions that are vented or flared) (see Division</w:t>
      </w:r>
      <w:r w:rsidR="00097A86">
        <w:t> </w:t>
      </w:r>
      <w:r w:rsidRPr="00097A86">
        <w:t>3.3.9).</w:t>
      </w:r>
    </w:p>
    <w:p w14:paraId="76F3BEF1" w14:textId="77777777" w:rsidR="00FA5CB6" w:rsidRPr="00097A86" w:rsidRDefault="00FA5CB6" w:rsidP="00D22D3F">
      <w:pPr>
        <w:pStyle w:val="ActHead3"/>
        <w:pageBreakBefore/>
      </w:pPr>
      <w:bookmarkStart w:id="273" w:name="_Toc13233713"/>
      <w:r w:rsidRPr="00097A86">
        <w:rPr>
          <w:rStyle w:val="CharDivNo"/>
        </w:rPr>
        <w:lastRenderedPageBreak/>
        <w:t>Division</w:t>
      </w:r>
      <w:r w:rsidR="00097A86">
        <w:rPr>
          <w:rStyle w:val="CharDivNo"/>
        </w:rPr>
        <w:t> </w:t>
      </w:r>
      <w:r w:rsidRPr="00097A86">
        <w:rPr>
          <w:rStyle w:val="CharDivNo"/>
        </w:rPr>
        <w:t>3.3.2</w:t>
      </w:r>
      <w:r w:rsidR="00D22D3F" w:rsidRPr="00097A86">
        <w:t>—</w:t>
      </w:r>
      <w:r w:rsidRPr="00097A86">
        <w:rPr>
          <w:rStyle w:val="CharDivText"/>
        </w:rPr>
        <w:t>Oil or gas exploration</w:t>
      </w:r>
      <w:bookmarkEnd w:id="273"/>
    </w:p>
    <w:p w14:paraId="7FF11F07" w14:textId="77777777" w:rsidR="00A24430" w:rsidRPr="00097A86" w:rsidRDefault="00A24430" w:rsidP="00D22D3F">
      <w:pPr>
        <w:pStyle w:val="ActHead4"/>
      </w:pPr>
      <w:bookmarkStart w:id="274" w:name="_Toc13233714"/>
      <w:r w:rsidRPr="00097A86">
        <w:rPr>
          <w:rStyle w:val="CharSubdNo"/>
        </w:rPr>
        <w:t>Subdivision</w:t>
      </w:r>
      <w:r w:rsidR="00097A86">
        <w:rPr>
          <w:rStyle w:val="CharSubdNo"/>
        </w:rPr>
        <w:t> </w:t>
      </w:r>
      <w:r w:rsidRPr="00097A86">
        <w:rPr>
          <w:rStyle w:val="CharSubdNo"/>
        </w:rPr>
        <w:t>3.3.2.1</w:t>
      </w:r>
      <w:r w:rsidR="00D22D3F" w:rsidRPr="00097A86">
        <w:t>—</w:t>
      </w:r>
      <w:r w:rsidRPr="00097A86">
        <w:rPr>
          <w:rStyle w:val="CharSubdText"/>
        </w:rPr>
        <w:t>Preliminary</w:t>
      </w:r>
      <w:bookmarkEnd w:id="274"/>
    </w:p>
    <w:p w14:paraId="60405CEE" w14:textId="77777777" w:rsidR="000D7E86" w:rsidRPr="00097A86" w:rsidRDefault="000D7E86" w:rsidP="00D22D3F">
      <w:pPr>
        <w:pStyle w:val="ActHead5"/>
      </w:pPr>
      <w:bookmarkStart w:id="275" w:name="_Toc13233715"/>
      <w:r w:rsidRPr="00097A86">
        <w:rPr>
          <w:rStyle w:val="CharSectno"/>
        </w:rPr>
        <w:t>3.42</w:t>
      </w:r>
      <w:r w:rsidR="00D22D3F" w:rsidRPr="00097A86">
        <w:t xml:space="preserve">  </w:t>
      </w:r>
      <w:r w:rsidRPr="00097A86">
        <w:t>Application</w:t>
      </w:r>
      <w:bookmarkEnd w:id="275"/>
    </w:p>
    <w:p w14:paraId="203A0D60" w14:textId="77777777" w:rsidR="000D7E86" w:rsidRPr="00097A86" w:rsidRDefault="000D7E86" w:rsidP="00D22D3F">
      <w:pPr>
        <w:pStyle w:val="subsection"/>
      </w:pPr>
      <w:r w:rsidRPr="00097A86">
        <w:tab/>
      </w:r>
      <w:r w:rsidRPr="00097A86">
        <w:tab/>
        <w:t xml:space="preserve">This Division applies to fugitive emissions </w:t>
      </w:r>
      <w:r w:rsidR="00A24430" w:rsidRPr="00097A86">
        <w:t xml:space="preserve">from venting or flaring </w:t>
      </w:r>
      <w:r w:rsidRPr="00097A86">
        <w:t xml:space="preserve">from oil or gas exploration activities, including emissions from: </w:t>
      </w:r>
    </w:p>
    <w:p w14:paraId="6E1FD977" w14:textId="77777777" w:rsidR="000D7E86" w:rsidRPr="00097A86" w:rsidRDefault="000D7E86" w:rsidP="00D22D3F">
      <w:pPr>
        <w:pStyle w:val="paragraph"/>
      </w:pPr>
      <w:r w:rsidRPr="00097A86">
        <w:tab/>
        <w:t>(a)</w:t>
      </w:r>
      <w:r w:rsidRPr="00097A86">
        <w:tab/>
        <w:t>oil well drilling; and</w:t>
      </w:r>
    </w:p>
    <w:p w14:paraId="56E68FE8" w14:textId="77777777" w:rsidR="000D7E86" w:rsidRPr="00097A86" w:rsidRDefault="000D7E86" w:rsidP="00D22D3F">
      <w:pPr>
        <w:pStyle w:val="paragraph"/>
      </w:pPr>
      <w:r w:rsidRPr="00097A86">
        <w:tab/>
        <w:t>(b)</w:t>
      </w:r>
      <w:r w:rsidRPr="00097A86">
        <w:tab/>
        <w:t>gas well drilling; and</w:t>
      </w:r>
    </w:p>
    <w:p w14:paraId="662BA3DA" w14:textId="77777777" w:rsidR="000D7E86" w:rsidRPr="00097A86" w:rsidRDefault="000D7E86" w:rsidP="00D22D3F">
      <w:pPr>
        <w:pStyle w:val="paragraph"/>
      </w:pPr>
      <w:r w:rsidRPr="00097A86">
        <w:tab/>
        <w:t>(c)</w:t>
      </w:r>
      <w:r w:rsidRPr="00097A86">
        <w:tab/>
        <w:t xml:space="preserve">drill stem testing; and </w:t>
      </w:r>
    </w:p>
    <w:p w14:paraId="3339C39A" w14:textId="77777777" w:rsidR="000D7E86" w:rsidRPr="00097A86" w:rsidRDefault="000D7E86" w:rsidP="00D22D3F">
      <w:pPr>
        <w:pStyle w:val="paragraph"/>
      </w:pPr>
      <w:r w:rsidRPr="00097A86">
        <w:tab/>
        <w:t>(d)</w:t>
      </w:r>
      <w:r w:rsidRPr="00097A86">
        <w:tab/>
        <w:t>well completions</w:t>
      </w:r>
      <w:r w:rsidR="00AE0D87" w:rsidRPr="00097A86">
        <w:t>;</w:t>
      </w:r>
      <w:r w:rsidR="005D3685" w:rsidRPr="00097A86">
        <w:t xml:space="preserve"> </w:t>
      </w:r>
      <w:r w:rsidR="00AE0D87" w:rsidRPr="00097A86">
        <w:t>and</w:t>
      </w:r>
    </w:p>
    <w:p w14:paraId="4A11C9E1" w14:textId="77777777" w:rsidR="00AE0D87" w:rsidRPr="00097A86" w:rsidRDefault="00AE0D87" w:rsidP="00D22D3F">
      <w:pPr>
        <w:pStyle w:val="paragraph"/>
      </w:pPr>
      <w:r w:rsidRPr="00097A86">
        <w:tab/>
        <w:t>(e)</w:t>
      </w:r>
      <w:r w:rsidRPr="00097A86">
        <w:tab/>
        <w:t>wellworkovers.</w:t>
      </w:r>
    </w:p>
    <w:p w14:paraId="277A9BE6" w14:textId="77777777" w:rsidR="00A24430" w:rsidRPr="00097A86" w:rsidRDefault="00A24430" w:rsidP="00D22D3F">
      <w:pPr>
        <w:pStyle w:val="ActHead4"/>
      </w:pPr>
      <w:bookmarkStart w:id="276" w:name="_Toc13233716"/>
      <w:r w:rsidRPr="00097A86">
        <w:rPr>
          <w:rStyle w:val="CharSubdNo"/>
        </w:rPr>
        <w:t>Subdivision</w:t>
      </w:r>
      <w:r w:rsidR="00097A86">
        <w:rPr>
          <w:rStyle w:val="CharSubdNo"/>
        </w:rPr>
        <w:t> </w:t>
      </w:r>
      <w:r w:rsidRPr="00097A86">
        <w:rPr>
          <w:rStyle w:val="CharSubdNo"/>
        </w:rPr>
        <w:t>3.3.2.2</w:t>
      </w:r>
      <w:r w:rsidR="00D22D3F" w:rsidRPr="00097A86">
        <w:t>—</w:t>
      </w:r>
      <w:r w:rsidRPr="00097A86">
        <w:rPr>
          <w:rStyle w:val="CharSubdText"/>
        </w:rPr>
        <w:t>Oil or gas exploration (flared) emissions</w:t>
      </w:r>
      <w:bookmarkEnd w:id="276"/>
    </w:p>
    <w:p w14:paraId="25BB9442" w14:textId="77777777" w:rsidR="003F0D4E" w:rsidRPr="00097A86" w:rsidRDefault="003F0D4E" w:rsidP="00D22D3F">
      <w:pPr>
        <w:pStyle w:val="ActHead5"/>
      </w:pPr>
      <w:bookmarkStart w:id="277" w:name="_Toc13233717"/>
      <w:r w:rsidRPr="00097A86">
        <w:rPr>
          <w:rStyle w:val="CharSectno"/>
        </w:rPr>
        <w:t>3.43</w:t>
      </w:r>
      <w:r w:rsidR="00D22D3F" w:rsidRPr="00097A86">
        <w:t xml:space="preserve">  </w:t>
      </w:r>
      <w:r w:rsidRPr="00097A86">
        <w:t>Available methods</w:t>
      </w:r>
      <w:bookmarkEnd w:id="277"/>
    </w:p>
    <w:p w14:paraId="28336951" w14:textId="77777777" w:rsidR="004E22F1" w:rsidRPr="00097A86" w:rsidRDefault="004E22F1" w:rsidP="00D22D3F">
      <w:pPr>
        <w:pStyle w:val="subsection"/>
      </w:pPr>
      <w:r w:rsidRPr="00097A86">
        <w:tab/>
        <w:t>(1)</w:t>
      </w:r>
      <w:r w:rsidRPr="00097A86">
        <w:tab/>
        <w:t>Subject to section</w:t>
      </w:r>
      <w:r w:rsidR="00097A86">
        <w:t> </w:t>
      </w:r>
      <w:r w:rsidRPr="00097A86">
        <w:t>1.18, for estimating emissions released by oil or gas flaring during the year from the operation of a facility that is constituted by oil or gas exploration:</w:t>
      </w:r>
    </w:p>
    <w:p w14:paraId="575C0AE3" w14:textId="77777777" w:rsidR="004E22F1" w:rsidRPr="00097A86" w:rsidRDefault="004E22F1" w:rsidP="00D22D3F">
      <w:pPr>
        <w:pStyle w:val="paragraph"/>
      </w:pPr>
      <w:r w:rsidRPr="00097A86">
        <w:tab/>
        <w:t>(a)</w:t>
      </w:r>
      <w:r w:rsidRPr="00097A86">
        <w:tab/>
        <w:t>if estimating emissions of carbon dioxide released</w:t>
      </w:r>
      <w:r w:rsidR="00D22D3F" w:rsidRPr="00097A86">
        <w:t>—</w:t>
      </w:r>
      <w:r w:rsidRPr="00097A86">
        <w:t>one of the following methods must be used:</w:t>
      </w:r>
    </w:p>
    <w:p w14:paraId="011A84BB" w14:textId="77777777" w:rsidR="004E22F1" w:rsidRPr="00097A86" w:rsidRDefault="004E22F1" w:rsidP="00D22D3F">
      <w:pPr>
        <w:pStyle w:val="paragraphsub"/>
      </w:pPr>
      <w:r w:rsidRPr="00097A86">
        <w:tab/>
        <w:t>(i)</w:t>
      </w:r>
      <w:r w:rsidRPr="00097A86">
        <w:tab/>
        <w:t>method 1 under section</w:t>
      </w:r>
      <w:r w:rsidR="00097A86">
        <w:t> </w:t>
      </w:r>
      <w:r w:rsidRPr="00097A86">
        <w:t>3.44;</w:t>
      </w:r>
    </w:p>
    <w:p w14:paraId="71629A60" w14:textId="77777777" w:rsidR="004E22F1" w:rsidRPr="00097A86" w:rsidRDefault="004E22F1" w:rsidP="00D22D3F">
      <w:pPr>
        <w:pStyle w:val="paragraphsub"/>
      </w:pPr>
      <w:r w:rsidRPr="00097A86">
        <w:tab/>
        <w:t>(ii)</w:t>
      </w:r>
      <w:r w:rsidRPr="00097A86">
        <w:tab/>
        <w:t>method 2 under section</w:t>
      </w:r>
      <w:r w:rsidR="00097A86">
        <w:t> </w:t>
      </w:r>
      <w:r w:rsidRPr="00097A86">
        <w:t>3.45;</w:t>
      </w:r>
    </w:p>
    <w:p w14:paraId="6EC947AA" w14:textId="77777777" w:rsidR="004E22F1" w:rsidRPr="00097A86" w:rsidRDefault="004E22F1" w:rsidP="00D22D3F">
      <w:pPr>
        <w:pStyle w:val="paragraphsub"/>
      </w:pPr>
      <w:r w:rsidRPr="00097A86">
        <w:tab/>
        <w:t>(iii)</w:t>
      </w:r>
      <w:r w:rsidRPr="00097A86">
        <w:tab/>
        <w:t>method 3 under section</w:t>
      </w:r>
      <w:r w:rsidR="00097A86">
        <w:t> </w:t>
      </w:r>
      <w:r w:rsidRPr="00097A86">
        <w:t>3.46; and</w:t>
      </w:r>
    </w:p>
    <w:p w14:paraId="3ACF34A0" w14:textId="77777777" w:rsidR="00702712" w:rsidRPr="00097A86" w:rsidRDefault="00702712" w:rsidP="00702712">
      <w:pPr>
        <w:pStyle w:val="paragraph"/>
      </w:pPr>
      <w:r w:rsidRPr="00097A86">
        <w:tab/>
        <w:t>(b)</w:t>
      </w:r>
      <w:r w:rsidRPr="00097A86">
        <w:tab/>
        <w:t>if estimating emissions of methane released—one of the following methods must be used:</w:t>
      </w:r>
    </w:p>
    <w:p w14:paraId="3A22BF4F" w14:textId="77777777" w:rsidR="00702712" w:rsidRPr="00097A86" w:rsidRDefault="00702712" w:rsidP="00702712">
      <w:pPr>
        <w:pStyle w:val="paragraphsub"/>
      </w:pPr>
      <w:r w:rsidRPr="00097A86">
        <w:tab/>
        <w:t>(i)</w:t>
      </w:r>
      <w:r w:rsidRPr="00097A86">
        <w:tab/>
        <w:t>method 1 under section</w:t>
      </w:r>
      <w:r w:rsidR="00097A86">
        <w:t> </w:t>
      </w:r>
      <w:r w:rsidRPr="00097A86">
        <w:t>3.44;</w:t>
      </w:r>
    </w:p>
    <w:p w14:paraId="621203BA" w14:textId="77777777" w:rsidR="00702712" w:rsidRPr="00097A86" w:rsidRDefault="00702712" w:rsidP="00702712">
      <w:pPr>
        <w:pStyle w:val="paragraphsub"/>
      </w:pPr>
      <w:r w:rsidRPr="00097A86">
        <w:tab/>
        <w:t>(ii)</w:t>
      </w:r>
      <w:r w:rsidRPr="00097A86">
        <w:tab/>
        <w:t>method 2A under section</w:t>
      </w:r>
      <w:r w:rsidR="00097A86">
        <w:t> </w:t>
      </w:r>
      <w:r w:rsidRPr="00097A86">
        <w:t>3.45A; and</w:t>
      </w:r>
    </w:p>
    <w:p w14:paraId="6825E217" w14:textId="77777777" w:rsidR="00702712" w:rsidRPr="00097A86" w:rsidRDefault="00702712" w:rsidP="00702712">
      <w:pPr>
        <w:pStyle w:val="paragraph"/>
      </w:pPr>
      <w:r w:rsidRPr="00097A86">
        <w:tab/>
        <w:t>(c)</w:t>
      </w:r>
      <w:r w:rsidRPr="00097A86">
        <w:tab/>
        <w:t>if estimating emissions of nitrous oxide released—one of the following methods must be used:</w:t>
      </w:r>
    </w:p>
    <w:p w14:paraId="105F7F4C" w14:textId="77777777" w:rsidR="00702712" w:rsidRPr="00097A86" w:rsidRDefault="00702712" w:rsidP="00702712">
      <w:pPr>
        <w:pStyle w:val="paragraphsub"/>
      </w:pPr>
      <w:r w:rsidRPr="00097A86">
        <w:tab/>
        <w:t>(i)</w:t>
      </w:r>
      <w:r w:rsidRPr="00097A86">
        <w:tab/>
        <w:t>method 1 under section</w:t>
      </w:r>
      <w:r w:rsidR="00097A86">
        <w:t> </w:t>
      </w:r>
      <w:r w:rsidRPr="00097A86">
        <w:t>3.44;</w:t>
      </w:r>
    </w:p>
    <w:p w14:paraId="3AA35283" w14:textId="77777777" w:rsidR="00702712" w:rsidRPr="00097A86" w:rsidRDefault="00702712" w:rsidP="00702712">
      <w:pPr>
        <w:pStyle w:val="paragraphsub"/>
      </w:pPr>
      <w:r w:rsidRPr="00097A86">
        <w:tab/>
        <w:t>(ii)</w:t>
      </w:r>
      <w:r w:rsidRPr="00097A86">
        <w:tab/>
        <w:t>method 2A under section</w:t>
      </w:r>
      <w:r w:rsidR="00097A86">
        <w:t> </w:t>
      </w:r>
      <w:r w:rsidRPr="00097A86">
        <w:t>3.45A.</w:t>
      </w:r>
    </w:p>
    <w:p w14:paraId="26A14581" w14:textId="77777777" w:rsidR="004E22F1" w:rsidRPr="00097A86" w:rsidRDefault="00D22D3F" w:rsidP="00D22D3F">
      <w:pPr>
        <w:pStyle w:val="notetext"/>
      </w:pPr>
      <w:r w:rsidRPr="00097A86">
        <w:t>Note:</w:t>
      </w:r>
      <w:r w:rsidRPr="00097A86">
        <w:tab/>
      </w:r>
      <w:r w:rsidR="004E22F1" w:rsidRPr="00097A86">
        <w:t xml:space="preserve">There is no method 4 under </w:t>
      </w:r>
      <w:r w:rsidR="00097A86">
        <w:t>paragraph (</w:t>
      </w:r>
      <w:r w:rsidR="004E22F1" w:rsidRPr="00097A86">
        <w:t xml:space="preserve">a) and no method 2, 3 or 4 under </w:t>
      </w:r>
      <w:r w:rsidR="00097A86">
        <w:t>paragraph (</w:t>
      </w:r>
      <w:r w:rsidR="004E22F1" w:rsidRPr="00097A86">
        <w:t>b) or (c).</w:t>
      </w:r>
    </w:p>
    <w:p w14:paraId="13F43E82"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1C0EB022" w14:textId="77777777" w:rsidR="00FA5CB6" w:rsidRPr="00097A86" w:rsidRDefault="00FA5CB6" w:rsidP="00D22D3F">
      <w:pPr>
        <w:pStyle w:val="ActHead5"/>
      </w:pPr>
      <w:bookmarkStart w:id="278" w:name="_Toc13233718"/>
      <w:r w:rsidRPr="00097A86">
        <w:rPr>
          <w:rStyle w:val="CharSectno"/>
        </w:rPr>
        <w:t>3.44</w:t>
      </w:r>
      <w:r w:rsidR="00D22D3F" w:rsidRPr="00097A86">
        <w:t xml:space="preserve">  </w:t>
      </w:r>
      <w:r w:rsidRPr="00097A86">
        <w:t>Method 1</w:t>
      </w:r>
      <w:r w:rsidR="00D22D3F" w:rsidRPr="00097A86">
        <w:t>—</w:t>
      </w:r>
      <w:r w:rsidRPr="00097A86">
        <w:t>oil or gas exploration</w:t>
      </w:r>
      <w:bookmarkEnd w:id="278"/>
    </w:p>
    <w:p w14:paraId="7A87D6F3" w14:textId="77777777" w:rsidR="003F0D4E" w:rsidRPr="00097A86" w:rsidRDefault="003F0D4E" w:rsidP="00D22D3F">
      <w:pPr>
        <w:pStyle w:val="subsection"/>
      </w:pPr>
      <w:r w:rsidRPr="00097A86">
        <w:tab/>
        <w:t>(1)</w:t>
      </w:r>
      <w:r w:rsidRPr="00097A86">
        <w:tab/>
        <w:t>Method 1 is:</w:t>
      </w:r>
    </w:p>
    <w:p w14:paraId="484E16DF"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2F573CCD" wp14:editId="40C44356">
            <wp:extent cx="962025" cy="2381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p w14:paraId="76D046BE" w14:textId="77777777" w:rsidR="003F0D4E" w:rsidRPr="00097A86" w:rsidRDefault="003F0D4E" w:rsidP="00D22D3F">
      <w:pPr>
        <w:pStyle w:val="subsection2"/>
      </w:pPr>
      <w:r w:rsidRPr="00097A86">
        <w:t>where:</w:t>
      </w:r>
    </w:p>
    <w:p w14:paraId="2F36F025" w14:textId="77777777" w:rsidR="003F0D4E" w:rsidRPr="00097A86" w:rsidRDefault="003F0D4E" w:rsidP="00D22D3F">
      <w:pPr>
        <w:pStyle w:val="Definition"/>
      </w:pPr>
      <w:r w:rsidRPr="00097A86">
        <w:rPr>
          <w:b/>
          <w:i/>
        </w:rPr>
        <w:lastRenderedPageBreak/>
        <w:t>E</w:t>
      </w:r>
      <w:r w:rsidRPr="00097A86">
        <w:rPr>
          <w:rFonts w:ascii="Times New Roman Bold" w:hAnsi="Times New Roman Bold"/>
          <w:b/>
          <w:i/>
          <w:vertAlign w:val="subscript"/>
        </w:rPr>
        <w:t>i</w:t>
      </w:r>
      <w:r w:rsidRPr="00097A86">
        <w:rPr>
          <w:b/>
          <w:i/>
          <w:vertAlign w:val="subscript"/>
        </w:rPr>
        <w:t>j</w:t>
      </w:r>
      <w:r w:rsidRPr="00097A86">
        <w:rPr>
          <w:b/>
          <w:i/>
        </w:rPr>
        <w:t xml:space="preserve"> </w:t>
      </w:r>
      <w:r w:rsidRPr="00097A86">
        <w:t>is the fugitive emissions of gas type (</w:t>
      </w:r>
      <w:r w:rsidRPr="00097A86">
        <w:rPr>
          <w:b/>
          <w:i/>
        </w:rPr>
        <w:t>j</w:t>
      </w:r>
      <w:r w:rsidRPr="00097A86">
        <w:t>) from a fuel type (</w:t>
      </w:r>
      <w:r w:rsidRPr="00097A86">
        <w:rPr>
          <w:b/>
          <w:i/>
        </w:rPr>
        <w:t>i</w:t>
      </w:r>
      <w:r w:rsidRPr="00097A86">
        <w:t xml:space="preserve">) flared in the </w:t>
      </w:r>
      <w:r w:rsidR="00E77440" w:rsidRPr="00097A86">
        <w:t>oil or gas</w:t>
      </w:r>
      <w:r w:rsidRPr="00097A86">
        <w:t xml:space="preserve"> exploration during the year measured in CO</w:t>
      </w:r>
      <w:r w:rsidRPr="00097A86">
        <w:rPr>
          <w:rStyle w:val="charSubscript"/>
          <w:iCs/>
        </w:rPr>
        <w:t>2</w:t>
      </w:r>
      <w:r w:rsidR="00097A86">
        <w:noBreakHyphen/>
      </w:r>
      <w:r w:rsidRPr="00097A86">
        <w:t>e tonnes.</w:t>
      </w:r>
    </w:p>
    <w:p w14:paraId="69A77E80" w14:textId="77777777" w:rsidR="003F0D4E" w:rsidRPr="00097A86" w:rsidRDefault="003F0D4E" w:rsidP="00D22D3F">
      <w:pPr>
        <w:pStyle w:val="Definition"/>
      </w:pPr>
      <w:r w:rsidRPr="00097A86">
        <w:rPr>
          <w:b/>
          <w:i/>
        </w:rPr>
        <w:t>Q</w:t>
      </w:r>
      <w:r w:rsidRPr="00097A86">
        <w:rPr>
          <w:rFonts w:ascii="Times New Roman Bold" w:hAnsi="Times New Roman Bold"/>
          <w:b/>
          <w:i/>
          <w:vertAlign w:val="subscript"/>
        </w:rPr>
        <w:t xml:space="preserve">i </w:t>
      </w:r>
      <w:r w:rsidRPr="00097A86">
        <w:t>is the quantity of fuel type (</w:t>
      </w:r>
      <w:r w:rsidRPr="00097A86">
        <w:rPr>
          <w:b/>
          <w:i/>
        </w:rPr>
        <w:t>i</w:t>
      </w:r>
      <w:r w:rsidRPr="00097A86">
        <w:t xml:space="preserve">) flared in the </w:t>
      </w:r>
      <w:r w:rsidR="00E77440" w:rsidRPr="00097A86">
        <w:t>oil or gas</w:t>
      </w:r>
      <w:r w:rsidRPr="00097A86">
        <w:t xml:space="preserve"> exploration during the year measured in tonnes.</w:t>
      </w:r>
    </w:p>
    <w:p w14:paraId="59ACE424" w14:textId="77777777" w:rsidR="003F0D4E" w:rsidRPr="00097A86" w:rsidRDefault="003F0D4E" w:rsidP="00D22D3F">
      <w:pPr>
        <w:pStyle w:val="Definition"/>
      </w:pPr>
      <w:r w:rsidRPr="00097A86">
        <w:rPr>
          <w:b/>
          <w:i/>
        </w:rPr>
        <w:t>EF</w:t>
      </w:r>
      <w:r w:rsidRPr="00097A86">
        <w:rPr>
          <w:rFonts w:ascii="Times New Roman Bold" w:hAnsi="Times New Roman Bold"/>
          <w:b/>
          <w:i/>
          <w:vertAlign w:val="subscript"/>
        </w:rPr>
        <w:t xml:space="preserve">ij </w:t>
      </w:r>
      <w:r w:rsidRPr="00097A86">
        <w:t>is the emission factor for gas type (</w:t>
      </w:r>
      <w:r w:rsidRPr="00097A86">
        <w:rPr>
          <w:b/>
          <w:i/>
        </w:rPr>
        <w:t>j</w:t>
      </w:r>
      <w:r w:rsidRPr="00097A86">
        <w:t>) measured in tonnes of CO</w:t>
      </w:r>
      <w:r w:rsidRPr="00097A86">
        <w:rPr>
          <w:rStyle w:val="charSubscript"/>
          <w:iCs/>
        </w:rPr>
        <w:t>2</w:t>
      </w:r>
      <w:r w:rsidR="00097A86">
        <w:noBreakHyphen/>
      </w:r>
      <w:r w:rsidRPr="00097A86">
        <w:t>e emissions per tonne of the fuel type (</w:t>
      </w:r>
      <w:r w:rsidRPr="00097A86">
        <w:rPr>
          <w:b/>
          <w:i/>
        </w:rPr>
        <w:t>i</w:t>
      </w:r>
      <w:r w:rsidRPr="00097A86">
        <w:t>) flared.</w:t>
      </w:r>
    </w:p>
    <w:p w14:paraId="58B92BA4"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w:t>
      </w:r>
      <w:r w:rsidRPr="00097A86">
        <w:rPr>
          <w:i/>
          <w:vertAlign w:val="subscript"/>
        </w:rPr>
        <w:t xml:space="preserve"> </w:t>
      </w:r>
      <w:r w:rsidRPr="00097A86">
        <w:t xml:space="preserve">in </w:t>
      </w:r>
      <w:r w:rsidR="00097A86">
        <w:t>subsection (</w:t>
      </w:r>
      <w:r w:rsidRPr="00097A86">
        <w:t>1), columns 3, 4 and 5 of an item in the following table specify the emission factor, for gas type (</w:t>
      </w:r>
      <w:r w:rsidRPr="00097A86">
        <w:rPr>
          <w:b/>
          <w:i/>
        </w:rPr>
        <w:t>j</w:t>
      </w:r>
      <w:r w:rsidRPr="00097A86">
        <w:t>), for each fuel type (</w:t>
      </w:r>
      <w:r w:rsidRPr="00097A86">
        <w:rPr>
          <w:b/>
          <w:i/>
        </w:rPr>
        <w:t>i</w:t>
      </w:r>
      <w:r w:rsidRPr="00097A86">
        <w:t>) specified in column 2 of that item.</w:t>
      </w:r>
    </w:p>
    <w:p w14:paraId="52CC285D"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2632"/>
        <w:gridCol w:w="1525"/>
        <w:gridCol w:w="1525"/>
        <w:gridCol w:w="1523"/>
      </w:tblGrid>
      <w:tr w:rsidR="003F0D4E" w:rsidRPr="00097A86" w14:paraId="45290B6E" w14:textId="77777777" w:rsidTr="00C20CC2">
        <w:trPr>
          <w:cantSplit/>
          <w:tblHeader/>
        </w:trPr>
        <w:tc>
          <w:tcPr>
            <w:tcW w:w="667" w:type="pct"/>
            <w:tcBorders>
              <w:top w:val="single" w:sz="12" w:space="0" w:color="auto"/>
              <w:left w:val="nil"/>
              <w:bottom w:val="nil"/>
              <w:right w:val="nil"/>
            </w:tcBorders>
            <w:shd w:val="clear" w:color="auto" w:fill="auto"/>
          </w:tcPr>
          <w:p w14:paraId="7D35664D" w14:textId="77777777" w:rsidR="003F0D4E" w:rsidRPr="00097A86" w:rsidRDefault="003F0D4E" w:rsidP="00D22D3F">
            <w:pPr>
              <w:pStyle w:val="TableHeading"/>
            </w:pPr>
            <w:r w:rsidRPr="00097A86">
              <w:t>Item</w:t>
            </w:r>
          </w:p>
        </w:tc>
        <w:tc>
          <w:tcPr>
            <w:tcW w:w="1583" w:type="pct"/>
            <w:vMerge w:val="restart"/>
            <w:tcBorders>
              <w:top w:val="single" w:sz="12" w:space="0" w:color="auto"/>
              <w:left w:val="nil"/>
              <w:bottom w:val="nil"/>
              <w:right w:val="nil"/>
            </w:tcBorders>
            <w:shd w:val="clear" w:color="auto" w:fill="auto"/>
          </w:tcPr>
          <w:p w14:paraId="04A2951B" w14:textId="77777777" w:rsidR="003F0D4E" w:rsidRPr="00097A86" w:rsidRDefault="003F0D4E" w:rsidP="00D22D3F">
            <w:pPr>
              <w:pStyle w:val="TableHeading"/>
            </w:pPr>
            <w:r w:rsidRPr="00097A86">
              <w:t>Fuel type (</w:t>
            </w:r>
            <w:r w:rsidRPr="00097A86">
              <w:rPr>
                <w:b w:val="0"/>
                <w:i/>
              </w:rPr>
              <w:t>i</w:t>
            </w:r>
            <w:r w:rsidRPr="00097A86">
              <w:t>)</w:t>
            </w:r>
          </w:p>
        </w:tc>
        <w:tc>
          <w:tcPr>
            <w:tcW w:w="2750" w:type="pct"/>
            <w:gridSpan w:val="3"/>
            <w:tcBorders>
              <w:top w:val="single" w:sz="12" w:space="0" w:color="auto"/>
              <w:left w:val="nil"/>
              <w:bottom w:val="single" w:sz="4" w:space="0" w:color="auto"/>
              <w:right w:val="nil"/>
            </w:tcBorders>
            <w:shd w:val="clear" w:color="auto" w:fill="auto"/>
          </w:tcPr>
          <w:p w14:paraId="6C3EED78" w14:textId="77777777" w:rsidR="003F0D4E" w:rsidRPr="00097A86" w:rsidRDefault="003F0D4E" w:rsidP="00D22D3F">
            <w:pPr>
              <w:pStyle w:val="TableHeading"/>
            </w:pPr>
            <w:r w:rsidRPr="00097A86">
              <w:t>Emission factor for gas type (</w:t>
            </w:r>
            <w:r w:rsidRPr="00097A86">
              <w:rPr>
                <w:i/>
              </w:rPr>
              <w:t>j</w:t>
            </w:r>
            <w:r w:rsidRPr="00097A86">
              <w:t>) (tonnes CO</w:t>
            </w:r>
            <w:r w:rsidRPr="00097A86">
              <w:rPr>
                <w:rStyle w:val="charSubscript"/>
                <w:b w:val="0"/>
                <w:bCs/>
              </w:rPr>
              <w:t>2</w:t>
            </w:r>
            <w:r w:rsidR="00097A86">
              <w:noBreakHyphen/>
            </w:r>
            <w:r w:rsidRPr="00097A86">
              <w:t>e/tonnes of fuel flared)</w:t>
            </w:r>
          </w:p>
        </w:tc>
      </w:tr>
      <w:tr w:rsidR="003F0D4E" w:rsidRPr="00097A86" w14:paraId="236282AD" w14:textId="77777777" w:rsidTr="00C20CC2">
        <w:trPr>
          <w:cantSplit/>
          <w:tblHeader/>
        </w:trPr>
        <w:tc>
          <w:tcPr>
            <w:tcW w:w="667" w:type="pct"/>
            <w:tcBorders>
              <w:top w:val="nil"/>
              <w:left w:val="nil"/>
              <w:bottom w:val="single" w:sz="12" w:space="0" w:color="auto"/>
              <w:right w:val="nil"/>
            </w:tcBorders>
            <w:shd w:val="clear" w:color="auto" w:fill="auto"/>
          </w:tcPr>
          <w:p w14:paraId="52A85819" w14:textId="77777777" w:rsidR="003F0D4E" w:rsidRPr="00097A86" w:rsidRDefault="003F0D4E" w:rsidP="00D22D3F">
            <w:pPr>
              <w:pStyle w:val="TableHeading"/>
            </w:pPr>
          </w:p>
        </w:tc>
        <w:tc>
          <w:tcPr>
            <w:tcW w:w="1583" w:type="pct"/>
            <w:vMerge/>
            <w:tcBorders>
              <w:top w:val="nil"/>
              <w:left w:val="nil"/>
              <w:bottom w:val="single" w:sz="12" w:space="0" w:color="auto"/>
              <w:right w:val="nil"/>
            </w:tcBorders>
            <w:shd w:val="clear" w:color="auto" w:fill="auto"/>
          </w:tcPr>
          <w:p w14:paraId="1F488875" w14:textId="77777777" w:rsidR="003F0D4E" w:rsidRPr="00097A86" w:rsidRDefault="003F0D4E" w:rsidP="00ED1549"/>
        </w:tc>
        <w:tc>
          <w:tcPr>
            <w:tcW w:w="917" w:type="pct"/>
            <w:tcBorders>
              <w:top w:val="single" w:sz="4" w:space="0" w:color="auto"/>
              <w:left w:val="nil"/>
              <w:bottom w:val="single" w:sz="12" w:space="0" w:color="auto"/>
              <w:right w:val="nil"/>
            </w:tcBorders>
            <w:shd w:val="clear" w:color="auto" w:fill="auto"/>
          </w:tcPr>
          <w:p w14:paraId="3CA7AE05" w14:textId="77777777" w:rsidR="003F0D4E" w:rsidRPr="00097A86" w:rsidRDefault="003F0D4E" w:rsidP="00D22D3F">
            <w:pPr>
              <w:pStyle w:val="TableHeading"/>
            </w:pPr>
            <w:r w:rsidRPr="00097A86">
              <w:t>CO</w:t>
            </w:r>
            <w:r w:rsidRPr="00097A86">
              <w:rPr>
                <w:rStyle w:val="charSubscript"/>
                <w:b w:val="0"/>
                <w:bCs/>
              </w:rPr>
              <w:t>2</w:t>
            </w:r>
          </w:p>
        </w:tc>
        <w:tc>
          <w:tcPr>
            <w:tcW w:w="917" w:type="pct"/>
            <w:tcBorders>
              <w:top w:val="single" w:sz="4" w:space="0" w:color="auto"/>
              <w:left w:val="nil"/>
              <w:bottom w:val="single" w:sz="12" w:space="0" w:color="auto"/>
              <w:right w:val="nil"/>
            </w:tcBorders>
            <w:shd w:val="clear" w:color="auto" w:fill="auto"/>
          </w:tcPr>
          <w:p w14:paraId="07CBD488" w14:textId="77777777" w:rsidR="003F0D4E" w:rsidRPr="00097A86" w:rsidRDefault="003F0D4E" w:rsidP="00D22D3F">
            <w:pPr>
              <w:pStyle w:val="TableHeading"/>
            </w:pPr>
            <w:r w:rsidRPr="00097A86">
              <w:t>CH</w:t>
            </w:r>
            <w:r w:rsidRPr="00097A86">
              <w:rPr>
                <w:rStyle w:val="charSubscript"/>
                <w:b w:val="0"/>
                <w:bCs/>
              </w:rPr>
              <w:t>4</w:t>
            </w:r>
          </w:p>
        </w:tc>
        <w:tc>
          <w:tcPr>
            <w:tcW w:w="916" w:type="pct"/>
            <w:tcBorders>
              <w:top w:val="single" w:sz="4" w:space="0" w:color="auto"/>
              <w:left w:val="nil"/>
              <w:bottom w:val="single" w:sz="12" w:space="0" w:color="auto"/>
              <w:right w:val="nil"/>
            </w:tcBorders>
            <w:shd w:val="clear" w:color="auto" w:fill="auto"/>
          </w:tcPr>
          <w:p w14:paraId="31A5094C" w14:textId="77777777" w:rsidR="003F0D4E" w:rsidRPr="00097A86" w:rsidRDefault="003F0D4E" w:rsidP="00D22D3F">
            <w:pPr>
              <w:pStyle w:val="TableHeading"/>
            </w:pPr>
            <w:r w:rsidRPr="00097A86">
              <w:t>N</w:t>
            </w:r>
            <w:r w:rsidRPr="00097A86">
              <w:rPr>
                <w:rStyle w:val="charSubscript"/>
                <w:b w:val="0"/>
                <w:bCs/>
              </w:rPr>
              <w:t>2</w:t>
            </w:r>
            <w:r w:rsidRPr="00097A86">
              <w:t>O</w:t>
            </w:r>
          </w:p>
        </w:tc>
      </w:tr>
      <w:tr w:rsidR="003F0D4E" w:rsidRPr="00097A86" w14:paraId="057235AF" w14:textId="77777777" w:rsidTr="00C20CC2">
        <w:trPr>
          <w:cantSplit/>
        </w:trPr>
        <w:tc>
          <w:tcPr>
            <w:tcW w:w="667" w:type="pct"/>
            <w:tcBorders>
              <w:top w:val="single" w:sz="12" w:space="0" w:color="auto"/>
              <w:left w:val="nil"/>
              <w:bottom w:val="single" w:sz="4" w:space="0" w:color="auto"/>
              <w:right w:val="nil"/>
            </w:tcBorders>
          </w:tcPr>
          <w:p w14:paraId="153BE710" w14:textId="77777777" w:rsidR="003F0D4E" w:rsidRPr="00097A86" w:rsidRDefault="003F0D4E" w:rsidP="00D22D3F">
            <w:pPr>
              <w:pStyle w:val="Tabletext"/>
            </w:pPr>
            <w:r w:rsidRPr="00097A86">
              <w:t>1</w:t>
            </w:r>
          </w:p>
        </w:tc>
        <w:tc>
          <w:tcPr>
            <w:tcW w:w="1583" w:type="pct"/>
            <w:tcBorders>
              <w:top w:val="single" w:sz="12" w:space="0" w:color="auto"/>
              <w:left w:val="nil"/>
              <w:bottom w:val="single" w:sz="4" w:space="0" w:color="auto"/>
              <w:right w:val="nil"/>
            </w:tcBorders>
          </w:tcPr>
          <w:p w14:paraId="361C1DD7" w14:textId="77777777" w:rsidR="003F0D4E" w:rsidRPr="00097A86" w:rsidRDefault="003F0D4E" w:rsidP="00D22D3F">
            <w:pPr>
              <w:pStyle w:val="Tabletext"/>
            </w:pPr>
            <w:r w:rsidRPr="00097A86">
              <w:t>Unprocessed gas flared</w:t>
            </w:r>
          </w:p>
        </w:tc>
        <w:tc>
          <w:tcPr>
            <w:tcW w:w="917" w:type="pct"/>
            <w:tcBorders>
              <w:top w:val="single" w:sz="12" w:space="0" w:color="auto"/>
              <w:left w:val="nil"/>
              <w:bottom w:val="single" w:sz="4" w:space="0" w:color="auto"/>
              <w:right w:val="nil"/>
            </w:tcBorders>
          </w:tcPr>
          <w:p w14:paraId="6FB19074" w14:textId="77777777" w:rsidR="003F0D4E" w:rsidRPr="00097A86" w:rsidRDefault="003F0D4E" w:rsidP="00D22D3F">
            <w:pPr>
              <w:pStyle w:val="Tabletext"/>
            </w:pPr>
            <w:r w:rsidRPr="00097A86">
              <w:t>2.8</w:t>
            </w:r>
          </w:p>
        </w:tc>
        <w:tc>
          <w:tcPr>
            <w:tcW w:w="917" w:type="pct"/>
            <w:tcBorders>
              <w:top w:val="single" w:sz="12" w:space="0" w:color="auto"/>
              <w:left w:val="nil"/>
              <w:bottom w:val="single" w:sz="4" w:space="0" w:color="auto"/>
              <w:right w:val="nil"/>
            </w:tcBorders>
          </w:tcPr>
          <w:p w14:paraId="09FF99B2" w14:textId="77777777" w:rsidR="003F0D4E" w:rsidRPr="00097A86" w:rsidRDefault="00E76D51" w:rsidP="00D22D3F">
            <w:pPr>
              <w:pStyle w:val="Tabletext"/>
            </w:pPr>
            <w:r w:rsidRPr="00097A86">
              <w:t>0.8</w:t>
            </w:r>
          </w:p>
        </w:tc>
        <w:tc>
          <w:tcPr>
            <w:tcW w:w="916" w:type="pct"/>
            <w:tcBorders>
              <w:top w:val="single" w:sz="12" w:space="0" w:color="auto"/>
              <w:left w:val="nil"/>
              <w:bottom w:val="single" w:sz="4" w:space="0" w:color="auto"/>
              <w:right w:val="nil"/>
            </w:tcBorders>
          </w:tcPr>
          <w:p w14:paraId="2DB7F657" w14:textId="77777777" w:rsidR="003F0D4E" w:rsidRPr="00097A86" w:rsidRDefault="003F0D4E" w:rsidP="00D22D3F">
            <w:pPr>
              <w:pStyle w:val="Tabletext"/>
            </w:pPr>
            <w:r w:rsidRPr="00097A86">
              <w:t>0.03</w:t>
            </w:r>
          </w:p>
        </w:tc>
      </w:tr>
      <w:tr w:rsidR="003F0D4E" w:rsidRPr="00097A86" w14:paraId="65ADF3DE" w14:textId="77777777" w:rsidTr="00C20CC2">
        <w:trPr>
          <w:cantSplit/>
        </w:trPr>
        <w:tc>
          <w:tcPr>
            <w:tcW w:w="667" w:type="pct"/>
            <w:tcBorders>
              <w:top w:val="single" w:sz="4" w:space="0" w:color="auto"/>
              <w:left w:val="nil"/>
              <w:bottom w:val="single" w:sz="12" w:space="0" w:color="auto"/>
              <w:right w:val="nil"/>
            </w:tcBorders>
          </w:tcPr>
          <w:p w14:paraId="09823865" w14:textId="77777777" w:rsidR="003F0D4E" w:rsidRPr="00097A86" w:rsidRDefault="003F0D4E" w:rsidP="00D22D3F">
            <w:pPr>
              <w:pStyle w:val="Tabletext"/>
            </w:pPr>
            <w:r w:rsidRPr="00097A86">
              <w:t>2</w:t>
            </w:r>
          </w:p>
        </w:tc>
        <w:tc>
          <w:tcPr>
            <w:tcW w:w="1583" w:type="pct"/>
            <w:tcBorders>
              <w:top w:val="single" w:sz="4" w:space="0" w:color="auto"/>
              <w:left w:val="nil"/>
              <w:bottom w:val="single" w:sz="12" w:space="0" w:color="auto"/>
              <w:right w:val="nil"/>
            </w:tcBorders>
          </w:tcPr>
          <w:p w14:paraId="63BA288C" w14:textId="77777777" w:rsidR="003F0D4E" w:rsidRPr="00097A86" w:rsidRDefault="003F0D4E" w:rsidP="00D22D3F">
            <w:pPr>
              <w:pStyle w:val="Tabletext"/>
            </w:pPr>
            <w:r w:rsidRPr="00097A86">
              <w:t>Crude oil</w:t>
            </w:r>
          </w:p>
        </w:tc>
        <w:tc>
          <w:tcPr>
            <w:tcW w:w="917" w:type="pct"/>
            <w:tcBorders>
              <w:top w:val="single" w:sz="4" w:space="0" w:color="auto"/>
              <w:left w:val="nil"/>
              <w:bottom w:val="single" w:sz="12" w:space="0" w:color="auto"/>
              <w:right w:val="nil"/>
            </w:tcBorders>
          </w:tcPr>
          <w:p w14:paraId="77B262FD" w14:textId="77777777" w:rsidR="003F0D4E" w:rsidRPr="00097A86" w:rsidRDefault="003F0D4E" w:rsidP="00D22D3F">
            <w:pPr>
              <w:pStyle w:val="Tabletext"/>
            </w:pPr>
            <w:r w:rsidRPr="00097A86">
              <w:t>3.2</w:t>
            </w:r>
          </w:p>
        </w:tc>
        <w:tc>
          <w:tcPr>
            <w:tcW w:w="917" w:type="pct"/>
            <w:tcBorders>
              <w:top w:val="single" w:sz="4" w:space="0" w:color="auto"/>
              <w:left w:val="nil"/>
              <w:bottom w:val="single" w:sz="12" w:space="0" w:color="auto"/>
              <w:right w:val="nil"/>
            </w:tcBorders>
          </w:tcPr>
          <w:p w14:paraId="118C85D7" w14:textId="77777777" w:rsidR="003F0D4E" w:rsidRPr="00097A86" w:rsidRDefault="00E76D51" w:rsidP="00D22D3F">
            <w:pPr>
              <w:pStyle w:val="Tabletext"/>
            </w:pPr>
            <w:r w:rsidRPr="00097A86">
              <w:t>0.008</w:t>
            </w:r>
          </w:p>
        </w:tc>
        <w:tc>
          <w:tcPr>
            <w:tcW w:w="916" w:type="pct"/>
            <w:tcBorders>
              <w:top w:val="single" w:sz="4" w:space="0" w:color="auto"/>
              <w:left w:val="nil"/>
              <w:bottom w:val="single" w:sz="12" w:space="0" w:color="auto"/>
              <w:right w:val="nil"/>
            </w:tcBorders>
          </w:tcPr>
          <w:p w14:paraId="56F73B62" w14:textId="77777777" w:rsidR="003F0D4E" w:rsidRPr="00097A86" w:rsidRDefault="003F0D4E" w:rsidP="00D22D3F">
            <w:pPr>
              <w:pStyle w:val="Tabletext"/>
            </w:pPr>
            <w:r w:rsidRPr="00097A86">
              <w:t>0.07</w:t>
            </w:r>
          </w:p>
        </w:tc>
      </w:tr>
    </w:tbl>
    <w:p w14:paraId="5D71809C" w14:textId="77777777" w:rsidR="00702712" w:rsidRPr="00097A86" w:rsidRDefault="00702712" w:rsidP="00702712">
      <w:pPr>
        <w:pStyle w:val="ActHead5"/>
      </w:pPr>
      <w:bookmarkStart w:id="279" w:name="_Toc13233719"/>
      <w:r w:rsidRPr="00097A86">
        <w:rPr>
          <w:rStyle w:val="CharSectno"/>
        </w:rPr>
        <w:t>3.45</w:t>
      </w:r>
      <w:r w:rsidRPr="00097A86">
        <w:t xml:space="preserve">  Method 2—oil or gas exploration (flared carbon dioxide emissions)</w:t>
      </w:r>
      <w:bookmarkEnd w:id="279"/>
    </w:p>
    <w:p w14:paraId="665FCF44" w14:textId="77777777" w:rsidR="004E22F1" w:rsidRPr="00097A86" w:rsidRDefault="004E22F1" w:rsidP="00D22D3F">
      <w:pPr>
        <w:pStyle w:val="SubsectionHead"/>
      </w:pPr>
      <w:r w:rsidRPr="00097A86">
        <w:t>Combustion of gaseous fuels (flared) emissions</w:t>
      </w:r>
    </w:p>
    <w:p w14:paraId="049F4171" w14:textId="77777777" w:rsidR="004E22F1" w:rsidRPr="00097A86" w:rsidRDefault="004E22F1" w:rsidP="00D22D3F">
      <w:pPr>
        <w:pStyle w:val="subsection"/>
      </w:pPr>
      <w:r w:rsidRPr="00097A86">
        <w:tab/>
        <w:t>(1)</w:t>
      </w:r>
      <w:r w:rsidRPr="00097A86">
        <w:tab/>
        <w:t>For subparagraph</w:t>
      </w:r>
      <w:r w:rsidR="00097A86">
        <w:t> </w:t>
      </w:r>
      <w:r w:rsidRPr="00097A86">
        <w:t>3.43(1)(a)(ii), method 2 for combustion of gaseous fuels is:</w:t>
      </w:r>
    </w:p>
    <w:p w14:paraId="6C9E4871" w14:textId="77777777" w:rsidR="004E22F1" w:rsidRPr="00097A86" w:rsidRDefault="00D22D3F" w:rsidP="00D22D3F">
      <w:pPr>
        <w:pStyle w:val="subsection"/>
        <w:spacing w:before="120" w:after="120"/>
      </w:pPr>
      <w:r w:rsidRPr="00097A86">
        <w:tab/>
      </w:r>
      <w:r w:rsidRPr="00097A86">
        <w:tab/>
      </w:r>
      <w:r w:rsidR="009E1F90">
        <w:rPr>
          <w:noProof/>
        </w:rPr>
        <w:drawing>
          <wp:inline distT="0" distB="0" distL="0" distR="0" wp14:anchorId="4458234B" wp14:editId="044EC10D">
            <wp:extent cx="2066925" cy="238125"/>
            <wp:effectExtent l="0" t="0" r="9525" b="9525"/>
            <wp:docPr id="1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p>
    <w:p w14:paraId="0F4E0054" w14:textId="77777777" w:rsidR="004E22F1" w:rsidRPr="00097A86" w:rsidRDefault="004E22F1" w:rsidP="00D22D3F">
      <w:pPr>
        <w:pStyle w:val="subsection2"/>
      </w:pPr>
      <w:r w:rsidRPr="00097A86">
        <w:t>where:</w:t>
      </w:r>
    </w:p>
    <w:p w14:paraId="3E6F51EF" w14:textId="77777777" w:rsidR="00D92479" w:rsidRPr="00097A86" w:rsidRDefault="004E22F1" w:rsidP="00D92479">
      <w:pPr>
        <w:pStyle w:val="Definition"/>
      </w:pPr>
      <w:r w:rsidRPr="00097A86">
        <w:rPr>
          <w:b/>
          <w:i/>
        </w:rPr>
        <w:t>E</w:t>
      </w:r>
      <w:r w:rsidRPr="00097A86">
        <w:rPr>
          <w:b/>
          <w:i/>
          <w:iCs/>
          <w:vertAlign w:val="subscript"/>
        </w:rPr>
        <w:t>iCO</w:t>
      </w:r>
      <w:r w:rsidRPr="00097A86">
        <w:rPr>
          <w:b/>
          <w:i/>
          <w:position w:val="-6"/>
          <w:vertAlign w:val="subscript"/>
        </w:rPr>
        <w:t>2</w:t>
      </w:r>
      <w:r w:rsidRPr="00097A86">
        <w:rPr>
          <w:iCs/>
          <w:sz w:val="20"/>
        </w:rPr>
        <w:t xml:space="preserve"> </w:t>
      </w:r>
      <w:r w:rsidRPr="00097A86">
        <w:t>is the fugitive emissions of CO</w:t>
      </w:r>
      <w:r w:rsidRPr="00097A86">
        <w:rPr>
          <w:vertAlign w:val="subscript"/>
        </w:rPr>
        <w:t>2</w:t>
      </w:r>
      <w:r w:rsidRPr="00097A86">
        <w:t xml:space="preserve"> from fuel type (</w:t>
      </w:r>
      <w:r w:rsidRPr="00097A86">
        <w:rPr>
          <w:b/>
          <w:i/>
        </w:rPr>
        <w:t>i</w:t>
      </w:r>
      <w:r w:rsidRPr="00097A86">
        <w:t>) flared in oil or gas exploration during the year, measured in CO</w:t>
      </w:r>
      <w:r w:rsidRPr="00097A86">
        <w:rPr>
          <w:vertAlign w:val="subscript"/>
        </w:rPr>
        <w:t>2</w:t>
      </w:r>
      <w:r w:rsidR="00097A86">
        <w:noBreakHyphen/>
      </w:r>
      <w:r w:rsidRPr="00097A86">
        <w:t>e tonnes.</w:t>
      </w:r>
    </w:p>
    <w:p w14:paraId="4FA7193C" w14:textId="77777777" w:rsidR="00D92479" w:rsidRPr="00097A86" w:rsidRDefault="004E22F1" w:rsidP="00D92479">
      <w:pPr>
        <w:pStyle w:val="Definition"/>
      </w:pPr>
      <w:r w:rsidRPr="00097A86">
        <w:rPr>
          <w:b/>
          <w:i/>
        </w:rPr>
        <w:t>Q</w:t>
      </w:r>
      <w:r w:rsidRPr="00097A86">
        <w:rPr>
          <w:b/>
          <w:i/>
          <w:vertAlign w:val="subscript"/>
        </w:rPr>
        <w:t>h</w:t>
      </w:r>
      <w:r w:rsidRPr="00097A86">
        <w:rPr>
          <w:i/>
        </w:rPr>
        <w:t xml:space="preserve"> </w:t>
      </w:r>
      <w:r w:rsidRPr="00097A86">
        <w:t>is the total quantity of hydrocarbons (</w:t>
      </w:r>
      <w:r w:rsidRPr="00097A86">
        <w:rPr>
          <w:b/>
          <w:i/>
        </w:rPr>
        <w:t>h</w:t>
      </w:r>
      <w:r w:rsidRPr="00097A86">
        <w:t>) within the fuel type (</w:t>
      </w:r>
      <w:r w:rsidRPr="00097A86">
        <w:rPr>
          <w:b/>
          <w:i/>
        </w:rPr>
        <w:t>i</w:t>
      </w:r>
      <w:r w:rsidRPr="00097A86">
        <w:t>) in oil or gas exploration during the year, measured in tonnes in accordance with Division</w:t>
      </w:r>
      <w:r w:rsidR="00097A86">
        <w:t> </w:t>
      </w:r>
      <w:r w:rsidRPr="00097A86">
        <w:t>2.3.3.</w:t>
      </w:r>
    </w:p>
    <w:p w14:paraId="588003B6" w14:textId="77777777" w:rsidR="00D92479" w:rsidRPr="00097A86" w:rsidRDefault="004E22F1" w:rsidP="00D92479">
      <w:pPr>
        <w:pStyle w:val="Definition"/>
      </w:pPr>
      <w:r w:rsidRPr="00097A86">
        <w:rPr>
          <w:b/>
          <w:i/>
        </w:rPr>
        <w:t>EF</w:t>
      </w:r>
      <w:r w:rsidRPr="00097A86">
        <w:rPr>
          <w:b/>
          <w:i/>
          <w:vertAlign w:val="subscript"/>
        </w:rPr>
        <w:t>h</w:t>
      </w:r>
      <w:r w:rsidRPr="00097A86">
        <w:t xml:space="preserve"> is the emission factor for the total hydrocarbons (</w:t>
      </w:r>
      <w:r w:rsidRPr="00097A86">
        <w:rPr>
          <w:b/>
          <w:i/>
        </w:rPr>
        <w:t>h</w:t>
      </w:r>
      <w:r w:rsidRPr="00097A86">
        <w:t>) within the fuel type (</w:t>
      </w:r>
      <w:r w:rsidRPr="00097A86">
        <w:rPr>
          <w:b/>
          <w:i/>
        </w:rPr>
        <w:t>i</w:t>
      </w:r>
      <w:r w:rsidRPr="00097A86">
        <w:t>) in oil or gas exploration during the year, measured in CO</w:t>
      </w:r>
      <w:r w:rsidRPr="00097A86">
        <w:rPr>
          <w:vertAlign w:val="subscript"/>
        </w:rPr>
        <w:t>2</w:t>
      </w:r>
      <w:r w:rsidR="00097A86">
        <w:noBreakHyphen/>
      </w:r>
      <w:r w:rsidRPr="00097A86">
        <w:t>e tonnes per tonne of the fuel type (</w:t>
      </w:r>
      <w:r w:rsidRPr="00097A86">
        <w:rPr>
          <w:b/>
          <w:i/>
        </w:rPr>
        <w:t>i</w:t>
      </w:r>
      <w:r w:rsidRPr="00097A86">
        <w:t>) flared</w:t>
      </w:r>
      <w:r w:rsidRPr="00097A86">
        <w:rPr>
          <w:i/>
        </w:rPr>
        <w:t xml:space="preserve">, </w:t>
      </w:r>
      <w:r w:rsidRPr="00097A86">
        <w:t>estimated in accordance with Division</w:t>
      </w:r>
      <w:r w:rsidR="00097A86">
        <w:t> </w:t>
      </w:r>
      <w:r w:rsidRPr="00097A86">
        <w:t>2.3.3.</w:t>
      </w:r>
    </w:p>
    <w:p w14:paraId="421B530E" w14:textId="77777777" w:rsidR="00E76D51" w:rsidRPr="00097A86" w:rsidRDefault="00E76D51" w:rsidP="00E76D51">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2D4E162E" w14:textId="77777777" w:rsidR="00D92479" w:rsidRPr="00097A86" w:rsidRDefault="004E22F1" w:rsidP="00D92479">
      <w:pPr>
        <w:pStyle w:val="Definition"/>
      </w:pPr>
      <w:r w:rsidRPr="00097A86">
        <w:rPr>
          <w:b/>
          <w:i/>
        </w:rPr>
        <w:t>QCO</w:t>
      </w:r>
      <w:r w:rsidRPr="00097A86">
        <w:rPr>
          <w:b/>
          <w:i/>
          <w:vertAlign w:val="subscript"/>
        </w:rPr>
        <w:t>2</w:t>
      </w:r>
      <w:r w:rsidRPr="00097A86">
        <w:t xml:space="preserve"> is the quantity of CO</w:t>
      </w:r>
      <w:r w:rsidRPr="00097A86">
        <w:rPr>
          <w:vertAlign w:val="subscript"/>
        </w:rPr>
        <w:t>2</w:t>
      </w:r>
      <w:r w:rsidRPr="00097A86">
        <w:t xml:space="preserve"> within fuel type (</w:t>
      </w:r>
      <w:r w:rsidRPr="00097A86">
        <w:rPr>
          <w:b/>
          <w:i/>
        </w:rPr>
        <w:t>i</w:t>
      </w:r>
      <w:r w:rsidRPr="00097A86">
        <w:t>) in oil or gas exploration during the year, measured in CO</w:t>
      </w:r>
      <w:r w:rsidRPr="00097A86">
        <w:rPr>
          <w:vertAlign w:val="subscript"/>
        </w:rPr>
        <w:t>2</w:t>
      </w:r>
      <w:r w:rsidR="00097A86">
        <w:noBreakHyphen/>
      </w:r>
      <w:r w:rsidRPr="00097A86">
        <w:t>e tonnes in accordance with Division</w:t>
      </w:r>
      <w:r w:rsidR="00097A86">
        <w:t> </w:t>
      </w:r>
      <w:r w:rsidRPr="00097A86">
        <w:t>2.3.3.</w:t>
      </w:r>
    </w:p>
    <w:p w14:paraId="27B5B13D" w14:textId="77777777" w:rsidR="00D92479" w:rsidRPr="00097A86" w:rsidRDefault="004E22F1" w:rsidP="00D92479">
      <w:pPr>
        <w:pStyle w:val="SubsectionHead"/>
      </w:pPr>
      <w:r w:rsidRPr="00097A86">
        <w:t>Combustion of liquid fuels (flared) emissions</w:t>
      </w:r>
    </w:p>
    <w:p w14:paraId="005D326D" w14:textId="77777777" w:rsidR="004E22F1" w:rsidRPr="00097A86" w:rsidRDefault="004E22F1" w:rsidP="00D22D3F">
      <w:pPr>
        <w:pStyle w:val="subsection"/>
      </w:pPr>
      <w:r w:rsidRPr="00097A86">
        <w:tab/>
        <w:t>(2)</w:t>
      </w:r>
      <w:r w:rsidRPr="00097A86">
        <w:tab/>
        <w:t>For subparagraph</w:t>
      </w:r>
      <w:r w:rsidR="00097A86">
        <w:t> </w:t>
      </w:r>
      <w:r w:rsidRPr="00097A86">
        <w:t xml:space="preserve">3.43(1)(a)(ii), method 2 for combustion of liquid fuels is the same as </w:t>
      </w:r>
      <w:r w:rsidR="00702712" w:rsidRPr="00097A86">
        <w:t>method 1 under section</w:t>
      </w:r>
      <w:r w:rsidR="00097A86">
        <w:t> </w:t>
      </w:r>
      <w:r w:rsidR="00702712" w:rsidRPr="00097A86">
        <w:t xml:space="preserve">3.44, but the carbon dioxide emissions factor </w:t>
      </w:r>
      <w:r w:rsidR="00702712" w:rsidRPr="00097A86">
        <w:rPr>
          <w:b/>
          <w:i/>
        </w:rPr>
        <w:t>EF</w:t>
      </w:r>
      <w:r w:rsidR="00702712" w:rsidRPr="00097A86">
        <w:rPr>
          <w:b/>
          <w:i/>
          <w:vertAlign w:val="subscript"/>
        </w:rPr>
        <w:t>ij</w:t>
      </w:r>
      <w:r w:rsidRPr="00097A86">
        <w:t xml:space="preserve"> must be determined in accordance with method 2 in Division</w:t>
      </w:r>
      <w:r w:rsidR="00097A86">
        <w:t> </w:t>
      </w:r>
      <w:r w:rsidRPr="00097A86">
        <w:t>2.4.3.</w:t>
      </w:r>
    </w:p>
    <w:p w14:paraId="12643B18" w14:textId="77777777" w:rsidR="00702712" w:rsidRPr="00097A86" w:rsidRDefault="00702712" w:rsidP="00702712">
      <w:pPr>
        <w:pStyle w:val="ActHead5"/>
      </w:pPr>
      <w:bookmarkStart w:id="280" w:name="_Toc13233720"/>
      <w:r w:rsidRPr="00097A86">
        <w:rPr>
          <w:rStyle w:val="CharSectno"/>
        </w:rPr>
        <w:lastRenderedPageBreak/>
        <w:t>3.45A</w:t>
      </w:r>
      <w:r w:rsidRPr="00097A86">
        <w:t xml:space="preserve">  Method 2A—oil or gas exploration (flared methane or nitrous oxide emissions)</w:t>
      </w:r>
      <w:bookmarkEnd w:id="280"/>
    </w:p>
    <w:p w14:paraId="2A3BC3BD" w14:textId="77777777" w:rsidR="00702712" w:rsidRPr="00097A86" w:rsidRDefault="00702712" w:rsidP="00702712">
      <w:pPr>
        <w:pStyle w:val="subsection"/>
      </w:pPr>
      <w:r w:rsidRPr="00097A86">
        <w:tab/>
      </w:r>
      <w:r w:rsidRPr="00097A86">
        <w:tab/>
        <w:t>For subparagraphs</w:t>
      </w:r>
      <w:r w:rsidR="00097A86">
        <w:t> </w:t>
      </w:r>
      <w:r w:rsidRPr="00097A86">
        <w:t>3.43(1)(b)(ii) and (c)(ii), method 2A is:</w:t>
      </w:r>
    </w:p>
    <w:p w14:paraId="51D0FE76" w14:textId="77777777" w:rsidR="00702712" w:rsidRPr="00097A86" w:rsidRDefault="003D4EFE" w:rsidP="00702712">
      <w:pPr>
        <w:pStyle w:val="subsection2"/>
      </w:pPr>
      <w:r w:rsidRPr="00097A86">
        <w:rPr>
          <w:noProof/>
        </w:rPr>
        <w:drawing>
          <wp:inline distT="0" distB="0" distL="0" distR="0" wp14:anchorId="5C50CA2A" wp14:editId="2268A12D">
            <wp:extent cx="1318895" cy="275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8895" cy="275590"/>
                    </a:xfrm>
                    <a:prstGeom prst="rect">
                      <a:avLst/>
                    </a:prstGeom>
                    <a:noFill/>
                    <a:ln>
                      <a:noFill/>
                    </a:ln>
                  </pic:spPr>
                </pic:pic>
              </a:graphicData>
            </a:graphic>
          </wp:inline>
        </w:drawing>
      </w:r>
    </w:p>
    <w:p w14:paraId="59BEC7E3" w14:textId="77777777" w:rsidR="00702712" w:rsidRPr="00097A86" w:rsidRDefault="00702712" w:rsidP="00702712">
      <w:pPr>
        <w:pStyle w:val="subsection2"/>
      </w:pPr>
      <w:r w:rsidRPr="00097A86">
        <w:t>where:</w:t>
      </w:r>
    </w:p>
    <w:p w14:paraId="07073333" w14:textId="77777777" w:rsidR="00702712" w:rsidRPr="00097A86" w:rsidRDefault="00702712" w:rsidP="00702712">
      <w:pPr>
        <w:pStyle w:val="Definition"/>
      </w:pPr>
      <w:r w:rsidRPr="00097A86">
        <w:rPr>
          <w:b/>
          <w:i/>
        </w:rPr>
        <w:t>EF</w:t>
      </w:r>
      <w:r w:rsidRPr="00097A86">
        <w:rPr>
          <w:b/>
          <w:i/>
          <w:vertAlign w:val="subscript"/>
        </w:rPr>
        <w:t>hij</w:t>
      </w:r>
      <w:r w:rsidRPr="00097A86">
        <w:t xml:space="preserve"> is the emission factor of gas type (</w:t>
      </w:r>
      <w:r w:rsidRPr="00097A86">
        <w:rPr>
          <w:b/>
          <w:i/>
        </w:rPr>
        <w:t>j</w:t>
      </w:r>
      <w:r w:rsidRPr="00097A86">
        <w:t>), being methane or nitrous oxide, for the total hydrocarbons (</w:t>
      </w:r>
      <w:r w:rsidRPr="00097A86">
        <w:rPr>
          <w:b/>
          <w:i/>
        </w:rPr>
        <w:t>h</w:t>
      </w:r>
      <w:r w:rsidRPr="00097A86">
        <w:t>) within the fuel type (</w:t>
      </w:r>
      <w:r w:rsidRPr="00097A86">
        <w:rPr>
          <w:b/>
          <w:i/>
        </w:rPr>
        <w:t>i</w:t>
      </w:r>
      <w:r w:rsidRPr="00097A86">
        <w:t>) in oil or gas exploration during the year, mentioned for the fuel type in the table in subsection</w:t>
      </w:r>
      <w:r w:rsidR="00097A86">
        <w:t> </w:t>
      </w:r>
      <w:r w:rsidRPr="00097A86">
        <w:t>3.44(2) and measured in CO</w:t>
      </w:r>
      <w:r w:rsidRPr="00097A86">
        <w:rPr>
          <w:vertAlign w:val="subscript"/>
        </w:rPr>
        <w:t>2</w:t>
      </w:r>
      <w:r w:rsidR="00097A86">
        <w:noBreakHyphen/>
      </w:r>
      <w:r w:rsidRPr="00097A86">
        <w:t>e tonnes per tonne of the fuel type (</w:t>
      </w:r>
      <w:r w:rsidRPr="00097A86">
        <w:rPr>
          <w:b/>
          <w:i/>
        </w:rPr>
        <w:t>i</w:t>
      </w:r>
      <w:r w:rsidRPr="00097A86">
        <w:t>) flared.</w:t>
      </w:r>
    </w:p>
    <w:p w14:paraId="3A43D5F0" w14:textId="77777777" w:rsidR="00702712" w:rsidRPr="00097A86" w:rsidRDefault="00702712" w:rsidP="00702712">
      <w:pPr>
        <w:pStyle w:val="Definition"/>
      </w:pPr>
      <w:r w:rsidRPr="00097A86">
        <w:rPr>
          <w:b/>
          <w:i/>
        </w:rPr>
        <w:t>E</w:t>
      </w:r>
      <w:r w:rsidRPr="00097A86">
        <w:rPr>
          <w:b/>
          <w:i/>
          <w:vertAlign w:val="subscript"/>
        </w:rPr>
        <w:t>ij</w:t>
      </w:r>
      <w:r w:rsidRPr="00097A86">
        <w:t xml:space="preserve"> is the fugitive emissions of gas type (</w:t>
      </w:r>
      <w:r w:rsidRPr="00097A86">
        <w:rPr>
          <w:b/>
          <w:i/>
        </w:rPr>
        <w:t>j</w:t>
      </w:r>
      <w:r w:rsidRPr="00097A86">
        <w:t>), being methane or nitrous oxide, from fuel type (</w:t>
      </w:r>
      <w:r w:rsidRPr="00097A86">
        <w:rPr>
          <w:b/>
          <w:i/>
        </w:rPr>
        <w:t>i</w:t>
      </w:r>
      <w:r w:rsidRPr="00097A86">
        <w:t>) flared</w:t>
      </w:r>
      <w:r w:rsidRPr="00097A86">
        <w:rPr>
          <w:i/>
        </w:rPr>
        <w:t xml:space="preserve"> </w:t>
      </w:r>
      <w:r w:rsidRPr="00097A86">
        <w:t>from oil or gas exploration during the year, measured in CO</w:t>
      </w:r>
      <w:r w:rsidRPr="00097A86">
        <w:rPr>
          <w:vertAlign w:val="subscript"/>
        </w:rPr>
        <w:t>2</w:t>
      </w:r>
      <w:r w:rsidR="00097A86">
        <w:noBreakHyphen/>
      </w:r>
      <w:r w:rsidRPr="00097A86">
        <w:t>e tonnes.</w:t>
      </w:r>
    </w:p>
    <w:p w14:paraId="57732AAF" w14:textId="77777777" w:rsidR="00702712" w:rsidRPr="00097A86" w:rsidRDefault="00702712" w:rsidP="00702712">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783954E3" w14:textId="77777777" w:rsidR="00702712" w:rsidRPr="00097A86" w:rsidRDefault="00702712" w:rsidP="00702712">
      <w:pPr>
        <w:pStyle w:val="Definition"/>
      </w:pPr>
      <w:r w:rsidRPr="00097A86">
        <w:rPr>
          <w:b/>
          <w:i/>
        </w:rPr>
        <w:t>Q</w:t>
      </w:r>
      <w:r w:rsidRPr="00097A86">
        <w:rPr>
          <w:b/>
          <w:i/>
          <w:vertAlign w:val="subscript"/>
        </w:rPr>
        <w:t>h</w:t>
      </w:r>
      <w:r w:rsidRPr="00097A86">
        <w:t xml:space="preserve"> is the total quantity of hydrocarbons (</w:t>
      </w:r>
      <w:r w:rsidRPr="00097A86">
        <w:rPr>
          <w:b/>
          <w:i/>
        </w:rPr>
        <w:t>h</w:t>
      </w:r>
      <w:r w:rsidRPr="00097A86">
        <w:t>) within the fuel type (</w:t>
      </w:r>
      <w:r w:rsidRPr="00097A86">
        <w:rPr>
          <w:b/>
          <w:i/>
        </w:rPr>
        <w:t>i</w:t>
      </w:r>
      <w:r w:rsidRPr="00097A86">
        <w:t>) in oil or gas exploration during the year, measured in tonnes in accordance with Division</w:t>
      </w:r>
      <w:r w:rsidR="00097A86">
        <w:t> </w:t>
      </w:r>
      <w:r w:rsidRPr="00097A86">
        <w:t>2.3.3 for gaseous fuels or Division</w:t>
      </w:r>
      <w:r w:rsidR="00097A86">
        <w:t> </w:t>
      </w:r>
      <w:r w:rsidRPr="00097A86">
        <w:t>2.4.3 for liquid fuels.</w:t>
      </w:r>
    </w:p>
    <w:p w14:paraId="4A7A7616" w14:textId="77777777" w:rsidR="004E22F1" w:rsidRPr="00097A86" w:rsidRDefault="004E22F1" w:rsidP="00D22D3F">
      <w:pPr>
        <w:pStyle w:val="ActHead5"/>
      </w:pPr>
      <w:bookmarkStart w:id="281" w:name="_Toc13233721"/>
      <w:r w:rsidRPr="00097A86">
        <w:rPr>
          <w:rStyle w:val="CharSectno"/>
        </w:rPr>
        <w:t>3.46</w:t>
      </w:r>
      <w:r w:rsidR="00D22D3F" w:rsidRPr="00097A86">
        <w:t xml:space="preserve">  </w:t>
      </w:r>
      <w:r w:rsidRPr="00097A86">
        <w:t>Method 3</w:t>
      </w:r>
      <w:r w:rsidR="00D22D3F" w:rsidRPr="00097A86">
        <w:t>—</w:t>
      </w:r>
      <w:r w:rsidRPr="00097A86">
        <w:t>oil or gas exploration</w:t>
      </w:r>
      <w:bookmarkEnd w:id="281"/>
    </w:p>
    <w:p w14:paraId="5710F9F1" w14:textId="77777777" w:rsidR="004E22F1" w:rsidRPr="00097A86" w:rsidRDefault="004E22F1" w:rsidP="00D22D3F">
      <w:pPr>
        <w:pStyle w:val="SubsectionHead"/>
      </w:pPr>
      <w:r w:rsidRPr="00097A86">
        <w:t>Combustion of gaseous fuels (flared) emissions</w:t>
      </w:r>
    </w:p>
    <w:p w14:paraId="4151651F" w14:textId="77777777" w:rsidR="004E22F1" w:rsidRPr="00097A86" w:rsidRDefault="004E22F1" w:rsidP="00D22D3F">
      <w:pPr>
        <w:pStyle w:val="subsection"/>
      </w:pPr>
      <w:r w:rsidRPr="00097A86">
        <w:tab/>
        <w:t>(1)</w:t>
      </w:r>
      <w:r w:rsidRPr="00097A86">
        <w:tab/>
        <w:t>For subparagraph</w:t>
      </w:r>
      <w:r w:rsidR="00097A86">
        <w:t> </w:t>
      </w:r>
      <w:r w:rsidRPr="00097A86">
        <w:t xml:space="preserve">3.43(1)(a)(iii), method 3 for the combustion of gaseous fuels is the same as method 2, but the carbon dioxide emissions factor </w:t>
      </w:r>
      <w:r w:rsidRPr="00097A86">
        <w:rPr>
          <w:b/>
          <w:i/>
        </w:rPr>
        <w:t>EF</w:t>
      </w:r>
      <w:r w:rsidRPr="00097A86">
        <w:rPr>
          <w:rStyle w:val="charSubscript"/>
          <w:b/>
          <w:i/>
          <w:sz w:val="22"/>
        </w:rPr>
        <w:t>h</w:t>
      </w:r>
      <w:r w:rsidRPr="00097A86">
        <w:t xml:space="preserve"> must be determined in accordance with method 3 in Division</w:t>
      </w:r>
      <w:r w:rsidR="00097A86">
        <w:t> </w:t>
      </w:r>
      <w:r w:rsidRPr="00097A86">
        <w:t>2.3.4.</w:t>
      </w:r>
    </w:p>
    <w:p w14:paraId="6AA1368B" w14:textId="77777777" w:rsidR="004E22F1" w:rsidRPr="00097A86" w:rsidRDefault="004E22F1" w:rsidP="00D22D3F">
      <w:pPr>
        <w:pStyle w:val="SubsectionHead"/>
      </w:pPr>
      <w:r w:rsidRPr="00097A86">
        <w:t>Combustion of liquid fuels (flared) emissions</w:t>
      </w:r>
    </w:p>
    <w:p w14:paraId="45B65BFF" w14:textId="77777777" w:rsidR="004E22F1" w:rsidRPr="00097A86" w:rsidRDefault="004E22F1" w:rsidP="00D22D3F">
      <w:pPr>
        <w:pStyle w:val="subsection"/>
      </w:pPr>
      <w:r w:rsidRPr="00097A86">
        <w:tab/>
        <w:t>(2)</w:t>
      </w:r>
      <w:r w:rsidRPr="00097A86">
        <w:tab/>
        <w:t>For subparagraph</w:t>
      </w:r>
      <w:r w:rsidR="00097A86">
        <w:t> </w:t>
      </w:r>
      <w:r w:rsidRPr="00097A86">
        <w:t xml:space="preserve">3.43(1)(a)(iii), method 3 for the combustion of liquid fuels is the same as method 2, but the carbon dioxide emissions factor </w:t>
      </w:r>
      <w:r w:rsidRPr="00097A86">
        <w:rPr>
          <w:b/>
          <w:i/>
        </w:rPr>
        <w:t>EF</w:t>
      </w:r>
      <w:r w:rsidRPr="00097A86">
        <w:rPr>
          <w:rStyle w:val="charSubscript"/>
          <w:b/>
          <w:i/>
          <w:sz w:val="22"/>
        </w:rPr>
        <w:t>h</w:t>
      </w:r>
      <w:r w:rsidRPr="00097A86">
        <w:t xml:space="preserve"> must be determined in accordance with method 3 in Division</w:t>
      </w:r>
      <w:r w:rsidR="00097A86">
        <w:t> </w:t>
      </w:r>
      <w:r w:rsidRPr="00097A86">
        <w:t>2.4.4.</w:t>
      </w:r>
    </w:p>
    <w:p w14:paraId="7FF415E2" w14:textId="77777777" w:rsidR="00A24430" w:rsidRPr="00097A86" w:rsidRDefault="00A24430" w:rsidP="00D22D3F">
      <w:pPr>
        <w:pStyle w:val="ActHead4"/>
      </w:pPr>
      <w:bookmarkStart w:id="282" w:name="_Toc13233722"/>
      <w:r w:rsidRPr="00097A86">
        <w:rPr>
          <w:rStyle w:val="CharSubdNo"/>
        </w:rPr>
        <w:t>Subdivision</w:t>
      </w:r>
      <w:r w:rsidR="00097A86">
        <w:rPr>
          <w:rStyle w:val="CharSubdNo"/>
        </w:rPr>
        <w:t> </w:t>
      </w:r>
      <w:r w:rsidRPr="00097A86">
        <w:rPr>
          <w:rStyle w:val="CharSubdNo"/>
        </w:rPr>
        <w:t>3.3.2.3</w:t>
      </w:r>
      <w:r w:rsidR="00D22D3F" w:rsidRPr="00097A86">
        <w:t>—</w:t>
      </w:r>
      <w:r w:rsidRPr="00097A86">
        <w:rPr>
          <w:rStyle w:val="CharSubdText"/>
        </w:rPr>
        <w:t>Oil or gas exploration</w:t>
      </w:r>
      <w:r w:rsidR="00D22D3F" w:rsidRPr="00097A86">
        <w:rPr>
          <w:rStyle w:val="CharSubdText"/>
        </w:rPr>
        <w:t>—</w:t>
      </w:r>
      <w:r w:rsidRPr="00097A86">
        <w:rPr>
          <w:rStyle w:val="CharSubdText"/>
        </w:rPr>
        <w:t>fugitive emissions from system upsets, accidents and deliberate releases from process vents</w:t>
      </w:r>
      <w:bookmarkEnd w:id="282"/>
    </w:p>
    <w:p w14:paraId="51F86D8C" w14:textId="77777777" w:rsidR="00B53655" w:rsidRPr="00097A86" w:rsidRDefault="00B53655" w:rsidP="00D22D3F">
      <w:pPr>
        <w:pStyle w:val="ActHead5"/>
      </w:pPr>
      <w:bookmarkStart w:id="283" w:name="_Toc13233723"/>
      <w:r w:rsidRPr="00097A86">
        <w:rPr>
          <w:rStyle w:val="CharSectno"/>
        </w:rPr>
        <w:t>3.46A</w:t>
      </w:r>
      <w:r w:rsidR="00D22D3F" w:rsidRPr="00097A86">
        <w:t xml:space="preserve">  </w:t>
      </w:r>
      <w:r w:rsidRPr="00097A86">
        <w:t>Available methods</w:t>
      </w:r>
      <w:bookmarkEnd w:id="283"/>
    </w:p>
    <w:p w14:paraId="428F63CF" w14:textId="77777777" w:rsidR="00B53655" w:rsidRPr="00097A86" w:rsidRDefault="00B53655" w:rsidP="00D22D3F">
      <w:pPr>
        <w:pStyle w:val="subsection"/>
      </w:pPr>
      <w:r w:rsidRPr="00097A86">
        <w:tab/>
        <w:t>(1)</w:t>
      </w:r>
      <w:r w:rsidRPr="00097A86">
        <w:tab/>
        <w:t>Subject to section</w:t>
      </w:r>
      <w:r w:rsidR="00097A86">
        <w:t> </w:t>
      </w:r>
      <w:r w:rsidRPr="00097A86">
        <w:t xml:space="preserve">1.18, the methods mentioned in </w:t>
      </w:r>
      <w:r w:rsidR="00097A86">
        <w:t>subsections (</w:t>
      </w:r>
      <w:r w:rsidRPr="00097A86">
        <w:t>2) and (3) must be used for estimating fugitive emissions that result from system upsets, accidents and deliberate releases from process vents during a reporting year from the operation of a facility that is constituted by oil or gas exploration.</w:t>
      </w:r>
    </w:p>
    <w:p w14:paraId="11F4CEC6" w14:textId="77777777" w:rsidR="00AE0D87" w:rsidRPr="00097A86" w:rsidRDefault="00AE0D87" w:rsidP="00AE0D87">
      <w:pPr>
        <w:pStyle w:val="subsection"/>
      </w:pPr>
      <w:r w:rsidRPr="00097A86">
        <w:tab/>
        <w:t>(2)</w:t>
      </w:r>
      <w:r w:rsidRPr="00097A86">
        <w:tab/>
        <w:t>To estimate emissions that result from deliberate releases from process vents, systems upsets and accidents at a facility during a year, for each oil or gas exploration activity one of the following methods must be used:</w:t>
      </w:r>
    </w:p>
    <w:p w14:paraId="77AD3BD9" w14:textId="77777777" w:rsidR="00AE0D87" w:rsidRPr="00097A86" w:rsidRDefault="00AE0D87" w:rsidP="00AE0D87">
      <w:pPr>
        <w:pStyle w:val="paragraph"/>
      </w:pPr>
      <w:r w:rsidRPr="00097A86">
        <w:lastRenderedPageBreak/>
        <w:tab/>
        <w:t>(a)</w:t>
      </w:r>
      <w:r w:rsidRPr="00097A86">
        <w:tab/>
        <w:t>method 1 under section</w:t>
      </w:r>
      <w:r w:rsidR="00097A86">
        <w:t> </w:t>
      </w:r>
      <w:r w:rsidRPr="00097A86">
        <w:t>3.84;</w:t>
      </w:r>
    </w:p>
    <w:p w14:paraId="4BDDDD55" w14:textId="77777777" w:rsidR="00AE0D87" w:rsidRPr="00097A86" w:rsidRDefault="00AE0D87" w:rsidP="00AE0D87">
      <w:pPr>
        <w:pStyle w:val="paragraph"/>
      </w:pPr>
      <w:r w:rsidRPr="00097A86">
        <w:tab/>
        <w:t>(b)</w:t>
      </w:r>
      <w:r w:rsidRPr="00097A86">
        <w:tab/>
        <w:t>method 4 under:</w:t>
      </w:r>
    </w:p>
    <w:p w14:paraId="1980D621" w14:textId="77777777" w:rsidR="00AE0D87" w:rsidRPr="00097A86" w:rsidRDefault="00AE0D87" w:rsidP="00AE0D87">
      <w:pPr>
        <w:pStyle w:val="paragraphsub"/>
      </w:pPr>
      <w:r w:rsidRPr="00097A86">
        <w:tab/>
        <w:t xml:space="preserve">(i) </w:t>
      </w:r>
      <w:r w:rsidRPr="00097A86">
        <w:tab/>
        <w:t xml:space="preserve">for emissions of methane and carbon dioxide from </w:t>
      </w:r>
      <w:r w:rsidR="001329E3" w:rsidRPr="00097A86">
        <w:t>natural</w:t>
      </w:r>
      <w:r w:rsidRPr="00097A86">
        <w:t xml:space="preserve"> gas well completions or well workover activities—section</w:t>
      </w:r>
      <w:r w:rsidR="00097A86">
        <w:t> </w:t>
      </w:r>
      <w:r w:rsidRPr="00097A86">
        <w:t>3.46B; or</w:t>
      </w:r>
    </w:p>
    <w:p w14:paraId="7EA37811" w14:textId="77777777" w:rsidR="00AE0D87" w:rsidRPr="00097A86" w:rsidRDefault="00AE0D87" w:rsidP="00AE0D87">
      <w:pPr>
        <w:pStyle w:val="paragraphsub"/>
      </w:pPr>
      <w:r w:rsidRPr="00097A86">
        <w:tab/>
        <w:t>(ii)</w:t>
      </w:r>
      <w:r w:rsidRPr="00097A86">
        <w:tab/>
        <w:t xml:space="preserve">for emissions and activities not mentioned in </w:t>
      </w:r>
      <w:r w:rsidR="00097A86">
        <w:t>subparagraph (</w:t>
      </w:r>
      <w:r w:rsidRPr="00097A86">
        <w:t>i)—Part</w:t>
      </w:r>
      <w:r w:rsidR="00097A86">
        <w:t> </w:t>
      </w:r>
      <w:r w:rsidRPr="00097A86">
        <w:t>1.3.</w:t>
      </w:r>
    </w:p>
    <w:p w14:paraId="60421A56" w14:textId="77777777" w:rsidR="00B53655" w:rsidRPr="00097A86" w:rsidRDefault="00B53655" w:rsidP="00D22D3F">
      <w:pPr>
        <w:pStyle w:val="subsection"/>
      </w:pPr>
      <w:r w:rsidRPr="00097A86">
        <w:tab/>
        <w:t>(3)</w:t>
      </w:r>
      <w:r w:rsidRPr="00097A86">
        <w:tab/>
        <w:t>For estimating incidental emissions that result from deliberate releases from process vents, system upsets and accidents during a year from the operation of the facility, another method may be used that is consistent with the principles mentioned in section</w:t>
      </w:r>
      <w:r w:rsidR="00097A86">
        <w:t> </w:t>
      </w:r>
      <w:r w:rsidRPr="00097A86">
        <w:t>1.13.</w:t>
      </w:r>
    </w:p>
    <w:p w14:paraId="62F94050" w14:textId="77777777" w:rsidR="00B53655" w:rsidRPr="00097A86" w:rsidRDefault="00D22D3F" w:rsidP="00D22D3F">
      <w:pPr>
        <w:pStyle w:val="notetext"/>
      </w:pPr>
      <w:r w:rsidRPr="00097A86">
        <w:t>Note:</w:t>
      </w:r>
      <w:r w:rsidRPr="00097A86">
        <w:tab/>
      </w:r>
      <w:r w:rsidR="00B53655" w:rsidRPr="00097A86">
        <w:t>There is no method 2 or 3 for this Subdivision.</w:t>
      </w:r>
    </w:p>
    <w:p w14:paraId="0F252C8F" w14:textId="77777777" w:rsidR="00AE0D87" w:rsidRPr="00097A86" w:rsidRDefault="00AE0D87" w:rsidP="00AE0D87">
      <w:pPr>
        <w:pStyle w:val="ActHead5"/>
      </w:pPr>
      <w:bookmarkStart w:id="284" w:name="_Toc13233724"/>
      <w:r w:rsidRPr="00097A86">
        <w:rPr>
          <w:rStyle w:val="CharSectno"/>
        </w:rPr>
        <w:t>3.46B</w:t>
      </w:r>
      <w:r w:rsidRPr="00097A86">
        <w:t xml:space="preserve">  Method 4—vented emissions from well completions and well workovers</w:t>
      </w:r>
      <w:bookmarkEnd w:id="284"/>
    </w:p>
    <w:p w14:paraId="202B2838" w14:textId="77777777" w:rsidR="00AE0D87" w:rsidRPr="00097A86" w:rsidRDefault="00AE0D87" w:rsidP="00AE0D87">
      <w:pPr>
        <w:pStyle w:val="SubsectionHead"/>
      </w:pPr>
      <w:r w:rsidRPr="00097A86">
        <w:t>Vented volume measured for all wells and well types in a basin</w:t>
      </w:r>
    </w:p>
    <w:p w14:paraId="32B29DA6" w14:textId="77777777" w:rsidR="00AE0D87" w:rsidRPr="00097A86" w:rsidRDefault="00AE0D87" w:rsidP="00AE0D87">
      <w:pPr>
        <w:pStyle w:val="subsection"/>
      </w:pPr>
      <w:r w:rsidRPr="00097A86">
        <w:tab/>
        <w:t>(1)</w:t>
      </w:r>
      <w:r w:rsidRPr="00097A86">
        <w:tab/>
        <w:t>For subparagraph</w:t>
      </w:r>
      <w:r w:rsidR="00097A86">
        <w:t> </w:t>
      </w:r>
      <w:r w:rsidRPr="00097A86">
        <w:t>3.46A(2)(b)(i), where vented volume is measured for all wells and well types (horizontal or vertical) in a basin, method 4 is:</w:t>
      </w:r>
    </w:p>
    <w:p w14:paraId="0956B0B7" w14:textId="77777777" w:rsidR="00AE0D87" w:rsidRPr="00097A86" w:rsidRDefault="003D4EFE" w:rsidP="00AE0D87">
      <w:pPr>
        <w:pStyle w:val="subsection2"/>
      </w:pPr>
      <w:bookmarkStart w:id="285" w:name="BKCheck15B_20"/>
      <w:bookmarkEnd w:id="285"/>
      <w:r w:rsidRPr="00097A86">
        <w:rPr>
          <w:noProof/>
        </w:rPr>
        <w:drawing>
          <wp:inline distT="0" distB="0" distL="0" distR="0" wp14:anchorId="22FBEEC0" wp14:editId="36030674">
            <wp:extent cx="213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33600" cy="445770"/>
                    </a:xfrm>
                    <a:prstGeom prst="rect">
                      <a:avLst/>
                    </a:prstGeom>
                    <a:noFill/>
                    <a:ln>
                      <a:noFill/>
                    </a:ln>
                  </pic:spPr>
                </pic:pic>
              </a:graphicData>
            </a:graphic>
          </wp:inline>
        </w:drawing>
      </w:r>
    </w:p>
    <w:p w14:paraId="5DC613ED" w14:textId="77777777" w:rsidR="00AE0D87" w:rsidRPr="00097A86" w:rsidRDefault="00AE0D87" w:rsidP="00AE0D87">
      <w:pPr>
        <w:pStyle w:val="subsection2"/>
      </w:pPr>
      <w:r w:rsidRPr="00097A86">
        <w:t>where:</w:t>
      </w:r>
    </w:p>
    <w:p w14:paraId="12F754D3" w14:textId="77777777" w:rsidR="00AE0D87" w:rsidRPr="00097A86" w:rsidRDefault="00AE0D87" w:rsidP="00AE0D87">
      <w:pPr>
        <w:pStyle w:val="Definition"/>
      </w:pPr>
      <w:r w:rsidRPr="00097A86">
        <w:rPr>
          <w:b/>
          <w:i/>
        </w:rPr>
        <w:t>Em</w:t>
      </w:r>
      <w:r w:rsidRPr="00097A86">
        <w:rPr>
          <w:b/>
          <w:i/>
          <w:vertAlign w:val="subscript"/>
        </w:rPr>
        <w:t>j</w:t>
      </w:r>
      <w:r w:rsidRPr="00097A86">
        <w:rPr>
          <w:b/>
          <w:i/>
        </w:rPr>
        <w:t xml:space="preserve"> </w:t>
      </w:r>
      <w:r w:rsidRPr="00097A86">
        <w:t>is total emissions for gas type (</w:t>
      </w:r>
      <w:r w:rsidRPr="00097A86">
        <w:rPr>
          <w:b/>
          <w:i/>
        </w:rPr>
        <w:t>j</w:t>
      </w:r>
      <w:r w:rsidRPr="00097A86">
        <w:t>), being methane and carbon dioxide from all well completions and well workovers during a year in a basin, measured in CO</w:t>
      </w:r>
      <w:r w:rsidRPr="00097A86">
        <w:rPr>
          <w:vertAlign w:val="subscript"/>
        </w:rPr>
        <w:t>2</w:t>
      </w:r>
      <w:r w:rsidR="00097A86">
        <w:noBreakHyphen/>
      </w:r>
      <w:r w:rsidRPr="00097A86">
        <w:t>e tonnes.</w:t>
      </w:r>
    </w:p>
    <w:p w14:paraId="357DE171" w14:textId="77777777" w:rsidR="00AE0D87" w:rsidRPr="00097A86" w:rsidRDefault="00AE0D87" w:rsidP="00AE0D87">
      <w:pPr>
        <w:pStyle w:val="Definition"/>
      </w:pPr>
      <w:r w:rsidRPr="00097A86">
        <w:rPr>
          <w:b/>
          <w:i/>
        </w:rPr>
        <w:t>ES</w:t>
      </w:r>
      <w:r w:rsidRPr="00097A86">
        <w:rPr>
          <w:b/>
          <w:i/>
          <w:vertAlign w:val="subscript"/>
        </w:rPr>
        <w:t>p</w:t>
      </w:r>
      <w:r w:rsidRPr="00097A86">
        <w:t xml:space="preserve"> is the volume of methane vented during a well completion or well workover from strata for each well (</w:t>
      </w:r>
      <w:r w:rsidRPr="00097A86">
        <w:rPr>
          <w:b/>
          <w:i/>
        </w:rPr>
        <w:t>p</w:t>
      </w:r>
      <w:r w:rsidRPr="00097A86">
        <w:t xml:space="preserve">) in cubic metres at standard conditions, worked out in accordance with </w:t>
      </w:r>
      <w:r w:rsidR="00097A86">
        <w:t>subsection (</w:t>
      </w:r>
      <w:r w:rsidRPr="00097A86">
        <w:t>2).</w:t>
      </w:r>
    </w:p>
    <w:p w14:paraId="393E8E22" w14:textId="77777777" w:rsidR="00AE0D87" w:rsidRPr="00097A86" w:rsidRDefault="00AE0D87" w:rsidP="00AE0D87">
      <w:pPr>
        <w:pStyle w:val="Definition"/>
      </w:pPr>
      <w:r w:rsidRPr="00097A86">
        <w:rPr>
          <w:b/>
          <w:i/>
        </w:rPr>
        <w:t>VIGG</w:t>
      </w:r>
      <w:r w:rsidRPr="00097A86">
        <w:rPr>
          <w:b/>
          <w:i/>
          <w:vertAlign w:val="subscript"/>
        </w:rPr>
        <w:t>j,p</w:t>
      </w:r>
      <w:r w:rsidRPr="00097A86">
        <w:rPr>
          <w:b/>
          <w:i/>
        </w:rPr>
        <w:t xml:space="preserve"> </w:t>
      </w:r>
      <w:r w:rsidRPr="00097A86">
        <w:t>is the volume of gas type (</w:t>
      </w:r>
      <w:r w:rsidRPr="00097A86">
        <w:rPr>
          <w:b/>
          <w:i/>
        </w:rPr>
        <w:t>j</w:t>
      </w:r>
      <w:r w:rsidRPr="00097A86">
        <w:t xml:space="preserve">) in cubic metres at standard conditions, being methane and carbon dioxide, injected into the well during well completion or well workover, worked out in accordance with </w:t>
      </w:r>
      <w:r w:rsidR="00097A86">
        <w:t>subsection (</w:t>
      </w:r>
      <w:r w:rsidRPr="00097A86">
        <w:t>3).</w:t>
      </w:r>
    </w:p>
    <w:p w14:paraId="2FDF7F47" w14:textId="77777777" w:rsidR="00AE0D87" w:rsidRPr="00097A86" w:rsidRDefault="00AE0D87" w:rsidP="00AE0D87">
      <w:pPr>
        <w:pStyle w:val="Definition"/>
      </w:pPr>
      <w:r w:rsidRPr="00097A86">
        <w:rPr>
          <w:b/>
          <w:i/>
        </w:rPr>
        <w:t>W</w:t>
      </w:r>
      <w:r w:rsidRPr="00097A86">
        <w:t xml:space="preserve"> is the total number of well completions and well workovers in the basin during a year.</w:t>
      </w:r>
    </w:p>
    <w:p w14:paraId="2C2280DD" w14:textId="77777777" w:rsidR="00AE0D87" w:rsidRPr="00097A86" w:rsidRDefault="00AE0D87" w:rsidP="00AE0D87">
      <w:pPr>
        <w:pStyle w:val="Definition"/>
      </w:pPr>
      <w:r w:rsidRPr="00097A86">
        <w:rPr>
          <w:b/>
          <w:i/>
        </w:rPr>
        <w:t>γ</w:t>
      </w:r>
      <w:r w:rsidRPr="00097A86">
        <w:rPr>
          <w:b/>
          <w:i/>
          <w:vertAlign w:val="subscript"/>
        </w:rPr>
        <w:t>j</w:t>
      </w:r>
      <w:r w:rsidRPr="00097A86">
        <w:t xml:space="preserve"> is the factor for converting a quantity of gas type (</w:t>
      </w:r>
      <w:r w:rsidRPr="00097A86">
        <w:rPr>
          <w:b/>
          <w:i/>
        </w:rPr>
        <w:t>j</w:t>
      </w:r>
      <w:r w:rsidRPr="00097A86">
        <w:t>) from cubic metres at standard conditions to CO</w:t>
      </w:r>
      <w:r w:rsidRPr="00097A86">
        <w:rPr>
          <w:vertAlign w:val="subscript"/>
        </w:rPr>
        <w:t>2</w:t>
      </w:r>
      <w:r w:rsidR="00097A86">
        <w:noBreakHyphen/>
      </w:r>
      <w:r w:rsidRPr="00097A86">
        <w:t>e tonnes, being:</w:t>
      </w:r>
    </w:p>
    <w:p w14:paraId="42B66F5C" w14:textId="77777777" w:rsidR="00AE0D87" w:rsidRPr="00097A86" w:rsidRDefault="00AE0D87" w:rsidP="00AE0D87">
      <w:pPr>
        <w:pStyle w:val="paragraph"/>
      </w:pPr>
      <w:r w:rsidRPr="00097A86">
        <w:tab/>
        <w:t>(a)</w:t>
      </w:r>
      <w:r w:rsidRPr="00097A86">
        <w:tab/>
        <w:t>for methane—6.784 × 10</w:t>
      </w:r>
      <w:r w:rsidR="00097A86">
        <w:rPr>
          <w:vertAlign w:val="superscript"/>
        </w:rPr>
        <w:noBreakHyphen/>
      </w:r>
      <w:r w:rsidRPr="00097A86">
        <w:rPr>
          <w:vertAlign w:val="superscript"/>
        </w:rPr>
        <w:t>4</w:t>
      </w:r>
      <w:r w:rsidRPr="00097A86">
        <w:t xml:space="preserve"> × </w:t>
      </w:r>
      <w:r w:rsidR="00E76D51" w:rsidRPr="00097A86">
        <w:t>25</w:t>
      </w:r>
      <w:r w:rsidRPr="00097A86">
        <w:t>; and</w:t>
      </w:r>
    </w:p>
    <w:p w14:paraId="6BDAE46D" w14:textId="77777777" w:rsidR="00AE0D87" w:rsidRPr="00097A86" w:rsidRDefault="00AE0D87" w:rsidP="00AE0D87">
      <w:pPr>
        <w:pStyle w:val="paragraph"/>
      </w:pPr>
      <w:r w:rsidRPr="00097A86">
        <w:tab/>
        <w:t>(b)</w:t>
      </w:r>
      <w:r w:rsidRPr="00097A86">
        <w:tab/>
        <w:t>for carbon dioxide—1.861 × 10</w:t>
      </w:r>
      <w:r w:rsidR="00097A86">
        <w:rPr>
          <w:vertAlign w:val="superscript"/>
        </w:rPr>
        <w:noBreakHyphen/>
      </w:r>
      <w:r w:rsidRPr="00097A86">
        <w:rPr>
          <w:vertAlign w:val="superscript"/>
        </w:rPr>
        <w:t>3</w:t>
      </w:r>
      <w:r w:rsidRPr="00097A86">
        <w:t>.</w:t>
      </w:r>
    </w:p>
    <w:p w14:paraId="477A18CB" w14:textId="77777777" w:rsidR="00AE0D87" w:rsidRPr="00097A86" w:rsidRDefault="00AE0D87" w:rsidP="00AE0D87">
      <w:pPr>
        <w:pStyle w:val="Definition"/>
      </w:pPr>
      <w:r w:rsidRPr="00097A86">
        <w:rPr>
          <w:b/>
          <w:i/>
        </w:rPr>
        <w:t>Z</w:t>
      </w:r>
      <w:r w:rsidRPr="00097A86">
        <w:t xml:space="preserve"> is the total number of greenhouse gas types.</w:t>
      </w:r>
    </w:p>
    <w:p w14:paraId="3215EC81" w14:textId="77777777" w:rsidR="00AE0D87" w:rsidRPr="00097A86" w:rsidRDefault="00AE0D87" w:rsidP="00AE0D87">
      <w:pPr>
        <w:pStyle w:val="subsection"/>
      </w:pPr>
      <w:r w:rsidRPr="00097A86">
        <w:tab/>
        <w:t>(2)</w:t>
      </w:r>
      <w:r w:rsidRPr="00097A86">
        <w:tab/>
        <w:t xml:space="preserve">For </w:t>
      </w:r>
      <w:r w:rsidR="00097A86">
        <w:t>subsection (</w:t>
      </w:r>
      <w:r w:rsidRPr="00097A86">
        <w:t xml:space="preserve">1), the factor </w:t>
      </w:r>
      <w:r w:rsidRPr="00097A86">
        <w:rPr>
          <w:b/>
          <w:i/>
        </w:rPr>
        <w:t>ES</w:t>
      </w:r>
      <w:r w:rsidRPr="00097A86">
        <w:rPr>
          <w:b/>
          <w:i/>
          <w:vertAlign w:val="subscript"/>
        </w:rPr>
        <w:t>p</w:t>
      </w:r>
      <w:r w:rsidRPr="00097A86">
        <w:t xml:space="preserve"> is worked out using the formula:</w:t>
      </w:r>
    </w:p>
    <w:p w14:paraId="0E1ED2A7" w14:textId="77777777" w:rsidR="00AE0D87" w:rsidRPr="00097A86" w:rsidRDefault="003D4EFE" w:rsidP="00AE0D87">
      <w:pPr>
        <w:pStyle w:val="subsection2"/>
      </w:pPr>
      <w:bookmarkStart w:id="286" w:name="BKCheck15B_21"/>
      <w:bookmarkEnd w:id="286"/>
      <w:r w:rsidRPr="00097A86">
        <w:rPr>
          <w:noProof/>
        </w:rPr>
        <w:drawing>
          <wp:inline distT="0" distB="0" distL="0" distR="0" wp14:anchorId="2D1B6DA7" wp14:editId="104A6D86">
            <wp:extent cx="591820" cy="205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1820" cy="205105"/>
                    </a:xfrm>
                    <a:prstGeom prst="rect">
                      <a:avLst/>
                    </a:prstGeom>
                    <a:noFill/>
                    <a:ln>
                      <a:noFill/>
                    </a:ln>
                  </pic:spPr>
                </pic:pic>
              </a:graphicData>
            </a:graphic>
          </wp:inline>
        </w:drawing>
      </w:r>
    </w:p>
    <w:p w14:paraId="4F841693" w14:textId="77777777" w:rsidR="00AE0D87" w:rsidRPr="00097A86" w:rsidRDefault="00AE0D87" w:rsidP="00AE0D87">
      <w:pPr>
        <w:pStyle w:val="subsection2"/>
      </w:pPr>
      <w:r w:rsidRPr="00097A86">
        <w:t>where:</w:t>
      </w:r>
    </w:p>
    <w:p w14:paraId="1962F14D" w14:textId="77777777" w:rsidR="00AE0D87" w:rsidRPr="00097A86" w:rsidRDefault="00AE0D87" w:rsidP="00AE0D87">
      <w:pPr>
        <w:pStyle w:val="Definition"/>
      </w:pPr>
      <w:r w:rsidRPr="00097A86">
        <w:rPr>
          <w:b/>
          <w:i/>
        </w:rPr>
        <w:lastRenderedPageBreak/>
        <w:t>FV</w:t>
      </w:r>
      <w:r w:rsidRPr="00097A86">
        <w:rPr>
          <w:b/>
          <w:i/>
          <w:vertAlign w:val="subscript"/>
        </w:rPr>
        <w:t>p</w:t>
      </w:r>
      <w:r w:rsidRPr="00097A86">
        <w:t xml:space="preserve"> is the flow volume of each well (</w:t>
      </w:r>
      <w:r w:rsidRPr="00097A86">
        <w:rPr>
          <w:b/>
          <w:i/>
        </w:rPr>
        <w:t>p</w:t>
      </w:r>
      <w:r w:rsidRPr="00097A86">
        <w:t>) in cubic metres at standard conditions, measured using a digital or analog recording flow metre on the vent line to measure flowback during the well completion or well workover, estimated in accordance with Division</w:t>
      </w:r>
      <w:r w:rsidR="00097A86">
        <w:t> </w:t>
      </w:r>
      <w:r w:rsidRPr="00097A86">
        <w:t>2.3.6.</w:t>
      </w:r>
    </w:p>
    <w:p w14:paraId="03CFE008" w14:textId="77777777" w:rsidR="00AE0D87" w:rsidRPr="00097A86" w:rsidRDefault="00AE0D87" w:rsidP="00AE0D87">
      <w:pPr>
        <w:pStyle w:val="Definition"/>
      </w:pPr>
      <w:r w:rsidRPr="00097A86">
        <w:rPr>
          <w:b/>
          <w:i/>
        </w:rPr>
        <w:t>VI</w:t>
      </w:r>
      <w:r w:rsidRPr="00097A86">
        <w:rPr>
          <w:b/>
          <w:i/>
          <w:vertAlign w:val="subscript"/>
        </w:rPr>
        <w:t>p</w:t>
      </w:r>
      <w:r w:rsidRPr="00097A86">
        <w:t xml:space="preserve"> is the volume of injected gas in cubic metres at standard conditions that is injected into the well during the well completion or well workover, estimated in accordance with Division</w:t>
      </w:r>
      <w:r w:rsidR="00097A86">
        <w:t> </w:t>
      </w:r>
      <w:r w:rsidRPr="00097A86">
        <w:t>2.3.6.</w:t>
      </w:r>
    </w:p>
    <w:p w14:paraId="58D24A34" w14:textId="77777777" w:rsidR="00AE0D87" w:rsidRPr="00097A86" w:rsidRDefault="00AE0D87" w:rsidP="00AE0D87">
      <w:pPr>
        <w:pStyle w:val="subsection"/>
      </w:pPr>
      <w:r w:rsidRPr="00097A86">
        <w:tab/>
        <w:t>(3)</w:t>
      </w:r>
      <w:r w:rsidRPr="00097A86">
        <w:tab/>
        <w:t xml:space="preserve">For </w:t>
      </w:r>
      <w:r w:rsidR="00097A86">
        <w:t>subsection (</w:t>
      </w:r>
      <w:r w:rsidRPr="00097A86">
        <w:t xml:space="preserve">1), </w:t>
      </w:r>
      <w:r w:rsidRPr="00097A86">
        <w:rPr>
          <w:b/>
          <w:i/>
        </w:rPr>
        <w:t>VIGG</w:t>
      </w:r>
      <w:r w:rsidRPr="00097A86">
        <w:rPr>
          <w:b/>
          <w:i/>
          <w:vertAlign w:val="subscript"/>
        </w:rPr>
        <w:t>j,p</w:t>
      </w:r>
      <w:r w:rsidRPr="00097A86">
        <w:t xml:space="preserve"> is worked out using the following formula:</w:t>
      </w:r>
    </w:p>
    <w:p w14:paraId="167588AE" w14:textId="77777777" w:rsidR="00AE0D87" w:rsidRPr="00097A86" w:rsidRDefault="003D4EFE" w:rsidP="00AE0D87">
      <w:pPr>
        <w:pStyle w:val="subsection2"/>
      </w:pPr>
      <w:bookmarkStart w:id="287" w:name="BKCheck15B_22"/>
      <w:bookmarkEnd w:id="287"/>
      <w:r w:rsidRPr="00097A86">
        <w:rPr>
          <w:noProof/>
        </w:rPr>
        <w:drawing>
          <wp:inline distT="0" distB="0" distL="0" distR="0" wp14:anchorId="12585698" wp14:editId="61FEBF70">
            <wp:extent cx="832485" cy="2051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32485" cy="205105"/>
                    </a:xfrm>
                    <a:prstGeom prst="rect">
                      <a:avLst/>
                    </a:prstGeom>
                    <a:noFill/>
                    <a:ln>
                      <a:noFill/>
                    </a:ln>
                  </pic:spPr>
                </pic:pic>
              </a:graphicData>
            </a:graphic>
          </wp:inline>
        </w:drawing>
      </w:r>
    </w:p>
    <w:p w14:paraId="3609423E" w14:textId="77777777" w:rsidR="00AE0D87" w:rsidRPr="00097A86" w:rsidRDefault="00AE0D87" w:rsidP="00AE0D87">
      <w:pPr>
        <w:pStyle w:val="subsection2"/>
      </w:pPr>
      <w:r w:rsidRPr="00097A86">
        <w:t>where:</w:t>
      </w:r>
    </w:p>
    <w:p w14:paraId="1C3F25DC" w14:textId="77777777" w:rsidR="00AE0D87" w:rsidRPr="00097A86" w:rsidRDefault="00AE0D87" w:rsidP="00AE0D87">
      <w:pPr>
        <w:pStyle w:val="Definition"/>
      </w:pPr>
      <w:r w:rsidRPr="00097A86">
        <w:rPr>
          <w:b/>
          <w:i/>
        </w:rPr>
        <w:t>mol</w:t>
      </w:r>
      <w:r w:rsidRPr="00097A86">
        <w:rPr>
          <w:b/>
          <w:i/>
          <w:vertAlign w:val="subscript"/>
        </w:rPr>
        <w:t>j,p</w:t>
      </w:r>
      <w:r w:rsidRPr="00097A86">
        <w:rPr>
          <w:b/>
          <w:i/>
        </w:rPr>
        <w:t>%</w:t>
      </w:r>
      <w:r w:rsidRPr="00097A86">
        <w:t>, for each gas type (</w:t>
      </w:r>
      <w:r w:rsidRPr="00097A86">
        <w:rPr>
          <w:b/>
          <w:i/>
        </w:rPr>
        <w:t>j</w:t>
      </w:r>
      <w:r w:rsidRPr="00097A86">
        <w:t xml:space="preserve">), being methane and carbon dioxide, is the gas type’s share of one mole of </w:t>
      </w:r>
      <w:r w:rsidRPr="00097A86">
        <w:rPr>
          <w:b/>
          <w:i/>
        </w:rPr>
        <w:t>VI</w:t>
      </w:r>
      <w:r w:rsidRPr="00097A86">
        <w:rPr>
          <w:b/>
          <w:i/>
          <w:vertAlign w:val="subscript"/>
        </w:rPr>
        <w:t>p</w:t>
      </w:r>
      <w:r w:rsidRPr="00097A86">
        <w:t xml:space="preserve"> expressed as a percentage, estimated in accordance with Division</w:t>
      </w:r>
      <w:r w:rsidR="00097A86">
        <w:t> </w:t>
      </w:r>
      <w:r w:rsidRPr="00097A86">
        <w:t>2.3.3.</w:t>
      </w:r>
    </w:p>
    <w:p w14:paraId="3D9C1A86" w14:textId="77777777" w:rsidR="00AE0D87" w:rsidRPr="00097A86" w:rsidRDefault="00AE0D87" w:rsidP="00AE0D87">
      <w:pPr>
        <w:pStyle w:val="Definition"/>
      </w:pPr>
      <w:r w:rsidRPr="00097A86">
        <w:rPr>
          <w:b/>
          <w:i/>
        </w:rPr>
        <w:t>VI</w:t>
      </w:r>
      <w:r w:rsidRPr="00097A86">
        <w:rPr>
          <w:b/>
          <w:i/>
          <w:vertAlign w:val="subscript"/>
        </w:rPr>
        <w:t>p</w:t>
      </w:r>
      <w:r w:rsidRPr="00097A86">
        <w:t xml:space="preserve"> is the volume of injected gas in cubic metres at standard conditions that is injected into the well during the well completion or well workover, estimated in accordance with Division</w:t>
      </w:r>
      <w:r w:rsidR="00097A86">
        <w:t> </w:t>
      </w:r>
      <w:r w:rsidRPr="00097A86">
        <w:t>2.3.6.</w:t>
      </w:r>
    </w:p>
    <w:p w14:paraId="28B269F6" w14:textId="77777777" w:rsidR="00AE0D87" w:rsidRPr="00097A86" w:rsidRDefault="00AE0D87" w:rsidP="00AE0D87">
      <w:pPr>
        <w:pStyle w:val="SubsectionHead"/>
      </w:pPr>
      <w:r w:rsidRPr="00097A86">
        <w:t>Vented volume measured for a sample of wells and well types in a basin</w:t>
      </w:r>
    </w:p>
    <w:p w14:paraId="5F97CFB1" w14:textId="77777777" w:rsidR="00AE0D87" w:rsidRPr="00097A86" w:rsidRDefault="00AE0D87" w:rsidP="00AE0D87">
      <w:pPr>
        <w:pStyle w:val="subsection"/>
      </w:pPr>
      <w:r w:rsidRPr="00097A86">
        <w:tab/>
        <w:t>(4)</w:t>
      </w:r>
      <w:r w:rsidRPr="00097A86">
        <w:tab/>
        <w:t>For subparagraph</w:t>
      </w:r>
      <w:r w:rsidR="00097A86">
        <w:t> </w:t>
      </w:r>
      <w:r w:rsidRPr="00097A86">
        <w:t>3.46A(2)(b)(i), where vented volume is measured for a sample of wells and well types (horizontal or vertical) in a basin, method 4 is:</w:t>
      </w:r>
    </w:p>
    <w:p w14:paraId="5E07A486" w14:textId="77777777" w:rsidR="00AE0D87" w:rsidRPr="00097A86" w:rsidRDefault="003D4EFE" w:rsidP="00AE0D87">
      <w:pPr>
        <w:pStyle w:val="subsection2"/>
      </w:pPr>
      <w:bookmarkStart w:id="288" w:name="BKCheck15B_23"/>
      <w:bookmarkEnd w:id="288"/>
      <w:r w:rsidRPr="00097A86">
        <w:rPr>
          <w:noProof/>
        </w:rPr>
        <w:drawing>
          <wp:inline distT="0" distB="0" distL="0" distR="0" wp14:anchorId="05030AB3" wp14:editId="60BE34CA">
            <wp:extent cx="2561590" cy="42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61590" cy="422275"/>
                    </a:xfrm>
                    <a:prstGeom prst="rect">
                      <a:avLst/>
                    </a:prstGeom>
                    <a:noFill/>
                    <a:ln>
                      <a:noFill/>
                    </a:ln>
                  </pic:spPr>
                </pic:pic>
              </a:graphicData>
            </a:graphic>
          </wp:inline>
        </w:drawing>
      </w:r>
    </w:p>
    <w:p w14:paraId="663F7FBF" w14:textId="77777777" w:rsidR="00AE0D87" w:rsidRPr="00097A86" w:rsidRDefault="00AE0D87" w:rsidP="00AE0D87">
      <w:pPr>
        <w:pStyle w:val="subsection2"/>
      </w:pPr>
      <w:r w:rsidRPr="00097A86">
        <w:t>where:</w:t>
      </w:r>
    </w:p>
    <w:p w14:paraId="2D149EC6" w14:textId="77777777" w:rsidR="00AE0D87" w:rsidRPr="00097A86" w:rsidRDefault="00AE0D87" w:rsidP="00AE0D87">
      <w:pPr>
        <w:pStyle w:val="Definition"/>
      </w:pPr>
      <w:r w:rsidRPr="00097A86">
        <w:rPr>
          <w:b/>
          <w:i/>
        </w:rPr>
        <w:t>Em</w:t>
      </w:r>
      <w:r w:rsidRPr="00097A86">
        <w:rPr>
          <w:b/>
          <w:i/>
          <w:vertAlign w:val="subscript"/>
        </w:rPr>
        <w:t>j</w:t>
      </w:r>
      <w:r w:rsidRPr="00097A86">
        <w:rPr>
          <w:b/>
          <w:i/>
        </w:rPr>
        <w:t xml:space="preserve"> </w:t>
      </w:r>
      <w:r w:rsidRPr="00097A86">
        <w:t>is total emissions for gas type (</w:t>
      </w:r>
      <w:r w:rsidRPr="00097A86">
        <w:rPr>
          <w:b/>
          <w:i/>
        </w:rPr>
        <w:t>j</w:t>
      </w:r>
      <w:r w:rsidRPr="00097A86">
        <w:t>), being methane and carbon dioxide from all well completions and well workovers during a year in a basin, measured in CO</w:t>
      </w:r>
      <w:r w:rsidRPr="00097A86">
        <w:rPr>
          <w:vertAlign w:val="subscript"/>
        </w:rPr>
        <w:t>2</w:t>
      </w:r>
      <w:r w:rsidR="00097A86">
        <w:noBreakHyphen/>
      </w:r>
      <w:r w:rsidRPr="00097A86">
        <w:t>e tonnes.</w:t>
      </w:r>
    </w:p>
    <w:p w14:paraId="0B1BEA59" w14:textId="77777777" w:rsidR="00AE0D87" w:rsidRPr="00097A86" w:rsidRDefault="00AE0D87" w:rsidP="00AE0D87">
      <w:pPr>
        <w:pStyle w:val="Definition"/>
      </w:pPr>
      <w:r w:rsidRPr="00097A86">
        <w:rPr>
          <w:b/>
          <w:i/>
        </w:rPr>
        <w:t>EV</w:t>
      </w:r>
      <w:r w:rsidRPr="00097A86">
        <w:rPr>
          <w:b/>
          <w:i/>
          <w:vertAlign w:val="subscript"/>
        </w:rPr>
        <w:t>p</w:t>
      </w:r>
      <w:r w:rsidRPr="00097A86">
        <w:t xml:space="preserve"> is the volume of methane flowback during a well completion or well workover from strata for each well (</w:t>
      </w:r>
      <w:r w:rsidRPr="00097A86">
        <w:rPr>
          <w:b/>
          <w:i/>
        </w:rPr>
        <w:t>p</w:t>
      </w:r>
      <w:r w:rsidRPr="00097A86">
        <w:t xml:space="preserve">) in cubic metres at standard conditions, worked out in accordance with </w:t>
      </w:r>
      <w:r w:rsidR="00097A86">
        <w:t>subsection (</w:t>
      </w:r>
      <w:r w:rsidRPr="00097A86">
        <w:t>5).</w:t>
      </w:r>
    </w:p>
    <w:p w14:paraId="48FA18B2" w14:textId="77777777" w:rsidR="00AE0D87" w:rsidRPr="00097A86" w:rsidRDefault="00AE0D87" w:rsidP="00AE0D87">
      <w:pPr>
        <w:pStyle w:val="Definition"/>
        <w:jc w:val="both"/>
      </w:pPr>
      <w:r w:rsidRPr="00097A86">
        <w:rPr>
          <w:b/>
          <w:i/>
        </w:rPr>
        <w:t>SG</w:t>
      </w:r>
      <w:r w:rsidRPr="00097A86">
        <w:rPr>
          <w:b/>
          <w:i/>
          <w:vertAlign w:val="subscript"/>
        </w:rPr>
        <w:t>j,p</w:t>
      </w:r>
      <w:r w:rsidRPr="00097A86">
        <w:rPr>
          <w:vertAlign w:val="subscript"/>
        </w:rPr>
        <w:t xml:space="preserve"> </w:t>
      </w:r>
      <w:r w:rsidRPr="00097A86">
        <w:t>is the volume of gas type (</w:t>
      </w:r>
      <w:r w:rsidRPr="00097A86">
        <w:rPr>
          <w:b/>
          <w:i/>
        </w:rPr>
        <w:t>j</w:t>
      </w:r>
      <w:r w:rsidRPr="00097A86">
        <w:t>), being methane and carbon dioxide, in cubic metres at standard conditions that is captured or flared for each well (</w:t>
      </w:r>
      <w:r w:rsidRPr="00097A86">
        <w:rPr>
          <w:b/>
          <w:i/>
        </w:rPr>
        <w:t>p</w:t>
      </w:r>
      <w:r w:rsidRPr="00097A86">
        <w:t>) during the well completion or well workover, estimated in accordance with:</w:t>
      </w:r>
    </w:p>
    <w:p w14:paraId="3D923FA1" w14:textId="77777777" w:rsidR="00AE0D87" w:rsidRPr="00097A86" w:rsidRDefault="00AE0D87" w:rsidP="00AE0D87">
      <w:pPr>
        <w:pStyle w:val="paragraph"/>
      </w:pPr>
      <w:r w:rsidRPr="00097A86">
        <w:tab/>
        <w:t>(a)</w:t>
      </w:r>
      <w:r w:rsidRPr="00097A86">
        <w:tab/>
        <w:t>for the volume of the gas—Division</w:t>
      </w:r>
      <w:r w:rsidR="00097A86">
        <w:t> </w:t>
      </w:r>
      <w:r w:rsidRPr="00097A86">
        <w:t>2.3.6; and</w:t>
      </w:r>
    </w:p>
    <w:p w14:paraId="2E9FCA99" w14:textId="77777777" w:rsidR="00AE0D87" w:rsidRPr="00097A86" w:rsidRDefault="00AE0D87" w:rsidP="00AE0D87">
      <w:pPr>
        <w:pStyle w:val="paragraph"/>
      </w:pPr>
      <w:r w:rsidRPr="00097A86">
        <w:tab/>
        <w:t>(b)</w:t>
      </w:r>
      <w:r w:rsidRPr="00097A86">
        <w:tab/>
        <w:t>for the gas composition—Division</w:t>
      </w:r>
      <w:r w:rsidR="00097A86">
        <w:t> </w:t>
      </w:r>
      <w:r w:rsidRPr="00097A86">
        <w:t>2.3.3.</w:t>
      </w:r>
    </w:p>
    <w:p w14:paraId="432C1185" w14:textId="77777777" w:rsidR="00AE0D87" w:rsidRPr="00097A86" w:rsidRDefault="00AE0D87" w:rsidP="00AE0D87">
      <w:pPr>
        <w:pStyle w:val="Definition"/>
      </w:pPr>
      <w:r w:rsidRPr="00097A86">
        <w:rPr>
          <w:b/>
          <w:i/>
        </w:rPr>
        <w:t>VIGG</w:t>
      </w:r>
      <w:r w:rsidRPr="00097A86">
        <w:rPr>
          <w:b/>
          <w:i/>
          <w:vertAlign w:val="subscript"/>
        </w:rPr>
        <w:t>j,p</w:t>
      </w:r>
      <w:r w:rsidRPr="00097A86">
        <w:rPr>
          <w:b/>
          <w:i/>
        </w:rPr>
        <w:t xml:space="preserve"> </w:t>
      </w:r>
      <w:r w:rsidRPr="00097A86">
        <w:t>is the volume of gas type (</w:t>
      </w:r>
      <w:r w:rsidRPr="00097A86">
        <w:rPr>
          <w:b/>
          <w:i/>
        </w:rPr>
        <w:t>j</w:t>
      </w:r>
      <w:r w:rsidRPr="00097A86">
        <w:t>), being methane and carbon dioxide, injected into each well (</w:t>
      </w:r>
      <w:r w:rsidRPr="00097A86">
        <w:rPr>
          <w:b/>
          <w:i/>
        </w:rPr>
        <w:t>p</w:t>
      </w:r>
      <w:r w:rsidRPr="00097A86">
        <w:t xml:space="preserve">) during the well completion or well workover, worked out in accordance with </w:t>
      </w:r>
      <w:r w:rsidR="00097A86">
        <w:t>subsection (</w:t>
      </w:r>
      <w:r w:rsidRPr="00097A86">
        <w:t>6).</w:t>
      </w:r>
    </w:p>
    <w:p w14:paraId="0CA8EF2A" w14:textId="77777777" w:rsidR="00AE0D87" w:rsidRPr="00097A86" w:rsidRDefault="00AE0D87" w:rsidP="00AE0D87">
      <w:pPr>
        <w:pStyle w:val="Definition"/>
      </w:pPr>
      <w:r w:rsidRPr="00097A86">
        <w:rPr>
          <w:b/>
          <w:i/>
        </w:rPr>
        <w:t>W</w:t>
      </w:r>
      <w:r w:rsidRPr="00097A86">
        <w:t xml:space="preserve"> is the total number of well completions and well workovers during a year in the basin.</w:t>
      </w:r>
    </w:p>
    <w:p w14:paraId="47EBDB8D" w14:textId="77777777" w:rsidR="00AE0D87" w:rsidRPr="00097A86" w:rsidRDefault="00AE0D87" w:rsidP="00AE0D87">
      <w:pPr>
        <w:pStyle w:val="Definition"/>
      </w:pPr>
      <w:r w:rsidRPr="00097A86">
        <w:rPr>
          <w:b/>
          <w:i/>
        </w:rPr>
        <w:lastRenderedPageBreak/>
        <w:t>γ</w:t>
      </w:r>
      <w:r w:rsidRPr="00097A86">
        <w:rPr>
          <w:b/>
          <w:i/>
          <w:vertAlign w:val="subscript"/>
        </w:rPr>
        <w:t>j</w:t>
      </w:r>
      <w:r w:rsidRPr="00097A86">
        <w:t xml:space="preserve"> is the factor for converting a quantity of gas type (</w:t>
      </w:r>
      <w:r w:rsidRPr="00097A86">
        <w:rPr>
          <w:b/>
          <w:i/>
        </w:rPr>
        <w:t>j</w:t>
      </w:r>
      <w:r w:rsidRPr="00097A86">
        <w:t>) from cubic metres at standard conditions to CO</w:t>
      </w:r>
      <w:r w:rsidRPr="00097A86">
        <w:rPr>
          <w:vertAlign w:val="subscript"/>
        </w:rPr>
        <w:t>2</w:t>
      </w:r>
      <w:r w:rsidR="00097A86">
        <w:noBreakHyphen/>
      </w:r>
      <w:r w:rsidRPr="00097A86">
        <w:t>e tonnes, being:</w:t>
      </w:r>
    </w:p>
    <w:p w14:paraId="3E527A07" w14:textId="77777777" w:rsidR="00AE0D87" w:rsidRPr="00097A86" w:rsidRDefault="00AE0D87" w:rsidP="00AE0D87">
      <w:pPr>
        <w:pStyle w:val="paragraph"/>
      </w:pPr>
      <w:r w:rsidRPr="00097A86">
        <w:tab/>
        <w:t>(a)</w:t>
      </w:r>
      <w:r w:rsidRPr="00097A86">
        <w:tab/>
        <w:t>for methane—6.784 × 10</w:t>
      </w:r>
      <w:r w:rsidR="00097A86">
        <w:rPr>
          <w:vertAlign w:val="superscript"/>
        </w:rPr>
        <w:noBreakHyphen/>
      </w:r>
      <w:r w:rsidRPr="00097A86">
        <w:rPr>
          <w:vertAlign w:val="superscript"/>
        </w:rPr>
        <w:t>4</w:t>
      </w:r>
      <w:r w:rsidRPr="00097A86">
        <w:t xml:space="preserve"> × </w:t>
      </w:r>
      <w:r w:rsidR="00E76D51" w:rsidRPr="00097A86">
        <w:t>25</w:t>
      </w:r>
      <w:r w:rsidRPr="00097A86">
        <w:t>; and</w:t>
      </w:r>
    </w:p>
    <w:p w14:paraId="7D203528" w14:textId="77777777" w:rsidR="00AE0D87" w:rsidRPr="00097A86" w:rsidRDefault="00AE0D87" w:rsidP="00AE0D87">
      <w:pPr>
        <w:pStyle w:val="paragraph"/>
      </w:pPr>
      <w:r w:rsidRPr="00097A86">
        <w:tab/>
        <w:t>(b)</w:t>
      </w:r>
      <w:r w:rsidRPr="00097A86">
        <w:tab/>
        <w:t>for carbon dioxide—1.861 × 10</w:t>
      </w:r>
      <w:r w:rsidR="00097A86">
        <w:rPr>
          <w:vertAlign w:val="superscript"/>
        </w:rPr>
        <w:noBreakHyphen/>
      </w:r>
      <w:r w:rsidRPr="00097A86">
        <w:rPr>
          <w:vertAlign w:val="superscript"/>
        </w:rPr>
        <w:t>3</w:t>
      </w:r>
      <w:r w:rsidRPr="00097A86">
        <w:t>.</w:t>
      </w:r>
    </w:p>
    <w:p w14:paraId="57A43ED5" w14:textId="77777777" w:rsidR="00AE0D87" w:rsidRPr="00097A86" w:rsidRDefault="00AE0D87" w:rsidP="00AE0D87">
      <w:pPr>
        <w:pStyle w:val="Definition"/>
      </w:pPr>
      <w:r w:rsidRPr="00097A86">
        <w:rPr>
          <w:b/>
          <w:i/>
        </w:rPr>
        <w:t>Z</w:t>
      </w:r>
      <w:r w:rsidRPr="00097A86">
        <w:t xml:space="preserve"> is the total number of greenhouse gas types.</w:t>
      </w:r>
    </w:p>
    <w:p w14:paraId="530B6298" w14:textId="77777777" w:rsidR="00AE0D87" w:rsidRPr="00097A86" w:rsidRDefault="00AE0D87" w:rsidP="00AE0D87">
      <w:pPr>
        <w:pStyle w:val="subsection"/>
      </w:pPr>
      <w:r w:rsidRPr="00097A86">
        <w:tab/>
        <w:t>(5)</w:t>
      </w:r>
      <w:r w:rsidRPr="00097A86">
        <w:tab/>
        <w:t xml:space="preserve">For </w:t>
      </w:r>
      <w:r w:rsidR="00097A86">
        <w:t>subsection (</w:t>
      </w:r>
      <w:r w:rsidRPr="00097A86">
        <w:t xml:space="preserve">4), the factor </w:t>
      </w:r>
      <w:r w:rsidRPr="00097A86">
        <w:rPr>
          <w:b/>
          <w:i/>
        </w:rPr>
        <w:t>EV</w:t>
      </w:r>
      <w:r w:rsidRPr="00097A86">
        <w:rPr>
          <w:b/>
          <w:i/>
          <w:vertAlign w:val="subscript"/>
        </w:rPr>
        <w:t>p</w:t>
      </w:r>
      <w:r w:rsidRPr="00097A86">
        <w:t xml:space="preserve"> is worked out using the following formula:</w:t>
      </w:r>
    </w:p>
    <w:bookmarkStart w:id="289" w:name="BKCheck15B_24"/>
    <w:bookmarkEnd w:id="289"/>
    <w:p w14:paraId="76D24CAA" w14:textId="77777777" w:rsidR="00AE0D87" w:rsidRPr="00097A86" w:rsidRDefault="00AE0D87" w:rsidP="00AE0D87">
      <w:pPr>
        <w:pStyle w:val="subsection2"/>
      </w:pPr>
      <w:r w:rsidRPr="00097A86">
        <w:rPr>
          <w:position w:val="-12"/>
        </w:rPr>
        <w:object w:dxaOrig="2299" w:dyaOrig="320" w14:anchorId="7BFC1953">
          <v:shape id="_x0000_i1027" type="#_x0000_t75" style="width:114.75pt;height:16.5pt" o:ole="">
            <v:imagedata r:id="rId79" o:title=""/>
          </v:shape>
          <o:OLEObject Type="Embed" ProgID="Equation.DSMT4" ShapeID="_x0000_i1027" DrawAspect="Content" ObjectID="_1624711031" r:id="rId80"/>
        </w:object>
      </w:r>
    </w:p>
    <w:p w14:paraId="7CD401BA" w14:textId="77777777" w:rsidR="00AE0D87" w:rsidRPr="00097A86" w:rsidRDefault="00AE0D87" w:rsidP="00AE0D87">
      <w:pPr>
        <w:pStyle w:val="subsection2"/>
      </w:pPr>
      <w:r w:rsidRPr="00097A86">
        <w:t>where:</w:t>
      </w:r>
    </w:p>
    <w:p w14:paraId="6C533308" w14:textId="77777777" w:rsidR="00AE0D87" w:rsidRPr="00097A86" w:rsidRDefault="00AE0D87" w:rsidP="00AE0D87">
      <w:pPr>
        <w:pStyle w:val="Definition"/>
      </w:pPr>
      <w:r w:rsidRPr="00097A86">
        <w:rPr>
          <w:b/>
          <w:i/>
        </w:rPr>
        <w:t>FRM</w:t>
      </w:r>
      <w:r w:rsidRPr="00097A86">
        <w:rPr>
          <w:b/>
          <w:i/>
          <w:vertAlign w:val="subscript"/>
        </w:rPr>
        <w:t>bt</w:t>
      </w:r>
      <w:r w:rsidRPr="00097A86">
        <w:rPr>
          <w:b/>
          <w:i/>
        </w:rPr>
        <w:t xml:space="preserve"> </w:t>
      </w:r>
      <w:r w:rsidRPr="00097A86">
        <w:t>is the ratio of flowback during well completions and well workovers to the 30 day production rate for the basin (</w:t>
      </w:r>
      <w:r w:rsidRPr="00097A86">
        <w:rPr>
          <w:b/>
          <w:i/>
        </w:rPr>
        <w:t>b</w:t>
      </w:r>
      <w:r w:rsidRPr="00097A86">
        <w:t>) and the well type combination (</w:t>
      </w:r>
      <w:r w:rsidRPr="00097A86">
        <w:rPr>
          <w:b/>
          <w:i/>
        </w:rPr>
        <w:t>t</w:t>
      </w:r>
      <w:r w:rsidRPr="00097A86">
        <w:t xml:space="preserve">), as worked out in accordance with </w:t>
      </w:r>
      <w:r w:rsidR="00097A86">
        <w:t>subsection (</w:t>
      </w:r>
      <w:r w:rsidRPr="00097A86">
        <w:t>7).</w:t>
      </w:r>
    </w:p>
    <w:p w14:paraId="4ED99A7D" w14:textId="77777777" w:rsidR="00AE0D87" w:rsidRPr="00097A86" w:rsidRDefault="00AE0D87" w:rsidP="00AE0D87">
      <w:pPr>
        <w:pStyle w:val="Definition"/>
      </w:pPr>
      <w:r w:rsidRPr="00097A86">
        <w:rPr>
          <w:b/>
          <w:i/>
        </w:rPr>
        <w:t>PR</w:t>
      </w:r>
      <w:r w:rsidRPr="00097A86">
        <w:rPr>
          <w:b/>
          <w:i/>
          <w:vertAlign w:val="subscript"/>
        </w:rPr>
        <w:t>p</w:t>
      </w:r>
      <w:r w:rsidRPr="00097A86">
        <w:t xml:space="preserve"> is the first 30 days average production flow rate in cubic metres per hour at each well (</w:t>
      </w:r>
      <w:r w:rsidRPr="00097A86">
        <w:rPr>
          <w:b/>
          <w:i/>
        </w:rPr>
        <w:t>p</w:t>
      </w:r>
      <w:r w:rsidRPr="00097A86">
        <w:t>), estimated in accordance with Division</w:t>
      </w:r>
      <w:r w:rsidR="00097A86">
        <w:t> </w:t>
      </w:r>
      <w:r w:rsidRPr="00097A86">
        <w:t>2.3.6.</w:t>
      </w:r>
    </w:p>
    <w:p w14:paraId="0D088C7F" w14:textId="77777777" w:rsidR="00AE0D87" w:rsidRPr="00097A86" w:rsidRDefault="00AE0D87" w:rsidP="00AE0D87">
      <w:pPr>
        <w:pStyle w:val="Definition"/>
      </w:pPr>
      <w:r w:rsidRPr="00097A86">
        <w:rPr>
          <w:b/>
          <w:i/>
        </w:rPr>
        <w:t>T</w:t>
      </w:r>
      <w:r w:rsidRPr="00097A86">
        <w:rPr>
          <w:b/>
          <w:i/>
          <w:vertAlign w:val="subscript"/>
        </w:rPr>
        <w:t>p</w:t>
      </w:r>
      <w:r w:rsidRPr="00097A86">
        <w:t xml:space="preserve"> is the total number of hours for the reporting year of flowback for the well completion or well workover for each well (</w:t>
      </w:r>
      <w:r w:rsidRPr="00097A86">
        <w:rPr>
          <w:b/>
          <w:i/>
        </w:rPr>
        <w:t>p</w:t>
      </w:r>
      <w:r w:rsidRPr="00097A86">
        <w:t>) and well type (horizontal or vertical) in a basin.</w:t>
      </w:r>
    </w:p>
    <w:p w14:paraId="1C02AADF" w14:textId="77777777" w:rsidR="00AE0D87" w:rsidRPr="00097A86" w:rsidRDefault="00AE0D87" w:rsidP="00AE0D87">
      <w:pPr>
        <w:pStyle w:val="Definition"/>
      </w:pPr>
      <w:r w:rsidRPr="00097A86">
        <w:rPr>
          <w:b/>
          <w:i/>
        </w:rPr>
        <w:t>VI</w:t>
      </w:r>
      <w:r w:rsidRPr="00097A86">
        <w:rPr>
          <w:b/>
          <w:i/>
          <w:vertAlign w:val="subscript"/>
        </w:rPr>
        <w:t>p</w:t>
      </w:r>
      <w:r w:rsidRPr="00097A86">
        <w:t xml:space="preserve"> is the volume of injected gas in cubic metres at standard conditions that is injected into the well during the well completion or well workover, estimated in accordance with Division</w:t>
      </w:r>
      <w:r w:rsidR="00097A86">
        <w:t> </w:t>
      </w:r>
      <w:r w:rsidRPr="00097A86">
        <w:t>2.3.6.</w:t>
      </w:r>
    </w:p>
    <w:p w14:paraId="2D61F279" w14:textId="77777777" w:rsidR="00AE0D87" w:rsidRPr="00097A86" w:rsidRDefault="00AE0D87" w:rsidP="00AE0D87">
      <w:pPr>
        <w:pStyle w:val="subsection"/>
      </w:pPr>
      <w:r w:rsidRPr="00097A86">
        <w:tab/>
        <w:t>(6)</w:t>
      </w:r>
      <w:r w:rsidRPr="00097A86">
        <w:tab/>
        <w:t xml:space="preserve">For </w:t>
      </w:r>
      <w:r w:rsidR="00097A86">
        <w:t>subsection (</w:t>
      </w:r>
      <w:r w:rsidRPr="00097A86">
        <w:t xml:space="preserve">4), </w:t>
      </w:r>
      <w:r w:rsidRPr="00097A86">
        <w:rPr>
          <w:b/>
          <w:i/>
        </w:rPr>
        <w:t>VIGG</w:t>
      </w:r>
      <w:r w:rsidRPr="00097A86">
        <w:rPr>
          <w:b/>
          <w:i/>
          <w:vertAlign w:val="subscript"/>
        </w:rPr>
        <w:t>j,p</w:t>
      </w:r>
      <w:r w:rsidRPr="00097A86">
        <w:rPr>
          <w:b/>
          <w:i/>
        </w:rPr>
        <w:t xml:space="preserve"> </w:t>
      </w:r>
      <w:r w:rsidRPr="00097A86">
        <w:t>is worked out using the following formula:</w:t>
      </w:r>
    </w:p>
    <w:p w14:paraId="219FCE0C" w14:textId="77777777" w:rsidR="00AE0D87" w:rsidRPr="00097A86" w:rsidRDefault="00F05BCE" w:rsidP="00AE0D87">
      <w:pPr>
        <w:pStyle w:val="subsection2"/>
      </w:pPr>
      <w:bookmarkStart w:id="290" w:name="BKCheck15B_25"/>
      <w:bookmarkEnd w:id="290"/>
      <w:r w:rsidRPr="00097A86">
        <w:rPr>
          <w:noProof/>
        </w:rPr>
        <w:drawing>
          <wp:inline distT="0" distB="0" distL="0" distR="0" wp14:anchorId="11646D3B" wp14:editId="54BF2F73">
            <wp:extent cx="832485" cy="205105"/>
            <wp:effectExtent l="0" t="0" r="571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2485" cy="205105"/>
                    </a:xfrm>
                    <a:prstGeom prst="rect">
                      <a:avLst/>
                    </a:prstGeom>
                    <a:noFill/>
                    <a:ln>
                      <a:noFill/>
                    </a:ln>
                  </pic:spPr>
                </pic:pic>
              </a:graphicData>
            </a:graphic>
          </wp:inline>
        </w:drawing>
      </w:r>
    </w:p>
    <w:p w14:paraId="0AB05DC8" w14:textId="77777777" w:rsidR="00AE0D87" w:rsidRPr="00097A86" w:rsidRDefault="00AE0D87" w:rsidP="00AE0D87">
      <w:pPr>
        <w:pStyle w:val="subsection2"/>
      </w:pPr>
      <w:r w:rsidRPr="00097A86">
        <w:t>where:</w:t>
      </w:r>
    </w:p>
    <w:p w14:paraId="2B0A76B5" w14:textId="77777777" w:rsidR="00AE0D87" w:rsidRPr="00097A86" w:rsidRDefault="00AE0D87" w:rsidP="00AE0D87">
      <w:pPr>
        <w:pStyle w:val="Definition"/>
      </w:pPr>
      <w:r w:rsidRPr="00097A86">
        <w:rPr>
          <w:b/>
          <w:i/>
        </w:rPr>
        <w:t>mol</w:t>
      </w:r>
      <w:r w:rsidRPr="00097A86">
        <w:rPr>
          <w:b/>
          <w:i/>
          <w:vertAlign w:val="subscript"/>
        </w:rPr>
        <w:t>j,p</w:t>
      </w:r>
      <w:r w:rsidRPr="00097A86">
        <w:rPr>
          <w:b/>
          <w:i/>
        </w:rPr>
        <w:t>%</w:t>
      </w:r>
      <w:r w:rsidRPr="00097A86">
        <w:t>, for each gas type (</w:t>
      </w:r>
      <w:r w:rsidRPr="00097A86">
        <w:rPr>
          <w:b/>
          <w:i/>
        </w:rPr>
        <w:t>j</w:t>
      </w:r>
      <w:r w:rsidRPr="00097A86">
        <w:t xml:space="preserve">), being methane and carbon dioxide, is the gas type’s share of one mole of </w:t>
      </w:r>
      <w:r w:rsidRPr="00097A86">
        <w:rPr>
          <w:b/>
          <w:i/>
        </w:rPr>
        <w:t>VI</w:t>
      </w:r>
      <w:r w:rsidRPr="00097A86">
        <w:rPr>
          <w:b/>
          <w:i/>
          <w:vertAlign w:val="subscript"/>
        </w:rPr>
        <w:t>p</w:t>
      </w:r>
      <w:r w:rsidRPr="00097A86">
        <w:t xml:space="preserve"> expressed as a percentage, estimated in accordance with Division</w:t>
      </w:r>
      <w:r w:rsidR="00097A86">
        <w:t> </w:t>
      </w:r>
      <w:r w:rsidRPr="00097A86">
        <w:t>2.3.6.</w:t>
      </w:r>
    </w:p>
    <w:p w14:paraId="4B78C84F" w14:textId="77777777" w:rsidR="00AE0D87" w:rsidRPr="00097A86" w:rsidRDefault="00AE0D87" w:rsidP="00AE0D87">
      <w:pPr>
        <w:pStyle w:val="Definition"/>
      </w:pPr>
      <w:r w:rsidRPr="00097A86">
        <w:rPr>
          <w:b/>
          <w:i/>
        </w:rPr>
        <w:t>VI</w:t>
      </w:r>
      <w:r w:rsidRPr="00097A86">
        <w:rPr>
          <w:b/>
          <w:i/>
          <w:vertAlign w:val="subscript"/>
        </w:rPr>
        <w:t>p</w:t>
      </w:r>
      <w:r w:rsidRPr="00097A86">
        <w:t xml:space="preserve"> is the volume of injected gas in cubic metres at standard conditions that is injected into the well during the well completion or well workover, estimated in accordance with Division</w:t>
      </w:r>
      <w:r w:rsidR="00097A86">
        <w:t> </w:t>
      </w:r>
      <w:r w:rsidRPr="00097A86">
        <w:t>2.3.6.</w:t>
      </w:r>
    </w:p>
    <w:p w14:paraId="73A94E45" w14:textId="77777777" w:rsidR="00AE0D87" w:rsidRPr="00097A86" w:rsidRDefault="00AE0D87" w:rsidP="00AE0D87">
      <w:pPr>
        <w:pStyle w:val="subsection"/>
      </w:pPr>
      <w:r w:rsidRPr="00097A86">
        <w:tab/>
        <w:t>(7)</w:t>
      </w:r>
      <w:r w:rsidRPr="00097A86">
        <w:tab/>
        <w:t xml:space="preserve">For </w:t>
      </w:r>
      <w:r w:rsidR="00097A86">
        <w:t>subsection (</w:t>
      </w:r>
      <w:r w:rsidRPr="00097A86">
        <w:t xml:space="preserve">5), the factor </w:t>
      </w:r>
      <w:r w:rsidRPr="00097A86">
        <w:rPr>
          <w:b/>
          <w:i/>
        </w:rPr>
        <w:t>FRM</w:t>
      </w:r>
      <w:r w:rsidRPr="00097A86">
        <w:rPr>
          <w:b/>
          <w:i/>
          <w:vertAlign w:val="subscript"/>
        </w:rPr>
        <w:t>bt</w:t>
      </w:r>
      <w:r w:rsidRPr="00097A86">
        <w:rPr>
          <w:vertAlign w:val="subscript"/>
        </w:rPr>
        <w:t xml:space="preserve"> </w:t>
      </w:r>
      <w:r w:rsidRPr="00097A86">
        <w:t>is worked out using the following formula:</w:t>
      </w:r>
    </w:p>
    <w:p w14:paraId="412CA986" w14:textId="77777777" w:rsidR="00AE0D87" w:rsidRPr="00097A86" w:rsidRDefault="00F05BCE" w:rsidP="00AE0D87">
      <w:pPr>
        <w:pStyle w:val="subsection2"/>
      </w:pPr>
      <w:bookmarkStart w:id="291" w:name="BKCheck15B_26"/>
      <w:bookmarkEnd w:id="291"/>
      <w:r w:rsidRPr="00097A86">
        <w:rPr>
          <w:noProof/>
        </w:rPr>
        <w:drawing>
          <wp:inline distT="0" distB="0" distL="0" distR="0" wp14:anchorId="458C1F66" wp14:editId="2B9D76FB">
            <wp:extent cx="539115" cy="9086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39115" cy="908685"/>
                    </a:xfrm>
                    <a:prstGeom prst="rect">
                      <a:avLst/>
                    </a:prstGeom>
                    <a:noFill/>
                    <a:ln>
                      <a:noFill/>
                    </a:ln>
                  </pic:spPr>
                </pic:pic>
              </a:graphicData>
            </a:graphic>
          </wp:inline>
        </w:drawing>
      </w:r>
    </w:p>
    <w:p w14:paraId="69704847" w14:textId="77777777" w:rsidR="00AE0D87" w:rsidRPr="00097A86" w:rsidRDefault="00AE0D87" w:rsidP="00AE0D87">
      <w:pPr>
        <w:pStyle w:val="subsection2"/>
      </w:pPr>
      <w:r w:rsidRPr="00097A86">
        <w:t>where:</w:t>
      </w:r>
    </w:p>
    <w:p w14:paraId="1391BA64" w14:textId="77777777" w:rsidR="00AE0D87" w:rsidRPr="00097A86" w:rsidRDefault="00AE0D87" w:rsidP="00AE0D87">
      <w:pPr>
        <w:pStyle w:val="Definition"/>
      </w:pPr>
      <w:r w:rsidRPr="00097A86">
        <w:rPr>
          <w:b/>
          <w:i/>
        </w:rPr>
        <w:t>FR</w:t>
      </w:r>
      <w:r w:rsidRPr="00097A86">
        <w:rPr>
          <w:b/>
          <w:i/>
          <w:vertAlign w:val="subscript"/>
        </w:rPr>
        <w:t>p(bt)</w:t>
      </w:r>
      <w:r w:rsidRPr="00097A86">
        <w:t xml:space="preserve"> is the average flow rate for flowback during well completions and well workovers in cubic metres per hour at standard conditions for each basin (</w:t>
      </w:r>
      <w:r w:rsidRPr="00097A86">
        <w:rPr>
          <w:b/>
          <w:i/>
        </w:rPr>
        <w:t>b</w:t>
      </w:r>
      <w:r w:rsidRPr="00097A86">
        <w:t>) and well type combination (</w:t>
      </w:r>
      <w:r w:rsidRPr="00097A86">
        <w:rPr>
          <w:b/>
          <w:i/>
        </w:rPr>
        <w:t>t</w:t>
      </w:r>
      <w:r w:rsidRPr="00097A86">
        <w:t xml:space="preserve">), determined using a digital or analog recording flow </w:t>
      </w:r>
      <w:r w:rsidRPr="00097A86">
        <w:lastRenderedPageBreak/>
        <w:t>metre on the vent line to measure flowback during the well completion or well workover, estimated in accordance with Division</w:t>
      </w:r>
      <w:r w:rsidR="00097A86">
        <w:t> </w:t>
      </w:r>
      <w:r w:rsidRPr="00097A86">
        <w:t>2.3.6.</w:t>
      </w:r>
    </w:p>
    <w:p w14:paraId="58A845B3" w14:textId="77777777" w:rsidR="00AE0D87" w:rsidRPr="00097A86" w:rsidRDefault="00AE0D87" w:rsidP="00AE0D87">
      <w:pPr>
        <w:pStyle w:val="Definition"/>
      </w:pPr>
      <w:r w:rsidRPr="00097A86">
        <w:rPr>
          <w:b/>
          <w:i/>
        </w:rPr>
        <w:t xml:space="preserve">N </w:t>
      </w:r>
      <w:r w:rsidRPr="00097A86">
        <w:t>is the number of measured well completions or well workovers in the basin.</w:t>
      </w:r>
    </w:p>
    <w:p w14:paraId="4A86C6C8" w14:textId="77777777" w:rsidR="00AE0D87" w:rsidRPr="00097A86" w:rsidRDefault="00AE0D87" w:rsidP="00AE0D87">
      <w:pPr>
        <w:pStyle w:val="Definition"/>
      </w:pPr>
      <w:r w:rsidRPr="00097A86">
        <w:rPr>
          <w:b/>
          <w:i/>
        </w:rPr>
        <w:t>PR</w:t>
      </w:r>
      <w:r w:rsidRPr="00097A86">
        <w:rPr>
          <w:b/>
          <w:i/>
          <w:vertAlign w:val="subscript"/>
        </w:rPr>
        <w:t>p(bt)</w:t>
      </w:r>
      <w:r w:rsidRPr="00097A86">
        <w:t xml:space="preserve"> is the first 30 days production flow rate in cubic metres per hour for each well (</w:t>
      </w:r>
      <w:r w:rsidRPr="00097A86">
        <w:rPr>
          <w:b/>
          <w:i/>
        </w:rPr>
        <w:t>p</w:t>
      </w:r>
      <w:r w:rsidRPr="00097A86">
        <w:t>) and well type (</w:t>
      </w:r>
      <w:r w:rsidRPr="00097A86">
        <w:rPr>
          <w:b/>
          <w:i/>
        </w:rPr>
        <w:t>t</w:t>
      </w:r>
      <w:r w:rsidRPr="00097A86">
        <w:t>) measured in a basin (</w:t>
      </w:r>
      <w:r w:rsidRPr="00097A86">
        <w:rPr>
          <w:b/>
          <w:i/>
        </w:rPr>
        <w:t>b</w:t>
      </w:r>
      <w:r w:rsidRPr="00097A86">
        <w:t>), estimated in accordance with Division</w:t>
      </w:r>
      <w:r w:rsidR="00097A86">
        <w:t> </w:t>
      </w:r>
      <w:r w:rsidRPr="00097A86">
        <w:t>2.3.6.</w:t>
      </w:r>
    </w:p>
    <w:p w14:paraId="2F84CFEF" w14:textId="77777777" w:rsidR="00AE0D87" w:rsidRPr="00097A86" w:rsidRDefault="00AE0D87" w:rsidP="00AE0D87">
      <w:pPr>
        <w:pStyle w:val="subsection"/>
      </w:pPr>
      <w:r w:rsidRPr="00097A86">
        <w:tab/>
        <w:t>(8)</w:t>
      </w:r>
      <w:r w:rsidRPr="00097A86">
        <w:tab/>
        <w:t xml:space="preserve">For </w:t>
      </w:r>
      <w:r w:rsidR="00097A86">
        <w:t>subsection (</w:t>
      </w:r>
      <w:r w:rsidRPr="00097A86">
        <w:t>7), the sampling requirements for the number of well completions or well workovers performed during a year for each basin and well type (horizontal or vertical) are as follows:</w:t>
      </w:r>
    </w:p>
    <w:p w14:paraId="1529BF2C" w14:textId="77777777" w:rsidR="00AE0D87" w:rsidRPr="00097A86" w:rsidRDefault="00AE0D87" w:rsidP="00AE0D87">
      <w:pPr>
        <w:pStyle w:val="paragraph"/>
      </w:pPr>
      <w:r w:rsidRPr="00097A86">
        <w:tab/>
        <w:t>(a)</w:t>
      </w:r>
      <w:r w:rsidRPr="00097A86">
        <w:tab/>
        <w:t>if one to 5 well completions or workovers are performed during a year, all wells are to be measured;</w:t>
      </w:r>
    </w:p>
    <w:p w14:paraId="7D97A910" w14:textId="77777777" w:rsidR="00AE0D87" w:rsidRPr="00097A86" w:rsidRDefault="00AE0D87" w:rsidP="00AE0D87">
      <w:pPr>
        <w:pStyle w:val="paragraph"/>
      </w:pPr>
      <w:r w:rsidRPr="00097A86">
        <w:tab/>
        <w:t>(b)</w:t>
      </w:r>
      <w:r w:rsidRPr="00097A86">
        <w:tab/>
        <w:t>if 6 to 50 well completions or workovers are performed during a year, a minimum of 5 wells are to be measured;</w:t>
      </w:r>
    </w:p>
    <w:p w14:paraId="3E3DBFDA" w14:textId="77777777" w:rsidR="00AE0D87" w:rsidRPr="00097A86" w:rsidRDefault="00AE0D87" w:rsidP="00AE0D87">
      <w:pPr>
        <w:pStyle w:val="paragraph"/>
      </w:pPr>
      <w:r w:rsidRPr="00097A86">
        <w:tab/>
        <w:t>(c)</w:t>
      </w:r>
      <w:r w:rsidRPr="00097A86">
        <w:tab/>
        <w:t>if more than 50 well completions or workovers are performed during a year, a minimum of 10% of wells are to be measured.</w:t>
      </w:r>
    </w:p>
    <w:p w14:paraId="61F5DD8B" w14:textId="77777777" w:rsidR="003F0D4E" w:rsidRPr="00097A86" w:rsidRDefault="003F0D4E" w:rsidP="00D22D3F">
      <w:pPr>
        <w:pStyle w:val="ActHead3"/>
        <w:pageBreakBefore/>
      </w:pPr>
      <w:bookmarkStart w:id="292" w:name="_Toc13233725"/>
      <w:r w:rsidRPr="00097A86">
        <w:rPr>
          <w:rStyle w:val="CharDivNo"/>
        </w:rPr>
        <w:lastRenderedPageBreak/>
        <w:t>Division</w:t>
      </w:r>
      <w:r w:rsidR="00097A86">
        <w:rPr>
          <w:rStyle w:val="CharDivNo"/>
        </w:rPr>
        <w:t> </w:t>
      </w:r>
      <w:r w:rsidRPr="00097A86">
        <w:rPr>
          <w:rStyle w:val="CharDivNo"/>
        </w:rPr>
        <w:t>3.3.3</w:t>
      </w:r>
      <w:r w:rsidR="00D22D3F" w:rsidRPr="00097A86">
        <w:t>—</w:t>
      </w:r>
      <w:r w:rsidRPr="00097A86">
        <w:rPr>
          <w:rStyle w:val="CharDivText"/>
        </w:rPr>
        <w:t>Crude oil production</w:t>
      </w:r>
      <w:bookmarkEnd w:id="292"/>
    </w:p>
    <w:p w14:paraId="3041050C" w14:textId="77777777" w:rsidR="003F0D4E" w:rsidRPr="00097A86" w:rsidRDefault="003F0D4E" w:rsidP="00D22D3F">
      <w:pPr>
        <w:pStyle w:val="ActHead4"/>
      </w:pPr>
      <w:bookmarkStart w:id="293" w:name="_Toc13233726"/>
      <w:r w:rsidRPr="00097A86">
        <w:rPr>
          <w:rStyle w:val="CharSubdNo"/>
        </w:rPr>
        <w:t>Subdivision</w:t>
      </w:r>
      <w:r w:rsidR="00097A86">
        <w:rPr>
          <w:rStyle w:val="CharSubdNo"/>
        </w:rPr>
        <w:t> </w:t>
      </w:r>
      <w:r w:rsidRPr="00097A86">
        <w:rPr>
          <w:rStyle w:val="CharSubdNo"/>
        </w:rPr>
        <w:t>3.3.3.1</w:t>
      </w:r>
      <w:r w:rsidR="00D22D3F" w:rsidRPr="00097A86">
        <w:t>—</w:t>
      </w:r>
      <w:r w:rsidRPr="00097A86">
        <w:rPr>
          <w:rStyle w:val="CharSubdText"/>
        </w:rPr>
        <w:t>Preliminary</w:t>
      </w:r>
      <w:bookmarkEnd w:id="293"/>
    </w:p>
    <w:p w14:paraId="496B783F" w14:textId="77777777" w:rsidR="00AA5E6B" w:rsidRPr="00097A86" w:rsidRDefault="00AA5E6B" w:rsidP="00D22D3F">
      <w:pPr>
        <w:pStyle w:val="ActHead5"/>
      </w:pPr>
      <w:bookmarkStart w:id="294" w:name="_Toc13233727"/>
      <w:r w:rsidRPr="00097A86">
        <w:rPr>
          <w:rStyle w:val="CharSectno"/>
        </w:rPr>
        <w:t>3.47</w:t>
      </w:r>
      <w:r w:rsidR="00D22D3F" w:rsidRPr="00097A86">
        <w:t xml:space="preserve">  </w:t>
      </w:r>
      <w:r w:rsidRPr="00097A86">
        <w:t>Application</w:t>
      </w:r>
      <w:bookmarkEnd w:id="294"/>
    </w:p>
    <w:p w14:paraId="3AF0EF64" w14:textId="77777777" w:rsidR="00AA5E6B" w:rsidRPr="00097A86" w:rsidRDefault="00AA5E6B" w:rsidP="00D22D3F">
      <w:pPr>
        <w:pStyle w:val="subsection"/>
      </w:pPr>
      <w:r w:rsidRPr="00097A86">
        <w:tab/>
        <w:t>(1)</w:t>
      </w:r>
      <w:r w:rsidRPr="00097A86">
        <w:tab/>
        <w:t>This Division applies to fugitive emissions from crude oil production activities, including emissions from flaring, from:</w:t>
      </w:r>
    </w:p>
    <w:p w14:paraId="481C9563" w14:textId="77777777" w:rsidR="00AA5E6B" w:rsidRPr="00097A86" w:rsidRDefault="00AA5E6B" w:rsidP="00D22D3F">
      <w:pPr>
        <w:pStyle w:val="paragraph"/>
      </w:pPr>
      <w:r w:rsidRPr="00097A86">
        <w:tab/>
        <w:t>(a)</w:t>
      </w:r>
      <w:r w:rsidRPr="00097A86">
        <w:tab/>
        <w:t>an oil wellhead; and</w:t>
      </w:r>
    </w:p>
    <w:p w14:paraId="0B9BCA70" w14:textId="77777777" w:rsidR="00AA5E6B" w:rsidRPr="00097A86" w:rsidRDefault="00AA5E6B" w:rsidP="00D22D3F">
      <w:pPr>
        <w:pStyle w:val="paragraph"/>
      </w:pPr>
      <w:r w:rsidRPr="00097A86">
        <w:tab/>
        <w:t>(b)</w:t>
      </w:r>
      <w:r w:rsidRPr="00097A86">
        <w:tab/>
        <w:t>well servicing; and</w:t>
      </w:r>
    </w:p>
    <w:p w14:paraId="72B1EB7F" w14:textId="77777777" w:rsidR="00AA5E6B" w:rsidRPr="00097A86" w:rsidRDefault="00AA5E6B" w:rsidP="00D22D3F">
      <w:pPr>
        <w:pStyle w:val="paragraph"/>
      </w:pPr>
      <w:r w:rsidRPr="00097A86">
        <w:tab/>
        <w:t>(c)</w:t>
      </w:r>
      <w:r w:rsidRPr="00097A86">
        <w:tab/>
        <w:t>oil sands mining; and</w:t>
      </w:r>
    </w:p>
    <w:p w14:paraId="2EA46BE9" w14:textId="77777777" w:rsidR="00AA5E6B" w:rsidRPr="00097A86" w:rsidRDefault="00AA5E6B" w:rsidP="00D22D3F">
      <w:pPr>
        <w:pStyle w:val="paragraph"/>
      </w:pPr>
      <w:r w:rsidRPr="00097A86">
        <w:tab/>
        <w:t>(d)</w:t>
      </w:r>
      <w:r w:rsidRPr="00097A86">
        <w:tab/>
        <w:t>shale oil mining; and</w:t>
      </w:r>
    </w:p>
    <w:p w14:paraId="74CC9E63" w14:textId="77777777" w:rsidR="00AA5E6B" w:rsidRPr="00097A86" w:rsidRDefault="00AA5E6B" w:rsidP="00D22D3F">
      <w:pPr>
        <w:pStyle w:val="paragraph"/>
      </w:pPr>
      <w:r w:rsidRPr="00097A86">
        <w:tab/>
        <w:t>(e)</w:t>
      </w:r>
      <w:r w:rsidRPr="00097A86">
        <w:tab/>
        <w:t>the transportation of untreated production to treating or extraction plants; and</w:t>
      </w:r>
    </w:p>
    <w:p w14:paraId="68E52683" w14:textId="77777777" w:rsidR="00AA5E6B" w:rsidRPr="00097A86" w:rsidRDefault="00AA5E6B" w:rsidP="00D22D3F">
      <w:pPr>
        <w:pStyle w:val="paragraph"/>
      </w:pPr>
      <w:r w:rsidRPr="00097A86">
        <w:tab/>
        <w:t>(f)</w:t>
      </w:r>
      <w:r w:rsidRPr="00097A86">
        <w:tab/>
        <w:t>activities at extraction plants or heavy oil upgrading plants, and gas reinjection systems and produced water disposal systems associated with the those plants; and</w:t>
      </w:r>
    </w:p>
    <w:p w14:paraId="3A0354D2" w14:textId="77777777" w:rsidR="00AA5E6B" w:rsidRPr="00097A86" w:rsidRDefault="00AA5E6B" w:rsidP="00D22D3F">
      <w:pPr>
        <w:pStyle w:val="paragraph"/>
        <w:rPr>
          <w:strike/>
        </w:rPr>
      </w:pPr>
      <w:r w:rsidRPr="00097A86">
        <w:tab/>
        <w:t>(g)</w:t>
      </w:r>
      <w:r w:rsidRPr="00097A86">
        <w:tab/>
        <w:t>activities at upgrading plants and associated gas reinjection systems and produced water disposal systems.</w:t>
      </w:r>
    </w:p>
    <w:p w14:paraId="2CD9BEFA" w14:textId="77777777" w:rsidR="00AA5E6B" w:rsidRPr="00097A86" w:rsidRDefault="00AA5E6B" w:rsidP="00D22D3F">
      <w:pPr>
        <w:pStyle w:val="subsection"/>
      </w:pPr>
      <w:r w:rsidRPr="00097A86">
        <w:tab/>
        <w:t>(2)</w:t>
      </w:r>
      <w:r w:rsidRPr="00097A86">
        <w:tab/>
        <w:t xml:space="preserve">For </w:t>
      </w:r>
      <w:r w:rsidR="00097A86">
        <w:t>paragraph (</w:t>
      </w:r>
      <w:r w:rsidRPr="00097A86">
        <w:t xml:space="preserve">1)(e), </w:t>
      </w:r>
      <w:r w:rsidRPr="00097A86">
        <w:rPr>
          <w:b/>
          <w:i/>
        </w:rPr>
        <w:t>untreated production</w:t>
      </w:r>
      <w:r w:rsidRPr="00097A86">
        <w:t xml:space="preserve"> includes:</w:t>
      </w:r>
    </w:p>
    <w:p w14:paraId="3880499F" w14:textId="77777777" w:rsidR="00AA5E6B" w:rsidRPr="00097A86" w:rsidRDefault="00AA5E6B" w:rsidP="00D22D3F">
      <w:pPr>
        <w:pStyle w:val="paragraph"/>
      </w:pPr>
      <w:r w:rsidRPr="00097A86">
        <w:tab/>
        <w:t>(a)</w:t>
      </w:r>
      <w:r w:rsidRPr="00097A86">
        <w:tab/>
        <w:t>well effluent; and</w:t>
      </w:r>
    </w:p>
    <w:p w14:paraId="2C953992" w14:textId="77777777" w:rsidR="00AA5E6B" w:rsidRPr="00097A86" w:rsidRDefault="00AA5E6B" w:rsidP="00D22D3F">
      <w:pPr>
        <w:pStyle w:val="paragraph"/>
      </w:pPr>
      <w:r w:rsidRPr="00097A86">
        <w:tab/>
        <w:t>(b)</w:t>
      </w:r>
      <w:r w:rsidRPr="00097A86">
        <w:tab/>
        <w:t>emulsion; and</w:t>
      </w:r>
    </w:p>
    <w:p w14:paraId="73CE6396" w14:textId="77777777" w:rsidR="00AA5E6B" w:rsidRPr="00097A86" w:rsidRDefault="00AA5E6B" w:rsidP="00D22D3F">
      <w:pPr>
        <w:pStyle w:val="paragraph"/>
      </w:pPr>
      <w:r w:rsidRPr="00097A86">
        <w:tab/>
        <w:t>(c)</w:t>
      </w:r>
      <w:r w:rsidRPr="00097A86">
        <w:tab/>
        <w:t>oil shale; and</w:t>
      </w:r>
    </w:p>
    <w:p w14:paraId="4FCF719E" w14:textId="77777777" w:rsidR="00AA5E6B" w:rsidRPr="00097A86" w:rsidRDefault="00AA5E6B" w:rsidP="00D22D3F">
      <w:pPr>
        <w:pStyle w:val="paragraph"/>
      </w:pPr>
      <w:r w:rsidRPr="00097A86">
        <w:tab/>
        <w:t>(d)</w:t>
      </w:r>
      <w:r w:rsidRPr="00097A86">
        <w:tab/>
        <w:t>oil sands.</w:t>
      </w:r>
    </w:p>
    <w:p w14:paraId="6446AB9D" w14:textId="77777777" w:rsidR="00A24430" w:rsidRPr="00097A86" w:rsidRDefault="00A24430" w:rsidP="00D22D3F">
      <w:pPr>
        <w:pStyle w:val="ActHead4"/>
      </w:pPr>
      <w:bookmarkStart w:id="295" w:name="_Toc13233728"/>
      <w:r w:rsidRPr="00097A86">
        <w:rPr>
          <w:rStyle w:val="CharSubdNo"/>
        </w:rPr>
        <w:t>Subdivision</w:t>
      </w:r>
      <w:r w:rsidR="00097A86">
        <w:rPr>
          <w:rStyle w:val="CharSubdNo"/>
        </w:rPr>
        <w:t> </w:t>
      </w:r>
      <w:r w:rsidRPr="00097A86">
        <w:rPr>
          <w:rStyle w:val="CharSubdNo"/>
        </w:rPr>
        <w:t>3.3.3.2</w:t>
      </w:r>
      <w:r w:rsidR="00D22D3F" w:rsidRPr="00097A86">
        <w:t>—</w:t>
      </w:r>
      <w:r w:rsidRPr="00097A86">
        <w:rPr>
          <w:rStyle w:val="CharSubdText"/>
        </w:rPr>
        <w:t>Crude oil production (non</w:t>
      </w:r>
      <w:r w:rsidR="00097A86">
        <w:rPr>
          <w:rStyle w:val="CharSubdText"/>
        </w:rPr>
        <w:noBreakHyphen/>
      </w:r>
      <w:r w:rsidRPr="00097A86">
        <w:rPr>
          <w:rStyle w:val="CharSubdText"/>
        </w:rPr>
        <w:t>flared)</w:t>
      </w:r>
      <w:r w:rsidR="00D22D3F" w:rsidRPr="00097A86">
        <w:rPr>
          <w:rStyle w:val="CharSubdText"/>
        </w:rPr>
        <w:t>—</w:t>
      </w:r>
      <w:r w:rsidRPr="00097A86">
        <w:rPr>
          <w:rStyle w:val="CharSubdText"/>
        </w:rPr>
        <w:t>fugitive leak emissions of methane</w:t>
      </w:r>
      <w:bookmarkEnd w:id="295"/>
    </w:p>
    <w:p w14:paraId="0632917C" w14:textId="77777777" w:rsidR="003F0D4E" w:rsidRPr="00097A86" w:rsidRDefault="003F0D4E" w:rsidP="00D22D3F">
      <w:pPr>
        <w:pStyle w:val="ActHead5"/>
      </w:pPr>
      <w:bookmarkStart w:id="296" w:name="_Toc13233729"/>
      <w:r w:rsidRPr="00097A86">
        <w:rPr>
          <w:rStyle w:val="CharSectno"/>
        </w:rPr>
        <w:t>3.48</w:t>
      </w:r>
      <w:r w:rsidR="00D22D3F" w:rsidRPr="00097A86">
        <w:t xml:space="preserve">  </w:t>
      </w:r>
      <w:r w:rsidRPr="00097A86">
        <w:t>Available methods</w:t>
      </w:r>
      <w:bookmarkEnd w:id="296"/>
    </w:p>
    <w:p w14:paraId="5D0407A7" w14:textId="77777777" w:rsidR="003F0D4E" w:rsidRPr="00097A86" w:rsidRDefault="003F0D4E" w:rsidP="00D22D3F">
      <w:pPr>
        <w:pStyle w:val="subsection"/>
      </w:pPr>
      <w:r w:rsidRPr="00097A86">
        <w:tab/>
        <w:t>(1)</w:t>
      </w:r>
      <w:r w:rsidRPr="00097A86">
        <w:tab/>
        <w:t>Subject to section</w:t>
      </w:r>
      <w:r w:rsidR="00097A86">
        <w:t> </w:t>
      </w:r>
      <w:r w:rsidRPr="00097A86">
        <w:t xml:space="preserve">1.18, for estimating fugitive emissions of </w:t>
      </w:r>
      <w:r w:rsidR="00A24430" w:rsidRPr="00097A86">
        <w:t xml:space="preserve">methane, other than fugitive emissions of methane specified in </w:t>
      </w:r>
      <w:r w:rsidR="00097A86">
        <w:t>subsection (</w:t>
      </w:r>
      <w:r w:rsidR="00A24430" w:rsidRPr="00097A86">
        <w:t xml:space="preserve">1A), </w:t>
      </w:r>
      <w:r w:rsidRPr="00097A86">
        <w:t>during a year from the operation of a facility that is constituted by crude oil production, one of the following methods must be used:</w:t>
      </w:r>
    </w:p>
    <w:p w14:paraId="7EA6880D" w14:textId="77777777" w:rsidR="003F0D4E" w:rsidRPr="00097A86" w:rsidRDefault="003F0D4E" w:rsidP="00D22D3F">
      <w:pPr>
        <w:pStyle w:val="paragraph"/>
      </w:pPr>
      <w:r w:rsidRPr="00097A86">
        <w:tab/>
        <w:t>(a)</w:t>
      </w:r>
      <w:r w:rsidRPr="00097A86">
        <w:tab/>
        <w:t>method 1 under section</w:t>
      </w:r>
      <w:r w:rsidR="00097A86">
        <w:t> </w:t>
      </w:r>
      <w:r w:rsidRPr="00097A86">
        <w:t>3.49;</w:t>
      </w:r>
    </w:p>
    <w:p w14:paraId="55BE5AA0" w14:textId="77777777" w:rsidR="003F0D4E" w:rsidRPr="00097A86" w:rsidRDefault="003F0D4E" w:rsidP="00D22D3F">
      <w:pPr>
        <w:pStyle w:val="paragraph"/>
      </w:pPr>
      <w:r w:rsidRPr="00097A86">
        <w:tab/>
        <w:t>(b)</w:t>
      </w:r>
      <w:r w:rsidRPr="00097A86">
        <w:tab/>
        <w:t>method 2 under section</w:t>
      </w:r>
      <w:r w:rsidR="00097A86">
        <w:t> </w:t>
      </w:r>
      <w:r w:rsidRPr="00097A86">
        <w:t>3.50;</w:t>
      </w:r>
    </w:p>
    <w:p w14:paraId="02A7885E" w14:textId="77777777" w:rsidR="003F0D4E" w:rsidRPr="00097A86" w:rsidRDefault="00D22D3F" w:rsidP="00D22D3F">
      <w:pPr>
        <w:pStyle w:val="notetext"/>
      </w:pPr>
      <w:r w:rsidRPr="00097A86">
        <w:t>Note:</w:t>
      </w:r>
      <w:r w:rsidRPr="00097A86">
        <w:tab/>
      </w:r>
      <w:r w:rsidR="003F0D4E" w:rsidRPr="00097A86">
        <w:t>There is no method 3 or 4 for this Division.</w:t>
      </w:r>
    </w:p>
    <w:p w14:paraId="70272243" w14:textId="77777777" w:rsidR="00A24430" w:rsidRPr="00097A86" w:rsidRDefault="00A24430" w:rsidP="00D22D3F">
      <w:pPr>
        <w:pStyle w:val="subsection"/>
      </w:pPr>
      <w:r w:rsidRPr="00097A86">
        <w:tab/>
        <w:t>(1A)</w:t>
      </w:r>
      <w:r w:rsidRPr="00097A86">
        <w:tab/>
        <w:t xml:space="preserve">For </w:t>
      </w:r>
      <w:r w:rsidR="00097A86">
        <w:t>subsection (</w:t>
      </w:r>
      <w:r w:rsidRPr="00097A86">
        <w:t>1), the following fugitive emissions of methane are specified:</w:t>
      </w:r>
    </w:p>
    <w:p w14:paraId="285A5350" w14:textId="77777777" w:rsidR="00A24430" w:rsidRPr="00097A86" w:rsidRDefault="00A24430" w:rsidP="00D22D3F">
      <w:pPr>
        <w:pStyle w:val="paragraph"/>
      </w:pPr>
      <w:r w:rsidRPr="00097A86">
        <w:tab/>
        <w:t>(a)</w:t>
      </w:r>
      <w:r w:rsidRPr="00097A86">
        <w:tab/>
        <w:t>fugitive emissions from oil or gas flaring;</w:t>
      </w:r>
    </w:p>
    <w:p w14:paraId="2C3AEEEB" w14:textId="77777777" w:rsidR="00A24430" w:rsidRPr="00097A86" w:rsidRDefault="00A24430" w:rsidP="00D22D3F">
      <w:pPr>
        <w:pStyle w:val="paragraph"/>
      </w:pPr>
      <w:r w:rsidRPr="00097A86">
        <w:tab/>
        <w:t>(b)</w:t>
      </w:r>
      <w:r w:rsidRPr="00097A86">
        <w:tab/>
        <w:t>fugitive emissions that result from system upsets, accidents or deliberate releases from process vents.</w:t>
      </w:r>
    </w:p>
    <w:p w14:paraId="6BEC7274"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68EFB81C" w14:textId="77777777" w:rsidR="003F0D4E" w:rsidRPr="00097A86" w:rsidRDefault="003F0D4E" w:rsidP="00D22D3F">
      <w:pPr>
        <w:pStyle w:val="ActHead5"/>
      </w:pPr>
      <w:bookmarkStart w:id="297" w:name="_Toc13233730"/>
      <w:r w:rsidRPr="00097A86">
        <w:rPr>
          <w:rStyle w:val="CharSectno"/>
        </w:rPr>
        <w:lastRenderedPageBreak/>
        <w:t>3.49</w:t>
      </w:r>
      <w:r w:rsidR="00D22D3F" w:rsidRPr="00097A86">
        <w:t xml:space="preserve">  </w:t>
      </w:r>
      <w:r w:rsidRPr="00097A86">
        <w:t>Method 1</w:t>
      </w:r>
      <w:r w:rsidR="00D22D3F" w:rsidRPr="00097A86">
        <w:t>—</w:t>
      </w:r>
      <w:r w:rsidRPr="00097A86">
        <w:t>crude oil production (non</w:t>
      </w:r>
      <w:r w:rsidR="00097A86">
        <w:noBreakHyphen/>
      </w:r>
      <w:r w:rsidRPr="00097A86">
        <w:t>flared) emissions of methane</w:t>
      </w:r>
      <w:bookmarkEnd w:id="297"/>
    </w:p>
    <w:p w14:paraId="4F7700A2" w14:textId="77777777" w:rsidR="003F0D4E" w:rsidRPr="00097A86" w:rsidRDefault="003F0D4E" w:rsidP="00D22D3F">
      <w:pPr>
        <w:pStyle w:val="subsection"/>
      </w:pPr>
      <w:r w:rsidRPr="00097A86">
        <w:tab/>
        <w:t>(1)</w:t>
      </w:r>
      <w:r w:rsidRPr="00097A86">
        <w:tab/>
        <w:t>Method 1 is:</w:t>
      </w:r>
    </w:p>
    <w:p w14:paraId="2360275C"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2EA3660" wp14:editId="7E34EDBE">
            <wp:extent cx="2609850" cy="2381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09850" cy="238125"/>
                    </a:xfrm>
                    <a:prstGeom prst="rect">
                      <a:avLst/>
                    </a:prstGeom>
                    <a:noFill/>
                    <a:ln>
                      <a:noFill/>
                    </a:ln>
                  </pic:spPr>
                </pic:pic>
              </a:graphicData>
            </a:graphic>
          </wp:inline>
        </w:drawing>
      </w:r>
    </w:p>
    <w:p w14:paraId="3AD2CC77" w14:textId="77777777" w:rsidR="003F0D4E" w:rsidRPr="00097A86" w:rsidRDefault="003F0D4E" w:rsidP="00D22D3F">
      <w:pPr>
        <w:pStyle w:val="subsection2"/>
      </w:pPr>
      <w:r w:rsidRPr="00097A86">
        <w:t>where:</w:t>
      </w:r>
    </w:p>
    <w:p w14:paraId="43FAB51E"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crude oil production during the year measured in CO</w:t>
      </w:r>
      <w:r w:rsidRPr="00097A86">
        <w:rPr>
          <w:rStyle w:val="charSubscript"/>
          <w:iCs/>
        </w:rPr>
        <w:t>2</w:t>
      </w:r>
      <w:r w:rsidR="00097A86">
        <w:noBreakHyphen/>
      </w:r>
      <w:r w:rsidRPr="00097A86">
        <w:t>e tonnes.</w:t>
      </w:r>
    </w:p>
    <w:p w14:paraId="0403091B"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emissions of methane (</w:t>
      </w:r>
      <w:r w:rsidRPr="00097A86">
        <w:rPr>
          <w:b/>
          <w:i/>
        </w:rPr>
        <w:t>j</w:t>
      </w:r>
      <w:r w:rsidRPr="00097A86">
        <w:t>) measured in tonnes of CO</w:t>
      </w:r>
      <w:r w:rsidRPr="00097A86">
        <w:rPr>
          <w:rStyle w:val="charSubscript"/>
          <w:iCs/>
        </w:rPr>
        <w:t>2</w:t>
      </w:r>
      <w:r w:rsidR="00097A86">
        <w:noBreakHyphen/>
      </w:r>
      <w:r w:rsidRPr="00097A86">
        <w:t>e and estimated by summing up the emissions released from all of the equipment of type (</w:t>
      </w:r>
      <w:r w:rsidRPr="00097A86">
        <w:rPr>
          <w:b/>
          <w:i/>
        </w:rPr>
        <w:t>k</w:t>
      </w:r>
      <w:r w:rsidRPr="00097A86">
        <w:t xml:space="preserve">) specified in column 2 of the table in </w:t>
      </w:r>
      <w:r w:rsidR="00097A86">
        <w:t>subsection (</w:t>
      </w:r>
      <w:r w:rsidRPr="00097A86">
        <w:t>2), if the equipment is used in the crude oil production.</w:t>
      </w:r>
    </w:p>
    <w:p w14:paraId="0381160C" w14:textId="77777777" w:rsidR="003F0D4E" w:rsidRPr="00097A86" w:rsidRDefault="003F0D4E" w:rsidP="00D22D3F">
      <w:pPr>
        <w:pStyle w:val="Definition"/>
      </w:pPr>
      <w:r w:rsidRPr="00097A86">
        <w:rPr>
          <w:b/>
          <w:i/>
        </w:rPr>
        <w:t>Q</w:t>
      </w:r>
      <w:r w:rsidRPr="00097A86">
        <w:rPr>
          <w:b/>
          <w:i/>
          <w:vertAlign w:val="subscript"/>
        </w:rPr>
        <w:t xml:space="preserve">ik </w:t>
      </w:r>
      <w:r w:rsidRPr="00097A86">
        <w:t>is the total of the quantities of crude oil measured in tonnes that pass through each equipment of type (</w:t>
      </w:r>
      <w:r w:rsidRPr="00097A86">
        <w:rPr>
          <w:b/>
          <w:i/>
        </w:rPr>
        <w:t>k</w:t>
      </w:r>
      <w:r w:rsidRPr="00097A86">
        <w:t xml:space="preserve">) specified in column 2 of the table in </w:t>
      </w:r>
      <w:r w:rsidR="00097A86">
        <w:t>subsection (</w:t>
      </w:r>
      <w:r w:rsidRPr="00097A86">
        <w:t>2) during the year, if the equipment is used in the crude oil production.</w:t>
      </w:r>
    </w:p>
    <w:p w14:paraId="0A37778B" w14:textId="77777777" w:rsidR="003F0D4E" w:rsidRPr="00097A86" w:rsidRDefault="003F0D4E" w:rsidP="00D22D3F">
      <w:pPr>
        <w:pStyle w:val="Definition"/>
      </w:pPr>
      <w:r w:rsidRPr="00097A86">
        <w:rPr>
          <w:b/>
          <w:i/>
        </w:rPr>
        <w:t>EF</w:t>
      </w:r>
      <w:r w:rsidRPr="00097A86">
        <w:rPr>
          <w:b/>
          <w:i/>
          <w:vertAlign w:val="subscript"/>
        </w:rPr>
        <w:t>ijk</w:t>
      </w:r>
      <w:r w:rsidRPr="00097A86">
        <w:rPr>
          <w:b/>
          <w:i/>
        </w:rPr>
        <w:t xml:space="preserve"> </w:t>
      </w:r>
      <w:r w:rsidRPr="00097A86">
        <w:t>is the emission factor for methane (</w:t>
      </w:r>
      <w:r w:rsidRPr="00097A86">
        <w:rPr>
          <w:b/>
          <w:i/>
        </w:rPr>
        <w:t>j</w:t>
      </w:r>
      <w:r w:rsidRPr="00097A86">
        <w:t>) measured in tonnes of CO</w:t>
      </w:r>
      <w:r w:rsidRPr="00097A86">
        <w:rPr>
          <w:rStyle w:val="charSubscript"/>
          <w:iCs/>
        </w:rPr>
        <w:t>2</w:t>
      </w:r>
      <w:r w:rsidR="00097A86">
        <w:noBreakHyphen/>
      </w:r>
      <w:r w:rsidRPr="00097A86">
        <w:t>e per tonne of crude oil that passes through each equipment of type (</w:t>
      </w:r>
      <w:r w:rsidRPr="00097A86">
        <w:rPr>
          <w:b/>
          <w:i/>
        </w:rPr>
        <w:t>k</w:t>
      </w:r>
      <w:r w:rsidRPr="00097A86">
        <w:t xml:space="preserve">) specified in column 2 of the table in </w:t>
      </w:r>
      <w:r w:rsidR="00097A86">
        <w:t>subsection (</w:t>
      </w:r>
      <w:r w:rsidRPr="00097A86">
        <w:t>2) during the year, if the equipment is used in the crude oil production.</w:t>
      </w:r>
    </w:p>
    <w:p w14:paraId="0CF1D748"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total quantity of crude oil (</w:t>
      </w:r>
      <w:r w:rsidRPr="00097A86">
        <w:rPr>
          <w:b/>
          <w:i/>
        </w:rPr>
        <w:t>i</w:t>
      </w:r>
      <w:r w:rsidRPr="00097A86">
        <w:t>) measured in tonnes that passes through the crude oil production.</w:t>
      </w:r>
    </w:p>
    <w:p w14:paraId="34DC9915" w14:textId="77777777" w:rsidR="003F0D4E" w:rsidRPr="00097A86" w:rsidRDefault="003F0D4E" w:rsidP="00D22D3F">
      <w:pPr>
        <w:pStyle w:val="Definition"/>
      </w:pPr>
      <w:r w:rsidRPr="00097A86">
        <w:rPr>
          <w:b/>
          <w:i/>
        </w:rPr>
        <w:t>EF</w:t>
      </w:r>
      <w:r w:rsidRPr="00097A86">
        <w:rPr>
          <w:b/>
          <w:i/>
          <w:vertAlign w:val="subscript"/>
        </w:rPr>
        <w:t xml:space="preserve">(l) ij </w:t>
      </w:r>
      <w:r w:rsidRPr="00097A86">
        <w:t xml:space="preserve">is </w:t>
      </w:r>
      <w:r w:rsidR="00E76D51" w:rsidRPr="00097A86">
        <w:t>1.4</w:t>
      </w:r>
      <w:r w:rsidRPr="00097A86">
        <w:t xml:space="preserve"> x 10</w:t>
      </w:r>
      <w:r w:rsidR="00097A86">
        <w:rPr>
          <w:rStyle w:val="charSuperscript"/>
        </w:rPr>
        <w:noBreakHyphen/>
      </w:r>
      <w:r w:rsidRPr="00097A86">
        <w:rPr>
          <w:rStyle w:val="charSuperscript"/>
        </w:rPr>
        <w:t>3</w:t>
      </w:r>
      <w:r w:rsidRPr="00097A86">
        <w:t>, which is the emission factor for methane (</w:t>
      </w:r>
      <w:r w:rsidRPr="00097A86">
        <w:rPr>
          <w:b/>
          <w:i/>
        </w:rPr>
        <w:t>j</w:t>
      </w:r>
      <w:r w:rsidRPr="00097A86">
        <w:t xml:space="preserve">) from general leaks in the crude oil production, measured in </w:t>
      </w:r>
      <w:r w:rsidRPr="00097A86">
        <w:rPr>
          <w:bCs/>
        </w:rPr>
        <w:t>CO</w:t>
      </w:r>
      <w:r w:rsidRPr="00097A86">
        <w:rPr>
          <w:rStyle w:val="charSubscript"/>
          <w:bCs/>
        </w:rPr>
        <w:t>2</w:t>
      </w:r>
      <w:r w:rsidR="00097A86">
        <w:rPr>
          <w:bCs/>
        </w:rPr>
        <w:noBreakHyphen/>
      </w:r>
      <w:r w:rsidRPr="00097A86">
        <w:rPr>
          <w:bCs/>
        </w:rPr>
        <w:t xml:space="preserve">e </w:t>
      </w:r>
      <w:r w:rsidRPr="00097A86">
        <w:t>tonnes per tonne of crude oil that passes through the crude oil production.</w:t>
      </w:r>
    </w:p>
    <w:p w14:paraId="0DE98FC0"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rPr>
          <w:i/>
          <w:vertAlign w:val="subscript"/>
        </w:rPr>
        <w:t xml:space="preserve"> </w:t>
      </w:r>
      <w:r w:rsidRPr="00097A86">
        <w:t xml:space="preserve">mentioned in </w:t>
      </w:r>
      <w:r w:rsidR="00097A86">
        <w:t>subsection (</w:t>
      </w:r>
      <w:r w:rsidRPr="00097A86">
        <w:t>1), column 3 of an item in the following table specifies the emission factor for an equipment of type (</w:t>
      </w:r>
      <w:r w:rsidRPr="00097A86">
        <w:rPr>
          <w:b/>
          <w:i/>
        </w:rPr>
        <w:t>k</w:t>
      </w:r>
      <w:r w:rsidRPr="00097A86">
        <w:t>) specified in column 2 of that item:</w:t>
      </w:r>
    </w:p>
    <w:p w14:paraId="543C796A" w14:textId="77777777" w:rsidR="00D22D3F" w:rsidRPr="00097A86" w:rsidRDefault="00D22D3F" w:rsidP="00D22D3F">
      <w:pPr>
        <w:pStyle w:val="Tabletext"/>
      </w:pPr>
    </w:p>
    <w:tbl>
      <w:tblPr>
        <w:tblW w:w="5000" w:type="pct"/>
        <w:tblLook w:val="0000" w:firstRow="0" w:lastRow="0" w:firstColumn="0" w:lastColumn="0" w:noHBand="0" w:noVBand="0"/>
      </w:tblPr>
      <w:tblGrid>
        <w:gridCol w:w="1742"/>
        <w:gridCol w:w="2414"/>
        <w:gridCol w:w="4157"/>
      </w:tblGrid>
      <w:tr w:rsidR="003F0D4E" w:rsidRPr="00097A86" w14:paraId="580810FE" w14:textId="77777777" w:rsidTr="00C20CC2">
        <w:trPr>
          <w:cantSplit/>
          <w:tblHeader/>
        </w:trPr>
        <w:tc>
          <w:tcPr>
            <w:tcW w:w="1048" w:type="pct"/>
            <w:tcBorders>
              <w:top w:val="single" w:sz="12" w:space="0" w:color="auto"/>
            </w:tcBorders>
            <w:shd w:val="clear" w:color="auto" w:fill="auto"/>
          </w:tcPr>
          <w:p w14:paraId="2F0AA7FB" w14:textId="77777777" w:rsidR="003F0D4E" w:rsidRPr="00097A86" w:rsidRDefault="003F0D4E" w:rsidP="00D22D3F">
            <w:pPr>
              <w:pStyle w:val="TableHeading"/>
            </w:pPr>
            <w:r w:rsidRPr="00097A86">
              <w:t>Item</w:t>
            </w:r>
          </w:p>
        </w:tc>
        <w:tc>
          <w:tcPr>
            <w:tcW w:w="1452" w:type="pct"/>
            <w:vMerge w:val="restart"/>
            <w:tcBorders>
              <w:top w:val="single" w:sz="12" w:space="0" w:color="auto"/>
            </w:tcBorders>
            <w:shd w:val="clear" w:color="auto" w:fill="auto"/>
          </w:tcPr>
          <w:p w14:paraId="46DB252B" w14:textId="77777777" w:rsidR="003F0D4E" w:rsidRPr="00097A86" w:rsidRDefault="003F0D4E" w:rsidP="00D22D3F">
            <w:pPr>
              <w:pStyle w:val="TableHeading"/>
            </w:pPr>
            <w:r w:rsidRPr="00097A86">
              <w:t>Equipment type (k)</w:t>
            </w:r>
          </w:p>
        </w:tc>
        <w:tc>
          <w:tcPr>
            <w:tcW w:w="2500" w:type="pct"/>
            <w:tcBorders>
              <w:top w:val="single" w:sz="12" w:space="0" w:color="auto"/>
              <w:bottom w:val="single" w:sz="4" w:space="0" w:color="auto"/>
            </w:tcBorders>
            <w:shd w:val="clear" w:color="auto" w:fill="auto"/>
          </w:tcPr>
          <w:p w14:paraId="602DCC6B" w14:textId="77777777" w:rsidR="003F0D4E" w:rsidRPr="00097A86" w:rsidRDefault="003F0D4E" w:rsidP="006A1AD8">
            <w:pPr>
              <w:pStyle w:val="TableHeading"/>
            </w:pPr>
            <w:r w:rsidRPr="00097A86">
              <w:t>Emission factor for gas type (j) (tonnes CO</w:t>
            </w:r>
            <w:r w:rsidRPr="00097A86">
              <w:rPr>
                <w:vertAlign w:val="subscript"/>
              </w:rPr>
              <w:t>2</w:t>
            </w:r>
            <w:r w:rsidR="00097A86">
              <w:noBreakHyphen/>
            </w:r>
            <w:r w:rsidRPr="00097A86">
              <w:t>e/tonnes fuel throughput)</w:t>
            </w:r>
          </w:p>
        </w:tc>
      </w:tr>
      <w:tr w:rsidR="003F0D4E" w:rsidRPr="00097A86" w14:paraId="4963C152" w14:textId="77777777" w:rsidTr="00C20CC2">
        <w:trPr>
          <w:cantSplit/>
          <w:tblHeader/>
        </w:trPr>
        <w:tc>
          <w:tcPr>
            <w:tcW w:w="1048" w:type="pct"/>
            <w:tcBorders>
              <w:bottom w:val="single" w:sz="12" w:space="0" w:color="auto"/>
            </w:tcBorders>
            <w:shd w:val="clear" w:color="auto" w:fill="auto"/>
          </w:tcPr>
          <w:p w14:paraId="4880BE3C" w14:textId="77777777" w:rsidR="003F0D4E" w:rsidRPr="00097A86" w:rsidRDefault="003F0D4E" w:rsidP="00D22D3F">
            <w:pPr>
              <w:pStyle w:val="TableHeading"/>
            </w:pPr>
          </w:p>
        </w:tc>
        <w:tc>
          <w:tcPr>
            <w:tcW w:w="1452" w:type="pct"/>
            <w:vMerge/>
            <w:tcBorders>
              <w:bottom w:val="single" w:sz="12" w:space="0" w:color="auto"/>
            </w:tcBorders>
            <w:shd w:val="clear" w:color="auto" w:fill="auto"/>
          </w:tcPr>
          <w:p w14:paraId="0E0ED519" w14:textId="77777777" w:rsidR="003F0D4E" w:rsidRPr="00097A86" w:rsidRDefault="003F0D4E" w:rsidP="006A6B38">
            <w:pPr>
              <w:pStyle w:val="TableHeading"/>
            </w:pPr>
          </w:p>
        </w:tc>
        <w:tc>
          <w:tcPr>
            <w:tcW w:w="2500" w:type="pct"/>
            <w:tcBorders>
              <w:top w:val="single" w:sz="4" w:space="0" w:color="auto"/>
              <w:bottom w:val="single" w:sz="12" w:space="0" w:color="auto"/>
            </w:tcBorders>
            <w:shd w:val="clear" w:color="auto" w:fill="auto"/>
          </w:tcPr>
          <w:p w14:paraId="6A11D6A1" w14:textId="77777777" w:rsidR="003F0D4E" w:rsidRPr="00097A86" w:rsidRDefault="003F0D4E" w:rsidP="00D22D3F">
            <w:pPr>
              <w:pStyle w:val="TableHeading"/>
            </w:pPr>
            <w:r w:rsidRPr="00097A86">
              <w:t>CH</w:t>
            </w:r>
            <w:r w:rsidRPr="00097A86">
              <w:rPr>
                <w:vertAlign w:val="subscript"/>
              </w:rPr>
              <w:t>4</w:t>
            </w:r>
          </w:p>
        </w:tc>
      </w:tr>
      <w:tr w:rsidR="00E76D51" w:rsidRPr="00097A86" w14:paraId="59CC8B8E" w14:textId="77777777" w:rsidTr="00C20CC2">
        <w:trPr>
          <w:cantSplit/>
        </w:trPr>
        <w:tc>
          <w:tcPr>
            <w:tcW w:w="1048" w:type="pct"/>
            <w:tcBorders>
              <w:top w:val="single" w:sz="6" w:space="0" w:color="auto"/>
              <w:bottom w:val="single" w:sz="6" w:space="0" w:color="auto"/>
            </w:tcBorders>
          </w:tcPr>
          <w:p w14:paraId="12FC30AC" w14:textId="77777777" w:rsidR="00E76D51" w:rsidRPr="00097A86" w:rsidRDefault="00E76D51" w:rsidP="00D22D3F">
            <w:pPr>
              <w:pStyle w:val="Tabletext"/>
            </w:pPr>
            <w:r w:rsidRPr="00097A86">
              <w:t>1</w:t>
            </w:r>
          </w:p>
        </w:tc>
        <w:tc>
          <w:tcPr>
            <w:tcW w:w="1452" w:type="pct"/>
            <w:tcBorders>
              <w:top w:val="single" w:sz="6" w:space="0" w:color="auto"/>
              <w:bottom w:val="single" w:sz="6" w:space="0" w:color="auto"/>
            </w:tcBorders>
          </w:tcPr>
          <w:p w14:paraId="6FE3EDB4" w14:textId="77777777" w:rsidR="00E76D51" w:rsidRPr="00097A86" w:rsidRDefault="00E76D51" w:rsidP="00D22D3F">
            <w:pPr>
              <w:pStyle w:val="Tabletext"/>
            </w:pPr>
            <w:r w:rsidRPr="00097A86">
              <w:t>Internal floating tank</w:t>
            </w:r>
          </w:p>
        </w:tc>
        <w:tc>
          <w:tcPr>
            <w:tcW w:w="2500" w:type="pct"/>
            <w:tcBorders>
              <w:top w:val="single" w:sz="6" w:space="0" w:color="auto"/>
              <w:bottom w:val="single" w:sz="6" w:space="0" w:color="auto"/>
            </w:tcBorders>
          </w:tcPr>
          <w:p w14:paraId="16230D93" w14:textId="77777777" w:rsidR="00E76D51" w:rsidRPr="00097A86" w:rsidRDefault="00E76D51" w:rsidP="00D22D3F">
            <w:pPr>
              <w:pStyle w:val="Tabletext"/>
            </w:pPr>
            <w:r w:rsidRPr="00097A86">
              <w:rPr>
                <w:position w:val="-10"/>
              </w:rPr>
              <w:object w:dxaOrig="900" w:dyaOrig="320" w14:anchorId="4F918F4E">
                <v:shape id="_x0000_i1028" type="#_x0000_t75" style="width:45pt;height:16.5pt" o:ole="">
                  <v:imagedata r:id="rId84" o:title=""/>
                </v:shape>
                <o:OLEObject Type="Embed" ProgID="Equation.DSMT4" ShapeID="_x0000_i1028" DrawAspect="Content" ObjectID="_1624711032" r:id="rId85"/>
              </w:object>
            </w:r>
          </w:p>
        </w:tc>
      </w:tr>
      <w:tr w:rsidR="00E76D51" w:rsidRPr="00097A86" w14:paraId="660848FD" w14:textId="77777777" w:rsidTr="00C20CC2">
        <w:trPr>
          <w:cantSplit/>
        </w:trPr>
        <w:tc>
          <w:tcPr>
            <w:tcW w:w="1048" w:type="pct"/>
            <w:tcBorders>
              <w:top w:val="single" w:sz="6" w:space="0" w:color="auto"/>
              <w:bottom w:val="single" w:sz="6" w:space="0" w:color="auto"/>
            </w:tcBorders>
          </w:tcPr>
          <w:p w14:paraId="1712A78C" w14:textId="77777777" w:rsidR="00E76D51" w:rsidRPr="00097A86" w:rsidRDefault="00E76D51" w:rsidP="00D22D3F">
            <w:pPr>
              <w:pStyle w:val="Tabletext"/>
            </w:pPr>
            <w:r w:rsidRPr="00097A86">
              <w:t>2</w:t>
            </w:r>
          </w:p>
        </w:tc>
        <w:tc>
          <w:tcPr>
            <w:tcW w:w="1452" w:type="pct"/>
            <w:tcBorders>
              <w:top w:val="single" w:sz="6" w:space="0" w:color="auto"/>
              <w:bottom w:val="single" w:sz="6" w:space="0" w:color="auto"/>
            </w:tcBorders>
          </w:tcPr>
          <w:p w14:paraId="41B25AFC" w14:textId="77777777" w:rsidR="00E76D51" w:rsidRPr="00097A86" w:rsidRDefault="00E76D51" w:rsidP="00D22D3F">
            <w:pPr>
              <w:pStyle w:val="Tabletext"/>
            </w:pPr>
            <w:r w:rsidRPr="00097A86">
              <w:t>Fixed roof tank</w:t>
            </w:r>
          </w:p>
        </w:tc>
        <w:tc>
          <w:tcPr>
            <w:tcW w:w="2500" w:type="pct"/>
            <w:tcBorders>
              <w:top w:val="single" w:sz="6" w:space="0" w:color="auto"/>
              <w:bottom w:val="single" w:sz="6" w:space="0" w:color="auto"/>
            </w:tcBorders>
          </w:tcPr>
          <w:p w14:paraId="72594711" w14:textId="77777777" w:rsidR="00E76D51" w:rsidRPr="00097A86" w:rsidRDefault="00E76D51" w:rsidP="00D22D3F">
            <w:pPr>
              <w:pStyle w:val="Tabletext"/>
            </w:pPr>
            <w:r w:rsidRPr="00097A86">
              <w:object w:dxaOrig="920" w:dyaOrig="320" w14:anchorId="1E3371CA">
                <v:shape id="_x0000_i1029" type="#_x0000_t75" style="width:45.75pt;height:16.5pt" o:ole="">
                  <v:imagedata r:id="rId86" o:title=""/>
                </v:shape>
                <o:OLEObject Type="Embed" ProgID="Equation.DSMT4" ShapeID="_x0000_i1029" DrawAspect="Content" ObjectID="_1624711033" r:id="rId87"/>
              </w:object>
            </w:r>
          </w:p>
        </w:tc>
      </w:tr>
      <w:tr w:rsidR="00E76D51" w:rsidRPr="00097A86" w14:paraId="07967553" w14:textId="77777777" w:rsidTr="00C20CC2">
        <w:trPr>
          <w:cantSplit/>
        </w:trPr>
        <w:tc>
          <w:tcPr>
            <w:tcW w:w="1048" w:type="pct"/>
            <w:tcBorders>
              <w:top w:val="single" w:sz="6" w:space="0" w:color="auto"/>
              <w:bottom w:val="single" w:sz="12" w:space="0" w:color="auto"/>
            </w:tcBorders>
          </w:tcPr>
          <w:p w14:paraId="66E50ED0" w14:textId="77777777" w:rsidR="00E76D51" w:rsidRPr="00097A86" w:rsidRDefault="00E76D51" w:rsidP="00D22D3F">
            <w:pPr>
              <w:pStyle w:val="Tabletext"/>
            </w:pPr>
            <w:r w:rsidRPr="00097A86">
              <w:t>3</w:t>
            </w:r>
          </w:p>
        </w:tc>
        <w:tc>
          <w:tcPr>
            <w:tcW w:w="1452" w:type="pct"/>
            <w:tcBorders>
              <w:top w:val="single" w:sz="6" w:space="0" w:color="auto"/>
              <w:bottom w:val="single" w:sz="12" w:space="0" w:color="auto"/>
            </w:tcBorders>
          </w:tcPr>
          <w:p w14:paraId="7C7639E5" w14:textId="77777777" w:rsidR="00E76D51" w:rsidRPr="00097A86" w:rsidRDefault="00E76D51" w:rsidP="00D22D3F">
            <w:pPr>
              <w:pStyle w:val="Tabletext"/>
            </w:pPr>
            <w:r w:rsidRPr="00097A86">
              <w:t>Floating tank</w:t>
            </w:r>
          </w:p>
        </w:tc>
        <w:tc>
          <w:tcPr>
            <w:tcW w:w="2500" w:type="pct"/>
            <w:tcBorders>
              <w:top w:val="single" w:sz="6" w:space="0" w:color="auto"/>
              <w:bottom w:val="single" w:sz="12" w:space="0" w:color="auto"/>
            </w:tcBorders>
          </w:tcPr>
          <w:p w14:paraId="5E97FB74" w14:textId="77777777" w:rsidR="00E76D51" w:rsidRPr="00097A86" w:rsidRDefault="00E76D51" w:rsidP="00D22D3F">
            <w:pPr>
              <w:pStyle w:val="Tabletext"/>
            </w:pPr>
            <w:r w:rsidRPr="00097A86">
              <w:object w:dxaOrig="920" w:dyaOrig="320" w14:anchorId="36A10CAE">
                <v:shape id="_x0000_i1030" type="#_x0000_t75" style="width:45.75pt;height:16.5pt" o:ole="">
                  <v:imagedata r:id="rId88" o:title=""/>
                </v:shape>
                <o:OLEObject Type="Embed" ProgID="Equation.DSMT4" ShapeID="_x0000_i1030" DrawAspect="Content" ObjectID="_1624711034" r:id="rId89"/>
              </w:object>
            </w:r>
          </w:p>
        </w:tc>
      </w:tr>
    </w:tbl>
    <w:p w14:paraId="321F9F02" w14:textId="77777777" w:rsidR="00A24430" w:rsidRPr="00097A86" w:rsidRDefault="00A24430" w:rsidP="00D22D3F">
      <w:pPr>
        <w:pStyle w:val="subsection"/>
      </w:pPr>
      <w:r w:rsidRPr="00097A86">
        <w:tab/>
        <w:t>(3)</w:t>
      </w:r>
      <w:r w:rsidRPr="00097A86">
        <w:tab/>
        <w:t xml:space="preserve">For </w:t>
      </w:r>
      <w:r w:rsidRPr="00097A86">
        <w:rPr>
          <w:b/>
          <w:i/>
        </w:rPr>
        <w:t>EF</w:t>
      </w:r>
      <w:r w:rsidRPr="00097A86">
        <w:rPr>
          <w:b/>
          <w:i/>
          <w:vertAlign w:val="subscript"/>
        </w:rPr>
        <w:t xml:space="preserve">(l) ij </w:t>
      </w:r>
      <w:r w:rsidRPr="00097A86">
        <w:t xml:space="preserve">in </w:t>
      </w:r>
      <w:r w:rsidR="00097A86">
        <w:t>subsection (</w:t>
      </w:r>
      <w:r w:rsidRPr="00097A86">
        <w:t>1), general leaks in the crude oil production comprise the emissions (other than vent emissions) from equipment listed in sections</w:t>
      </w:r>
      <w:r w:rsidR="00097A86">
        <w:t> </w:t>
      </w:r>
      <w:r w:rsidRPr="00097A86">
        <w:t xml:space="preserve">5.4.3, </w:t>
      </w:r>
      <w:r w:rsidR="00B53655" w:rsidRPr="00097A86">
        <w:t xml:space="preserve">5.6.4, 5.6.5 and 6.1.2 </w:t>
      </w:r>
      <w:r w:rsidRPr="00097A86">
        <w:t>of the API Compendium, if the equipment is used in the crude oil production.</w:t>
      </w:r>
    </w:p>
    <w:p w14:paraId="0223EFDD" w14:textId="77777777" w:rsidR="003F0D4E" w:rsidRPr="00097A86" w:rsidRDefault="003F0D4E" w:rsidP="00D22D3F">
      <w:pPr>
        <w:pStyle w:val="ActHead5"/>
      </w:pPr>
      <w:bookmarkStart w:id="298" w:name="_Toc13233731"/>
      <w:r w:rsidRPr="00097A86">
        <w:rPr>
          <w:rStyle w:val="CharSectno"/>
        </w:rPr>
        <w:lastRenderedPageBreak/>
        <w:t>3.50</w:t>
      </w:r>
      <w:r w:rsidR="00D22D3F" w:rsidRPr="00097A86">
        <w:t xml:space="preserve">  </w:t>
      </w:r>
      <w:r w:rsidRPr="00097A86">
        <w:t>Method 2</w:t>
      </w:r>
      <w:r w:rsidR="00D22D3F" w:rsidRPr="00097A86">
        <w:t>—</w:t>
      </w:r>
      <w:r w:rsidRPr="00097A86">
        <w:t>crude oil production (non</w:t>
      </w:r>
      <w:r w:rsidR="00097A86">
        <w:noBreakHyphen/>
      </w:r>
      <w:r w:rsidRPr="00097A86">
        <w:t>flared) emissions of methane</w:t>
      </w:r>
      <w:bookmarkEnd w:id="298"/>
    </w:p>
    <w:p w14:paraId="37B5A67C" w14:textId="77777777" w:rsidR="003F0D4E" w:rsidRPr="00097A86" w:rsidRDefault="003F0D4E" w:rsidP="00D22D3F">
      <w:pPr>
        <w:pStyle w:val="subsection"/>
      </w:pPr>
      <w:r w:rsidRPr="00097A86">
        <w:tab/>
        <w:t>(1)</w:t>
      </w:r>
      <w:r w:rsidRPr="00097A86">
        <w:tab/>
        <w:t>Method 2 is:</w:t>
      </w:r>
    </w:p>
    <w:p w14:paraId="4EC0BB8A"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B702ED3" wp14:editId="79C136A8">
            <wp:extent cx="14763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p>
    <w:p w14:paraId="52E77B77" w14:textId="77777777" w:rsidR="003F0D4E" w:rsidRPr="00097A86" w:rsidRDefault="003F0D4E" w:rsidP="00D22D3F">
      <w:pPr>
        <w:pStyle w:val="subsection2"/>
      </w:pPr>
      <w:r w:rsidRPr="00097A86">
        <w:t>where:</w:t>
      </w:r>
    </w:p>
    <w:p w14:paraId="1578785F"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crude oil production during the year measured in CO</w:t>
      </w:r>
      <w:r w:rsidRPr="00097A86">
        <w:rPr>
          <w:rStyle w:val="charSubscript"/>
          <w:iCs/>
        </w:rPr>
        <w:t>2</w:t>
      </w:r>
      <w:r w:rsidR="00097A86">
        <w:noBreakHyphen/>
      </w:r>
      <w:r w:rsidRPr="00097A86">
        <w:t>e tonnes.</w:t>
      </w:r>
    </w:p>
    <w:p w14:paraId="49AE9CD1"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emissions of methane (</w:t>
      </w:r>
      <w:r w:rsidRPr="00097A86">
        <w:rPr>
          <w:b/>
          <w:i/>
        </w:rPr>
        <w:t>j</w:t>
      </w:r>
      <w:r w:rsidRPr="00097A86">
        <w:t>) measured in tonnes of CO</w:t>
      </w:r>
      <w:r w:rsidRPr="00097A86">
        <w:rPr>
          <w:rStyle w:val="charSubscript"/>
          <w:iCs/>
        </w:rPr>
        <w:t>2</w:t>
      </w:r>
      <w:r w:rsidR="00097A86">
        <w:noBreakHyphen/>
      </w:r>
      <w:r w:rsidRPr="00097A86">
        <w:t>e and estimated by summing up the emissions released from each equipment type (</w:t>
      </w:r>
      <w:r w:rsidRPr="00097A86">
        <w:rPr>
          <w:b/>
          <w:i/>
        </w:rPr>
        <w:t>k</w:t>
      </w:r>
      <w:r w:rsidRPr="00097A86">
        <w:t xml:space="preserve">) listed in </w:t>
      </w:r>
      <w:r w:rsidR="008508D5" w:rsidRPr="00097A86">
        <w:t>sections</w:t>
      </w:r>
      <w:r w:rsidR="00097A86">
        <w:t> </w:t>
      </w:r>
      <w:r w:rsidR="008508D5" w:rsidRPr="00097A86">
        <w:t xml:space="preserve">5.4.1, 5.4.2, 5.4.3, </w:t>
      </w:r>
      <w:r w:rsidR="00B53655" w:rsidRPr="00097A86">
        <w:t xml:space="preserve">5.6.4, 5.6.5 and 6.1.2 </w:t>
      </w:r>
      <w:r w:rsidRPr="00097A86">
        <w:t>of the API Compendium, if the equipment type is used in the crude oil production.</w:t>
      </w:r>
    </w:p>
    <w:p w14:paraId="4AC2E2A1" w14:textId="77777777" w:rsidR="003F0D4E" w:rsidRPr="00097A86" w:rsidRDefault="003F0D4E" w:rsidP="00D22D3F">
      <w:pPr>
        <w:pStyle w:val="Definition"/>
      </w:pPr>
      <w:r w:rsidRPr="00097A86">
        <w:rPr>
          <w:b/>
          <w:i/>
        </w:rPr>
        <w:t>Q</w:t>
      </w:r>
      <w:r w:rsidRPr="00097A86">
        <w:rPr>
          <w:b/>
          <w:i/>
          <w:vertAlign w:val="subscript"/>
        </w:rPr>
        <w:t xml:space="preserve">ik </w:t>
      </w:r>
      <w:r w:rsidRPr="00097A86">
        <w:t>is the total of the quantities of crude oil that pass through each equipment type (</w:t>
      </w:r>
      <w:r w:rsidRPr="00097A86">
        <w:rPr>
          <w:b/>
          <w:i/>
        </w:rPr>
        <w:t>k</w:t>
      </w:r>
      <w:r w:rsidRPr="00097A86">
        <w:t>), or the number of equipment units of type (</w:t>
      </w:r>
      <w:r w:rsidRPr="00097A86">
        <w:rPr>
          <w:b/>
          <w:i/>
        </w:rPr>
        <w:t>k</w:t>
      </w:r>
      <w:r w:rsidRPr="00097A86">
        <w:t xml:space="preserve">), listed in </w:t>
      </w:r>
      <w:r w:rsidR="008508D5" w:rsidRPr="00097A86">
        <w:t>sections</w:t>
      </w:r>
      <w:r w:rsidR="00097A86">
        <w:t> </w:t>
      </w:r>
      <w:r w:rsidR="008508D5" w:rsidRPr="00097A86">
        <w:t xml:space="preserve">5.4.1, 5.4.2, 5.4.3, </w:t>
      </w:r>
      <w:r w:rsidR="00B53655" w:rsidRPr="00097A86">
        <w:t xml:space="preserve">5.6.4, 5.6.5 and 6.1.2 </w:t>
      </w:r>
      <w:r w:rsidRPr="00097A86">
        <w:t>of the API Compendium, if the equipment is used in the crude oil production, measured in tonnes.</w:t>
      </w:r>
    </w:p>
    <w:p w14:paraId="317D1920" w14:textId="77777777" w:rsidR="003F0D4E" w:rsidRPr="00097A86" w:rsidRDefault="003F0D4E" w:rsidP="00D22D3F">
      <w:pPr>
        <w:pStyle w:val="Definition"/>
      </w:pPr>
      <w:r w:rsidRPr="00097A86">
        <w:rPr>
          <w:b/>
          <w:i/>
        </w:rPr>
        <w:t>EF</w:t>
      </w:r>
      <w:r w:rsidRPr="00097A86">
        <w:rPr>
          <w:b/>
          <w:i/>
          <w:vertAlign w:val="subscript"/>
        </w:rPr>
        <w:t>ijk</w:t>
      </w:r>
      <w:r w:rsidRPr="00097A86">
        <w:rPr>
          <w:b/>
          <w:i/>
        </w:rPr>
        <w:t xml:space="preserve"> </w:t>
      </w:r>
      <w:r w:rsidRPr="00097A86">
        <w:t>is the emission factor of methane (</w:t>
      </w:r>
      <w:r w:rsidRPr="00097A86">
        <w:rPr>
          <w:b/>
          <w:i/>
        </w:rPr>
        <w:t>j</w:t>
      </w:r>
      <w:r w:rsidRPr="00097A86">
        <w:t>) measured in tonnes of CO</w:t>
      </w:r>
      <w:r w:rsidRPr="00097A86">
        <w:rPr>
          <w:rStyle w:val="charSubscript"/>
          <w:iCs/>
        </w:rPr>
        <w:t>2</w:t>
      </w:r>
      <w:r w:rsidR="00097A86">
        <w:noBreakHyphen/>
      </w:r>
      <w:r w:rsidRPr="00097A86">
        <w:t>e per tonne of crude oil that passes through each equipment type (</w:t>
      </w:r>
      <w:r w:rsidRPr="00097A86">
        <w:rPr>
          <w:b/>
          <w:i/>
        </w:rPr>
        <w:t>k</w:t>
      </w:r>
      <w:r w:rsidRPr="00097A86">
        <w:t xml:space="preserve">) listed in </w:t>
      </w:r>
      <w:r w:rsidR="008508D5" w:rsidRPr="00097A86">
        <w:t>sections</w:t>
      </w:r>
      <w:r w:rsidR="00097A86">
        <w:t> </w:t>
      </w:r>
      <w:r w:rsidR="008508D5" w:rsidRPr="00097A86">
        <w:t xml:space="preserve">5.4.1, 5.4.2, 5.4.3, </w:t>
      </w:r>
      <w:r w:rsidR="00B53655" w:rsidRPr="00097A86">
        <w:t xml:space="preserve">5.6.4, 5.6.5 and 6.1.2 </w:t>
      </w:r>
      <w:r w:rsidRPr="00097A86">
        <w:t>of the API Compendium, if the equipment is used in the crude oil production.</w:t>
      </w:r>
    </w:p>
    <w:p w14:paraId="2739A3EA"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t>, the emission factors for methane (</w:t>
      </w:r>
      <w:r w:rsidRPr="00097A86">
        <w:rPr>
          <w:b/>
          <w:i/>
        </w:rPr>
        <w:t>j</w:t>
      </w:r>
      <w:r w:rsidRPr="00097A86">
        <w:t>), as crude oil passes through an equipment type (</w:t>
      </w:r>
      <w:r w:rsidRPr="00097A86">
        <w:rPr>
          <w:b/>
          <w:i/>
        </w:rPr>
        <w:t>k</w:t>
      </w:r>
      <w:r w:rsidRPr="00097A86">
        <w:t>), are:</w:t>
      </w:r>
    </w:p>
    <w:p w14:paraId="6951FFD4" w14:textId="77777777" w:rsidR="003F0D4E" w:rsidRPr="00097A86" w:rsidRDefault="003F0D4E" w:rsidP="00D22D3F">
      <w:pPr>
        <w:pStyle w:val="paragraph"/>
      </w:pPr>
      <w:r w:rsidRPr="00097A86">
        <w:tab/>
        <w:t>(a)</w:t>
      </w:r>
      <w:r w:rsidRPr="00097A86">
        <w:tab/>
        <w:t xml:space="preserve">as listed in </w:t>
      </w:r>
      <w:r w:rsidR="008508D5" w:rsidRPr="00097A86">
        <w:t>sections</w:t>
      </w:r>
      <w:r w:rsidR="00097A86">
        <w:t> </w:t>
      </w:r>
      <w:r w:rsidR="008508D5" w:rsidRPr="00097A86">
        <w:t xml:space="preserve">5.4.1, 5.4.2, 5.4.3, </w:t>
      </w:r>
      <w:r w:rsidR="00B53655" w:rsidRPr="00097A86">
        <w:t xml:space="preserve">5.6.4, 5.6.5 and 6.1.2 </w:t>
      </w:r>
      <w:r w:rsidRPr="00097A86">
        <w:t>of the API Compendium, for the equipment type; or</w:t>
      </w:r>
    </w:p>
    <w:p w14:paraId="09D04E39" w14:textId="77777777" w:rsidR="003F0D4E" w:rsidRPr="00097A86" w:rsidRDefault="003F0D4E" w:rsidP="00D22D3F">
      <w:pPr>
        <w:pStyle w:val="paragraph"/>
      </w:pPr>
      <w:r w:rsidRPr="00097A86">
        <w:tab/>
        <w:t>(b)</w:t>
      </w:r>
      <w:r w:rsidRPr="00097A86">
        <w:tab/>
        <w:t>if the manufacturer of the equipment supplies equipment</w:t>
      </w:r>
      <w:r w:rsidR="00097A86">
        <w:noBreakHyphen/>
      </w:r>
      <w:r w:rsidRPr="00097A86">
        <w:t>specific emission factors for the equipment type</w:t>
      </w:r>
      <w:r w:rsidR="00D22D3F" w:rsidRPr="00097A86">
        <w:t>—</w:t>
      </w:r>
      <w:r w:rsidRPr="00097A86">
        <w:t>those factors.</w:t>
      </w:r>
    </w:p>
    <w:p w14:paraId="17558AE5" w14:textId="77777777" w:rsidR="003F0D4E" w:rsidRPr="00097A86" w:rsidRDefault="003F0D4E" w:rsidP="00D22D3F">
      <w:pPr>
        <w:pStyle w:val="ActHead4"/>
      </w:pPr>
      <w:bookmarkStart w:id="299" w:name="_Toc13233732"/>
      <w:r w:rsidRPr="00097A86">
        <w:rPr>
          <w:rStyle w:val="CharSubdNo"/>
        </w:rPr>
        <w:t>Subdivision</w:t>
      </w:r>
      <w:r w:rsidR="00097A86">
        <w:rPr>
          <w:rStyle w:val="CharSubdNo"/>
        </w:rPr>
        <w:t> </w:t>
      </w:r>
      <w:r w:rsidRPr="00097A86">
        <w:rPr>
          <w:rStyle w:val="CharSubdNo"/>
        </w:rPr>
        <w:t>3.3.3.3</w:t>
      </w:r>
      <w:r w:rsidR="00D22D3F" w:rsidRPr="00097A86">
        <w:t>—</w:t>
      </w:r>
      <w:r w:rsidRPr="00097A86">
        <w:rPr>
          <w:rStyle w:val="CharSubdText"/>
        </w:rPr>
        <w:t>Crude oil production (flared)</w:t>
      </w:r>
      <w:r w:rsidR="00D22D3F" w:rsidRPr="00097A86">
        <w:rPr>
          <w:rStyle w:val="CharSubdText"/>
        </w:rPr>
        <w:t>—</w:t>
      </w:r>
      <w:r w:rsidRPr="00097A86">
        <w:rPr>
          <w:rStyle w:val="CharSubdText"/>
        </w:rPr>
        <w:t>fugitive emissions of carbon dioxide, methane and nitrous oxide</w:t>
      </w:r>
      <w:bookmarkEnd w:id="299"/>
    </w:p>
    <w:p w14:paraId="47BE30C8" w14:textId="77777777" w:rsidR="003F0D4E" w:rsidRPr="00097A86" w:rsidRDefault="003F0D4E" w:rsidP="00D22D3F">
      <w:pPr>
        <w:pStyle w:val="ActHead5"/>
      </w:pPr>
      <w:bookmarkStart w:id="300" w:name="_Toc13233733"/>
      <w:r w:rsidRPr="00097A86">
        <w:rPr>
          <w:rStyle w:val="CharSectno"/>
        </w:rPr>
        <w:t>3.51</w:t>
      </w:r>
      <w:r w:rsidR="00D22D3F" w:rsidRPr="00097A86">
        <w:t xml:space="preserve">  </w:t>
      </w:r>
      <w:r w:rsidRPr="00097A86">
        <w:t>Available methods</w:t>
      </w:r>
      <w:bookmarkEnd w:id="300"/>
    </w:p>
    <w:p w14:paraId="66624E55"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by oil or gas flaring during a year from the operation of a facility that is constituted by crude oil production:</w:t>
      </w:r>
    </w:p>
    <w:p w14:paraId="6463FF60" w14:textId="77777777" w:rsidR="003F0D4E" w:rsidRPr="00097A86" w:rsidRDefault="003F0D4E" w:rsidP="00D22D3F">
      <w:pPr>
        <w:pStyle w:val="paragraph"/>
      </w:pPr>
      <w:r w:rsidRPr="00097A86">
        <w:tab/>
        <w:t>(a)</w:t>
      </w:r>
      <w:r w:rsidRPr="00097A86">
        <w:tab/>
        <w:t>if estimating emissions of carbon dioxide released</w:t>
      </w:r>
      <w:r w:rsidR="00D22D3F" w:rsidRPr="00097A86">
        <w:t>—</w:t>
      </w:r>
      <w:r w:rsidRPr="00097A86">
        <w:t>one of the following methods must be used:</w:t>
      </w:r>
    </w:p>
    <w:p w14:paraId="6B48E050" w14:textId="77777777" w:rsidR="003F0D4E" w:rsidRPr="00097A86" w:rsidRDefault="003F0D4E" w:rsidP="00D22D3F">
      <w:pPr>
        <w:pStyle w:val="paragraphsub"/>
      </w:pPr>
      <w:r w:rsidRPr="00097A86">
        <w:tab/>
        <w:t>(i)</w:t>
      </w:r>
      <w:r w:rsidRPr="00097A86">
        <w:tab/>
        <w:t>method 1 under section</w:t>
      </w:r>
      <w:r w:rsidR="00097A86">
        <w:t> </w:t>
      </w:r>
      <w:r w:rsidRPr="00097A86">
        <w:t>3.52;</w:t>
      </w:r>
    </w:p>
    <w:p w14:paraId="65D2401E" w14:textId="77777777" w:rsidR="003F0D4E" w:rsidRPr="00097A86" w:rsidRDefault="003F0D4E" w:rsidP="00D22D3F">
      <w:pPr>
        <w:pStyle w:val="paragraphsub"/>
      </w:pPr>
      <w:r w:rsidRPr="00097A86">
        <w:tab/>
        <w:t>(ii)</w:t>
      </w:r>
      <w:r w:rsidRPr="00097A86">
        <w:tab/>
        <w:t>method 2 under section</w:t>
      </w:r>
      <w:r w:rsidR="00097A86">
        <w:t> </w:t>
      </w:r>
      <w:r w:rsidRPr="00097A86">
        <w:t>3.53;</w:t>
      </w:r>
    </w:p>
    <w:p w14:paraId="4DF29DD5" w14:textId="77777777" w:rsidR="003F0D4E" w:rsidRPr="00097A86" w:rsidRDefault="003F0D4E" w:rsidP="00D22D3F">
      <w:pPr>
        <w:pStyle w:val="paragraphsub"/>
      </w:pPr>
      <w:r w:rsidRPr="00097A86">
        <w:tab/>
        <w:t>(iii)</w:t>
      </w:r>
      <w:r w:rsidRPr="00097A86">
        <w:tab/>
        <w:t>method 3 under section</w:t>
      </w:r>
      <w:r w:rsidR="00097A86">
        <w:t> </w:t>
      </w:r>
      <w:r w:rsidRPr="00097A86">
        <w:t>3.54; and</w:t>
      </w:r>
    </w:p>
    <w:p w14:paraId="6F9DD389" w14:textId="77777777" w:rsidR="00702712" w:rsidRPr="00097A86" w:rsidRDefault="00702712" w:rsidP="00702712">
      <w:pPr>
        <w:pStyle w:val="paragraph"/>
      </w:pPr>
      <w:r w:rsidRPr="00097A86">
        <w:tab/>
        <w:t>(b)</w:t>
      </w:r>
      <w:r w:rsidRPr="00097A86">
        <w:tab/>
        <w:t>if estimating emissions of methane released—one of the following methods must be used:</w:t>
      </w:r>
    </w:p>
    <w:p w14:paraId="14C922D6" w14:textId="77777777" w:rsidR="00702712" w:rsidRPr="00097A86" w:rsidRDefault="00702712" w:rsidP="00702712">
      <w:pPr>
        <w:pStyle w:val="paragraphsub"/>
      </w:pPr>
      <w:r w:rsidRPr="00097A86">
        <w:tab/>
        <w:t>(i)</w:t>
      </w:r>
      <w:r w:rsidRPr="00097A86">
        <w:tab/>
        <w:t>method 1 under section</w:t>
      </w:r>
      <w:r w:rsidR="00097A86">
        <w:t> </w:t>
      </w:r>
      <w:r w:rsidRPr="00097A86">
        <w:t>3.52;</w:t>
      </w:r>
    </w:p>
    <w:p w14:paraId="034A2D29" w14:textId="77777777" w:rsidR="00702712" w:rsidRPr="00097A86" w:rsidRDefault="00702712" w:rsidP="00702712">
      <w:pPr>
        <w:pStyle w:val="paragraphsub"/>
      </w:pPr>
      <w:r w:rsidRPr="00097A86">
        <w:lastRenderedPageBreak/>
        <w:tab/>
        <w:t>(ii)</w:t>
      </w:r>
      <w:r w:rsidRPr="00097A86">
        <w:tab/>
        <w:t>method 2A under section</w:t>
      </w:r>
      <w:r w:rsidR="00097A86">
        <w:t> </w:t>
      </w:r>
      <w:r w:rsidRPr="00097A86">
        <w:t>3.53A; and</w:t>
      </w:r>
    </w:p>
    <w:p w14:paraId="4FB320F6" w14:textId="77777777" w:rsidR="00702712" w:rsidRPr="00097A86" w:rsidRDefault="00702712" w:rsidP="00702712">
      <w:pPr>
        <w:pStyle w:val="paragraph"/>
      </w:pPr>
      <w:r w:rsidRPr="00097A86">
        <w:tab/>
        <w:t>(c)</w:t>
      </w:r>
      <w:r w:rsidRPr="00097A86">
        <w:tab/>
        <w:t>if estimating emissions of nitrous oxide released—one of the following methods must be used:</w:t>
      </w:r>
    </w:p>
    <w:p w14:paraId="26045783" w14:textId="77777777" w:rsidR="00702712" w:rsidRPr="00097A86" w:rsidRDefault="00702712" w:rsidP="00702712">
      <w:pPr>
        <w:pStyle w:val="paragraphsub"/>
      </w:pPr>
      <w:r w:rsidRPr="00097A86">
        <w:tab/>
        <w:t>(i)</w:t>
      </w:r>
      <w:r w:rsidRPr="00097A86">
        <w:tab/>
        <w:t>method 1 under section</w:t>
      </w:r>
      <w:r w:rsidR="00097A86">
        <w:t> </w:t>
      </w:r>
      <w:r w:rsidRPr="00097A86">
        <w:t>3.52;</w:t>
      </w:r>
    </w:p>
    <w:p w14:paraId="0F9DF46A" w14:textId="77777777" w:rsidR="00702712" w:rsidRPr="00097A86" w:rsidRDefault="00702712" w:rsidP="00702712">
      <w:pPr>
        <w:pStyle w:val="paragraphsub"/>
      </w:pPr>
      <w:r w:rsidRPr="00097A86">
        <w:tab/>
        <w:t>(ii)</w:t>
      </w:r>
      <w:r w:rsidRPr="00097A86">
        <w:tab/>
        <w:t>method 2A under section</w:t>
      </w:r>
      <w:r w:rsidR="00097A86">
        <w:t> </w:t>
      </w:r>
      <w:r w:rsidRPr="00097A86">
        <w:t>3.53A.</w:t>
      </w:r>
    </w:p>
    <w:p w14:paraId="39B64659" w14:textId="77777777" w:rsidR="0026415B" w:rsidRPr="00097A86" w:rsidRDefault="00D22D3F" w:rsidP="00D22D3F">
      <w:pPr>
        <w:pStyle w:val="notetext"/>
      </w:pPr>
      <w:r w:rsidRPr="00097A86">
        <w:t>Note:</w:t>
      </w:r>
      <w:r w:rsidRPr="00097A86">
        <w:tab/>
      </w:r>
      <w:r w:rsidR="0026415B" w:rsidRPr="00097A86">
        <w:t xml:space="preserve">There is no method 4 under </w:t>
      </w:r>
      <w:r w:rsidR="00097A86">
        <w:t>paragraph (</w:t>
      </w:r>
      <w:r w:rsidR="0026415B" w:rsidRPr="00097A86">
        <w:t xml:space="preserve">a) and no method 2, 3 or 4 under </w:t>
      </w:r>
      <w:r w:rsidR="00097A86">
        <w:t>paragraph (</w:t>
      </w:r>
      <w:r w:rsidR="0026415B" w:rsidRPr="00097A86">
        <w:t>b) or (c).</w:t>
      </w:r>
    </w:p>
    <w:p w14:paraId="20B594E2"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711D5FB1" w14:textId="77777777" w:rsidR="003F0D4E" w:rsidRPr="00097A86" w:rsidRDefault="003F0D4E" w:rsidP="00D22D3F">
      <w:pPr>
        <w:pStyle w:val="ActHead5"/>
      </w:pPr>
      <w:bookmarkStart w:id="301" w:name="_Toc13233734"/>
      <w:r w:rsidRPr="00097A86">
        <w:rPr>
          <w:rStyle w:val="CharSectno"/>
        </w:rPr>
        <w:t>3.52</w:t>
      </w:r>
      <w:r w:rsidR="00D22D3F" w:rsidRPr="00097A86">
        <w:t xml:space="preserve">  </w:t>
      </w:r>
      <w:r w:rsidRPr="00097A86">
        <w:t>Method 1</w:t>
      </w:r>
      <w:r w:rsidR="00D22D3F" w:rsidRPr="00097A86">
        <w:t>—</w:t>
      </w:r>
      <w:r w:rsidRPr="00097A86">
        <w:t>crude oil production (flared) emissions</w:t>
      </w:r>
      <w:bookmarkEnd w:id="301"/>
    </w:p>
    <w:p w14:paraId="0EECEEFB" w14:textId="77777777" w:rsidR="003F0D4E" w:rsidRPr="00097A86" w:rsidRDefault="003F0D4E" w:rsidP="00D22D3F">
      <w:pPr>
        <w:pStyle w:val="subsection"/>
      </w:pPr>
      <w:r w:rsidRPr="00097A86">
        <w:tab/>
        <w:t>(1)</w:t>
      </w:r>
      <w:r w:rsidRPr="00097A86">
        <w:tab/>
        <w:t>For subparagraph</w:t>
      </w:r>
      <w:r w:rsidR="00097A86">
        <w:t> </w:t>
      </w:r>
      <w:r w:rsidRPr="00097A86">
        <w:t>3.51(a)(i), method 1 is:</w:t>
      </w:r>
    </w:p>
    <w:p w14:paraId="3298D964"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045ABB5A" wp14:editId="27D229F6">
            <wp:extent cx="1019175" cy="2190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p w14:paraId="2CD8B2BD" w14:textId="77777777" w:rsidR="003F0D4E" w:rsidRPr="00097A86" w:rsidRDefault="003F0D4E" w:rsidP="00D22D3F">
      <w:pPr>
        <w:pStyle w:val="subsection2"/>
      </w:pPr>
      <w:r w:rsidRPr="00097A86">
        <w:t>where:</w:t>
      </w:r>
    </w:p>
    <w:p w14:paraId="104DB53C" w14:textId="77777777" w:rsidR="003F0D4E" w:rsidRPr="00097A86" w:rsidRDefault="003F0D4E" w:rsidP="00D22D3F">
      <w:pPr>
        <w:pStyle w:val="Definition"/>
      </w:pPr>
      <w:r w:rsidRPr="00097A86">
        <w:rPr>
          <w:b/>
          <w:i/>
        </w:rPr>
        <w:t>E</w:t>
      </w:r>
      <w:r w:rsidRPr="00097A86">
        <w:rPr>
          <w:rFonts w:ascii="Times New Roman Bold" w:hAnsi="Times New Roman Bold"/>
          <w:b/>
          <w:i/>
          <w:vertAlign w:val="subscript"/>
        </w:rPr>
        <w:t>i</w:t>
      </w:r>
      <w:r w:rsidRPr="00097A86">
        <w:rPr>
          <w:b/>
          <w:i/>
          <w:vertAlign w:val="subscript"/>
        </w:rPr>
        <w:t>j</w:t>
      </w:r>
      <w:r w:rsidRPr="00097A86">
        <w:rPr>
          <w:b/>
          <w:i/>
        </w:rPr>
        <w:t xml:space="preserve"> </w:t>
      </w:r>
      <w:r w:rsidRPr="00097A86">
        <w:t>is the emissions of gas type (</w:t>
      </w:r>
      <w:r w:rsidRPr="00097A86">
        <w:rPr>
          <w:b/>
          <w:i/>
        </w:rPr>
        <w:t>j</w:t>
      </w:r>
      <w:r w:rsidRPr="00097A86">
        <w:t>) measured in CO</w:t>
      </w:r>
      <w:r w:rsidRPr="00097A86">
        <w:rPr>
          <w:rStyle w:val="charSubscript"/>
          <w:iCs/>
        </w:rPr>
        <w:t>2</w:t>
      </w:r>
      <w:r w:rsidR="00097A86">
        <w:noBreakHyphen/>
      </w:r>
      <w:r w:rsidRPr="00097A86">
        <w:t>e tonnes from a fuel type (</w:t>
      </w:r>
      <w:r w:rsidRPr="00097A86">
        <w:rPr>
          <w:b/>
          <w:i/>
        </w:rPr>
        <w:t>i</w:t>
      </w:r>
      <w:r w:rsidRPr="00097A86">
        <w:t>) flared in crude oil production during the year.</w:t>
      </w:r>
    </w:p>
    <w:p w14:paraId="102E7799" w14:textId="77777777" w:rsidR="003F0D4E" w:rsidRPr="00097A86" w:rsidRDefault="003F0D4E" w:rsidP="00D22D3F">
      <w:pPr>
        <w:pStyle w:val="Definition"/>
      </w:pPr>
      <w:r w:rsidRPr="00097A86">
        <w:rPr>
          <w:b/>
          <w:i/>
        </w:rPr>
        <w:t>Q</w:t>
      </w:r>
      <w:r w:rsidRPr="00097A86">
        <w:rPr>
          <w:rFonts w:ascii="Times New Roman Bold" w:hAnsi="Times New Roman Bold"/>
          <w:b/>
          <w:i/>
          <w:vertAlign w:val="subscript"/>
        </w:rPr>
        <w:t>i</w:t>
      </w:r>
      <w:r w:rsidRPr="00097A86">
        <w:rPr>
          <w:b/>
          <w:i/>
        </w:rPr>
        <w:t xml:space="preserve"> </w:t>
      </w:r>
      <w:r w:rsidRPr="00097A86">
        <w:t>is the quantity of fuel type (</w:t>
      </w:r>
      <w:r w:rsidRPr="00097A86">
        <w:rPr>
          <w:b/>
          <w:i/>
        </w:rPr>
        <w:t>i</w:t>
      </w:r>
      <w:r w:rsidRPr="00097A86">
        <w:t>) measured in tonnes flared in crude oil production during the year.</w:t>
      </w:r>
    </w:p>
    <w:p w14:paraId="61AECFEB" w14:textId="77777777" w:rsidR="003F0D4E" w:rsidRPr="00097A86" w:rsidRDefault="003F0D4E" w:rsidP="00D22D3F">
      <w:pPr>
        <w:pStyle w:val="Definition"/>
      </w:pPr>
      <w:r w:rsidRPr="00097A86">
        <w:rPr>
          <w:b/>
          <w:i/>
        </w:rPr>
        <w:t>EF</w:t>
      </w:r>
      <w:r w:rsidRPr="00097A86">
        <w:rPr>
          <w:rFonts w:ascii="Times New Roman Bold" w:hAnsi="Times New Roman Bold"/>
          <w:b/>
          <w:i/>
          <w:vertAlign w:val="subscript"/>
        </w:rPr>
        <w:t>i</w:t>
      </w:r>
      <w:r w:rsidRPr="00097A86">
        <w:rPr>
          <w:b/>
          <w:i/>
          <w:vertAlign w:val="subscript"/>
        </w:rPr>
        <w:t>j</w:t>
      </w:r>
      <w:r w:rsidRPr="00097A86">
        <w:rPr>
          <w:b/>
          <w:i/>
        </w:rPr>
        <w:t xml:space="preserve"> </w:t>
      </w:r>
      <w:r w:rsidRPr="00097A86">
        <w:t>is the emission factor for gas type (</w:t>
      </w:r>
      <w:r w:rsidRPr="00097A86">
        <w:rPr>
          <w:b/>
          <w:i/>
        </w:rPr>
        <w:t>j</w:t>
      </w:r>
      <w:r w:rsidRPr="00097A86">
        <w:t>) measured in tonnes of CO</w:t>
      </w:r>
      <w:r w:rsidRPr="00097A86">
        <w:rPr>
          <w:rStyle w:val="charSubscript"/>
          <w:iCs/>
        </w:rPr>
        <w:t>2</w:t>
      </w:r>
      <w:r w:rsidR="00097A86">
        <w:noBreakHyphen/>
      </w:r>
      <w:r w:rsidRPr="00097A86">
        <w:t>e emissions per tonne of the fuel type (</w:t>
      </w:r>
      <w:r w:rsidRPr="00097A86">
        <w:rPr>
          <w:b/>
          <w:i/>
        </w:rPr>
        <w:t>i</w:t>
      </w:r>
      <w:r w:rsidRPr="00097A86">
        <w:t>) flared.</w:t>
      </w:r>
    </w:p>
    <w:p w14:paraId="0A6B5213"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w:t>
      </w:r>
      <w:r w:rsidRPr="00097A86">
        <w:rPr>
          <w:i/>
          <w:vertAlign w:val="subscript"/>
        </w:rPr>
        <w:t xml:space="preserve"> </w:t>
      </w:r>
      <w:r w:rsidRPr="00097A86">
        <w:t xml:space="preserve">mentioned in </w:t>
      </w:r>
      <w:r w:rsidR="00097A86">
        <w:t>subsection (</w:t>
      </w:r>
      <w:r w:rsidRPr="00097A86">
        <w:t>1), columns 3, 4 and 5 of an item in following table specify the emission factor for each fuel type (</w:t>
      </w:r>
      <w:r w:rsidRPr="00097A86">
        <w:rPr>
          <w:b/>
          <w:i/>
        </w:rPr>
        <w:t>i</w:t>
      </w:r>
      <w:r w:rsidRPr="00097A86">
        <w:t>) specified in column 2 of that item.</w:t>
      </w:r>
    </w:p>
    <w:p w14:paraId="5238655D"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2632"/>
        <w:gridCol w:w="1525"/>
        <w:gridCol w:w="1525"/>
        <w:gridCol w:w="1523"/>
      </w:tblGrid>
      <w:tr w:rsidR="003F0D4E" w:rsidRPr="00097A86" w14:paraId="2D5C1CB1" w14:textId="77777777" w:rsidTr="00C20CC2">
        <w:trPr>
          <w:cantSplit/>
          <w:tblHeader/>
        </w:trPr>
        <w:tc>
          <w:tcPr>
            <w:tcW w:w="667" w:type="pct"/>
            <w:tcBorders>
              <w:top w:val="single" w:sz="12" w:space="0" w:color="auto"/>
              <w:left w:val="nil"/>
              <w:bottom w:val="nil"/>
              <w:right w:val="nil"/>
            </w:tcBorders>
            <w:shd w:val="clear" w:color="auto" w:fill="auto"/>
          </w:tcPr>
          <w:p w14:paraId="58957F0B" w14:textId="77777777" w:rsidR="003F0D4E" w:rsidRPr="00097A86" w:rsidRDefault="003F0D4E" w:rsidP="00D22D3F">
            <w:pPr>
              <w:pStyle w:val="TableHeading"/>
            </w:pPr>
            <w:r w:rsidRPr="00097A86">
              <w:t>Item</w:t>
            </w:r>
          </w:p>
        </w:tc>
        <w:tc>
          <w:tcPr>
            <w:tcW w:w="1583" w:type="pct"/>
            <w:vMerge w:val="restart"/>
            <w:tcBorders>
              <w:top w:val="single" w:sz="12" w:space="0" w:color="auto"/>
              <w:left w:val="nil"/>
              <w:bottom w:val="nil"/>
              <w:right w:val="nil"/>
            </w:tcBorders>
            <w:shd w:val="clear" w:color="auto" w:fill="auto"/>
          </w:tcPr>
          <w:p w14:paraId="7A37B62A" w14:textId="77777777" w:rsidR="003F0D4E" w:rsidRPr="00097A86" w:rsidRDefault="003F0D4E" w:rsidP="00D22D3F">
            <w:pPr>
              <w:pStyle w:val="TableHeading"/>
            </w:pPr>
            <w:r w:rsidRPr="00097A86">
              <w:t>Fuel type (i)</w:t>
            </w:r>
          </w:p>
        </w:tc>
        <w:tc>
          <w:tcPr>
            <w:tcW w:w="2750" w:type="pct"/>
            <w:gridSpan w:val="3"/>
            <w:tcBorders>
              <w:top w:val="single" w:sz="12" w:space="0" w:color="auto"/>
              <w:left w:val="nil"/>
              <w:bottom w:val="single" w:sz="4" w:space="0" w:color="auto"/>
              <w:right w:val="nil"/>
            </w:tcBorders>
            <w:shd w:val="clear" w:color="auto" w:fill="auto"/>
          </w:tcPr>
          <w:p w14:paraId="46545C0C" w14:textId="77777777" w:rsidR="003F0D4E" w:rsidRPr="00097A86" w:rsidRDefault="003F0D4E" w:rsidP="007C27DF">
            <w:pPr>
              <w:pStyle w:val="TableHeading"/>
            </w:pPr>
            <w:r w:rsidRPr="00097A86">
              <w:t>Emission factor for gas type (j) (tonnes CO</w:t>
            </w:r>
            <w:r w:rsidRPr="00097A86">
              <w:rPr>
                <w:vertAlign w:val="subscript"/>
              </w:rPr>
              <w:t>2</w:t>
            </w:r>
            <w:r w:rsidR="00097A86">
              <w:noBreakHyphen/>
            </w:r>
            <w:r w:rsidRPr="00097A86">
              <w:t>e/tonnes of fuel flared)</w:t>
            </w:r>
          </w:p>
        </w:tc>
      </w:tr>
      <w:tr w:rsidR="003F0D4E" w:rsidRPr="00097A86" w14:paraId="50725500" w14:textId="77777777" w:rsidTr="00C20CC2">
        <w:trPr>
          <w:cantSplit/>
          <w:tblHeader/>
        </w:trPr>
        <w:tc>
          <w:tcPr>
            <w:tcW w:w="667" w:type="pct"/>
            <w:tcBorders>
              <w:top w:val="nil"/>
              <w:left w:val="nil"/>
              <w:bottom w:val="single" w:sz="12" w:space="0" w:color="auto"/>
              <w:right w:val="nil"/>
            </w:tcBorders>
            <w:shd w:val="clear" w:color="auto" w:fill="auto"/>
          </w:tcPr>
          <w:p w14:paraId="41C56E18" w14:textId="77777777" w:rsidR="003F0D4E" w:rsidRPr="00097A86" w:rsidRDefault="003F0D4E" w:rsidP="00D22D3F">
            <w:pPr>
              <w:pStyle w:val="TableHeading"/>
            </w:pPr>
          </w:p>
        </w:tc>
        <w:tc>
          <w:tcPr>
            <w:tcW w:w="1583" w:type="pct"/>
            <w:vMerge/>
            <w:tcBorders>
              <w:top w:val="nil"/>
              <w:left w:val="nil"/>
              <w:bottom w:val="single" w:sz="12" w:space="0" w:color="auto"/>
              <w:right w:val="nil"/>
            </w:tcBorders>
            <w:shd w:val="clear" w:color="auto" w:fill="auto"/>
          </w:tcPr>
          <w:p w14:paraId="4E1D669C" w14:textId="77777777" w:rsidR="003F0D4E" w:rsidRPr="00097A86" w:rsidRDefault="003F0D4E" w:rsidP="006A6B38">
            <w:pPr>
              <w:pStyle w:val="TableHeading"/>
            </w:pPr>
          </w:p>
        </w:tc>
        <w:tc>
          <w:tcPr>
            <w:tcW w:w="917" w:type="pct"/>
            <w:tcBorders>
              <w:top w:val="single" w:sz="4" w:space="0" w:color="auto"/>
              <w:left w:val="nil"/>
              <w:bottom w:val="single" w:sz="12" w:space="0" w:color="auto"/>
              <w:right w:val="nil"/>
            </w:tcBorders>
            <w:shd w:val="clear" w:color="auto" w:fill="auto"/>
          </w:tcPr>
          <w:p w14:paraId="58F64AFB" w14:textId="77777777" w:rsidR="003F0D4E" w:rsidRPr="00097A86" w:rsidRDefault="003F0D4E" w:rsidP="00D22D3F">
            <w:pPr>
              <w:pStyle w:val="TableHeading"/>
            </w:pPr>
            <w:r w:rsidRPr="00097A86">
              <w:t>CO</w:t>
            </w:r>
            <w:r w:rsidRPr="00097A86">
              <w:rPr>
                <w:vertAlign w:val="subscript"/>
              </w:rPr>
              <w:t>2</w:t>
            </w:r>
          </w:p>
        </w:tc>
        <w:tc>
          <w:tcPr>
            <w:tcW w:w="917" w:type="pct"/>
            <w:tcBorders>
              <w:top w:val="single" w:sz="4" w:space="0" w:color="auto"/>
              <w:left w:val="nil"/>
              <w:bottom w:val="single" w:sz="12" w:space="0" w:color="auto"/>
              <w:right w:val="nil"/>
            </w:tcBorders>
            <w:shd w:val="clear" w:color="auto" w:fill="auto"/>
          </w:tcPr>
          <w:p w14:paraId="7BA776FE" w14:textId="77777777" w:rsidR="003F0D4E" w:rsidRPr="00097A86" w:rsidRDefault="003F0D4E" w:rsidP="00D22D3F">
            <w:pPr>
              <w:pStyle w:val="TableHeading"/>
            </w:pPr>
            <w:r w:rsidRPr="00097A86">
              <w:t>CH</w:t>
            </w:r>
            <w:r w:rsidRPr="00097A86">
              <w:rPr>
                <w:vertAlign w:val="subscript"/>
              </w:rPr>
              <w:t>4</w:t>
            </w:r>
          </w:p>
        </w:tc>
        <w:tc>
          <w:tcPr>
            <w:tcW w:w="916" w:type="pct"/>
            <w:tcBorders>
              <w:top w:val="single" w:sz="4" w:space="0" w:color="auto"/>
              <w:left w:val="nil"/>
              <w:bottom w:val="single" w:sz="12" w:space="0" w:color="auto"/>
              <w:right w:val="nil"/>
            </w:tcBorders>
            <w:shd w:val="clear" w:color="auto" w:fill="auto"/>
          </w:tcPr>
          <w:p w14:paraId="628CD91F" w14:textId="77777777" w:rsidR="003F0D4E" w:rsidRPr="00097A86" w:rsidRDefault="003F0D4E" w:rsidP="00D22D3F">
            <w:pPr>
              <w:pStyle w:val="TableHeading"/>
            </w:pPr>
            <w:r w:rsidRPr="00097A86">
              <w:t>N</w:t>
            </w:r>
            <w:r w:rsidRPr="00097A86">
              <w:rPr>
                <w:vertAlign w:val="subscript"/>
              </w:rPr>
              <w:t>2</w:t>
            </w:r>
            <w:r w:rsidRPr="00097A86">
              <w:t>O</w:t>
            </w:r>
          </w:p>
        </w:tc>
      </w:tr>
      <w:tr w:rsidR="003F0D4E" w:rsidRPr="00097A86" w14:paraId="19D04083" w14:textId="77777777" w:rsidTr="00C20CC2">
        <w:trPr>
          <w:cantSplit/>
        </w:trPr>
        <w:tc>
          <w:tcPr>
            <w:tcW w:w="667" w:type="pct"/>
            <w:tcBorders>
              <w:top w:val="single" w:sz="12" w:space="0" w:color="auto"/>
              <w:left w:val="nil"/>
              <w:bottom w:val="single" w:sz="4" w:space="0" w:color="auto"/>
              <w:right w:val="nil"/>
            </w:tcBorders>
          </w:tcPr>
          <w:p w14:paraId="4D33B991" w14:textId="77777777" w:rsidR="003F0D4E" w:rsidRPr="00097A86" w:rsidRDefault="003F0D4E" w:rsidP="00D22D3F">
            <w:pPr>
              <w:pStyle w:val="Tabletext"/>
            </w:pPr>
            <w:r w:rsidRPr="00097A86">
              <w:t>1</w:t>
            </w:r>
          </w:p>
        </w:tc>
        <w:tc>
          <w:tcPr>
            <w:tcW w:w="1583" w:type="pct"/>
            <w:tcBorders>
              <w:top w:val="single" w:sz="12" w:space="0" w:color="auto"/>
              <w:left w:val="nil"/>
              <w:bottom w:val="single" w:sz="4" w:space="0" w:color="auto"/>
              <w:right w:val="nil"/>
            </w:tcBorders>
          </w:tcPr>
          <w:p w14:paraId="5462BDFA" w14:textId="77777777" w:rsidR="003F0D4E" w:rsidRPr="00097A86" w:rsidRDefault="003F0D4E" w:rsidP="00D22D3F">
            <w:pPr>
              <w:pStyle w:val="Tabletext"/>
            </w:pPr>
            <w:r w:rsidRPr="00097A86">
              <w:t>Unprocessed gas flared</w:t>
            </w:r>
          </w:p>
        </w:tc>
        <w:tc>
          <w:tcPr>
            <w:tcW w:w="917" w:type="pct"/>
            <w:tcBorders>
              <w:top w:val="single" w:sz="12" w:space="0" w:color="auto"/>
              <w:left w:val="nil"/>
              <w:bottom w:val="single" w:sz="4" w:space="0" w:color="auto"/>
              <w:right w:val="nil"/>
            </w:tcBorders>
          </w:tcPr>
          <w:p w14:paraId="6B1EF28A" w14:textId="77777777" w:rsidR="003F0D4E" w:rsidRPr="00097A86" w:rsidRDefault="003F0D4E" w:rsidP="00D22D3F">
            <w:pPr>
              <w:pStyle w:val="Tabletext"/>
            </w:pPr>
            <w:r w:rsidRPr="00097A86">
              <w:t>2.8</w:t>
            </w:r>
          </w:p>
        </w:tc>
        <w:tc>
          <w:tcPr>
            <w:tcW w:w="917" w:type="pct"/>
            <w:tcBorders>
              <w:top w:val="single" w:sz="12" w:space="0" w:color="auto"/>
              <w:left w:val="nil"/>
              <w:bottom w:val="single" w:sz="4" w:space="0" w:color="auto"/>
              <w:right w:val="nil"/>
            </w:tcBorders>
          </w:tcPr>
          <w:p w14:paraId="1D4B865B" w14:textId="77777777" w:rsidR="003F0D4E" w:rsidRPr="00097A86" w:rsidRDefault="00E76D51" w:rsidP="00D22D3F">
            <w:pPr>
              <w:pStyle w:val="Tabletext"/>
            </w:pPr>
            <w:r w:rsidRPr="00097A86">
              <w:t>0.8</w:t>
            </w:r>
          </w:p>
        </w:tc>
        <w:tc>
          <w:tcPr>
            <w:tcW w:w="916" w:type="pct"/>
            <w:tcBorders>
              <w:top w:val="single" w:sz="12" w:space="0" w:color="auto"/>
              <w:left w:val="nil"/>
              <w:bottom w:val="single" w:sz="4" w:space="0" w:color="auto"/>
              <w:right w:val="nil"/>
            </w:tcBorders>
          </w:tcPr>
          <w:p w14:paraId="756E0C06" w14:textId="77777777" w:rsidR="003F0D4E" w:rsidRPr="00097A86" w:rsidRDefault="003F0D4E" w:rsidP="00D22D3F">
            <w:pPr>
              <w:pStyle w:val="Tabletext"/>
            </w:pPr>
            <w:r w:rsidRPr="00097A86">
              <w:t>0.03</w:t>
            </w:r>
          </w:p>
        </w:tc>
      </w:tr>
      <w:tr w:rsidR="003F0D4E" w:rsidRPr="00097A86" w14:paraId="07C8E5C5" w14:textId="77777777" w:rsidTr="00C20CC2">
        <w:trPr>
          <w:cantSplit/>
        </w:trPr>
        <w:tc>
          <w:tcPr>
            <w:tcW w:w="667" w:type="pct"/>
            <w:tcBorders>
              <w:top w:val="single" w:sz="4" w:space="0" w:color="auto"/>
              <w:left w:val="nil"/>
              <w:bottom w:val="single" w:sz="12" w:space="0" w:color="auto"/>
              <w:right w:val="nil"/>
            </w:tcBorders>
          </w:tcPr>
          <w:p w14:paraId="65479EA8" w14:textId="77777777" w:rsidR="003F0D4E" w:rsidRPr="00097A86" w:rsidRDefault="003F0D4E" w:rsidP="00D22D3F">
            <w:pPr>
              <w:pStyle w:val="Tabletext"/>
            </w:pPr>
            <w:r w:rsidRPr="00097A86">
              <w:t>2</w:t>
            </w:r>
          </w:p>
        </w:tc>
        <w:tc>
          <w:tcPr>
            <w:tcW w:w="1583" w:type="pct"/>
            <w:tcBorders>
              <w:top w:val="single" w:sz="4" w:space="0" w:color="auto"/>
              <w:left w:val="nil"/>
              <w:bottom w:val="single" w:sz="12" w:space="0" w:color="auto"/>
              <w:right w:val="nil"/>
            </w:tcBorders>
          </w:tcPr>
          <w:p w14:paraId="079E6E4C" w14:textId="77777777" w:rsidR="003F0D4E" w:rsidRPr="00097A86" w:rsidRDefault="003F0D4E" w:rsidP="00D22D3F">
            <w:pPr>
              <w:pStyle w:val="Tabletext"/>
            </w:pPr>
            <w:r w:rsidRPr="00097A86">
              <w:t>Crude oil</w:t>
            </w:r>
          </w:p>
        </w:tc>
        <w:tc>
          <w:tcPr>
            <w:tcW w:w="917" w:type="pct"/>
            <w:tcBorders>
              <w:top w:val="single" w:sz="4" w:space="0" w:color="auto"/>
              <w:left w:val="nil"/>
              <w:bottom w:val="single" w:sz="12" w:space="0" w:color="auto"/>
              <w:right w:val="nil"/>
            </w:tcBorders>
          </w:tcPr>
          <w:p w14:paraId="63FA1639" w14:textId="77777777" w:rsidR="003F0D4E" w:rsidRPr="00097A86" w:rsidRDefault="003F0D4E" w:rsidP="00D22D3F">
            <w:pPr>
              <w:pStyle w:val="Tabletext"/>
            </w:pPr>
            <w:r w:rsidRPr="00097A86">
              <w:t>3.2</w:t>
            </w:r>
          </w:p>
        </w:tc>
        <w:tc>
          <w:tcPr>
            <w:tcW w:w="917" w:type="pct"/>
            <w:tcBorders>
              <w:top w:val="single" w:sz="4" w:space="0" w:color="auto"/>
              <w:left w:val="nil"/>
              <w:bottom w:val="single" w:sz="12" w:space="0" w:color="auto"/>
              <w:right w:val="nil"/>
            </w:tcBorders>
          </w:tcPr>
          <w:p w14:paraId="0C3386E4" w14:textId="77777777" w:rsidR="003F0D4E" w:rsidRPr="00097A86" w:rsidRDefault="00E76D51" w:rsidP="00D22D3F">
            <w:pPr>
              <w:pStyle w:val="Tabletext"/>
            </w:pPr>
            <w:r w:rsidRPr="00097A86">
              <w:t>0.008</w:t>
            </w:r>
          </w:p>
        </w:tc>
        <w:tc>
          <w:tcPr>
            <w:tcW w:w="916" w:type="pct"/>
            <w:tcBorders>
              <w:top w:val="single" w:sz="4" w:space="0" w:color="auto"/>
              <w:left w:val="nil"/>
              <w:bottom w:val="single" w:sz="12" w:space="0" w:color="auto"/>
              <w:right w:val="nil"/>
            </w:tcBorders>
          </w:tcPr>
          <w:p w14:paraId="2FCA87CF" w14:textId="77777777" w:rsidR="003F0D4E" w:rsidRPr="00097A86" w:rsidRDefault="003F0D4E" w:rsidP="00D22D3F">
            <w:pPr>
              <w:pStyle w:val="Tabletext"/>
            </w:pPr>
            <w:r w:rsidRPr="00097A86">
              <w:t>0.07</w:t>
            </w:r>
          </w:p>
        </w:tc>
      </w:tr>
    </w:tbl>
    <w:p w14:paraId="41237AAD" w14:textId="77777777" w:rsidR="0026415B" w:rsidRPr="00097A86" w:rsidRDefault="0026415B" w:rsidP="00D22D3F">
      <w:pPr>
        <w:pStyle w:val="ActHead5"/>
      </w:pPr>
      <w:bookmarkStart w:id="302" w:name="_Toc13233735"/>
      <w:r w:rsidRPr="00097A86">
        <w:rPr>
          <w:rStyle w:val="CharSectno"/>
        </w:rPr>
        <w:t>3.53</w:t>
      </w:r>
      <w:r w:rsidR="00D22D3F" w:rsidRPr="00097A86">
        <w:t xml:space="preserve">  </w:t>
      </w:r>
      <w:r w:rsidRPr="00097A86">
        <w:t>Method 2</w:t>
      </w:r>
      <w:r w:rsidR="00D22D3F" w:rsidRPr="00097A86">
        <w:t>—</w:t>
      </w:r>
      <w:r w:rsidRPr="00097A86">
        <w:t>crude oil production</w:t>
      </w:r>
      <w:bookmarkEnd w:id="302"/>
    </w:p>
    <w:p w14:paraId="09261CF6" w14:textId="77777777" w:rsidR="0026415B" w:rsidRPr="00097A86" w:rsidRDefault="0026415B" w:rsidP="00D22D3F">
      <w:pPr>
        <w:pStyle w:val="SubsectionHead"/>
      </w:pPr>
      <w:r w:rsidRPr="00097A86">
        <w:t>Combustion of gaseous fuels (flared) emissions of carbon dioxide</w:t>
      </w:r>
    </w:p>
    <w:p w14:paraId="1631C23E" w14:textId="77777777" w:rsidR="0026415B" w:rsidRPr="00097A86" w:rsidRDefault="0026415B" w:rsidP="00D22D3F">
      <w:pPr>
        <w:pStyle w:val="subsection"/>
      </w:pPr>
      <w:r w:rsidRPr="00097A86">
        <w:tab/>
        <w:t>(1)</w:t>
      </w:r>
      <w:r w:rsidRPr="00097A86">
        <w:tab/>
        <w:t>For subparagraph</w:t>
      </w:r>
      <w:r w:rsidR="00097A86">
        <w:t> </w:t>
      </w:r>
      <w:r w:rsidRPr="00097A86">
        <w:t>3.51(1)(a)(ii), method 2 for combustion of gaseous fuels is:</w:t>
      </w:r>
    </w:p>
    <w:p w14:paraId="0DF572D5" w14:textId="77777777" w:rsidR="0026415B" w:rsidRPr="00097A86" w:rsidRDefault="00D22D3F" w:rsidP="00D22D3F">
      <w:pPr>
        <w:pStyle w:val="subsection"/>
        <w:spacing w:before="120" w:after="120"/>
      </w:pPr>
      <w:r w:rsidRPr="00097A86">
        <w:tab/>
      </w:r>
      <w:r w:rsidRPr="00097A86">
        <w:tab/>
      </w:r>
      <w:r w:rsidR="009E1F90">
        <w:rPr>
          <w:noProof/>
        </w:rPr>
        <w:drawing>
          <wp:inline distT="0" distB="0" distL="0" distR="0" wp14:anchorId="44A09A09" wp14:editId="604212AD">
            <wp:extent cx="2009775" cy="333375"/>
            <wp:effectExtent l="0" t="0" r="9525" b="0"/>
            <wp:docPr id="19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9775" cy="333375"/>
                    </a:xfrm>
                    <a:prstGeom prst="rect">
                      <a:avLst/>
                    </a:prstGeom>
                    <a:noFill/>
                    <a:ln>
                      <a:noFill/>
                    </a:ln>
                  </pic:spPr>
                </pic:pic>
              </a:graphicData>
            </a:graphic>
          </wp:inline>
        </w:drawing>
      </w:r>
    </w:p>
    <w:p w14:paraId="1C431299" w14:textId="77777777" w:rsidR="0026415B" w:rsidRPr="00097A86" w:rsidRDefault="0026415B" w:rsidP="00D22D3F">
      <w:pPr>
        <w:pStyle w:val="subsection2"/>
      </w:pPr>
      <w:r w:rsidRPr="00097A86">
        <w:t>where:</w:t>
      </w:r>
    </w:p>
    <w:p w14:paraId="542D3A6B" w14:textId="77777777" w:rsidR="00D92479" w:rsidRPr="00097A86" w:rsidRDefault="0026415B" w:rsidP="00D92479">
      <w:pPr>
        <w:pStyle w:val="Definition"/>
      </w:pPr>
      <w:r w:rsidRPr="00097A86">
        <w:rPr>
          <w:b/>
          <w:i/>
        </w:rPr>
        <w:lastRenderedPageBreak/>
        <w:t>E</w:t>
      </w:r>
      <w:r w:rsidRPr="00097A86">
        <w:rPr>
          <w:b/>
          <w:i/>
          <w:vertAlign w:val="subscript"/>
        </w:rPr>
        <w:t>iCO</w:t>
      </w:r>
      <w:r w:rsidRPr="00097A86">
        <w:rPr>
          <w:b/>
          <w:i/>
          <w:position w:val="-4"/>
          <w:vertAlign w:val="subscript"/>
        </w:rPr>
        <w:t>2</w:t>
      </w:r>
      <w:r w:rsidRPr="00097A86">
        <w:t xml:space="preserve"> is the fugitive emissions of CO</w:t>
      </w:r>
      <w:r w:rsidRPr="00097A86">
        <w:rPr>
          <w:vertAlign w:val="subscript"/>
        </w:rPr>
        <w:t>2</w:t>
      </w:r>
      <w:r w:rsidRPr="00097A86">
        <w:t xml:space="preserve"> from fuel type (</w:t>
      </w:r>
      <w:r w:rsidRPr="00097A86">
        <w:rPr>
          <w:b/>
          <w:i/>
        </w:rPr>
        <w:t>i</w:t>
      </w:r>
      <w:r w:rsidRPr="00097A86">
        <w:t>) flared in crude oil production during the year, measured in CO</w:t>
      </w:r>
      <w:r w:rsidRPr="00097A86">
        <w:rPr>
          <w:vertAlign w:val="subscript"/>
        </w:rPr>
        <w:t>2</w:t>
      </w:r>
      <w:r w:rsidR="00097A86">
        <w:noBreakHyphen/>
      </w:r>
      <w:r w:rsidRPr="00097A86">
        <w:t>e tonnes.</w:t>
      </w:r>
    </w:p>
    <w:p w14:paraId="6626F59B" w14:textId="77777777" w:rsidR="00D92479" w:rsidRPr="00097A86" w:rsidRDefault="0026415B" w:rsidP="00D92479">
      <w:pPr>
        <w:pStyle w:val="Definition"/>
      </w:pPr>
      <w:r w:rsidRPr="00097A86">
        <w:rPr>
          <w:b/>
          <w:i/>
        </w:rPr>
        <w:t>Q</w:t>
      </w:r>
      <w:r w:rsidRPr="00097A86">
        <w:rPr>
          <w:b/>
          <w:i/>
          <w:vertAlign w:val="subscript"/>
        </w:rPr>
        <w:t>h</w:t>
      </w:r>
      <w:r w:rsidRPr="00097A86">
        <w:rPr>
          <w:i/>
        </w:rPr>
        <w:t xml:space="preserve"> </w:t>
      </w:r>
      <w:r w:rsidRPr="00097A86">
        <w:t>is the total quantity of hydrocarbons (</w:t>
      </w:r>
      <w:r w:rsidRPr="00097A86">
        <w:rPr>
          <w:b/>
          <w:i/>
        </w:rPr>
        <w:t>h</w:t>
      </w:r>
      <w:r w:rsidRPr="00097A86">
        <w:t>) within the fuel type (</w:t>
      </w:r>
      <w:r w:rsidRPr="00097A86">
        <w:rPr>
          <w:b/>
          <w:i/>
        </w:rPr>
        <w:t>i</w:t>
      </w:r>
      <w:r w:rsidRPr="00097A86">
        <w:t>) in crude oil production during the year, measured in tonnes in accordance with Division</w:t>
      </w:r>
      <w:r w:rsidR="00097A86">
        <w:t> </w:t>
      </w:r>
      <w:r w:rsidRPr="00097A86">
        <w:t>2.3.3.</w:t>
      </w:r>
    </w:p>
    <w:p w14:paraId="7FA93A3C" w14:textId="77777777" w:rsidR="00D92479" w:rsidRPr="00097A86" w:rsidRDefault="0026415B" w:rsidP="00D92479">
      <w:pPr>
        <w:pStyle w:val="Definition"/>
      </w:pPr>
      <w:r w:rsidRPr="00097A86">
        <w:rPr>
          <w:b/>
          <w:i/>
        </w:rPr>
        <w:t>EF</w:t>
      </w:r>
      <w:r w:rsidRPr="00097A86">
        <w:rPr>
          <w:b/>
          <w:i/>
          <w:vertAlign w:val="subscript"/>
        </w:rPr>
        <w:t>h</w:t>
      </w:r>
      <w:r w:rsidRPr="00097A86">
        <w:t xml:space="preserve"> is the emission factor for the total hydrocarbons (</w:t>
      </w:r>
      <w:r w:rsidRPr="00097A86">
        <w:rPr>
          <w:b/>
          <w:i/>
        </w:rPr>
        <w:t>h</w:t>
      </w:r>
      <w:r w:rsidRPr="00097A86">
        <w:t>) within the fuel type (</w:t>
      </w:r>
      <w:r w:rsidRPr="00097A86">
        <w:rPr>
          <w:b/>
          <w:i/>
        </w:rPr>
        <w:t>i</w:t>
      </w:r>
      <w:r w:rsidRPr="00097A86">
        <w:t>) in crude oil production during the year, measured in CO</w:t>
      </w:r>
      <w:r w:rsidRPr="00097A86">
        <w:rPr>
          <w:vertAlign w:val="subscript"/>
        </w:rPr>
        <w:t>2</w:t>
      </w:r>
      <w:r w:rsidR="00097A86">
        <w:noBreakHyphen/>
      </w:r>
      <w:r w:rsidRPr="00097A86">
        <w:t>e tonnes per tonne of fuel type (</w:t>
      </w:r>
      <w:r w:rsidRPr="00097A86">
        <w:rPr>
          <w:b/>
          <w:i/>
        </w:rPr>
        <w:t>i</w:t>
      </w:r>
      <w:r w:rsidRPr="00097A86">
        <w:t>) flared</w:t>
      </w:r>
      <w:r w:rsidRPr="00097A86">
        <w:rPr>
          <w:i/>
        </w:rPr>
        <w:t xml:space="preserve">, </w:t>
      </w:r>
      <w:r w:rsidRPr="00097A86">
        <w:t>estimated in accordance with method 2 in Division</w:t>
      </w:r>
      <w:r w:rsidR="00097A86">
        <w:t> </w:t>
      </w:r>
      <w:r w:rsidRPr="00097A86">
        <w:t>2.3.3.</w:t>
      </w:r>
    </w:p>
    <w:p w14:paraId="1A2C0476" w14:textId="77777777" w:rsidR="00E76D51" w:rsidRPr="00097A86" w:rsidRDefault="00E76D51" w:rsidP="00E76D51">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25B3F5AA" w14:textId="77777777" w:rsidR="00D92479" w:rsidRPr="00097A86" w:rsidRDefault="0026415B" w:rsidP="00D92479">
      <w:pPr>
        <w:pStyle w:val="Definition"/>
      </w:pPr>
      <w:r w:rsidRPr="00097A86">
        <w:rPr>
          <w:b/>
          <w:i/>
        </w:rPr>
        <w:t>QCO</w:t>
      </w:r>
      <w:r w:rsidRPr="00097A86">
        <w:rPr>
          <w:b/>
          <w:i/>
          <w:vertAlign w:val="subscript"/>
        </w:rPr>
        <w:t>2</w:t>
      </w:r>
      <w:r w:rsidRPr="00097A86">
        <w:t xml:space="preserve"> is the quantity of CO</w:t>
      </w:r>
      <w:r w:rsidRPr="00097A86">
        <w:rPr>
          <w:vertAlign w:val="subscript"/>
        </w:rPr>
        <w:t>2</w:t>
      </w:r>
      <w:r w:rsidRPr="00097A86">
        <w:t xml:space="preserve"> within the fuel type (</w:t>
      </w:r>
      <w:r w:rsidRPr="00097A86">
        <w:rPr>
          <w:b/>
          <w:i/>
        </w:rPr>
        <w:t>i</w:t>
      </w:r>
      <w:r w:rsidRPr="00097A86">
        <w:t>) in crude oil production during the year, measured in CO</w:t>
      </w:r>
      <w:r w:rsidRPr="00097A86">
        <w:rPr>
          <w:vertAlign w:val="subscript"/>
        </w:rPr>
        <w:t>2</w:t>
      </w:r>
      <w:r w:rsidR="00097A86">
        <w:noBreakHyphen/>
      </w:r>
      <w:r w:rsidRPr="00097A86">
        <w:t>e tonnes in accordance with Division</w:t>
      </w:r>
      <w:r w:rsidR="00097A86">
        <w:t> </w:t>
      </w:r>
      <w:r w:rsidRPr="00097A86">
        <w:t>2.3.3.</w:t>
      </w:r>
    </w:p>
    <w:p w14:paraId="03E44996" w14:textId="77777777" w:rsidR="0026415B" w:rsidRPr="00097A86" w:rsidRDefault="0026415B" w:rsidP="00D92479">
      <w:pPr>
        <w:pStyle w:val="SubsectionHead"/>
      </w:pPr>
      <w:r w:rsidRPr="00097A86">
        <w:t>Combustion of liquid fuels (flared) emissions of carbon dioxide</w:t>
      </w:r>
    </w:p>
    <w:p w14:paraId="67E7B643" w14:textId="77777777" w:rsidR="0026415B" w:rsidRPr="00097A86" w:rsidRDefault="0026415B" w:rsidP="00D22D3F">
      <w:pPr>
        <w:pStyle w:val="subsection"/>
      </w:pPr>
      <w:r w:rsidRPr="00097A86">
        <w:tab/>
        <w:t>(2)</w:t>
      </w:r>
      <w:r w:rsidRPr="00097A86">
        <w:tab/>
        <w:t>For subparagraph</w:t>
      </w:r>
      <w:r w:rsidR="00097A86">
        <w:t> </w:t>
      </w:r>
      <w:r w:rsidRPr="00097A86">
        <w:t xml:space="preserve">3.51(1)(a)(ii), method 2 for combustion of liquid fuels is the same as method 1, but the carbon dioxide emissions factor </w:t>
      </w:r>
      <w:r w:rsidRPr="00097A86">
        <w:rPr>
          <w:b/>
          <w:i/>
        </w:rPr>
        <w:t>EF</w:t>
      </w:r>
      <w:r w:rsidRPr="00097A86">
        <w:rPr>
          <w:rStyle w:val="charSubscript"/>
          <w:b/>
          <w:i/>
          <w:sz w:val="22"/>
        </w:rPr>
        <w:t>h</w:t>
      </w:r>
      <w:r w:rsidRPr="00097A86">
        <w:t xml:space="preserve"> must be determined in accordance with method 2 in Division</w:t>
      </w:r>
      <w:r w:rsidR="00097A86">
        <w:t> </w:t>
      </w:r>
      <w:r w:rsidRPr="00097A86">
        <w:t>2.4.3.</w:t>
      </w:r>
    </w:p>
    <w:p w14:paraId="3F482013" w14:textId="77777777" w:rsidR="00702712" w:rsidRPr="00097A86" w:rsidRDefault="00702712" w:rsidP="00702712">
      <w:pPr>
        <w:pStyle w:val="ActHead5"/>
      </w:pPr>
      <w:bookmarkStart w:id="303" w:name="_Toc13233736"/>
      <w:r w:rsidRPr="00097A86">
        <w:rPr>
          <w:rStyle w:val="CharSectno"/>
        </w:rPr>
        <w:t>3.53A</w:t>
      </w:r>
      <w:r w:rsidRPr="00097A86">
        <w:t xml:space="preserve">  Method 2A—crude oil production (flared methane or nitrous oxide emissions)</w:t>
      </w:r>
      <w:bookmarkEnd w:id="303"/>
    </w:p>
    <w:p w14:paraId="4D035CC8" w14:textId="77777777" w:rsidR="00702712" w:rsidRPr="00097A86" w:rsidRDefault="00702712" w:rsidP="00702712">
      <w:pPr>
        <w:pStyle w:val="subsection"/>
      </w:pPr>
      <w:r w:rsidRPr="00097A86">
        <w:tab/>
      </w:r>
      <w:r w:rsidRPr="00097A86">
        <w:tab/>
        <w:t>For subparagraphs</w:t>
      </w:r>
      <w:r w:rsidR="00097A86">
        <w:t> </w:t>
      </w:r>
      <w:r w:rsidRPr="00097A86">
        <w:t>3.51(1)(b)(ii) and (c)(ii), method 2A is:</w:t>
      </w:r>
    </w:p>
    <w:p w14:paraId="150B435E" w14:textId="77777777" w:rsidR="00702712" w:rsidRPr="00097A86" w:rsidRDefault="00F05BCE" w:rsidP="00702712">
      <w:pPr>
        <w:pStyle w:val="subsection2"/>
      </w:pPr>
      <w:r w:rsidRPr="00097A86">
        <w:rPr>
          <w:noProof/>
        </w:rPr>
        <w:drawing>
          <wp:inline distT="0" distB="0" distL="0" distR="0" wp14:anchorId="61D354A8" wp14:editId="03639AC2">
            <wp:extent cx="1336675" cy="2755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36675" cy="275590"/>
                    </a:xfrm>
                    <a:prstGeom prst="rect">
                      <a:avLst/>
                    </a:prstGeom>
                    <a:noFill/>
                    <a:ln>
                      <a:noFill/>
                    </a:ln>
                  </pic:spPr>
                </pic:pic>
              </a:graphicData>
            </a:graphic>
          </wp:inline>
        </w:drawing>
      </w:r>
    </w:p>
    <w:p w14:paraId="6C243766" w14:textId="77777777" w:rsidR="00702712" w:rsidRPr="00097A86" w:rsidRDefault="00702712" w:rsidP="00702712">
      <w:pPr>
        <w:pStyle w:val="subsection2"/>
      </w:pPr>
      <w:r w:rsidRPr="00097A86">
        <w:t>where:</w:t>
      </w:r>
    </w:p>
    <w:p w14:paraId="446E447B" w14:textId="77777777" w:rsidR="00702712" w:rsidRPr="00097A86" w:rsidRDefault="00702712" w:rsidP="00702712">
      <w:pPr>
        <w:pStyle w:val="Definition"/>
      </w:pPr>
      <w:r w:rsidRPr="00097A86">
        <w:rPr>
          <w:b/>
          <w:i/>
        </w:rPr>
        <w:t>EF</w:t>
      </w:r>
      <w:r w:rsidRPr="00097A86">
        <w:rPr>
          <w:b/>
          <w:i/>
          <w:vertAlign w:val="subscript"/>
        </w:rPr>
        <w:t>hij</w:t>
      </w:r>
      <w:r w:rsidRPr="00097A86">
        <w:t xml:space="preserve"> is the emission factor of gas type (</w:t>
      </w:r>
      <w:r w:rsidRPr="00097A86">
        <w:rPr>
          <w:b/>
          <w:i/>
        </w:rPr>
        <w:t>j</w:t>
      </w:r>
      <w:r w:rsidRPr="00097A86">
        <w:t>), being methane or nitrous oxide, for the total hydrocarbons (</w:t>
      </w:r>
      <w:r w:rsidRPr="00097A86">
        <w:rPr>
          <w:b/>
          <w:i/>
        </w:rPr>
        <w:t>h</w:t>
      </w:r>
      <w:r w:rsidRPr="00097A86">
        <w:t>) within the fuel type (</w:t>
      </w:r>
      <w:r w:rsidRPr="00097A86">
        <w:rPr>
          <w:b/>
          <w:i/>
        </w:rPr>
        <w:t>i</w:t>
      </w:r>
      <w:r w:rsidRPr="00097A86">
        <w:t>) in crude oil production during the year, mentioned for the fuel type in the table in subsection</w:t>
      </w:r>
      <w:r w:rsidR="00097A86">
        <w:t> </w:t>
      </w:r>
      <w:r w:rsidRPr="00097A86">
        <w:t>3.52(2) and measured in CO</w:t>
      </w:r>
      <w:r w:rsidRPr="00097A86">
        <w:rPr>
          <w:vertAlign w:val="subscript"/>
        </w:rPr>
        <w:t>2</w:t>
      </w:r>
      <w:r w:rsidR="00097A86">
        <w:noBreakHyphen/>
      </w:r>
      <w:r w:rsidRPr="00097A86">
        <w:t>e tonnes per tonne of the fuel type (</w:t>
      </w:r>
      <w:r w:rsidRPr="00097A86">
        <w:rPr>
          <w:b/>
          <w:i/>
        </w:rPr>
        <w:t>i</w:t>
      </w:r>
      <w:r w:rsidRPr="00097A86">
        <w:t>) flared.</w:t>
      </w:r>
    </w:p>
    <w:p w14:paraId="55460969" w14:textId="77777777" w:rsidR="00702712" w:rsidRPr="00097A86" w:rsidRDefault="00702712" w:rsidP="00702712">
      <w:pPr>
        <w:pStyle w:val="Definition"/>
      </w:pPr>
      <w:r w:rsidRPr="00097A86">
        <w:rPr>
          <w:b/>
          <w:i/>
        </w:rPr>
        <w:t>E</w:t>
      </w:r>
      <w:r w:rsidRPr="00097A86">
        <w:rPr>
          <w:b/>
          <w:i/>
          <w:vertAlign w:val="subscript"/>
        </w:rPr>
        <w:t>ij</w:t>
      </w:r>
      <w:r w:rsidRPr="00097A86">
        <w:t xml:space="preserve"> is the fugitive emissions of gas type (</w:t>
      </w:r>
      <w:r w:rsidRPr="00097A86">
        <w:rPr>
          <w:b/>
          <w:i/>
        </w:rPr>
        <w:t>j</w:t>
      </w:r>
      <w:r w:rsidRPr="00097A86">
        <w:t>), being methane or nitrous oxide, from fuel type (</w:t>
      </w:r>
      <w:r w:rsidRPr="00097A86">
        <w:rPr>
          <w:b/>
          <w:i/>
        </w:rPr>
        <w:t>i</w:t>
      </w:r>
      <w:r w:rsidRPr="00097A86">
        <w:t>) flared</w:t>
      </w:r>
      <w:r w:rsidRPr="00097A86">
        <w:rPr>
          <w:i/>
        </w:rPr>
        <w:t xml:space="preserve"> </w:t>
      </w:r>
      <w:r w:rsidRPr="00097A86">
        <w:t>from crude oil production during the year, measured in CO</w:t>
      </w:r>
      <w:r w:rsidRPr="00097A86">
        <w:rPr>
          <w:vertAlign w:val="subscript"/>
        </w:rPr>
        <w:t>2</w:t>
      </w:r>
      <w:r w:rsidR="00097A86">
        <w:noBreakHyphen/>
      </w:r>
      <w:r w:rsidRPr="00097A86">
        <w:t>e tonnes.</w:t>
      </w:r>
    </w:p>
    <w:p w14:paraId="7AE3DC1B" w14:textId="77777777" w:rsidR="00702712" w:rsidRPr="00097A86" w:rsidRDefault="00702712" w:rsidP="00702712">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127FE548" w14:textId="77777777" w:rsidR="00702712" w:rsidRPr="00097A86" w:rsidRDefault="00702712" w:rsidP="00702712">
      <w:pPr>
        <w:pStyle w:val="Definition"/>
      </w:pPr>
      <w:r w:rsidRPr="00097A86">
        <w:rPr>
          <w:b/>
          <w:i/>
        </w:rPr>
        <w:t>Q</w:t>
      </w:r>
      <w:r w:rsidRPr="00097A86">
        <w:rPr>
          <w:b/>
          <w:i/>
          <w:vertAlign w:val="subscript"/>
        </w:rPr>
        <w:t>h</w:t>
      </w:r>
      <w:r w:rsidRPr="00097A86">
        <w:t xml:space="preserve"> is the total quantity of hydrocarbons (</w:t>
      </w:r>
      <w:r w:rsidRPr="00097A86">
        <w:rPr>
          <w:b/>
          <w:i/>
        </w:rPr>
        <w:t>h</w:t>
      </w:r>
      <w:r w:rsidRPr="00097A86">
        <w:t>) within the fuel type (</w:t>
      </w:r>
      <w:r w:rsidRPr="00097A86">
        <w:rPr>
          <w:b/>
          <w:i/>
        </w:rPr>
        <w:t>i</w:t>
      </w:r>
      <w:r w:rsidRPr="00097A86">
        <w:t>) in crude oil production during the year, measured in tonnes in accordance with Division</w:t>
      </w:r>
      <w:r w:rsidR="00097A86">
        <w:t> </w:t>
      </w:r>
      <w:r w:rsidRPr="00097A86">
        <w:t>2.3.3 for gaseous fuels or Division</w:t>
      </w:r>
      <w:r w:rsidR="00097A86">
        <w:t> </w:t>
      </w:r>
      <w:r w:rsidRPr="00097A86">
        <w:t>2.4.3 for liquid fuels.</w:t>
      </w:r>
    </w:p>
    <w:p w14:paraId="4F8BBD2B" w14:textId="77777777" w:rsidR="0026415B" w:rsidRPr="00097A86" w:rsidRDefault="0026415B" w:rsidP="00D22D3F">
      <w:pPr>
        <w:pStyle w:val="ActHead5"/>
      </w:pPr>
      <w:bookmarkStart w:id="304" w:name="_Toc13233737"/>
      <w:r w:rsidRPr="00097A86">
        <w:rPr>
          <w:rStyle w:val="CharSectno"/>
        </w:rPr>
        <w:lastRenderedPageBreak/>
        <w:t>3.54</w:t>
      </w:r>
      <w:r w:rsidR="00D22D3F" w:rsidRPr="00097A86">
        <w:t xml:space="preserve">  </w:t>
      </w:r>
      <w:r w:rsidRPr="00097A86">
        <w:t>Method 3</w:t>
      </w:r>
      <w:r w:rsidR="00D22D3F" w:rsidRPr="00097A86">
        <w:t>—</w:t>
      </w:r>
      <w:r w:rsidRPr="00097A86">
        <w:t>crude oil production</w:t>
      </w:r>
      <w:bookmarkEnd w:id="304"/>
    </w:p>
    <w:p w14:paraId="3EE4F56F" w14:textId="77777777" w:rsidR="0026415B" w:rsidRPr="00097A86" w:rsidRDefault="0026415B" w:rsidP="00D22D3F">
      <w:pPr>
        <w:pStyle w:val="SubsectionHead"/>
      </w:pPr>
      <w:r w:rsidRPr="00097A86">
        <w:t>Combustion of gaseous fuels (flared) emissions of carbon dioxide</w:t>
      </w:r>
    </w:p>
    <w:p w14:paraId="70A882DB" w14:textId="77777777" w:rsidR="0026415B" w:rsidRPr="00097A86" w:rsidRDefault="0026415B" w:rsidP="00D22D3F">
      <w:pPr>
        <w:pStyle w:val="subsection"/>
      </w:pPr>
      <w:r w:rsidRPr="00097A86">
        <w:tab/>
        <w:t>(1)</w:t>
      </w:r>
      <w:r w:rsidRPr="00097A86">
        <w:tab/>
        <w:t>For subparagraph</w:t>
      </w:r>
      <w:r w:rsidR="00097A86">
        <w:t> </w:t>
      </w:r>
      <w:r w:rsidRPr="00097A86">
        <w:t xml:space="preserve">3.51(1)(a)(iii), method 3 for the combustion of gaseous fuels is the same as method 2, but the carbon dioxide emissions factor </w:t>
      </w:r>
      <w:r w:rsidRPr="00097A86">
        <w:rPr>
          <w:b/>
          <w:i/>
        </w:rPr>
        <w:t>EF</w:t>
      </w:r>
      <w:r w:rsidRPr="00097A86">
        <w:rPr>
          <w:rStyle w:val="charSubscript"/>
          <w:b/>
          <w:i/>
          <w:sz w:val="22"/>
        </w:rPr>
        <w:t>h</w:t>
      </w:r>
      <w:r w:rsidRPr="00097A86">
        <w:t xml:space="preserve"> must be determined in accordance with method 3 in Division</w:t>
      </w:r>
      <w:r w:rsidR="00097A86">
        <w:t> </w:t>
      </w:r>
      <w:r w:rsidRPr="00097A86">
        <w:t>2.3.4.</w:t>
      </w:r>
    </w:p>
    <w:p w14:paraId="0BB0FC1B" w14:textId="77777777" w:rsidR="0026415B" w:rsidRPr="00097A86" w:rsidRDefault="0026415B" w:rsidP="00D22D3F">
      <w:pPr>
        <w:pStyle w:val="SubsectionHead"/>
      </w:pPr>
      <w:r w:rsidRPr="00097A86">
        <w:t>Combustion of liquid fuels (flared) emissions of carbon dioxide</w:t>
      </w:r>
    </w:p>
    <w:p w14:paraId="1FC444B1" w14:textId="77777777" w:rsidR="0026415B" w:rsidRPr="00097A86" w:rsidRDefault="0026415B" w:rsidP="00D22D3F">
      <w:pPr>
        <w:pStyle w:val="subsection"/>
      </w:pPr>
      <w:r w:rsidRPr="00097A86">
        <w:tab/>
        <w:t>(2)</w:t>
      </w:r>
      <w:r w:rsidRPr="00097A86">
        <w:tab/>
        <w:t>For subparagraph</w:t>
      </w:r>
      <w:r w:rsidR="00097A86">
        <w:t> </w:t>
      </w:r>
      <w:r w:rsidRPr="00097A86">
        <w:t xml:space="preserve">3.51(1)(a)(iii), method 3 for the combustion of liquid fuels is the same as method 2, but the carbon dioxide emissions factor </w:t>
      </w:r>
      <w:r w:rsidRPr="00097A86">
        <w:rPr>
          <w:b/>
          <w:i/>
        </w:rPr>
        <w:t>EF</w:t>
      </w:r>
      <w:r w:rsidRPr="00097A86">
        <w:rPr>
          <w:rStyle w:val="charSubscript"/>
          <w:b/>
          <w:i/>
          <w:sz w:val="22"/>
        </w:rPr>
        <w:t>h</w:t>
      </w:r>
      <w:r w:rsidRPr="00097A86">
        <w:t xml:space="preserve"> must be determined in accordance with method 3 in Division</w:t>
      </w:r>
      <w:r w:rsidR="00097A86">
        <w:t> </w:t>
      </w:r>
      <w:r w:rsidRPr="00097A86">
        <w:t>2.4.4.</w:t>
      </w:r>
    </w:p>
    <w:p w14:paraId="478C0C92" w14:textId="77777777" w:rsidR="008508D5" w:rsidRPr="00097A86" w:rsidRDefault="008508D5" w:rsidP="00D22D3F">
      <w:pPr>
        <w:pStyle w:val="ActHead4"/>
      </w:pPr>
      <w:bookmarkStart w:id="305" w:name="_Toc13233738"/>
      <w:r w:rsidRPr="00097A86">
        <w:rPr>
          <w:rStyle w:val="CharSubdNo"/>
        </w:rPr>
        <w:t>Subdivision</w:t>
      </w:r>
      <w:r w:rsidR="00097A86">
        <w:rPr>
          <w:rStyle w:val="CharSubdNo"/>
        </w:rPr>
        <w:t> </w:t>
      </w:r>
      <w:r w:rsidRPr="00097A86">
        <w:rPr>
          <w:rStyle w:val="CharSubdNo"/>
        </w:rPr>
        <w:t>3.3.3.4</w:t>
      </w:r>
      <w:r w:rsidR="00D22D3F" w:rsidRPr="00097A86">
        <w:t>—</w:t>
      </w:r>
      <w:r w:rsidRPr="00097A86">
        <w:rPr>
          <w:rStyle w:val="CharSubdText"/>
        </w:rPr>
        <w:t>Crude oil production (non</w:t>
      </w:r>
      <w:r w:rsidR="00097A86">
        <w:rPr>
          <w:rStyle w:val="CharSubdText"/>
        </w:rPr>
        <w:noBreakHyphen/>
      </w:r>
      <w:r w:rsidRPr="00097A86">
        <w:rPr>
          <w:rStyle w:val="CharSubdText"/>
        </w:rPr>
        <w:t>flared)</w:t>
      </w:r>
      <w:r w:rsidR="00D22D3F" w:rsidRPr="00097A86">
        <w:rPr>
          <w:rStyle w:val="CharSubdText"/>
        </w:rPr>
        <w:t>—</w:t>
      </w:r>
      <w:r w:rsidRPr="00097A86">
        <w:rPr>
          <w:rStyle w:val="CharSubdText"/>
        </w:rPr>
        <w:t>fugitive vent emissions of methane and carbon dioxide</w:t>
      </w:r>
      <w:bookmarkEnd w:id="305"/>
    </w:p>
    <w:p w14:paraId="62CB27CF" w14:textId="77777777" w:rsidR="00B53655" w:rsidRPr="00097A86" w:rsidRDefault="00B53655" w:rsidP="00D22D3F">
      <w:pPr>
        <w:pStyle w:val="ActHead5"/>
      </w:pPr>
      <w:bookmarkStart w:id="306" w:name="_Toc13233739"/>
      <w:r w:rsidRPr="00097A86">
        <w:rPr>
          <w:rStyle w:val="CharSectno"/>
        </w:rPr>
        <w:t>3.56A</w:t>
      </w:r>
      <w:r w:rsidR="00D22D3F" w:rsidRPr="00097A86">
        <w:t xml:space="preserve">  </w:t>
      </w:r>
      <w:r w:rsidRPr="00097A86">
        <w:t>Available methods</w:t>
      </w:r>
      <w:bookmarkEnd w:id="306"/>
    </w:p>
    <w:p w14:paraId="26C32A2F" w14:textId="77777777" w:rsidR="00B53655" w:rsidRPr="00097A86" w:rsidRDefault="00B53655" w:rsidP="00D22D3F">
      <w:pPr>
        <w:pStyle w:val="subsection"/>
      </w:pPr>
      <w:r w:rsidRPr="00097A86">
        <w:tab/>
        <w:t>(1)</w:t>
      </w:r>
      <w:r w:rsidRPr="00097A86">
        <w:tab/>
        <w:t>Subject to section</w:t>
      </w:r>
      <w:r w:rsidR="00097A86">
        <w:t> </w:t>
      </w:r>
      <w:r w:rsidRPr="00097A86">
        <w:t xml:space="preserve">1.18, the methods mentioned in </w:t>
      </w:r>
      <w:r w:rsidR="00097A86">
        <w:t>subsections (</w:t>
      </w:r>
      <w:r w:rsidRPr="00097A86">
        <w:t>2) and (3) must be used for estimating fugitive emissions that result from system upsets, accidents and deliberate releases from process vents during a year from the operation of a facility that is constituted by crude oil production.</w:t>
      </w:r>
    </w:p>
    <w:p w14:paraId="28361BD3" w14:textId="77777777" w:rsidR="00B53655" w:rsidRPr="00097A86" w:rsidRDefault="00B53655" w:rsidP="00D22D3F">
      <w:pPr>
        <w:pStyle w:val="subsection"/>
      </w:pPr>
      <w:r w:rsidRPr="00097A86">
        <w:tab/>
        <w:t>(2)</w:t>
      </w:r>
      <w:r w:rsidRPr="00097A86">
        <w:tab/>
        <w:t>To estimate emissions that result from deliberate releases from process vents, system upsets and accidents during a year from the operation of the facility, one of the following methods must be used:</w:t>
      </w:r>
    </w:p>
    <w:p w14:paraId="3ED643D2" w14:textId="77777777" w:rsidR="00B53655" w:rsidRPr="00097A86" w:rsidRDefault="00B53655" w:rsidP="00D22D3F">
      <w:pPr>
        <w:pStyle w:val="paragraph"/>
      </w:pPr>
      <w:r w:rsidRPr="00097A86">
        <w:tab/>
        <w:t>(a)</w:t>
      </w:r>
      <w:r w:rsidRPr="00097A86">
        <w:tab/>
        <w:t>method 1 under section</w:t>
      </w:r>
      <w:r w:rsidR="00097A86">
        <w:t> </w:t>
      </w:r>
      <w:r w:rsidRPr="00097A86">
        <w:t>3.84;</w:t>
      </w:r>
    </w:p>
    <w:p w14:paraId="3CF4A4C8" w14:textId="77777777" w:rsidR="00B53655" w:rsidRPr="00097A86" w:rsidRDefault="00B53655" w:rsidP="00D22D3F">
      <w:pPr>
        <w:pStyle w:val="paragraph"/>
      </w:pPr>
      <w:r w:rsidRPr="00097A86">
        <w:tab/>
        <w:t>(b)</w:t>
      </w:r>
      <w:r w:rsidRPr="00097A86">
        <w:tab/>
        <w:t>method 4 under Part</w:t>
      </w:r>
      <w:r w:rsidR="00097A86">
        <w:t> </w:t>
      </w:r>
      <w:r w:rsidRPr="00097A86">
        <w:t>1.3.</w:t>
      </w:r>
    </w:p>
    <w:p w14:paraId="1062702A" w14:textId="77777777" w:rsidR="00B53655" w:rsidRPr="00097A86" w:rsidRDefault="00B53655" w:rsidP="00D22D3F">
      <w:pPr>
        <w:pStyle w:val="subsection"/>
      </w:pPr>
      <w:r w:rsidRPr="00097A86">
        <w:tab/>
        <w:t>(3)</w:t>
      </w:r>
      <w:r w:rsidRPr="00097A86">
        <w:tab/>
        <w:t>For estimating incidental emissions that result from deliberate releases from process vents, system upsets and accidents during a year from the operation of the facility, another method may be used that is consistent with the principles mentioned in section</w:t>
      </w:r>
      <w:r w:rsidR="00097A86">
        <w:t> </w:t>
      </w:r>
      <w:r w:rsidRPr="00097A86">
        <w:t>1.13.</w:t>
      </w:r>
    </w:p>
    <w:p w14:paraId="2B75B721" w14:textId="77777777" w:rsidR="00B53655" w:rsidRPr="00097A86" w:rsidRDefault="00D22D3F" w:rsidP="00D22D3F">
      <w:pPr>
        <w:pStyle w:val="notetext"/>
      </w:pPr>
      <w:r w:rsidRPr="00097A86">
        <w:t>Note:</w:t>
      </w:r>
      <w:r w:rsidRPr="00097A86">
        <w:tab/>
      </w:r>
      <w:r w:rsidR="00B53655" w:rsidRPr="00097A86">
        <w:t>There is no method 2 or 3 for this Subdivision.</w:t>
      </w:r>
    </w:p>
    <w:p w14:paraId="5DFF257C" w14:textId="77777777" w:rsidR="003F0D4E" w:rsidRPr="00097A86" w:rsidRDefault="003F0D4E" w:rsidP="0059515D">
      <w:pPr>
        <w:pStyle w:val="ActHead3"/>
        <w:pageBreakBefore/>
      </w:pPr>
      <w:bookmarkStart w:id="307" w:name="_Toc13233740"/>
      <w:r w:rsidRPr="00097A86">
        <w:rPr>
          <w:rStyle w:val="CharDivNo"/>
        </w:rPr>
        <w:lastRenderedPageBreak/>
        <w:t>Division</w:t>
      </w:r>
      <w:r w:rsidR="00097A86">
        <w:rPr>
          <w:rStyle w:val="CharDivNo"/>
        </w:rPr>
        <w:t> </w:t>
      </w:r>
      <w:r w:rsidRPr="00097A86">
        <w:rPr>
          <w:rStyle w:val="CharDivNo"/>
        </w:rPr>
        <w:t>3.3.4</w:t>
      </w:r>
      <w:r w:rsidR="00D22D3F" w:rsidRPr="00097A86">
        <w:t>—</w:t>
      </w:r>
      <w:r w:rsidRPr="00097A86">
        <w:rPr>
          <w:rStyle w:val="CharDivText"/>
        </w:rPr>
        <w:t>Crude oil transport</w:t>
      </w:r>
      <w:bookmarkEnd w:id="307"/>
    </w:p>
    <w:p w14:paraId="204DDE3D" w14:textId="77777777" w:rsidR="00AA5E6B" w:rsidRPr="00097A86" w:rsidRDefault="00AA5E6B" w:rsidP="00D22D3F">
      <w:pPr>
        <w:pStyle w:val="ActHead5"/>
      </w:pPr>
      <w:bookmarkStart w:id="308" w:name="_Toc13233741"/>
      <w:r w:rsidRPr="00097A86">
        <w:rPr>
          <w:rStyle w:val="CharSectno"/>
        </w:rPr>
        <w:t>3.57</w:t>
      </w:r>
      <w:r w:rsidR="00D22D3F" w:rsidRPr="00097A86">
        <w:t xml:space="preserve">  </w:t>
      </w:r>
      <w:r w:rsidRPr="00097A86">
        <w:t>Application</w:t>
      </w:r>
      <w:bookmarkEnd w:id="308"/>
    </w:p>
    <w:p w14:paraId="66539BFB" w14:textId="77777777" w:rsidR="00AA5E6B" w:rsidRPr="00097A86" w:rsidRDefault="00AA5E6B" w:rsidP="00D22D3F">
      <w:pPr>
        <w:pStyle w:val="subsection"/>
      </w:pPr>
      <w:r w:rsidRPr="00097A86">
        <w:tab/>
      </w:r>
      <w:r w:rsidRPr="00097A86">
        <w:tab/>
        <w:t xml:space="preserve">This Division applies to fugitive emissions from crude oil transport activities, other than emissions that are flared. </w:t>
      </w:r>
    </w:p>
    <w:p w14:paraId="3093D383" w14:textId="77777777" w:rsidR="003F0D4E" w:rsidRPr="00097A86" w:rsidRDefault="003F0D4E" w:rsidP="00D22D3F">
      <w:pPr>
        <w:pStyle w:val="ActHead5"/>
      </w:pPr>
      <w:bookmarkStart w:id="309" w:name="_Toc13233742"/>
      <w:r w:rsidRPr="00097A86">
        <w:rPr>
          <w:rStyle w:val="CharSectno"/>
        </w:rPr>
        <w:t>3.58</w:t>
      </w:r>
      <w:r w:rsidR="00D22D3F" w:rsidRPr="00097A86">
        <w:t xml:space="preserve">  </w:t>
      </w:r>
      <w:r w:rsidRPr="00097A86">
        <w:t>Available methods</w:t>
      </w:r>
      <w:bookmarkEnd w:id="309"/>
    </w:p>
    <w:p w14:paraId="32260E93"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w:t>
      </w:r>
      <w:r w:rsidRPr="00097A86">
        <w:rPr>
          <w:i/>
        </w:rPr>
        <w:t xml:space="preserve"> </w:t>
      </w:r>
      <w:r w:rsidRPr="00097A86">
        <w:t>be used for estimating fugitive emissions of methane released during a year from the operation of a facility that is constituted by crude oil transport:</w:t>
      </w:r>
    </w:p>
    <w:p w14:paraId="7909E9E7" w14:textId="77777777" w:rsidR="003F0D4E" w:rsidRPr="00097A86" w:rsidRDefault="003F0D4E" w:rsidP="00D22D3F">
      <w:pPr>
        <w:pStyle w:val="paragraph"/>
      </w:pPr>
      <w:r w:rsidRPr="00097A86">
        <w:tab/>
        <w:t>(a)</w:t>
      </w:r>
      <w:r w:rsidRPr="00097A86">
        <w:tab/>
        <w:t>method 1 under section</w:t>
      </w:r>
      <w:r w:rsidR="00097A86">
        <w:t> </w:t>
      </w:r>
      <w:r w:rsidRPr="00097A86">
        <w:t>3.59;</w:t>
      </w:r>
    </w:p>
    <w:p w14:paraId="0C5F2E38" w14:textId="77777777" w:rsidR="003F0D4E" w:rsidRPr="00097A86" w:rsidRDefault="003F0D4E" w:rsidP="00D22D3F">
      <w:pPr>
        <w:pStyle w:val="paragraph"/>
      </w:pPr>
      <w:r w:rsidRPr="00097A86">
        <w:tab/>
        <w:t>(b)</w:t>
      </w:r>
      <w:r w:rsidRPr="00097A86">
        <w:tab/>
        <w:t>method 2 under section</w:t>
      </w:r>
      <w:r w:rsidR="00097A86">
        <w:t> </w:t>
      </w:r>
      <w:r w:rsidRPr="00097A86">
        <w:t>3.60.</w:t>
      </w:r>
    </w:p>
    <w:p w14:paraId="3A7CD204" w14:textId="77777777" w:rsidR="003F0D4E" w:rsidRPr="00097A86" w:rsidRDefault="00D22D3F" w:rsidP="008E6771">
      <w:pPr>
        <w:pStyle w:val="notetext"/>
      </w:pPr>
      <w:r w:rsidRPr="00097A86">
        <w:t>Note:</w:t>
      </w:r>
      <w:r w:rsidRPr="00097A86">
        <w:tab/>
      </w:r>
      <w:r w:rsidR="003F0D4E" w:rsidRPr="00097A86">
        <w:t>There is no method 3 or 4 for this Division.</w:t>
      </w:r>
    </w:p>
    <w:p w14:paraId="6191BBB8"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2EDB5AA3" w14:textId="77777777" w:rsidR="003F0D4E" w:rsidRPr="00097A86" w:rsidRDefault="003F0D4E" w:rsidP="00D22D3F">
      <w:pPr>
        <w:pStyle w:val="ActHead5"/>
      </w:pPr>
      <w:bookmarkStart w:id="310" w:name="_Toc13233743"/>
      <w:r w:rsidRPr="00097A86">
        <w:rPr>
          <w:rStyle w:val="CharSectno"/>
        </w:rPr>
        <w:t>3.59</w:t>
      </w:r>
      <w:r w:rsidR="00D22D3F" w:rsidRPr="00097A86">
        <w:t xml:space="preserve">  </w:t>
      </w:r>
      <w:r w:rsidRPr="00097A86">
        <w:t>Method 1</w:t>
      </w:r>
      <w:r w:rsidR="00D22D3F" w:rsidRPr="00097A86">
        <w:t>—</w:t>
      </w:r>
      <w:r w:rsidRPr="00097A86">
        <w:t>crude oil transport</w:t>
      </w:r>
      <w:bookmarkEnd w:id="310"/>
    </w:p>
    <w:p w14:paraId="3030DC0F" w14:textId="77777777" w:rsidR="003F0D4E" w:rsidRPr="00097A86" w:rsidRDefault="003F0D4E" w:rsidP="00D22D3F">
      <w:pPr>
        <w:pStyle w:val="subsection"/>
      </w:pPr>
      <w:r w:rsidRPr="00097A86">
        <w:tab/>
      </w:r>
      <w:r w:rsidRPr="00097A86">
        <w:tab/>
        <w:t>Method 1 is:</w:t>
      </w:r>
    </w:p>
    <w:p w14:paraId="5D76F1CE"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F34C345" wp14:editId="4633E9C9">
            <wp:extent cx="1057275" cy="2571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14:paraId="37275B2E" w14:textId="77777777" w:rsidR="003F0D4E" w:rsidRPr="00097A86" w:rsidRDefault="003F0D4E" w:rsidP="00D22D3F">
      <w:pPr>
        <w:pStyle w:val="subsection2"/>
      </w:pPr>
      <w:r w:rsidRPr="00097A86">
        <w:t>where:</w:t>
      </w:r>
    </w:p>
    <w:p w14:paraId="7BE1CA66"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crude oil transport during the year measured in CO</w:t>
      </w:r>
      <w:r w:rsidRPr="00097A86">
        <w:rPr>
          <w:rStyle w:val="charSubscript"/>
          <w:iCs/>
        </w:rPr>
        <w:t>2</w:t>
      </w:r>
      <w:r w:rsidR="00097A86">
        <w:noBreakHyphen/>
      </w:r>
      <w:r w:rsidRPr="00097A86">
        <w:t>e tonnes.</w:t>
      </w:r>
    </w:p>
    <w:p w14:paraId="201EB154" w14:textId="77777777" w:rsidR="003F0D4E" w:rsidRPr="00097A86" w:rsidRDefault="003F0D4E" w:rsidP="00D22D3F">
      <w:pPr>
        <w:pStyle w:val="Definition"/>
      </w:pPr>
      <w:r w:rsidRPr="00097A86">
        <w:rPr>
          <w:b/>
          <w:i/>
        </w:rPr>
        <w:t>Q</w:t>
      </w:r>
      <w:r w:rsidRPr="00097A86">
        <w:rPr>
          <w:b/>
          <w:i/>
          <w:vertAlign w:val="subscript"/>
        </w:rPr>
        <w:t>i</w:t>
      </w:r>
      <w:r w:rsidRPr="00097A86">
        <w:rPr>
          <w:i/>
        </w:rPr>
        <w:t xml:space="preserve"> </w:t>
      </w:r>
      <w:r w:rsidRPr="00097A86">
        <w:t>is the quantity of crude oil (</w:t>
      </w:r>
      <w:r w:rsidRPr="00097A86">
        <w:rPr>
          <w:b/>
          <w:i/>
        </w:rPr>
        <w:t>i</w:t>
      </w:r>
      <w:r w:rsidRPr="00097A86">
        <w:t>) measured in tonnes and transported during the year.</w:t>
      </w:r>
    </w:p>
    <w:p w14:paraId="5485AA2C"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emission factor for methane (</w:t>
      </w:r>
      <w:r w:rsidRPr="00097A86">
        <w:rPr>
          <w:b/>
          <w:i/>
        </w:rPr>
        <w:t>j</w:t>
      </w:r>
      <w:r w:rsidRPr="00097A86">
        <w:t xml:space="preserve">), which is </w:t>
      </w:r>
      <w:r w:rsidR="00E76D51" w:rsidRPr="00097A86">
        <w:t>8.7</w:t>
      </w:r>
      <w:r w:rsidRPr="00097A86">
        <w:t xml:space="preserve"> x 10</w:t>
      </w:r>
      <w:r w:rsidR="00097A86">
        <w:rPr>
          <w:vertAlign w:val="superscript"/>
        </w:rPr>
        <w:noBreakHyphen/>
      </w:r>
      <w:r w:rsidRPr="00097A86">
        <w:rPr>
          <w:vertAlign w:val="superscript"/>
        </w:rPr>
        <w:t xml:space="preserve">4 </w:t>
      </w:r>
      <w:r w:rsidRPr="00097A86">
        <w:rPr>
          <w:bCs/>
        </w:rPr>
        <w:t>tonnes CO</w:t>
      </w:r>
      <w:r w:rsidRPr="00097A86">
        <w:rPr>
          <w:rStyle w:val="charSubscript"/>
          <w:bCs/>
        </w:rPr>
        <w:t>2</w:t>
      </w:r>
      <w:r w:rsidR="00097A86">
        <w:rPr>
          <w:bCs/>
        </w:rPr>
        <w:noBreakHyphen/>
      </w:r>
      <w:r w:rsidRPr="00097A86">
        <w:rPr>
          <w:bCs/>
        </w:rPr>
        <w:t>e per tonnes of crude oil transported during the year</w:t>
      </w:r>
      <w:r w:rsidRPr="00097A86">
        <w:t>.</w:t>
      </w:r>
    </w:p>
    <w:p w14:paraId="26DE3ED7" w14:textId="77777777" w:rsidR="003F0D4E" w:rsidRPr="00097A86" w:rsidRDefault="003F0D4E" w:rsidP="00D22D3F">
      <w:pPr>
        <w:pStyle w:val="ActHead5"/>
      </w:pPr>
      <w:bookmarkStart w:id="311" w:name="_Toc13233744"/>
      <w:r w:rsidRPr="00097A86">
        <w:rPr>
          <w:rStyle w:val="CharSectno"/>
        </w:rPr>
        <w:t>3.60</w:t>
      </w:r>
      <w:r w:rsidR="00D22D3F" w:rsidRPr="00097A86">
        <w:t xml:space="preserve">  </w:t>
      </w:r>
      <w:r w:rsidRPr="00097A86">
        <w:t>Method 2</w:t>
      </w:r>
      <w:r w:rsidR="00D22D3F" w:rsidRPr="00097A86">
        <w:t>—</w:t>
      </w:r>
      <w:r w:rsidRPr="00097A86">
        <w:t>fugitive emissions from crude oil transport</w:t>
      </w:r>
      <w:bookmarkEnd w:id="311"/>
    </w:p>
    <w:p w14:paraId="371D8450" w14:textId="77777777" w:rsidR="003F0D4E" w:rsidRPr="00097A86" w:rsidRDefault="003F0D4E" w:rsidP="00D22D3F">
      <w:pPr>
        <w:pStyle w:val="subsection"/>
      </w:pPr>
      <w:r w:rsidRPr="00097A86">
        <w:tab/>
        <w:t>(1)</w:t>
      </w:r>
      <w:r w:rsidRPr="00097A86">
        <w:tab/>
        <w:t>Method 2 is:</w:t>
      </w:r>
    </w:p>
    <w:p w14:paraId="0269D279"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09C94F1" wp14:editId="220AC1FC">
            <wp:extent cx="14763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p>
    <w:p w14:paraId="30BC2487" w14:textId="77777777" w:rsidR="003F0D4E" w:rsidRPr="00097A86" w:rsidRDefault="003F0D4E" w:rsidP="00D22D3F">
      <w:pPr>
        <w:pStyle w:val="subsection2"/>
      </w:pPr>
      <w:r w:rsidRPr="00097A86">
        <w:t>where:</w:t>
      </w:r>
    </w:p>
    <w:p w14:paraId="3CD22E34"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crude oil transport during the year measured in CO</w:t>
      </w:r>
      <w:r w:rsidRPr="00097A86">
        <w:rPr>
          <w:rStyle w:val="charSubscript"/>
          <w:iCs/>
        </w:rPr>
        <w:t>2</w:t>
      </w:r>
      <w:r w:rsidR="00097A86">
        <w:noBreakHyphen/>
      </w:r>
      <w:r w:rsidRPr="00097A86">
        <w:t>e tonnes.</w:t>
      </w:r>
    </w:p>
    <w:p w14:paraId="66436598"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emissions of methane (</w:t>
      </w:r>
      <w:r w:rsidRPr="00097A86">
        <w:rPr>
          <w:b/>
          <w:i/>
        </w:rPr>
        <w:t>j</w:t>
      </w:r>
      <w:r w:rsidRPr="00097A86">
        <w:t>) measured in tonnes of CO</w:t>
      </w:r>
      <w:r w:rsidRPr="00097A86">
        <w:rPr>
          <w:rStyle w:val="charSubscript"/>
          <w:iCs/>
        </w:rPr>
        <w:t>2</w:t>
      </w:r>
      <w:r w:rsidR="00097A86">
        <w:noBreakHyphen/>
      </w:r>
      <w:r w:rsidRPr="00097A86">
        <w:t>e and estimated by summing up the emissions from each equipment type (</w:t>
      </w:r>
      <w:r w:rsidRPr="00097A86">
        <w:rPr>
          <w:b/>
          <w:i/>
        </w:rPr>
        <w:t>k</w:t>
      </w:r>
      <w:r w:rsidRPr="00097A86">
        <w:t>) listed in sections</w:t>
      </w:r>
      <w:r w:rsidR="00097A86">
        <w:t> </w:t>
      </w:r>
      <w:r w:rsidRPr="00097A86">
        <w:t xml:space="preserve">5 and 6.1.2 of the API Compendium, if the equipment is </w:t>
      </w:r>
      <w:r w:rsidR="007C27DF" w:rsidRPr="00097A86">
        <w:t>used in the crude oil transport</w:t>
      </w:r>
      <w:r w:rsidRPr="00097A86">
        <w:t>.</w:t>
      </w:r>
    </w:p>
    <w:p w14:paraId="429D56DA" w14:textId="77777777" w:rsidR="003F0D4E" w:rsidRPr="00097A86" w:rsidRDefault="003F0D4E" w:rsidP="00D22D3F">
      <w:pPr>
        <w:pStyle w:val="Definition"/>
      </w:pPr>
      <w:r w:rsidRPr="00097A86">
        <w:rPr>
          <w:b/>
          <w:i/>
        </w:rPr>
        <w:lastRenderedPageBreak/>
        <w:t>Q</w:t>
      </w:r>
      <w:r w:rsidRPr="00097A86">
        <w:rPr>
          <w:i/>
          <w:vertAlign w:val="subscript"/>
        </w:rPr>
        <w:t>ik</w:t>
      </w:r>
      <w:r w:rsidRPr="00097A86">
        <w:rPr>
          <w:vertAlign w:val="subscript"/>
        </w:rPr>
        <w:t xml:space="preserve"> </w:t>
      </w:r>
      <w:r w:rsidRPr="00097A86">
        <w:t>is the total of the quantities of crude oil measured in tonnes that pass through each equipment type (</w:t>
      </w:r>
      <w:r w:rsidRPr="00097A86">
        <w:rPr>
          <w:b/>
          <w:i/>
        </w:rPr>
        <w:t>k</w:t>
      </w:r>
      <w:r w:rsidRPr="00097A86">
        <w:t>) listed in sections</w:t>
      </w:r>
      <w:r w:rsidR="00097A86">
        <w:t> </w:t>
      </w:r>
      <w:r w:rsidRPr="00097A86">
        <w:t>5 and 6.1.2 of the API Compendium, if the equipment is used in the crude oil transport.</w:t>
      </w:r>
    </w:p>
    <w:p w14:paraId="2919D2D9" w14:textId="77777777" w:rsidR="003F0D4E" w:rsidRPr="00097A86" w:rsidRDefault="003F0D4E" w:rsidP="00D22D3F">
      <w:pPr>
        <w:pStyle w:val="Definition"/>
      </w:pPr>
      <w:r w:rsidRPr="00097A86">
        <w:rPr>
          <w:b/>
          <w:i/>
        </w:rPr>
        <w:t>EF</w:t>
      </w:r>
      <w:r w:rsidRPr="00097A86">
        <w:rPr>
          <w:b/>
          <w:i/>
          <w:vertAlign w:val="subscript"/>
        </w:rPr>
        <w:t>ijk</w:t>
      </w:r>
      <w:r w:rsidRPr="00097A86">
        <w:rPr>
          <w:b/>
          <w:i/>
        </w:rPr>
        <w:t xml:space="preserve"> </w:t>
      </w:r>
      <w:r w:rsidRPr="00097A86">
        <w:t>is the emission factor of methane (</w:t>
      </w:r>
      <w:r w:rsidRPr="00097A86">
        <w:rPr>
          <w:b/>
          <w:i/>
        </w:rPr>
        <w:t>j</w:t>
      </w:r>
      <w:r w:rsidRPr="00097A86">
        <w:t>) measured in tonnes of CO</w:t>
      </w:r>
      <w:r w:rsidRPr="00097A86">
        <w:rPr>
          <w:rStyle w:val="charSubscript"/>
          <w:iCs/>
        </w:rPr>
        <w:t>2</w:t>
      </w:r>
      <w:r w:rsidR="00097A86">
        <w:noBreakHyphen/>
      </w:r>
      <w:r w:rsidRPr="00097A86">
        <w:t>e per tonne of crude oil that passes though each equipment type (</w:t>
      </w:r>
      <w:r w:rsidRPr="00097A86">
        <w:rPr>
          <w:b/>
          <w:i/>
        </w:rPr>
        <w:t>k</w:t>
      </w:r>
      <w:r w:rsidRPr="00097A86">
        <w:t>) listed in sections</w:t>
      </w:r>
      <w:r w:rsidR="00097A86">
        <w:t> </w:t>
      </w:r>
      <w:r w:rsidRPr="00097A86">
        <w:t>5 and 6.1.2 of the API Compendium, if the equipment is used in the crude oil transport.</w:t>
      </w:r>
    </w:p>
    <w:p w14:paraId="5EBA86A7"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rPr>
          <w:b/>
          <w:i/>
        </w:rPr>
        <w:t xml:space="preserve">, </w:t>
      </w:r>
      <w:r w:rsidRPr="00097A86">
        <w:t>the emission factors for methane (</w:t>
      </w:r>
      <w:r w:rsidRPr="00097A86">
        <w:rPr>
          <w:b/>
          <w:i/>
        </w:rPr>
        <w:t>j</w:t>
      </w:r>
      <w:r w:rsidRPr="00097A86">
        <w:t>), as crude oil passes through equipment type (</w:t>
      </w:r>
      <w:r w:rsidRPr="00097A86">
        <w:rPr>
          <w:b/>
          <w:i/>
        </w:rPr>
        <w:t>k</w:t>
      </w:r>
      <w:r w:rsidRPr="00097A86">
        <w:t>), are:</w:t>
      </w:r>
    </w:p>
    <w:p w14:paraId="34CC9ADF" w14:textId="77777777" w:rsidR="003F0D4E" w:rsidRPr="00097A86" w:rsidRDefault="003F0D4E" w:rsidP="00D22D3F">
      <w:pPr>
        <w:pStyle w:val="paragraph"/>
      </w:pPr>
      <w:r w:rsidRPr="00097A86">
        <w:tab/>
        <w:t>(a)</w:t>
      </w:r>
      <w:r w:rsidRPr="00097A86">
        <w:tab/>
        <w:t>as listed in sections</w:t>
      </w:r>
      <w:r w:rsidR="00097A86">
        <w:t> </w:t>
      </w:r>
      <w:r w:rsidRPr="00097A86">
        <w:t>5 and 6.1.2 of the API Compendium, for the equipment type; or</w:t>
      </w:r>
    </w:p>
    <w:p w14:paraId="285E2D90" w14:textId="77777777" w:rsidR="003F0D4E" w:rsidRPr="00097A86" w:rsidRDefault="003F0D4E" w:rsidP="00D22D3F">
      <w:pPr>
        <w:pStyle w:val="paragraph"/>
      </w:pPr>
      <w:r w:rsidRPr="00097A86">
        <w:tab/>
        <w:t>(b)</w:t>
      </w:r>
      <w:r w:rsidRPr="00097A86">
        <w:tab/>
        <w:t>if the manufacturer of the equipment supplies equipment</w:t>
      </w:r>
      <w:r w:rsidR="00097A86">
        <w:noBreakHyphen/>
      </w:r>
      <w:r w:rsidRPr="00097A86">
        <w:t>specific emission factors for the equipment type</w:t>
      </w:r>
      <w:r w:rsidR="00D22D3F" w:rsidRPr="00097A86">
        <w:t>—</w:t>
      </w:r>
      <w:r w:rsidRPr="00097A86">
        <w:t>those factors.</w:t>
      </w:r>
    </w:p>
    <w:p w14:paraId="4006AAE7" w14:textId="77777777" w:rsidR="003F0D4E" w:rsidRPr="00097A86" w:rsidRDefault="003F0D4E" w:rsidP="00D22D3F">
      <w:pPr>
        <w:pStyle w:val="ActHead3"/>
        <w:pageBreakBefore/>
      </w:pPr>
      <w:bookmarkStart w:id="312" w:name="_Toc13233745"/>
      <w:r w:rsidRPr="00097A86">
        <w:rPr>
          <w:rStyle w:val="CharDivNo"/>
        </w:rPr>
        <w:lastRenderedPageBreak/>
        <w:t>Division</w:t>
      </w:r>
      <w:r w:rsidR="00097A86">
        <w:rPr>
          <w:rStyle w:val="CharDivNo"/>
        </w:rPr>
        <w:t> </w:t>
      </w:r>
      <w:r w:rsidRPr="00097A86">
        <w:rPr>
          <w:rStyle w:val="CharDivNo"/>
        </w:rPr>
        <w:t>3.3.5</w:t>
      </w:r>
      <w:r w:rsidR="00D22D3F" w:rsidRPr="00097A86">
        <w:t>—</w:t>
      </w:r>
      <w:r w:rsidRPr="00097A86">
        <w:rPr>
          <w:rStyle w:val="CharDivText"/>
        </w:rPr>
        <w:t>Crude oil refining</w:t>
      </w:r>
      <w:bookmarkEnd w:id="312"/>
    </w:p>
    <w:p w14:paraId="5AD74598" w14:textId="77777777" w:rsidR="00AB7F6C" w:rsidRPr="00097A86" w:rsidRDefault="00AB7F6C" w:rsidP="00D22D3F">
      <w:pPr>
        <w:pStyle w:val="ActHead5"/>
      </w:pPr>
      <w:bookmarkStart w:id="313" w:name="_Toc13233746"/>
      <w:r w:rsidRPr="00097A86">
        <w:rPr>
          <w:rStyle w:val="CharSectno"/>
        </w:rPr>
        <w:t>3.61</w:t>
      </w:r>
      <w:r w:rsidR="00D22D3F" w:rsidRPr="00097A86">
        <w:t xml:space="preserve">  </w:t>
      </w:r>
      <w:r w:rsidRPr="00097A86">
        <w:t>Application</w:t>
      </w:r>
      <w:bookmarkEnd w:id="313"/>
    </w:p>
    <w:p w14:paraId="0F95C4B8" w14:textId="77777777" w:rsidR="00AB7F6C" w:rsidRPr="00097A86" w:rsidRDefault="00AB7F6C" w:rsidP="00D22D3F">
      <w:pPr>
        <w:pStyle w:val="subsection"/>
      </w:pPr>
      <w:r w:rsidRPr="00097A86">
        <w:tab/>
      </w:r>
      <w:r w:rsidRPr="00097A86">
        <w:tab/>
        <w:t>This Division applies to fugitive emissions from crude oil refining activities, including emissions from flaring at petroleum refineries.</w:t>
      </w:r>
    </w:p>
    <w:p w14:paraId="7FA87AEA" w14:textId="77777777" w:rsidR="003F0D4E" w:rsidRPr="00097A86" w:rsidRDefault="003F0D4E" w:rsidP="00D22D3F">
      <w:pPr>
        <w:pStyle w:val="ActHead5"/>
      </w:pPr>
      <w:bookmarkStart w:id="314" w:name="_Toc13233747"/>
      <w:r w:rsidRPr="00097A86">
        <w:rPr>
          <w:rStyle w:val="CharSectno"/>
        </w:rPr>
        <w:t>3.62</w:t>
      </w:r>
      <w:r w:rsidR="00D22D3F" w:rsidRPr="00097A86">
        <w:t xml:space="preserve">  </w:t>
      </w:r>
      <w:r w:rsidRPr="00097A86">
        <w:t>Available methods</w:t>
      </w:r>
      <w:bookmarkEnd w:id="314"/>
    </w:p>
    <w:p w14:paraId="7D806C6C"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released during a year from the operation of a facility that is constituted by crude oil refining the methods as set out in this section must be used.</w:t>
      </w:r>
    </w:p>
    <w:p w14:paraId="42CC7088" w14:textId="77777777" w:rsidR="003F0D4E" w:rsidRPr="00097A86" w:rsidRDefault="003F0D4E" w:rsidP="00D22D3F">
      <w:pPr>
        <w:pStyle w:val="SubsectionHead"/>
      </w:pPr>
      <w:r w:rsidRPr="00097A86">
        <w:t>Crude oil refining and storage tanks</w:t>
      </w:r>
    </w:p>
    <w:p w14:paraId="3805F0A4" w14:textId="77777777" w:rsidR="003F0D4E" w:rsidRPr="00097A86" w:rsidRDefault="003F0D4E" w:rsidP="00D22D3F">
      <w:pPr>
        <w:pStyle w:val="subsection"/>
      </w:pPr>
      <w:r w:rsidRPr="00097A86">
        <w:tab/>
        <w:t>(2)</w:t>
      </w:r>
      <w:r w:rsidRPr="00097A86">
        <w:tab/>
        <w:t>One of the following methods must be used for estimating fugitive emissions of methane that result from crude oil refining and from storage tanks for crude oil:</w:t>
      </w:r>
    </w:p>
    <w:p w14:paraId="56ED983F" w14:textId="77777777" w:rsidR="003F0D4E" w:rsidRPr="00097A86" w:rsidRDefault="003F0D4E" w:rsidP="00D22D3F">
      <w:pPr>
        <w:pStyle w:val="paragraph"/>
      </w:pPr>
      <w:r w:rsidRPr="00097A86">
        <w:tab/>
        <w:t>(a)</w:t>
      </w:r>
      <w:r w:rsidRPr="00097A86">
        <w:tab/>
        <w:t>method 1 under section</w:t>
      </w:r>
      <w:r w:rsidR="00097A86">
        <w:t> </w:t>
      </w:r>
      <w:r w:rsidRPr="00097A86">
        <w:t>3.63;</w:t>
      </w:r>
    </w:p>
    <w:p w14:paraId="73F68C77" w14:textId="77777777" w:rsidR="003F0D4E" w:rsidRPr="00097A86" w:rsidRDefault="003F0D4E" w:rsidP="00D22D3F">
      <w:pPr>
        <w:pStyle w:val="paragraph"/>
      </w:pPr>
      <w:r w:rsidRPr="00097A86">
        <w:tab/>
        <w:t>(b)</w:t>
      </w:r>
      <w:r w:rsidRPr="00097A86">
        <w:tab/>
        <w:t>method 2 under section</w:t>
      </w:r>
      <w:r w:rsidR="00097A86">
        <w:t> </w:t>
      </w:r>
      <w:r w:rsidRPr="00097A86">
        <w:t>3.64.</w:t>
      </w:r>
    </w:p>
    <w:p w14:paraId="54779A6E" w14:textId="77777777" w:rsidR="003F0D4E" w:rsidRPr="00097A86" w:rsidRDefault="00D22D3F" w:rsidP="00D22D3F">
      <w:pPr>
        <w:pStyle w:val="notetext"/>
      </w:pPr>
      <w:r w:rsidRPr="00097A86">
        <w:t>Note:</w:t>
      </w:r>
      <w:r w:rsidRPr="00097A86">
        <w:tab/>
      </w:r>
      <w:r w:rsidR="003F0D4E" w:rsidRPr="00097A86">
        <w:t xml:space="preserve">There is no method 3 or 4 for </w:t>
      </w:r>
      <w:r w:rsidR="00097A86">
        <w:t>subsection (</w:t>
      </w:r>
      <w:r w:rsidR="003F0D4E" w:rsidRPr="00097A86">
        <w:t>2).</w:t>
      </w:r>
    </w:p>
    <w:p w14:paraId="0B6C48B4" w14:textId="77777777" w:rsidR="003F0D4E" w:rsidRPr="00097A86" w:rsidRDefault="003F0D4E" w:rsidP="00D22D3F">
      <w:pPr>
        <w:pStyle w:val="SubsectionHead"/>
      </w:pPr>
      <w:r w:rsidRPr="00097A86">
        <w:t>Process vents, system upsets and accidents</w:t>
      </w:r>
    </w:p>
    <w:p w14:paraId="542DD397" w14:textId="77777777" w:rsidR="003F0D4E" w:rsidRPr="00097A86" w:rsidRDefault="003F0D4E" w:rsidP="00D22D3F">
      <w:pPr>
        <w:pStyle w:val="subsection"/>
      </w:pPr>
      <w:r w:rsidRPr="00097A86">
        <w:tab/>
        <w:t>(3)</w:t>
      </w:r>
      <w:r w:rsidRPr="00097A86">
        <w:tab/>
        <w:t>One of the following methods must be used for estimating fugitive emissions of each type of gas, being carbon dioxide, methane and nitrous oxide, that result from deliberate releases from process vents, system upsets and accidents:</w:t>
      </w:r>
    </w:p>
    <w:p w14:paraId="7D1B3C84" w14:textId="77777777" w:rsidR="003F0D4E" w:rsidRPr="00097A86" w:rsidRDefault="003F0D4E" w:rsidP="00D22D3F">
      <w:pPr>
        <w:pStyle w:val="paragraph"/>
      </w:pPr>
      <w:r w:rsidRPr="00097A86">
        <w:tab/>
        <w:t>(a)</w:t>
      </w:r>
      <w:r w:rsidRPr="00097A86">
        <w:tab/>
        <w:t>method 1 under section</w:t>
      </w:r>
      <w:r w:rsidR="00097A86">
        <w:t> </w:t>
      </w:r>
      <w:r w:rsidRPr="00097A86">
        <w:t>3.65;</w:t>
      </w:r>
    </w:p>
    <w:p w14:paraId="18ED8D0A" w14:textId="77777777" w:rsidR="003F0D4E" w:rsidRPr="00097A86" w:rsidRDefault="003F0D4E" w:rsidP="00D22D3F">
      <w:pPr>
        <w:pStyle w:val="paragraph"/>
      </w:pPr>
      <w:r w:rsidRPr="00097A86">
        <w:tab/>
        <w:t>(b)</w:t>
      </w:r>
      <w:r w:rsidRPr="00097A86">
        <w:tab/>
        <w:t>method 4 under section</w:t>
      </w:r>
      <w:r w:rsidR="00097A86">
        <w:t> </w:t>
      </w:r>
      <w:r w:rsidRPr="00097A86">
        <w:t>3.66.</w:t>
      </w:r>
    </w:p>
    <w:p w14:paraId="6C48807D" w14:textId="77777777" w:rsidR="003F0D4E" w:rsidRPr="00097A86" w:rsidRDefault="00D22D3F" w:rsidP="00D22D3F">
      <w:pPr>
        <w:pStyle w:val="notetext"/>
      </w:pPr>
      <w:r w:rsidRPr="00097A86">
        <w:t>Note:</w:t>
      </w:r>
      <w:r w:rsidRPr="00097A86">
        <w:tab/>
      </w:r>
      <w:r w:rsidR="003F0D4E" w:rsidRPr="00097A86">
        <w:t xml:space="preserve">There is no method 2 or 3 for </w:t>
      </w:r>
      <w:r w:rsidR="00097A86">
        <w:t>subsection (</w:t>
      </w:r>
      <w:r w:rsidR="003F0D4E" w:rsidRPr="00097A86">
        <w:t>3).</w:t>
      </w:r>
    </w:p>
    <w:p w14:paraId="34761CAB" w14:textId="77777777" w:rsidR="003F0D4E" w:rsidRPr="00097A86" w:rsidRDefault="003F0D4E" w:rsidP="00D22D3F">
      <w:pPr>
        <w:pStyle w:val="SubsectionHead"/>
      </w:pPr>
      <w:r w:rsidRPr="00097A86">
        <w:t>Flaring</w:t>
      </w:r>
    </w:p>
    <w:p w14:paraId="32369D45" w14:textId="77777777" w:rsidR="003F0D4E" w:rsidRPr="00097A86" w:rsidRDefault="003F0D4E" w:rsidP="00D22D3F">
      <w:pPr>
        <w:pStyle w:val="subsection"/>
      </w:pPr>
      <w:r w:rsidRPr="00097A86">
        <w:tab/>
        <w:t>(4)</w:t>
      </w:r>
      <w:r w:rsidRPr="00097A86">
        <w:tab/>
        <w:t>For estimating emissions released from gas flared from crude oil refining:</w:t>
      </w:r>
    </w:p>
    <w:p w14:paraId="743C2F0A" w14:textId="77777777" w:rsidR="003F0D4E" w:rsidRPr="00097A86" w:rsidRDefault="003F0D4E" w:rsidP="00D22D3F">
      <w:pPr>
        <w:pStyle w:val="paragraph"/>
      </w:pPr>
      <w:r w:rsidRPr="00097A86">
        <w:tab/>
        <w:t>(a)</w:t>
      </w:r>
      <w:r w:rsidRPr="00097A86">
        <w:tab/>
        <w:t>one of the following methods must be used for estimating emissions of carbon dioxide released:</w:t>
      </w:r>
    </w:p>
    <w:p w14:paraId="43E57DB5" w14:textId="77777777" w:rsidR="003F0D4E" w:rsidRPr="00097A86" w:rsidRDefault="003F0D4E" w:rsidP="00D22D3F">
      <w:pPr>
        <w:pStyle w:val="paragraphsub"/>
      </w:pPr>
      <w:r w:rsidRPr="00097A86">
        <w:tab/>
        <w:t>(i)</w:t>
      </w:r>
      <w:r w:rsidRPr="00097A86">
        <w:tab/>
        <w:t>method 1 under section</w:t>
      </w:r>
      <w:r w:rsidR="00097A86">
        <w:t> </w:t>
      </w:r>
      <w:r w:rsidRPr="00097A86">
        <w:t>3.67;</w:t>
      </w:r>
    </w:p>
    <w:p w14:paraId="561451F5" w14:textId="77777777" w:rsidR="003F0D4E" w:rsidRPr="00097A86" w:rsidRDefault="003F0D4E" w:rsidP="00D22D3F">
      <w:pPr>
        <w:pStyle w:val="paragraphsub"/>
      </w:pPr>
      <w:r w:rsidRPr="00097A86">
        <w:tab/>
        <w:t>(ii)</w:t>
      </w:r>
      <w:r w:rsidRPr="00097A86">
        <w:tab/>
        <w:t>method 2 under section</w:t>
      </w:r>
      <w:r w:rsidR="00097A86">
        <w:t> </w:t>
      </w:r>
      <w:r w:rsidRPr="00097A86">
        <w:t>3.68;</w:t>
      </w:r>
    </w:p>
    <w:p w14:paraId="64990F99" w14:textId="77777777" w:rsidR="003F0D4E" w:rsidRPr="00097A86" w:rsidRDefault="003F0D4E" w:rsidP="00D22D3F">
      <w:pPr>
        <w:pStyle w:val="paragraphsub"/>
      </w:pPr>
      <w:r w:rsidRPr="00097A86">
        <w:tab/>
        <w:t>(iii)</w:t>
      </w:r>
      <w:r w:rsidRPr="00097A86">
        <w:tab/>
        <w:t>method 3 under section</w:t>
      </w:r>
      <w:r w:rsidR="00097A86">
        <w:t> </w:t>
      </w:r>
      <w:r w:rsidRPr="00097A86">
        <w:t>3.69; and</w:t>
      </w:r>
    </w:p>
    <w:p w14:paraId="5EF85A7D" w14:textId="77777777" w:rsidR="005A6DC3" w:rsidRPr="00097A86" w:rsidRDefault="005A6DC3" w:rsidP="005A6DC3">
      <w:pPr>
        <w:pStyle w:val="paragraph"/>
      </w:pPr>
      <w:r w:rsidRPr="00097A86">
        <w:tab/>
        <w:t>(b)</w:t>
      </w:r>
      <w:r w:rsidRPr="00097A86">
        <w:tab/>
        <w:t>if estimating emissions of methane released—one of the following methods must be used:</w:t>
      </w:r>
    </w:p>
    <w:p w14:paraId="78B45B8D" w14:textId="77777777" w:rsidR="005A6DC3" w:rsidRPr="00097A86" w:rsidRDefault="005A6DC3" w:rsidP="005A6DC3">
      <w:pPr>
        <w:pStyle w:val="paragraphsub"/>
      </w:pPr>
      <w:r w:rsidRPr="00097A86">
        <w:tab/>
        <w:t>(i)</w:t>
      </w:r>
      <w:r w:rsidRPr="00097A86">
        <w:tab/>
        <w:t>method 1 under section</w:t>
      </w:r>
      <w:r w:rsidR="00097A86">
        <w:t> </w:t>
      </w:r>
      <w:r w:rsidRPr="00097A86">
        <w:t>3.67;</w:t>
      </w:r>
    </w:p>
    <w:p w14:paraId="3A2930E0" w14:textId="77777777" w:rsidR="005A6DC3" w:rsidRPr="00097A86" w:rsidRDefault="005A6DC3" w:rsidP="005A6DC3">
      <w:pPr>
        <w:pStyle w:val="paragraphsub"/>
      </w:pPr>
      <w:r w:rsidRPr="00097A86">
        <w:tab/>
        <w:t>(ii)</w:t>
      </w:r>
      <w:r w:rsidRPr="00097A86">
        <w:tab/>
        <w:t>method 2A under section</w:t>
      </w:r>
      <w:r w:rsidR="00097A86">
        <w:t> </w:t>
      </w:r>
      <w:r w:rsidRPr="00097A86">
        <w:t>3.68A; and</w:t>
      </w:r>
    </w:p>
    <w:p w14:paraId="5944D691" w14:textId="77777777" w:rsidR="005A6DC3" w:rsidRPr="00097A86" w:rsidRDefault="005A6DC3" w:rsidP="005A6DC3">
      <w:pPr>
        <w:pStyle w:val="paragraph"/>
      </w:pPr>
      <w:r w:rsidRPr="00097A86">
        <w:tab/>
        <w:t>(c)</w:t>
      </w:r>
      <w:r w:rsidRPr="00097A86">
        <w:tab/>
        <w:t>if estimating emissions of nitrous oxide released—one of the following methods must be used:</w:t>
      </w:r>
    </w:p>
    <w:p w14:paraId="40E866AC" w14:textId="77777777" w:rsidR="005A6DC3" w:rsidRPr="00097A86" w:rsidRDefault="005A6DC3" w:rsidP="005A6DC3">
      <w:pPr>
        <w:pStyle w:val="paragraphsub"/>
      </w:pPr>
      <w:r w:rsidRPr="00097A86">
        <w:tab/>
        <w:t>(i)</w:t>
      </w:r>
      <w:r w:rsidRPr="00097A86">
        <w:tab/>
        <w:t>method 1 under section</w:t>
      </w:r>
      <w:r w:rsidR="00097A86">
        <w:t> </w:t>
      </w:r>
      <w:r w:rsidRPr="00097A86">
        <w:t>3.67;</w:t>
      </w:r>
    </w:p>
    <w:p w14:paraId="2EB7A0D6" w14:textId="77777777" w:rsidR="005A6DC3" w:rsidRPr="00097A86" w:rsidRDefault="005A6DC3" w:rsidP="005A6DC3">
      <w:pPr>
        <w:pStyle w:val="paragraphsub"/>
      </w:pPr>
      <w:r w:rsidRPr="00097A86">
        <w:tab/>
        <w:t>(ii)</w:t>
      </w:r>
      <w:r w:rsidRPr="00097A86">
        <w:tab/>
        <w:t>method 2A under section</w:t>
      </w:r>
      <w:r w:rsidR="00097A86">
        <w:t> </w:t>
      </w:r>
      <w:r w:rsidRPr="00097A86">
        <w:t>3.68A.</w:t>
      </w:r>
    </w:p>
    <w:p w14:paraId="55A20F1A" w14:textId="77777777" w:rsidR="003F0D4E" w:rsidRPr="00097A86" w:rsidRDefault="00D22D3F" w:rsidP="00D22D3F">
      <w:pPr>
        <w:pStyle w:val="notetext"/>
      </w:pPr>
      <w:r w:rsidRPr="00097A86">
        <w:lastRenderedPageBreak/>
        <w:t>Note:</w:t>
      </w:r>
      <w:r w:rsidRPr="00097A86">
        <w:tab/>
      </w:r>
      <w:r w:rsidR="003F0D4E" w:rsidRPr="00097A86">
        <w:t>The flaring of gas from crude oil refining releases emissions of carbon dioxide, methane and nitrous oxide. The reference to gas type (</w:t>
      </w:r>
      <w:r w:rsidR="003F0D4E" w:rsidRPr="00097A86">
        <w:rPr>
          <w:b/>
          <w:i/>
        </w:rPr>
        <w:t>j</w:t>
      </w:r>
      <w:r w:rsidR="003F0D4E" w:rsidRPr="00097A86">
        <w:t>) in method 1 under section</w:t>
      </w:r>
      <w:r w:rsidR="00097A86">
        <w:t> </w:t>
      </w:r>
      <w:r w:rsidR="003F0D4E" w:rsidRPr="00097A86">
        <w:t xml:space="preserve">3.67 is a reference to these gases. The same formula is used to estimate emissions of each of these gases. </w:t>
      </w:r>
      <w:r w:rsidR="0026415B" w:rsidRPr="00097A86">
        <w:t>There is no method 4 for emissions of carbon dioxide and no method 2, 3 or 4 for emissions of nitrous oxide or methane.</w:t>
      </w:r>
    </w:p>
    <w:p w14:paraId="452A3EB9" w14:textId="77777777" w:rsidR="003F0D4E" w:rsidRPr="00097A86" w:rsidRDefault="003F0D4E" w:rsidP="00D22D3F">
      <w:pPr>
        <w:pStyle w:val="subsection"/>
      </w:pPr>
      <w:r w:rsidRPr="00097A86">
        <w:tab/>
        <w:t>(5)</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00B516BA" w14:textId="77777777" w:rsidR="003F0D4E" w:rsidRPr="00097A86" w:rsidRDefault="003F0D4E" w:rsidP="00D22D3F">
      <w:pPr>
        <w:pStyle w:val="ActHead4"/>
      </w:pPr>
      <w:bookmarkStart w:id="315" w:name="_Toc13233748"/>
      <w:r w:rsidRPr="00097A86">
        <w:rPr>
          <w:rStyle w:val="CharSubdNo"/>
        </w:rPr>
        <w:t>Subdivision</w:t>
      </w:r>
      <w:r w:rsidR="00097A86">
        <w:rPr>
          <w:rStyle w:val="CharSubdNo"/>
        </w:rPr>
        <w:t> </w:t>
      </w:r>
      <w:r w:rsidRPr="00097A86">
        <w:rPr>
          <w:rStyle w:val="CharSubdNo"/>
        </w:rPr>
        <w:t>3.3.5.1</w:t>
      </w:r>
      <w:r w:rsidR="00D22D3F" w:rsidRPr="00097A86">
        <w:t>—</w:t>
      </w:r>
      <w:r w:rsidRPr="00097A86">
        <w:rPr>
          <w:rStyle w:val="CharSubdText"/>
        </w:rPr>
        <w:t>Fugitive emissions from crude oil refining and from storage tanks for crude oil</w:t>
      </w:r>
      <w:bookmarkEnd w:id="315"/>
    </w:p>
    <w:p w14:paraId="3E35970A" w14:textId="77777777" w:rsidR="003F0D4E" w:rsidRPr="00097A86" w:rsidRDefault="003F0D4E" w:rsidP="00D22D3F">
      <w:pPr>
        <w:pStyle w:val="ActHead5"/>
      </w:pPr>
      <w:bookmarkStart w:id="316" w:name="_Toc13233749"/>
      <w:r w:rsidRPr="00097A86">
        <w:rPr>
          <w:rStyle w:val="CharSectno"/>
        </w:rPr>
        <w:t>3.63</w:t>
      </w:r>
      <w:r w:rsidR="00D22D3F" w:rsidRPr="00097A86">
        <w:t xml:space="preserve">  </w:t>
      </w:r>
      <w:r w:rsidRPr="00097A86">
        <w:t>Method 1</w:t>
      </w:r>
      <w:r w:rsidR="00D22D3F" w:rsidRPr="00097A86">
        <w:t>—</w:t>
      </w:r>
      <w:r w:rsidRPr="00097A86">
        <w:t>crude oil refining and storage tanks for crude oil</w:t>
      </w:r>
      <w:bookmarkEnd w:id="316"/>
    </w:p>
    <w:p w14:paraId="28F040B0" w14:textId="77777777" w:rsidR="003F0D4E" w:rsidRPr="00097A86" w:rsidRDefault="003F0D4E" w:rsidP="00D22D3F">
      <w:pPr>
        <w:pStyle w:val="subsection"/>
      </w:pPr>
      <w:r w:rsidRPr="00097A86">
        <w:tab/>
      </w:r>
      <w:r w:rsidRPr="00097A86">
        <w:tab/>
        <w:t>Method 1 is:</w:t>
      </w:r>
    </w:p>
    <w:p w14:paraId="23EE6E04"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1C0B19F" wp14:editId="286AE8C5">
            <wp:extent cx="1276350" cy="2190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76350" cy="219075"/>
                    </a:xfrm>
                    <a:prstGeom prst="rect">
                      <a:avLst/>
                    </a:prstGeom>
                    <a:noFill/>
                    <a:ln>
                      <a:noFill/>
                    </a:ln>
                  </pic:spPr>
                </pic:pic>
              </a:graphicData>
            </a:graphic>
          </wp:inline>
        </w:drawing>
      </w:r>
    </w:p>
    <w:p w14:paraId="0CFF4D46" w14:textId="77777777" w:rsidR="003F0D4E" w:rsidRPr="00097A86" w:rsidRDefault="003F0D4E" w:rsidP="00D22D3F">
      <w:pPr>
        <w:pStyle w:val="subsection2"/>
      </w:pPr>
      <w:r w:rsidRPr="00097A86">
        <w:t>where:</w:t>
      </w:r>
    </w:p>
    <w:p w14:paraId="39442449" w14:textId="77777777" w:rsidR="003F0D4E" w:rsidRPr="00097A86" w:rsidRDefault="003F0D4E" w:rsidP="00D22D3F">
      <w:pPr>
        <w:pStyle w:val="Definition"/>
      </w:pPr>
      <w:r w:rsidRPr="00097A86">
        <w:rPr>
          <w:b/>
          <w:i/>
        </w:rPr>
        <w:t>E</w:t>
      </w:r>
      <w:r w:rsidRPr="00097A86">
        <w:rPr>
          <w:b/>
          <w:i/>
          <w:vertAlign w:val="subscript"/>
        </w:rPr>
        <w:t xml:space="preserve">ij </w:t>
      </w:r>
      <w:r w:rsidRPr="00097A86">
        <w:t>is the fugitive emissions of methane (</w:t>
      </w:r>
      <w:r w:rsidRPr="00097A86">
        <w:rPr>
          <w:b/>
          <w:i/>
        </w:rPr>
        <w:t>j</w:t>
      </w:r>
      <w:r w:rsidRPr="00097A86">
        <w:t>) from fuel type (</w:t>
      </w:r>
      <w:r w:rsidRPr="00097A86">
        <w:rPr>
          <w:b/>
          <w:i/>
        </w:rPr>
        <w:t>i</w:t>
      </w:r>
      <w:r w:rsidRPr="00097A86">
        <w:t>) being crude oil refined or stored in tanks during the year measured in CO</w:t>
      </w:r>
      <w:r w:rsidRPr="00097A86">
        <w:rPr>
          <w:rStyle w:val="charSubscript"/>
          <w:iCs/>
        </w:rPr>
        <w:t>2</w:t>
      </w:r>
      <w:r w:rsidR="00097A86">
        <w:noBreakHyphen/>
      </w:r>
      <w:r w:rsidRPr="00097A86">
        <w:t>e tonnes.</w:t>
      </w:r>
    </w:p>
    <w:p w14:paraId="0630E4A8" w14:textId="77777777" w:rsidR="003F0D4E" w:rsidRPr="00097A86" w:rsidRDefault="003F0D4E" w:rsidP="00D22D3F">
      <w:pPr>
        <w:pStyle w:val="Definition"/>
      </w:pPr>
      <w:r w:rsidRPr="00097A86">
        <w:rPr>
          <w:b/>
          <w:i/>
        </w:rPr>
        <w:t>∑</w:t>
      </w:r>
      <w:r w:rsidRPr="00097A86">
        <w:rPr>
          <w:b/>
          <w:i/>
          <w:vertAlign w:val="subscript"/>
        </w:rPr>
        <w:t>I</w:t>
      </w:r>
      <w:r w:rsidRPr="00097A86">
        <w:rPr>
          <w:rFonts w:ascii="Arial (W1)" w:hAnsi="Arial (W1)"/>
          <w:b/>
          <w:i/>
          <w:vertAlign w:val="subscript"/>
        </w:rPr>
        <w:t xml:space="preserve"> </w:t>
      </w:r>
      <w:r w:rsidRPr="00097A86">
        <w:t>is the sum of emissions of methane (</w:t>
      </w:r>
      <w:r w:rsidRPr="00097A86">
        <w:rPr>
          <w:b/>
          <w:i/>
        </w:rPr>
        <w:t>j</w:t>
      </w:r>
      <w:r w:rsidRPr="00097A86">
        <w:t>) released during refining and from storage tanks during the year.</w:t>
      </w:r>
    </w:p>
    <w:p w14:paraId="1CC0B63C" w14:textId="77777777" w:rsidR="003F0D4E" w:rsidRPr="00097A86" w:rsidRDefault="003F0D4E" w:rsidP="00D22D3F">
      <w:pPr>
        <w:pStyle w:val="Definition"/>
      </w:pPr>
      <w:r w:rsidRPr="00097A86">
        <w:rPr>
          <w:b/>
          <w:i/>
        </w:rPr>
        <w:t>Q</w:t>
      </w:r>
      <w:r w:rsidRPr="00097A86">
        <w:rPr>
          <w:vertAlign w:val="subscript"/>
        </w:rPr>
        <w:t xml:space="preserve">i </w:t>
      </w:r>
      <w:r w:rsidRPr="00097A86">
        <w:t>is the quantity of crude oil (</w:t>
      </w:r>
      <w:r w:rsidRPr="00097A86">
        <w:rPr>
          <w:b/>
          <w:i/>
        </w:rPr>
        <w:t>i</w:t>
      </w:r>
      <w:r w:rsidRPr="00097A86">
        <w:t>) refined or stored in tanks during the year measured in tonnes.</w:t>
      </w:r>
    </w:p>
    <w:p w14:paraId="281BCDED" w14:textId="77777777" w:rsidR="003F0D4E" w:rsidRPr="00097A86" w:rsidRDefault="003F0D4E" w:rsidP="00D22D3F">
      <w:pPr>
        <w:pStyle w:val="Definition"/>
        <w:rPr>
          <w:i/>
        </w:rPr>
      </w:pPr>
      <w:r w:rsidRPr="00097A86">
        <w:rPr>
          <w:b/>
          <w:i/>
        </w:rPr>
        <w:t>EF</w:t>
      </w:r>
      <w:r w:rsidRPr="00097A86">
        <w:rPr>
          <w:b/>
          <w:i/>
          <w:vertAlign w:val="subscript"/>
        </w:rPr>
        <w:t>ij</w:t>
      </w:r>
      <w:r w:rsidRPr="00097A86">
        <w:rPr>
          <w:b/>
          <w:i/>
        </w:rPr>
        <w:t xml:space="preserve"> </w:t>
      </w:r>
      <w:r w:rsidRPr="00097A86">
        <w:t>is the emission factor for methane (</w:t>
      </w:r>
      <w:r w:rsidRPr="00097A86">
        <w:rPr>
          <w:b/>
          <w:i/>
        </w:rPr>
        <w:t>j</w:t>
      </w:r>
      <w:r w:rsidRPr="00097A86">
        <w:t xml:space="preserve">) being </w:t>
      </w:r>
      <w:r w:rsidR="00E76D51" w:rsidRPr="00097A86">
        <w:t>8.5</w:t>
      </w:r>
      <w:r w:rsidRPr="00097A86">
        <w:t xml:space="preserve"> x 10</w:t>
      </w:r>
      <w:r w:rsidR="00097A86">
        <w:rPr>
          <w:vertAlign w:val="superscript"/>
        </w:rPr>
        <w:noBreakHyphen/>
      </w:r>
      <w:r w:rsidRPr="00097A86">
        <w:rPr>
          <w:vertAlign w:val="superscript"/>
        </w:rPr>
        <w:t xml:space="preserve">4 </w:t>
      </w:r>
      <w:r w:rsidRPr="00097A86">
        <w:t>tonnes CO</w:t>
      </w:r>
      <w:r w:rsidRPr="00097A86">
        <w:rPr>
          <w:rStyle w:val="charSubscript"/>
        </w:rPr>
        <w:t>2</w:t>
      </w:r>
      <w:r w:rsidR="00097A86">
        <w:noBreakHyphen/>
      </w:r>
      <w:r w:rsidRPr="00097A86">
        <w:t xml:space="preserve">e per tonne of crude oil refined and </w:t>
      </w:r>
      <w:r w:rsidR="00E76D51" w:rsidRPr="00097A86">
        <w:t>1.5</w:t>
      </w:r>
      <w:r w:rsidRPr="00097A86">
        <w:t xml:space="preserve"> x 10</w:t>
      </w:r>
      <w:r w:rsidR="00097A86">
        <w:rPr>
          <w:vertAlign w:val="superscript"/>
        </w:rPr>
        <w:noBreakHyphen/>
      </w:r>
      <w:r w:rsidRPr="00097A86">
        <w:rPr>
          <w:vertAlign w:val="superscript"/>
        </w:rPr>
        <w:t xml:space="preserve">4 </w:t>
      </w:r>
      <w:r w:rsidRPr="00097A86">
        <w:t>tonnes CO</w:t>
      </w:r>
      <w:r w:rsidRPr="00097A86">
        <w:rPr>
          <w:rStyle w:val="charSubscript"/>
        </w:rPr>
        <w:t>2</w:t>
      </w:r>
      <w:r w:rsidR="00097A86">
        <w:noBreakHyphen/>
      </w:r>
      <w:r w:rsidRPr="00097A86">
        <w:t>e per tonne of crude oil stored in tanks</w:t>
      </w:r>
      <w:r w:rsidRPr="00097A86">
        <w:rPr>
          <w:i/>
        </w:rPr>
        <w:t>.</w:t>
      </w:r>
    </w:p>
    <w:p w14:paraId="4DB7C46E" w14:textId="77777777" w:rsidR="003F0D4E" w:rsidRPr="00097A86" w:rsidRDefault="003F0D4E" w:rsidP="00D22D3F">
      <w:pPr>
        <w:pStyle w:val="ActHead5"/>
      </w:pPr>
      <w:bookmarkStart w:id="317" w:name="_Toc13233750"/>
      <w:r w:rsidRPr="00097A86">
        <w:rPr>
          <w:rStyle w:val="CharSectno"/>
        </w:rPr>
        <w:t>3.64</w:t>
      </w:r>
      <w:r w:rsidR="00D22D3F" w:rsidRPr="00097A86">
        <w:t xml:space="preserve">  </w:t>
      </w:r>
      <w:r w:rsidRPr="00097A86">
        <w:t>Method 2</w:t>
      </w:r>
      <w:r w:rsidR="00D22D3F" w:rsidRPr="00097A86">
        <w:t>—</w:t>
      </w:r>
      <w:r w:rsidRPr="00097A86">
        <w:t>crude oil refining and storage tanks for crude oil</w:t>
      </w:r>
      <w:bookmarkEnd w:id="317"/>
    </w:p>
    <w:p w14:paraId="1DF786CE" w14:textId="77777777" w:rsidR="003F0D4E" w:rsidRPr="00097A86" w:rsidRDefault="003F0D4E" w:rsidP="00D22D3F">
      <w:pPr>
        <w:pStyle w:val="subsection"/>
      </w:pPr>
      <w:r w:rsidRPr="00097A86">
        <w:tab/>
        <w:t>(1)</w:t>
      </w:r>
      <w:r w:rsidRPr="00097A86">
        <w:tab/>
        <w:t>Method 2 is:</w:t>
      </w:r>
    </w:p>
    <w:p w14:paraId="3BFB5451"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28709666" wp14:editId="02468FD0">
            <wp:extent cx="1495425" cy="2571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p>
    <w:p w14:paraId="33DE8C35" w14:textId="77777777" w:rsidR="003F0D4E" w:rsidRPr="00097A86" w:rsidRDefault="003F0D4E" w:rsidP="00D22D3F">
      <w:pPr>
        <w:pStyle w:val="subsection2"/>
      </w:pPr>
      <w:r w:rsidRPr="00097A86">
        <w:t>where:</w:t>
      </w:r>
    </w:p>
    <w:p w14:paraId="7BB58C7D"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crude oil refining and from storage tanks during the year measured in CO</w:t>
      </w:r>
      <w:r w:rsidRPr="00097A86">
        <w:rPr>
          <w:rStyle w:val="charSubscript"/>
          <w:iCs/>
        </w:rPr>
        <w:t>2</w:t>
      </w:r>
      <w:r w:rsidR="00097A86">
        <w:noBreakHyphen/>
      </w:r>
      <w:r w:rsidRPr="00097A86">
        <w:t>e tonnes.</w:t>
      </w:r>
    </w:p>
    <w:p w14:paraId="7EDBA34C"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emissions of methane (</w:t>
      </w:r>
      <w:r w:rsidRPr="00097A86">
        <w:rPr>
          <w:b/>
          <w:i/>
        </w:rPr>
        <w:t>j</w:t>
      </w:r>
      <w:r w:rsidRPr="00097A86">
        <w:t>) measured in tonnes of CO</w:t>
      </w:r>
      <w:r w:rsidRPr="00097A86">
        <w:rPr>
          <w:rStyle w:val="charSubscript"/>
          <w:iCs/>
        </w:rPr>
        <w:t>2</w:t>
      </w:r>
      <w:r w:rsidR="00097A86">
        <w:noBreakHyphen/>
      </w:r>
      <w:r w:rsidRPr="00097A86">
        <w:t>e estimated by summing up the emissions released from each equipment types (</w:t>
      </w:r>
      <w:r w:rsidRPr="00097A86">
        <w:rPr>
          <w:b/>
          <w:i/>
        </w:rPr>
        <w:t>k</w:t>
      </w:r>
      <w:r w:rsidRPr="00097A86">
        <w:t>) listed in sections</w:t>
      </w:r>
      <w:r w:rsidR="00097A86">
        <w:t> </w:t>
      </w:r>
      <w:r w:rsidRPr="00097A86">
        <w:t>5 and 6.1.2 of the API Compendium, if the equipment is used in the crude oil refining and in the storage tanks.</w:t>
      </w:r>
    </w:p>
    <w:p w14:paraId="4B149F9B" w14:textId="77777777" w:rsidR="003F0D4E" w:rsidRPr="00097A86" w:rsidRDefault="003F0D4E" w:rsidP="00D22D3F">
      <w:pPr>
        <w:pStyle w:val="Definition"/>
      </w:pPr>
      <w:r w:rsidRPr="00097A86">
        <w:rPr>
          <w:b/>
          <w:i/>
        </w:rPr>
        <w:t>Q</w:t>
      </w:r>
      <w:r w:rsidRPr="00097A86">
        <w:rPr>
          <w:b/>
          <w:i/>
          <w:vertAlign w:val="subscript"/>
        </w:rPr>
        <w:t xml:space="preserve">ik </w:t>
      </w:r>
      <w:r w:rsidRPr="00097A86">
        <w:t>is the total of the quantities of crude oil measured in tonnes that pass through each equipment type (</w:t>
      </w:r>
      <w:r w:rsidRPr="00097A86">
        <w:rPr>
          <w:b/>
          <w:i/>
        </w:rPr>
        <w:t>k</w:t>
      </w:r>
      <w:r w:rsidRPr="00097A86">
        <w:t>) listed in sections</w:t>
      </w:r>
      <w:r w:rsidR="00097A86">
        <w:t> </w:t>
      </w:r>
      <w:r w:rsidRPr="00097A86">
        <w:t>5 and 6.1.2 of the API Compendium, if the equipment is used in the crude oil refining and in the storage tanks.</w:t>
      </w:r>
    </w:p>
    <w:p w14:paraId="713BE708" w14:textId="77777777" w:rsidR="003F0D4E" w:rsidRPr="00097A86" w:rsidRDefault="003F0D4E" w:rsidP="00D22D3F">
      <w:pPr>
        <w:pStyle w:val="Definition"/>
      </w:pPr>
      <w:r w:rsidRPr="00097A86">
        <w:rPr>
          <w:b/>
          <w:i/>
        </w:rPr>
        <w:lastRenderedPageBreak/>
        <w:t>EF</w:t>
      </w:r>
      <w:r w:rsidRPr="00097A86">
        <w:rPr>
          <w:b/>
          <w:i/>
          <w:vertAlign w:val="subscript"/>
        </w:rPr>
        <w:t>ijk</w:t>
      </w:r>
      <w:r w:rsidRPr="00097A86">
        <w:rPr>
          <w:b/>
          <w:i/>
        </w:rPr>
        <w:t xml:space="preserve"> </w:t>
      </w:r>
      <w:r w:rsidRPr="00097A86">
        <w:t>is the emission factor for methane (</w:t>
      </w:r>
      <w:r w:rsidRPr="00097A86">
        <w:rPr>
          <w:b/>
          <w:i/>
        </w:rPr>
        <w:t>j</w:t>
      </w:r>
      <w:r w:rsidRPr="00097A86">
        <w:t>) measured in tonnes of CO</w:t>
      </w:r>
      <w:r w:rsidRPr="00097A86">
        <w:rPr>
          <w:rStyle w:val="charSubscript"/>
          <w:iCs/>
        </w:rPr>
        <w:t>2</w:t>
      </w:r>
      <w:r w:rsidR="00097A86">
        <w:noBreakHyphen/>
      </w:r>
      <w:r w:rsidRPr="00097A86">
        <w:t>e per tonne of crude oil that passes though each equipment type (</w:t>
      </w:r>
      <w:r w:rsidRPr="00097A86">
        <w:rPr>
          <w:b/>
          <w:i/>
        </w:rPr>
        <w:t>k</w:t>
      </w:r>
      <w:r w:rsidRPr="00097A86">
        <w:t>) listed in sections</w:t>
      </w:r>
      <w:r w:rsidR="00097A86">
        <w:t> </w:t>
      </w:r>
      <w:r w:rsidRPr="00097A86">
        <w:t>5 and 6.1.2 of the API Compendium, if the equipment is used in the crude oil refining and in the storage tanks.</w:t>
      </w:r>
    </w:p>
    <w:p w14:paraId="221B0310"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t>, the emission factors for methane (</w:t>
      </w:r>
      <w:r w:rsidRPr="00097A86">
        <w:rPr>
          <w:b/>
          <w:i/>
        </w:rPr>
        <w:t>j</w:t>
      </w:r>
      <w:r w:rsidRPr="00097A86">
        <w:t>) as the crude oil passes through an equipment type (</w:t>
      </w:r>
      <w:r w:rsidRPr="00097A86">
        <w:rPr>
          <w:b/>
          <w:i/>
        </w:rPr>
        <w:t>k</w:t>
      </w:r>
      <w:r w:rsidRPr="00097A86">
        <w:t>) are:</w:t>
      </w:r>
    </w:p>
    <w:p w14:paraId="015138AF" w14:textId="77777777" w:rsidR="003F0D4E" w:rsidRPr="00097A86" w:rsidRDefault="003F0D4E" w:rsidP="00D22D3F">
      <w:pPr>
        <w:pStyle w:val="paragraph"/>
      </w:pPr>
      <w:r w:rsidRPr="00097A86">
        <w:tab/>
        <w:t>(a)</w:t>
      </w:r>
      <w:r w:rsidRPr="00097A86">
        <w:tab/>
        <w:t>as listed in sections</w:t>
      </w:r>
      <w:r w:rsidR="00097A86">
        <w:t> </w:t>
      </w:r>
      <w:r w:rsidRPr="00097A86">
        <w:t>5 and 6.1.2 of the API Compendium, for the equipment type; or</w:t>
      </w:r>
    </w:p>
    <w:p w14:paraId="23F84A12" w14:textId="77777777" w:rsidR="003F0D4E" w:rsidRPr="00097A86" w:rsidRDefault="003F0D4E" w:rsidP="00D22D3F">
      <w:pPr>
        <w:pStyle w:val="paragraph"/>
      </w:pPr>
      <w:r w:rsidRPr="00097A86">
        <w:tab/>
        <w:t>(b)</w:t>
      </w:r>
      <w:r w:rsidRPr="00097A86">
        <w:tab/>
        <w:t>if the manufacturer of the equipment supplies equipment</w:t>
      </w:r>
      <w:r w:rsidR="00097A86">
        <w:noBreakHyphen/>
      </w:r>
      <w:r w:rsidRPr="00097A86">
        <w:t>specific emission factors for the equipment type</w:t>
      </w:r>
      <w:r w:rsidR="00D22D3F" w:rsidRPr="00097A86">
        <w:t>—</w:t>
      </w:r>
      <w:r w:rsidRPr="00097A86">
        <w:t>those factors.</w:t>
      </w:r>
    </w:p>
    <w:p w14:paraId="073E6CBC" w14:textId="77777777" w:rsidR="003F0D4E" w:rsidRPr="00097A86" w:rsidRDefault="003F0D4E" w:rsidP="00D22D3F">
      <w:pPr>
        <w:pStyle w:val="ActHead4"/>
      </w:pPr>
      <w:bookmarkStart w:id="318" w:name="_Toc13233751"/>
      <w:r w:rsidRPr="00097A86">
        <w:rPr>
          <w:rStyle w:val="CharSubdNo"/>
        </w:rPr>
        <w:t>Subdivision</w:t>
      </w:r>
      <w:r w:rsidR="00097A86">
        <w:rPr>
          <w:rStyle w:val="CharSubdNo"/>
        </w:rPr>
        <w:t> </w:t>
      </w:r>
      <w:r w:rsidRPr="00097A86">
        <w:rPr>
          <w:rStyle w:val="CharSubdNo"/>
        </w:rPr>
        <w:t>3.3.5.2</w:t>
      </w:r>
      <w:r w:rsidR="00D22D3F" w:rsidRPr="00097A86">
        <w:t>—</w:t>
      </w:r>
      <w:r w:rsidRPr="00097A86">
        <w:rPr>
          <w:rStyle w:val="CharSubdText"/>
        </w:rPr>
        <w:t>Fugitive emissions from deliberate releases from process vents, system upsets and accidents</w:t>
      </w:r>
      <w:bookmarkEnd w:id="318"/>
    </w:p>
    <w:p w14:paraId="00DE1F43" w14:textId="77777777" w:rsidR="003F0D4E" w:rsidRPr="00097A86" w:rsidRDefault="003F0D4E" w:rsidP="00D22D3F">
      <w:pPr>
        <w:pStyle w:val="ActHead5"/>
      </w:pPr>
      <w:bookmarkStart w:id="319" w:name="_Toc13233752"/>
      <w:r w:rsidRPr="00097A86">
        <w:rPr>
          <w:rStyle w:val="CharSectno"/>
        </w:rPr>
        <w:t>3.65</w:t>
      </w:r>
      <w:r w:rsidR="00D22D3F" w:rsidRPr="00097A86">
        <w:t xml:space="preserve">  </w:t>
      </w:r>
      <w:r w:rsidRPr="00097A86">
        <w:t>Method 1</w:t>
      </w:r>
      <w:r w:rsidR="00D22D3F" w:rsidRPr="00097A86">
        <w:t>—</w:t>
      </w:r>
      <w:r w:rsidRPr="00097A86">
        <w:t>fugitive emissions from deliberate releases from process vents, system upsets and accidents</w:t>
      </w:r>
      <w:bookmarkEnd w:id="319"/>
    </w:p>
    <w:p w14:paraId="6461F696" w14:textId="77777777" w:rsidR="003F0D4E" w:rsidRPr="00097A86" w:rsidRDefault="003F0D4E" w:rsidP="00D22D3F">
      <w:pPr>
        <w:pStyle w:val="subsection"/>
      </w:pPr>
      <w:r w:rsidRPr="00097A86">
        <w:tab/>
      </w:r>
      <w:r w:rsidRPr="00097A86">
        <w:tab/>
        <w:t>Method 1 is:</w:t>
      </w:r>
    </w:p>
    <w:p w14:paraId="1D3DC541"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6807E059" wp14:editId="1136A29C">
            <wp:extent cx="1609725" cy="238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p>
    <w:p w14:paraId="65C51365" w14:textId="77777777" w:rsidR="003F0D4E" w:rsidRPr="00097A86" w:rsidRDefault="003F0D4E" w:rsidP="00D22D3F">
      <w:pPr>
        <w:pStyle w:val="subsection2"/>
      </w:pPr>
      <w:r w:rsidRPr="00097A86">
        <w:t>where:</w:t>
      </w:r>
    </w:p>
    <w:p w14:paraId="54860027" w14:textId="77777777" w:rsidR="003F0D4E" w:rsidRPr="00097A86" w:rsidRDefault="003F0D4E" w:rsidP="00D22D3F">
      <w:pPr>
        <w:pStyle w:val="Definition"/>
      </w:pPr>
      <w:r w:rsidRPr="00097A86">
        <w:rPr>
          <w:b/>
          <w:i/>
        </w:rPr>
        <w:t>E</w:t>
      </w:r>
      <w:r w:rsidRPr="00097A86">
        <w:rPr>
          <w:b/>
          <w:i/>
          <w:vertAlign w:val="subscript"/>
        </w:rPr>
        <w:t>i</w:t>
      </w:r>
      <w:r w:rsidRPr="00097A86">
        <w:rPr>
          <w:b/>
          <w:i/>
        </w:rPr>
        <w:t xml:space="preserve"> </w:t>
      </w:r>
      <w:r w:rsidRPr="00097A86">
        <w:t xml:space="preserve">is the fugitive emissions </w:t>
      </w:r>
      <w:r w:rsidR="00E77440" w:rsidRPr="00097A86">
        <w:t xml:space="preserve">of carbon dioxide </w:t>
      </w:r>
      <w:r w:rsidRPr="00097A86">
        <w:t>during the year from deliberate releases from process vents, system upsets and accidents in the crude oil refining measured in CO</w:t>
      </w:r>
      <w:r w:rsidRPr="00097A86">
        <w:rPr>
          <w:vertAlign w:val="subscript"/>
        </w:rPr>
        <w:t>2</w:t>
      </w:r>
      <w:r w:rsidR="00097A86">
        <w:noBreakHyphen/>
      </w:r>
      <w:r w:rsidRPr="00097A86">
        <w:t>e tonnes.</w:t>
      </w:r>
    </w:p>
    <w:p w14:paraId="33C0B8AD"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refinery coke (</w:t>
      </w:r>
      <w:r w:rsidRPr="00097A86">
        <w:rPr>
          <w:b/>
          <w:i/>
        </w:rPr>
        <w:t>i</w:t>
      </w:r>
      <w:r w:rsidRPr="00097A86">
        <w:t>) burnt to restore the activity of the catalyst of the crude oil refinery (and not used for energy) during the year measured in tonnes.</w:t>
      </w:r>
    </w:p>
    <w:p w14:paraId="03799CE4" w14:textId="77777777" w:rsidR="003F0D4E" w:rsidRPr="00097A86" w:rsidRDefault="003F0D4E" w:rsidP="00D22D3F">
      <w:pPr>
        <w:pStyle w:val="Definition"/>
      </w:pPr>
      <w:r w:rsidRPr="00097A86">
        <w:rPr>
          <w:b/>
          <w:i/>
        </w:rPr>
        <w:t>CCF</w:t>
      </w:r>
      <w:r w:rsidRPr="00097A86">
        <w:rPr>
          <w:rFonts w:ascii="Helvetica" w:hAnsi="Helvetica"/>
          <w:b/>
          <w:i/>
          <w:vertAlign w:val="subscript"/>
        </w:rPr>
        <w:t>i</w:t>
      </w:r>
      <w:r w:rsidRPr="00097A86">
        <w:rPr>
          <w:b/>
          <w:i/>
        </w:rPr>
        <w:t xml:space="preserve"> </w:t>
      </w:r>
      <w:r w:rsidRPr="00097A86">
        <w:t>is the carbon content factor for refinery coke (</w:t>
      </w:r>
      <w:r w:rsidRPr="00097A86">
        <w:rPr>
          <w:b/>
          <w:i/>
        </w:rPr>
        <w:t>i</w:t>
      </w:r>
      <w:r w:rsidRPr="00097A86">
        <w:t>) as mentioned in Schedule</w:t>
      </w:r>
      <w:r w:rsidR="00097A86">
        <w:t> </w:t>
      </w:r>
      <w:r w:rsidRPr="00097A86">
        <w:t>3.</w:t>
      </w:r>
    </w:p>
    <w:p w14:paraId="6B849AB6" w14:textId="77777777" w:rsidR="003F0D4E" w:rsidRPr="00097A86" w:rsidRDefault="003F0D4E" w:rsidP="00D22D3F">
      <w:pPr>
        <w:pStyle w:val="Definition"/>
      </w:pPr>
      <w:r w:rsidRPr="00097A86">
        <w:rPr>
          <w:b/>
          <w:i/>
        </w:rPr>
        <w:t>3</w:t>
      </w:r>
      <w:r w:rsidRPr="00097A86">
        <w:rPr>
          <w:b/>
        </w:rPr>
        <w:t>.</w:t>
      </w:r>
      <w:r w:rsidRPr="00097A86">
        <w:rPr>
          <w:b/>
          <w:i/>
        </w:rPr>
        <w:t xml:space="preserve">664 </w:t>
      </w:r>
      <w:r w:rsidRPr="00097A86">
        <w:t>is the conversion factor to convert an amount of carbon in tonnes to an amount of carbon dioxide in tonnes.</w:t>
      </w:r>
    </w:p>
    <w:p w14:paraId="593027AF" w14:textId="77777777" w:rsidR="003F0D4E" w:rsidRPr="00097A86" w:rsidRDefault="003F0D4E" w:rsidP="00D22D3F">
      <w:pPr>
        <w:pStyle w:val="ActHead5"/>
      </w:pPr>
      <w:bookmarkStart w:id="320" w:name="_Toc13233753"/>
      <w:r w:rsidRPr="00097A86">
        <w:rPr>
          <w:rStyle w:val="CharSectno"/>
        </w:rPr>
        <w:t>3.66</w:t>
      </w:r>
      <w:r w:rsidR="00D22D3F" w:rsidRPr="00097A86">
        <w:t xml:space="preserve">  </w:t>
      </w:r>
      <w:r w:rsidRPr="00097A86">
        <w:t>Method 4</w:t>
      </w:r>
      <w:r w:rsidR="00D22D3F" w:rsidRPr="00097A86">
        <w:t>—</w:t>
      </w:r>
      <w:r w:rsidRPr="00097A86">
        <w:t>deliberate releases from process vents, system upsets and accidents</w:t>
      </w:r>
      <w:bookmarkEnd w:id="320"/>
    </w:p>
    <w:p w14:paraId="276F503F" w14:textId="77777777" w:rsidR="003F0D4E" w:rsidRPr="00097A86" w:rsidRDefault="003F0D4E" w:rsidP="00D22D3F">
      <w:pPr>
        <w:pStyle w:val="subsection"/>
      </w:pPr>
      <w:r w:rsidRPr="00097A86">
        <w:tab/>
        <w:t>(1)</w:t>
      </w:r>
      <w:r w:rsidRPr="00097A86">
        <w:tab/>
        <w:t>Method 4 is:</w:t>
      </w:r>
    </w:p>
    <w:p w14:paraId="74665B66" w14:textId="77777777" w:rsidR="003F0D4E" w:rsidRPr="00097A86" w:rsidRDefault="003F0D4E" w:rsidP="00D22D3F">
      <w:pPr>
        <w:pStyle w:val="paragraph"/>
      </w:pPr>
      <w:r w:rsidRPr="00097A86">
        <w:tab/>
        <w:t>(a)</w:t>
      </w:r>
      <w:r w:rsidRPr="00097A86">
        <w:tab/>
        <w:t>is as set out in Part</w:t>
      </w:r>
      <w:r w:rsidR="00097A86">
        <w:t> </w:t>
      </w:r>
      <w:r w:rsidRPr="00097A86">
        <w:t>1.3; or</w:t>
      </w:r>
    </w:p>
    <w:p w14:paraId="15CD4215" w14:textId="77777777" w:rsidR="003F0D4E" w:rsidRPr="00097A86" w:rsidRDefault="003F0D4E" w:rsidP="00D22D3F">
      <w:pPr>
        <w:pStyle w:val="paragraph"/>
      </w:pPr>
      <w:r w:rsidRPr="00097A86">
        <w:tab/>
        <w:t>(b)</w:t>
      </w:r>
      <w:r w:rsidRPr="00097A86">
        <w:tab/>
        <w:t>uses the process calculation approach in section</w:t>
      </w:r>
      <w:r w:rsidR="00097A86">
        <w:t> </w:t>
      </w:r>
      <w:r w:rsidRPr="00097A86">
        <w:t xml:space="preserve">5.2 of the API Compendium. </w:t>
      </w:r>
    </w:p>
    <w:p w14:paraId="7E6CD400" w14:textId="77777777" w:rsidR="003F0D4E" w:rsidRPr="00097A86" w:rsidRDefault="003F0D4E" w:rsidP="00D22D3F">
      <w:pPr>
        <w:pStyle w:val="subsection"/>
      </w:pPr>
      <w:r w:rsidRPr="00097A86">
        <w:tab/>
        <w:t>(2)</w:t>
      </w:r>
      <w:r w:rsidRPr="00097A86">
        <w:tab/>
        <w:t xml:space="preserve">For </w:t>
      </w:r>
      <w:r w:rsidR="00097A86">
        <w:t>paragraph (</w:t>
      </w:r>
      <w:r w:rsidR="008E6771" w:rsidRPr="00097A86">
        <w:t>1)</w:t>
      </w:r>
      <w:r w:rsidRPr="00097A86">
        <w:t>(b), all carbon monoxide is taken to fully oxidise to carbon dioxide and must be included in the calculation.</w:t>
      </w:r>
    </w:p>
    <w:p w14:paraId="300E02EE" w14:textId="77777777" w:rsidR="003F0D4E" w:rsidRPr="00097A86" w:rsidRDefault="003F0D4E" w:rsidP="00D22D3F">
      <w:pPr>
        <w:pStyle w:val="ActHead4"/>
      </w:pPr>
      <w:bookmarkStart w:id="321" w:name="_Toc13233754"/>
      <w:r w:rsidRPr="00097A86">
        <w:rPr>
          <w:rStyle w:val="CharSubdNo"/>
        </w:rPr>
        <w:lastRenderedPageBreak/>
        <w:t>Subdivision</w:t>
      </w:r>
      <w:r w:rsidR="00097A86">
        <w:rPr>
          <w:rStyle w:val="CharSubdNo"/>
        </w:rPr>
        <w:t> </w:t>
      </w:r>
      <w:r w:rsidRPr="00097A86">
        <w:rPr>
          <w:rStyle w:val="CharSubdNo"/>
        </w:rPr>
        <w:t>3.3.5.3</w:t>
      </w:r>
      <w:r w:rsidR="00D22D3F" w:rsidRPr="00097A86">
        <w:t>—</w:t>
      </w:r>
      <w:r w:rsidRPr="00097A86">
        <w:rPr>
          <w:rStyle w:val="CharSubdText"/>
        </w:rPr>
        <w:t>Fugitive emissions released from gas flared from the oil refinery</w:t>
      </w:r>
      <w:bookmarkEnd w:id="321"/>
    </w:p>
    <w:p w14:paraId="249332EA" w14:textId="77777777" w:rsidR="003F0D4E" w:rsidRPr="00097A86" w:rsidRDefault="003F0D4E" w:rsidP="00D22D3F">
      <w:pPr>
        <w:pStyle w:val="ActHead5"/>
      </w:pPr>
      <w:bookmarkStart w:id="322" w:name="_Toc13233755"/>
      <w:r w:rsidRPr="00097A86">
        <w:rPr>
          <w:rStyle w:val="CharSectno"/>
        </w:rPr>
        <w:t>3.67</w:t>
      </w:r>
      <w:r w:rsidR="00D22D3F" w:rsidRPr="00097A86">
        <w:t xml:space="preserve">  </w:t>
      </w:r>
      <w:r w:rsidRPr="00097A86">
        <w:t>Method 1</w:t>
      </w:r>
      <w:r w:rsidR="00D22D3F" w:rsidRPr="00097A86">
        <w:t>—</w:t>
      </w:r>
      <w:r w:rsidRPr="00097A86">
        <w:t>gas flared from crude oil refining</w:t>
      </w:r>
      <w:bookmarkEnd w:id="322"/>
    </w:p>
    <w:p w14:paraId="3E14F54D" w14:textId="77777777" w:rsidR="003F0D4E" w:rsidRPr="00097A86" w:rsidRDefault="003F0D4E" w:rsidP="00D22D3F">
      <w:pPr>
        <w:pStyle w:val="subsection"/>
      </w:pPr>
      <w:r w:rsidRPr="00097A86">
        <w:tab/>
        <w:t>(1)</w:t>
      </w:r>
      <w:r w:rsidRPr="00097A86">
        <w:tab/>
        <w:t>Method 1 is:</w:t>
      </w:r>
    </w:p>
    <w:p w14:paraId="451370F3"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7808F0D8" wp14:editId="0A0C74D3">
            <wp:extent cx="1009650" cy="2571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14:paraId="15E0FC49" w14:textId="77777777" w:rsidR="003F0D4E" w:rsidRPr="00097A86" w:rsidRDefault="003F0D4E" w:rsidP="00D22D3F">
      <w:pPr>
        <w:pStyle w:val="subsection2"/>
      </w:pPr>
      <w:r w:rsidRPr="00097A86">
        <w:t>where:</w:t>
      </w:r>
    </w:p>
    <w:p w14:paraId="733B4679"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emissions of gas type (</w:t>
      </w:r>
      <w:r w:rsidRPr="00097A86">
        <w:rPr>
          <w:b/>
          <w:i/>
        </w:rPr>
        <w:t>j</w:t>
      </w:r>
      <w:r w:rsidRPr="00097A86">
        <w:t>) released from the gas flared in the crude oil refining during the year measured in CO</w:t>
      </w:r>
      <w:r w:rsidRPr="00097A86">
        <w:rPr>
          <w:rStyle w:val="charSubscript"/>
          <w:iCs/>
        </w:rPr>
        <w:t>2</w:t>
      </w:r>
      <w:r w:rsidR="00097A86">
        <w:noBreakHyphen/>
      </w:r>
      <w:r w:rsidRPr="00097A86">
        <w:t>e tonnes.</w:t>
      </w:r>
    </w:p>
    <w:p w14:paraId="440B7483"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gas type (</w:t>
      </w:r>
      <w:r w:rsidRPr="00097A86">
        <w:rPr>
          <w:b/>
          <w:i/>
        </w:rPr>
        <w:t>i</w:t>
      </w:r>
      <w:r w:rsidRPr="00097A86">
        <w:t>) flared during the year measured in tonnes.</w:t>
      </w:r>
    </w:p>
    <w:p w14:paraId="06819671" w14:textId="77777777" w:rsidR="003F0D4E" w:rsidRPr="00097A86" w:rsidRDefault="003F0D4E" w:rsidP="00D22D3F">
      <w:pPr>
        <w:pStyle w:val="Definition"/>
        <w:rPr>
          <w:i/>
        </w:rPr>
      </w:pPr>
      <w:r w:rsidRPr="00097A86">
        <w:rPr>
          <w:b/>
          <w:i/>
        </w:rPr>
        <w:t>EF</w:t>
      </w:r>
      <w:r w:rsidRPr="00097A86">
        <w:rPr>
          <w:b/>
          <w:i/>
          <w:vertAlign w:val="subscript"/>
        </w:rPr>
        <w:t>ij</w:t>
      </w:r>
      <w:r w:rsidRPr="00097A86">
        <w:rPr>
          <w:b/>
          <w:i/>
        </w:rPr>
        <w:t xml:space="preserve"> </w:t>
      </w:r>
      <w:r w:rsidRPr="00097A86">
        <w:t>is the emission factor for gas type (</w:t>
      </w:r>
      <w:r w:rsidRPr="00097A86">
        <w:rPr>
          <w:b/>
          <w:i/>
        </w:rPr>
        <w:t>j</w:t>
      </w:r>
      <w:r w:rsidRPr="00097A86">
        <w:t>) measured in tonnes of CO</w:t>
      </w:r>
      <w:r w:rsidRPr="00097A86">
        <w:rPr>
          <w:rStyle w:val="charSubscript"/>
          <w:iCs/>
        </w:rPr>
        <w:t>2</w:t>
      </w:r>
      <w:r w:rsidR="00097A86">
        <w:noBreakHyphen/>
      </w:r>
      <w:r w:rsidRPr="00097A86">
        <w:t>e emissions per tonne of gas type (</w:t>
      </w:r>
      <w:r w:rsidRPr="00097A86">
        <w:rPr>
          <w:b/>
          <w:i/>
        </w:rPr>
        <w:t>i</w:t>
      </w:r>
      <w:r w:rsidRPr="00097A86">
        <w:t>) flared in the crude oil refining during the year</w:t>
      </w:r>
      <w:r w:rsidRPr="00097A86">
        <w:rPr>
          <w:i/>
        </w:rPr>
        <w:t>.</w:t>
      </w:r>
    </w:p>
    <w:p w14:paraId="34752027" w14:textId="77777777" w:rsidR="003F0D4E" w:rsidRPr="00097A86" w:rsidRDefault="003F0D4E" w:rsidP="00D22D3F">
      <w:pPr>
        <w:pStyle w:val="subsection"/>
      </w:pPr>
      <w:r w:rsidRPr="00097A86">
        <w:tab/>
        <w:t>(2)</w:t>
      </w:r>
      <w:r w:rsidRPr="00097A86">
        <w:tab/>
        <w:t xml:space="preserve">For </w:t>
      </w:r>
      <w:r w:rsidR="0026415B" w:rsidRPr="00097A86">
        <w:rPr>
          <w:b/>
          <w:i/>
        </w:rPr>
        <w:t>EF</w:t>
      </w:r>
      <w:r w:rsidR="0026415B" w:rsidRPr="00097A86">
        <w:rPr>
          <w:b/>
          <w:i/>
          <w:vertAlign w:val="subscript"/>
        </w:rPr>
        <w:t>ij</w:t>
      </w:r>
      <w:r w:rsidR="003815AE" w:rsidRPr="00097A86">
        <w:rPr>
          <w:b/>
          <w:i/>
          <w:vertAlign w:val="subscript"/>
        </w:rPr>
        <w:t xml:space="preserve"> </w:t>
      </w:r>
      <w:r w:rsidRPr="00097A86">
        <w:t xml:space="preserve">in </w:t>
      </w:r>
      <w:r w:rsidR="00097A86">
        <w:t>subsection (</w:t>
      </w:r>
      <w:r w:rsidRPr="00097A86">
        <w:t>1), columns 3, 4 and 5 of an item in the following table specify the emission factor for gas type (</w:t>
      </w:r>
      <w:r w:rsidRPr="00097A86">
        <w:rPr>
          <w:b/>
          <w:i/>
        </w:rPr>
        <w:t>j</w:t>
      </w:r>
      <w:r w:rsidRPr="00097A86">
        <w:t>) for the fuel type (</w:t>
      </w:r>
      <w:r w:rsidRPr="00097A86">
        <w:rPr>
          <w:b/>
          <w:i/>
        </w:rPr>
        <w:t>i</w:t>
      </w:r>
      <w:r w:rsidRPr="00097A86">
        <w:t>) specified in column 2 of that item:</w:t>
      </w:r>
    </w:p>
    <w:p w14:paraId="0C5F4D5D"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604"/>
        <w:gridCol w:w="1737"/>
        <w:gridCol w:w="1872"/>
        <w:gridCol w:w="1762"/>
      </w:tblGrid>
      <w:tr w:rsidR="003F0D4E" w:rsidRPr="00097A86" w14:paraId="6A70E79A" w14:textId="77777777" w:rsidTr="00C20CC2">
        <w:trPr>
          <w:cantSplit/>
          <w:tblHeader/>
        </w:trPr>
        <w:tc>
          <w:tcPr>
            <w:tcW w:w="804" w:type="pct"/>
            <w:tcBorders>
              <w:top w:val="single" w:sz="12" w:space="0" w:color="auto"/>
              <w:left w:val="nil"/>
              <w:bottom w:val="nil"/>
              <w:right w:val="nil"/>
            </w:tcBorders>
            <w:shd w:val="clear" w:color="auto" w:fill="auto"/>
          </w:tcPr>
          <w:p w14:paraId="3F27B06B" w14:textId="77777777" w:rsidR="003F0D4E" w:rsidRPr="00097A86" w:rsidRDefault="003F0D4E" w:rsidP="006A6B38">
            <w:pPr>
              <w:pStyle w:val="TableHeading"/>
            </w:pPr>
            <w:r w:rsidRPr="00097A86">
              <w:t>Item</w:t>
            </w:r>
          </w:p>
        </w:tc>
        <w:tc>
          <w:tcPr>
            <w:tcW w:w="965" w:type="pct"/>
            <w:vMerge w:val="restart"/>
            <w:tcBorders>
              <w:top w:val="single" w:sz="12" w:space="0" w:color="auto"/>
              <w:left w:val="nil"/>
              <w:bottom w:val="nil"/>
              <w:right w:val="nil"/>
            </w:tcBorders>
            <w:shd w:val="clear" w:color="auto" w:fill="auto"/>
          </w:tcPr>
          <w:p w14:paraId="70A7C538" w14:textId="77777777" w:rsidR="003F0D4E" w:rsidRPr="00097A86" w:rsidRDefault="003F0D4E" w:rsidP="006A6B38">
            <w:pPr>
              <w:pStyle w:val="TableHeading"/>
            </w:pPr>
            <w:r w:rsidRPr="00097A86">
              <w:t>fuel type (i)</w:t>
            </w:r>
          </w:p>
        </w:tc>
        <w:tc>
          <w:tcPr>
            <w:tcW w:w="3231" w:type="pct"/>
            <w:gridSpan w:val="3"/>
            <w:tcBorders>
              <w:top w:val="single" w:sz="12" w:space="0" w:color="auto"/>
              <w:left w:val="nil"/>
              <w:bottom w:val="single" w:sz="4" w:space="0" w:color="auto"/>
              <w:right w:val="nil"/>
            </w:tcBorders>
            <w:shd w:val="clear" w:color="auto" w:fill="auto"/>
          </w:tcPr>
          <w:p w14:paraId="6F45F911" w14:textId="77777777" w:rsidR="003F0D4E" w:rsidRPr="00097A86" w:rsidRDefault="003F0D4E" w:rsidP="00BF4A6E">
            <w:pPr>
              <w:pStyle w:val="TableHeading"/>
            </w:pPr>
            <w:r w:rsidRPr="00097A86">
              <w:t>Emission factor of gas type (j) (tonnes CO</w:t>
            </w:r>
            <w:r w:rsidRPr="00097A86">
              <w:rPr>
                <w:vertAlign w:val="subscript"/>
              </w:rPr>
              <w:t>2</w:t>
            </w:r>
            <w:r w:rsidR="00097A86">
              <w:noBreakHyphen/>
            </w:r>
            <w:r w:rsidRPr="00097A86">
              <w:t>e/tonnes fuel flared)</w:t>
            </w:r>
          </w:p>
        </w:tc>
      </w:tr>
      <w:tr w:rsidR="003F0D4E" w:rsidRPr="00097A86" w14:paraId="49E4087E" w14:textId="77777777" w:rsidTr="00C20CC2">
        <w:trPr>
          <w:cantSplit/>
          <w:tblHeader/>
        </w:trPr>
        <w:tc>
          <w:tcPr>
            <w:tcW w:w="804" w:type="pct"/>
            <w:tcBorders>
              <w:top w:val="nil"/>
              <w:left w:val="nil"/>
              <w:bottom w:val="single" w:sz="12" w:space="0" w:color="auto"/>
              <w:right w:val="nil"/>
            </w:tcBorders>
            <w:shd w:val="clear" w:color="auto" w:fill="auto"/>
          </w:tcPr>
          <w:p w14:paraId="0871E47A" w14:textId="77777777" w:rsidR="003F0D4E" w:rsidRPr="00097A86" w:rsidRDefault="003F0D4E" w:rsidP="006A6B38">
            <w:pPr>
              <w:pStyle w:val="TableHeading"/>
            </w:pPr>
          </w:p>
        </w:tc>
        <w:tc>
          <w:tcPr>
            <w:tcW w:w="965" w:type="pct"/>
            <w:vMerge/>
            <w:tcBorders>
              <w:top w:val="nil"/>
              <w:left w:val="nil"/>
              <w:bottom w:val="single" w:sz="12" w:space="0" w:color="auto"/>
              <w:right w:val="nil"/>
            </w:tcBorders>
            <w:shd w:val="clear" w:color="auto" w:fill="auto"/>
          </w:tcPr>
          <w:p w14:paraId="1456D485" w14:textId="77777777" w:rsidR="003F0D4E" w:rsidRPr="00097A86" w:rsidRDefault="003F0D4E" w:rsidP="006A6B38">
            <w:pPr>
              <w:pStyle w:val="TableHeading"/>
            </w:pPr>
          </w:p>
        </w:tc>
        <w:tc>
          <w:tcPr>
            <w:tcW w:w="1045" w:type="pct"/>
            <w:tcBorders>
              <w:top w:val="single" w:sz="4" w:space="0" w:color="auto"/>
              <w:left w:val="nil"/>
              <w:bottom w:val="single" w:sz="12" w:space="0" w:color="auto"/>
              <w:right w:val="nil"/>
            </w:tcBorders>
            <w:shd w:val="clear" w:color="auto" w:fill="auto"/>
          </w:tcPr>
          <w:p w14:paraId="6223AEA2" w14:textId="77777777" w:rsidR="003F0D4E" w:rsidRPr="00097A86" w:rsidRDefault="003F0D4E" w:rsidP="006A6B38">
            <w:pPr>
              <w:pStyle w:val="TableHeading"/>
            </w:pPr>
            <w:r w:rsidRPr="00097A86">
              <w:t>CO</w:t>
            </w:r>
            <w:r w:rsidRPr="00097A86">
              <w:rPr>
                <w:vertAlign w:val="subscript"/>
              </w:rPr>
              <w:t>2</w:t>
            </w:r>
          </w:p>
        </w:tc>
        <w:tc>
          <w:tcPr>
            <w:tcW w:w="1126" w:type="pct"/>
            <w:tcBorders>
              <w:top w:val="single" w:sz="4" w:space="0" w:color="auto"/>
              <w:left w:val="nil"/>
              <w:bottom w:val="single" w:sz="12" w:space="0" w:color="auto"/>
              <w:right w:val="nil"/>
            </w:tcBorders>
            <w:shd w:val="clear" w:color="auto" w:fill="auto"/>
          </w:tcPr>
          <w:p w14:paraId="0DEF5F29" w14:textId="77777777" w:rsidR="003F0D4E" w:rsidRPr="00097A86" w:rsidRDefault="003F0D4E" w:rsidP="006A6B38">
            <w:pPr>
              <w:pStyle w:val="TableHeading"/>
            </w:pPr>
            <w:r w:rsidRPr="00097A86">
              <w:t>CH</w:t>
            </w:r>
            <w:r w:rsidRPr="00097A86">
              <w:rPr>
                <w:vertAlign w:val="subscript"/>
              </w:rPr>
              <w:t>4</w:t>
            </w:r>
          </w:p>
        </w:tc>
        <w:tc>
          <w:tcPr>
            <w:tcW w:w="1060" w:type="pct"/>
            <w:tcBorders>
              <w:top w:val="single" w:sz="4" w:space="0" w:color="auto"/>
              <w:left w:val="nil"/>
              <w:bottom w:val="single" w:sz="12" w:space="0" w:color="auto"/>
              <w:right w:val="nil"/>
            </w:tcBorders>
            <w:shd w:val="clear" w:color="auto" w:fill="auto"/>
          </w:tcPr>
          <w:p w14:paraId="3322675C" w14:textId="77777777" w:rsidR="003F0D4E" w:rsidRPr="00097A86" w:rsidRDefault="003F0D4E" w:rsidP="006A6B38">
            <w:pPr>
              <w:pStyle w:val="TableHeading"/>
            </w:pPr>
            <w:r w:rsidRPr="00097A86">
              <w:t>N</w:t>
            </w:r>
            <w:r w:rsidRPr="00097A86">
              <w:rPr>
                <w:vertAlign w:val="subscript"/>
              </w:rPr>
              <w:t>2</w:t>
            </w:r>
            <w:r w:rsidRPr="00097A86">
              <w:t>O</w:t>
            </w:r>
          </w:p>
        </w:tc>
      </w:tr>
      <w:tr w:rsidR="003F0D4E" w:rsidRPr="00097A86" w14:paraId="7867F810" w14:textId="77777777" w:rsidTr="00C20CC2">
        <w:tc>
          <w:tcPr>
            <w:tcW w:w="804" w:type="pct"/>
            <w:tcBorders>
              <w:top w:val="single" w:sz="12" w:space="0" w:color="auto"/>
              <w:left w:val="nil"/>
              <w:bottom w:val="single" w:sz="12" w:space="0" w:color="auto"/>
              <w:right w:val="nil"/>
            </w:tcBorders>
          </w:tcPr>
          <w:p w14:paraId="4C269BF8" w14:textId="77777777" w:rsidR="003F0D4E" w:rsidRPr="00097A86" w:rsidRDefault="003F0D4E" w:rsidP="00D22D3F">
            <w:pPr>
              <w:pStyle w:val="Tabletext"/>
            </w:pPr>
            <w:r w:rsidRPr="00097A86">
              <w:t>1</w:t>
            </w:r>
          </w:p>
        </w:tc>
        <w:tc>
          <w:tcPr>
            <w:tcW w:w="965" w:type="pct"/>
            <w:tcBorders>
              <w:top w:val="single" w:sz="12" w:space="0" w:color="auto"/>
              <w:left w:val="nil"/>
              <w:bottom w:val="single" w:sz="12" w:space="0" w:color="auto"/>
              <w:right w:val="nil"/>
            </w:tcBorders>
          </w:tcPr>
          <w:p w14:paraId="003A5CE7" w14:textId="77777777" w:rsidR="003F0D4E" w:rsidRPr="00097A86" w:rsidRDefault="003F0D4E" w:rsidP="00D22D3F">
            <w:pPr>
              <w:pStyle w:val="Tabletext"/>
            </w:pPr>
            <w:r w:rsidRPr="00097A86">
              <w:t xml:space="preserve">gas </w:t>
            </w:r>
          </w:p>
        </w:tc>
        <w:tc>
          <w:tcPr>
            <w:tcW w:w="1045" w:type="pct"/>
            <w:tcBorders>
              <w:top w:val="single" w:sz="12" w:space="0" w:color="auto"/>
              <w:left w:val="nil"/>
              <w:bottom w:val="single" w:sz="12" w:space="0" w:color="auto"/>
              <w:right w:val="nil"/>
            </w:tcBorders>
          </w:tcPr>
          <w:p w14:paraId="5A0ABB4B" w14:textId="77777777" w:rsidR="003F0D4E" w:rsidRPr="00097A86" w:rsidRDefault="003F0D4E" w:rsidP="00D22D3F">
            <w:pPr>
              <w:pStyle w:val="Tabletext"/>
            </w:pPr>
            <w:r w:rsidRPr="00097A86">
              <w:t>2.7</w:t>
            </w:r>
          </w:p>
        </w:tc>
        <w:tc>
          <w:tcPr>
            <w:tcW w:w="1126" w:type="pct"/>
            <w:tcBorders>
              <w:top w:val="single" w:sz="12" w:space="0" w:color="auto"/>
              <w:left w:val="nil"/>
              <w:bottom w:val="single" w:sz="12" w:space="0" w:color="auto"/>
              <w:right w:val="nil"/>
            </w:tcBorders>
          </w:tcPr>
          <w:p w14:paraId="68C020FC" w14:textId="77777777" w:rsidR="003F0D4E" w:rsidRPr="00097A86" w:rsidRDefault="003F0D4E" w:rsidP="00D22D3F">
            <w:pPr>
              <w:pStyle w:val="Tabletext"/>
            </w:pPr>
            <w:r w:rsidRPr="00097A86">
              <w:t>0.1</w:t>
            </w:r>
          </w:p>
        </w:tc>
        <w:tc>
          <w:tcPr>
            <w:tcW w:w="1060" w:type="pct"/>
            <w:tcBorders>
              <w:top w:val="single" w:sz="12" w:space="0" w:color="auto"/>
              <w:left w:val="nil"/>
              <w:bottom w:val="single" w:sz="12" w:space="0" w:color="auto"/>
              <w:right w:val="nil"/>
            </w:tcBorders>
          </w:tcPr>
          <w:p w14:paraId="2DBE4BA0" w14:textId="77777777" w:rsidR="003F0D4E" w:rsidRPr="00097A86" w:rsidRDefault="003F0D4E" w:rsidP="00D22D3F">
            <w:pPr>
              <w:pStyle w:val="Tabletext"/>
            </w:pPr>
            <w:r w:rsidRPr="00097A86">
              <w:t>0.03</w:t>
            </w:r>
          </w:p>
        </w:tc>
      </w:tr>
    </w:tbl>
    <w:p w14:paraId="47A46DD5" w14:textId="77777777" w:rsidR="0026415B" w:rsidRPr="00097A86" w:rsidRDefault="0026415B" w:rsidP="00D22D3F">
      <w:pPr>
        <w:pStyle w:val="ActHead5"/>
      </w:pPr>
      <w:bookmarkStart w:id="323" w:name="_Toc13233756"/>
      <w:r w:rsidRPr="00097A86">
        <w:rPr>
          <w:rStyle w:val="CharSectno"/>
        </w:rPr>
        <w:t>3.68</w:t>
      </w:r>
      <w:r w:rsidR="00D22D3F" w:rsidRPr="00097A86">
        <w:t xml:space="preserve">  </w:t>
      </w:r>
      <w:r w:rsidRPr="00097A86">
        <w:t>Method 2</w:t>
      </w:r>
      <w:r w:rsidR="00D22D3F" w:rsidRPr="00097A86">
        <w:t>—</w:t>
      </w:r>
      <w:r w:rsidRPr="00097A86">
        <w:t>gas flared from crude oil refining</w:t>
      </w:r>
      <w:bookmarkEnd w:id="323"/>
    </w:p>
    <w:p w14:paraId="0A164D23" w14:textId="77777777" w:rsidR="0026415B" w:rsidRPr="00097A86" w:rsidRDefault="0026415B" w:rsidP="00D22D3F">
      <w:pPr>
        <w:pStyle w:val="subsection"/>
      </w:pPr>
      <w:r w:rsidRPr="00097A86">
        <w:tab/>
      </w:r>
      <w:r w:rsidRPr="00097A86">
        <w:tab/>
        <w:t>For subparagraph</w:t>
      </w:r>
      <w:r w:rsidR="00097A86">
        <w:t> </w:t>
      </w:r>
      <w:r w:rsidRPr="00097A86">
        <w:t>3.62(4)(a)(ii), method 2 is:</w:t>
      </w:r>
    </w:p>
    <w:p w14:paraId="1499F981" w14:textId="77777777" w:rsidR="0026415B" w:rsidRPr="00097A86" w:rsidRDefault="00D22D3F" w:rsidP="00D22D3F">
      <w:pPr>
        <w:pStyle w:val="subsection"/>
        <w:spacing w:before="120" w:after="120"/>
      </w:pPr>
      <w:r w:rsidRPr="00097A86">
        <w:tab/>
      </w:r>
      <w:r w:rsidRPr="00097A86">
        <w:tab/>
      </w:r>
      <w:r w:rsidR="009E1F90">
        <w:rPr>
          <w:noProof/>
        </w:rPr>
        <w:drawing>
          <wp:inline distT="0" distB="0" distL="0" distR="0" wp14:anchorId="1AEA7AED" wp14:editId="307A9962">
            <wp:extent cx="2066925" cy="238125"/>
            <wp:effectExtent l="0" t="0" r="9525" b="9525"/>
            <wp:docPr id="19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p>
    <w:p w14:paraId="72058FC5" w14:textId="77777777" w:rsidR="0026415B" w:rsidRPr="00097A86" w:rsidRDefault="0026415B" w:rsidP="00D22D3F">
      <w:pPr>
        <w:pStyle w:val="subsection2"/>
      </w:pPr>
      <w:r w:rsidRPr="00097A86">
        <w:t>where:</w:t>
      </w:r>
    </w:p>
    <w:p w14:paraId="5A696476" w14:textId="77777777" w:rsidR="00C809FB" w:rsidRPr="00097A86" w:rsidRDefault="0026415B" w:rsidP="00C809FB">
      <w:pPr>
        <w:pStyle w:val="Definition"/>
      </w:pPr>
      <w:r w:rsidRPr="00097A86">
        <w:rPr>
          <w:b/>
          <w:i/>
        </w:rPr>
        <w:t>E</w:t>
      </w:r>
      <w:r w:rsidRPr="00097A86">
        <w:rPr>
          <w:b/>
          <w:i/>
          <w:vertAlign w:val="subscript"/>
        </w:rPr>
        <w:t>iCO</w:t>
      </w:r>
      <w:r w:rsidRPr="00097A86">
        <w:rPr>
          <w:b/>
          <w:i/>
          <w:position w:val="-4"/>
          <w:vertAlign w:val="subscript"/>
        </w:rPr>
        <w:t>2</w:t>
      </w:r>
      <w:r w:rsidRPr="00097A86">
        <w:t xml:space="preserve"> is the fugitive emissions of CO</w:t>
      </w:r>
      <w:r w:rsidRPr="00097A86">
        <w:rPr>
          <w:vertAlign w:val="subscript"/>
        </w:rPr>
        <w:t>2</w:t>
      </w:r>
      <w:r w:rsidRPr="00097A86">
        <w:t xml:space="preserve"> from fuel type (</w:t>
      </w:r>
      <w:r w:rsidRPr="00097A86">
        <w:rPr>
          <w:b/>
          <w:i/>
        </w:rPr>
        <w:t>i</w:t>
      </w:r>
      <w:r w:rsidRPr="00097A86">
        <w:t>) flared in crude oil refining during the year, measured in CO</w:t>
      </w:r>
      <w:r w:rsidRPr="00097A86">
        <w:rPr>
          <w:vertAlign w:val="subscript"/>
        </w:rPr>
        <w:t>2</w:t>
      </w:r>
      <w:r w:rsidR="00097A86">
        <w:noBreakHyphen/>
      </w:r>
      <w:r w:rsidRPr="00097A86">
        <w:t>e tonnes.</w:t>
      </w:r>
    </w:p>
    <w:p w14:paraId="183FF24A" w14:textId="77777777" w:rsidR="00C809FB" w:rsidRPr="00097A86" w:rsidRDefault="0026415B" w:rsidP="00C809FB">
      <w:pPr>
        <w:pStyle w:val="Definition"/>
      </w:pPr>
      <w:r w:rsidRPr="00097A86">
        <w:rPr>
          <w:b/>
          <w:i/>
        </w:rPr>
        <w:t>Q</w:t>
      </w:r>
      <w:r w:rsidRPr="00097A86">
        <w:rPr>
          <w:b/>
          <w:i/>
          <w:vertAlign w:val="subscript"/>
        </w:rPr>
        <w:t>h</w:t>
      </w:r>
      <w:r w:rsidRPr="00097A86">
        <w:rPr>
          <w:i/>
        </w:rPr>
        <w:t xml:space="preserve"> </w:t>
      </w:r>
      <w:r w:rsidRPr="00097A86">
        <w:t>is the total quantity of hydrocarbons (</w:t>
      </w:r>
      <w:r w:rsidRPr="00097A86">
        <w:rPr>
          <w:b/>
          <w:i/>
        </w:rPr>
        <w:t>h</w:t>
      </w:r>
      <w:r w:rsidRPr="00097A86">
        <w:t>) within the fuel type (</w:t>
      </w:r>
      <w:r w:rsidRPr="00097A86">
        <w:rPr>
          <w:b/>
          <w:i/>
        </w:rPr>
        <w:t>i</w:t>
      </w:r>
      <w:r w:rsidRPr="00097A86">
        <w:t>) in crude oil refining during the year, measured in tonnes in accordance with Division</w:t>
      </w:r>
      <w:r w:rsidR="00097A86">
        <w:t> </w:t>
      </w:r>
      <w:r w:rsidRPr="00097A86">
        <w:t>2.3.3.</w:t>
      </w:r>
    </w:p>
    <w:p w14:paraId="683EB82E" w14:textId="77777777" w:rsidR="00C809FB" w:rsidRPr="00097A86" w:rsidRDefault="0026415B" w:rsidP="00C809FB">
      <w:pPr>
        <w:pStyle w:val="Definition"/>
      </w:pPr>
      <w:r w:rsidRPr="00097A86">
        <w:rPr>
          <w:b/>
          <w:i/>
        </w:rPr>
        <w:t>EF</w:t>
      </w:r>
      <w:r w:rsidRPr="00097A86">
        <w:rPr>
          <w:b/>
          <w:i/>
          <w:vertAlign w:val="subscript"/>
        </w:rPr>
        <w:t>h</w:t>
      </w:r>
      <w:r w:rsidRPr="00097A86">
        <w:t xml:space="preserve"> is the emission factor for the total hydrocarbons (</w:t>
      </w:r>
      <w:r w:rsidRPr="00097A86">
        <w:rPr>
          <w:b/>
          <w:i/>
        </w:rPr>
        <w:t>h</w:t>
      </w:r>
      <w:r w:rsidRPr="00097A86">
        <w:t>) within the fuel type (</w:t>
      </w:r>
      <w:r w:rsidRPr="00097A86">
        <w:rPr>
          <w:b/>
          <w:i/>
        </w:rPr>
        <w:t>i</w:t>
      </w:r>
      <w:r w:rsidRPr="00097A86">
        <w:t>) in the crude oil refining during the year, measured in CO</w:t>
      </w:r>
      <w:r w:rsidRPr="00097A86">
        <w:rPr>
          <w:vertAlign w:val="subscript"/>
        </w:rPr>
        <w:t>2</w:t>
      </w:r>
      <w:r w:rsidR="00097A86">
        <w:noBreakHyphen/>
      </w:r>
      <w:r w:rsidRPr="00097A86">
        <w:t>e tonnes per tonne of fuel type (</w:t>
      </w:r>
      <w:r w:rsidRPr="00097A86">
        <w:rPr>
          <w:b/>
          <w:i/>
        </w:rPr>
        <w:t>i</w:t>
      </w:r>
      <w:r w:rsidRPr="00097A86">
        <w:t>) flared, estimated in accordance with method 2 in Division</w:t>
      </w:r>
      <w:r w:rsidR="00097A86">
        <w:t> </w:t>
      </w:r>
      <w:r w:rsidRPr="00097A86">
        <w:t>2.3.3.</w:t>
      </w:r>
    </w:p>
    <w:p w14:paraId="492C987F" w14:textId="77777777" w:rsidR="00E76D51" w:rsidRPr="00097A86" w:rsidRDefault="00E76D51" w:rsidP="00E76D51">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4EE32D88" w14:textId="77777777" w:rsidR="00C809FB" w:rsidRPr="00097A86" w:rsidRDefault="0026415B" w:rsidP="00C809FB">
      <w:pPr>
        <w:pStyle w:val="Definition"/>
      </w:pPr>
      <w:r w:rsidRPr="00097A86">
        <w:rPr>
          <w:b/>
          <w:i/>
        </w:rPr>
        <w:t>QCO</w:t>
      </w:r>
      <w:r w:rsidRPr="00097A86">
        <w:rPr>
          <w:b/>
          <w:i/>
          <w:vertAlign w:val="subscript"/>
        </w:rPr>
        <w:t>2</w:t>
      </w:r>
      <w:r w:rsidRPr="00097A86">
        <w:t xml:space="preserve"> is the quantity of CO</w:t>
      </w:r>
      <w:r w:rsidRPr="00097A86">
        <w:rPr>
          <w:vertAlign w:val="subscript"/>
        </w:rPr>
        <w:t>2</w:t>
      </w:r>
      <w:r w:rsidRPr="00097A86">
        <w:t xml:space="preserve"> within the fuel type (</w:t>
      </w:r>
      <w:r w:rsidRPr="00097A86">
        <w:rPr>
          <w:b/>
          <w:i/>
        </w:rPr>
        <w:t>i</w:t>
      </w:r>
      <w:r w:rsidRPr="00097A86">
        <w:t>) in the crude oil refining during the year, measured in CO</w:t>
      </w:r>
      <w:r w:rsidRPr="00097A86">
        <w:rPr>
          <w:vertAlign w:val="subscript"/>
        </w:rPr>
        <w:t>2</w:t>
      </w:r>
      <w:r w:rsidR="00097A86">
        <w:noBreakHyphen/>
      </w:r>
      <w:r w:rsidRPr="00097A86">
        <w:t>e tonnes in accordance with Division</w:t>
      </w:r>
      <w:r w:rsidR="00097A86">
        <w:t> </w:t>
      </w:r>
      <w:r w:rsidRPr="00097A86">
        <w:t>2.3.3.</w:t>
      </w:r>
    </w:p>
    <w:p w14:paraId="7C569BBC" w14:textId="77777777" w:rsidR="005A6DC3" w:rsidRPr="00097A86" w:rsidRDefault="005A6DC3" w:rsidP="005A6DC3">
      <w:pPr>
        <w:pStyle w:val="ActHead5"/>
      </w:pPr>
      <w:bookmarkStart w:id="324" w:name="_Toc13233757"/>
      <w:r w:rsidRPr="00097A86">
        <w:rPr>
          <w:rStyle w:val="CharSectno"/>
        </w:rPr>
        <w:lastRenderedPageBreak/>
        <w:t>3.68A</w:t>
      </w:r>
      <w:r w:rsidRPr="00097A86">
        <w:t xml:space="preserve">   Method 2A—crude oil refining (flared methane or nitrous oxide emissions)</w:t>
      </w:r>
      <w:bookmarkEnd w:id="324"/>
    </w:p>
    <w:p w14:paraId="21A179A1" w14:textId="77777777" w:rsidR="005A6DC3" w:rsidRPr="00097A86" w:rsidRDefault="005A6DC3" w:rsidP="005A6DC3">
      <w:pPr>
        <w:pStyle w:val="subsection"/>
      </w:pPr>
      <w:r w:rsidRPr="00097A86">
        <w:tab/>
      </w:r>
      <w:r w:rsidRPr="00097A86">
        <w:tab/>
        <w:t>For subparagraphs</w:t>
      </w:r>
      <w:r w:rsidR="00097A86">
        <w:t> </w:t>
      </w:r>
      <w:r w:rsidRPr="00097A86">
        <w:t>3.62(4)(b)(ii) and (c)(ii), method 2A is:</w:t>
      </w:r>
    </w:p>
    <w:p w14:paraId="4AC3D28E" w14:textId="77777777" w:rsidR="005A6DC3" w:rsidRPr="00097A86" w:rsidRDefault="005A6DC3" w:rsidP="005A6DC3">
      <w:pPr>
        <w:pStyle w:val="subsection2"/>
      </w:pPr>
      <w:r w:rsidRPr="00097A86">
        <w:object w:dxaOrig="2079" w:dyaOrig="440" w14:anchorId="6A5B22C9">
          <v:shape id="_x0000_i1031" type="#_x0000_t75" style="width:105pt;height:21.75pt" o:ole="">
            <v:imagedata r:id="rId101" o:title=""/>
          </v:shape>
          <o:OLEObject Type="Embed" ProgID="Equation.DSMT4" ShapeID="_x0000_i1031" DrawAspect="Content" ObjectID="_1624711035" r:id="rId102"/>
        </w:object>
      </w:r>
    </w:p>
    <w:p w14:paraId="55716CD9" w14:textId="77777777" w:rsidR="005A6DC3" w:rsidRPr="00097A86" w:rsidRDefault="005A6DC3" w:rsidP="005A6DC3">
      <w:pPr>
        <w:pStyle w:val="subsection2"/>
      </w:pPr>
      <w:r w:rsidRPr="00097A86">
        <w:t>where:</w:t>
      </w:r>
    </w:p>
    <w:p w14:paraId="7B69A3CF" w14:textId="77777777" w:rsidR="005A6DC3" w:rsidRPr="00097A86" w:rsidRDefault="005A6DC3" w:rsidP="005A6DC3">
      <w:pPr>
        <w:pStyle w:val="Definition"/>
      </w:pPr>
      <w:r w:rsidRPr="00097A86">
        <w:rPr>
          <w:b/>
          <w:i/>
        </w:rPr>
        <w:t>EF</w:t>
      </w:r>
      <w:r w:rsidRPr="00097A86">
        <w:rPr>
          <w:b/>
          <w:i/>
          <w:vertAlign w:val="subscript"/>
        </w:rPr>
        <w:t>hij</w:t>
      </w:r>
      <w:r w:rsidRPr="00097A86">
        <w:t xml:space="preserve"> is the emission factor of gas type (</w:t>
      </w:r>
      <w:r w:rsidRPr="00097A86">
        <w:rPr>
          <w:b/>
          <w:i/>
        </w:rPr>
        <w:t>j</w:t>
      </w:r>
      <w:r w:rsidRPr="00097A86">
        <w:t>), being methane or nitrous oxide, for the total hydrocarbons (</w:t>
      </w:r>
      <w:r w:rsidRPr="00097A86">
        <w:rPr>
          <w:b/>
          <w:i/>
        </w:rPr>
        <w:t>h</w:t>
      </w:r>
      <w:r w:rsidRPr="00097A86">
        <w:t>) within the fuel type (</w:t>
      </w:r>
      <w:r w:rsidRPr="00097A86">
        <w:rPr>
          <w:b/>
          <w:i/>
        </w:rPr>
        <w:t>i</w:t>
      </w:r>
      <w:r w:rsidRPr="00097A86">
        <w:t>) in crude oil refining during the year, mentioned for the fuel type in the table in subsection</w:t>
      </w:r>
      <w:r w:rsidR="00097A86">
        <w:t> </w:t>
      </w:r>
      <w:r w:rsidRPr="00097A86">
        <w:t>3.67(2) and measured in CO</w:t>
      </w:r>
      <w:r w:rsidRPr="00097A86">
        <w:rPr>
          <w:vertAlign w:val="subscript"/>
        </w:rPr>
        <w:t>2</w:t>
      </w:r>
      <w:r w:rsidR="00097A86">
        <w:noBreakHyphen/>
      </w:r>
      <w:r w:rsidRPr="00097A86">
        <w:t>e tonnes per tonne of the fuel type (</w:t>
      </w:r>
      <w:r w:rsidRPr="00097A86">
        <w:rPr>
          <w:b/>
          <w:i/>
        </w:rPr>
        <w:t>i</w:t>
      </w:r>
      <w:r w:rsidRPr="00097A86">
        <w:t>) flared.</w:t>
      </w:r>
    </w:p>
    <w:p w14:paraId="1EBE3A61" w14:textId="77777777" w:rsidR="005A6DC3" w:rsidRPr="00097A86" w:rsidRDefault="005A6DC3" w:rsidP="005A6DC3">
      <w:pPr>
        <w:pStyle w:val="Definition"/>
      </w:pPr>
      <w:r w:rsidRPr="00097A86">
        <w:rPr>
          <w:b/>
          <w:i/>
        </w:rPr>
        <w:t>E</w:t>
      </w:r>
      <w:r w:rsidRPr="00097A86">
        <w:rPr>
          <w:b/>
          <w:i/>
          <w:vertAlign w:val="subscript"/>
        </w:rPr>
        <w:t>ij</w:t>
      </w:r>
      <w:r w:rsidRPr="00097A86">
        <w:t xml:space="preserve"> is the fugitive emissions of gas type (</w:t>
      </w:r>
      <w:r w:rsidRPr="00097A86">
        <w:rPr>
          <w:b/>
          <w:i/>
        </w:rPr>
        <w:t>j</w:t>
      </w:r>
      <w:r w:rsidRPr="00097A86">
        <w:t>), being methane or nitrous oxide, from fuel type (</w:t>
      </w:r>
      <w:r w:rsidRPr="00097A86">
        <w:rPr>
          <w:b/>
          <w:i/>
        </w:rPr>
        <w:t>i</w:t>
      </w:r>
      <w:r w:rsidRPr="00097A86">
        <w:t>) flared</w:t>
      </w:r>
      <w:r w:rsidRPr="00097A86">
        <w:rPr>
          <w:i/>
        </w:rPr>
        <w:t xml:space="preserve"> </w:t>
      </w:r>
      <w:r w:rsidRPr="00097A86">
        <w:t>from crude oil refining during the year, measured in CO</w:t>
      </w:r>
      <w:r w:rsidRPr="00097A86">
        <w:rPr>
          <w:vertAlign w:val="subscript"/>
        </w:rPr>
        <w:t>2</w:t>
      </w:r>
      <w:r w:rsidR="00097A86">
        <w:noBreakHyphen/>
      </w:r>
      <w:r w:rsidRPr="00097A86">
        <w:t>e tonnes.</w:t>
      </w:r>
    </w:p>
    <w:p w14:paraId="02D27096" w14:textId="77777777" w:rsidR="005A6DC3" w:rsidRPr="00097A86" w:rsidRDefault="005A6DC3" w:rsidP="005A6DC3">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5E35D9B2" w14:textId="77777777" w:rsidR="005A6DC3" w:rsidRPr="00097A86" w:rsidRDefault="005A6DC3" w:rsidP="005A6DC3">
      <w:pPr>
        <w:pStyle w:val="Definition"/>
      </w:pPr>
      <w:r w:rsidRPr="00097A86">
        <w:rPr>
          <w:b/>
          <w:i/>
        </w:rPr>
        <w:t>Q</w:t>
      </w:r>
      <w:r w:rsidRPr="00097A86">
        <w:rPr>
          <w:b/>
          <w:i/>
          <w:vertAlign w:val="subscript"/>
        </w:rPr>
        <w:t>h</w:t>
      </w:r>
      <w:r w:rsidRPr="00097A86">
        <w:t xml:space="preserve"> is the total quantity of hydrocarbons (</w:t>
      </w:r>
      <w:r w:rsidRPr="00097A86">
        <w:rPr>
          <w:b/>
          <w:i/>
        </w:rPr>
        <w:t>h</w:t>
      </w:r>
      <w:r w:rsidRPr="00097A86">
        <w:t>) within the fuel type (</w:t>
      </w:r>
      <w:r w:rsidRPr="00097A86">
        <w:rPr>
          <w:b/>
          <w:i/>
        </w:rPr>
        <w:t>i</w:t>
      </w:r>
      <w:r w:rsidRPr="00097A86">
        <w:t>) in crude oil refining during the year, measured in tonnes in accordance with Division</w:t>
      </w:r>
      <w:r w:rsidR="00097A86">
        <w:t> </w:t>
      </w:r>
      <w:r w:rsidRPr="00097A86">
        <w:t>2.3.3.</w:t>
      </w:r>
    </w:p>
    <w:p w14:paraId="52ED6C24" w14:textId="77777777" w:rsidR="003F0D4E" w:rsidRPr="00097A86" w:rsidRDefault="003F0D4E" w:rsidP="00C809FB">
      <w:pPr>
        <w:pStyle w:val="ActHead5"/>
      </w:pPr>
      <w:bookmarkStart w:id="325" w:name="_Toc13233758"/>
      <w:r w:rsidRPr="00097A86">
        <w:t>3.69</w:t>
      </w:r>
      <w:r w:rsidR="00D22D3F" w:rsidRPr="00097A86">
        <w:t xml:space="preserve">  </w:t>
      </w:r>
      <w:r w:rsidRPr="00097A86">
        <w:t>Method 3</w:t>
      </w:r>
      <w:r w:rsidR="00D22D3F" w:rsidRPr="00097A86">
        <w:t>—</w:t>
      </w:r>
      <w:r w:rsidRPr="00097A86">
        <w:t>gas flared from crude oil refining</w:t>
      </w:r>
      <w:bookmarkEnd w:id="325"/>
    </w:p>
    <w:p w14:paraId="795A6FD3" w14:textId="77777777" w:rsidR="003F0D4E" w:rsidRPr="00097A86" w:rsidRDefault="003F0D4E" w:rsidP="00D22D3F">
      <w:pPr>
        <w:pStyle w:val="subsection"/>
      </w:pPr>
      <w:r w:rsidRPr="00097A86">
        <w:tab/>
      </w:r>
      <w:r w:rsidRPr="00097A86">
        <w:tab/>
      </w:r>
      <w:r w:rsidR="0026415B" w:rsidRPr="00097A86">
        <w:t>For subparagraph</w:t>
      </w:r>
      <w:r w:rsidR="00097A86">
        <w:t> </w:t>
      </w:r>
      <w:r w:rsidR="0026415B" w:rsidRPr="00097A86">
        <w:t>3.62(4)(a)(iii), method 3 is the same as method 2 under section</w:t>
      </w:r>
      <w:r w:rsidR="00097A86">
        <w:t> </w:t>
      </w:r>
      <w:r w:rsidR="0026415B" w:rsidRPr="00097A86">
        <w:t xml:space="preserve">3.68, </w:t>
      </w:r>
      <w:r w:rsidRPr="00097A86">
        <w:t xml:space="preserve">but the emission factor </w:t>
      </w:r>
      <w:r w:rsidRPr="00097A86">
        <w:rPr>
          <w:b/>
          <w:i/>
        </w:rPr>
        <w:t>EF</w:t>
      </w:r>
      <w:r w:rsidRPr="00097A86">
        <w:rPr>
          <w:b/>
          <w:i/>
          <w:vertAlign w:val="subscript"/>
        </w:rPr>
        <w:t>ij</w:t>
      </w:r>
      <w:r w:rsidRPr="00097A86">
        <w:t xml:space="preserve"> must be determined in accordance with method 3 for the consumption of gaseous fuels as specified in Division</w:t>
      </w:r>
      <w:r w:rsidR="00097A86">
        <w:t> </w:t>
      </w:r>
      <w:r w:rsidRPr="00097A86">
        <w:t>2.3.4.</w:t>
      </w:r>
    </w:p>
    <w:p w14:paraId="1D80EE30" w14:textId="77777777" w:rsidR="00AB7F6C" w:rsidRPr="00097A86" w:rsidRDefault="00AB7F6C" w:rsidP="00D22D3F">
      <w:pPr>
        <w:pStyle w:val="ActHead3"/>
        <w:pageBreakBefore/>
      </w:pPr>
      <w:bookmarkStart w:id="326" w:name="_Toc13233759"/>
      <w:r w:rsidRPr="00097A86">
        <w:rPr>
          <w:rStyle w:val="CharDivNo"/>
        </w:rPr>
        <w:lastRenderedPageBreak/>
        <w:t>Division</w:t>
      </w:r>
      <w:r w:rsidR="00097A86">
        <w:rPr>
          <w:rStyle w:val="CharDivNo"/>
        </w:rPr>
        <w:t> </w:t>
      </w:r>
      <w:r w:rsidRPr="00097A86">
        <w:rPr>
          <w:rStyle w:val="CharDivNo"/>
        </w:rPr>
        <w:t>3.3.6</w:t>
      </w:r>
      <w:r w:rsidR="00D22D3F" w:rsidRPr="00097A86">
        <w:t>—</w:t>
      </w:r>
      <w:r w:rsidRPr="00097A86">
        <w:rPr>
          <w:rStyle w:val="CharDivText"/>
        </w:rPr>
        <w:t>Natural gas production or processing, other than emissions that are vented or flared</w:t>
      </w:r>
      <w:bookmarkEnd w:id="326"/>
    </w:p>
    <w:p w14:paraId="763E56B7" w14:textId="77777777" w:rsidR="006D2A43" w:rsidRPr="00097A86" w:rsidRDefault="006D2A43" w:rsidP="00D22D3F">
      <w:pPr>
        <w:pStyle w:val="ActHead5"/>
      </w:pPr>
      <w:bookmarkStart w:id="327" w:name="_Toc13233760"/>
      <w:r w:rsidRPr="00097A86">
        <w:rPr>
          <w:rStyle w:val="CharSectno"/>
        </w:rPr>
        <w:t>3.70</w:t>
      </w:r>
      <w:r w:rsidR="00D22D3F" w:rsidRPr="00097A86">
        <w:t xml:space="preserve">  </w:t>
      </w:r>
      <w:r w:rsidRPr="00097A86">
        <w:t>Application</w:t>
      </w:r>
      <w:bookmarkEnd w:id="327"/>
    </w:p>
    <w:p w14:paraId="50919BEC" w14:textId="77777777" w:rsidR="006D2A43" w:rsidRPr="00097A86" w:rsidRDefault="006D2A43" w:rsidP="00D22D3F">
      <w:pPr>
        <w:pStyle w:val="subsection"/>
      </w:pPr>
      <w:r w:rsidRPr="00097A86">
        <w:tab/>
      </w:r>
      <w:r w:rsidRPr="00097A86">
        <w:tab/>
        <w:t>This Division applies to fugitive emissions from natural gas production or processing activities, other than emissions that are vented or flared, including emissions from:</w:t>
      </w:r>
    </w:p>
    <w:p w14:paraId="7D1786DF" w14:textId="77777777" w:rsidR="006D2A43" w:rsidRPr="00097A86" w:rsidRDefault="006D2A43" w:rsidP="00D22D3F">
      <w:pPr>
        <w:pStyle w:val="paragraph"/>
      </w:pPr>
      <w:r w:rsidRPr="00097A86">
        <w:tab/>
        <w:t>(a)</w:t>
      </w:r>
      <w:r w:rsidRPr="00097A86">
        <w:tab/>
        <w:t>a gas wellhead through to the inlet of gas processing plants; and</w:t>
      </w:r>
    </w:p>
    <w:p w14:paraId="0A9E068F" w14:textId="77777777" w:rsidR="006D2A43" w:rsidRPr="00097A86" w:rsidRDefault="006D2A43" w:rsidP="00D22D3F">
      <w:pPr>
        <w:pStyle w:val="paragraph"/>
      </w:pPr>
      <w:r w:rsidRPr="00097A86">
        <w:tab/>
        <w:t>(b)</w:t>
      </w:r>
      <w:r w:rsidRPr="00097A86">
        <w:tab/>
        <w:t>a gas wellhead through to the tie</w:t>
      </w:r>
      <w:r w:rsidR="00097A86">
        <w:noBreakHyphen/>
      </w:r>
      <w:r w:rsidRPr="00097A86">
        <w:t>in points on gas transmission systems, if processing of natural gas is not required; and</w:t>
      </w:r>
    </w:p>
    <w:p w14:paraId="6B6E6501" w14:textId="77777777" w:rsidR="006D2A43" w:rsidRPr="00097A86" w:rsidRDefault="006D2A43" w:rsidP="00D22D3F">
      <w:pPr>
        <w:pStyle w:val="paragraph"/>
      </w:pPr>
      <w:r w:rsidRPr="00097A86">
        <w:tab/>
        <w:t>(c)</w:t>
      </w:r>
      <w:r w:rsidRPr="00097A86">
        <w:tab/>
        <w:t>gas processing plants; and</w:t>
      </w:r>
    </w:p>
    <w:p w14:paraId="0525B507" w14:textId="77777777" w:rsidR="006D2A43" w:rsidRPr="00097A86" w:rsidRDefault="006D2A43" w:rsidP="00D22D3F">
      <w:pPr>
        <w:pStyle w:val="paragraph"/>
      </w:pPr>
      <w:r w:rsidRPr="00097A86">
        <w:tab/>
        <w:t>(d)</w:t>
      </w:r>
      <w:r w:rsidRPr="00097A86">
        <w:tab/>
        <w:t>well servicing; and</w:t>
      </w:r>
    </w:p>
    <w:p w14:paraId="129E831F" w14:textId="77777777" w:rsidR="006D2A43" w:rsidRPr="00097A86" w:rsidRDefault="006D2A43" w:rsidP="00D22D3F">
      <w:pPr>
        <w:pStyle w:val="paragraph"/>
      </w:pPr>
      <w:r w:rsidRPr="00097A86">
        <w:tab/>
        <w:t>(e)</w:t>
      </w:r>
      <w:r w:rsidRPr="00097A86">
        <w:tab/>
        <w:t>gas gathering; and</w:t>
      </w:r>
    </w:p>
    <w:p w14:paraId="6618EADD" w14:textId="77777777" w:rsidR="006D2A43" w:rsidRPr="00097A86" w:rsidRDefault="006D2A43" w:rsidP="00D22D3F">
      <w:pPr>
        <w:pStyle w:val="paragraph"/>
      </w:pPr>
      <w:r w:rsidRPr="00097A86">
        <w:tab/>
        <w:t>(f)</w:t>
      </w:r>
      <w:r w:rsidRPr="00097A86">
        <w:tab/>
        <w:t>gas processing and associated waste water disposal and acid gas disposal activities.</w:t>
      </w:r>
    </w:p>
    <w:p w14:paraId="64F71FBC" w14:textId="77777777" w:rsidR="003F0D4E" w:rsidRPr="00097A86" w:rsidRDefault="003F0D4E" w:rsidP="00D22D3F">
      <w:pPr>
        <w:pStyle w:val="ActHead5"/>
      </w:pPr>
      <w:bookmarkStart w:id="328" w:name="_Toc13233761"/>
      <w:r w:rsidRPr="00097A86">
        <w:rPr>
          <w:rStyle w:val="CharSectno"/>
        </w:rPr>
        <w:t>3.71</w:t>
      </w:r>
      <w:r w:rsidR="00D22D3F" w:rsidRPr="00097A86">
        <w:t xml:space="preserve">  </w:t>
      </w:r>
      <w:r w:rsidRPr="00097A86">
        <w:t>Available methods</w:t>
      </w:r>
      <w:bookmarkEnd w:id="328"/>
    </w:p>
    <w:p w14:paraId="77896E5F"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w:t>
      </w:r>
      <w:r w:rsidRPr="00097A86">
        <w:rPr>
          <w:i/>
        </w:rPr>
        <w:t xml:space="preserve"> </w:t>
      </w:r>
      <w:r w:rsidRPr="00097A86">
        <w:t>be used for estimating fugitive emissions of methane (other than emissions that are vented or flared) released during a year from the operation of a facility that is constituted by natural gas production and processing:</w:t>
      </w:r>
    </w:p>
    <w:p w14:paraId="6E5C351C" w14:textId="77777777" w:rsidR="003F0D4E" w:rsidRPr="00097A86" w:rsidRDefault="003F0D4E" w:rsidP="00D22D3F">
      <w:pPr>
        <w:pStyle w:val="paragraph"/>
      </w:pPr>
      <w:r w:rsidRPr="00097A86">
        <w:tab/>
        <w:t>(a)</w:t>
      </w:r>
      <w:r w:rsidRPr="00097A86">
        <w:tab/>
        <w:t>method 1 under section</w:t>
      </w:r>
      <w:r w:rsidR="00097A86">
        <w:t> </w:t>
      </w:r>
      <w:r w:rsidRPr="00097A86">
        <w:t>3.72;</w:t>
      </w:r>
    </w:p>
    <w:p w14:paraId="626E6416" w14:textId="77777777" w:rsidR="003F0D4E" w:rsidRPr="00097A86" w:rsidRDefault="003F0D4E" w:rsidP="00D22D3F">
      <w:pPr>
        <w:pStyle w:val="paragraph"/>
      </w:pPr>
      <w:r w:rsidRPr="00097A86">
        <w:tab/>
        <w:t>(b)</w:t>
      </w:r>
      <w:r w:rsidRPr="00097A86">
        <w:tab/>
        <w:t>method 2 under section</w:t>
      </w:r>
      <w:r w:rsidR="00097A86">
        <w:t> </w:t>
      </w:r>
      <w:r w:rsidRPr="00097A86">
        <w:t>3.73.</w:t>
      </w:r>
    </w:p>
    <w:p w14:paraId="40029601" w14:textId="77777777" w:rsidR="003F0D4E" w:rsidRPr="00097A86" w:rsidRDefault="00D22D3F" w:rsidP="00D22D3F">
      <w:pPr>
        <w:pStyle w:val="notetext"/>
      </w:pPr>
      <w:r w:rsidRPr="00097A86">
        <w:t>Note:</w:t>
      </w:r>
      <w:r w:rsidRPr="00097A86">
        <w:tab/>
      </w:r>
      <w:r w:rsidR="003F0D4E" w:rsidRPr="00097A86">
        <w:t>There is no method 3 or 4 for this Division.</w:t>
      </w:r>
    </w:p>
    <w:p w14:paraId="3E41816D"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720EFD00" w14:textId="77777777" w:rsidR="003F0D4E" w:rsidRPr="00097A86" w:rsidRDefault="003F0D4E" w:rsidP="00D22D3F">
      <w:pPr>
        <w:pStyle w:val="ActHead5"/>
      </w:pPr>
      <w:bookmarkStart w:id="329" w:name="_Toc13233762"/>
      <w:r w:rsidRPr="00097A86">
        <w:rPr>
          <w:rStyle w:val="CharSectno"/>
        </w:rPr>
        <w:t>3.72</w:t>
      </w:r>
      <w:r w:rsidR="00D22D3F" w:rsidRPr="00097A86">
        <w:t xml:space="preserve">  </w:t>
      </w:r>
      <w:r w:rsidRPr="00097A86">
        <w:t>Method 1</w:t>
      </w:r>
      <w:r w:rsidR="00D22D3F" w:rsidRPr="00097A86">
        <w:t>—</w:t>
      </w:r>
      <w:r w:rsidRPr="00097A86">
        <w:t>natural gas production and processing (other than emissions that are vented or flared)</w:t>
      </w:r>
      <w:bookmarkEnd w:id="329"/>
    </w:p>
    <w:p w14:paraId="440CD100" w14:textId="77777777" w:rsidR="003F0D4E" w:rsidRPr="00097A86" w:rsidRDefault="003F0D4E" w:rsidP="00D22D3F">
      <w:pPr>
        <w:pStyle w:val="subsection"/>
      </w:pPr>
      <w:r w:rsidRPr="00097A86">
        <w:tab/>
        <w:t>(1)</w:t>
      </w:r>
      <w:r w:rsidRPr="00097A86">
        <w:tab/>
        <w:t>Method 1 is:</w:t>
      </w:r>
    </w:p>
    <w:p w14:paraId="3ABACB56"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45525F39" wp14:editId="041BDE42">
            <wp:extent cx="2581275" cy="2571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581275" cy="257175"/>
                    </a:xfrm>
                    <a:prstGeom prst="rect">
                      <a:avLst/>
                    </a:prstGeom>
                    <a:noFill/>
                    <a:ln>
                      <a:noFill/>
                    </a:ln>
                  </pic:spPr>
                </pic:pic>
              </a:graphicData>
            </a:graphic>
          </wp:inline>
        </w:drawing>
      </w:r>
    </w:p>
    <w:p w14:paraId="2B177005" w14:textId="77777777" w:rsidR="003F0D4E" w:rsidRPr="00097A86" w:rsidRDefault="003F0D4E" w:rsidP="00D22D3F">
      <w:pPr>
        <w:pStyle w:val="subsection2"/>
      </w:pPr>
      <w:r w:rsidRPr="00097A86">
        <w:t>where:</w:t>
      </w:r>
    </w:p>
    <w:p w14:paraId="3D31381F"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(other than emissions that are vented or flared) from the natural gas production and processing during the year measured in CO</w:t>
      </w:r>
      <w:r w:rsidRPr="00097A86">
        <w:rPr>
          <w:rStyle w:val="charSubscript"/>
          <w:iCs/>
        </w:rPr>
        <w:t>2</w:t>
      </w:r>
      <w:r w:rsidR="00097A86">
        <w:noBreakHyphen/>
      </w:r>
      <w:r w:rsidRPr="00097A86">
        <w:t>e tonnes.</w:t>
      </w:r>
    </w:p>
    <w:p w14:paraId="2442E1F8"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total emissions of methane (</w:t>
      </w:r>
      <w:r w:rsidRPr="00097A86">
        <w:rPr>
          <w:b/>
          <w:i/>
        </w:rPr>
        <w:t>j</w:t>
      </w:r>
      <w:r w:rsidRPr="00097A86">
        <w:t>), measured in CO</w:t>
      </w:r>
      <w:r w:rsidRPr="00097A86">
        <w:rPr>
          <w:rStyle w:val="charSubscript"/>
          <w:iCs/>
        </w:rPr>
        <w:t>2</w:t>
      </w:r>
      <w:r w:rsidR="00097A86">
        <w:noBreakHyphen/>
      </w:r>
      <w:r w:rsidRPr="00097A86">
        <w:t>e tonnes and estimated by summing up the emissions released from each equipment type (</w:t>
      </w:r>
      <w:r w:rsidRPr="00097A86">
        <w:rPr>
          <w:b/>
          <w:i/>
        </w:rPr>
        <w:t>k</w:t>
      </w:r>
      <w:r w:rsidRPr="00097A86">
        <w:t xml:space="preserve">) specified in column 2 of an item in the table in </w:t>
      </w:r>
      <w:r w:rsidR="00097A86">
        <w:t>subsection (</w:t>
      </w:r>
      <w:r w:rsidRPr="00097A86">
        <w:t>2), if the equipment is used in the natural gas production and processing.</w:t>
      </w:r>
    </w:p>
    <w:p w14:paraId="34E39F5E" w14:textId="77777777" w:rsidR="003F0D4E" w:rsidRPr="00097A86" w:rsidRDefault="003F0D4E" w:rsidP="00D22D3F">
      <w:pPr>
        <w:pStyle w:val="Definition"/>
      </w:pPr>
      <w:r w:rsidRPr="00097A86">
        <w:rPr>
          <w:b/>
          <w:i/>
        </w:rPr>
        <w:lastRenderedPageBreak/>
        <w:t>Q</w:t>
      </w:r>
      <w:r w:rsidRPr="00097A86">
        <w:rPr>
          <w:b/>
          <w:i/>
          <w:vertAlign w:val="subscript"/>
        </w:rPr>
        <w:t xml:space="preserve">ik </w:t>
      </w:r>
      <w:r w:rsidRPr="00097A86">
        <w:t>is the total of the quantities of natural gas that pass through each equipment type (</w:t>
      </w:r>
      <w:r w:rsidRPr="00097A86">
        <w:rPr>
          <w:b/>
          <w:i/>
        </w:rPr>
        <w:t>k</w:t>
      </w:r>
      <w:r w:rsidRPr="00097A86">
        <w:t>), or the number of equipment units of type (</w:t>
      </w:r>
      <w:r w:rsidRPr="00097A86">
        <w:rPr>
          <w:b/>
          <w:i/>
        </w:rPr>
        <w:t>k</w:t>
      </w:r>
      <w:r w:rsidRPr="00097A86">
        <w:t xml:space="preserve">) specified in column 2 of the table in </w:t>
      </w:r>
      <w:r w:rsidR="00097A86">
        <w:t>subsection (</w:t>
      </w:r>
      <w:r w:rsidRPr="00097A86">
        <w:t>2), measured in tonnes.</w:t>
      </w:r>
    </w:p>
    <w:p w14:paraId="1B659C70" w14:textId="77777777" w:rsidR="003F0D4E" w:rsidRPr="00097A86" w:rsidRDefault="003F0D4E" w:rsidP="00D22D3F">
      <w:pPr>
        <w:pStyle w:val="Definition"/>
      </w:pPr>
      <w:r w:rsidRPr="00097A86">
        <w:rPr>
          <w:b/>
          <w:i/>
        </w:rPr>
        <w:t>EF</w:t>
      </w:r>
      <w:r w:rsidRPr="00097A86">
        <w:rPr>
          <w:b/>
          <w:i/>
          <w:vertAlign w:val="subscript"/>
        </w:rPr>
        <w:t>ijk</w:t>
      </w:r>
      <w:r w:rsidRPr="00097A86">
        <w:rPr>
          <w:b/>
          <w:i/>
        </w:rPr>
        <w:t xml:space="preserve"> </w:t>
      </w:r>
      <w:r w:rsidRPr="00097A86">
        <w:t>is the emission factor for methane (</w:t>
      </w:r>
      <w:r w:rsidRPr="00097A86">
        <w:rPr>
          <w:b/>
          <w:i/>
        </w:rPr>
        <w:t>j</w:t>
      </w:r>
      <w:r w:rsidRPr="00097A86">
        <w:t>) measured in CO</w:t>
      </w:r>
      <w:r w:rsidRPr="00097A86">
        <w:rPr>
          <w:rStyle w:val="charSubscript"/>
          <w:iCs/>
        </w:rPr>
        <w:t>2</w:t>
      </w:r>
      <w:r w:rsidR="00097A86">
        <w:noBreakHyphen/>
      </w:r>
      <w:r w:rsidRPr="00097A86">
        <w:t>e tonnes per tonne of natural gas that passes through each equipment type (</w:t>
      </w:r>
      <w:r w:rsidRPr="00097A86">
        <w:rPr>
          <w:b/>
          <w:i/>
        </w:rPr>
        <w:t>k</w:t>
      </w:r>
      <w:r w:rsidRPr="00097A86">
        <w:t>) during the year if the equipment is used in the natural gas production and processing.</w:t>
      </w:r>
    </w:p>
    <w:p w14:paraId="242F2C83"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total quantity of natural gas (</w:t>
      </w:r>
      <w:r w:rsidRPr="00097A86">
        <w:rPr>
          <w:b/>
          <w:i/>
        </w:rPr>
        <w:t>i</w:t>
      </w:r>
      <w:r w:rsidRPr="00097A86">
        <w:t>) that passes through the natural gas production and processing measured in tonnes.</w:t>
      </w:r>
    </w:p>
    <w:p w14:paraId="40CB5D6E" w14:textId="77777777" w:rsidR="003F0D4E" w:rsidRPr="00097A86" w:rsidRDefault="003F0D4E" w:rsidP="00D22D3F">
      <w:pPr>
        <w:pStyle w:val="Definition"/>
      </w:pPr>
      <w:r w:rsidRPr="00097A86">
        <w:rPr>
          <w:b/>
          <w:i/>
        </w:rPr>
        <w:t>EF</w:t>
      </w:r>
      <w:r w:rsidRPr="00097A86">
        <w:rPr>
          <w:b/>
          <w:i/>
          <w:vertAlign w:val="subscript"/>
        </w:rPr>
        <w:t xml:space="preserve">(l) ij </w:t>
      </w:r>
      <w:r w:rsidRPr="00097A86">
        <w:t>is 1.2 x 10</w:t>
      </w:r>
      <w:r w:rsidR="00097A86">
        <w:rPr>
          <w:rStyle w:val="charSuperscript"/>
        </w:rPr>
        <w:noBreakHyphen/>
      </w:r>
      <w:r w:rsidRPr="00097A86">
        <w:rPr>
          <w:rStyle w:val="charSuperscript"/>
        </w:rPr>
        <w:t>3</w:t>
      </w:r>
      <w:r w:rsidRPr="00097A86">
        <w:t>, which is the emission factor for methane (</w:t>
      </w:r>
      <w:r w:rsidRPr="00097A86">
        <w:rPr>
          <w:b/>
          <w:i/>
        </w:rPr>
        <w:t>j</w:t>
      </w:r>
      <w:r w:rsidRPr="00097A86">
        <w:t xml:space="preserve">) from general leaks in the natural gas production and processing, measured in </w:t>
      </w:r>
      <w:r w:rsidRPr="00097A86">
        <w:rPr>
          <w:bCs/>
        </w:rPr>
        <w:t>CO</w:t>
      </w:r>
      <w:r w:rsidRPr="00097A86">
        <w:rPr>
          <w:rStyle w:val="charSubscript"/>
          <w:bCs/>
        </w:rPr>
        <w:t>2</w:t>
      </w:r>
      <w:r w:rsidR="00097A86">
        <w:rPr>
          <w:bCs/>
        </w:rPr>
        <w:noBreakHyphen/>
      </w:r>
      <w:r w:rsidRPr="00097A86">
        <w:rPr>
          <w:bCs/>
        </w:rPr>
        <w:t xml:space="preserve">e </w:t>
      </w:r>
      <w:r w:rsidRPr="00097A86">
        <w:t>tonnes per tonne of natural gas that passes through the natural gas production and processing.</w:t>
      </w:r>
    </w:p>
    <w:p w14:paraId="54CC1582"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rPr>
          <w:i/>
        </w:rPr>
        <w:t xml:space="preserve"> </w:t>
      </w:r>
      <w:r w:rsidRPr="00097A86">
        <w:t xml:space="preserve">in </w:t>
      </w:r>
      <w:r w:rsidR="00097A86">
        <w:t>subsection (</w:t>
      </w:r>
      <w:r w:rsidRPr="00097A86">
        <w:t>1), column 3 of an item in the following table specifies the emission factor for methane (</w:t>
      </w:r>
      <w:r w:rsidRPr="00097A86">
        <w:rPr>
          <w:b/>
          <w:i/>
        </w:rPr>
        <w:t>j</w:t>
      </w:r>
      <w:r w:rsidRPr="00097A86">
        <w:t>) for an equipment type (</w:t>
      </w:r>
      <w:r w:rsidRPr="00097A86">
        <w:rPr>
          <w:b/>
          <w:i/>
        </w:rPr>
        <w:t>k</w:t>
      </w:r>
      <w:r w:rsidRPr="00097A86">
        <w:t>) specified in column 2 of that item:</w:t>
      </w:r>
    </w:p>
    <w:p w14:paraId="3462002F"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91"/>
        <w:gridCol w:w="2725"/>
        <w:gridCol w:w="4497"/>
      </w:tblGrid>
      <w:tr w:rsidR="003F0D4E" w:rsidRPr="00097A86" w14:paraId="2FC09C64" w14:textId="77777777" w:rsidTr="00C20CC2">
        <w:tc>
          <w:tcPr>
            <w:tcW w:w="656" w:type="pct"/>
            <w:tcBorders>
              <w:top w:val="single" w:sz="12" w:space="0" w:color="auto"/>
              <w:bottom w:val="single" w:sz="12" w:space="0" w:color="auto"/>
            </w:tcBorders>
            <w:shd w:val="clear" w:color="auto" w:fill="auto"/>
          </w:tcPr>
          <w:p w14:paraId="2EADCA64" w14:textId="77777777" w:rsidR="003F0D4E" w:rsidRPr="00097A86" w:rsidRDefault="003F0D4E" w:rsidP="00D22D3F">
            <w:pPr>
              <w:pStyle w:val="TableHeading"/>
            </w:pPr>
            <w:r w:rsidRPr="00097A86">
              <w:t>Item</w:t>
            </w:r>
          </w:p>
        </w:tc>
        <w:tc>
          <w:tcPr>
            <w:tcW w:w="1639" w:type="pct"/>
            <w:tcBorders>
              <w:top w:val="single" w:sz="12" w:space="0" w:color="auto"/>
              <w:bottom w:val="single" w:sz="12" w:space="0" w:color="auto"/>
            </w:tcBorders>
            <w:shd w:val="clear" w:color="auto" w:fill="auto"/>
          </w:tcPr>
          <w:p w14:paraId="5C3A2476" w14:textId="77777777" w:rsidR="003F0D4E" w:rsidRPr="00097A86" w:rsidRDefault="003F0D4E" w:rsidP="00D22D3F">
            <w:pPr>
              <w:pStyle w:val="TableHeading"/>
            </w:pPr>
            <w:r w:rsidRPr="00097A86">
              <w:t>Equipment type (k)</w:t>
            </w:r>
          </w:p>
        </w:tc>
        <w:tc>
          <w:tcPr>
            <w:tcW w:w="2705" w:type="pct"/>
            <w:tcBorders>
              <w:top w:val="single" w:sz="12" w:space="0" w:color="auto"/>
              <w:bottom w:val="single" w:sz="12" w:space="0" w:color="auto"/>
            </w:tcBorders>
            <w:shd w:val="clear" w:color="auto" w:fill="auto"/>
          </w:tcPr>
          <w:p w14:paraId="3D959D4E" w14:textId="77777777" w:rsidR="003F0D4E" w:rsidRPr="00097A86" w:rsidRDefault="003F0D4E" w:rsidP="00D22D3F">
            <w:pPr>
              <w:pStyle w:val="TableHeading"/>
            </w:pPr>
            <w:r w:rsidRPr="00097A86">
              <w:t xml:space="preserve">Emission factor for methane (j) </w:t>
            </w:r>
            <w:r w:rsidRPr="00097A86">
              <w:br/>
              <w:t>(tonnes CO</w:t>
            </w:r>
            <w:r w:rsidRPr="00097A86">
              <w:rPr>
                <w:rStyle w:val="charSubscript"/>
                <w:bCs/>
              </w:rPr>
              <w:t>2</w:t>
            </w:r>
            <w:r w:rsidR="00097A86">
              <w:rPr>
                <w:rStyle w:val="charSubscript"/>
                <w:bCs/>
              </w:rPr>
              <w:noBreakHyphen/>
            </w:r>
            <w:r w:rsidRPr="00097A86">
              <w:rPr>
                <w:rStyle w:val="charSubscript"/>
                <w:bCs/>
              </w:rPr>
              <w:t>e</w:t>
            </w:r>
            <w:r w:rsidRPr="00097A86">
              <w:rPr>
                <w:rStyle w:val="charSubscript"/>
                <w:b w:val="0"/>
                <w:bCs/>
              </w:rPr>
              <w:t>/</w:t>
            </w:r>
            <w:r w:rsidRPr="00097A86">
              <w:t>tonnes fuel throughput)</w:t>
            </w:r>
          </w:p>
        </w:tc>
      </w:tr>
      <w:tr w:rsidR="00E76D51" w:rsidRPr="00097A86" w14:paraId="7B2B0BD2" w14:textId="77777777" w:rsidTr="00C20CC2">
        <w:trPr>
          <w:trHeight w:val="315"/>
        </w:trPr>
        <w:tc>
          <w:tcPr>
            <w:tcW w:w="656" w:type="pct"/>
            <w:shd w:val="clear" w:color="auto" w:fill="auto"/>
          </w:tcPr>
          <w:p w14:paraId="0B3C871E" w14:textId="77777777" w:rsidR="00E76D51" w:rsidRPr="00097A86" w:rsidRDefault="00E76D51" w:rsidP="00D22D3F">
            <w:pPr>
              <w:pStyle w:val="Tabletext"/>
            </w:pPr>
            <w:r w:rsidRPr="00097A86">
              <w:t>1</w:t>
            </w:r>
          </w:p>
        </w:tc>
        <w:tc>
          <w:tcPr>
            <w:tcW w:w="1639" w:type="pct"/>
            <w:shd w:val="clear" w:color="auto" w:fill="auto"/>
          </w:tcPr>
          <w:p w14:paraId="2C1834C2" w14:textId="77777777" w:rsidR="00E76D51" w:rsidRPr="00097A86" w:rsidRDefault="00E76D51" w:rsidP="00D22D3F">
            <w:pPr>
              <w:pStyle w:val="Tabletext"/>
            </w:pPr>
            <w:r w:rsidRPr="00097A86">
              <w:t>Internal floating tank</w:t>
            </w:r>
          </w:p>
        </w:tc>
        <w:tc>
          <w:tcPr>
            <w:tcW w:w="2705" w:type="pct"/>
            <w:shd w:val="clear" w:color="auto" w:fill="auto"/>
          </w:tcPr>
          <w:p w14:paraId="37ACCC6C" w14:textId="77777777" w:rsidR="00E76D51" w:rsidRPr="00097A86" w:rsidRDefault="00E76D51" w:rsidP="00D22D3F">
            <w:pPr>
              <w:pStyle w:val="Tabletext"/>
            </w:pPr>
            <w:r w:rsidRPr="00097A86">
              <w:rPr>
                <w:position w:val="-10"/>
              </w:rPr>
              <w:object w:dxaOrig="900" w:dyaOrig="320" w14:anchorId="3C2A4791">
                <v:shape id="_x0000_i1032" type="#_x0000_t75" style="width:45pt;height:16.5pt" o:ole="">
                  <v:imagedata r:id="rId104" o:title=""/>
                </v:shape>
                <o:OLEObject Type="Embed" ProgID="Equation.DSMT4" ShapeID="_x0000_i1032" DrawAspect="Content" ObjectID="_1624711036" r:id="rId105"/>
              </w:object>
            </w:r>
          </w:p>
        </w:tc>
      </w:tr>
      <w:tr w:rsidR="00E76D51" w:rsidRPr="00097A86" w14:paraId="32E31EC0" w14:textId="77777777" w:rsidTr="00C20CC2">
        <w:tc>
          <w:tcPr>
            <w:tcW w:w="656" w:type="pct"/>
            <w:shd w:val="clear" w:color="auto" w:fill="auto"/>
          </w:tcPr>
          <w:p w14:paraId="3D716728" w14:textId="77777777" w:rsidR="00E76D51" w:rsidRPr="00097A86" w:rsidRDefault="00E76D51" w:rsidP="00D22D3F">
            <w:pPr>
              <w:pStyle w:val="Tabletext"/>
            </w:pPr>
            <w:r w:rsidRPr="00097A86">
              <w:t>2</w:t>
            </w:r>
          </w:p>
        </w:tc>
        <w:tc>
          <w:tcPr>
            <w:tcW w:w="1639" w:type="pct"/>
            <w:shd w:val="clear" w:color="auto" w:fill="auto"/>
          </w:tcPr>
          <w:p w14:paraId="428F4AB7" w14:textId="77777777" w:rsidR="00E76D51" w:rsidRPr="00097A86" w:rsidRDefault="00E76D51" w:rsidP="00D22D3F">
            <w:pPr>
              <w:pStyle w:val="Tabletext"/>
            </w:pPr>
            <w:r w:rsidRPr="00097A86">
              <w:t>Fixed roof tank</w:t>
            </w:r>
          </w:p>
        </w:tc>
        <w:tc>
          <w:tcPr>
            <w:tcW w:w="2705" w:type="pct"/>
            <w:shd w:val="clear" w:color="auto" w:fill="auto"/>
          </w:tcPr>
          <w:p w14:paraId="0E321883" w14:textId="77777777" w:rsidR="00E76D51" w:rsidRPr="00097A86" w:rsidRDefault="00E76D51" w:rsidP="00D22D3F">
            <w:pPr>
              <w:pStyle w:val="Tabletext"/>
            </w:pPr>
            <w:r w:rsidRPr="00097A86">
              <w:object w:dxaOrig="920" w:dyaOrig="320" w14:anchorId="3D086B5B">
                <v:shape id="_x0000_i1033" type="#_x0000_t75" style="width:45.75pt;height:16.5pt" o:ole="">
                  <v:imagedata r:id="rId86" o:title=""/>
                </v:shape>
                <o:OLEObject Type="Embed" ProgID="Equation.DSMT4" ShapeID="_x0000_i1033" DrawAspect="Content" ObjectID="_1624711037" r:id="rId106"/>
              </w:object>
            </w:r>
          </w:p>
        </w:tc>
      </w:tr>
      <w:tr w:rsidR="00E76D51" w:rsidRPr="00097A86" w14:paraId="64DA5BA8" w14:textId="77777777" w:rsidTr="00C20CC2">
        <w:tc>
          <w:tcPr>
            <w:tcW w:w="656" w:type="pct"/>
            <w:tcBorders>
              <w:bottom w:val="single" w:sz="12" w:space="0" w:color="auto"/>
            </w:tcBorders>
            <w:shd w:val="clear" w:color="auto" w:fill="auto"/>
          </w:tcPr>
          <w:p w14:paraId="4E1F7854" w14:textId="77777777" w:rsidR="00E76D51" w:rsidRPr="00097A86" w:rsidRDefault="00E76D51" w:rsidP="00D22D3F">
            <w:pPr>
              <w:pStyle w:val="Tabletext"/>
            </w:pPr>
            <w:r w:rsidRPr="00097A86">
              <w:t>3</w:t>
            </w:r>
          </w:p>
        </w:tc>
        <w:tc>
          <w:tcPr>
            <w:tcW w:w="1639" w:type="pct"/>
            <w:tcBorders>
              <w:bottom w:val="single" w:sz="12" w:space="0" w:color="auto"/>
            </w:tcBorders>
            <w:shd w:val="clear" w:color="auto" w:fill="auto"/>
          </w:tcPr>
          <w:p w14:paraId="2857FA6B" w14:textId="77777777" w:rsidR="00E76D51" w:rsidRPr="00097A86" w:rsidRDefault="00E76D51" w:rsidP="00D22D3F">
            <w:pPr>
              <w:pStyle w:val="Tabletext"/>
            </w:pPr>
            <w:r w:rsidRPr="00097A86">
              <w:t>Floating tank</w:t>
            </w:r>
          </w:p>
        </w:tc>
        <w:tc>
          <w:tcPr>
            <w:tcW w:w="2705" w:type="pct"/>
            <w:tcBorders>
              <w:bottom w:val="single" w:sz="12" w:space="0" w:color="auto"/>
            </w:tcBorders>
            <w:shd w:val="clear" w:color="auto" w:fill="auto"/>
          </w:tcPr>
          <w:p w14:paraId="522EB4C9" w14:textId="77777777" w:rsidR="00E76D51" w:rsidRPr="00097A86" w:rsidRDefault="00E76D51" w:rsidP="00D22D3F">
            <w:pPr>
              <w:pStyle w:val="Tabletext"/>
            </w:pPr>
            <w:r w:rsidRPr="00097A86">
              <w:rPr>
                <w:position w:val="-10"/>
              </w:rPr>
              <w:object w:dxaOrig="920" w:dyaOrig="320" w14:anchorId="070B4832">
                <v:shape id="_x0000_i1034" type="#_x0000_t75" style="width:45.75pt;height:16.5pt" o:ole="">
                  <v:imagedata r:id="rId107" o:title=""/>
                </v:shape>
                <o:OLEObject Type="Embed" ProgID="Equation.DSMT4" ShapeID="_x0000_i1034" DrawAspect="Content" ObjectID="_1624711038" r:id="rId108"/>
              </w:object>
            </w:r>
          </w:p>
        </w:tc>
      </w:tr>
    </w:tbl>
    <w:p w14:paraId="27FB37AA" w14:textId="77777777" w:rsidR="008508D5" w:rsidRPr="00097A86" w:rsidRDefault="008508D5" w:rsidP="00D22D3F">
      <w:pPr>
        <w:pStyle w:val="subsection"/>
      </w:pPr>
      <w:r w:rsidRPr="00097A86">
        <w:tab/>
        <w:t>(3)</w:t>
      </w:r>
      <w:r w:rsidRPr="00097A86">
        <w:tab/>
        <w:t xml:space="preserve">For </w:t>
      </w:r>
      <w:r w:rsidRPr="00097A86">
        <w:rPr>
          <w:b/>
          <w:i/>
        </w:rPr>
        <w:t>EF</w:t>
      </w:r>
      <w:r w:rsidRPr="00097A86">
        <w:rPr>
          <w:b/>
          <w:i/>
          <w:vertAlign w:val="subscript"/>
        </w:rPr>
        <w:t xml:space="preserve">(l) ij </w:t>
      </w:r>
      <w:r w:rsidRPr="00097A86">
        <w:t xml:space="preserve">in </w:t>
      </w:r>
      <w:r w:rsidR="00097A86">
        <w:t>subsection (</w:t>
      </w:r>
      <w:r w:rsidRPr="00097A86">
        <w:t>1), general leaks in the natural gas production and processing comprise the emissions (other than vent emissions) from equipment listed in sections</w:t>
      </w:r>
      <w:r w:rsidR="00097A86">
        <w:t> </w:t>
      </w:r>
      <w:r w:rsidRPr="00097A86">
        <w:t xml:space="preserve">5.4.3, </w:t>
      </w:r>
      <w:r w:rsidR="00B53655" w:rsidRPr="00097A86">
        <w:t xml:space="preserve">5.6.4, 5.6.5 and 6.1.2 </w:t>
      </w:r>
      <w:r w:rsidRPr="00097A86">
        <w:t>of the API Compendium, if the equipment is used in the natural gas production and processing.</w:t>
      </w:r>
    </w:p>
    <w:p w14:paraId="6B93435B" w14:textId="77777777" w:rsidR="003F0D4E" w:rsidRPr="00097A86" w:rsidRDefault="003F0D4E" w:rsidP="00D22D3F">
      <w:pPr>
        <w:pStyle w:val="ActHead5"/>
      </w:pPr>
      <w:bookmarkStart w:id="330" w:name="_Toc13233763"/>
      <w:r w:rsidRPr="00097A86">
        <w:rPr>
          <w:rStyle w:val="CharSectno"/>
        </w:rPr>
        <w:t>3.73</w:t>
      </w:r>
      <w:r w:rsidR="00D22D3F" w:rsidRPr="00097A86">
        <w:t xml:space="preserve">  </w:t>
      </w:r>
      <w:r w:rsidRPr="00097A86">
        <w:t>Method 2</w:t>
      </w:r>
      <w:r w:rsidR="00D22D3F" w:rsidRPr="00097A86">
        <w:t>—</w:t>
      </w:r>
      <w:r w:rsidRPr="00097A86">
        <w:t>natural gas production and processing (other than venting and flaring)</w:t>
      </w:r>
      <w:bookmarkEnd w:id="330"/>
    </w:p>
    <w:p w14:paraId="0B8BE8A8" w14:textId="77777777" w:rsidR="003F0D4E" w:rsidRPr="00097A86" w:rsidRDefault="003F0D4E" w:rsidP="00D22D3F">
      <w:pPr>
        <w:pStyle w:val="subsection"/>
      </w:pPr>
      <w:r w:rsidRPr="00097A86">
        <w:tab/>
        <w:t>(1)</w:t>
      </w:r>
      <w:r w:rsidRPr="00097A86">
        <w:tab/>
        <w:t>Method 2 is:</w:t>
      </w:r>
    </w:p>
    <w:p w14:paraId="11692C68"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6DD5A3D" wp14:editId="04DBB938">
            <wp:extent cx="1628775" cy="2571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p>
    <w:p w14:paraId="0AD94E2D" w14:textId="77777777" w:rsidR="003F0D4E" w:rsidRPr="00097A86" w:rsidRDefault="003F0D4E" w:rsidP="00D22D3F">
      <w:pPr>
        <w:pStyle w:val="subsection2"/>
      </w:pPr>
      <w:r w:rsidRPr="00097A86">
        <w:t>where:</w:t>
      </w:r>
    </w:p>
    <w:p w14:paraId="4D98D742"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fugitive emissions of methane (</w:t>
      </w:r>
      <w:r w:rsidRPr="00097A86">
        <w:rPr>
          <w:b/>
          <w:i/>
        </w:rPr>
        <w:t>j</w:t>
      </w:r>
      <w:r w:rsidRPr="00097A86">
        <w:t>) from the natural gas production and processing during the year measured in CO</w:t>
      </w:r>
      <w:r w:rsidRPr="00097A86">
        <w:rPr>
          <w:rStyle w:val="charSubscript"/>
          <w:iCs/>
        </w:rPr>
        <w:t>2</w:t>
      </w:r>
      <w:r w:rsidR="00097A86">
        <w:noBreakHyphen/>
      </w:r>
      <w:r w:rsidRPr="00097A86">
        <w:t>e tonnes.</w:t>
      </w:r>
    </w:p>
    <w:p w14:paraId="7B86E0AE"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emissions of methane (</w:t>
      </w:r>
      <w:r w:rsidRPr="00097A86">
        <w:rPr>
          <w:b/>
          <w:i/>
        </w:rPr>
        <w:t>j</w:t>
      </w:r>
      <w:r w:rsidRPr="00097A86">
        <w:t>) measured in CO</w:t>
      </w:r>
      <w:r w:rsidRPr="00097A86">
        <w:rPr>
          <w:rStyle w:val="charSubscript"/>
          <w:iCs/>
        </w:rPr>
        <w:t>2</w:t>
      </w:r>
      <w:r w:rsidR="00097A86">
        <w:noBreakHyphen/>
      </w:r>
      <w:r w:rsidRPr="00097A86">
        <w:t>e tonnes and estimated by summing up the emissions released from each equipment type (</w:t>
      </w:r>
      <w:r w:rsidRPr="00097A86">
        <w:rPr>
          <w:b/>
          <w:i/>
        </w:rPr>
        <w:t>k</w:t>
      </w:r>
      <w:r w:rsidRPr="00097A86">
        <w:t xml:space="preserve">) listed in </w:t>
      </w:r>
      <w:r w:rsidR="008508D5" w:rsidRPr="00097A86">
        <w:t>sections</w:t>
      </w:r>
      <w:r w:rsidR="00097A86">
        <w:t> </w:t>
      </w:r>
      <w:r w:rsidR="008508D5" w:rsidRPr="00097A86">
        <w:t xml:space="preserve">5.4.1, 5.4.2, 5.4.3, </w:t>
      </w:r>
      <w:r w:rsidR="00D23FF4" w:rsidRPr="00097A86">
        <w:t xml:space="preserve">5.6.4, 5.6.5 and 6.1.2 </w:t>
      </w:r>
      <w:r w:rsidRPr="00097A86">
        <w:t>of the API Compendium, if the equipment is used in the natural gas production and processing.</w:t>
      </w:r>
    </w:p>
    <w:p w14:paraId="00666E06" w14:textId="77777777" w:rsidR="003F0D4E" w:rsidRPr="00097A86" w:rsidRDefault="003F0D4E" w:rsidP="00D22D3F">
      <w:pPr>
        <w:pStyle w:val="Definition"/>
      </w:pPr>
      <w:r w:rsidRPr="00097A86">
        <w:rPr>
          <w:b/>
          <w:i/>
        </w:rPr>
        <w:lastRenderedPageBreak/>
        <w:t>Q</w:t>
      </w:r>
      <w:r w:rsidRPr="00097A86">
        <w:rPr>
          <w:b/>
          <w:i/>
          <w:vertAlign w:val="subscript"/>
        </w:rPr>
        <w:t xml:space="preserve">ik </w:t>
      </w:r>
      <w:r w:rsidRPr="00097A86">
        <w:t>is the total of the quantities of natural gas measured in tonnes that pass through each equipment type (</w:t>
      </w:r>
      <w:r w:rsidRPr="00097A86">
        <w:rPr>
          <w:b/>
          <w:i/>
        </w:rPr>
        <w:t>k</w:t>
      </w:r>
      <w:r w:rsidRPr="00097A86">
        <w:t xml:space="preserve">) listed in </w:t>
      </w:r>
      <w:r w:rsidR="008508D5" w:rsidRPr="00097A86">
        <w:t>sections</w:t>
      </w:r>
      <w:r w:rsidR="00097A86">
        <w:t> </w:t>
      </w:r>
      <w:r w:rsidR="008508D5" w:rsidRPr="00097A86">
        <w:t xml:space="preserve">5.4.1, 5.4.2, 5.4.3, </w:t>
      </w:r>
      <w:r w:rsidR="00D23FF4" w:rsidRPr="00097A86">
        <w:t xml:space="preserve">5.6.4, 5.6.5 and 6.1.2 </w:t>
      </w:r>
      <w:r w:rsidRPr="00097A86">
        <w:t>of the API Compendium, if the equipment is used in the natural gas production and processing.</w:t>
      </w:r>
    </w:p>
    <w:p w14:paraId="74978490" w14:textId="77777777" w:rsidR="003F0D4E" w:rsidRPr="00097A86" w:rsidRDefault="003F0D4E" w:rsidP="00D22D3F">
      <w:pPr>
        <w:pStyle w:val="Definition"/>
      </w:pPr>
      <w:r w:rsidRPr="00097A86">
        <w:rPr>
          <w:b/>
          <w:i/>
        </w:rPr>
        <w:t>EF</w:t>
      </w:r>
      <w:r w:rsidRPr="00097A86">
        <w:rPr>
          <w:b/>
          <w:i/>
          <w:vertAlign w:val="subscript"/>
        </w:rPr>
        <w:t>ijk</w:t>
      </w:r>
      <w:r w:rsidRPr="00097A86">
        <w:rPr>
          <w:b/>
          <w:i/>
        </w:rPr>
        <w:t xml:space="preserve"> </w:t>
      </w:r>
      <w:r w:rsidRPr="00097A86">
        <w:t>is the emission factor of methane (</w:t>
      </w:r>
      <w:r w:rsidRPr="00097A86">
        <w:rPr>
          <w:b/>
          <w:i/>
        </w:rPr>
        <w:t>j</w:t>
      </w:r>
      <w:r w:rsidRPr="00097A86">
        <w:t>) measured in tonnes of CO</w:t>
      </w:r>
      <w:r w:rsidRPr="00097A86">
        <w:rPr>
          <w:rStyle w:val="charSubscript"/>
          <w:iCs/>
        </w:rPr>
        <w:t>2</w:t>
      </w:r>
      <w:r w:rsidR="00097A86">
        <w:noBreakHyphen/>
      </w:r>
      <w:r w:rsidRPr="00097A86">
        <w:t>e per tonne of natural gas that passes through each equipment type (</w:t>
      </w:r>
      <w:r w:rsidRPr="00097A86">
        <w:rPr>
          <w:b/>
          <w:i/>
        </w:rPr>
        <w:t>k</w:t>
      </w:r>
      <w:r w:rsidRPr="00097A86">
        <w:t xml:space="preserve">) listed in </w:t>
      </w:r>
      <w:r w:rsidR="008508D5" w:rsidRPr="00097A86">
        <w:t>sections</w:t>
      </w:r>
      <w:r w:rsidR="00097A86">
        <w:t> </w:t>
      </w:r>
      <w:r w:rsidR="008508D5" w:rsidRPr="00097A86">
        <w:t xml:space="preserve">5.4.1, 5.4.2, 5.4.3, </w:t>
      </w:r>
      <w:r w:rsidR="00D23FF4" w:rsidRPr="00097A86">
        <w:t xml:space="preserve">5.6.4, 5.6.5 and 6.1.2 </w:t>
      </w:r>
      <w:r w:rsidRPr="00097A86">
        <w:t>of the API Compendium, if the equipment is used in the natural gas production and processing.</w:t>
      </w:r>
    </w:p>
    <w:p w14:paraId="73C584D8"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ijk</w:t>
      </w:r>
      <w:r w:rsidRPr="00097A86">
        <w:t>, the emission factors for methane (</w:t>
      </w:r>
      <w:r w:rsidRPr="00097A86">
        <w:rPr>
          <w:b/>
          <w:i/>
        </w:rPr>
        <w:t>j</w:t>
      </w:r>
      <w:r w:rsidRPr="00097A86">
        <w:t>) as the natural gas passes through the equipment types (</w:t>
      </w:r>
      <w:r w:rsidRPr="00097A86">
        <w:rPr>
          <w:b/>
          <w:i/>
        </w:rPr>
        <w:t>k</w:t>
      </w:r>
      <w:r w:rsidRPr="00097A86">
        <w:t>) are:</w:t>
      </w:r>
    </w:p>
    <w:p w14:paraId="7B863658" w14:textId="77777777" w:rsidR="003F0D4E" w:rsidRPr="00097A86" w:rsidRDefault="003F0D4E" w:rsidP="00D22D3F">
      <w:pPr>
        <w:pStyle w:val="paragraph"/>
      </w:pPr>
      <w:r w:rsidRPr="00097A86">
        <w:tab/>
        <w:t>(a)</w:t>
      </w:r>
      <w:r w:rsidRPr="00097A86">
        <w:tab/>
        <w:t xml:space="preserve">as listed in </w:t>
      </w:r>
      <w:r w:rsidR="008508D5" w:rsidRPr="00097A86">
        <w:t>sections</w:t>
      </w:r>
      <w:r w:rsidR="00097A86">
        <w:t> </w:t>
      </w:r>
      <w:r w:rsidR="008508D5" w:rsidRPr="00097A86">
        <w:t xml:space="preserve">5.4.1, 5.4.2, 5.4.3, </w:t>
      </w:r>
      <w:r w:rsidR="00D23FF4" w:rsidRPr="00097A86">
        <w:t xml:space="preserve">5.6.4, 5.6.5 and 6.1.2 </w:t>
      </w:r>
      <w:r w:rsidRPr="00097A86">
        <w:t>of the API Compendium, for the equipment type; or</w:t>
      </w:r>
    </w:p>
    <w:p w14:paraId="66DFD31D" w14:textId="77777777" w:rsidR="003F0D4E" w:rsidRPr="00097A86" w:rsidRDefault="003F0D4E" w:rsidP="00D22D3F">
      <w:pPr>
        <w:pStyle w:val="paragraph"/>
      </w:pPr>
      <w:r w:rsidRPr="00097A86">
        <w:tab/>
        <w:t>(b)</w:t>
      </w:r>
      <w:r w:rsidRPr="00097A86">
        <w:tab/>
        <w:t>if the manufacturer of the equipment supplies equipment</w:t>
      </w:r>
      <w:r w:rsidR="00097A86">
        <w:noBreakHyphen/>
      </w:r>
      <w:r w:rsidRPr="00097A86">
        <w:t>specific emission factors for the equipment type</w:t>
      </w:r>
      <w:r w:rsidR="00D22D3F" w:rsidRPr="00097A86">
        <w:t>—</w:t>
      </w:r>
      <w:r w:rsidRPr="00097A86">
        <w:t>those factors.</w:t>
      </w:r>
    </w:p>
    <w:p w14:paraId="33B2F732" w14:textId="77777777" w:rsidR="003F0D4E" w:rsidRPr="00097A86" w:rsidRDefault="003F0D4E" w:rsidP="009A46A7">
      <w:pPr>
        <w:pStyle w:val="ActHead3"/>
        <w:pageBreakBefore/>
      </w:pPr>
      <w:bookmarkStart w:id="331" w:name="_Toc13233764"/>
      <w:r w:rsidRPr="00097A86">
        <w:rPr>
          <w:rStyle w:val="CharDivNo"/>
        </w:rPr>
        <w:lastRenderedPageBreak/>
        <w:t>Division</w:t>
      </w:r>
      <w:r w:rsidR="00097A86">
        <w:rPr>
          <w:rStyle w:val="CharDivNo"/>
        </w:rPr>
        <w:t> </w:t>
      </w:r>
      <w:r w:rsidRPr="00097A86">
        <w:rPr>
          <w:rStyle w:val="CharDivNo"/>
        </w:rPr>
        <w:t>3.3.7</w:t>
      </w:r>
      <w:r w:rsidR="00D22D3F" w:rsidRPr="00097A86">
        <w:t>—</w:t>
      </w:r>
      <w:r w:rsidRPr="00097A86">
        <w:rPr>
          <w:rStyle w:val="CharDivText"/>
        </w:rPr>
        <w:t>Natural gas transmission</w:t>
      </w:r>
      <w:bookmarkEnd w:id="331"/>
    </w:p>
    <w:p w14:paraId="73C21613" w14:textId="77777777" w:rsidR="006D2A43" w:rsidRPr="00097A86" w:rsidRDefault="006D2A43" w:rsidP="00D22D3F">
      <w:pPr>
        <w:pStyle w:val="ActHead5"/>
      </w:pPr>
      <w:bookmarkStart w:id="332" w:name="_Toc13233765"/>
      <w:r w:rsidRPr="00097A86">
        <w:rPr>
          <w:rStyle w:val="CharSectno"/>
        </w:rPr>
        <w:t>3.74</w:t>
      </w:r>
      <w:r w:rsidR="00D22D3F" w:rsidRPr="00097A86">
        <w:t xml:space="preserve">  </w:t>
      </w:r>
      <w:r w:rsidRPr="00097A86">
        <w:t>Application</w:t>
      </w:r>
      <w:bookmarkEnd w:id="332"/>
    </w:p>
    <w:p w14:paraId="77D5B9BB" w14:textId="77777777" w:rsidR="006D2A43" w:rsidRPr="00097A86" w:rsidRDefault="006D2A43" w:rsidP="00D22D3F">
      <w:pPr>
        <w:pStyle w:val="subsection"/>
      </w:pPr>
      <w:r w:rsidRPr="00097A86">
        <w:tab/>
      </w:r>
      <w:r w:rsidRPr="00097A86">
        <w:tab/>
        <w:t>This Division applies to fugitive emissions from natural gas transmission activities.</w:t>
      </w:r>
    </w:p>
    <w:p w14:paraId="5D432B40" w14:textId="77777777" w:rsidR="003F0D4E" w:rsidRPr="00097A86" w:rsidRDefault="003F0D4E" w:rsidP="00D22D3F">
      <w:pPr>
        <w:pStyle w:val="ActHead5"/>
      </w:pPr>
      <w:bookmarkStart w:id="333" w:name="_Toc13233766"/>
      <w:r w:rsidRPr="00097A86">
        <w:rPr>
          <w:rStyle w:val="CharSectno"/>
        </w:rPr>
        <w:t>3.75</w:t>
      </w:r>
      <w:r w:rsidR="00D22D3F" w:rsidRPr="00097A86">
        <w:t xml:space="preserve">  </w:t>
      </w:r>
      <w:r w:rsidRPr="00097A86">
        <w:t>Available methods</w:t>
      </w:r>
      <w:bookmarkEnd w:id="333"/>
    </w:p>
    <w:p w14:paraId="74DF1AE0" w14:textId="77777777" w:rsidR="003F0D4E" w:rsidRPr="00097A86" w:rsidRDefault="003F0D4E" w:rsidP="00D22D3F">
      <w:pPr>
        <w:pStyle w:val="subsection"/>
      </w:pPr>
      <w:r w:rsidRPr="00097A86">
        <w:tab/>
        <w:t>(1)</w:t>
      </w:r>
      <w:r w:rsidRPr="00097A86">
        <w:tab/>
        <w:t>Subject to section</w:t>
      </w:r>
      <w:r w:rsidR="00097A86">
        <w:t> </w:t>
      </w:r>
      <w:r w:rsidRPr="00097A86">
        <w:t xml:space="preserve">1.18 and </w:t>
      </w:r>
      <w:r w:rsidR="00097A86">
        <w:t>subsection (</w:t>
      </w:r>
      <w:r w:rsidRPr="00097A86">
        <w:t>2), one of the following methods must</w:t>
      </w:r>
      <w:r w:rsidRPr="00097A86">
        <w:rPr>
          <w:i/>
        </w:rPr>
        <w:t xml:space="preserve"> </w:t>
      </w:r>
      <w:r w:rsidRPr="00097A86">
        <w:t>be used for estimating fugitive emissions of each gas type, being carbon dioxide and methane, released from the operation of a facility that is constituted by natural gas transmission through a system of pipelines during a year:</w:t>
      </w:r>
    </w:p>
    <w:p w14:paraId="2E170168" w14:textId="77777777" w:rsidR="003F0D4E" w:rsidRPr="00097A86" w:rsidRDefault="003F0D4E" w:rsidP="00D22D3F">
      <w:pPr>
        <w:pStyle w:val="paragraph"/>
      </w:pPr>
      <w:r w:rsidRPr="00097A86">
        <w:tab/>
        <w:t>(a)</w:t>
      </w:r>
      <w:r w:rsidRPr="00097A86">
        <w:tab/>
        <w:t>method 1 under section</w:t>
      </w:r>
      <w:r w:rsidR="00097A86">
        <w:t> </w:t>
      </w:r>
      <w:r w:rsidRPr="00097A86">
        <w:t>3.76;</w:t>
      </w:r>
    </w:p>
    <w:p w14:paraId="439DBA56" w14:textId="77777777" w:rsidR="003F0D4E" w:rsidRPr="00097A86" w:rsidRDefault="003F0D4E" w:rsidP="00D22D3F">
      <w:pPr>
        <w:pStyle w:val="paragraph"/>
      </w:pPr>
      <w:r w:rsidRPr="00097A86">
        <w:tab/>
        <w:t>(b)</w:t>
      </w:r>
      <w:r w:rsidRPr="00097A86">
        <w:tab/>
        <w:t>method 2 under section</w:t>
      </w:r>
      <w:r w:rsidR="00097A86">
        <w:t> </w:t>
      </w:r>
      <w:r w:rsidRPr="00097A86">
        <w:t>3.77.</w:t>
      </w:r>
    </w:p>
    <w:p w14:paraId="150260FE" w14:textId="77777777" w:rsidR="003F0D4E" w:rsidRPr="00097A86" w:rsidRDefault="00D22D3F" w:rsidP="00D22D3F">
      <w:pPr>
        <w:pStyle w:val="notetext"/>
      </w:pPr>
      <w:r w:rsidRPr="00097A86">
        <w:t>Note:</w:t>
      </w:r>
      <w:r w:rsidRPr="00097A86">
        <w:tab/>
      </w:r>
      <w:r w:rsidR="003F0D4E" w:rsidRPr="00097A86">
        <w:t>There is no method 3 or 4 for this Division.</w:t>
      </w:r>
    </w:p>
    <w:p w14:paraId="174FAB65"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666F013B" w14:textId="77777777" w:rsidR="003F0D4E" w:rsidRPr="00097A86" w:rsidRDefault="003F0D4E" w:rsidP="00D22D3F">
      <w:pPr>
        <w:pStyle w:val="ActHead5"/>
      </w:pPr>
      <w:bookmarkStart w:id="334" w:name="_Toc13233767"/>
      <w:r w:rsidRPr="00097A86">
        <w:rPr>
          <w:rStyle w:val="CharSectno"/>
        </w:rPr>
        <w:t>3.76</w:t>
      </w:r>
      <w:r w:rsidR="00D22D3F" w:rsidRPr="00097A86">
        <w:t xml:space="preserve">  </w:t>
      </w:r>
      <w:r w:rsidRPr="00097A86">
        <w:t>Method 1</w:t>
      </w:r>
      <w:r w:rsidR="00D22D3F" w:rsidRPr="00097A86">
        <w:t>—</w:t>
      </w:r>
      <w:r w:rsidRPr="00097A86">
        <w:t>natural gas transmission</w:t>
      </w:r>
      <w:bookmarkEnd w:id="334"/>
    </w:p>
    <w:p w14:paraId="4B8F0F79" w14:textId="77777777" w:rsidR="003F0D4E" w:rsidRPr="00097A86" w:rsidRDefault="003F0D4E" w:rsidP="00D22D3F">
      <w:pPr>
        <w:pStyle w:val="subsection"/>
      </w:pPr>
      <w:r w:rsidRPr="00097A86">
        <w:tab/>
      </w:r>
      <w:r w:rsidRPr="00097A86">
        <w:tab/>
        <w:t>Method 1 is:</w:t>
      </w:r>
    </w:p>
    <w:p w14:paraId="4A516308"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7C5D51C3" wp14:editId="23169D6D">
            <wp:extent cx="1057275" cy="257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14:paraId="2F510E16" w14:textId="77777777" w:rsidR="003F0D4E" w:rsidRPr="00097A86" w:rsidRDefault="003F0D4E" w:rsidP="00D22D3F">
      <w:pPr>
        <w:pStyle w:val="subsection2"/>
      </w:pPr>
      <w:r w:rsidRPr="00097A86">
        <w:t>where:</w:t>
      </w:r>
    </w:p>
    <w:p w14:paraId="53963636" w14:textId="77777777" w:rsidR="003F0D4E" w:rsidRPr="00097A86" w:rsidRDefault="003F0D4E" w:rsidP="00D22D3F">
      <w:pPr>
        <w:pStyle w:val="Definition"/>
      </w:pPr>
      <w:r w:rsidRPr="00097A86">
        <w:rPr>
          <w:b/>
          <w:i/>
        </w:rPr>
        <w:t>E</w:t>
      </w:r>
      <w:r w:rsidRPr="00097A86">
        <w:rPr>
          <w:b/>
          <w:i/>
          <w:vertAlign w:val="subscript"/>
        </w:rPr>
        <w:t xml:space="preserve">ij </w:t>
      </w:r>
      <w:r w:rsidRPr="00097A86">
        <w:t>is the fugitive emissions of gas type (</w:t>
      </w:r>
      <w:r w:rsidRPr="00097A86">
        <w:rPr>
          <w:b/>
          <w:i/>
        </w:rPr>
        <w:t>j</w:t>
      </w:r>
      <w:r w:rsidRPr="00097A86">
        <w:t>) from natural gas transmission through a system of pipelines of length (</w:t>
      </w:r>
      <w:r w:rsidRPr="00097A86">
        <w:rPr>
          <w:rFonts w:ascii="Times" w:hAnsi="Times"/>
          <w:b/>
          <w:i/>
        </w:rPr>
        <w:t>i</w:t>
      </w:r>
      <w:r w:rsidRPr="00097A86">
        <w:rPr>
          <w:rFonts w:ascii="Times" w:hAnsi="Times"/>
          <w:i/>
        </w:rPr>
        <w:t xml:space="preserve">) </w:t>
      </w:r>
      <w:r w:rsidRPr="00097A86">
        <w:t>during the year measured in CO</w:t>
      </w:r>
      <w:r w:rsidRPr="00097A86">
        <w:rPr>
          <w:rStyle w:val="charSubscript"/>
          <w:iCs/>
        </w:rPr>
        <w:t>2</w:t>
      </w:r>
      <w:r w:rsidR="00097A86">
        <w:noBreakHyphen/>
      </w:r>
      <w:r w:rsidRPr="00097A86">
        <w:t>e tonnes.</w:t>
      </w:r>
    </w:p>
    <w:p w14:paraId="44AA95C0" w14:textId="77777777" w:rsidR="003F0D4E" w:rsidRPr="00097A86" w:rsidRDefault="003F0D4E" w:rsidP="00D22D3F">
      <w:pPr>
        <w:pStyle w:val="Definition"/>
      </w:pPr>
      <w:r w:rsidRPr="00097A86">
        <w:rPr>
          <w:b/>
          <w:i/>
        </w:rPr>
        <w:t>Q</w:t>
      </w:r>
      <w:r w:rsidRPr="00097A86">
        <w:rPr>
          <w:b/>
          <w:i/>
          <w:vertAlign w:val="subscript"/>
        </w:rPr>
        <w:t xml:space="preserve">i </w:t>
      </w:r>
      <w:r w:rsidRPr="00097A86">
        <w:t>is the length of the system of pipelines (</w:t>
      </w:r>
      <w:r w:rsidRPr="00097A86">
        <w:rPr>
          <w:rFonts w:ascii="Times" w:hAnsi="Times"/>
          <w:b/>
          <w:i/>
        </w:rPr>
        <w:t>i</w:t>
      </w:r>
      <w:r w:rsidRPr="00097A86">
        <w:rPr>
          <w:rFonts w:ascii="Times" w:hAnsi="Times"/>
          <w:i/>
        </w:rPr>
        <w:t>)</w:t>
      </w:r>
      <w:r w:rsidRPr="00097A86">
        <w:rPr>
          <w:i/>
        </w:rPr>
        <w:t xml:space="preserve"> </w:t>
      </w:r>
      <w:r w:rsidRPr="00097A86">
        <w:t>measured in kilometres.</w:t>
      </w:r>
    </w:p>
    <w:p w14:paraId="5F3FC250"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emission factor for gas type (</w:t>
      </w:r>
      <w:r w:rsidRPr="00097A86">
        <w:rPr>
          <w:b/>
          <w:i/>
        </w:rPr>
        <w:t>j</w:t>
      </w:r>
      <w:r w:rsidRPr="00097A86">
        <w:t xml:space="preserve">), which is 0.02 for </w:t>
      </w:r>
      <w:r w:rsidRPr="00097A86">
        <w:rPr>
          <w:bCs/>
        </w:rPr>
        <w:t xml:space="preserve">carbon dioxide </w:t>
      </w:r>
      <w:r w:rsidRPr="00097A86">
        <w:t xml:space="preserve">and </w:t>
      </w:r>
      <w:r w:rsidR="00E76D51" w:rsidRPr="00097A86">
        <w:t>10.4</w:t>
      </w:r>
      <w:r w:rsidRPr="00097A86">
        <w:t xml:space="preserve"> for methane, measured in tonnes of CO</w:t>
      </w:r>
      <w:r w:rsidRPr="00097A86">
        <w:rPr>
          <w:rStyle w:val="charSubscript"/>
          <w:iCs/>
        </w:rPr>
        <w:t>2</w:t>
      </w:r>
      <w:r w:rsidR="00097A86">
        <w:noBreakHyphen/>
      </w:r>
      <w:r w:rsidRPr="00097A86">
        <w:t>e emissions per kilometre of pipeline (</w:t>
      </w:r>
      <w:r w:rsidRPr="00097A86">
        <w:rPr>
          <w:rFonts w:ascii="Times" w:hAnsi="Times"/>
          <w:b/>
          <w:i/>
        </w:rPr>
        <w:t>i</w:t>
      </w:r>
      <w:r w:rsidRPr="00097A86">
        <w:rPr>
          <w:rFonts w:ascii="Times" w:hAnsi="Times"/>
          <w:i/>
        </w:rPr>
        <w:t>)</w:t>
      </w:r>
      <w:r w:rsidRPr="00097A86">
        <w:t>.</w:t>
      </w:r>
    </w:p>
    <w:p w14:paraId="2C0E4F8E" w14:textId="77777777" w:rsidR="003F0D4E" w:rsidRPr="00097A86" w:rsidRDefault="003F0D4E" w:rsidP="00D22D3F">
      <w:pPr>
        <w:pStyle w:val="ActHead5"/>
      </w:pPr>
      <w:bookmarkStart w:id="335" w:name="_Toc13233768"/>
      <w:r w:rsidRPr="00097A86">
        <w:rPr>
          <w:rStyle w:val="CharSectno"/>
        </w:rPr>
        <w:t>3.77</w:t>
      </w:r>
      <w:r w:rsidR="00D22D3F" w:rsidRPr="00097A86">
        <w:t xml:space="preserve">  </w:t>
      </w:r>
      <w:r w:rsidRPr="00097A86">
        <w:t>Method 2</w:t>
      </w:r>
      <w:r w:rsidR="00D22D3F" w:rsidRPr="00097A86">
        <w:t>—</w:t>
      </w:r>
      <w:r w:rsidRPr="00097A86">
        <w:t>natural gas transmission</w:t>
      </w:r>
      <w:bookmarkEnd w:id="335"/>
    </w:p>
    <w:p w14:paraId="3C0EC1EB" w14:textId="77777777" w:rsidR="003F0D4E" w:rsidRPr="00097A86" w:rsidRDefault="003F0D4E" w:rsidP="00D22D3F">
      <w:pPr>
        <w:pStyle w:val="subsection"/>
      </w:pPr>
      <w:r w:rsidRPr="00097A86">
        <w:tab/>
        <w:t>(1)</w:t>
      </w:r>
      <w:r w:rsidRPr="00097A86">
        <w:tab/>
        <w:t>Method 2 is:</w:t>
      </w:r>
    </w:p>
    <w:p w14:paraId="1D322B37"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5A2348B" wp14:editId="2AC67916">
            <wp:extent cx="1476375" cy="2571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14:paraId="28B0A477" w14:textId="77777777" w:rsidR="003F0D4E" w:rsidRPr="00097A86" w:rsidRDefault="003F0D4E" w:rsidP="00D22D3F">
      <w:pPr>
        <w:pStyle w:val="subsection2"/>
      </w:pPr>
      <w:r w:rsidRPr="00097A86">
        <w:t>where:</w:t>
      </w:r>
    </w:p>
    <w:p w14:paraId="1BA227A6" w14:textId="77777777" w:rsidR="003F0D4E" w:rsidRPr="00097A86" w:rsidRDefault="003F0D4E" w:rsidP="00D22D3F">
      <w:pPr>
        <w:pStyle w:val="Definition"/>
      </w:pPr>
      <w:r w:rsidRPr="00097A86">
        <w:rPr>
          <w:b/>
          <w:i/>
        </w:rPr>
        <w:t>E</w:t>
      </w:r>
      <w:r w:rsidRPr="00097A86">
        <w:rPr>
          <w:b/>
          <w:i/>
          <w:vertAlign w:val="subscript"/>
        </w:rPr>
        <w:t>j</w:t>
      </w:r>
      <w:r w:rsidRPr="00097A86">
        <w:rPr>
          <w:b/>
          <w:i/>
        </w:rPr>
        <w:t xml:space="preserve"> </w:t>
      </w:r>
      <w:r w:rsidRPr="00097A86">
        <w:t>is the fugitive emissions of gas type (</w:t>
      </w:r>
      <w:r w:rsidRPr="00097A86">
        <w:rPr>
          <w:b/>
          <w:i/>
        </w:rPr>
        <w:t>j</w:t>
      </w:r>
      <w:r w:rsidRPr="00097A86">
        <w:t>) measured in CO</w:t>
      </w:r>
      <w:r w:rsidRPr="00097A86">
        <w:rPr>
          <w:rStyle w:val="charSubscript"/>
          <w:iCs/>
        </w:rPr>
        <w:t>2</w:t>
      </w:r>
      <w:r w:rsidR="00097A86">
        <w:noBreakHyphen/>
      </w:r>
      <w:r w:rsidRPr="00097A86">
        <w:t>e tonnes from the natural gas transmission through the system of pipelines during the year.</w:t>
      </w:r>
    </w:p>
    <w:p w14:paraId="36D7CA8C"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total of emissions of gas type (</w:t>
      </w:r>
      <w:r w:rsidRPr="00097A86">
        <w:rPr>
          <w:b/>
          <w:i/>
        </w:rPr>
        <w:t>j</w:t>
      </w:r>
      <w:r w:rsidRPr="00097A86">
        <w:t>) measured in CO</w:t>
      </w:r>
      <w:r w:rsidRPr="00097A86">
        <w:rPr>
          <w:rStyle w:val="charSubscript"/>
          <w:iCs/>
        </w:rPr>
        <w:t>2</w:t>
      </w:r>
      <w:r w:rsidR="00097A86">
        <w:noBreakHyphen/>
      </w:r>
      <w:r w:rsidRPr="00097A86">
        <w:t>e tonnes and estimated by summing up the emissions released from each equipment type (</w:t>
      </w:r>
      <w:r w:rsidRPr="00097A86">
        <w:rPr>
          <w:b/>
          <w:i/>
        </w:rPr>
        <w:t>k</w:t>
      </w:r>
      <w:r w:rsidRPr="00097A86">
        <w:t xml:space="preserve">) </w:t>
      </w:r>
      <w:r w:rsidRPr="00097A86">
        <w:lastRenderedPageBreak/>
        <w:t>listed in sections</w:t>
      </w:r>
      <w:r w:rsidR="00097A86">
        <w:t> </w:t>
      </w:r>
      <w:r w:rsidRPr="00097A86">
        <w:t>5 and 6.1.2 of the API Compendium, if the equipment is used in the natural gas transmission.</w:t>
      </w:r>
    </w:p>
    <w:p w14:paraId="0F821C07" w14:textId="77777777" w:rsidR="003F0D4E" w:rsidRPr="00097A86" w:rsidRDefault="003F0D4E" w:rsidP="00D22D3F">
      <w:pPr>
        <w:pStyle w:val="Definition"/>
      </w:pPr>
      <w:r w:rsidRPr="00097A86">
        <w:rPr>
          <w:b/>
          <w:i/>
        </w:rPr>
        <w:t>Q</w:t>
      </w:r>
      <w:r w:rsidRPr="00097A86">
        <w:rPr>
          <w:vertAlign w:val="subscript"/>
        </w:rPr>
        <w:t xml:space="preserve">k </w:t>
      </w:r>
      <w:r w:rsidRPr="00097A86">
        <w:t>is the total of the quantities of natural gas measured in tonnes that pass through each equipment type (</w:t>
      </w:r>
      <w:r w:rsidRPr="00097A86">
        <w:rPr>
          <w:b/>
          <w:i/>
        </w:rPr>
        <w:t>k</w:t>
      </w:r>
      <w:r w:rsidRPr="00097A86">
        <w:t>) or the number of equipment units of type (</w:t>
      </w:r>
      <w:r w:rsidRPr="00097A86">
        <w:rPr>
          <w:b/>
          <w:i/>
        </w:rPr>
        <w:t>k</w:t>
      </w:r>
      <w:r w:rsidRPr="00097A86">
        <w:t>) listed in sections</w:t>
      </w:r>
      <w:r w:rsidR="00097A86">
        <w:t> </w:t>
      </w:r>
      <w:r w:rsidRPr="00097A86">
        <w:t>5 and 6.1.2 of the API Compendium, if the equipment is used in the natural gas transmission.</w:t>
      </w:r>
    </w:p>
    <w:p w14:paraId="0D79F0BE" w14:textId="77777777" w:rsidR="003F0D4E" w:rsidRPr="00097A86" w:rsidRDefault="003F0D4E" w:rsidP="00D22D3F">
      <w:pPr>
        <w:pStyle w:val="Definition"/>
      </w:pPr>
      <w:r w:rsidRPr="00097A86">
        <w:rPr>
          <w:b/>
          <w:i/>
        </w:rPr>
        <w:t>EF</w:t>
      </w:r>
      <w:r w:rsidRPr="00097A86">
        <w:rPr>
          <w:b/>
          <w:i/>
          <w:vertAlign w:val="subscript"/>
        </w:rPr>
        <w:t>jk</w:t>
      </w:r>
      <w:r w:rsidRPr="00097A86">
        <w:rPr>
          <w:b/>
          <w:i/>
        </w:rPr>
        <w:t xml:space="preserve"> </w:t>
      </w:r>
      <w:r w:rsidRPr="00097A86">
        <w:t>is the emission factor of gas type (</w:t>
      </w:r>
      <w:r w:rsidRPr="00097A86">
        <w:rPr>
          <w:b/>
          <w:i/>
        </w:rPr>
        <w:t>j</w:t>
      </w:r>
      <w:r w:rsidRPr="00097A86">
        <w:t>) measured in CO</w:t>
      </w:r>
      <w:r w:rsidRPr="00097A86">
        <w:rPr>
          <w:rStyle w:val="charSubscript"/>
          <w:iCs/>
        </w:rPr>
        <w:t>2</w:t>
      </w:r>
      <w:r w:rsidR="00097A86">
        <w:noBreakHyphen/>
      </w:r>
      <w:r w:rsidRPr="00097A86">
        <w:t>e tonnes for each equipment type (</w:t>
      </w:r>
      <w:r w:rsidRPr="00097A86">
        <w:rPr>
          <w:b/>
          <w:i/>
        </w:rPr>
        <w:t>k</w:t>
      </w:r>
      <w:r w:rsidRPr="00097A86">
        <w:t>) listed in sections</w:t>
      </w:r>
      <w:r w:rsidR="00097A86">
        <w:t> </w:t>
      </w:r>
      <w:r w:rsidRPr="00097A86">
        <w:t>5 and 6.1.2 of the API Compendium, where the equipment is used in the natural gas transmission.</w:t>
      </w:r>
    </w:p>
    <w:p w14:paraId="1A156558"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b/>
          <w:i/>
          <w:vertAlign w:val="subscript"/>
        </w:rPr>
        <w:t>jk</w:t>
      </w:r>
      <w:r w:rsidRPr="00097A86">
        <w:t>, the emission factors for a gas type (</w:t>
      </w:r>
      <w:r w:rsidRPr="00097A86">
        <w:rPr>
          <w:b/>
          <w:i/>
        </w:rPr>
        <w:t>j</w:t>
      </w:r>
      <w:r w:rsidRPr="00097A86">
        <w:t>) as the natural gas passes through the equipment type (</w:t>
      </w:r>
      <w:r w:rsidRPr="00097A86">
        <w:rPr>
          <w:b/>
          <w:i/>
        </w:rPr>
        <w:t>k</w:t>
      </w:r>
      <w:r w:rsidRPr="00097A86">
        <w:t>) are:</w:t>
      </w:r>
    </w:p>
    <w:p w14:paraId="41DD9CE9" w14:textId="77777777" w:rsidR="003F0D4E" w:rsidRPr="00097A86" w:rsidRDefault="003F0D4E" w:rsidP="00D22D3F">
      <w:pPr>
        <w:pStyle w:val="paragraph"/>
      </w:pPr>
      <w:r w:rsidRPr="00097A86">
        <w:tab/>
        <w:t>(a)</w:t>
      </w:r>
      <w:r w:rsidRPr="00097A86">
        <w:tab/>
        <w:t>as listed in sections</w:t>
      </w:r>
      <w:r w:rsidR="00097A86">
        <w:t> </w:t>
      </w:r>
      <w:r w:rsidRPr="00097A86">
        <w:t>5 and 6.1.2 of the API Compendium, for the equipment type; or</w:t>
      </w:r>
    </w:p>
    <w:p w14:paraId="6DD97C78" w14:textId="77777777" w:rsidR="003F0D4E" w:rsidRPr="00097A86" w:rsidRDefault="003F0D4E" w:rsidP="00D22D3F">
      <w:pPr>
        <w:pStyle w:val="paragraph"/>
      </w:pPr>
      <w:r w:rsidRPr="00097A86">
        <w:tab/>
        <w:t>(b)</w:t>
      </w:r>
      <w:r w:rsidRPr="00097A86">
        <w:tab/>
        <w:t>as listed in that Compendium for the equipment type with emission factors adjusted for variations in estimated gas composition, in accordance with that Compendium’s sections</w:t>
      </w:r>
      <w:r w:rsidR="00097A86">
        <w:t> </w:t>
      </w:r>
      <w:r w:rsidRPr="00097A86">
        <w:t>5 and 6.1.2, and the requirements of Division</w:t>
      </w:r>
      <w:r w:rsidR="00097A86">
        <w:t> </w:t>
      </w:r>
      <w:r w:rsidRPr="00097A86">
        <w:t>2.3.3; or</w:t>
      </w:r>
    </w:p>
    <w:p w14:paraId="4B890207" w14:textId="77777777" w:rsidR="003F0D4E" w:rsidRPr="00097A86" w:rsidRDefault="003F0D4E" w:rsidP="00D22D3F">
      <w:pPr>
        <w:pStyle w:val="paragraph"/>
      </w:pPr>
      <w:r w:rsidRPr="00097A86">
        <w:tab/>
        <w:t>(c)</w:t>
      </w:r>
      <w:r w:rsidRPr="00097A86">
        <w:tab/>
        <w:t>as listed in that Compendium for the equipment type with emission factors adjusted for variations in the type of equipment material estimated in accordance with the results of published research for the crude oil industry and the principles of section</w:t>
      </w:r>
      <w:r w:rsidR="00097A86">
        <w:t> </w:t>
      </w:r>
      <w:r w:rsidRPr="00097A86">
        <w:t>1.13; or</w:t>
      </w:r>
    </w:p>
    <w:p w14:paraId="621F98E3" w14:textId="77777777" w:rsidR="003F0D4E" w:rsidRPr="00097A86" w:rsidRDefault="003F0D4E" w:rsidP="00D22D3F">
      <w:pPr>
        <w:pStyle w:val="paragraph"/>
      </w:pPr>
      <w:r w:rsidRPr="00097A86">
        <w:tab/>
        <w:t>(d)</w:t>
      </w:r>
      <w:r w:rsidRPr="00097A86">
        <w:tab/>
        <w:t>if the manufacturer of the equipment supplies equipment</w:t>
      </w:r>
      <w:r w:rsidR="00097A86">
        <w:noBreakHyphen/>
      </w:r>
      <w:r w:rsidRPr="00097A86">
        <w:t>specific emission factors for the equipment type</w:t>
      </w:r>
      <w:r w:rsidR="00D22D3F" w:rsidRPr="00097A86">
        <w:t>—</w:t>
      </w:r>
      <w:r w:rsidR="00D23FF4" w:rsidRPr="00097A86">
        <w:t>those factors; or</w:t>
      </w:r>
    </w:p>
    <w:p w14:paraId="71392E34" w14:textId="77777777" w:rsidR="00BE02E0" w:rsidRPr="00097A86" w:rsidRDefault="00BE02E0" w:rsidP="00D22D3F">
      <w:pPr>
        <w:pStyle w:val="paragraph"/>
      </w:pPr>
      <w:r w:rsidRPr="00097A86">
        <w:tab/>
        <w:t>(e)</w:t>
      </w:r>
      <w:r w:rsidRPr="00097A86">
        <w:tab/>
        <w:t>estimated using the engineering calculation approach in accordance with sections</w:t>
      </w:r>
      <w:r w:rsidR="00097A86">
        <w:t> </w:t>
      </w:r>
      <w:r w:rsidRPr="00097A86">
        <w:t>5 and 6.1.2 of the API Compendium.</w:t>
      </w:r>
    </w:p>
    <w:p w14:paraId="39AE76C1" w14:textId="77777777" w:rsidR="00BE02E0" w:rsidRPr="00097A86" w:rsidRDefault="00D22D3F" w:rsidP="00D22D3F">
      <w:pPr>
        <w:pStyle w:val="notetext"/>
      </w:pPr>
      <w:r w:rsidRPr="00097A86">
        <w:t>Note:</w:t>
      </w:r>
      <w:r w:rsidRPr="00097A86">
        <w:tab/>
      </w:r>
      <w:r w:rsidR="00BE02E0" w:rsidRPr="00097A86">
        <w:t xml:space="preserve">The API Compendium is available at </w:t>
      </w:r>
      <w:r w:rsidR="00BE02E0" w:rsidRPr="00097A86">
        <w:rPr>
          <w:u w:val="single"/>
        </w:rPr>
        <w:t>www.api.org</w:t>
      </w:r>
      <w:r w:rsidR="00BE02E0" w:rsidRPr="00097A86">
        <w:t>.</w:t>
      </w:r>
    </w:p>
    <w:p w14:paraId="750E994F" w14:textId="77777777" w:rsidR="003F0D4E" w:rsidRPr="00097A86" w:rsidRDefault="003F0D4E" w:rsidP="00D22D3F">
      <w:pPr>
        <w:pStyle w:val="ActHead3"/>
        <w:pageBreakBefore/>
      </w:pPr>
      <w:bookmarkStart w:id="336" w:name="_Toc13233769"/>
      <w:r w:rsidRPr="00097A86">
        <w:rPr>
          <w:rStyle w:val="CharDivNo"/>
        </w:rPr>
        <w:lastRenderedPageBreak/>
        <w:t>Division</w:t>
      </w:r>
      <w:r w:rsidR="00097A86">
        <w:rPr>
          <w:rStyle w:val="CharDivNo"/>
        </w:rPr>
        <w:t> </w:t>
      </w:r>
      <w:r w:rsidRPr="00097A86">
        <w:rPr>
          <w:rStyle w:val="CharDivNo"/>
        </w:rPr>
        <w:t>3.3.8</w:t>
      </w:r>
      <w:r w:rsidR="00D22D3F" w:rsidRPr="00097A86">
        <w:t>—</w:t>
      </w:r>
      <w:r w:rsidRPr="00097A86">
        <w:rPr>
          <w:rStyle w:val="CharDivText"/>
        </w:rPr>
        <w:t>Natural gas distribution</w:t>
      </w:r>
      <w:bookmarkEnd w:id="336"/>
    </w:p>
    <w:p w14:paraId="4C1C6BAD" w14:textId="77777777" w:rsidR="006D2A43" w:rsidRPr="00097A86" w:rsidRDefault="006D2A43" w:rsidP="00D22D3F">
      <w:pPr>
        <w:pStyle w:val="ActHead5"/>
      </w:pPr>
      <w:bookmarkStart w:id="337" w:name="_Toc13233770"/>
      <w:r w:rsidRPr="00097A86">
        <w:rPr>
          <w:rStyle w:val="CharSectno"/>
        </w:rPr>
        <w:t>3.78</w:t>
      </w:r>
      <w:r w:rsidR="00D22D3F" w:rsidRPr="00097A86">
        <w:t xml:space="preserve">  </w:t>
      </w:r>
      <w:r w:rsidRPr="00097A86">
        <w:t>Application</w:t>
      </w:r>
      <w:bookmarkEnd w:id="337"/>
    </w:p>
    <w:p w14:paraId="795BAEFA" w14:textId="77777777" w:rsidR="006D2A43" w:rsidRPr="00097A86" w:rsidRDefault="006D2A43" w:rsidP="00D22D3F">
      <w:pPr>
        <w:pStyle w:val="subsection"/>
      </w:pPr>
      <w:r w:rsidRPr="00097A86">
        <w:tab/>
      </w:r>
      <w:r w:rsidRPr="00097A86">
        <w:tab/>
        <w:t xml:space="preserve">This Division applies to </w:t>
      </w:r>
      <w:r w:rsidRPr="00097A86">
        <w:rPr>
          <w:bCs/>
        </w:rPr>
        <w:t>fugitive emissions from natural gas distribution activities</w:t>
      </w:r>
      <w:r w:rsidRPr="00097A86">
        <w:t>.</w:t>
      </w:r>
    </w:p>
    <w:p w14:paraId="4D549293" w14:textId="77777777" w:rsidR="00C741AF" w:rsidRPr="00450FEA" w:rsidRDefault="00C741AF" w:rsidP="00C741AF">
      <w:pPr>
        <w:pStyle w:val="ActHead5"/>
      </w:pPr>
      <w:bookmarkStart w:id="338" w:name="_Toc486862093"/>
      <w:bookmarkStart w:id="339" w:name="_Toc13233771"/>
      <w:r w:rsidRPr="00450FEA">
        <w:rPr>
          <w:rStyle w:val="CharSectno"/>
        </w:rPr>
        <w:t>3.79</w:t>
      </w:r>
      <w:r w:rsidRPr="00450FEA">
        <w:t xml:space="preserve">  Available methods</w:t>
      </w:r>
      <w:bookmarkEnd w:id="338"/>
      <w:bookmarkEnd w:id="339"/>
    </w:p>
    <w:p w14:paraId="4087DEA7" w14:textId="77777777" w:rsidR="00C741AF" w:rsidRPr="00450FEA" w:rsidRDefault="00C741AF" w:rsidP="00C741AF">
      <w:pPr>
        <w:pStyle w:val="subsection"/>
      </w:pPr>
      <w:r w:rsidRPr="00450FEA">
        <w:tab/>
        <w:t>(1)</w:t>
      </w:r>
      <w:r w:rsidRPr="00450FEA">
        <w:tab/>
        <w:t>Subject to section 1.18 and subsection</w:t>
      </w:r>
      <w:r>
        <w:t>s (2) and</w:t>
      </w:r>
      <w:r w:rsidRPr="00450FEA">
        <w:t xml:space="preserve"> (3), one of the following methods must</w:t>
      </w:r>
      <w:r w:rsidRPr="00450FEA">
        <w:rPr>
          <w:i/>
        </w:rPr>
        <w:t xml:space="preserve"> </w:t>
      </w:r>
      <w:r w:rsidRPr="00450FEA">
        <w:t>be used for estimating fugitive emissions (other than emissions that are flared) of each gas type, being carbon dioxide and methane, released during a year from the operation of a facility that is constituted by natural gas distribution through a system of pipelines:</w:t>
      </w:r>
    </w:p>
    <w:p w14:paraId="377590EC" w14:textId="77777777" w:rsidR="00C741AF" w:rsidRPr="00450FEA" w:rsidRDefault="00C741AF" w:rsidP="00C741AF">
      <w:pPr>
        <w:pStyle w:val="paragraph"/>
      </w:pPr>
      <w:r w:rsidRPr="00450FEA">
        <w:tab/>
        <w:t>(a)</w:t>
      </w:r>
      <w:r w:rsidRPr="00450FEA">
        <w:tab/>
        <w:t>method 1 under section 3.80;</w:t>
      </w:r>
    </w:p>
    <w:p w14:paraId="344588EC" w14:textId="77777777" w:rsidR="00C741AF" w:rsidRPr="00450FEA" w:rsidRDefault="00C741AF" w:rsidP="00C741AF">
      <w:pPr>
        <w:pStyle w:val="paragraph"/>
      </w:pPr>
      <w:r w:rsidRPr="00450FEA">
        <w:tab/>
        <w:t>(b)</w:t>
      </w:r>
      <w:r w:rsidRPr="00450FEA">
        <w:tab/>
        <w:t>method 2 under section 3.81;</w:t>
      </w:r>
    </w:p>
    <w:p w14:paraId="6AA2A1BE" w14:textId="77777777" w:rsidR="00C741AF" w:rsidRPr="00450FEA" w:rsidRDefault="00C741AF" w:rsidP="00C741AF">
      <w:pPr>
        <w:pStyle w:val="paragraph"/>
      </w:pPr>
      <w:r w:rsidRPr="00450FEA">
        <w:tab/>
        <w:t>(c)</w:t>
      </w:r>
      <w:r w:rsidRPr="00450FEA">
        <w:tab/>
        <w:t>method 3 under section 3.81A.</w:t>
      </w:r>
    </w:p>
    <w:p w14:paraId="7C23F852" w14:textId="77777777" w:rsidR="00C741AF" w:rsidRPr="00450FEA" w:rsidRDefault="00C741AF" w:rsidP="00C741AF">
      <w:pPr>
        <w:pStyle w:val="notetext"/>
      </w:pPr>
      <w:r>
        <w:t>Note:</w:t>
      </w:r>
      <w:r>
        <w:tab/>
        <w:t>There is no method</w:t>
      </w:r>
      <w:r w:rsidRPr="00450FEA">
        <w:t xml:space="preserve"> 4 for this Division.</w:t>
      </w:r>
    </w:p>
    <w:p w14:paraId="0AFA5D20" w14:textId="77777777" w:rsidR="00C741AF" w:rsidRPr="00450FEA" w:rsidRDefault="00C741AF" w:rsidP="00C741AF">
      <w:pPr>
        <w:pStyle w:val="subsection"/>
      </w:pPr>
      <w:r w:rsidRPr="00450FEA">
        <w:tab/>
        <w:t>(2)</w:t>
      </w:r>
      <w:r w:rsidRPr="00450FEA">
        <w:tab/>
        <w:t>However, for incidental emissions another method may be used that is consistent with the principles in section 1.13.</w:t>
      </w:r>
    </w:p>
    <w:p w14:paraId="41D34780" w14:textId="77777777" w:rsidR="00C741AF" w:rsidRPr="00450FEA" w:rsidRDefault="00C741AF" w:rsidP="00C741AF">
      <w:pPr>
        <w:pStyle w:val="subsection"/>
      </w:pPr>
      <w:r w:rsidRPr="00450FEA">
        <w:tab/>
        <w:t>(3)</w:t>
      </w:r>
      <w:r w:rsidRPr="00450FEA">
        <w:tab/>
        <w:t xml:space="preserve">Method 3 may only be used if the percentage of unaccounted for gas for a facility is </w:t>
      </w:r>
      <w:r>
        <w:t>calculated or determined during a reporting year</w:t>
      </w:r>
      <w:r w:rsidRPr="00450FEA">
        <w:t xml:space="preserve"> in accordance with gas market rules or procedures applicable to the facility.</w:t>
      </w:r>
    </w:p>
    <w:p w14:paraId="616AE026" w14:textId="77777777" w:rsidR="00C741AF" w:rsidRPr="00450FEA" w:rsidRDefault="00C741AF" w:rsidP="00C741AF">
      <w:pPr>
        <w:pStyle w:val="notetext"/>
      </w:pPr>
      <w:r w:rsidRPr="00450FEA">
        <w:t>Note:</w:t>
      </w:r>
      <w:r w:rsidRPr="00450FEA">
        <w:tab/>
      </w:r>
      <w:r>
        <w:t>A percentage of unaccounted for gas is generally worked out under procedures</w:t>
      </w:r>
      <w:r w:rsidRPr="00450FEA">
        <w:t xml:space="preserve"> made by the Australian Energy Market Operator and available on their website: www.aemo.com.au</w:t>
      </w:r>
    </w:p>
    <w:p w14:paraId="5C260C29" w14:textId="77777777" w:rsidR="003F0D4E" w:rsidRPr="00097A86" w:rsidRDefault="003F0D4E" w:rsidP="00D22D3F">
      <w:pPr>
        <w:pStyle w:val="ActHead5"/>
      </w:pPr>
      <w:bookmarkStart w:id="340" w:name="_Toc13233772"/>
      <w:r w:rsidRPr="00097A86">
        <w:rPr>
          <w:rStyle w:val="CharSectno"/>
        </w:rPr>
        <w:t>3.80</w:t>
      </w:r>
      <w:r w:rsidR="00D22D3F" w:rsidRPr="00097A86">
        <w:t xml:space="preserve">  </w:t>
      </w:r>
      <w:r w:rsidRPr="00097A86">
        <w:t>Method 1</w:t>
      </w:r>
      <w:r w:rsidR="00D22D3F" w:rsidRPr="00097A86">
        <w:t>—</w:t>
      </w:r>
      <w:r w:rsidRPr="00097A86">
        <w:t>natural gas distribution</w:t>
      </w:r>
      <w:bookmarkEnd w:id="340"/>
    </w:p>
    <w:p w14:paraId="3AAD727D" w14:textId="77777777" w:rsidR="003F0D4E" w:rsidRPr="00097A86" w:rsidRDefault="003F0D4E" w:rsidP="00D22D3F">
      <w:pPr>
        <w:pStyle w:val="subsection"/>
      </w:pPr>
      <w:r w:rsidRPr="00097A86">
        <w:tab/>
        <w:t>(1)</w:t>
      </w:r>
      <w:r w:rsidRPr="00097A86">
        <w:tab/>
        <w:t>Method 1 is:</w:t>
      </w:r>
    </w:p>
    <w:p w14:paraId="2B0DE6F9" w14:textId="77777777" w:rsidR="008609A7" w:rsidRPr="00097A86" w:rsidRDefault="00D22D3F" w:rsidP="00D22D3F">
      <w:pPr>
        <w:pStyle w:val="subsection"/>
        <w:spacing w:before="120" w:after="120"/>
      </w:pPr>
      <w:r w:rsidRPr="00097A86">
        <w:tab/>
      </w:r>
      <w:r w:rsidRPr="00097A86">
        <w:tab/>
      </w:r>
      <w:r w:rsidR="009E1F90">
        <w:rPr>
          <w:noProof/>
        </w:rPr>
        <w:drawing>
          <wp:inline distT="0" distB="0" distL="0" distR="0" wp14:anchorId="1B200A80" wp14:editId="373F8B3F">
            <wp:extent cx="2276475" cy="238125"/>
            <wp:effectExtent l="0" t="0" r="9525" b="9525"/>
            <wp:docPr id="19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p w14:paraId="4F62B5D3" w14:textId="77777777" w:rsidR="003F0D4E" w:rsidRPr="00097A86" w:rsidRDefault="003F0D4E" w:rsidP="00D22D3F">
      <w:pPr>
        <w:pStyle w:val="subsection2"/>
      </w:pPr>
      <w:r w:rsidRPr="00097A86">
        <w:t>where:</w:t>
      </w:r>
    </w:p>
    <w:p w14:paraId="18E6318D" w14:textId="77777777" w:rsidR="00CC2E35" w:rsidRPr="00097A86" w:rsidRDefault="008609A7" w:rsidP="00CC2E35">
      <w:pPr>
        <w:pStyle w:val="Definition"/>
      </w:pPr>
      <w:r w:rsidRPr="00097A86">
        <w:rPr>
          <w:b/>
          <w:i/>
        </w:rPr>
        <w:t>E</w:t>
      </w:r>
      <w:r w:rsidRPr="00097A86">
        <w:rPr>
          <w:rStyle w:val="charSubscript"/>
          <w:b/>
          <w:i/>
        </w:rPr>
        <w:t>jp</w:t>
      </w:r>
      <w:r w:rsidRPr="00097A86">
        <w:t xml:space="preserve"> is the fugitive emissions of gas type (</w:t>
      </w:r>
      <w:r w:rsidRPr="00097A86">
        <w:rPr>
          <w:b/>
          <w:i/>
        </w:rPr>
        <w:t>j</w:t>
      </w:r>
      <w:r w:rsidRPr="00097A86">
        <w:t>) that result from natural gas distribution through a system of pipelines with sales of gas in a State or Territory (</w:t>
      </w:r>
      <w:r w:rsidRPr="00097A86">
        <w:rPr>
          <w:b/>
          <w:i/>
        </w:rPr>
        <w:t>p</w:t>
      </w:r>
      <w:r w:rsidRPr="00097A86">
        <w:t>) during the year, measured in CO</w:t>
      </w:r>
      <w:r w:rsidRPr="00097A86">
        <w:rPr>
          <w:vertAlign w:val="subscript"/>
        </w:rPr>
        <w:t>2</w:t>
      </w:r>
      <w:r w:rsidR="00097A86">
        <w:noBreakHyphen/>
      </w:r>
      <w:r w:rsidRPr="00097A86">
        <w:t>e tonnes.</w:t>
      </w:r>
    </w:p>
    <w:p w14:paraId="5207B627" w14:textId="77777777" w:rsidR="00CC2E35" w:rsidRPr="00097A86" w:rsidRDefault="008609A7" w:rsidP="00CC2E35">
      <w:pPr>
        <w:pStyle w:val="Definition"/>
      </w:pPr>
      <w:r w:rsidRPr="00097A86">
        <w:rPr>
          <w:b/>
          <w:i/>
        </w:rPr>
        <w:t>S</w:t>
      </w:r>
      <w:r w:rsidRPr="00097A86">
        <w:rPr>
          <w:rStyle w:val="charSubscript"/>
          <w:b/>
          <w:i/>
        </w:rPr>
        <w:t>p</w:t>
      </w:r>
      <w:r w:rsidRPr="00097A86">
        <w:rPr>
          <w:b/>
          <w:i/>
        </w:rPr>
        <w:t xml:space="preserve"> </w:t>
      </w:r>
      <w:r w:rsidRPr="00097A86">
        <w:t>is the total sales during the year from the pipeline system in a State or Territory (</w:t>
      </w:r>
      <w:r w:rsidRPr="00097A86">
        <w:rPr>
          <w:b/>
          <w:i/>
        </w:rPr>
        <w:t>p</w:t>
      </w:r>
      <w:r w:rsidRPr="00097A86">
        <w:t>), measured in terajoules.</w:t>
      </w:r>
    </w:p>
    <w:p w14:paraId="0CE3DE66" w14:textId="77777777" w:rsidR="00CC2E35" w:rsidRPr="00097A86" w:rsidRDefault="003F0D4E" w:rsidP="00CC2E35">
      <w:pPr>
        <w:pStyle w:val="Definition"/>
      </w:pPr>
      <w:r w:rsidRPr="00097A86">
        <w:rPr>
          <w:b/>
          <w:i/>
        </w:rPr>
        <w:t>%UAG</w:t>
      </w:r>
      <w:r w:rsidRPr="00097A86">
        <w:rPr>
          <w:rStyle w:val="charSubscript"/>
          <w:i/>
        </w:rPr>
        <w:t>p</w:t>
      </w:r>
      <w:r w:rsidRPr="00097A86">
        <w:rPr>
          <w:i/>
        </w:rPr>
        <w:t xml:space="preserve"> </w:t>
      </w:r>
      <w:r w:rsidRPr="00097A86">
        <w:t>is the percentage of unaccounted for gas in the pipeline system in a State or Territory, relative to the amount of gas issued annually by gas utilities in that State or Territory.</w:t>
      </w:r>
    </w:p>
    <w:p w14:paraId="1CD79592" w14:textId="77777777" w:rsidR="003F0D4E" w:rsidRPr="00097A86" w:rsidRDefault="00D22D3F" w:rsidP="00CC2E35">
      <w:pPr>
        <w:pStyle w:val="notetext"/>
      </w:pPr>
      <w:r w:rsidRPr="00097A86">
        <w:t>Note:</w:t>
      </w:r>
      <w:r w:rsidRPr="00097A86">
        <w:tab/>
      </w:r>
      <w:r w:rsidR="003F0D4E" w:rsidRPr="00097A86">
        <w:t>The value 0.55 following the variable %UAGp in method 1 represents the proportion of gas that is unaccounted for and released as emissions.</w:t>
      </w:r>
    </w:p>
    <w:p w14:paraId="1591C374" w14:textId="77777777" w:rsidR="00CC2E35" w:rsidRPr="00097A86" w:rsidRDefault="008609A7" w:rsidP="00CC2E35">
      <w:pPr>
        <w:pStyle w:val="Definition"/>
      </w:pPr>
      <w:r w:rsidRPr="00097A86">
        <w:rPr>
          <w:b/>
          <w:i/>
        </w:rPr>
        <w:lastRenderedPageBreak/>
        <w:t>C</w:t>
      </w:r>
      <w:r w:rsidRPr="00097A86">
        <w:rPr>
          <w:rStyle w:val="charSubscript"/>
          <w:b/>
          <w:i/>
        </w:rPr>
        <w:t>jp</w:t>
      </w:r>
      <w:r w:rsidRPr="00097A86">
        <w:t xml:space="preserve"> is the natural gas composition factor for gas type (</w:t>
      </w:r>
      <w:r w:rsidRPr="00097A86">
        <w:rPr>
          <w:b/>
          <w:i/>
        </w:rPr>
        <w:t>j)</w:t>
      </w:r>
      <w:r w:rsidRPr="00097A86">
        <w:t xml:space="preserve"> for the natural gas supplied from the pipeline system in a State or Territory (</w:t>
      </w:r>
      <w:r w:rsidRPr="00097A86">
        <w:rPr>
          <w:b/>
          <w:i/>
        </w:rPr>
        <w:t>p</w:t>
      </w:r>
      <w:r w:rsidRPr="00097A86">
        <w:t>), measured in CO</w:t>
      </w:r>
      <w:r w:rsidRPr="00097A86">
        <w:rPr>
          <w:vertAlign w:val="subscript"/>
        </w:rPr>
        <w:t>2</w:t>
      </w:r>
      <w:r w:rsidR="00097A86">
        <w:noBreakHyphen/>
      </w:r>
      <w:r w:rsidRPr="00097A86">
        <w:t>e tonnes per terajoule.</w:t>
      </w:r>
    </w:p>
    <w:p w14:paraId="14040293" w14:textId="77777777" w:rsidR="003F0D4E" w:rsidRPr="00097A86" w:rsidRDefault="00CC2E35" w:rsidP="00CC2E35">
      <w:pPr>
        <w:pStyle w:val="subsection"/>
      </w:pPr>
      <w:r w:rsidRPr="00097A86">
        <w:tab/>
      </w:r>
      <w:r w:rsidR="003F0D4E" w:rsidRPr="00097A86">
        <w:t>(2)</w:t>
      </w:r>
      <w:r w:rsidR="003F0D4E" w:rsidRPr="00097A86">
        <w:tab/>
        <w:t xml:space="preserve">For %UAGp in </w:t>
      </w:r>
      <w:r w:rsidR="00097A86">
        <w:t>subsection (</w:t>
      </w:r>
      <w:r w:rsidR="003F0D4E" w:rsidRPr="00097A86">
        <w:t>1), column 3 of an item in the following table specifies the percentage of unaccounted for gas in the pipeline system in a State or Territory specified in column 2 of that item.</w:t>
      </w:r>
    </w:p>
    <w:p w14:paraId="78E3752D" w14:textId="77777777" w:rsidR="003F0D4E" w:rsidRPr="00097A86" w:rsidRDefault="003F0D4E" w:rsidP="00D22D3F">
      <w:pPr>
        <w:pStyle w:val="subsection"/>
      </w:pPr>
      <w:r w:rsidRPr="00097A86">
        <w:tab/>
        <w:t>(3)</w:t>
      </w:r>
      <w:r w:rsidRPr="00097A86">
        <w:tab/>
        <w:t xml:space="preserve">For </w:t>
      </w:r>
      <w:r w:rsidR="008609A7" w:rsidRPr="00097A86">
        <w:rPr>
          <w:b/>
          <w:i/>
        </w:rPr>
        <w:t>C</w:t>
      </w:r>
      <w:r w:rsidR="008609A7" w:rsidRPr="00097A86">
        <w:rPr>
          <w:rStyle w:val="charSubscript"/>
          <w:b/>
          <w:i/>
          <w:sz w:val="22"/>
        </w:rPr>
        <w:t>jp</w:t>
      </w:r>
      <w:r w:rsidR="008609A7" w:rsidRPr="00097A86">
        <w:t xml:space="preserve"> </w:t>
      </w:r>
      <w:r w:rsidRPr="00097A86">
        <w:t xml:space="preserve">in </w:t>
      </w:r>
      <w:r w:rsidR="00097A86">
        <w:t>subsection (</w:t>
      </w:r>
      <w:r w:rsidRPr="00097A86">
        <w:t>1), columns 4 and 5 of an item in the following table specify the natural gas composition factor for carbon dioxide and methane for a pipeline system in a State or Territory specified in column 2.</w:t>
      </w:r>
    </w:p>
    <w:p w14:paraId="49132CE5"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005"/>
        <w:gridCol w:w="2005"/>
        <w:gridCol w:w="1872"/>
        <w:gridCol w:w="1495"/>
      </w:tblGrid>
      <w:tr w:rsidR="003F0D4E" w:rsidRPr="00097A86" w14:paraId="2406C582" w14:textId="77777777" w:rsidTr="00C20CC2">
        <w:trPr>
          <w:cantSplit/>
          <w:tblHeader/>
        </w:trPr>
        <w:tc>
          <w:tcPr>
            <w:tcW w:w="563" w:type="pct"/>
            <w:tcBorders>
              <w:top w:val="single" w:sz="12" w:space="0" w:color="auto"/>
              <w:left w:val="nil"/>
              <w:bottom w:val="nil"/>
              <w:right w:val="nil"/>
            </w:tcBorders>
            <w:shd w:val="clear" w:color="auto" w:fill="auto"/>
          </w:tcPr>
          <w:p w14:paraId="7FAE163E" w14:textId="77777777" w:rsidR="003F0D4E" w:rsidRPr="00097A86" w:rsidRDefault="003F0D4E" w:rsidP="006A6B38">
            <w:pPr>
              <w:pStyle w:val="TableHeading"/>
            </w:pPr>
            <w:r w:rsidRPr="00097A86">
              <w:t>Item</w:t>
            </w:r>
          </w:p>
        </w:tc>
        <w:tc>
          <w:tcPr>
            <w:tcW w:w="1206" w:type="pct"/>
            <w:vMerge w:val="restart"/>
            <w:tcBorders>
              <w:top w:val="single" w:sz="12" w:space="0" w:color="auto"/>
              <w:left w:val="nil"/>
              <w:bottom w:val="nil"/>
              <w:right w:val="nil"/>
            </w:tcBorders>
            <w:shd w:val="clear" w:color="auto" w:fill="auto"/>
          </w:tcPr>
          <w:p w14:paraId="54984C8C" w14:textId="77777777" w:rsidR="003F0D4E" w:rsidRPr="00097A86" w:rsidRDefault="003F0D4E" w:rsidP="006A6B38">
            <w:pPr>
              <w:pStyle w:val="TableHeading"/>
            </w:pPr>
            <w:r w:rsidRPr="00097A86">
              <w:t>State</w:t>
            </w:r>
          </w:p>
        </w:tc>
        <w:tc>
          <w:tcPr>
            <w:tcW w:w="1206" w:type="pct"/>
            <w:tcBorders>
              <w:top w:val="single" w:sz="12" w:space="0" w:color="auto"/>
              <w:left w:val="nil"/>
              <w:bottom w:val="single" w:sz="4" w:space="0" w:color="auto"/>
              <w:right w:val="nil"/>
            </w:tcBorders>
            <w:shd w:val="clear" w:color="auto" w:fill="auto"/>
          </w:tcPr>
          <w:p w14:paraId="71BD72CB" w14:textId="77777777" w:rsidR="003F0D4E" w:rsidRPr="00097A86" w:rsidRDefault="003F0D4E" w:rsidP="006A6B38">
            <w:pPr>
              <w:pStyle w:val="TableHeading"/>
            </w:pPr>
            <w:r w:rsidRPr="00097A86">
              <w:t>Unaccounted for gas (a)%</w:t>
            </w:r>
          </w:p>
        </w:tc>
        <w:tc>
          <w:tcPr>
            <w:tcW w:w="2025" w:type="pct"/>
            <w:gridSpan w:val="2"/>
            <w:tcBorders>
              <w:top w:val="single" w:sz="12" w:space="0" w:color="auto"/>
              <w:left w:val="nil"/>
              <w:bottom w:val="single" w:sz="4" w:space="0" w:color="auto"/>
              <w:right w:val="nil"/>
            </w:tcBorders>
            <w:shd w:val="clear" w:color="auto" w:fill="auto"/>
          </w:tcPr>
          <w:p w14:paraId="0BE9D115" w14:textId="77777777" w:rsidR="003F0D4E" w:rsidRPr="00097A86" w:rsidRDefault="003F0D4E" w:rsidP="00BF4A6E">
            <w:pPr>
              <w:pStyle w:val="TableHeading"/>
            </w:pPr>
            <w:r w:rsidRPr="00097A86">
              <w:t>Natural gas composition factor (a)(tonnes CO</w:t>
            </w:r>
            <w:r w:rsidRPr="00097A86">
              <w:rPr>
                <w:rStyle w:val="charSubscript"/>
                <w:iCs/>
              </w:rPr>
              <w:t>2</w:t>
            </w:r>
            <w:r w:rsidR="00097A86">
              <w:rPr>
                <w:rStyle w:val="charSubscript"/>
                <w:iCs/>
              </w:rPr>
              <w:noBreakHyphen/>
            </w:r>
            <w:r w:rsidRPr="00097A86">
              <w:rPr>
                <w:rStyle w:val="charSubscript"/>
                <w:iCs/>
              </w:rPr>
              <w:t>e</w:t>
            </w:r>
            <w:r w:rsidRPr="00097A86">
              <w:t>/TJ)</w:t>
            </w:r>
          </w:p>
        </w:tc>
      </w:tr>
      <w:tr w:rsidR="003F0D4E" w:rsidRPr="00097A86" w14:paraId="4C45C7F1" w14:textId="77777777" w:rsidTr="00C20CC2">
        <w:trPr>
          <w:cantSplit/>
          <w:tblHeader/>
        </w:trPr>
        <w:tc>
          <w:tcPr>
            <w:tcW w:w="563" w:type="pct"/>
            <w:tcBorders>
              <w:top w:val="nil"/>
              <w:left w:val="nil"/>
              <w:bottom w:val="single" w:sz="12" w:space="0" w:color="auto"/>
              <w:right w:val="nil"/>
            </w:tcBorders>
            <w:shd w:val="clear" w:color="auto" w:fill="auto"/>
          </w:tcPr>
          <w:p w14:paraId="32D3CC84" w14:textId="77777777" w:rsidR="003F0D4E" w:rsidRPr="00097A86" w:rsidRDefault="003F0D4E" w:rsidP="006A6B38">
            <w:pPr>
              <w:pStyle w:val="TableHeading"/>
            </w:pPr>
          </w:p>
        </w:tc>
        <w:tc>
          <w:tcPr>
            <w:tcW w:w="1206" w:type="pct"/>
            <w:vMerge/>
            <w:tcBorders>
              <w:top w:val="nil"/>
              <w:left w:val="nil"/>
              <w:bottom w:val="single" w:sz="12" w:space="0" w:color="auto"/>
              <w:right w:val="nil"/>
            </w:tcBorders>
            <w:shd w:val="clear" w:color="auto" w:fill="auto"/>
          </w:tcPr>
          <w:p w14:paraId="0259B7F4" w14:textId="77777777" w:rsidR="003F0D4E" w:rsidRPr="00097A86" w:rsidRDefault="003F0D4E" w:rsidP="006A6B38">
            <w:pPr>
              <w:pStyle w:val="TableHeading"/>
            </w:pPr>
          </w:p>
        </w:tc>
        <w:tc>
          <w:tcPr>
            <w:tcW w:w="1206" w:type="pct"/>
            <w:tcBorders>
              <w:top w:val="single" w:sz="4" w:space="0" w:color="auto"/>
              <w:left w:val="nil"/>
              <w:bottom w:val="single" w:sz="12" w:space="0" w:color="auto"/>
              <w:right w:val="nil"/>
            </w:tcBorders>
            <w:shd w:val="clear" w:color="auto" w:fill="auto"/>
          </w:tcPr>
          <w:p w14:paraId="46F2B081" w14:textId="77777777" w:rsidR="003F0D4E" w:rsidRPr="00097A86" w:rsidRDefault="003F0D4E" w:rsidP="006A6B38">
            <w:pPr>
              <w:pStyle w:val="TableHeading"/>
            </w:pPr>
            <w:r w:rsidRPr="00097A86">
              <w:t>UAGp</w:t>
            </w:r>
          </w:p>
        </w:tc>
        <w:tc>
          <w:tcPr>
            <w:tcW w:w="1126" w:type="pct"/>
            <w:tcBorders>
              <w:top w:val="single" w:sz="4" w:space="0" w:color="auto"/>
              <w:left w:val="nil"/>
              <w:bottom w:val="single" w:sz="12" w:space="0" w:color="auto"/>
              <w:right w:val="nil"/>
            </w:tcBorders>
            <w:shd w:val="clear" w:color="auto" w:fill="auto"/>
          </w:tcPr>
          <w:p w14:paraId="676A2CCA" w14:textId="77777777" w:rsidR="003F0D4E" w:rsidRPr="00097A86" w:rsidRDefault="003F0D4E" w:rsidP="006A6B38">
            <w:pPr>
              <w:pStyle w:val="TableHeading"/>
            </w:pPr>
            <w:r w:rsidRPr="00097A86">
              <w:t>CO</w:t>
            </w:r>
            <w:r w:rsidRPr="00097A86">
              <w:rPr>
                <w:vertAlign w:val="subscript"/>
              </w:rPr>
              <w:t>2</w:t>
            </w:r>
          </w:p>
        </w:tc>
        <w:tc>
          <w:tcPr>
            <w:tcW w:w="899" w:type="pct"/>
            <w:tcBorders>
              <w:top w:val="single" w:sz="4" w:space="0" w:color="auto"/>
              <w:left w:val="nil"/>
              <w:bottom w:val="single" w:sz="12" w:space="0" w:color="auto"/>
              <w:right w:val="nil"/>
            </w:tcBorders>
            <w:shd w:val="clear" w:color="auto" w:fill="auto"/>
          </w:tcPr>
          <w:p w14:paraId="6F452FC0" w14:textId="77777777" w:rsidR="003F0D4E" w:rsidRPr="00097A86" w:rsidRDefault="003F0D4E" w:rsidP="006A6B38">
            <w:pPr>
              <w:pStyle w:val="TableHeading"/>
            </w:pPr>
            <w:r w:rsidRPr="00097A86">
              <w:t>CH</w:t>
            </w:r>
            <w:r w:rsidRPr="00097A86">
              <w:rPr>
                <w:vertAlign w:val="subscript"/>
              </w:rPr>
              <w:t>4</w:t>
            </w:r>
          </w:p>
        </w:tc>
      </w:tr>
      <w:tr w:rsidR="00E76D51" w:rsidRPr="00097A86" w14:paraId="62491503" w14:textId="77777777" w:rsidTr="00C20CC2">
        <w:tc>
          <w:tcPr>
            <w:tcW w:w="563" w:type="pct"/>
            <w:tcBorders>
              <w:top w:val="nil"/>
              <w:left w:val="nil"/>
              <w:bottom w:val="nil"/>
              <w:right w:val="nil"/>
            </w:tcBorders>
          </w:tcPr>
          <w:p w14:paraId="2C1457AC" w14:textId="77777777" w:rsidR="00E76D51" w:rsidRPr="00097A86" w:rsidRDefault="00E76D51" w:rsidP="00D22D3F">
            <w:pPr>
              <w:pStyle w:val="Tabletext"/>
            </w:pPr>
            <w:r w:rsidRPr="00097A86">
              <w:t>1</w:t>
            </w:r>
          </w:p>
        </w:tc>
        <w:tc>
          <w:tcPr>
            <w:tcW w:w="1206" w:type="pct"/>
            <w:tcBorders>
              <w:top w:val="nil"/>
              <w:left w:val="nil"/>
              <w:bottom w:val="nil"/>
              <w:right w:val="nil"/>
            </w:tcBorders>
          </w:tcPr>
          <w:p w14:paraId="23742346" w14:textId="77777777" w:rsidR="00E76D51" w:rsidRPr="00097A86" w:rsidRDefault="00E76D51" w:rsidP="00D22D3F">
            <w:pPr>
              <w:pStyle w:val="Tabletext"/>
            </w:pPr>
            <w:r w:rsidRPr="00097A86">
              <w:t>NSW and ACT</w:t>
            </w:r>
          </w:p>
        </w:tc>
        <w:tc>
          <w:tcPr>
            <w:tcW w:w="1206" w:type="pct"/>
            <w:tcBorders>
              <w:top w:val="nil"/>
              <w:left w:val="nil"/>
              <w:bottom w:val="nil"/>
              <w:right w:val="nil"/>
            </w:tcBorders>
          </w:tcPr>
          <w:p w14:paraId="3979FA57" w14:textId="77777777" w:rsidR="00E76D51" w:rsidRPr="00097A86" w:rsidRDefault="00E76D51" w:rsidP="00D22D3F">
            <w:pPr>
              <w:pStyle w:val="Tabletext"/>
            </w:pPr>
            <w:r w:rsidRPr="00097A86">
              <w:t>2.2</w:t>
            </w:r>
          </w:p>
        </w:tc>
        <w:tc>
          <w:tcPr>
            <w:tcW w:w="1126" w:type="pct"/>
            <w:tcBorders>
              <w:top w:val="nil"/>
              <w:left w:val="nil"/>
              <w:bottom w:val="nil"/>
              <w:right w:val="nil"/>
            </w:tcBorders>
          </w:tcPr>
          <w:p w14:paraId="1785A124" w14:textId="77777777" w:rsidR="00E76D51" w:rsidRPr="00097A86" w:rsidRDefault="00E76D51" w:rsidP="00D22D3F">
            <w:pPr>
              <w:pStyle w:val="Tabletext"/>
            </w:pPr>
            <w:r w:rsidRPr="00097A86">
              <w:t>0.8</w:t>
            </w:r>
          </w:p>
        </w:tc>
        <w:tc>
          <w:tcPr>
            <w:tcW w:w="899" w:type="pct"/>
            <w:tcBorders>
              <w:top w:val="nil"/>
              <w:left w:val="nil"/>
              <w:bottom w:val="nil"/>
              <w:right w:val="nil"/>
            </w:tcBorders>
          </w:tcPr>
          <w:p w14:paraId="7C83AB21" w14:textId="77777777" w:rsidR="00E76D51" w:rsidRPr="00097A86" w:rsidRDefault="00E76D51" w:rsidP="00D22D3F">
            <w:pPr>
              <w:pStyle w:val="Tabletext"/>
            </w:pPr>
            <w:r w:rsidRPr="00097A86">
              <w:t>390</w:t>
            </w:r>
          </w:p>
        </w:tc>
      </w:tr>
      <w:tr w:rsidR="00E76D51" w:rsidRPr="00097A86" w14:paraId="335153CC" w14:textId="77777777" w:rsidTr="00C20CC2">
        <w:tc>
          <w:tcPr>
            <w:tcW w:w="563" w:type="pct"/>
            <w:tcBorders>
              <w:top w:val="nil"/>
              <w:left w:val="nil"/>
              <w:bottom w:val="nil"/>
              <w:right w:val="nil"/>
            </w:tcBorders>
          </w:tcPr>
          <w:p w14:paraId="28B7F007" w14:textId="77777777" w:rsidR="00E76D51" w:rsidRPr="00097A86" w:rsidRDefault="00E76D51" w:rsidP="00D22D3F">
            <w:pPr>
              <w:pStyle w:val="Tabletext"/>
            </w:pPr>
            <w:r w:rsidRPr="00097A86">
              <w:t>2</w:t>
            </w:r>
          </w:p>
        </w:tc>
        <w:tc>
          <w:tcPr>
            <w:tcW w:w="1206" w:type="pct"/>
            <w:tcBorders>
              <w:top w:val="nil"/>
              <w:left w:val="nil"/>
              <w:bottom w:val="nil"/>
              <w:right w:val="nil"/>
            </w:tcBorders>
          </w:tcPr>
          <w:p w14:paraId="33801183" w14:textId="77777777" w:rsidR="00E76D51" w:rsidRPr="00097A86" w:rsidRDefault="00E76D51" w:rsidP="00D22D3F">
            <w:pPr>
              <w:pStyle w:val="Tabletext"/>
            </w:pPr>
            <w:r w:rsidRPr="00097A86">
              <w:t>VIC</w:t>
            </w:r>
          </w:p>
        </w:tc>
        <w:tc>
          <w:tcPr>
            <w:tcW w:w="1206" w:type="pct"/>
            <w:tcBorders>
              <w:top w:val="nil"/>
              <w:left w:val="nil"/>
              <w:bottom w:val="nil"/>
              <w:right w:val="nil"/>
            </w:tcBorders>
          </w:tcPr>
          <w:p w14:paraId="532CA7AE" w14:textId="77777777" w:rsidR="00E76D51" w:rsidRPr="00097A86" w:rsidRDefault="00E76D51" w:rsidP="00D22D3F">
            <w:pPr>
              <w:pStyle w:val="Tabletext"/>
            </w:pPr>
            <w:r w:rsidRPr="00097A86">
              <w:t>3.0</w:t>
            </w:r>
          </w:p>
        </w:tc>
        <w:tc>
          <w:tcPr>
            <w:tcW w:w="1126" w:type="pct"/>
            <w:tcBorders>
              <w:top w:val="nil"/>
              <w:left w:val="nil"/>
              <w:bottom w:val="nil"/>
              <w:right w:val="nil"/>
            </w:tcBorders>
          </w:tcPr>
          <w:p w14:paraId="732996EC" w14:textId="77777777" w:rsidR="00E76D51" w:rsidRPr="00097A86" w:rsidRDefault="00E76D51" w:rsidP="00D22D3F">
            <w:pPr>
              <w:pStyle w:val="Tabletext"/>
            </w:pPr>
            <w:r w:rsidRPr="00097A86">
              <w:t>0.9</w:t>
            </w:r>
          </w:p>
        </w:tc>
        <w:tc>
          <w:tcPr>
            <w:tcW w:w="899" w:type="pct"/>
            <w:tcBorders>
              <w:top w:val="nil"/>
              <w:left w:val="nil"/>
              <w:bottom w:val="nil"/>
              <w:right w:val="nil"/>
            </w:tcBorders>
          </w:tcPr>
          <w:p w14:paraId="1D8FDE56" w14:textId="77777777" w:rsidR="00E76D51" w:rsidRPr="00097A86" w:rsidRDefault="00E76D51" w:rsidP="00D22D3F">
            <w:pPr>
              <w:pStyle w:val="Tabletext"/>
            </w:pPr>
            <w:r w:rsidRPr="00097A86">
              <w:t>388</w:t>
            </w:r>
          </w:p>
        </w:tc>
      </w:tr>
      <w:tr w:rsidR="00E76D51" w:rsidRPr="00097A86" w14:paraId="70A985A8" w14:textId="77777777" w:rsidTr="00C20CC2">
        <w:tc>
          <w:tcPr>
            <w:tcW w:w="563" w:type="pct"/>
            <w:tcBorders>
              <w:top w:val="nil"/>
              <w:left w:val="nil"/>
              <w:bottom w:val="nil"/>
              <w:right w:val="nil"/>
            </w:tcBorders>
          </w:tcPr>
          <w:p w14:paraId="520888AF" w14:textId="77777777" w:rsidR="00E76D51" w:rsidRPr="00097A86" w:rsidRDefault="00E76D51" w:rsidP="00D22D3F">
            <w:pPr>
              <w:pStyle w:val="Tabletext"/>
            </w:pPr>
            <w:r w:rsidRPr="00097A86">
              <w:t>3</w:t>
            </w:r>
          </w:p>
        </w:tc>
        <w:tc>
          <w:tcPr>
            <w:tcW w:w="1206" w:type="pct"/>
            <w:tcBorders>
              <w:top w:val="nil"/>
              <w:left w:val="nil"/>
              <w:bottom w:val="nil"/>
              <w:right w:val="nil"/>
            </w:tcBorders>
          </w:tcPr>
          <w:p w14:paraId="2C7077AB" w14:textId="77777777" w:rsidR="00E76D51" w:rsidRPr="00097A86" w:rsidRDefault="00E76D51" w:rsidP="00D22D3F">
            <w:pPr>
              <w:pStyle w:val="Tabletext"/>
            </w:pPr>
            <w:r w:rsidRPr="00097A86">
              <w:t>QLD</w:t>
            </w:r>
          </w:p>
        </w:tc>
        <w:tc>
          <w:tcPr>
            <w:tcW w:w="1206" w:type="pct"/>
            <w:tcBorders>
              <w:top w:val="nil"/>
              <w:left w:val="nil"/>
              <w:bottom w:val="nil"/>
              <w:right w:val="nil"/>
            </w:tcBorders>
          </w:tcPr>
          <w:p w14:paraId="71ABA9A5" w14:textId="77777777" w:rsidR="00E76D51" w:rsidRPr="00097A86" w:rsidRDefault="00E76D51" w:rsidP="00D22D3F">
            <w:pPr>
              <w:pStyle w:val="Tabletext"/>
            </w:pPr>
            <w:r w:rsidRPr="00097A86">
              <w:t>1.7</w:t>
            </w:r>
          </w:p>
        </w:tc>
        <w:tc>
          <w:tcPr>
            <w:tcW w:w="1126" w:type="pct"/>
            <w:tcBorders>
              <w:top w:val="nil"/>
              <w:left w:val="nil"/>
              <w:bottom w:val="nil"/>
              <w:right w:val="nil"/>
            </w:tcBorders>
          </w:tcPr>
          <w:p w14:paraId="61980691" w14:textId="77777777" w:rsidR="00E76D51" w:rsidRPr="00097A86" w:rsidRDefault="00E76D51" w:rsidP="00D22D3F">
            <w:pPr>
              <w:pStyle w:val="Tabletext"/>
            </w:pPr>
            <w:r w:rsidRPr="00097A86">
              <w:t>0.8</w:t>
            </w:r>
          </w:p>
        </w:tc>
        <w:tc>
          <w:tcPr>
            <w:tcW w:w="899" w:type="pct"/>
            <w:tcBorders>
              <w:top w:val="nil"/>
              <w:left w:val="nil"/>
              <w:bottom w:val="nil"/>
              <w:right w:val="nil"/>
            </w:tcBorders>
          </w:tcPr>
          <w:p w14:paraId="2040CA9C" w14:textId="77777777" w:rsidR="00E76D51" w:rsidRPr="00097A86" w:rsidRDefault="00E76D51" w:rsidP="00D22D3F">
            <w:pPr>
              <w:pStyle w:val="Tabletext"/>
            </w:pPr>
            <w:r w:rsidRPr="00097A86">
              <w:t>377</w:t>
            </w:r>
          </w:p>
        </w:tc>
      </w:tr>
      <w:tr w:rsidR="00E76D51" w:rsidRPr="00097A86" w14:paraId="1284A973" w14:textId="77777777" w:rsidTr="00C20CC2">
        <w:tc>
          <w:tcPr>
            <w:tcW w:w="563" w:type="pct"/>
            <w:tcBorders>
              <w:top w:val="nil"/>
              <w:left w:val="nil"/>
              <w:bottom w:val="nil"/>
              <w:right w:val="nil"/>
            </w:tcBorders>
          </w:tcPr>
          <w:p w14:paraId="327966B5" w14:textId="77777777" w:rsidR="00E76D51" w:rsidRPr="00097A86" w:rsidRDefault="00E76D51" w:rsidP="00D22D3F">
            <w:pPr>
              <w:pStyle w:val="Tabletext"/>
            </w:pPr>
            <w:r w:rsidRPr="00097A86">
              <w:t>4</w:t>
            </w:r>
          </w:p>
        </w:tc>
        <w:tc>
          <w:tcPr>
            <w:tcW w:w="1206" w:type="pct"/>
            <w:tcBorders>
              <w:top w:val="nil"/>
              <w:left w:val="nil"/>
              <w:bottom w:val="nil"/>
              <w:right w:val="nil"/>
            </w:tcBorders>
          </w:tcPr>
          <w:p w14:paraId="7665FE26" w14:textId="77777777" w:rsidR="00E76D51" w:rsidRPr="00097A86" w:rsidRDefault="00E76D51" w:rsidP="00D22D3F">
            <w:pPr>
              <w:pStyle w:val="Tabletext"/>
            </w:pPr>
            <w:r w:rsidRPr="00097A86">
              <w:t>WA</w:t>
            </w:r>
          </w:p>
        </w:tc>
        <w:tc>
          <w:tcPr>
            <w:tcW w:w="1206" w:type="pct"/>
            <w:tcBorders>
              <w:top w:val="nil"/>
              <w:left w:val="nil"/>
              <w:bottom w:val="nil"/>
              <w:right w:val="nil"/>
            </w:tcBorders>
          </w:tcPr>
          <w:p w14:paraId="41D3F430" w14:textId="77777777" w:rsidR="00E76D51" w:rsidRPr="00097A86" w:rsidRDefault="00E76D51" w:rsidP="00D22D3F">
            <w:pPr>
              <w:pStyle w:val="Tabletext"/>
            </w:pPr>
            <w:r w:rsidRPr="00097A86">
              <w:t>2.9</w:t>
            </w:r>
          </w:p>
        </w:tc>
        <w:tc>
          <w:tcPr>
            <w:tcW w:w="1126" w:type="pct"/>
            <w:tcBorders>
              <w:top w:val="nil"/>
              <w:left w:val="nil"/>
              <w:bottom w:val="nil"/>
              <w:right w:val="nil"/>
            </w:tcBorders>
          </w:tcPr>
          <w:p w14:paraId="7B4B9CFE" w14:textId="77777777" w:rsidR="00E76D51" w:rsidRPr="00097A86" w:rsidRDefault="00E76D51" w:rsidP="00D22D3F">
            <w:pPr>
              <w:pStyle w:val="Tabletext"/>
            </w:pPr>
            <w:r w:rsidRPr="00097A86">
              <w:t>1.1</w:t>
            </w:r>
          </w:p>
        </w:tc>
        <w:tc>
          <w:tcPr>
            <w:tcW w:w="899" w:type="pct"/>
            <w:tcBorders>
              <w:top w:val="nil"/>
              <w:left w:val="nil"/>
              <w:bottom w:val="nil"/>
              <w:right w:val="nil"/>
            </w:tcBorders>
          </w:tcPr>
          <w:p w14:paraId="1ED2A806" w14:textId="77777777" w:rsidR="00E76D51" w:rsidRPr="00097A86" w:rsidRDefault="00E76D51" w:rsidP="00D22D3F">
            <w:pPr>
              <w:pStyle w:val="Tabletext"/>
            </w:pPr>
            <w:r w:rsidRPr="00097A86">
              <w:t>364</w:t>
            </w:r>
          </w:p>
        </w:tc>
      </w:tr>
      <w:tr w:rsidR="00E76D51" w:rsidRPr="00097A86" w14:paraId="1AD561B8" w14:textId="77777777" w:rsidTr="00C20CC2">
        <w:tc>
          <w:tcPr>
            <w:tcW w:w="563" w:type="pct"/>
            <w:tcBorders>
              <w:top w:val="nil"/>
              <w:left w:val="nil"/>
              <w:bottom w:val="nil"/>
              <w:right w:val="nil"/>
            </w:tcBorders>
          </w:tcPr>
          <w:p w14:paraId="06656E42" w14:textId="77777777" w:rsidR="00E76D51" w:rsidRPr="00097A86" w:rsidRDefault="00E76D51" w:rsidP="00D22D3F">
            <w:pPr>
              <w:pStyle w:val="Tabletext"/>
            </w:pPr>
            <w:r w:rsidRPr="00097A86">
              <w:t>5</w:t>
            </w:r>
          </w:p>
        </w:tc>
        <w:tc>
          <w:tcPr>
            <w:tcW w:w="1206" w:type="pct"/>
            <w:tcBorders>
              <w:top w:val="nil"/>
              <w:left w:val="nil"/>
              <w:bottom w:val="nil"/>
              <w:right w:val="nil"/>
            </w:tcBorders>
          </w:tcPr>
          <w:p w14:paraId="7C438668" w14:textId="77777777" w:rsidR="00E76D51" w:rsidRPr="00097A86" w:rsidRDefault="00E76D51" w:rsidP="00D22D3F">
            <w:pPr>
              <w:pStyle w:val="Tabletext"/>
            </w:pPr>
            <w:r w:rsidRPr="00097A86">
              <w:t>SA</w:t>
            </w:r>
          </w:p>
        </w:tc>
        <w:tc>
          <w:tcPr>
            <w:tcW w:w="1206" w:type="pct"/>
            <w:tcBorders>
              <w:top w:val="nil"/>
              <w:left w:val="nil"/>
              <w:bottom w:val="nil"/>
              <w:right w:val="nil"/>
            </w:tcBorders>
          </w:tcPr>
          <w:p w14:paraId="458838F8" w14:textId="77777777" w:rsidR="00E76D51" w:rsidRPr="00097A86" w:rsidRDefault="00E76D51" w:rsidP="00D22D3F">
            <w:pPr>
              <w:pStyle w:val="Tabletext"/>
            </w:pPr>
            <w:r w:rsidRPr="00097A86">
              <w:t>4.9</w:t>
            </w:r>
          </w:p>
        </w:tc>
        <w:tc>
          <w:tcPr>
            <w:tcW w:w="1126" w:type="pct"/>
            <w:tcBorders>
              <w:top w:val="nil"/>
              <w:left w:val="nil"/>
              <w:bottom w:val="nil"/>
              <w:right w:val="nil"/>
            </w:tcBorders>
          </w:tcPr>
          <w:p w14:paraId="15FE5F3C" w14:textId="77777777" w:rsidR="00E76D51" w:rsidRPr="00097A86" w:rsidRDefault="00E76D51" w:rsidP="00D22D3F">
            <w:pPr>
              <w:pStyle w:val="Tabletext"/>
            </w:pPr>
            <w:r w:rsidRPr="00097A86">
              <w:t>0.8</w:t>
            </w:r>
          </w:p>
        </w:tc>
        <w:tc>
          <w:tcPr>
            <w:tcW w:w="899" w:type="pct"/>
            <w:tcBorders>
              <w:top w:val="nil"/>
              <w:left w:val="nil"/>
              <w:bottom w:val="nil"/>
              <w:right w:val="nil"/>
            </w:tcBorders>
          </w:tcPr>
          <w:p w14:paraId="5A982BCE" w14:textId="77777777" w:rsidR="00E76D51" w:rsidRPr="00097A86" w:rsidRDefault="00E76D51" w:rsidP="00D22D3F">
            <w:pPr>
              <w:pStyle w:val="Tabletext"/>
            </w:pPr>
            <w:r w:rsidRPr="00097A86">
              <w:t>390</w:t>
            </w:r>
          </w:p>
        </w:tc>
      </w:tr>
      <w:tr w:rsidR="00E76D51" w:rsidRPr="00097A86" w14:paraId="542F909E" w14:textId="77777777" w:rsidTr="00C20CC2">
        <w:tc>
          <w:tcPr>
            <w:tcW w:w="563" w:type="pct"/>
            <w:tcBorders>
              <w:top w:val="nil"/>
              <w:left w:val="nil"/>
              <w:bottom w:val="nil"/>
              <w:right w:val="nil"/>
            </w:tcBorders>
          </w:tcPr>
          <w:p w14:paraId="07128832" w14:textId="77777777" w:rsidR="00E76D51" w:rsidRPr="00097A86" w:rsidRDefault="00E76D51" w:rsidP="00D22D3F">
            <w:pPr>
              <w:pStyle w:val="Tabletext"/>
            </w:pPr>
            <w:r w:rsidRPr="00097A86">
              <w:t>6</w:t>
            </w:r>
          </w:p>
        </w:tc>
        <w:tc>
          <w:tcPr>
            <w:tcW w:w="1206" w:type="pct"/>
            <w:tcBorders>
              <w:top w:val="nil"/>
              <w:left w:val="nil"/>
              <w:bottom w:val="nil"/>
              <w:right w:val="nil"/>
            </w:tcBorders>
          </w:tcPr>
          <w:p w14:paraId="6CFF8A0D" w14:textId="77777777" w:rsidR="00E76D51" w:rsidRPr="00097A86" w:rsidRDefault="00E76D51" w:rsidP="00D22D3F">
            <w:pPr>
              <w:pStyle w:val="Tabletext"/>
            </w:pPr>
            <w:r w:rsidRPr="00097A86">
              <w:t>TAS</w:t>
            </w:r>
          </w:p>
        </w:tc>
        <w:tc>
          <w:tcPr>
            <w:tcW w:w="1206" w:type="pct"/>
            <w:tcBorders>
              <w:top w:val="nil"/>
              <w:left w:val="nil"/>
              <w:bottom w:val="nil"/>
              <w:right w:val="nil"/>
            </w:tcBorders>
          </w:tcPr>
          <w:p w14:paraId="22601527" w14:textId="77777777" w:rsidR="00E76D51" w:rsidRPr="00097A86" w:rsidRDefault="00E76D51" w:rsidP="00D22D3F">
            <w:pPr>
              <w:pStyle w:val="Tabletext"/>
            </w:pPr>
            <w:r w:rsidRPr="00097A86">
              <w:t>0.2</w:t>
            </w:r>
          </w:p>
        </w:tc>
        <w:tc>
          <w:tcPr>
            <w:tcW w:w="1126" w:type="pct"/>
            <w:tcBorders>
              <w:top w:val="nil"/>
              <w:left w:val="nil"/>
              <w:bottom w:val="nil"/>
              <w:right w:val="nil"/>
            </w:tcBorders>
          </w:tcPr>
          <w:p w14:paraId="5B183988" w14:textId="77777777" w:rsidR="00E76D51" w:rsidRPr="00097A86" w:rsidRDefault="00E76D51" w:rsidP="00D22D3F">
            <w:pPr>
              <w:pStyle w:val="Tabletext"/>
            </w:pPr>
            <w:r w:rsidRPr="00097A86">
              <w:t>0.9</w:t>
            </w:r>
          </w:p>
        </w:tc>
        <w:tc>
          <w:tcPr>
            <w:tcW w:w="899" w:type="pct"/>
            <w:tcBorders>
              <w:top w:val="nil"/>
              <w:left w:val="nil"/>
              <w:bottom w:val="nil"/>
              <w:right w:val="nil"/>
            </w:tcBorders>
          </w:tcPr>
          <w:p w14:paraId="4B63F15E" w14:textId="77777777" w:rsidR="00E76D51" w:rsidRPr="00097A86" w:rsidRDefault="00E76D51" w:rsidP="00D22D3F">
            <w:pPr>
              <w:pStyle w:val="Tabletext"/>
            </w:pPr>
            <w:r w:rsidRPr="00097A86">
              <w:t>388</w:t>
            </w:r>
          </w:p>
        </w:tc>
      </w:tr>
      <w:tr w:rsidR="00E76D51" w:rsidRPr="00097A86" w14:paraId="7CB1756B" w14:textId="77777777" w:rsidTr="00C20CC2">
        <w:tc>
          <w:tcPr>
            <w:tcW w:w="563" w:type="pct"/>
            <w:tcBorders>
              <w:top w:val="nil"/>
              <w:left w:val="nil"/>
              <w:bottom w:val="single" w:sz="12" w:space="0" w:color="auto"/>
              <w:right w:val="nil"/>
            </w:tcBorders>
          </w:tcPr>
          <w:p w14:paraId="3FCBE5B3" w14:textId="77777777" w:rsidR="00E76D51" w:rsidRPr="00097A86" w:rsidRDefault="00E76D51" w:rsidP="00D22D3F">
            <w:pPr>
              <w:pStyle w:val="Tabletext"/>
            </w:pPr>
            <w:r w:rsidRPr="00097A86">
              <w:t>7</w:t>
            </w:r>
          </w:p>
        </w:tc>
        <w:tc>
          <w:tcPr>
            <w:tcW w:w="1206" w:type="pct"/>
            <w:tcBorders>
              <w:top w:val="nil"/>
              <w:left w:val="nil"/>
              <w:bottom w:val="single" w:sz="12" w:space="0" w:color="auto"/>
              <w:right w:val="nil"/>
            </w:tcBorders>
          </w:tcPr>
          <w:p w14:paraId="0C37D7E0" w14:textId="77777777" w:rsidR="00E76D51" w:rsidRPr="00097A86" w:rsidRDefault="00E76D51" w:rsidP="00D22D3F">
            <w:pPr>
              <w:pStyle w:val="Tabletext"/>
            </w:pPr>
            <w:r w:rsidRPr="00097A86">
              <w:t>NT</w:t>
            </w:r>
          </w:p>
        </w:tc>
        <w:tc>
          <w:tcPr>
            <w:tcW w:w="1206" w:type="pct"/>
            <w:tcBorders>
              <w:top w:val="nil"/>
              <w:left w:val="nil"/>
              <w:bottom w:val="single" w:sz="12" w:space="0" w:color="auto"/>
              <w:right w:val="nil"/>
            </w:tcBorders>
          </w:tcPr>
          <w:p w14:paraId="556169AA" w14:textId="77777777" w:rsidR="00E76D51" w:rsidRPr="00097A86" w:rsidRDefault="00E76D51" w:rsidP="00D22D3F">
            <w:pPr>
              <w:pStyle w:val="Tabletext"/>
            </w:pPr>
            <w:r w:rsidRPr="00097A86">
              <w:t>2.2</w:t>
            </w:r>
          </w:p>
        </w:tc>
        <w:tc>
          <w:tcPr>
            <w:tcW w:w="1126" w:type="pct"/>
            <w:tcBorders>
              <w:top w:val="nil"/>
              <w:left w:val="nil"/>
              <w:bottom w:val="single" w:sz="12" w:space="0" w:color="auto"/>
              <w:right w:val="nil"/>
            </w:tcBorders>
          </w:tcPr>
          <w:p w14:paraId="151F8EEE" w14:textId="77777777" w:rsidR="00E76D51" w:rsidRPr="00097A86" w:rsidRDefault="00E76D51" w:rsidP="00D22D3F">
            <w:pPr>
              <w:pStyle w:val="Tabletext"/>
            </w:pPr>
            <w:r w:rsidRPr="00097A86">
              <w:t>0.0</w:t>
            </w:r>
          </w:p>
        </w:tc>
        <w:tc>
          <w:tcPr>
            <w:tcW w:w="899" w:type="pct"/>
            <w:tcBorders>
              <w:top w:val="nil"/>
              <w:left w:val="nil"/>
              <w:bottom w:val="single" w:sz="12" w:space="0" w:color="auto"/>
              <w:right w:val="nil"/>
            </w:tcBorders>
          </w:tcPr>
          <w:p w14:paraId="76BAF0B6" w14:textId="77777777" w:rsidR="00E76D51" w:rsidRPr="00097A86" w:rsidRDefault="00E76D51" w:rsidP="00D22D3F">
            <w:pPr>
              <w:pStyle w:val="Tabletext"/>
            </w:pPr>
            <w:r w:rsidRPr="00097A86">
              <w:t>314</w:t>
            </w:r>
          </w:p>
        </w:tc>
      </w:tr>
    </w:tbl>
    <w:p w14:paraId="3EF27B17" w14:textId="77777777" w:rsidR="003F0D4E" w:rsidRPr="00097A86" w:rsidRDefault="003F0D4E" w:rsidP="00D22D3F">
      <w:pPr>
        <w:pStyle w:val="ActHead5"/>
      </w:pPr>
      <w:bookmarkStart w:id="341" w:name="_Toc13233773"/>
      <w:r w:rsidRPr="00097A86">
        <w:rPr>
          <w:rStyle w:val="CharSectno"/>
        </w:rPr>
        <w:t>3.81</w:t>
      </w:r>
      <w:r w:rsidR="00D22D3F" w:rsidRPr="00097A86">
        <w:t xml:space="preserve">  </w:t>
      </w:r>
      <w:r w:rsidRPr="00097A86">
        <w:t>Method 2</w:t>
      </w:r>
      <w:r w:rsidR="00D22D3F" w:rsidRPr="00097A86">
        <w:t>—</w:t>
      </w:r>
      <w:r w:rsidRPr="00097A86">
        <w:t>natural gas distribution</w:t>
      </w:r>
      <w:bookmarkEnd w:id="341"/>
    </w:p>
    <w:p w14:paraId="7768E683" w14:textId="77777777" w:rsidR="003F0D4E" w:rsidRPr="00097A86" w:rsidRDefault="003F0D4E" w:rsidP="00D22D3F">
      <w:pPr>
        <w:pStyle w:val="subsection"/>
      </w:pPr>
      <w:r w:rsidRPr="00097A86">
        <w:tab/>
        <w:t>(1)</w:t>
      </w:r>
      <w:r w:rsidRPr="00097A86">
        <w:tab/>
        <w:t>Method 2 is:</w:t>
      </w:r>
    </w:p>
    <w:p w14:paraId="0E602289"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1BCDB2F3" wp14:editId="3D56DD8F">
            <wp:extent cx="1476375" cy="2571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14:paraId="19198776" w14:textId="77777777" w:rsidR="003F0D4E" w:rsidRPr="00097A86" w:rsidRDefault="003F0D4E" w:rsidP="00D22D3F">
      <w:pPr>
        <w:pStyle w:val="subsection2"/>
      </w:pPr>
      <w:r w:rsidRPr="00097A86">
        <w:t>where:</w:t>
      </w:r>
    </w:p>
    <w:p w14:paraId="036E7B5C" w14:textId="77777777" w:rsidR="003F0D4E" w:rsidRPr="00097A86" w:rsidRDefault="003F0D4E" w:rsidP="00D22D3F">
      <w:pPr>
        <w:pStyle w:val="Definition"/>
      </w:pPr>
      <w:r w:rsidRPr="00097A86">
        <w:rPr>
          <w:b/>
          <w:i/>
        </w:rPr>
        <w:t>E</w:t>
      </w:r>
      <w:r w:rsidRPr="00097A86">
        <w:rPr>
          <w:b/>
          <w:i/>
          <w:vertAlign w:val="subscript"/>
        </w:rPr>
        <w:t>j</w:t>
      </w:r>
      <w:r w:rsidRPr="00097A86">
        <w:rPr>
          <w:b/>
          <w:i/>
        </w:rPr>
        <w:t xml:space="preserve"> </w:t>
      </w:r>
      <w:r w:rsidRPr="00097A86">
        <w:t>is the fugitive emissions of gas type (</w:t>
      </w:r>
      <w:r w:rsidRPr="00097A86">
        <w:rPr>
          <w:b/>
          <w:i/>
        </w:rPr>
        <w:t>j</w:t>
      </w:r>
      <w:r w:rsidRPr="00097A86">
        <w:t>) that result from the natural gas distribution during the year measured in CO</w:t>
      </w:r>
      <w:r w:rsidRPr="00097A86">
        <w:rPr>
          <w:rStyle w:val="charSubscript"/>
          <w:iCs/>
        </w:rPr>
        <w:t>2</w:t>
      </w:r>
      <w:r w:rsidR="00097A86">
        <w:noBreakHyphen/>
      </w:r>
      <w:r w:rsidRPr="00097A86">
        <w:t>e tonnes.</w:t>
      </w:r>
    </w:p>
    <w:p w14:paraId="407F2275" w14:textId="77777777" w:rsidR="003F0D4E" w:rsidRPr="00097A86" w:rsidRDefault="003F0D4E" w:rsidP="00D22D3F">
      <w:pPr>
        <w:pStyle w:val="Definition"/>
      </w:pPr>
      <w:r w:rsidRPr="00097A86">
        <w:rPr>
          <w:b/>
          <w:i/>
        </w:rPr>
        <w:t>Σ</w:t>
      </w:r>
      <w:r w:rsidRPr="00097A86">
        <w:rPr>
          <w:b/>
          <w:i/>
          <w:vertAlign w:val="subscript"/>
        </w:rPr>
        <w:t xml:space="preserve">k </w:t>
      </w:r>
      <w:r w:rsidRPr="00097A86">
        <w:t>is the total of emissions of gas type (</w:t>
      </w:r>
      <w:r w:rsidRPr="00097A86">
        <w:rPr>
          <w:b/>
          <w:i/>
        </w:rPr>
        <w:t>j</w:t>
      </w:r>
      <w:r w:rsidRPr="00097A86">
        <w:t>) measured in CO</w:t>
      </w:r>
      <w:r w:rsidRPr="00097A86">
        <w:rPr>
          <w:rStyle w:val="charSubscript"/>
          <w:iCs/>
        </w:rPr>
        <w:t>2</w:t>
      </w:r>
      <w:r w:rsidR="00097A86">
        <w:noBreakHyphen/>
      </w:r>
      <w:r w:rsidRPr="00097A86">
        <w:t>e tonnes and estimated by summing up the emissions from each equipment type (</w:t>
      </w:r>
      <w:r w:rsidRPr="00097A86">
        <w:rPr>
          <w:b/>
          <w:i/>
        </w:rPr>
        <w:t>k</w:t>
      </w:r>
      <w:r w:rsidRPr="00097A86">
        <w:t>) listed in sections</w:t>
      </w:r>
      <w:r w:rsidR="00097A86">
        <w:t> </w:t>
      </w:r>
      <w:r w:rsidRPr="00097A86">
        <w:t>5 and 6.1.2 of the API Compendium, if the equipment is used in the natural gas distribution.</w:t>
      </w:r>
    </w:p>
    <w:p w14:paraId="6859B885" w14:textId="77777777" w:rsidR="003F0D4E" w:rsidRPr="00097A86" w:rsidRDefault="003F0D4E" w:rsidP="00D22D3F">
      <w:pPr>
        <w:pStyle w:val="Definition"/>
      </w:pPr>
      <w:r w:rsidRPr="00097A86">
        <w:rPr>
          <w:b/>
          <w:i/>
        </w:rPr>
        <w:t>Q</w:t>
      </w:r>
      <w:r w:rsidRPr="00097A86">
        <w:rPr>
          <w:b/>
          <w:i/>
          <w:vertAlign w:val="subscript"/>
        </w:rPr>
        <w:t xml:space="preserve">k </w:t>
      </w:r>
      <w:r w:rsidRPr="00097A86">
        <w:t>is the total of the quantities of natural gas measured in tonnes that pass through each equipment type (</w:t>
      </w:r>
      <w:r w:rsidRPr="00097A86">
        <w:rPr>
          <w:b/>
          <w:i/>
        </w:rPr>
        <w:t>k</w:t>
      </w:r>
      <w:r w:rsidRPr="00097A86">
        <w:t>) or the number of equipment units of type (</w:t>
      </w:r>
      <w:r w:rsidRPr="00097A86">
        <w:rPr>
          <w:b/>
          <w:i/>
        </w:rPr>
        <w:t>k</w:t>
      </w:r>
      <w:r w:rsidRPr="00097A86">
        <w:t>) listed in sections</w:t>
      </w:r>
      <w:r w:rsidR="00097A86">
        <w:t> </w:t>
      </w:r>
      <w:r w:rsidRPr="00097A86">
        <w:t>5 and 6.1.2 of the API Compendium, if the equipment is used in the natural gas distribution.</w:t>
      </w:r>
    </w:p>
    <w:p w14:paraId="5508B43C" w14:textId="77777777" w:rsidR="003F0D4E" w:rsidRPr="00097A86" w:rsidRDefault="003F0D4E" w:rsidP="00D22D3F">
      <w:pPr>
        <w:pStyle w:val="Definition"/>
      </w:pPr>
      <w:r w:rsidRPr="00097A86">
        <w:rPr>
          <w:b/>
          <w:i/>
        </w:rPr>
        <w:t>EF</w:t>
      </w:r>
      <w:r w:rsidRPr="00097A86">
        <w:rPr>
          <w:b/>
          <w:i/>
          <w:vertAlign w:val="subscript"/>
        </w:rPr>
        <w:t>jk</w:t>
      </w:r>
      <w:r w:rsidRPr="00097A86">
        <w:rPr>
          <w:b/>
          <w:i/>
        </w:rPr>
        <w:t xml:space="preserve"> </w:t>
      </w:r>
      <w:r w:rsidRPr="00097A86">
        <w:t>is the emission factor for gas type (</w:t>
      </w:r>
      <w:r w:rsidRPr="00097A86">
        <w:rPr>
          <w:b/>
          <w:i/>
        </w:rPr>
        <w:t>j</w:t>
      </w:r>
      <w:r w:rsidRPr="00097A86">
        <w:t>) measured in CO</w:t>
      </w:r>
      <w:r w:rsidRPr="00097A86">
        <w:rPr>
          <w:rStyle w:val="charSubscript"/>
          <w:iCs/>
        </w:rPr>
        <w:t>2</w:t>
      </w:r>
      <w:r w:rsidR="00097A86">
        <w:noBreakHyphen/>
      </w:r>
      <w:r w:rsidRPr="00097A86">
        <w:t>e tonnes for each equipment type (</w:t>
      </w:r>
      <w:r w:rsidRPr="00097A86">
        <w:rPr>
          <w:b/>
          <w:i/>
        </w:rPr>
        <w:t>k</w:t>
      </w:r>
      <w:r w:rsidRPr="00097A86">
        <w:t>) listed in sections</w:t>
      </w:r>
      <w:r w:rsidR="00097A86">
        <w:t> </w:t>
      </w:r>
      <w:r w:rsidRPr="00097A86">
        <w:t>5 and 6.1.2 of the API Compendium, if the equipment is used in the natural gas distribution.</w:t>
      </w:r>
    </w:p>
    <w:p w14:paraId="49F74D8B" w14:textId="77777777" w:rsidR="003F0D4E" w:rsidRPr="00097A86" w:rsidRDefault="003F0D4E" w:rsidP="00D22D3F">
      <w:pPr>
        <w:pStyle w:val="subsection"/>
      </w:pPr>
      <w:r w:rsidRPr="00097A86">
        <w:lastRenderedPageBreak/>
        <w:tab/>
        <w:t>(2)</w:t>
      </w:r>
      <w:r w:rsidRPr="00097A86">
        <w:tab/>
        <w:t xml:space="preserve">For </w:t>
      </w:r>
      <w:r w:rsidRPr="00097A86">
        <w:rPr>
          <w:b/>
          <w:i/>
        </w:rPr>
        <w:t>EF</w:t>
      </w:r>
      <w:r w:rsidRPr="00097A86">
        <w:rPr>
          <w:b/>
          <w:i/>
          <w:vertAlign w:val="subscript"/>
        </w:rPr>
        <w:t>jk</w:t>
      </w:r>
      <w:r w:rsidRPr="00097A86">
        <w:t>, the emission factors for gas type (</w:t>
      </w:r>
      <w:r w:rsidRPr="00097A86">
        <w:rPr>
          <w:b/>
          <w:i/>
        </w:rPr>
        <w:t>j</w:t>
      </w:r>
      <w:r w:rsidRPr="00097A86">
        <w:t>) as the natural gas passes through the equipment type (</w:t>
      </w:r>
      <w:r w:rsidRPr="00097A86">
        <w:rPr>
          <w:b/>
          <w:i/>
        </w:rPr>
        <w:t>k</w:t>
      </w:r>
      <w:r w:rsidRPr="00097A86">
        <w:t>) are:</w:t>
      </w:r>
    </w:p>
    <w:p w14:paraId="2F66AEFB" w14:textId="77777777" w:rsidR="003F0D4E" w:rsidRPr="00097A86" w:rsidRDefault="003F0D4E" w:rsidP="00D22D3F">
      <w:pPr>
        <w:pStyle w:val="paragraph"/>
      </w:pPr>
      <w:r w:rsidRPr="00097A86">
        <w:tab/>
        <w:t>(a)</w:t>
      </w:r>
      <w:r w:rsidRPr="00097A86">
        <w:tab/>
        <w:t>as listed in sections</w:t>
      </w:r>
      <w:r w:rsidR="00097A86">
        <w:t> </w:t>
      </w:r>
      <w:r w:rsidRPr="00097A86">
        <w:t>5 and 6.1.2 of the API Compendium; or</w:t>
      </w:r>
    </w:p>
    <w:p w14:paraId="115392BA" w14:textId="77777777" w:rsidR="003F0D4E" w:rsidRPr="00097A86" w:rsidRDefault="003F0D4E" w:rsidP="00D22D3F">
      <w:pPr>
        <w:pStyle w:val="paragraph"/>
      </w:pPr>
      <w:r w:rsidRPr="00097A86">
        <w:tab/>
        <w:t>(b)</w:t>
      </w:r>
      <w:r w:rsidRPr="00097A86">
        <w:tab/>
        <w:t>as listed in that Compendium for the equipment type with emission factors adjusted for variations in estimated gas composition, in accordance with that Compendium’s Sections</w:t>
      </w:r>
      <w:r w:rsidR="00097A86">
        <w:t> </w:t>
      </w:r>
      <w:r w:rsidRPr="00097A86">
        <w:t>5 and 6.1.2, and the requirements of Division</w:t>
      </w:r>
      <w:r w:rsidR="00097A86">
        <w:t> </w:t>
      </w:r>
      <w:r w:rsidRPr="00097A86">
        <w:t>2.3.3; or</w:t>
      </w:r>
    </w:p>
    <w:p w14:paraId="4E309E3F" w14:textId="77777777" w:rsidR="003F0D4E" w:rsidRPr="00097A86" w:rsidRDefault="003F0D4E" w:rsidP="00D22D3F">
      <w:pPr>
        <w:pStyle w:val="paragraph"/>
      </w:pPr>
      <w:r w:rsidRPr="00097A86">
        <w:tab/>
        <w:t>(c)</w:t>
      </w:r>
      <w:r w:rsidRPr="00097A86">
        <w:tab/>
        <w:t xml:space="preserve">as listed in that Compendium for the equipment type with emission factors adjusted for variations in the type of equipment material </w:t>
      </w:r>
      <w:r w:rsidR="00E77440" w:rsidRPr="00097A86">
        <w:t>using adjusted factors; or</w:t>
      </w:r>
    </w:p>
    <w:p w14:paraId="3A33A4F6" w14:textId="77777777" w:rsidR="003F0D4E" w:rsidRPr="00097A86" w:rsidRDefault="003F0D4E" w:rsidP="00D22D3F">
      <w:pPr>
        <w:pStyle w:val="paragraph"/>
      </w:pPr>
      <w:r w:rsidRPr="00097A86">
        <w:tab/>
        <w:t>(d)</w:t>
      </w:r>
      <w:r w:rsidRPr="00097A86">
        <w:tab/>
        <w:t>if the manufacturer of the equipment supplies equipment</w:t>
      </w:r>
      <w:r w:rsidR="00097A86">
        <w:noBreakHyphen/>
      </w:r>
      <w:r w:rsidRPr="00097A86">
        <w:t>specific emission factors for the equipment type</w:t>
      </w:r>
      <w:r w:rsidR="00D22D3F" w:rsidRPr="00097A86">
        <w:t>—</w:t>
      </w:r>
      <w:r w:rsidRPr="00097A86">
        <w:t>those factors.</w:t>
      </w:r>
    </w:p>
    <w:p w14:paraId="6A4C558B" w14:textId="77777777" w:rsidR="00E77440" w:rsidRPr="00097A86" w:rsidRDefault="00E77440" w:rsidP="00D22D3F">
      <w:pPr>
        <w:pStyle w:val="subsection"/>
      </w:pPr>
      <w:r w:rsidRPr="00097A86">
        <w:tab/>
        <w:t>(3)</w:t>
      </w:r>
      <w:r w:rsidRPr="00097A86">
        <w:tab/>
        <w:t>In paragraph</w:t>
      </w:r>
      <w:r w:rsidR="00097A86">
        <w:t> </w:t>
      </w:r>
      <w:r w:rsidRPr="00097A86">
        <w:t xml:space="preserve">3.81(2)(c), a reference to </w:t>
      </w:r>
      <w:r w:rsidRPr="00097A86">
        <w:rPr>
          <w:b/>
          <w:i/>
        </w:rPr>
        <w:t>factors adjusted</w:t>
      </w:r>
      <w:r w:rsidRPr="00097A86">
        <w:t xml:space="preserve"> is a reference to the factors in Table 5</w:t>
      </w:r>
      <w:r w:rsidR="00097A86">
        <w:noBreakHyphen/>
      </w:r>
      <w:r w:rsidRPr="00097A86">
        <w:t xml:space="preserve">3 of the publication entitled </w:t>
      </w:r>
      <w:r w:rsidRPr="00097A86">
        <w:rPr>
          <w:i/>
        </w:rPr>
        <w:t>Greenhouse Gas Emission Estimation Methodologies, Procedures and Guidelines for the Natural Gas Distribution Sector</w:t>
      </w:r>
      <w:r w:rsidRPr="00097A86">
        <w:t>, American Gas Association, April 2008, that are adjusted for variations in estimated gas composition in accordance with:</w:t>
      </w:r>
    </w:p>
    <w:p w14:paraId="0D7AB015" w14:textId="77777777" w:rsidR="00E77440" w:rsidRPr="00097A86" w:rsidRDefault="00E77440" w:rsidP="00D22D3F">
      <w:pPr>
        <w:pStyle w:val="paragraph"/>
      </w:pPr>
      <w:r w:rsidRPr="00097A86">
        <w:tab/>
        <w:t>(a)</w:t>
      </w:r>
      <w:r w:rsidRPr="00097A86">
        <w:tab/>
        <w:t>section</w:t>
      </w:r>
      <w:r w:rsidR="00097A86">
        <w:t> </w:t>
      </w:r>
      <w:r w:rsidRPr="00097A86">
        <w:t>5.2.1 of that publication; and</w:t>
      </w:r>
    </w:p>
    <w:p w14:paraId="36C1CF66" w14:textId="77777777" w:rsidR="00E77440" w:rsidRDefault="00E77440" w:rsidP="00D22D3F">
      <w:pPr>
        <w:pStyle w:val="paragraph"/>
      </w:pPr>
      <w:r w:rsidRPr="00097A86">
        <w:tab/>
        <w:t>(b)</w:t>
      </w:r>
      <w:r w:rsidRPr="00097A86">
        <w:tab/>
        <w:t>Division</w:t>
      </w:r>
      <w:r w:rsidR="00097A86">
        <w:t> </w:t>
      </w:r>
      <w:r w:rsidRPr="00097A86">
        <w:t>2.3.3.</w:t>
      </w:r>
    </w:p>
    <w:p w14:paraId="443E579E" w14:textId="77777777" w:rsidR="00C741AF" w:rsidRPr="00450FEA" w:rsidRDefault="00C741AF" w:rsidP="00C741AF">
      <w:pPr>
        <w:pStyle w:val="ActHead5"/>
      </w:pPr>
      <w:bookmarkStart w:id="342" w:name="_Toc13233774"/>
      <w:r w:rsidRPr="00450FEA">
        <w:rPr>
          <w:rStyle w:val="CharSectno"/>
        </w:rPr>
        <w:t>3.81A</w:t>
      </w:r>
      <w:r w:rsidRPr="00450FEA">
        <w:t xml:space="preserve">  Met</w:t>
      </w:r>
      <w:r>
        <w:t>hod 3—natural gas distribution</w:t>
      </w:r>
      <w:bookmarkEnd w:id="342"/>
    </w:p>
    <w:p w14:paraId="26B420E4" w14:textId="77777777" w:rsidR="00C741AF" w:rsidRPr="00450FEA" w:rsidRDefault="00C741AF" w:rsidP="00C741AF">
      <w:pPr>
        <w:pStyle w:val="subsection"/>
      </w:pPr>
      <w:r w:rsidRPr="00450FEA">
        <w:tab/>
        <w:t>(1)</w:t>
      </w:r>
      <w:r w:rsidRPr="00450FEA">
        <w:tab/>
        <w:t>Method 3 is:</w:t>
      </w:r>
    </w:p>
    <w:p w14:paraId="675E9228" w14:textId="77777777" w:rsidR="00C741AF" w:rsidRPr="00450FEA" w:rsidRDefault="00C741AF" w:rsidP="00C741AF">
      <w:pPr>
        <w:pStyle w:val="subsection"/>
        <w:spacing w:before="120" w:after="120"/>
      </w:pPr>
      <w:r w:rsidRPr="00450FEA">
        <w:tab/>
      </w:r>
      <w:r w:rsidRPr="00450FEA">
        <w:tab/>
      </w:r>
      <w:r w:rsidRPr="00450FEA">
        <w:rPr>
          <w:noProof/>
        </w:rPr>
        <w:drawing>
          <wp:inline distT="0" distB="0" distL="0" distR="0" wp14:anchorId="487E8327" wp14:editId="387A3E98">
            <wp:extent cx="2276475" cy="241300"/>
            <wp:effectExtent l="0" t="0" r="9525" b="6350"/>
            <wp:docPr id="4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76475" cy="241300"/>
                    </a:xfrm>
                    <a:prstGeom prst="rect">
                      <a:avLst/>
                    </a:prstGeom>
                    <a:noFill/>
                    <a:ln>
                      <a:noFill/>
                    </a:ln>
                  </pic:spPr>
                </pic:pic>
              </a:graphicData>
            </a:graphic>
          </wp:inline>
        </w:drawing>
      </w:r>
    </w:p>
    <w:p w14:paraId="321A05BD" w14:textId="77777777" w:rsidR="00C741AF" w:rsidRPr="00450FEA" w:rsidRDefault="00C741AF" w:rsidP="00C741AF">
      <w:pPr>
        <w:pStyle w:val="subsection2"/>
      </w:pPr>
      <w:r w:rsidRPr="00450FEA">
        <w:t>where:</w:t>
      </w:r>
    </w:p>
    <w:p w14:paraId="2B5AEB25" w14:textId="77777777" w:rsidR="00C741AF" w:rsidRPr="00450FEA" w:rsidRDefault="00C741AF" w:rsidP="00C741AF">
      <w:pPr>
        <w:pStyle w:val="Definition"/>
      </w:pPr>
      <w:r w:rsidRPr="00450FEA">
        <w:rPr>
          <w:b/>
          <w:i/>
        </w:rPr>
        <w:t>E</w:t>
      </w:r>
      <w:r w:rsidRPr="00450FEA">
        <w:rPr>
          <w:rStyle w:val="charSubscript"/>
          <w:b/>
          <w:i/>
        </w:rPr>
        <w:t>jp</w:t>
      </w:r>
      <w:r w:rsidRPr="00450FEA">
        <w:t xml:space="preserve"> is the fugitive emissions (other than emissions that are flared) of gas type (</w:t>
      </w:r>
      <w:r w:rsidRPr="00450FEA">
        <w:rPr>
          <w:b/>
          <w:i/>
        </w:rPr>
        <w:t>j</w:t>
      </w:r>
      <w:r w:rsidRPr="00450FEA">
        <w:t>) that result from natural gas distribution through a system of pipelines with sales of gas in a State or Territory (</w:t>
      </w:r>
      <w:r w:rsidRPr="00450FEA">
        <w:rPr>
          <w:b/>
          <w:i/>
        </w:rPr>
        <w:t>p</w:t>
      </w:r>
      <w:r w:rsidRPr="00450FEA">
        <w:t>) during the year, measured in CO</w:t>
      </w:r>
      <w:r w:rsidRPr="00450FEA">
        <w:rPr>
          <w:vertAlign w:val="subscript"/>
        </w:rPr>
        <w:t>2</w:t>
      </w:r>
      <w:r w:rsidRPr="00450FEA">
        <w:noBreakHyphen/>
        <w:t>e tonnes.</w:t>
      </w:r>
    </w:p>
    <w:p w14:paraId="59FBA8DB" w14:textId="77777777" w:rsidR="00C741AF" w:rsidRPr="00450FEA" w:rsidRDefault="00C741AF" w:rsidP="00C741AF">
      <w:pPr>
        <w:pStyle w:val="Definition"/>
      </w:pPr>
      <w:r w:rsidRPr="00450FEA">
        <w:rPr>
          <w:b/>
          <w:i/>
        </w:rPr>
        <w:t>S</w:t>
      </w:r>
      <w:r w:rsidRPr="00450FEA">
        <w:rPr>
          <w:rStyle w:val="charSubscript"/>
          <w:b/>
          <w:i/>
        </w:rPr>
        <w:t>p</w:t>
      </w:r>
      <w:r w:rsidRPr="00450FEA">
        <w:rPr>
          <w:b/>
          <w:i/>
        </w:rPr>
        <w:t xml:space="preserve"> </w:t>
      </w:r>
      <w:r w:rsidRPr="00450FEA">
        <w:t>is the total sales during the year from the pipeline system in a State or Territory (</w:t>
      </w:r>
      <w:r w:rsidRPr="00450FEA">
        <w:rPr>
          <w:b/>
          <w:i/>
        </w:rPr>
        <w:t>p</w:t>
      </w:r>
      <w:r w:rsidRPr="00450FEA">
        <w:t>), measured in terajoules.</w:t>
      </w:r>
    </w:p>
    <w:p w14:paraId="2689BF2A" w14:textId="77777777" w:rsidR="00C741AF" w:rsidRPr="00450FEA" w:rsidRDefault="00C741AF" w:rsidP="00C741AF">
      <w:pPr>
        <w:pStyle w:val="Definition"/>
      </w:pPr>
      <w:r w:rsidRPr="00450FEA">
        <w:rPr>
          <w:b/>
          <w:i/>
        </w:rPr>
        <w:t>%UAG</w:t>
      </w:r>
      <w:r w:rsidRPr="00450FEA">
        <w:rPr>
          <w:rStyle w:val="charSubscript"/>
          <w:i/>
        </w:rPr>
        <w:t>p</w:t>
      </w:r>
      <w:r w:rsidRPr="00450FEA">
        <w:rPr>
          <w:i/>
        </w:rPr>
        <w:t xml:space="preserve"> </w:t>
      </w:r>
      <w:r w:rsidRPr="00450FEA">
        <w:t>is the percentage of unaccounted for gas in the pipeline system in a State or Territory</w:t>
      </w:r>
      <w:r>
        <w:t xml:space="preserve"> </w:t>
      </w:r>
      <w:r w:rsidRPr="00450FEA">
        <w:t>(</w:t>
      </w:r>
      <w:r w:rsidRPr="00450FEA">
        <w:rPr>
          <w:b/>
          <w:i/>
        </w:rPr>
        <w:t>p</w:t>
      </w:r>
      <w:r w:rsidRPr="00450FEA">
        <w:t>), relative to the amount of gas issued annually by gas utilities</w:t>
      </w:r>
      <w:r>
        <w:t xml:space="preserve"> to that system</w:t>
      </w:r>
      <w:r w:rsidRPr="00450FEA">
        <w:t>.</w:t>
      </w:r>
    </w:p>
    <w:p w14:paraId="0D776D6D" w14:textId="77777777" w:rsidR="00C741AF" w:rsidRPr="00450FEA" w:rsidRDefault="00C741AF" w:rsidP="00C741AF">
      <w:pPr>
        <w:pStyle w:val="Definition"/>
      </w:pPr>
      <w:r w:rsidRPr="00450FEA">
        <w:rPr>
          <w:b/>
          <w:i/>
        </w:rPr>
        <w:t>C</w:t>
      </w:r>
      <w:r w:rsidRPr="00450FEA">
        <w:rPr>
          <w:rStyle w:val="charSubscript"/>
          <w:b/>
          <w:i/>
        </w:rPr>
        <w:t>jp</w:t>
      </w:r>
      <w:r w:rsidRPr="00450FEA">
        <w:t xml:space="preserve"> is the natural gas composition factor for gas type (</w:t>
      </w:r>
      <w:r w:rsidRPr="00450FEA">
        <w:rPr>
          <w:b/>
          <w:i/>
        </w:rPr>
        <w:t>j)</w:t>
      </w:r>
      <w:r w:rsidRPr="00450FEA">
        <w:t xml:space="preserve"> for the natural gas supplied from the pipeline system in a State or Territory (</w:t>
      </w:r>
      <w:r w:rsidRPr="00450FEA">
        <w:rPr>
          <w:b/>
          <w:i/>
        </w:rPr>
        <w:t>p</w:t>
      </w:r>
      <w:r w:rsidRPr="00450FEA">
        <w:t>), measured in CO</w:t>
      </w:r>
      <w:r w:rsidRPr="00450FEA">
        <w:rPr>
          <w:vertAlign w:val="subscript"/>
        </w:rPr>
        <w:t>2</w:t>
      </w:r>
      <w:r w:rsidRPr="00450FEA">
        <w:noBreakHyphen/>
        <w:t>e tonnes per terajoule.</w:t>
      </w:r>
    </w:p>
    <w:p w14:paraId="39ADA6CB" w14:textId="77777777" w:rsidR="00C741AF" w:rsidRPr="00450FEA" w:rsidRDefault="00C741AF" w:rsidP="00C741AF">
      <w:pPr>
        <w:pStyle w:val="subsection"/>
      </w:pPr>
      <w:r w:rsidRPr="00450FEA">
        <w:tab/>
        <w:t>(2)</w:t>
      </w:r>
      <w:r w:rsidRPr="00450FEA">
        <w:tab/>
        <w:t xml:space="preserve">For </w:t>
      </w:r>
      <w:r w:rsidRPr="00E7430D">
        <w:rPr>
          <w:b/>
          <w:i/>
        </w:rPr>
        <w:t>%UAG</w:t>
      </w:r>
      <w:r w:rsidRPr="00E7430D">
        <w:rPr>
          <w:b/>
          <w:i/>
          <w:vertAlign w:val="subscript"/>
        </w:rPr>
        <w:t>p</w:t>
      </w:r>
      <w:r w:rsidRPr="00450FEA">
        <w:t xml:space="preserve"> in subsection (1):</w:t>
      </w:r>
    </w:p>
    <w:p w14:paraId="55E49C6D" w14:textId="77777777" w:rsidR="00C741AF" w:rsidRPr="00450FEA" w:rsidRDefault="00C741AF" w:rsidP="00C741AF">
      <w:pPr>
        <w:pStyle w:val="paragraph"/>
      </w:pPr>
      <w:r w:rsidRPr="00450FEA">
        <w:tab/>
        <w:t>(a)</w:t>
      </w:r>
      <w:r w:rsidRPr="00450FEA">
        <w:tab/>
        <w:t>if at the time of reporting the percent</w:t>
      </w:r>
      <w:r>
        <w:t>age of unaccounted for gas for the</w:t>
      </w:r>
      <w:r w:rsidRPr="00450FEA">
        <w:t xml:space="preserve"> reporting year has been </w:t>
      </w:r>
      <w:r>
        <w:t>calculated or determined</w:t>
      </w:r>
      <w:r w:rsidRPr="00450FEA">
        <w:t xml:space="preserve"> in accordance with gas market rules or procedures applicable to the facility—the percentage </w:t>
      </w:r>
      <w:r>
        <w:t>calculated or determined</w:t>
      </w:r>
      <w:r w:rsidRPr="00450FEA">
        <w:t xml:space="preserve"> in accordance with those rules or procedures; or</w:t>
      </w:r>
    </w:p>
    <w:p w14:paraId="3E51E3E7" w14:textId="77777777" w:rsidR="00C741AF" w:rsidRPr="00450FEA" w:rsidRDefault="00C741AF" w:rsidP="00C741AF">
      <w:pPr>
        <w:pStyle w:val="paragraph"/>
      </w:pPr>
      <w:r w:rsidRPr="00450FEA">
        <w:lastRenderedPageBreak/>
        <w:tab/>
        <w:t>(b)</w:t>
      </w:r>
      <w:r w:rsidRPr="00450FEA">
        <w:tab/>
        <w:t>if at the time of reporting the percent</w:t>
      </w:r>
      <w:r>
        <w:t>age of unaccounted for gas for the</w:t>
      </w:r>
      <w:r w:rsidRPr="00450FEA">
        <w:t xml:space="preserve"> reporting year has not been </w:t>
      </w:r>
      <w:r>
        <w:t>calculated</w:t>
      </w:r>
      <w:r w:rsidRPr="00450FEA">
        <w:t xml:space="preserve"> </w:t>
      </w:r>
      <w:r>
        <w:t xml:space="preserve">or determined </w:t>
      </w:r>
      <w:r w:rsidRPr="00450FEA">
        <w:t>in accordance with gas market rules or procedures applicable to the facility—the percentage applicable to the most recent 12 month period</w:t>
      </w:r>
      <w:r>
        <w:t xml:space="preserve"> </w:t>
      </w:r>
      <w:r w:rsidRPr="00450FEA">
        <w:t xml:space="preserve">for which the percentage of unaccounted for gas has been </w:t>
      </w:r>
      <w:r>
        <w:t>calculated or determined.</w:t>
      </w:r>
    </w:p>
    <w:p w14:paraId="66A0FABE" w14:textId="77777777" w:rsidR="00C741AF" w:rsidRPr="00450FEA" w:rsidRDefault="00C741AF" w:rsidP="00C741AF">
      <w:pPr>
        <w:pStyle w:val="subsection"/>
      </w:pPr>
      <w:r w:rsidRPr="00450FEA">
        <w:tab/>
        <w:t>(3)</w:t>
      </w:r>
      <w:r w:rsidRPr="00450FEA">
        <w:tab/>
        <w:t xml:space="preserve">For </w:t>
      </w:r>
      <w:r w:rsidRPr="00450FEA">
        <w:rPr>
          <w:b/>
          <w:i/>
        </w:rPr>
        <w:t>C</w:t>
      </w:r>
      <w:r w:rsidRPr="00450FEA">
        <w:rPr>
          <w:rStyle w:val="charSubscript"/>
          <w:b/>
          <w:i/>
        </w:rPr>
        <w:t>jp</w:t>
      </w:r>
      <w:r w:rsidRPr="00450FEA">
        <w:t xml:space="preserve"> in subsection (1), columns 3 and 4 of an item in the following table specify the natural gas composition factor for carbon dioxide and methane for a pipeline system in a State or Territory specified in column 2.</w:t>
      </w:r>
    </w:p>
    <w:tbl>
      <w:tblPr>
        <w:tblW w:w="4225" w:type="pct"/>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503"/>
        <w:gridCol w:w="1864"/>
        <w:gridCol w:w="1718"/>
      </w:tblGrid>
      <w:tr w:rsidR="00C741AF" w:rsidRPr="00450FEA" w14:paraId="378DE41F" w14:textId="77777777" w:rsidTr="00497E3C">
        <w:trPr>
          <w:cantSplit/>
          <w:tblHeader/>
        </w:trPr>
        <w:tc>
          <w:tcPr>
            <w:tcW w:w="668" w:type="pct"/>
            <w:tcBorders>
              <w:top w:val="single" w:sz="12" w:space="0" w:color="auto"/>
              <w:left w:val="nil"/>
              <w:bottom w:val="nil"/>
              <w:right w:val="nil"/>
            </w:tcBorders>
            <w:shd w:val="clear" w:color="auto" w:fill="auto"/>
          </w:tcPr>
          <w:p w14:paraId="48C04575" w14:textId="77777777" w:rsidR="00C741AF" w:rsidRPr="00450FEA" w:rsidRDefault="00C741AF" w:rsidP="00497E3C">
            <w:pPr>
              <w:pStyle w:val="TableHeading"/>
            </w:pPr>
            <w:r w:rsidRPr="00450FEA">
              <w:t>Item</w:t>
            </w:r>
          </w:p>
        </w:tc>
        <w:tc>
          <w:tcPr>
            <w:tcW w:w="1782" w:type="pct"/>
            <w:vMerge w:val="restart"/>
            <w:tcBorders>
              <w:top w:val="single" w:sz="12" w:space="0" w:color="auto"/>
              <w:left w:val="nil"/>
              <w:bottom w:val="nil"/>
              <w:right w:val="nil"/>
            </w:tcBorders>
            <w:shd w:val="clear" w:color="auto" w:fill="auto"/>
          </w:tcPr>
          <w:p w14:paraId="13356BB4" w14:textId="77777777" w:rsidR="00C741AF" w:rsidRPr="00450FEA" w:rsidRDefault="00C741AF" w:rsidP="00497E3C">
            <w:pPr>
              <w:pStyle w:val="TableHeading"/>
            </w:pPr>
            <w:r w:rsidRPr="00450FEA">
              <w:t>State</w:t>
            </w:r>
          </w:p>
        </w:tc>
        <w:tc>
          <w:tcPr>
            <w:tcW w:w="2550" w:type="pct"/>
            <w:gridSpan w:val="2"/>
            <w:tcBorders>
              <w:top w:val="single" w:sz="12" w:space="0" w:color="auto"/>
              <w:left w:val="nil"/>
              <w:bottom w:val="single" w:sz="4" w:space="0" w:color="auto"/>
              <w:right w:val="nil"/>
            </w:tcBorders>
            <w:shd w:val="clear" w:color="auto" w:fill="auto"/>
          </w:tcPr>
          <w:p w14:paraId="037195D6" w14:textId="77777777" w:rsidR="00C741AF" w:rsidRPr="00450FEA" w:rsidRDefault="00C741AF" w:rsidP="00497E3C">
            <w:pPr>
              <w:pStyle w:val="TableHeading"/>
            </w:pPr>
            <w:r w:rsidRPr="00450FEA">
              <w:t>Natural gas composition factor (a)(tonnes CO</w:t>
            </w:r>
            <w:r w:rsidRPr="00450FEA">
              <w:rPr>
                <w:rStyle w:val="charSubscript"/>
                <w:iCs/>
              </w:rPr>
              <w:t>2</w:t>
            </w:r>
            <w:r w:rsidRPr="00450FEA">
              <w:rPr>
                <w:rStyle w:val="charSubscript"/>
                <w:iCs/>
              </w:rPr>
              <w:noBreakHyphen/>
              <w:t>e</w:t>
            </w:r>
            <w:r w:rsidRPr="00450FEA">
              <w:t>/TJ)</w:t>
            </w:r>
          </w:p>
        </w:tc>
      </w:tr>
      <w:tr w:rsidR="00C741AF" w:rsidRPr="00450FEA" w14:paraId="47ABFC79" w14:textId="77777777" w:rsidTr="00497E3C">
        <w:trPr>
          <w:cantSplit/>
          <w:tblHeader/>
        </w:trPr>
        <w:tc>
          <w:tcPr>
            <w:tcW w:w="668" w:type="pct"/>
            <w:tcBorders>
              <w:top w:val="nil"/>
              <w:left w:val="nil"/>
              <w:bottom w:val="single" w:sz="12" w:space="0" w:color="auto"/>
              <w:right w:val="nil"/>
            </w:tcBorders>
            <w:shd w:val="clear" w:color="auto" w:fill="auto"/>
          </w:tcPr>
          <w:p w14:paraId="597547A3" w14:textId="77777777" w:rsidR="00C741AF" w:rsidRPr="00450FEA" w:rsidRDefault="00C741AF" w:rsidP="00497E3C">
            <w:pPr>
              <w:pStyle w:val="TableHeading"/>
            </w:pPr>
          </w:p>
        </w:tc>
        <w:tc>
          <w:tcPr>
            <w:tcW w:w="1782" w:type="pct"/>
            <w:vMerge/>
            <w:tcBorders>
              <w:top w:val="nil"/>
              <w:left w:val="nil"/>
              <w:bottom w:val="single" w:sz="12" w:space="0" w:color="auto"/>
              <w:right w:val="nil"/>
            </w:tcBorders>
            <w:shd w:val="clear" w:color="auto" w:fill="auto"/>
          </w:tcPr>
          <w:p w14:paraId="034A11E8" w14:textId="77777777" w:rsidR="00C741AF" w:rsidRPr="00450FEA" w:rsidRDefault="00C741AF" w:rsidP="00497E3C">
            <w:pPr>
              <w:pStyle w:val="TableHeading"/>
            </w:pPr>
          </w:p>
        </w:tc>
        <w:tc>
          <w:tcPr>
            <w:tcW w:w="1327" w:type="pct"/>
            <w:tcBorders>
              <w:top w:val="single" w:sz="4" w:space="0" w:color="auto"/>
              <w:left w:val="nil"/>
              <w:bottom w:val="single" w:sz="12" w:space="0" w:color="auto"/>
              <w:right w:val="nil"/>
            </w:tcBorders>
            <w:shd w:val="clear" w:color="auto" w:fill="auto"/>
          </w:tcPr>
          <w:p w14:paraId="4B9DB504" w14:textId="77777777" w:rsidR="00C741AF" w:rsidRPr="00450FEA" w:rsidRDefault="00C741AF" w:rsidP="00497E3C">
            <w:pPr>
              <w:pStyle w:val="TableHeading"/>
            </w:pPr>
            <w:r w:rsidRPr="00450FEA">
              <w:t>CO</w:t>
            </w:r>
            <w:r w:rsidRPr="00450FEA">
              <w:rPr>
                <w:vertAlign w:val="subscript"/>
              </w:rPr>
              <w:t>2</w:t>
            </w:r>
          </w:p>
        </w:tc>
        <w:tc>
          <w:tcPr>
            <w:tcW w:w="1223" w:type="pct"/>
            <w:tcBorders>
              <w:top w:val="single" w:sz="4" w:space="0" w:color="auto"/>
              <w:left w:val="nil"/>
              <w:bottom w:val="single" w:sz="12" w:space="0" w:color="auto"/>
              <w:right w:val="nil"/>
            </w:tcBorders>
            <w:shd w:val="clear" w:color="auto" w:fill="auto"/>
          </w:tcPr>
          <w:p w14:paraId="7C363C15" w14:textId="77777777" w:rsidR="00C741AF" w:rsidRPr="00450FEA" w:rsidRDefault="00C741AF" w:rsidP="00497E3C">
            <w:pPr>
              <w:pStyle w:val="TableHeading"/>
            </w:pPr>
            <w:r w:rsidRPr="00450FEA">
              <w:t>CH</w:t>
            </w:r>
            <w:r w:rsidRPr="00450FEA">
              <w:rPr>
                <w:vertAlign w:val="subscript"/>
              </w:rPr>
              <w:t>4</w:t>
            </w:r>
          </w:p>
        </w:tc>
      </w:tr>
      <w:tr w:rsidR="00C741AF" w:rsidRPr="00450FEA" w14:paraId="20433748" w14:textId="77777777" w:rsidTr="00497E3C">
        <w:tc>
          <w:tcPr>
            <w:tcW w:w="668" w:type="pct"/>
            <w:tcBorders>
              <w:top w:val="nil"/>
              <w:left w:val="nil"/>
              <w:bottom w:val="nil"/>
              <w:right w:val="nil"/>
            </w:tcBorders>
          </w:tcPr>
          <w:p w14:paraId="2C0177C3" w14:textId="77777777" w:rsidR="00C741AF" w:rsidRPr="00450FEA" w:rsidRDefault="00C741AF" w:rsidP="00497E3C">
            <w:pPr>
              <w:pStyle w:val="Tabletext"/>
            </w:pPr>
            <w:r w:rsidRPr="00450FEA">
              <w:t>1</w:t>
            </w:r>
          </w:p>
        </w:tc>
        <w:tc>
          <w:tcPr>
            <w:tcW w:w="1782" w:type="pct"/>
            <w:tcBorders>
              <w:top w:val="nil"/>
              <w:left w:val="nil"/>
              <w:bottom w:val="nil"/>
              <w:right w:val="nil"/>
            </w:tcBorders>
          </w:tcPr>
          <w:p w14:paraId="4F5C4A75" w14:textId="77777777" w:rsidR="00C741AF" w:rsidRPr="00450FEA" w:rsidRDefault="00C741AF" w:rsidP="00497E3C">
            <w:pPr>
              <w:pStyle w:val="Tabletext"/>
            </w:pPr>
            <w:r w:rsidRPr="00450FEA">
              <w:t>NSW and ACT</w:t>
            </w:r>
          </w:p>
        </w:tc>
        <w:tc>
          <w:tcPr>
            <w:tcW w:w="1327" w:type="pct"/>
            <w:tcBorders>
              <w:top w:val="nil"/>
              <w:left w:val="nil"/>
              <w:bottom w:val="nil"/>
              <w:right w:val="nil"/>
            </w:tcBorders>
          </w:tcPr>
          <w:p w14:paraId="22A14372" w14:textId="77777777" w:rsidR="00C741AF" w:rsidRPr="00450FEA" w:rsidRDefault="00C741AF" w:rsidP="00497E3C">
            <w:pPr>
              <w:pStyle w:val="Tabletext"/>
            </w:pPr>
            <w:r w:rsidRPr="00450FEA">
              <w:t>0.8</w:t>
            </w:r>
          </w:p>
        </w:tc>
        <w:tc>
          <w:tcPr>
            <w:tcW w:w="1223" w:type="pct"/>
            <w:tcBorders>
              <w:top w:val="nil"/>
              <w:left w:val="nil"/>
              <w:bottom w:val="nil"/>
              <w:right w:val="nil"/>
            </w:tcBorders>
          </w:tcPr>
          <w:p w14:paraId="1FA53732" w14:textId="77777777" w:rsidR="00C741AF" w:rsidRPr="00450FEA" w:rsidRDefault="00C741AF" w:rsidP="00497E3C">
            <w:pPr>
              <w:pStyle w:val="Tabletext"/>
            </w:pPr>
            <w:r w:rsidRPr="00450FEA">
              <w:t>390</w:t>
            </w:r>
          </w:p>
        </w:tc>
      </w:tr>
      <w:tr w:rsidR="00C741AF" w:rsidRPr="00450FEA" w14:paraId="348B954A" w14:textId="77777777" w:rsidTr="00497E3C">
        <w:tc>
          <w:tcPr>
            <w:tcW w:w="668" w:type="pct"/>
            <w:tcBorders>
              <w:top w:val="nil"/>
              <w:left w:val="nil"/>
              <w:bottom w:val="nil"/>
              <w:right w:val="nil"/>
            </w:tcBorders>
          </w:tcPr>
          <w:p w14:paraId="4DAC8EE3" w14:textId="77777777" w:rsidR="00C741AF" w:rsidRPr="00450FEA" w:rsidRDefault="00C741AF" w:rsidP="00497E3C">
            <w:pPr>
              <w:pStyle w:val="Tabletext"/>
            </w:pPr>
            <w:r w:rsidRPr="00450FEA">
              <w:t>2</w:t>
            </w:r>
          </w:p>
        </w:tc>
        <w:tc>
          <w:tcPr>
            <w:tcW w:w="1782" w:type="pct"/>
            <w:tcBorders>
              <w:top w:val="nil"/>
              <w:left w:val="nil"/>
              <w:bottom w:val="nil"/>
              <w:right w:val="nil"/>
            </w:tcBorders>
          </w:tcPr>
          <w:p w14:paraId="6FF26A1C" w14:textId="77777777" w:rsidR="00C741AF" w:rsidRPr="00450FEA" w:rsidRDefault="00C741AF" w:rsidP="00497E3C">
            <w:pPr>
              <w:pStyle w:val="Tabletext"/>
            </w:pPr>
            <w:r w:rsidRPr="00450FEA">
              <w:t>VIC</w:t>
            </w:r>
          </w:p>
        </w:tc>
        <w:tc>
          <w:tcPr>
            <w:tcW w:w="1327" w:type="pct"/>
            <w:tcBorders>
              <w:top w:val="nil"/>
              <w:left w:val="nil"/>
              <w:bottom w:val="nil"/>
              <w:right w:val="nil"/>
            </w:tcBorders>
          </w:tcPr>
          <w:p w14:paraId="41DDB799" w14:textId="77777777" w:rsidR="00C741AF" w:rsidRPr="00450FEA" w:rsidRDefault="00C741AF" w:rsidP="00497E3C">
            <w:pPr>
              <w:pStyle w:val="Tabletext"/>
            </w:pPr>
            <w:r w:rsidRPr="00450FEA">
              <w:t>0.9</w:t>
            </w:r>
          </w:p>
        </w:tc>
        <w:tc>
          <w:tcPr>
            <w:tcW w:w="1223" w:type="pct"/>
            <w:tcBorders>
              <w:top w:val="nil"/>
              <w:left w:val="nil"/>
              <w:bottom w:val="nil"/>
              <w:right w:val="nil"/>
            </w:tcBorders>
          </w:tcPr>
          <w:p w14:paraId="71D93322" w14:textId="77777777" w:rsidR="00C741AF" w:rsidRPr="00450FEA" w:rsidRDefault="00C741AF" w:rsidP="00497E3C">
            <w:pPr>
              <w:pStyle w:val="Tabletext"/>
            </w:pPr>
            <w:r w:rsidRPr="00450FEA">
              <w:t>388</w:t>
            </w:r>
          </w:p>
        </w:tc>
      </w:tr>
      <w:tr w:rsidR="00C741AF" w:rsidRPr="00450FEA" w14:paraId="5AD9B3E4" w14:textId="77777777" w:rsidTr="00497E3C">
        <w:tc>
          <w:tcPr>
            <w:tcW w:w="668" w:type="pct"/>
            <w:tcBorders>
              <w:top w:val="nil"/>
              <w:left w:val="nil"/>
              <w:bottom w:val="nil"/>
              <w:right w:val="nil"/>
            </w:tcBorders>
          </w:tcPr>
          <w:p w14:paraId="69EB0E1F" w14:textId="77777777" w:rsidR="00C741AF" w:rsidRPr="00450FEA" w:rsidRDefault="00C741AF" w:rsidP="00497E3C">
            <w:pPr>
              <w:pStyle w:val="Tabletext"/>
            </w:pPr>
            <w:r w:rsidRPr="00450FEA">
              <w:t>3</w:t>
            </w:r>
          </w:p>
        </w:tc>
        <w:tc>
          <w:tcPr>
            <w:tcW w:w="1782" w:type="pct"/>
            <w:tcBorders>
              <w:top w:val="nil"/>
              <w:left w:val="nil"/>
              <w:bottom w:val="nil"/>
              <w:right w:val="nil"/>
            </w:tcBorders>
          </w:tcPr>
          <w:p w14:paraId="7989BE15" w14:textId="77777777" w:rsidR="00C741AF" w:rsidRPr="00450FEA" w:rsidRDefault="00C741AF" w:rsidP="00497E3C">
            <w:pPr>
              <w:pStyle w:val="Tabletext"/>
            </w:pPr>
            <w:r w:rsidRPr="00450FEA">
              <w:t>QLD</w:t>
            </w:r>
          </w:p>
        </w:tc>
        <w:tc>
          <w:tcPr>
            <w:tcW w:w="1327" w:type="pct"/>
            <w:tcBorders>
              <w:top w:val="nil"/>
              <w:left w:val="nil"/>
              <w:bottom w:val="nil"/>
              <w:right w:val="nil"/>
            </w:tcBorders>
          </w:tcPr>
          <w:p w14:paraId="344E3160" w14:textId="77777777" w:rsidR="00C741AF" w:rsidRPr="00450FEA" w:rsidRDefault="00C741AF" w:rsidP="00497E3C">
            <w:pPr>
              <w:pStyle w:val="Tabletext"/>
            </w:pPr>
            <w:r w:rsidRPr="00450FEA">
              <w:t>0.8</w:t>
            </w:r>
          </w:p>
        </w:tc>
        <w:tc>
          <w:tcPr>
            <w:tcW w:w="1223" w:type="pct"/>
            <w:tcBorders>
              <w:top w:val="nil"/>
              <w:left w:val="nil"/>
              <w:bottom w:val="nil"/>
              <w:right w:val="nil"/>
            </w:tcBorders>
          </w:tcPr>
          <w:p w14:paraId="36C9128E" w14:textId="77777777" w:rsidR="00C741AF" w:rsidRPr="00450FEA" w:rsidRDefault="00C741AF" w:rsidP="00497E3C">
            <w:pPr>
              <w:pStyle w:val="Tabletext"/>
            </w:pPr>
            <w:r w:rsidRPr="00450FEA">
              <w:t>377</w:t>
            </w:r>
          </w:p>
        </w:tc>
      </w:tr>
      <w:tr w:rsidR="00C741AF" w:rsidRPr="00450FEA" w14:paraId="558A111F" w14:textId="77777777" w:rsidTr="00497E3C">
        <w:tc>
          <w:tcPr>
            <w:tcW w:w="668" w:type="pct"/>
            <w:tcBorders>
              <w:top w:val="nil"/>
              <w:left w:val="nil"/>
              <w:bottom w:val="nil"/>
              <w:right w:val="nil"/>
            </w:tcBorders>
          </w:tcPr>
          <w:p w14:paraId="6CD717A7" w14:textId="77777777" w:rsidR="00C741AF" w:rsidRPr="00450FEA" w:rsidRDefault="00C741AF" w:rsidP="00497E3C">
            <w:pPr>
              <w:pStyle w:val="Tabletext"/>
            </w:pPr>
            <w:r w:rsidRPr="00450FEA">
              <w:t>4</w:t>
            </w:r>
          </w:p>
        </w:tc>
        <w:tc>
          <w:tcPr>
            <w:tcW w:w="1782" w:type="pct"/>
            <w:tcBorders>
              <w:top w:val="nil"/>
              <w:left w:val="nil"/>
              <w:bottom w:val="nil"/>
              <w:right w:val="nil"/>
            </w:tcBorders>
          </w:tcPr>
          <w:p w14:paraId="12B35C1B" w14:textId="77777777" w:rsidR="00C741AF" w:rsidRPr="00450FEA" w:rsidRDefault="00C741AF" w:rsidP="00497E3C">
            <w:pPr>
              <w:pStyle w:val="Tabletext"/>
            </w:pPr>
            <w:r w:rsidRPr="00450FEA">
              <w:t>WA</w:t>
            </w:r>
          </w:p>
        </w:tc>
        <w:tc>
          <w:tcPr>
            <w:tcW w:w="1327" w:type="pct"/>
            <w:tcBorders>
              <w:top w:val="nil"/>
              <w:left w:val="nil"/>
              <w:bottom w:val="nil"/>
              <w:right w:val="nil"/>
            </w:tcBorders>
          </w:tcPr>
          <w:p w14:paraId="05E123CC" w14:textId="77777777" w:rsidR="00C741AF" w:rsidRPr="00450FEA" w:rsidRDefault="00C741AF" w:rsidP="00497E3C">
            <w:pPr>
              <w:pStyle w:val="Tabletext"/>
            </w:pPr>
            <w:r w:rsidRPr="00450FEA">
              <w:t>1.1</w:t>
            </w:r>
          </w:p>
        </w:tc>
        <w:tc>
          <w:tcPr>
            <w:tcW w:w="1223" w:type="pct"/>
            <w:tcBorders>
              <w:top w:val="nil"/>
              <w:left w:val="nil"/>
              <w:bottom w:val="nil"/>
              <w:right w:val="nil"/>
            </w:tcBorders>
          </w:tcPr>
          <w:p w14:paraId="2926EE20" w14:textId="77777777" w:rsidR="00C741AF" w:rsidRPr="00450FEA" w:rsidRDefault="00C741AF" w:rsidP="00497E3C">
            <w:pPr>
              <w:pStyle w:val="Tabletext"/>
            </w:pPr>
            <w:r w:rsidRPr="00450FEA">
              <w:t>364</w:t>
            </w:r>
          </w:p>
        </w:tc>
      </w:tr>
      <w:tr w:rsidR="00C741AF" w:rsidRPr="00450FEA" w14:paraId="5524B515" w14:textId="77777777" w:rsidTr="00497E3C">
        <w:tc>
          <w:tcPr>
            <w:tcW w:w="668" w:type="pct"/>
            <w:tcBorders>
              <w:top w:val="nil"/>
              <w:left w:val="nil"/>
              <w:bottom w:val="nil"/>
              <w:right w:val="nil"/>
            </w:tcBorders>
          </w:tcPr>
          <w:p w14:paraId="2CBFC7C0" w14:textId="77777777" w:rsidR="00C741AF" w:rsidRPr="00450FEA" w:rsidRDefault="00C741AF" w:rsidP="00497E3C">
            <w:pPr>
              <w:pStyle w:val="Tabletext"/>
            </w:pPr>
            <w:r w:rsidRPr="00450FEA">
              <w:t>5</w:t>
            </w:r>
          </w:p>
        </w:tc>
        <w:tc>
          <w:tcPr>
            <w:tcW w:w="1782" w:type="pct"/>
            <w:tcBorders>
              <w:top w:val="nil"/>
              <w:left w:val="nil"/>
              <w:bottom w:val="nil"/>
              <w:right w:val="nil"/>
            </w:tcBorders>
          </w:tcPr>
          <w:p w14:paraId="545EE365" w14:textId="77777777" w:rsidR="00C741AF" w:rsidRPr="00450FEA" w:rsidRDefault="00C741AF" w:rsidP="00497E3C">
            <w:pPr>
              <w:pStyle w:val="Tabletext"/>
            </w:pPr>
            <w:r w:rsidRPr="00450FEA">
              <w:t>SA</w:t>
            </w:r>
          </w:p>
        </w:tc>
        <w:tc>
          <w:tcPr>
            <w:tcW w:w="1327" w:type="pct"/>
            <w:tcBorders>
              <w:top w:val="nil"/>
              <w:left w:val="nil"/>
              <w:bottom w:val="nil"/>
              <w:right w:val="nil"/>
            </w:tcBorders>
          </w:tcPr>
          <w:p w14:paraId="574680F1" w14:textId="77777777" w:rsidR="00C741AF" w:rsidRPr="00450FEA" w:rsidRDefault="00C741AF" w:rsidP="00497E3C">
            <w:pPr>
              <w:pStyle w:val="Tabletext"/>
            </w:pPr>
            <w:r w:rsidRPr="00450FEA">
              <w:t>0.8</w:t>
            </w:r>
          </w:p>
        </w:tc>
        <w:tc>
          <w:tcPr>
            <w:tcW w:w="1223" w:type="pct"/>
            <w:tcBorders>
              <w:top w:val="nil"/>
              <w:left w:val="nil"/>
              <w:bottom w:val="nil"/>
              <w:right w:val="nil"/>
            </w:tcBorders>
          </w:tcPr>
          <w:p w14:paraId="46CD82EE" w14:textId="77777777" w:rsidR="00C741AF" w:rsidRPr="00450FEA" w:rsidRDefault="00C741AF" w:rsidP="00497E3C">
            <w:pPr>
              <w:pStyle w:val="Tabletext"/>
            </w:pPr>
            <w:r w:rsidRPr="00450FEA">
              <w:t>390</w:t>
            </w:r>
          </w:p>
        </w:tc>
      </w:tr>
      <w:tr w:rsidR="00C741AF" w:rsidRPr="00450FEA" w14:paraId="24E15C95" w14:textId="77777777" w:rsidTr="00497E3C">
        <w:tc>
          <w:tcPr>
            <w:tcW w:w="668" w:type="pct"/>
            <w:tcBorders>
              <w:top w:val="nil"/>
              <w:left w:val="nil"/>
              <w:bottom w:val="nil"/>
              <w:right w:val="nil"/>
            </w:tcBorders>
          </w:tcPr>
          <w:p w14:paraId="7C43D18C" w14:textId="77777777" w:rsidR="00C741AF" w:rsidRPr="00450FEA" w:rsidRDefault="00C741AF" w:rsidP="00497E3C">
            <w:pPr>
              <w:pStyle w:val="Tabletext"/>
            </w:pPr>
            <w:r w:rsidRPr="00450FEA">
              <w:t>6</w:t>
            </w:r>
          </w:p>
        </w:tc>
        <w:tc>
          <w:tcPr>
            <w:tcW w:w="1782" w:type="pct"/>
            <w:tcBorders>
              <w:top w:val="nil"/>
              <w:left w:val="nil"/>
              <w:bottom w:val="nil"/>
              <w:right w:val="nil"/>
            </w:tcBorders>
          </w:tcPr>
          <w:p w14:paraId="50CAEFC7" w14:textId="77777777" w:rsidR="00C741AF" w:rsidRPr="00450FEA" w:rsidRDefault="00C741AF" w:rsidP="00497E3C">
            <w:pPr>
              <w:pStyle w:val="Tabletext"/>
            </w:pPr>
            <w:r w:rsidRPr="00450FEA">
              <w:t>TAS</w:t>
            </w:r>
          </w:p>
        </w:tc>
        <w:tc>
          <w:tcPr>
            <w:tcW w:w="1327" w:type="pct"/>
            <w:tcBorders>
              <w:top w:val="nil"/>
              <w:left w:val="nil"/>
              <w:bottom w:val="nil"/>
              <w:right w:val="nil"/>
            </w:tcBorders>
          </w:tcPr>
          <w:p w14:paraId="145D9251" w14:textId="77777777" w:rsidR="00C741AF" w:rsidRPr="00450FEA" w:rsidRDefault="00C741AF" w:rsidP="00497E3C">
            <w:pPr>
              <w:pStyle w:val="Tabletext"/>
            </w:pPr>
            <w:r w:rsidRPr="00450FEA">
              <w:t>0.9</w:t>
            </w:r>
          </w:p>
        </w:tc>
        <w:tc>
          <w:tcPr>
            <w:tcW w:w="1223" w:type="pct"/>
            <w:tcBorders>
              <w:top w:val="nil"/>
              <w:left w:val="nil"/>
              <w:bottom w:val="nil"/>
              <w:right w:val="nil"/>
            </w:tcBorders>
          </w:tcPr>
          <w:p w14:paraId="64C2EBEA" w14:textId="77777777" w:rsidR="00C741AF" w:rsidRPr="00450FEA" w:rsidRDefault="00C741AF" w:rsidP="00497E3C">
            <w:pPr>
              <w:pStyle w:val="Tabletext"/>
            </w:pPr>
            <w:r w:rsidRPr="00450FEA">
              <w:t>388</w:t>
            </w:r>
          </w:p>
        </w:tc>
      </w:tr>
      <w:tr w:rsidR="00C741AF" w:rsidRPr="00450FEA" w14:paraId="60CA6F66" w14:textId="77777777" w:rsidTr="00497E3C">
        <w:tc>
          <w:tcPr>
            <w:tcW w:w="668" w:type="pct"/>
            <w:tcBorders>
              <w:top w:val="nil"/>
              <w:left w:val="nil"/>
              <w:bottom w:val="single" w:sz="12" w:space="0" w:color="auto"/>
              <w:right w:val="nil"/>
            </w:tcBorders>
          </w:tcPr>
          <w:p w14:paraId="74A97B2B" w14:textId="77777777" w:rsidR="00C741AF" w:rsidRPr="00450FEA" w:rsidRDefault="00C741AF" w:rsidP="00497E3C">
            <w:pPr>
              <w:pStyle w:val="Tabletext"/>
            </w:pPr>
            <w:r w:rsidRPr="00450FEA">
              <w:t>7</w:t>
            </w:r>
          </w:p>
        </w:tc>
        <w:tc>
          <w:tcPr>
            <w:tcW w:w="1782" w:type="pct"/>
            <w:tcBorders>
              <w:top w:val="nil"/>
              <w:left w:val="nil"/>
              <w:bottom w:val="single" w:sz="12" w:space="0" w:color="auto"/>
              <w:right w:val="nil"/>
            </w:tcBorders>
          </w:tcPr>
          <w:p w14:paraId="24E725EC" w14:textId="77777777" w:rsidR="00C741AF" w:rsidRPr="00450FEA" w:rsidRDefault="00C741AF" w:rsidP="00497E3C">
            <w:pPr>
              <w:pStyle w:val="Tabletext"/>
            </w:pPr>
            <w:r w:rsidRPr="00450FEA">
              <w:t>NT</w:t>
            </w:r>
          </w:p>
        </w:tc>
        <w:tc>
          <w:tcPr>
            <w:tcW w:w="1327" w:type="pct"/>
            <w:tcBorders>
              <w:top w:val="nil"/>
              <w:left w:val="nil"/>
              <w:bottom w:val="single" w:sz="12" w:space="0" w:color="auto"/>
              <w:right w:val="nil"/>
            </w:tcBorders>
          </w:tcPr>
          <w:p w14:paraId="52A6879B" w14:textId="77777777" w:rsidR="00C741AF" w:rsidRPr="00450FEA" w:rsidRDefault="00C741AF" w:rsidP="00497E3C">
            <w:pPr>
              <w:pStyle w:val="Tabletext"/>
            </w:pPr>
            <w:r w:rsidRPr="00450FEA">
              <w:t>0.0</w:t>
            </w:r>
          </w:p>
        </w:tc>
        <w:tc>
          <w:tcPr>
            <w:tcW w:w="1223" w:type="pct"/>
            <w:tcBorders>
              <w:top w:val="nil"/>
              <w:left w:val="nil"/>
              <w:bottom w:val="single" w:sz="12" w:space="0" w:color="auto"/>
              <w:right w:val="nil"/>
            </w:tcBorders>
          </w:tcPr>
          <w:p w14:paraId="59AD19FA" w14:textId="77777777" w:rsidR="00C741AF" w:rsidRPr="00450FEA" w:rsidRDefault="00C741AF" w:rsidP="00497E3C">
            <w:pPr>
              <w:pStyle w:val="Tabletext"/>
            </w:pPr>
            <w:r w:rsidRPr="00450FEA">
              <w:t>314</w:t>
            </w:r>
          </w:p>
        </w:tc>
      </w:tr>
    </w:tbl>
    <w:p w14:paraId="51208541" w14:textId="77777777" w:rsidR="00C741AF" w:rsidRPr="00097A86" w:rsidRDefault="00C741AF" w:rsidP="00D22D3F">
      <w:pPr>
        <w:pStyle w:val="paragraph"/>
      </w:pPr>
    </w:p>
    <w:p w14:paraId="67A4E959" w14:textId="77777777" w:rsidR="00D4486E" w:rsidRPr="00097A86" w:rsidRDefault="00D4486E" w:rsidP="004C53FA">
      <w:pPr>
        <w:pStyle w:val="ActHead3"/>
        <w:pageBreakBefore/>
      </w:pPr>
      <w:bookmarkStart w:id="343" w:name="_Toc13233775"/>
      <w:r w:rsidRPr="00097A86">
        <w:rPr>
          <w:rStyle w:val="CharDivNo"/>
        </w:rPr>
        <w:lastRenderedPageBreak/>
        <w:t>Division</w:t>
      </w:r>
      <w:r w:rsidR="00097A86">
        <w:rPr>
          <w:rStyle w:val="CharDivNo"/>
        </w:rPr>
        <w:t> </w:t>
      </w:r>
      <w:r w:rsidRPr="00097A86">
        <w:rPr>
          <w:rStyle w:val="CharDivNo"/>
        </w:rPr>
        <w:t>3.3.9</w:t>
      </w:r>
      <w:r w:rsidR="00D22D3F" w:rsidRPr="00097A86">
        <w:t>—</w:t>
      </w:r>
      <w:r w:rsidRPr="00097A86">
        <w:rPr>
          <w:rStyle w:val="CharDivText"/>
        </w:rPr>
        <w:t>Natural gas production or processing (emissions that are vented or flared)</w:t>
      </w:r>
      <w:bookmarkEnd w:id="343"/>
    </w:p>
    <w:p w14:paraId="3C98FA43" w14:textId="77777777" w:rsidR="00D4486E" w:rsidRPr="00097A86" w:rsidRDefault="00D4486E" w:rsidP="00D22D3F">
      <w:pPr>
        <w:pStyle w:val="ActHead5"/>
      </w:pPr>
      <w:bookmarkStart w:id="344" w:name="_Toc13233776"/>
      <w:r w:rsidRPr="00097A86">
        <w:rPr>
          <w:rStyle w:val="CharSectno"/>
        </w:rPr>
        <w:t>3.82</w:t>
      </w:r>
      <w:r w:rsidR="00D22D3F" w:rsidRPr="00097A86">
        <w:t xml:space="preserve">  </w:t>
      </w:r>
      <w:r w:rsidRPr="00097A86">
        <w:t>Application</w:t>
      </w:r>
      <w:bookmarkEnd w:id="344"/>
    </w:p>
    <w:p w14:paraId="53C5AAA4" w14:textId="77777777" w:rsidR="00D4486E" w:rsidRPr="00097A86" w:rsidRDefault="00D4486E" w:rsidP="00D22D3F">
      <w:pPr>
        <w:pStyle w:val="subsection"/>
      </w:pPr>
      <w:r w:rsidRPr="00097A86">
        <w:tab/>
      </w:r>
      <w:r w:rsidRPr="00097A86">
        <w:tab/>
        <w:t>This Division applies to fugitive emissions from venting or flaring from natural gas production or processing activities, including emissions from:</w:t>
      </w:r>
    </w:p>
    <w:p w14:paraId="6130284C" w14:textId="77777777" w:rsidR="00D4486E" w:rsidRPr="00097A86" w:rsidRDefault="00D4486E" w:rsidP="00D22D3F">
      <w:pPr>
        <w:pStyle w:val="paragraph"/>
      </w:pPr>
      <w:r w:rsidRPr="00097A86">
        <w:tab/>
        <w:t xml:space="preserve">(a) </w:t>
      </w:r>
      <w:r w:rsidRPr="00097A86">
        <w:tab/>
        <w:t>the venting of natural gas; and</w:t>
      </w:r>
    </w:p>
    <w:p w14:paraId="0F86D9D5" w14:textId="77777777" w:rsidR="00D4486E" w:rsidRPr="00097A86" w:rsidRDefault="00D4486E" w:rsidP="00D22D3F">
      <w:pPr>
        <w:pStyle w:val="paragraph"/>
      </w:pPr>
      <w:r w:rsidRPr="00097A86">
        <w:tab/>
        <w:t>(b)</w:t>
      </w:r>
      <w:r w:rsidRPr="00097A86">
        <w:tab/>
        <w:t>the venting of waste gas and vapour streams at facilities that are constituted by natural gas production or processing; and</w:t>
      </w:r>
    </w:p>
    <w:p w14:paraId="435F7B46" w14:textId="77777777" w:rsidR="00D4486E" w:rsidRPr="00097A86" w:rsidRDefault="00D4486E" w:rsidP="00D22D3F">
      <w:pPr>
        <w:pStyle w:val="paragraph"/>
      </w:pPr>
      <w:r w:rsidRPr="00097A86">
        <w:tab/>
        <w:t>(c)</w:t>
      </w:r>
      <w:r w:rsidRPr="00097A86">
        <w:tab/>
        <w:t>the flaring of natural gas, waste gas and waste vapour streams at those facilities.</w:t>
      </w:r>
    </w:p>
    <w:p w14:paraId="4108FD6D" w14:textId="77777777" w:rsidR="003F0D4E" w:rsidRPr="00097A86" w:rsidRDefault="003F0D4E" w:rsidP="00D22D3F">
      <w:pPr>
        <w:pStyle w:val="ActHead5"/>
      </w:pPr>
      <w:bookmarkStart w:id="345" w:name="_Toc13233777"/>
      <w:r w:rsidRPr="00097A86">
        <w:rPr>
          <w:rStyle w:val="CharSectno"/>
        </w:rPr>
        <w:t>3.83</w:t>
      </w:r>
      <w:r w:rsidR="00D22D3F" w:rsidRPr="00097A86">
        <w:t xml:space="preserve">  </w:t>
      </w:r>
      <w:r w:rsidRPr="00097A86">
        <w:t>Available methods</w:t>
      </w:r>
      <w:bookmarkEnd w:id="345"/>
    </w:p>
    <w:p w14:paraId="10EF2600"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(emissions that are vented or flared) released during a year from the operation of a facility that is constituted by natural gas production and processing the methods as set out in this section must be used.</w:t>
      </w:r>
    </w:p>
    <w:p w14:paraId="41919AF4" w14:textId="77777777" w:rsidR="003F0D4E" w:rsidRPr="00097A86" w:rsidRDefault="003F0D4E" w:rsidP="00D22D3F">
      <w:pPr>
        <w:pStyle w:val="subsection"/>
      </w:pPr>
      <w:r w:rsidRPr="00097A86">
        <w:tab/>
        <w:t>(2)</w:t>
      </w:r>
      <w:r w:rsidRPr="00097A86">
        <w:tab/>
        <w:t>One of the following methods must be used for estimating fugitive emissions that result from deliberate releases from process vents, system upsets and accidents:</w:t>
      </w:r>
    </w:p>
    <w:p w14:paraId="09F24B06" w14:textId="77777777" w:rsidR="003F0D4E" w:rsidRPr="00097A86" w:rsidRDefault="003F0D4E" w:rsidP="00D22D3F">
      <w:pPr>
        <w:pStyle w:val="paragraphsub"/>
      </w:pPr>
      <w:r w:rsidRPr="00097A86">
        <w:tab/>
        <w:t>(i)</w:t>
      </w:r>
      <w:r w:rsidRPr="00097A86">
        <w:tab/>
        <w:t>method 1 under section</w:t>
      </w:r>
      <w:r w:rsidR="00097A86">
        <w:t> </w:t>
      </w:r>
      <w:r w:rsidRPr="00097A86">
        <w:t>3.84; and</w:t>
      </w:r>
    </w:p>
    <w:p w14:paraId="2F34EA7D" w14:textId="77777777" w:rsidR="003F0D4E" w:rsidRPr="00097A86" w:rsidRDefault="003F0D4E" w:rsidP="00D22D3F">
      <w:pPr>
        <w:pStyle w:val="paragraphsub"/>
      </w:pPr>
      <w:r w:rsidRPr="00097A86">
        <w:tab/>
        <w:t>(ii)</w:t>
      </w:r>
      <w:r w:rsidRPr="00097A86">
        <w:tab/>
        <w:t>method 4 under Part</w:t>
      </w:r>
      <w:r w:rsidR="00097A86">
        <w:t> </w:t>
      </w:r>
      <w:r w:rsidRPr="00097A86">
        <w:t>1.3.</w:t>
      </w:r>
    </w:p>
    <w:p w14:paraId="1C1497ED" w14:textId="77777777" w:rsidR="003F0D4E" w:rsidRPr="00097A86" w:rsidRDefault="00D22D3F" w:rsidP="00D22D3F">
      <w:pPr>
        <w:pStyle w:val="notetext"/>
      </w:pPr>
      <w:r w:rsidRPr="00097A86">
        <w:t>Note:</w:t>
      </w:r>
      <w:r w:rsidRPr="00097A86">
        <w:tab/>
      </w:r>
      <w:r w:rsidR="003F0D4E" w:rsidRPr="00097A86">
        <w:t xml:space="preserve">There is no method 2 or 3 for </w:t>
      </w:r>
      <w:r w:rsidR="00097A86">
        <w:t>subsection (</w:t>
      </w:r>
      <w:r w:rsidR="003F0D4E" w:rsidRPr="00097A86">
        <w:t>2).</w:t>
      </w:r>
    </w:p>
    <w:p w14:paraId="5D1522C2" w14:textId="77777777" w:rsidR="003F0D4E" w:rsidRPr="00097A86" w:rsidRDefault="003F0D4E" w:rsidP="00D22D3F">
      <w:pPr>
        <w:pStyle w:val="subsection"/>
      </w:pPr>
      <w:r w:rsidRPr="00097A86">
        <w:tab/>
        <w:t>(3)</w:t>
      </w:r>
      <w:r w:rsidRPr="00097A86">
        <w:tab/>
        <w:t>For estimating emissions released from gas flared from natural gas production and processing:</w:t>
      </w:r>
    </w:p>
    <w:p w14:paraId="0EE34725" w14:textId="77777777" w:rsidR="003F0D4E" w:rsidRPr="00097A86" w:rsidRDefault="003F0D4E" w:rsidP="00D22D3F">
      <w:pPr>
        <w:pStyle w:val="paragraph"/>
      </w:pPr>
      <w:r w:rsidRPr="00097A86">
        <w:tab/>
        <w:t>(a)</w:t>
      </w:r>
      <w:r w:rsidRPr="00097A86">
        <w:tab/>
        <w:t>one of the following methods must be used for estimating emissions of carbon dioxide released:</w:t>
      </w:r>
    </w:p>
    <w:p w14:paraId="402D01AD" w14:textId="77777777" w:rsidR="003F0D4E" w:rsidRPr="00097A86" w:rsidRDefault="003F0D4E" w:rsidP="00D22D3F">
      <w:pPr>
        <w:pStyle w:val="paragraphsub"/>
      </w:pPr>
      <w:r w:rsidRPr="00097A86">
        <w:tab/>
        <w:t>(i)</w:t>
      </w:r>
      <w:r w:rsidRPr="00097A86">
        <w:tab/>
        <w:t>method 1 under section</w:t>
      </w:r>
      <w:r w:rsidR="00097A86">
        <w:t> </w:t>
      </w:r>
      <w:r w:rsidRPr="00097A86">
        <w:t>3.85;</w:t>
      </w:r>
    </w:p>
    <w:p w14:paraId="19A61C45" w14:textId="77777777" w:rsidR="003F0D4E" w:rsidRPr="00097A86" w:rsidRDefault="003F0D4E" w:rsidP="00D22D3F">
      <w:pPr>
        <w:pStyle w:val="paragraphsub"/>
      </w:pPr>
      <w:r w:rsidRPr="00097A86">
        <w:tab/>
        <w:t>(ii)</w:t>
      </w:r>
      <w:r w:rsidRPr="00097A86">
        <w:tab/>
        <w:t>method 2 under section</w:t>
      </w:r>
      <w:r w:rsidR="00097A86">
        <w:t> </w:t>
      </w:r>
      <w:r w:rsidRPr="00097A86">
        <w:t>3.86;</w:t>
      </w:r>
    </w:p>
    <w:p w14:paraId="1497556A" w14:textId="77777777" w:rsidR="003F0D4E" w:rsidRPr="00097A86" w:rsidRDefault="003F0D4E" w:rsidP="00D22D3F">
      <w:pPr>
        <w:pStyle w:val="paragraphsub"/>
      </w:pPr>
      <w:r w:rsidRPr="00097A86">
        <w:tab/>
        <w:t>(iii)</w:t>
      </w:r>
      <w:r w:rsidRPr="00097A86">
        <w:tab/>
        <w:t>method 3 under section</w:t>
      </w:r>
      <w:r w:rsidR="00097A86">
        <w:t> </w:t>
      </w:r>
      <w:r w:rsidRPr="00097A86">
        <w:t>3.87; and</w:t>
      </w:r>
    </w:p>
    <w:p w14:paraId="0CB48EE4" w14:textId="77777777" w:rsidR="005A6DC3" w:rsidRPr="00097A86" w:rsidRDefault="005A6DC3" w:rsidP="005A6DC3">
      <w:pPr>
        <w:pStyle w:val="paragraph"/>
      </w:pPr>
      <w:r w:rsidRPr="00097A86">
        <w:tab/>
        <w:t>(b)</w:t>
      </w:r>
      <w:r w:rsidRPr="00097A86">
        <w:tab/>
        <w:t>if estimating emissions of methane released—one of the following methods must be used:</w:t>
      </w:r>
    </w:p>
    <w:p w14:paraId="05DA69F8" w14:textId="77777777" w:rsidR="005A6DC3" w:rsidRPr="00097A86" w:rsidRDefault="005A6DC3" w:rsidP="005A6DC3">
      <w:pPr>
        <w:pStyle w:val="paragraphsub"/>
      </w:pPr>
      <w:r w:rsidRPr="00097A86">
        <w:tab/>
        <w:t>(i)</w:t>
      </w:r>
      <w:r w:rsidRPr="00097A86">
        <w:tab/>
        <w:t>method 1 under section</w:t>
      </w:r>
      <w:r w:rsidR="00097A86">
        <w:t> </w:t>
      </w:r>
      <w:r w:rsidRPr="00097A86">
        <w:t>3.85;</w:t>
      </w:r>
    </w:p>
    <w:p w14:paraId="271FF7DB" w14:textId="77777777" w:rsidR="005A6DC3" w:rsidRPr="00097A86" w:rsidRDefault="005A6DC3" w:rsidP="005A6DC3">
      <w:pPr>
        <w:pStyle w:val="paragraphsub"/>
      </w:pPr>
      <w:r w:rsidRPr="00097A86">
        <w:tab/>
        <w:t>(ii)</w:t>
      </w:r>
      <w:r w:rsidRPr="00097A86">
        <w:tab/>
        <w:t>method 2A under section</w:t>
      </w:r>
      <w:r w:rsidR="00097A86">
        <w:t> </w:t>
      </w:r>
      <w:r w:rsidRPr="00097A86">
        <w:t>3.86A; and</w:t>
      </w:r>
    </w:p>
    <w:p w14:paraId="10745F35" w14:textId="77777777" w:rsidR="005A6DC3" w:rsidRPr="00097A86" w:rsidRDefault="005A6DC3" w:rsidP="005A6DC3">
      <w:pPr>
        <w:pStyle w:val="paragraph"/>
      </w:pPr>
      <w:r w:rsidRPr="00097A86">
        <w:tab/>
        <w:t>(c)</w:t>
      </w:r>
      <w:r w:rsidRPr="00097A86">
        <w:tab/>
        <w:t>if estimating emissions of nitrous oxide released—one of the following methods must be used:</w:t>
      </w:r>
    </w:p>
    <w:p w14:paraId="5B753524" w14:textId="77777777" w:rsidR="005A6DC3" w:rsidRPr="00097A86" w:rsidRDefault="005A6DC3" w:rsidP="005A6DC3">
      <w:pPr>
        <w:pStyle w:val="paragraphsub"/>
      </w:pPr>
      <w:r w:rsidRPr="00097A86">
        <w:tab/>
        <w:t>(i)</w:t>
      </w:r>
      <w:r w:rsidRPr="00097A86">
        <w:tab/>
        <w:t>method 1 under section</w:t>
      </w:r>
      <w:r w:rsidR="00097A86">
        <w:t> </w:t>
      </w:r>
      <w:r w:rsidRPr="00097A86">
        <w:t>3.85;</w:t>
      </w:r>
    </w:p>
    <w:p w14:paraId="3A848B75" w14:textId="77777777" w:rsidR="005A6DC3" w:rsidRPr="00097A86" w:rsidRDefault="005A6DC3" w:rsidP="005A6DC3">
      <w:pPr>
        <w:pStyle w:val="paragraphsub"/>
      </w:pPr>
      <w:r w:rsidRPr="00097A86">
        <w:tab/>
        <w:t>(ii)</w:t>
      </w:r>
      <w:r w:rsidRPr="00097A86">
        <w:tab/>
        <w:t>method 2A under section</w:t>
      </w:r>
      <w:r w:rsidR="00097A86">
        <w:t> </w:t>
      </w:r>
      <w:r w:rsidRPr="00097A86">
        <w:t>3.86A.</w:t>
      </w:r>
    </w:p>
    <w:p w14:paraId="09E6D821" w14:textId="77777777" w:rsidR="003F0D4E" w:rsidRPr="00097A86" w:rsidRDefault="00D22D3F" w:rsidP="00D22D3F">
      <w:pPr>
        <w:pStyle w:val="notetext"/>
      </w:pPr>
      <w:r w:rsidRPr="00097A86">
        <w:t>Note:</w:t>
      </w:r>
      <w:r w:rsidRPr="00097A86">
        <w:tab/>
      </w:r>
      <w:r w:rsidR="003F0D4E" w:rsidRPr="00097A86">
        <w:t>The flaring of gas from natural gas production and processing releases emissions of carbon dioxide, methane and nitrous oxide. The reference to gas type (</w:t>
      </w:r>
      <w:r w:rsidR="003F0D4E" w:rsidRPr="00097A86">
        <w:rPr>
          <w:b/>
          <w:i/>
        </w:rPr>
        <w:t>j</w:t>
      </w:r>
      <w:r w:rsidR="003F0D4E" w:rsidRPr="00097A86">
        <w:t>) in method 1 in section</w:t>
      </w:r>
      <w:r w:rsidR="00097A86">
        <w:t> </w:t>
      </w:r>
      <w:r w:rsidR="003F0D4E" w:rsidRPr="00097A86">
        <w:t xml:space="preserve">3.85 is a reference to these gases. The same formula is used to estimate emissions of each of these gases. </w:t>
      </w:r>
      <w:r w:rsidR="008609A7" w:rsidRPr="00097A86">
        <w:t>There is no method 4 for emissions of carbon dioxide and no method 2, 3 or 4 for emissions of nitrous oxide or methane.</w:t>
      </w:r>
    </w:p>
    <w:p w14:paraId="77FE2E8B" w14:textId="77777777" w:rsidR="003F0D4E" w:rsidRPr="00097A86" w:rsidRDefault="003F0D4E" w:rsidP="00D22D3F">
      <w:pPr>
        <w:pStyle w:val="subsection"/>
      </w:pPr>
      <w:r w:rsidRPr="00097A86">
        <w:lastRenderedPageBreak/>
        <w:tab/>
        <w:t>(4)</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6D4C926A" w14:textId="77777777" w:rsidR="003F0D4E" w:rsidRPr="00097A86" w:rsidRDefault="003F0D4E" w:rsidP="00D22D3F">
      <w:pPr>
        <w:pStyle w:val="ActHead4"/>
      </w:pPr>
      <w:bookmarkStart w:id="346" w:name="_Toc13233778"/>
      <w:r w:rsidRPr="00097A86">
        <w:rPr>
          <w:rStyle w:val="CharSubdNo"/>
        </w:rPr>
        <w:t>Subdivision</w:t>
      </w:r>
      <w:r w:rsidR="00097A86">
        <w:rPr>
          <w:rStyle w:val="CharSubdNo"/>
        </w:rPr>
        <w:t> </w:t>
      </w:r>
      <w:r w:rsidRPr="00097A86">
        <w:rPr>
          <w:rStyle w:val="CharSubdNo"/>
        </w:rPr>
        <w:t>3.3.9.1</w:t>
      </w:r>
      <w:r w:rsidR="00D22D3F" w:rsidRPr="00097A86">
        <w:t>—</w:t>
      </w:r>
      <w:r w:rsidRPr="00097A86">
        <w:rPr>
          <w:rStyle w:val="CharSubdText"/>
        </w:rPr>
        <w:t>Fugitive emissions that result from deliberate releases from process vents, system upsets and accidents</w:t>
      </w:r>
      <w:bookmarkEnd w:id="346"/>
      <w:r w:rsidRPr="00097A86">
        <w:rPr>
          <w:rStyle w:val="CharSubdText"/>
        </w:rPr>
        <w:t xml:space="preserve"> </w:t>
      </w:r>
    </w:p>
    <w:p w14:paraId="2D99D988" w14:textId="77777777" w:rsidR="00545F31" w:rsidRPr="00097A86" w:rsidRDefault="00545F31" w:rsidP="00D22D3F">
      <w:pPr>
        <w:pStyle w:val="ActHead5"/>
      </w:pPr>
      <w:bookmarkStart w:id="347" w:name="_Toc13233779"/>
      <w:r w:rsidRPr="00097A86">
        <w:rPr>
          <w:rStyle w:val="CharSectno"/>
        </w:rPr>
        <w:t>3.84</w:t>
      </w:r>
      <w:r w:rsidR="00D22D3F" w:rsidRPr="00097A86">
        <w:t xml:space="preserve">  </w:t>
      </w:r>
      <w:r w:rsidRPr="00097A86">
        <w:t>Method 1</w:t>
      </w:r>
      <w:r w:rsidR="00D22D3F" w:rsidRPr="00097A86">
        <w:t>—</w:t>
      </w:r>
      <w:r w:rsidRPr="00097A86">
        <w:t>emissions from system upsets, accidents and deliberate releases from process vents</w:t>
      </w:r>
      <w:bookmarkEnd w:id="347"/>
    </w:p>
    <w:p w14:paraId="023AF4FA" w14:textId="77777777" w:rsidR="00545F31" w:rsidRPr="00097A86" w:rsidRDefault="00545F31" w:rsidP="00D22D3F">
      <w:pPr>
        <w:pStyle w:val="subsection"/>
      </w:pPr>
      <w:r w:rsidRPr="00097A86">
        <w:tab/>
      </w:r>
      <w:r w:rsidRPr="00097A86">
        <w:tab/>
        <w:t>Method 1 is, for a process mentioned in column 2 of an item in the following table, as described in the section of the API Compendium mentioned in column 3 for the item.</w:t>
      </w:r>
    </w:p>
    <w:p w14:paraId="2AD4C1A3"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67"/>
        <w:gridCol w:w="5942"/>
        <w:gridCol w:w="1704"/>
      </w:tblGrid>
      <w:tr w:rsidR="00545F31" w:rsidRPr="00097A86" w14:paraId="24D41DD2" w14:textId="77777777" w:rsidTr="00C20CC2">
        <w:trPr>
          <w:tblHeader/>
        </w:trPr>
        <w:tc>
          <w:tcPr>
            <w:tcW w:w="401" w:type="pct"/>
            <w:tcBorders>
              <w:top w:val="single" w:sz="12" w:space="0" w:color="auto"/>
              <w:bottom w:val="single" w:sz="12" w:space="0" w:color="auto"/>
            </w:tcBorders>
            <w:shd w:val="clear" w:color="auto" w:fill="auto"/>
          </w:tcPr>
          <w:p w14:paraId="3F154124" w14:textId="77777777" w:rsidR="00545F31" w:rsidRPr="00097A86" w:rsidRDefault="00545F31" w:rsidP="00D22D3F">
            <w:pPr>
              <w:pStyle w:val="TableHeading"/>
              <w:rPr>
                <w:szCs w:val="18"/>
              </w:rPr>
            </w:pPr>
            <w:r w:rsidRPr="00097A86">
              <w:rPr>
                <w:szCs w:val="18"/>
              </w:rPr>
              <w:t>Item</w:t>
            </w:r>
          </w:p>
        </w:tc>
        <w:tc>
          <w:tcPr>
            <w:tcW w:w="3574" w:type="pct"/>
            <w:tcBorders>
              <w:top w:val="single" w:sz="12" w:space="0" w:color="auto"/>
              <w:bottom w:val="single" w:sz="12" w:space="0" w:color="auto"/>
            </w:tcBorders>
            <w:shd w:val="clear" w:color="auto" w:fill="auto"/>
          </w:tcPr>
          <w:p w14:paraId="2D70D207" w14:textId="77777777" w:rsidR="00545F31" w:rsidRPr="00097A86" w:rsidRDefault="00545F31" w:rsidP="00D22D3F">
            <w:pPr>
              <w:pStyle w:val="TableHeading"/>
              <w:rPr>
                <w:szCs w:val="18"/>
              </w:rPr>
            </w:pPr>
            <w:r w:rsidRPr="00097A86">
              <w:rPr>
                <w:szCs w:val="18"/>
              </w:rPr>
              <w:t>Emission process</w:t>
            </w:r>
          </w:p>
        </w:tc>
        <w:tc>
          <w:tcPr>
            <w:tcW w:w="1025" w:type="pct"/>
            <w:tcBorders>
              <w:top w:val="single" w:sz="12" w:space="0" w:color="auto"/>
              <w:bottom w:val="single" w:sz="12" w:space="0" w:color="auto"/>
            </w:tcBorders>
            <w:shd w:val="clear" w:color="auto" w:fill="auto"/>
          </w:tcPr>
          <w:p w14:paraId="5C36291D" w14:textId="77777777" w:rsidR="00545F31" w:rsidRPr="00097A86" w:rsidRDefault="00545F31" w:rsidP="00D22D3F">
            <w:pPr>
              <w:pStyle w:val="TableHeading"/>
              <w:rPr>
                <w:szCs w:val="18"/>
              </w:rPr>
            </w:pPr>
            <w:r w:rsidRPr="00097A86">
              <w:rPr>
                <w:szCs w:val="18"/>
              </w:rPr>
              <w:t>API Compendium section</w:t>
            </w:r>
          </w:p>
        </w:tc>
      </w:tr>
      <w:tr w:rsidR="00545F31" w:rsidRPr="00097A86" w14:paraId="5CEE3DAD" w14:textId="77777777" w:rsidTr="00C20CC2">
        <w:tc>
          <w:tcPr>
            <w:tcW w:w="401" w:type="pct"/>
            <w:tcBorders>
              <w:top w:val="single" w:sz="12" w:space="0" w:color="auto"/>
            </w:tcBorders>
            <w:shd w:val="clear" w:color="auto" w:fill="auto"/>
          </w:tcPr>
          <w:p w14:paraId="7888C46C" w14:textId="77777777" w:rsidR="00545F31" w:rsidRPr="00097A86" w:rsidRDefault="00545F31" w:rsidP="00D22D3F">
            <w:pPr>
              <w:pStyle w:val="Tabletext"/>
            </w:pPr>
            <w:r w:rsidRPr="00097A86">
              <w:t>1</w:t>
            </w:r>
          </w:p>
        </w:tc>
        <w:tc>
          <w:tcPr>
            <w:tcW w:w="3574" w:type="pct"/>
            <w:tcBorders>
              <w:top w:val="single" w:sz="12" w:space="0" w:color="auto"/>
            </w:tcBorders>
            <w:shd w:val="clear" w:color="auto" w:fill="auto"/>
          </w:tcPr>
          <w:p w14:paraId="31E459D9" w14:textId="77777777" w:rsidR="00545F31" w:rsidRPr="00097A86" w:rsidRDefault="00545F31" w:rsidP="00D22D3F">
            <w:pPr>
              <w:pStyle w:val="Tabletext"/>
            </w:pPr>
            <w:r w:rsidRPr="00097A86">
              <w:t>Gas treatment processes</w:t>
            </w:r>
          </w:p>
        </w:tc>
        <w:tc>
          <w:tcPr>
            <w:tcW w:w="1025" w:type="pct"/>
            <w:tcBorders>
              <w:top w:val="single" w:sz="12" w:space="0" w:color="auto"/>
            </w:tcBorders>
            <w:shd w:val="clear" w:color="auto" w:fill="auto"/>
          </w:tcPr>
          <w:p w14:paraId="2057A1FE" w14:textId="77777777" w:rsidR="00545F31" w:rsidRPr="00097A86" w:rsidRDefault="00545F31" w:rsidP="00D22D3F">
            <w:pPr>
              <w:pStyle w:val="Tabletext"/>
            </w:pPr>
            <w:r w:rsidRPr="00097A86">
              <w:t>Section</w:t>
            </w:r>
            <w:r w:rsidR="00097A86">
              <w:t> </w:t>
            </w:r>
            <w:r w:rsidRPr="00097A86">
              <w:t>5.1</w:t>
            </w:r>
          </w:p>
        </w:tc>
      </w:tr>
      <w:tr w:rsidR="00545F31" w:rsidRPr="00097A86" w14:paraId="4321ED52" w14:textId="77777777" w:rsidTr="00C20CC2">
        <w:tc>
          <w:tcPr>
            <w:tcW w:w="401" w:type="pct"/>
            <w:shd w:val="clear" w:color="auto" w:fill="auto"/>
          </w:tcPr>
          <w:p w14:paraId="3AC0FCBA" w14:textId="77777777" w:rsidR="00545F31" w:rsidRPr="00097A86" w:rsidRDefault="00545F31" w:rsidP="00D22D3F">
            <w:pPr>
              <w:pStyle w:val="Tabletext"/>
            </w:pPr>
            <w:r w:rsidRPr="00097A86">
              <w:t>2</w:t>
            </w:r>
          </w:p>
        </w:tc>
        <w:tc>
          <w:tcPr>
            <w:tcW w:w="3574" w:type="pct"/>
            <w:shd w:val="clear" w:color="auto" w:fill="auto"/>
          </w:tcPr>
          <w:p w14:paraId="18AC2E1C" w14:textId="77777777" w:rsidR="00545F31" w:rsidRPr="00097A86" w:rsidRDefault="00545F31" w:rsidP="00D22D3F">
            <w:pPr>
              <w:pStyle w:val="Tabletext"/>
            </w:pPr>
            <w:r w:rsidRPr="00097A86">
              <w:t>Cold process vents</w:t>
            </w:r>
          </w:p>
        </w:tc>
        <w:tc>
          <w:tcPr>
            <w:tcW w:w="1025" w:type="pct"/>
            <w:shd w:val="clear" w:color="auto" w:fill="auto"/>
          </w:tcPr>
          <w:p w14:paraId="2071A70A" w14:textId="77777777" w:rsidR="00545F31" w:rsidRPr="00097A86" w:rsidRDefault="00545F31" w:rsidP="00D22D3F">
            <w:pPr>
              <w:pStyle w:val="Tabletext"/>
            </w:pPr>
            <w:r w:rsidRPr="00097A86">
              <w:t>Section</w:t>
            </w:r>
            <w:r w:rsidR="00097A86">
              <w:t> </w:t>
            </w:r>
            <w:r w:rsidRPr="00097A86">
              <w:t>5.3</w:t>
            </w:r>
          </w:p>
        </w:tc>
      </w:tr>
      <w:tr w:rsidR="00545F31" w:rsidRPr="00097A86" w14:paraId="4262AF77" w14:textId="77777777" w:rsidTr="00C20CC2">
        <w:tc>
          <w:tcPr>
            <w:tcW w:w="401" w:type="pct"/>
            <w:shd w:val="clear" w:color="auto" w:fill="auto"/>
          </w:tcPr>
          <w:p w14:paraId="079A2F98" w14:textId="77777777" w:rsidR="00545F31" w:rsidRPr="00097A86" w:rsidRDefault="00545F31" w:rsidP="00D22D3F">
            <w:pPr>
              <w:pStyle w:val="Tabletext"/>
            </w:pPr>
            <w:r w:rsidRPr="00097A86">
              <w:t>3</w:t>
            </w:r>
          </w:p>
        </w:tc>
        <w:tc>
          <w:tcPr>
            <w:tcW w:w="3574" w:type="pct"/>
            <w:shd w:val="clear" w:color="auto" w:fill="auto"/>
          </w:tcPr>
          <w:p w14:paraId="412094AA" w14:textId="77777777" w:rsidR="00545F31" w:rsidRPr="00097A86" w:rsidRDefault="00545F31" w:rsidP="00D22D3F">
            <w:pPr>
              <w:pStyle w:val="Tabletext"/>
            </w:pPr>
            <w:r w:rsidRPr="00097A86">
              <w:t>Natural gas blanketed tank emissions</w:t>
            </w:r>
          </w:p>
        </w:tc>
        <w:tc>
          <w:tcPr>
            <w:tcW w:w="1025" w:type="pct"/>
            <w:shd w:val="clear" w:color="auto" w:fill="auto"/>
          </w:tcPr>
          <w:p w14:paraId="19F40B50" w14:textId="77777777" w:rsidR="00545F31" w:rsidRPr="00097A86" w:rsidRDefault="00545F31" w:rsidP="00D22D3F">
            <w:pPr>
              <w:pStyle w:val="Tabletext"/>
            </w:pPr>
            <w:r w:rsidRPr="00097A86">
              <w:t>Section</w:t>
            </w:r>
            <w:r w:rsidR="00097A86">
              <w:t> </w:t>
            </w:r>
            <w:r w:rsidRPr="00097A86">
              <w:t>5.4.4</w:t>
            </w:r>
          </w:p>
        </w:tc>
      </w:tr>
      <w:tr w:rsidR="00545F31" w:rsidRPr="00097A86" w14:paraId="27254CFF" w14:textId="77777777" w:rsidTr="00C20CC2">
        <w:tc>
          <w:tcPr>
            <w:tcW w:w="401" w:type="pct"/>
            <w:shd w:val="clear" w:color="auto" w:fill="auto"/>
          </w:tcPr>
          <w:p w14:paraId="5EF232EF" w14:textId="77777777" w:rsidR="00545F31" w:rsidRPr="00097A86" w:rsidRDefault="00545F31" w:rsidP="00D22D3F">
            <w:pPr>
              <w:pStyle w:val="Tabletext"/>
            </w:pPr>
            <w:r w:rsidRPr="00097A86">
              <w:t>4</w:t>
            </w:r>
          </w:p>
        </w:tc>
        <w:tc>
          <w:tcPr>
            <w:tcW w:w="3574" w:type="pct"/>
            <w:shd w:val="clear" w:color="auto" w:fill="auto"/>
          </w:tcPr>
          <w:p w14:paraId="0C98D857" w14:textId="77777777" w:rsidR="00545F31" w:rsidRPr="00097A86" w:rsidRDefault="00545F31" w:rsidP="00D22D3F">
            <w:pPr>
              <w:pStyle w:val="Tabletext"/>
            </w:pPr>
            <w:r w:rsidRPr="00097A86">
              <w:t>Other venting sources</w:t>
            </w:r>
            <w:r w:rsidR="00D22D3F" w:rsidRPr="00097A86">
              <w:t>—</w:t>
            </w:r>
            <w:r w:rsidRPr="00097A86">
              <w:t>gas driven pneumatic devices</w:t>
            </w:r>
          </w:p>
        </w:tc>
        <w:tc>
          <w:tcPr>
            <w:tcW w:w="1025" w:type="pct"/>
            <w:shd w:val="clear" w:color="auto" w:fill="auto"/>
          </w:tcPr>
          <w:p w14:paraId="5EB02917" w14:textId="77777777" w:rsidR="00545F31" w:rsidRPr="00097A86" w:rsidRDefault="00545F31" w:rsidP="00D22D3F">
            <w:pPr>
              <w:pStyle w:val="Tabletext"/>
            </w:pPr>
            <w:r w:rsidRPr="00097A86">
              <w:t>Section</w:t>
            </w:r>
            <w:r w:rsidR="00097A86">
              <w:t> </w:t>
            </w:r>
            <w:r w:rsidRPr="00097A86">
              <w:t>5.6.1</w:t>
            </w:r>
          </w:p>
        </w:tc>
      </w:tr>
      <w:tr w:rsidR="00BE02E0" w:rsidRPr="00097A86" w:rsidDel="00BE02E0" w14:paraId="16D4B46B" w14:textId="77777777" w:rsidTr="00C20CC2">
        <w:tc>
          <w:tcPr>
            <w:tcW w:w="401" w:type="pct"/>
            <w:shd w:val="clear" w:color="auto" w:fill="auto"/>
          </w:tcPr>
          <w:p w14:paraId="5D078CDB" w14:textId="77777777" w:rsidR="00BE02E0" w:rsidRPr="00097A86" w:rsidDel="00BE02E0" w:rsidRDefault="00BE02E0" w:rsidP="00D22D3F">
            <w:pPr>
              <w:pStyle w:val="Tabletext"/>
            </w:pPr>
            <w:r w:rsidRPr="00097A86">
              <w:t>5</w:t>
            </w:r>
          </w:p>
        </w:tc>
        <w:tc>
          <w:tcPr>
            <w:tcW w:w="3574" w:type="pct"/>
            <w:shd w:val="clear" w:color="auto" w:fill="auto"/>
          </w:tcPr>
          <w:p w14:paraId="05B38C92" w14:textId="77777777" w:rsidR="00BE02E0" w:rsidRPr="00097A86" w:rsidDel="00BE02E0" w:rsidRDefault="00BE02E0" w:rsidP="00D22D3F">
            <w:pPr>
              <w:pStyle w:val="Tabletext"/>
            </w:pPr>
            <w:r w:rsidRPr="00097A86">
              <w:t>Other venting sources—gas driven chemical injection pumps</w:t>
            </w:r>
          </w:p>
        </w:tc>
        <w:tc>
          <w:tcPr>
            <w:tcW w:w="1025" w:type="pct"/>
            <w:shd w:val="clear" w:color="auto" w:fill="auto"/>
          </w:tcPr>
          <w:p w14:paraId="54247CCD" w14:textId="77777777" w:rsidR="00BE02E0" w:rsidRPr="00097A86" w:rsidDel="00BE02E0" w:rsidRDefault="00BE02E0" w:rsidP="00D22D3F">
            <w:pPr>
              <w:pStyle w:val="Tabletext"/>
            </w:pPr>
            <w:r w:rsidRPr="00097A86">
              <w:t>Section</w:t>
            </w:r>
            <w:r w:rsidR="00097A86">
              <w:t> </w:t>
            </w:r>
            <w:r w:rsidRPr="00097A86">
              <w:t>5.6.2</w:t>
            </w:r>
          </w:p>
        </w:tc>
      </w:tr>
      <w:tr w:rsidR="00BE02E0" w:rsidRPr="00097A86" w:rsidDel="00BE02E0" w14:paraId="64F3EBF0" w14:textId="77777777" w:rsidTr="00C20CC2">
        <w:tc>
          <w:tcPr>
            <w:tcW w:w="401" w:type="pct"/>
            <w:shd w:val="clear" w:color="auto" w:fill="auto"/>
          </w:tcPr>
          <w:p w14:paraId="791A2E94" w14:textId="77777777" w:rsidR="00BE02E0" w:rsidRPr="00097A86" w:rsidDel="00BE02E0" w:rsidRDefault="00BE02E0" w:rsidP="00D22D3F">
            <w:pPr>
              <w:pStyle w:val="Tabletext"/>
            </w:pPr>
            <w:r w:rsidRPr="00097A86">
              <w:t>6</w:t>
            </w:r>
          </w:p>
        </w:tc>
        <w:tc>
          <w:tcPr>
            <w:tcW w:w="3574" w:type="pct"/>
            <w:shd w:val="clear" w:color="auto" w:fill="auto"/>
          </w:tcPr>
          <w:p w14:paraId="7C79EF6E" w14:textId="77777777" w:rsidR="00BE02E0" w:rsidRPr="00097A86" w:rsidDel="00BE02E0" w:rsidRDefault="00BE02E0" w:rsidP="00D22D3F">
            <w:pPr>
              <w:pStyle w:val="Tabletext"/>
            </w:pPr>
            <w:r w:rsidRPr="00097A86">
              <w:t>Other venting sources—coal seam exploratory drilling, well testing and mud degassing</w:t>
            </w:r>
          </w:p>
        </w:tc>
        <w:tc>
          <w:tcPr>
            <w:tcW w:w="1025" w:type="pct"/>
            <w:shd w:val="clear" w:color="auto" w:fill="auto"/>
          </w:tcPr>
          <w:p w14:paraId="6CE33EFA" w14:textId="77777777" w:rsidR="00BE02E0" w:rsidRPr="00097A86" w:rsidDel="00BE02E0" w:rsidRDefault="00BE02E0" w:rsidP="00D22D3F">
            <w:pPr>
              <w:pStyle w:val="Tabletext"/>
            </w:pPr>
            <w:r w:rsidRPr="00097A86">
              <w:t>Section</w:t>
            </w:r>
            <w:r w:rsidR="00097A86">
              <w:t> </w:t>
            </w:r>
            <w:r w:rsidRPr="00097A86">
              <w:t>5.6.3 and 5.6.6</w:t>
            </w:r>
          </w:p>
        </w:tc>
      </w:tr>
      <w:tr w:rsidR="00545F31" w:rsidRPr="00097A86" w14:paraId="06258A6A" w14:textId="77777777" w:rsidTr="00C20CC2">
        <w:tc>
          <w:tcPr>
            <w:tcW w:w="401" w:type="pct"/>
            <w:tcBorders>
              <w:bottom w:val="single" w:sz="4" w:space="0" w:color="auto"/>
            </w:tcBorders>
            <w:shd w:val="clear" w:color="auto" w:fill="auto"/>
          </w:tcPr>
          <w:p w14:paraId="7CAF3E69" w14:textId="77777777" w:rsidR="00545F31" w:rsidRPr="00097A86" w:rsidRDefault="00545F31" w:rsidP="00D22D3F">
            <w:pPr>
              <w:pStyle w:val="Tabletext"/>
            </w:pPr>
            <w:r w:rsidRPr="00097A86">
              <w:t>7</w:t>
            </w:r>
          </w:p>
        </w:tc>
        <w:tc>
          <w:tcPr>
            <w:tcW w:w="3574" w:type="pct"/>
            <w:tcBorders>
              <w:bottom w:val="single" w:sz="4" w:space="0" w:color="auto"/>
            </w:tcBorders>
            <w:shd w:val="clear" w:color="auto" w:fill="auto"/>
          </w:tcPr>
          <w:p w14:paraId="69FA3562" w14:textId="77777777" w:rsidR="00545F31" w:rsidRPr="00097A86" w:rsidRDefault="00545F31" w:rsidP="00D22D3F">
            <w:pPr>
              <w:pStyle w:val="Tabletext"/>
            </w:pPr>
            <w:r w:rsidRPr="00097A86">
              <w:t>Non</w:t>
            </w:r>
            <w:r w:rsidR="00097A86">
              <w:noBreakHyphen/>
            </w:r>
            <w:r w:rsidRPr="00097A86">
              <w:t>routine activities</w:t>
            </w:r>
            <w:r w:rsidR="00D22D3F" w:rsidRPr="00097A86">
              <w:t>—</w:t>
            </w:r>
            <w:r w:rsidRPr="00097A86">
              <w:t>production related non</w:t>
            </w:r>
            <w:r w:rsidR="00097A86">
              <w:noBreakHyphen/>
            </w:r>
            <w:r w:rsidRPr="00097A86">
              <w:t>routine emissions</w:t>
            </w:r>
          </w:p>
        </w:tc>
        <w:tc>
          <w:tcPr>
            <w:tcW w:w="1025" w:type="pct"/>
            <w:tcBorders>
              <w:bottom w:val="single" w:sz="4" w:space="0" w:color="auto"/>
            </w:tcBorders>
            <w:shd w:val="clear" w:color="auto" w:fill="auto"/>
          </w:tcPr>
          <w:p w14:paraId="3EDED887" w14:textId="77777777" w:rsidR="00545F31" w:rsidRPr="00097A86" w:rsidRDefault="00545F31" w:rsidP="00D22D3F">
            <w:pPr>
              <w:pStyle w:val="Tabletext"/>
            </w:pPr>
            <w:r w:rsidRPr="00097A86">
              <w:t>Section</w:t>
            </w:r>
            <w:r w:rsidR="00097A86">
              <w:t> </w:t>
            </w:r>
            <w:r w:rsidRPr="00097A86">
              <w:t>5.7.1 or 5.7.2</w:t>
            </w:r>
          </w:p>
        </w:tc>
      </w:tr>
      <w:tr w:rsidR="00545F31" w:rsidRPr="00097A86" w14:paraId="232F7E08" w14:textId="77777777" w:rsidTr="00C20CC2">
        <w:tc>
          <w:tcPr>
            <w:tcW w:w="401" w:type="pct"/>
            <w:tcBorders>
              <w:bottom w:val="single" w:sz="12" w:space="0" w:color="auto"/>
            </w:tcBorders>
            <w:shd w:val="clear" w:color="auto" w:fill="auto"/>
          </w:tcPr>
          <w:p w14:paraId="693BB00A" w14:textId="77777777" w:rsidR="00545F31" w:rsidRPr="00097A86" w:rsidRDefault="00545F31" w:rsidP="00D22D3F">
            <w:pPr>
              <w:pStyle w:val="Tabletext"/>
            </w:pPr>
            <w:r w:rsidRPr="00097A86">
              <w:t>8</w:t>
            </w:r>
          </w:p>
        </w:tc>
        <w:tc>
          <w:tcPr>
            <w:tcW w:w="3574" w:type="pct"/>
            <w:tcBorders>
              <w:bottom w:val="single" w:sz="12" w:space="0" w:color="auto"/>
            </w:tcBorders>
            <w:shd w:val="clear" w:color="auto" w:fill="auto"/>
          </w:tcPr>
          <w:p w14:paraId="31DD5DEE" w14:textId="77777777" w:rsidR="00545F31" w:rsidRPr="00097A86" w:rsidRDefault="00545F31" w:rsidP="00D22D3F">
            <w:pPr>
              <w:pStyle w:val="Tabletext"/>
            </w:pPr>
            <w:r w:rsidRPr="00097A86">
              <w:t>Non</w:t>
            </w:r>
            <w:r w:rsidR="00097A86">
              <w:noBreakHyphen/>
            </w:r>
            <w:r w:rsidRPr="00097A86">
              <w:t>routine activities</w:t>
            </w:r>
            <w:r w:rsidR="00D22D3F" w:rsidRPr="00097A86">
              <w:t>—</w:t>
            </w:r>
            <w:r w:rsidRPr="00097A86">
              <w:t>gas processing related non</w:t>
            </w:r>
            <w:r w:rsidR="00097A86">
              <w:noBreakHyphen/>
            </w:r>
            <w:r w:rsidRPr="00097A86">
              <w:t>routine emissions</w:t>
            </w:r>
          </w:p>
        </w:tc>
        <w:tc>
          <w:tcPr>
            <w:tcW w:w="1025" w:type="pct"/>
            <w:tcBorders>
              <w:bottom w:val="single" w:sz="12" w:space="0" w:color="auto"/>
            </w:tcBorders>
            <w:shd w:val="clear" w:color="auto" w:fill="auto"/>
          </w:tcPr>
          <w:p w14:paraId="14693553" w14:textId="77777777" w:rsidR="00545F31" w:rsidRPr="00097A86" w:rsidRDefault="00545F31" w:rsidP="00D22D3F">
            <w:pPr>
              <w:pStyle w:val="Tabletext"/>
            </w:pPr>
            <w:r w:rsidRPr="00097A86">
              <w:t>Section</w:t>
            </w:r>
            <w:r w:rsidR="00097A86">
              <w:t> </w:t>
            </w:r>
            <w:r w:rsidRPr="00097A86">
              <w:t>5.7.1 or 5.7.3</w:t>
            </w:r>
          </w:p>
        </w:tc>
      </w:tr>
    </w:tbl>
    <w:p w14:paraId="7002BA51" w14:textId="77777777" w:rsidR="003F0D4E" w:rsidRPr="00097A86" w:rsidRDefault="003F0D4E" w:rsidP="00D22D3F">
      <w:pPr>
        <w:pStyle w:val="ActHead4"/>
      </w:pPr>
      <w:bookmarkStart w:id="348" w:name="_Toc13233780"/>
      <w:r w:rsidRPr="00097A86">
        <w:rPr>
          <w:rStyle w:val="CharSubdNo"/>
        </w:rPr>
        <w:t>Subdivision</w:t>
      </w:r>
      <w:r w:rsidR="00097A86">
        <w:rPr>
          <w:rStyle w:val="CharSubdNo"/>
        </w:rPr>
        <w:t> </w:t>
      </w:r>
      <w:r w:rsidRPr="00097A86">
        <w:rPr>
          <w:rStyle w:val="CharSubdNo"/>
        </w:rPr>
        <w:t>3.3.9.2</w:t>
      </w:r>
      <w:r w:rsidR="00D22D3F" w:rsidRPr="00097A86">
        <w:t>—</w:t>
      </w:r>
      <w:r w:rsidRPr="00097A86">
        <w:rPr>
          <w:rStyle w:val="CharSubdText"/>
        </w:rPr>
        <w:t>Emissions released from gas flared from natural gas production and processing</w:t>
      </w:r>
      <w:bookmarkEnd w:id="348"/>
    </w:p>
    <w:p w14:paraId="33B2A538" w14:textId="77777777" w:rsidR="003F0D4E" w:rsidRPr="00097A86" w:rsidRDefault="003F0D4E" w:rsidP="00D22D3F">
      <w:pPr>
        <w:pStyle w:val="ActHead5"/>
      </w:pPr>
      <w:bookmarkStart w:id="349" w:name="_Toc13233781"/>
      <w:r w:rsidRPr="00097A86">
        <w:rPr>
          <w:rStyle w:val="CharSectno"/>
        </w:rPr>
        <w:t>3.85</w:t>
      </w:r>
      <w:r w:rsidR="00D22D3F" w:rsidRPr="00097A86">
        <w:t xml:space="preserve">  </w:t>
      </w:r>
      <w:r w:rsidRPr="00097A86">
        <w:t>Method 1</w:t>
      </w:r>
      <w:r w:rsidR="00D22D3F" w:rsidRPr="00097A86">
        <w:t>—</w:t>
      </w:r>
      <w:r w:rsidRPr="00097A86">
        <w:t>gas flared from natural gas production and processing</w:t>
      </w:r>
      <w:bookmarkEnd w:id="349"/>
    </w:p>
    <w:p w14:paraId="67792F7B" w14:textId="77777777" w:rsidR="003F0D4E" w:rsidRPr="00097A86" w:rsidRDefault="003F0D4E" w:rsidP="00D22D3F">
      <w:pPr>
        <w:pStyle w:val="subsection"/>
      </w:pPr>
      <w:r w:rsidRPr="00097A86">
        <w:tab/>
        <w:t>(1)</w:t>
      </w:r>
      <w:r w:rsidRPr="00097A86">
        <w:tab/>
        <w:t>Method 1 is:</w:t>
      </w:r>
    </w:p>
    <w:p w14:paraId="2F1F6F3B"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44C01560" wp14:editId="1800DAA5">
            <wp:extent cx="1009650" cy="2571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14:paraId="63FAF356" w14:textId="77777777" w:rsidR="003F0D4E" w:rsidRPr="00097A86" w:rsidRDefault="003F0D4E" w:rsidP="00D22D3F">
      <w:pPr>
        <w:pStyle w:val="subsection2"/>
      </w:pPr>
      <w:r w:rsidRPr="00097A86">
        <w:t>where:</w:t>
      </w:r>
    </w:p>
    <w:p w14:paraId="2D562055" w14:textId="77777777" w:rsidR="003F0D4E" w:rsidRPr="00097A86" w:rsidRDefault="003F0D4E" w:rsidP="00D22D3F">
      <w:pPr>
        <w:pStyle w:val="Definition"/>
      </w:pPr>
      <w:r w:rsidRPr="00097A86">
        <w:rPr>
          <w:b/>
          <w:i/>
        </w:rPr>
        <w:t>E</w:t>
      </w:r>
      <w:r w:rsidRPr="00097A86">
        <w:rPr>
          <w:rFonts w:ascii="Times New Roman Bold" w:hAnsi="Times New Roman Bold"/>
          <w:b/>
          <w:i/>
          <w:vertAlign w:val="subscript"/>
        </w:rPr>
        <w:t>i</w:t>
      </w:r>
      <w:r w:rsidRPr="00097A86">
        <w:rPr>
          <w:b/>
          <w:i/>
          <w:vertAlign w:val="subscript"/>
        </w:rPr>
        <w:t>j</w:t>
      </w:r>
      <w:r w:rsidRPr="00097A86">
        <w:rPr>
          <w:b/>
          <w:i/>
        </w:rPr>
        <w:t xml:space="preserve"> </w:t>
      </w:r>
      <w:r w:rsidRPr="00097A86">
        <w:t>is the emissions of gas type (</w:t>
      </w:r>
      <w:r w:rsidRPr="00097A86">
        <w:rPr>
          <w:b/>
          <w:i/>
        </w:rPr>
        <w:t>j</w:t>
      </w:r>
      <w:r w:rsidRPr="00097A86">
        <w:t>) measured in CO</w:t>
      </w:r>
      <w:r w:rsidRPr="00097A86">
        <w:rPr>
          <w:rStyle w:val="charSubscript"/>
          <w:iCs/>
        </w:rPr>
        <w:t>2</w:t>
      </w:r>
      <w:r w:rsidR="00097A86">
        <w:noBreakHyphen/>
      </w:r>
      <w:r w:rsidRPr="00097A86">
        <w:t>e tonnes that result from a fuel type (</w:t>
      </w:r>
      <w:r w:rsidRPr="00097A86">
        <w:rPr>
          <w:b/>
          <w:i/>
        </w:rPr>
        <w:t>i</w:t>
      </w:r>
      <w:r w:rsidRPr="00097A86">
        <w:t>) flared in the natural gas production and processing during the year.</w:t>
      </w:r>
    </w:p>
    <w:p w14:paraId="5C231A8B"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measured in tonnes of gas flared during the year.</w:t>
      </w:r>
    </w:p>
    <w:p w14:paraId="49BE3324" w14:textId="77777777" w:rsidR="003F0D4E" w:rsidRPr="00097A86" w:rsidRDefault="003F0D4E" w:rsidP="00D22D3F">
      <w:pPr>
        <w:pStyle w:val="Definition"/>
        <w:rPr>
          <w:i/>
        </w:rPr>
      </w:pPr>
      <w:r w:rsidRPr="00097A86">
        <w:rPr>
          <w:b/>
          <w:i/>
        </w:rPr>
        <w:t>EF</w:t>
      </w:r>
      <w:r w:rsidRPr="00097A86">
        <w:rPr>
          <w:b/>
          <w:i/>
          <w:vertAlign w:val="subscript"/>
        </w:rPr>
        <w:t>ij</w:t>
      </w:r>
      <w:r w:rsidRPr="00097A86">
        <w:rPr>
          <w:b/>
          <w:i/>
        </w:rPr>
        <w:t xml:space="preserve"> </w:t>
      </w:r>
      <w:r w:rsidRPr="00097A86">
        <w:t>is the emission factor for gas type (</w:t>
      </w:r>
      <w:r w:rsidRPr="00097A86">
        <w:rPr>
          <w:b/>
          <w:i/>
        </w:rPr>
        <w:t>j</w:t>
      </w:r>
      <w:r w:rsidRPr="00097A86">
        <w:t>) measured in CO</w:t>
      </w:r>
      <w:r w:rsidRPr="00097A86">
        <w:rPr>
          <w:rStyle w:val="charSubscript"/>
          <w:iCs/>
        </w:rPr>
        <w:t>2</w:t>
      </w:r>
      <w:r w:rsidR="00097A86">
        <w:noBreakHyphen/>
      </w:r>
      <w:r w:rsidRPr="00097A86">
        <w:t>e tonnes of emissions per tonne of gas flared (</w:t>
      </w:r>
      <w:r w:rsidRPr="00097A86">
        <w:rPr>
          <w:b/>
          <w:i/>
        </w:rPr>
        <w:t>i</w:t>
      </w:r>
      <w:r w:rsidRPr="00097A86">
        <w:t>) in the natural gas production and processing during the year</w:t>
      </w:r>
      <w:r w:rsidRPr="00097A86">
        <w:rPr>
          <w:i/>
        </w:rPr>
        <w:t>.</w:t>
      </w:r>
    </w:p>
    <w:p w14:paraId="20BCD475" w14:textId="77777777" w:rsidR="003F0D4E" w:rsidRPr="00097A86" w:rsidRDefault="003F0D4E" w:rsidP="00D22D3F">
      <w:pPr>
        <w:pStyle w:val="subsection"/>
      </w:pPr>
      <w:r w:rsidRPr="00097A86">
        <w:lastRenderedPageBreak/>
        <w:tab/>
        <w:t>(2)</w:t>
      </w:r>
      <w:r w:rsidRPr="00097A86">
        <w:tab/>
        <w:t xml:space="preserve">For </w:t>
      </w:r>
      <w:r w:rsidRPr="00097A86">
        <w:rPr>
          <w:b/>
          <w:i/>
        </w:rPr>
        <w:t>EF</w:t>
      </w:r>
      <w:r w:rsidRPr="00097A86">
        <w:rPr>
          <w:b/>
          <w:i/>
          <w:vertAlign w:val="subscript"/>
        </w:rPr>
        <w:t>ij</w:t>
      </w:r>
      <w:r w:rsidRPr="00097A86">
        <w:rPr>
          <w:i/>
          <w:vertAlign w:val="subscript"/>
        </w:rPr>
        <w:t xml:space="preserve"> </w:t>
      </w:r>
      <w:r w:rsidRPr="00097A86">
        <w:t xml:space="preserve">mentioned in </w:t>
      </w:r>
      <w:r w:rsidR="00097A86">
        <w:t>subsection (</w:t>
      </w:r>
      <w:r w:rsidRPr="00097A86">
        <w:t>1), columns 3, 4 and 5 of an item in the following table specify the emission factor for fuel type (</w:t>
      </w:r>
      <w:r w:rsidRPr="00097A86">
        <w:rPr>
          <w:b/>
          <w:i/>
        </w:rPr>
        <w:t>i</w:t>
      </w:r>
      <w:r w:rsidRPr="00097A86">
        <w:t>) specified in column 2 of that item.</w:t>
      </w:r>
    </w:p>
    <w:p w14:paraId="072F40F5" w14:textId="77777777" w:rsidR="00D22D3F" w:rsidRPr="00097A86" w:rsidRDefault="00D22D3F" w:rsidP="00D22D3F">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937"/>
        <w:gridCol w:w="1604"/>
        <w:gridCol w:w="1872"/>
        <w:gridCol w:w="1872"/>
        <w:gridCol w:w="2028"/>
      </w:tblGrid>
      <w:tr w:rsidR="003F0D4E" w:rsidRPr="00097A86" w14:paraId="5BB07769" w14:textId="77777777" w:rsidTr="00C20CC2">
        <w:trPr>
          <w:cantSplit/>
        </w:trPr>
        <w:tc>
          <w:tcPr>
            <w:tcW w:w="563" w:type="pct"/>
            <w:shd w:val="clear" w:color="auto" w:fill="auto"/>
          </w:tcPr>
          <w:p w14:paraId="3ADBB02D" w14:textId="77777777" w:rsidR="003F0D4E" w:rsidRPr="00097A86" w:rsidRDefault="003F0D4E" w:rsidP="006A6B38">
            <w:pPr>
              <w:pStyle w:val="TableHeading"/>
            </w:pPr>
            <w:r w:rsidRPr="00097A86">
              <w:t>Item</w:t>
            </w:r>
          </w:p>
        </w:tc>
        <w:tc>
          <w:tcPr>
            <w:tcW w:w="965" w:type="pct"/>
            <w:vMerge w:val="restart"/>
            <w:shd w:val="clear" w:color="auto" w:fill="auto"/>
          </w:tcPr>
          <w:p w14:paraId="19027888" w14:textId="77777777" w:rsidR="003F0D4E" w:rsidRPr="00097A86" w:rsidRDefault="003F0D4E" w:rsidP="006A6B38">
            <w:pPr>
              <w:pStyle w:val="TableHeading"/>
            </w:pPr>
            <w:r w:rsidRPr="00097A86">
              <w:t>fuel type (i)</w:t>
            </w:r>
          </w:p>
        </w:tc>
        <w:tc>
          <w:tcPr>
            <w:tcW w:w="3472" w:type="pct"/>
            <w:gridSpan w:val="3"/>
            <w:shd w:val="clear" w:color="auto" w:fill="auto"/>
          </w:tcPr>
          <w:p w14:paraId="0ED6A624" w14:textId="77777777" w:rsidR="003F0D4E" w:rsidRPr="00097A86" w:rsidRDefault="003F0D4E" w:rsidP="00BF4A6E">
            <w:pPr>
              <w:pStyle w:val="TableHeading"/>
            </w:pPr>
            <w:r w:rsidRPr="00097A86">
              <w:t>Emission factor of gas type (j) (tonnes CO</w:t>
            </w:r>
            <w:r w:rsidRPr="00097A86">
              <w:rPr>
                <w:vertAlign w:val="subscript"/>
              </w:rPr>
              <w:t>2</w:t>
            </w:r>
            <w:r w:rsidR="00097A86">
              <w:noBreakHyphen/>
            </w:r>
            <w:r w:rsidRPr="00097A86">
              <w:t>e/tonnes fuel flared)</w:t>
            </w:r>
          </w:p>
        </w:tc>
      </w:tr>
      <w:tr w:rsidR="003F0D4E" w:rsidRPr="00097A86" w14:paraId="10634EDE" w14:textId="77777777" w:rsidTr="00C20CC2">
        <w:trPr>
          <w:cantSplit/>
        </w:trPr>
        <w:tc>
          <w:tcPr>
            <w:tcW w:w="563" w:type="pct"/>
            <w:tcBorders>
              <w:bottom w:val="single" w:sz="12" w:space="0" w:color="auto"/>
            </w:tcBorders>
            <w:shd w:val="clear" w:color="auto" w:fill="auto"/>
          </w:tcPr>
          <w:p w14:paraId="1BE1EA29" w14:textId="77777777" w:rsidR="003F0D4E" w:rsidRPr="00097A86" w:rsidRDefault="003F0D4E" w:rsidP="006A6B38">
            <w:pPr>
              <w:pStyle w:val="TableHeading"/>
            </w:pPr>
          </w:p>
        </w:tc>
        <w:tc>
          <w:tcPr>
            <w:tcW w:w="965" w:type="pct"/>
            <w:vMerge/>
            <w:tcBorders>
              <w:bottom w:val="single" w:sz="12" w:space="0" w:color="auto"/>
            </w:tcBorders>
            <w:shd w:val="clear" w:color="auto" w:fill="auto"/>
          </w:tcPr>
          <w:p w14:paraId="44E0F9C4" w14:textId="77777777" w:rsidR="003F0D4E" w:rsidRPr="00097A86" w:rsidRDefault="003F0D4E" w:rsidP="006A6B38">
            <w:pPr>
              <w:pStyle w:val="TableHeading"/>
            </w:pPr>
          </w:p>
        </w:tc>
        <w:tc>
          <w:tcPr>
            <w:tcW w:w="1126" w:type="pct"/>
            <w:tcBorders>
              <w:bottom w:val="single" w:sz="12" w:space="0" w:color="auto"/>
            </w:tcBorders>
            <w:shd w:val="clear" w:color="auto" w:fill="auto"/>
          </w:tcPr>
          <w:p w14:paraId="05DAAA00" w14:textId="77777777" w:rsidR="003F0D4E" w:rsidRPr="00097A86" w:rsidRDefault="003F0D4E" w:rsidP="006A6B38">
            <w:pPr>
              <w:pStyle w:val="TableHeading"/>
            </w:pPr>
            <w:r w:rsidRPr="00097A86">
              <w:t>CO</w:t>
            </w:r>
            <w:r w:rsidRPr="00097A86">
              <w:rPr>
                <w:vertAlign w:val="subscript"/>
              </w:rPr>
              <w:t>2</w:t>
            </w:r>
          </w:p>
        </w:tc>
        <w:tc>
          <w:tcPr>
            <w:tcW w:w="1126" w:type="pct"/>
            <w:tcBorders>
              <w:bottom w:val="single" w:sz="12" w:space="0" w:color="auto"/>
            </w:tcBorders>
            <w:shd w:val="clear" w:color="auto" w:fill="auto"/>
          </w:tcPr>
          <w:p w14:paraId="30B874A7" w14:textId="77777777" w:rsidR="003F0D4E" w:rsidRPr="00097A86" w:rsidRDefault="003F0D4E" w:rsidP="006A6B38">
            <w:pPr>
              <w:pStyle w:val="TableHeading"/>
            </w:pPr>
            <w:r w:rsidRPr="00097A86">
              <w:t>CH</w:t>
            </w:r>
            <w:r w:rsidRPr="00097A86">
              <w:rPr>
                <w:vertAlign w:val="subscript"/>
              </w:rPr>
              <w:t>4</w:t>
            </w:r>
          </w:p>
        </w:tc>
        <w:tc>
          <w:tcPr>
            <w:tcW w:w="1220" w:type="pct"/>
            <w:tcBorders>
              <w:bottom w:val="single" w:sz="12" w:space="0" w:color="auto"/>
            </w:tcBorders>
            <w:shd w:val="clear" w:color="auto" w:fill="auto"/>
          </w:tcPr>
          <w:p w14:paraId="2F5FFC6B" w14:textId="77777777" w:rsidR="003F0D4E" w:rsidRPr="00097A86" w:rsidRDefault="003F0D4E" w:rsidP="006A6B38">
            <w:pPr>
              <w:pStyle w:val="TableHeading"/>
            </w:pPr>
            <w:r w:rsidRPr="00097A86">
              <w:t>N</w:t>
            </w:r>
            <w:r w:rsidRPr="00097A86">
              <w:rPr>
                <w:vertAlign w:val="subscript"/>
              </w:rPr>
              <w:t>2</w:t>
            </w:r>
            <w:r w:rsidRPr="00097A86">
              <w:t>O</w:t>
            </w:r>
          </w:p>
        </w:tc>
      </w:tr>
      <w:tr w:rsidR="003F0D4E" w:rsidRPr="00097A86" w14:paraId="4697B660" w14:textId="77777777" w:rsidTr="00C20CC2">
        <w:tc>
          <w:tcPr>
            <w:tcW w:w="563" w:type="pct"/>
            <w:tcBorders>
              <w:top w:val="single" w:sz="12" w:space="0" w:color="auto"/>
              <w:bottom w:val="single" w:sz="12" w:space="0" w:color="auto"/>
            </w:tcBorders>
          </w:tcPr>
          <w:p w14:paraId="4CD564C1" w14:textId="77777777" w:rsidR="003F0D4E" w:rsidRPr="00097A86" w:rsidRDefault="003F0D4E" w:rsidP="00D22D3F">
            <w:pPr>
              <w:pStyle w:val="Tabletext"/>
            </w:pPr>
            <w:r w:rsidRPr="00097A86">
              <w:t>1</w:t>
            </w:r>
          </w:p>
        </w:tc>
        <w:tc>
          <w:tcPr>
            <w:tcW w:w="965" w:type="pct"/>
            <w:tcBorders>
              <w:top w:val="single" w:sz="12" w:space="0" w:color="auto"/>
              <w:bottom w:val="single" w:sz="12" w:space="0" w:color="auto"/>
            </w:tcBorders>
          </w:tcPr>
          <w:p w14:paraId="31870C3E" w14:textId="77777777" w:rsidR="003F0D4E" w:rsidRPr="00097A86" w:rsidRDefault="003F0D4E" w:rsidP="00D22D3F">
            <w:pPr>
              <w:pStyle w:val="Tabletext"/>
            </w:pPr>
            <w:r w:rsidRPr="00097A86">
              <w:t xml:space="preserve">gas </w:t>
            </w:r>
          </w:p>
        </w:tc>
        <w:tc>
          <w:tcPr>
            <w:tcW w:w="1126" w:type="pct"/>
            <w:tcBorders>
              <w:top w:val="single" w:sz="12" w:space="0" w:color="auto"/>
              <w:bottom w:val="single" w:sz="12" w:space="0" w:color="auto"/>
            </w:tcBorders>
          </w:tcPr>
          <w:p w14:paraId="24ED6EFB" w14:textId="77777777" w:rsidR="003F0D4E" w:rsidRPr="00097A86" w:rsidRDefault="003F0D4E" w:rsidP="00D22D3F">
            <w:pPr>
              <w:pStyle w:val="Tabletext"/>
            </w:pPr>
            <w:r w:rsidRPr="00097A86">
              <w:t>2.7</w:t>
            </w:r>
          </w:p>
        </w:tc>
        <w:tc>
          <w:tcPr>
            <w:tcW w:w="1126" w:type="pct"/>
            <w:tcBorders>
              <w:top w:val="single" w:sz="12" w:space="0" w:color="auto"/>
              <w:bottom w:val="single" w:sz="12" w:space="0" w:color="auto"/>
            </w:tcBorders>
          </w:tcPr>
          <w:p w14:paraId="43C75F76" w14:textId="77777777" w:rsidR="003F0D4E" w:rsidRPr="00097A86" w:rsidRDefault="003F0D4E" w:rsidP="00D22D3F">
            <w:pPr>
              <w:pStyle w:val="Tabletext"/>
            </w:pPr>
            <w:r w:rsidRPr="00097A86">
              <w:t>0.1</w:t>
            </w:r>
          </w:p>
        </w:tc>
        <w:tc>
          <w:tcPr>
            <w:tcW w:w="1220" w:type="pct"/>
            <w:tcBorders>
              <w:top w:val="single" w:sz="12" w:space="0" w:color="auto"/>
              <w:bottom w:val="single" w:sz="12" w:space="0" w:color="auto"/>
            </w:tcBorders>
          </w:tcPr>
          <w:p w14:paraId="52A60842" w14:textId="77777777" w:rsidR="003F0D4E" w:rsidRPr="00097A86" w:rsidRDefault="003F0D4E" w:rsidP="00D22D3F">
            <w:pPr>
              <w:pStyle w:val="Tabletext"/>
            </w:pPr>
            <w:r w:rsidRPr="00097A86">
              <w:t>0.03</w:t>
            </w:r>
          </w:p>
        </w:tc>
      </w:tr>
    </w:tbl>
    <w:p w14:paraId="453C5804" w14:textId="77777777" w:rsidR="008609A7" w:rsidRPr="00097A86" w:rsidRDefault="008609A7" w:rsidP="00D22D3F">
      <w:pPr>
        <w:pStyle w:val="ActHead5"/>
      </w:pPr>
      <w:bookmarkStart w:id="350" w:name="_Toc13233782"/>
      <w:r w:rsidRPr="00097A86">
        <w:rPr>
          <w:rStyle w:val="CharSectno"/>
        </w:rPr>
        <w:t>3.86</w:t>
      </w:r>
      <w:r w:rsidR="00D22D3F" w:rsidRPr="00097A86">
        <w:t xml:space="preserve">  </w:t>
      </w:r>
      <w:r w:rsidRPr="00097A86">
        <w:t>Method 2</w:t>
      </w:r>
      <w:r w:rsidR="00D22D3F" w:rsidRPr="00097A86">
        <w:t>—</w:t>
      </w:r>
      <w:r w:rsidRPr="00097A86">
        <w:t>gas flared from natural gas production and processing</w:t>
      </w:r>
      <w:bookmarkEnd w:id="350"/>
    </w:p>
    <w:p w14:paraId="370974CF" w14:textId="77777777" w:rsidR="008609A7" w:rsidRPr="00097A86" w:rsidRDefault="008609A7" w:rsidP="00D22D3F">
      <w:pPr>
        <w:pStyle w:val="subsection"/>
      </w:pPr>
      <w:r w:rsidRPr="00097A86">
        <w:tab/>
      </w:r>
      <w:r w:rsidRPr="00097A86">
        <w:tab/>
        <w:t>For subparagraph</w:t>
      </w:r>
      <w:r w:rsidR="00097A86">
        <w:t> </w:t>
      </w:r>
      <w:r w:rsidRPr="00097A86">
        <w:t>3.83(3)(a)(ii), method 2 is:</w:t>
      </w:r>
    </w:p>
    <w:p w14:paraId="00D2FD7F" w14:textId="77777777" w:rsidR="005A6DC3" w:rsidRPr="00097A86" w:rsidRDefault="005A6DC3">
      <w:pPr>
        <w:pStyle w:val="subsection2"/>
      </w:pPr>
      <w:r w:rsidRPr="00097A86">
        <w:object w:dxaOrig="3019" w:dyaOrig="460" w14:anchorId="73D0AC74">
          <v:shape id="_x0000_i1035" type="#_x0000_t75" style="width:150.75pt;height:23.25pt" o:ole="">
            <v:imagedata r:id="rId115" o:title=""/>
          </v:shape>
          <o:OLEObject Type="Embed" ProgID="Equation.DSMT4" ShapeID="_x0000_i1035" DrawAspect="Content" ObjectID="_1624711039" r:id="rId116"/>
        </w:object>
      </w:r>
    </w:p>
    <w:p w14:paraId="3953B1E0" w14:textId="77777777" w:rsidR="008609A7" w:rsidRPr="00097A86" w:rsidRDefault="008609A7" w:rsidP="00D22D3F">
      <w:pPr>
        <w:pStyle w:val="subsection2"/>
      </w:pPr>
      <w:r w:rsidRPr="00097A86">
        <w:t>where:</w:t>
      </w:r>
    </w:p>
    <w:p w14:paraId="5ADBB5D1" w14:textId="77777777" w:rsidR="008609A7" w:rsidRPr="00097A86" w:rsidRDefault="008609A7" w:rsidP="006A3969">
      <w:pPr>
        <w:pStyle w:val="Definition"/>
      </w:pPr>
      <w:r w:rsidRPr="00097A86">
        <w:rPr>
          <w:b/>
          <w:i/>
        </w:rPr>
        <w:t>E</w:t>
      </w:r>
      <w:r w:rsidRPr="00097A86">
        <w:rPr>
          <w:rStyle w:val="charSubscript"/>
          <w:b/>
          <w:i/>
        </w:rPr>
        <w:t>i</w:t>
      </w:r>
      <w:r w:rsidRPr="00097A86">
        <w:rPr>
          <w:b/>
          <w:i/>
          <w:vertAlign w:val="subscript"/>
        </w:rPr>
        <w:t>CO</w:t>
      </w:r>
      <w:r w:rsidRPr="00097A86">
        <w:rPr>
          <w:b/>
          <w:i/>
          <w:position w:val="-4"/>
          <w:vertAlign w:val="subscript"/>
        </w:rPr>
        <w:t>2</w:t>
      </w:r>
      <w:r w:rsidRPr="00097A86">
        <w:t xml:space="preserve"> is the fugitive emissions of CO</w:t>
      </w:r>
      <w:r w:rsidRPr="00097A86">
        <w:rPr>
          <w:vertAlign w:val="subscript"/>
        </w:rPr>
        <w:t>2</w:t>
      </w:r>
      <w:r w:rsidRPr="00097A86">
        <w:t xml:space="preserve"> from fuel type (</w:t>
      </w:r>
      <w:r w:rsidRPr="00097A86">
        <w:rPr>
          <w:b/>
          <w:i/>
        </w:rPr>
        <w:t>i</w:t>
      </w:r>
      <w:r w:rsidRPr="00097A86">
        <w:t>) flared in the natural gas production and processing during the year, measured in CO</w:t>
      </w:r>
      <w:r w:rsidRPr="00097A86">
        <w:rPr>
          <w:vertAlign w:val="subscript"/>
        </w:rPr>
        <w:t>2</w:t>
      </w:r>
      <w:r w:rsidR="00097A86">
        <w:noBreakHyphen/>
      </w:r>
      <w:r w:rsidRPr="00097A86">
        <w:t>e tonnes.</w:t>
      </w:r>
    </w:p>
    <w:p w14:paraId="39DAF741" w14:textId="77777777" w:rsidR="008609A7" w:rsidRPr="00097A86" w:rsidRDefault="008609A7" w:rsidP="006A3969">
      <w:pPr>
        <w:pStyle w:val="Definition"/>
      </w:pPr>
      <w:r w:rsidRPr="00097A86">
        <w:rPr>
          <w:b/>
          <w:i/>
        </w:rPr>
        <w:t>Q</w:t>
      </w:r>
      <w:r w:rsidRPr="00097A86">
        <w:rPr>
          <w:b/>
          <w:i/>
          <w:vertAlign w:val="subscript"/>
        </w:rPr>
        <w:t>h</w:t>
      </w:r>
      <w:r w:rsidRPr="00097A86">
        <w:rPr>
          <w:i/>
        </w:rPr>
        <w:t xml:space="preserve"> </w:t>
      </w:r>
      <w:r w:rsidRPr="00097A86">
        <w:t>is the total quantity of hydrocarbons (</w:t>
      </w:r>
      <w:r w:rsidRPr="00097A86">
        <w:rPr>
          <w:b/>
          <w:i/>
        </w:rPr>
        <w:t>h</w:t>
      </w:r>
      <w:r w:rsidRPr="00097A86">
        <w:t>) within the fuel type (</w:t>
      </w:r>
      <w:r w:rsidRPr="00097A86">
        <w:rPr>
          <w:b/>
          <w:i/>
        </w:rPr>
        <w:t>i</w:t>
      </w:r>
      <w:r w:rsidRPr="00097A86">
        <w:t>) in the natural gas production and processing during the year, measured in tonnes in accordance with Division</w:t>
      </w:r>
      <w:r w:rsidR="00097A86">
        <w:t> </w:t>
      </w:r>
      <w:r w:rsidRPr="00097A86">
        <w:t>2.3.3.</w:t>
      </w:r>
    </w:p>
    <w:p w14:paraId="204C5AC6" w14:textId="77777777" w:rsidR="005A6DC3" w:rsidRPr="00097A86" w:rsidRDefault="005A6DC3" w:rsidP="005A6DC3">
      <w:pPr>
        <w:pStyle w:val="Definition"/>
      </w:pPr>
      <w:r w:rsidRPr="00097A86">
        <w:rPr>
          <w:b/>
          <w:i/>
        </w:rPr>
        <w:t>EF</w:t>
      </w:r>
      <w:r w:rsidRPr="00097A86">
        <w:rPr>
          <w:b/>
          <w:i/>
          <w:vertAlign w:val="subscript"/>
        </w:rPr>
        <w:t>hi</w:t>
      </w:r>
      <w:r w:rsidRPr="00097A86">
        <w:t xml:space="preserve"> is the carbon dioxide emission factor for the total hydrocarbons (</w:t>
      </w:r>
      <w:r w:rsidRPr="00097A86">
        <w:rPr>
          <w:b/>
          <w:i/>
        </w:rPr>
        <w:t>h</w:t>
      </w:r>
      <w:r w:rsidRPr="00097A86">
        <w:t>) within the fuel type (</w:t>
      </w:r>
      <w:r w:rsidRPr="00097A86">
        <w:rPr>
          <w:b/>
          <w:i/>
        </w:rPr>
        <w:t>i</w:t>
      </w:r>
      <w:r w:rsidRPr="00097A86">
        <w:t>) in the natural gas production and processing during the year, measured in CO</w:t>
      </w:r>
      <w:r w:rsidRPr="00097A86">
        <w:rPr>
          <w:vertAlign w:val="subscript"/>
        </w:rPr>
        <w:t>2</w:t>
      </w:r>
      <w:r w:rsidR="00097A86">
        <w:noBreakHyphen/>
      </w:r>
      <w:r w:rsidRPr="00097A86">
        <w:t>e tonnes per tonne of fuel type (</w:t>
      </w:r>
      <w:r w:rsidRPr="00097A86">
        <w:rPr>
          <w:b/>
          <w:i/>
        </w:rPr>
        <w:t>i</w:t>
      </w:r>
      <w:r w:rsidRPr="00097A86">
        <w:t>) flared,</w:t>
      </w:r>
      <w:r w:rsidRPr="00097A86">
        <w:rPr>
          <w:i/>
        </w:rPr>
        <w:t xml:space="preserve"> </w:t>
      </w:r>
      <w:r w:rsidRPr="00097A86">
        <w:t>estimated in accordance with Division</w:t>
      </w:r>
      <w:r w:rsidR="00097A86">
        <w:t> </w:t>
      </w:r>
      <w:r w:rsidRPr="00097A86">
        <w:t>2.3.3.</w:t>
      </w:r>
    </w:p>
    <w:p w14:paraId="2C430F75" w14:textId="77777777" w:rsidR="00E76D51" w:rsidRPr="00097A86" w:rsidRDefault="00E76D51" w:rsidP="00E76D51">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23B4D7D1" w14:textId="77777777" w:rsidR="008609A7" w:rsidRPr="00097A86" w:rsidRDefault="008609A7" w:rsidP="006A3969">
      <w:pPr>
        <w:pStyle w:val="Definition"/>
      </w:pPr>
      <w:r w:rsidRPr="00097A86">
        <w:rPr>
          <w:b/>
          <w:i/>
        </w:rPr>
        <w:t>QCO</w:t>
      </w:r>
      <w:r w:rsidRPr="00097A86">
        <w:rPr>
          <w:b/>
          <w:i/>
          <w:vertAlign w:val="subscript"/>
        </w:rPr>
        <w:t>2</w:t>
      </w:r>
      <w:r w:rsidRPr="00097A86">
        <w:t xml:space="preserve"> is the quantity of CO</w:t>
      </w:r>
      <w:r w:rsidRPr="00097A86">
        <w:rPr>
          <w:vertAlign w:val="subscript"/>
        </w:rPr>
        <w:t>2</w:t>
      </w:r>
      <w:r w:rsidRPr="00097A86">
        <w:t xml:space="preserve"> within the fuel type (</w:t>
      </w:r>
      <w:r w:rsidRPr="00097A86">
        <w:rPr>
          <w:b/>
          <w:i/>
        </w:rPr>
        <w:t>i</w:t>
      </w:r>
      <w:r w:rsidRPr="00097A86">
        <w:t>) in the natural gas production and processing during the year, measured in CO</w:t>
      </w:r>
      <w:r w:rsidRPr="00097A86">
        <w:rPr>
          <w:vertAlign w:val="subscript"/>
        </w:rPr>
        <w:t>2</w:t>
      </w:r>
      <w:r w:rsidR="00097A86">
        <w:noBreakHyphen/>
      </w:r>
      <w:r w:rsidRPr="00097A86">
        <w:t>e tonnes in accordance with Division</w:t>
      </w:r>
      <w:r w:rsidR="00097A86">
        <w:t> </w:t>
      </w:r>
      <w:r w:rsidRPr="00097A86">
        <w:t>2.3.3.</w:t>
      </w:r>
    </w:p>
    <w:p w14:paraId="6BC83E5F" w14:textId="77777777" w:rsidR="005A6DC3" w:rsidRPr="00097A86" w:rsidRDefault="005A6DC3">
      <w:pPr>
        <w:pStyle w:val="ActHead5"/>
      </w:pPr>
      <w:bookmarkStart w:id="351" w:name="_Toc13233783"/>
      <w:r w:rsidRPr="00097A86">
        <w:rPr>
          <w:rStyle w:val="CharSectno"/>
        </w:rPr>
        <w:t>3.86A</w:t>
      </w:r>
      <w:r w:rsidRPr="00097A86">
        <w:t xml:space="preserve">  Method 2A—natural gas production and processing (flared methane or nitrous oxide emissions)</w:t>
      </w:r>
      <w:bookmarkEnd w:id="351"/>
    </w:p>
    <w:p w14:paraId="7C0DAD5B" w14:textId="77777777" w:rsidR="005A6DC3" w:rsidRPr="00097A86" w:rsidRDefault="005A6DC3" w:rsidP="00040E41">
      <w:pPr>
        <w:pStyle w:val="subsection"/>
        <w:keepNext/>
        <w:keepLines/>
      </w:pPr>
      <w:r w:rsidRPr="00097A86">
        <w:tab/>
      </w:r>
      <w:r w:rsidRPr="00097A86">
        <w:tab/>
        <w:t>For subparagraphs</w:t>
      </w:r>
      <w:r w:rsidR="00097A86">
        <w:t> </w:t>
      </w:r>
      <w:r w:rsidRPr="00097A86">
        <w:t>3.83(3)(b)(ii) and (c)(ii), method 2A is:</w:t>
      </w:r>
    </w:p>
    <w:p w14:paraId="33C07D29" w14:textId="77777777" w:rsidR="005A6DC3" w:rsidRPr="00097A86" w:rsidRDefault="005A6DC3" w:rsidP="005A6DC3">
      <w:pPr>
        <w:pStyle w:val="subsection2"/>
      </w:pPr>
      <w:r w:rsidRPr="00097A86">
        <w:object w:dxaOrig="2079" w:dyaOrig="440" w14:anchorId="2774C70B">
          <v:shape id="_x0000_i1036" type="#_x0000_t75" style="width:105pt;height:21.75pt" o:ole="">
            <v:imagedata r:id="rId101" o:title=""/>
          </v:shape>
          <o:OLEObject Type="Embed" ProgID="Equation.DSMT4" ShapeID="_x0000_i1036" DrawAspect="Content" ObjectID="_1624711040" r:id="rId117"/>
        </w:object>
      </w:r>
    </w:p>
    <w:p w14:paraId="7A8E6688" w14:textId="77777777" w:rsidR="005A6DC3" w:rsidRPr="00097A86" w:rsidRDefault="005A6DC3" w:rsidP="005A6DC3">
      <w:pPr>
        <w:pStyle w:val="subsection2"/>
      </w:pPr>
      <w:r w:rsidRPr="00097A86">
        <w:t>where:</w:t>
      </w:r>
    </w:p>
    <w:p w14:paraId="44006B0A" w14:textId="77777777" w:rsidR="005A6DC3" w:rsidRPr="00097A86" w:rsidRDefault="005A6DC3" w:rsidP="005A6DC3">
      <w:pPr>
        <w:pStyle w:val="Definition"/>
      </w:pPr>
      <w:r w:rsidRPr="00097A86">
        <w:rPr>
          <w:b/>
          <w:i/>
        </w:rPr>
        <w:t>EF</w:t>
      </w:r>
      <w:r w:rsidRPr="00097A86">
        <w:rPr>
          <w:b/>
          <w:i/>
          <w:vertAlign w:val="subscript"/>
        </w:rPr>
        <w:t>hij</w:t>
      </w:r>
      <w:r w:rsidRPr="00097A86">
        <w:t xml:space="preserve"> is the emission factor of gas type (</w:t>
      </w:r>
      <w:r w:rsidRPr="00097A86">
        <w:rPr>
          <w:b/>
          <w:i/>
        </w:rPr>
        <w:t>j</w:t>
      </w:r>
      <w:r w:rsidRPr="00097A86">
        <w:t>), being methane or nitrous oxide, for the total hydrocarbons (</w:t>
      </w:r>
      <w:r w:rsidRPr="00097A86">
        <w:rPr>
          <w:b/>
          <w:i/>
        </w:rPr>
        <w:t>h</w:t>
      </w:r>
      <w:r w:rsidRPr="00097A86">
        <w:t>) within the fuel type (</w:t>
      </w:r>
      <w:r w:rsidRPr="00097A86">
        <w:rPr>
          <w:b/>
          <w:i/>
        </w:rPr>
        <w:t>i</w:t>
      </w:r>
      <w:r w:rsidRPr="00097A86">
        <w:t>) in natural gas production and processing during the year, mentioned for the fuel type in the table in subsection</w:t>
      </w:r>
      <w:r w:rsidR="00097A86">
        <w:t> </w:t>
      </w:r>
      <w:r w:rsidRPr="00097A86">
        <w:t>3.85(2) and measured in CO</w:t>
      </w:r>
      <w:r w:rsidRPr="00097A86">
        <w:rPr>
          <w:vertAlign w:val="subscript"/>
        </w:rPr>
        <w:t>2</w:t>
      </w:r>
      <w:r w:rsidR="00097A86">
        <w:noBreakHyphen/>
      </w:r>
      <w:r w:rsidRPr="00097A86">
        <w:t>e tonnes per tonne of the fuel type (</w:t>
      </w:r>
      <w:r w:rsidRPr="00097A86">
        <w:rPr>
          <w:b/>
          <w:i/>
        </w:rPr>
        <w:t>i</w:t>
      </w:r>
      <w:r w:rsidRPr="00097A86">
        <w:t>) flared.</w:t>
      </w:r>
    </w:p>
    <w:p w14:paraId="5F172D62" w14:textId="77777777" w:rsidR="005A6DC3" w:rsidRPr="00097A86" w:rsidRDefault="005A6DC3" w:rsidP="005A6DC3">
      <w:pPr>
        <w:pStyle w:val="Definition"/>
      </w:pPr>
      <w:r w:rsidRPr="00097A86">
        <w:rPr>
          <w:b/>
          <w:i/>
        </w:rPr>
        <w:lastRenderedPageBreak/>
        <w:t>E</w:t>
      </w:r>
      <w:r w:rsidRPr="00097A86">
        <w:rPr>
          <w:b/>
          <w:i/>
          <w:vertAlign w:val="subscript"/>
        </w:rPr>
        <w:t>ij</w:t>
      </w:r>
      <w:r w:rsidRPr="00097A86">
        <w:t xml:space="preserve"> is the fugitive emissions of gas type (</w:t>
      </w:r>
      <w:r w:rsidRPr="00097A86">
        <w:rPr>
          <w:b/>
          <w:i/>
        </w:rPr>
        <w:t>j</w:t>
      </w:r>
      <w:r w:rsidRPr="00097A86">
        <w:t>), being methane or nitrous oxide, from fuel type (</w:t>
      </w:r>
      <w:r w:rsidRPr="00097A86">
        <w:rPr>
          <w:b/>
          <w:i/>
        </w:rPr>
        <w:t>i</w:t>
      </w:r>
      <w:r w:rsidRPr="00097A86">
        <w:t>) flared</w:t>
      </w:r>
      <w:r w:rsidRPr="00097A86">
        <w:rPr>
          <w:i/>
        </w:rPr>
        <w:t xml:space="preserve"> </w:t>
      </w:r>
      <w:r w:rsidRPr="00097A86">
        <w:t>from natural gas production and processing during the year, measured in CO</w:t>
      </w:r>
      <w:r w:rsidRPr="00097A86">
        <w:rPr>
          <w:vertAlign w:val="subscript"/>
        </w:rPr>
        <w:t>2</w:t>
      </w:r>
      <w:r w:rsidR="00097A86">
        <w:noBreakHyphen/>
      </w:r>
      <w:r w:rsidRPr="00097A86">
        <w:t>e tonnes.</w:t>
      </w:r>
    </w:p>
    <w:p w14:paraId="1734DEC6" w14:textId="77777777" w:rsidR="005A6DC3" w:rsidRPr="00097A86" w:rsidRDefault="005A6DC3" w:rsidP="005A6DC3">
      <w:pPr>
        <w:pStyle w:val="Definition"/>
      </w:pPr>
      <w:r w:rsidRPr="00097A86">
        <w:rPr>
          <w:b/>
          <w:i/>
        </w:rPr>
        <w:t>OF</w:t>
      </w:r>
      <w:r w:rsidRPr="00097A86">
        <w:rPr>
          <w:b/>
          <w:i/>
          <w:vertAlign w:val="subscript"/>
        </w:rPr>
        <w:t>i</w:t>
      </w:r>
      <w:r w:rsidRPr="00097A86">
        <w:t xml:space="preserve"> is 0.98, which is the destruction efficiency of fuel type (</w:t>
      </w:r>
      <w:r w:rsidRPr="00097A86">
        <w:rPr>
          <w:b/>
          <w:i/>
        </w:rPr>
        <w:t>i</w:t>
      </w:r>
      <w:r w:rsidRPr="00097A86">
        <w:t>) flared.</w:t>
      </w:r>
    </w:p>
    <w:p w14:paraId="6253010F" w14:textId="77777777" w:rsidR="005A6DC3" w:rsidRPr="00097A86" w:rsidRDefault="005A6DC3" w:rsidP="005A6DC3">
      <w:pPr>
        <w:pStyle w:val="Definition"/>
      </w:pPr>
      <w:r w:rsidRPr="00097A86">
        <w:rPr>
          <w:b/>
          <w:i/>
        </w:rPr>
        <w:t>Q</w:t>
      </w:r>
      <w:r w:rsidRPr="00097A86">
        <w:rPr>
          <w:b/>
          <w:i/>
          <w:vertAlign w:val="subscript"/>
        </w:rPr>
        <w:t>h</w:t>
      </w:r>
      <w:r w:rsidRPr="00097A86">
        <w:t xml:space="preserve"> is the total quantity of hydrocarbons (</w:t>
      </w:r>
      <w:r w:rsidRPr="00097A86">
        <w:rPr>
          <w:b/>
          <w:i/>
        </w:rPr>
        <w:t>h</w:t>
      </w:r>
      <w:r w:rsidRPr="00097A86">
        <w:t>) within the fuel type (</w:t>
      </w:r>
      <w:r w:rsidRPr="00097A86">
        <w:rPr>
          <w:b/>
          <w:i/>
        </w:rPr>
        <w:t>i</w:t>
      </w:r>
      <w:r w:rsidRPr="00097A86">
        <w:t>) in natural gas production and processing during the year, measured in tonnes in accordance with Division</w:t>
      </w:r>
      <w:r w:rsidR="00097A86">
        <w:t> </w:t>
      </w:r>
      <w:r w:rsidRPr="00097A86">
        <w:t>2.3.3.</w:t>
      </w:r>
    </w:p>
    <w:p w14:paraId="255C7FF5" w14:textId="77777777" w:rsidR="003F0D4E" w:rsidRPr="00097A86" w:rsidRDefault="003F0D4E" w:rsidP="00D22D3F">
      <w:pPr>
        <w:pStyle w:val="ActHead5"/>
      </w:pPr>
      <w:bookmarkStart w:id="352" w:name="_Toc13233784"/>
      <w:r w:rsidRPr="00097A86">
        <w:rPr>
          <w:rStyle w:val="CharSectno"/>
        </w:rPr>
        <w:t>3.87</w:t>
      </w:r>
      <w:r w:rsidR="00D22D3F" w:rsidRPr="00097A86">
        <w:t xml:space="preserve">  </w:t>
      </w:r>
      <w:r w:rsidRPr="00097A86">
        <w:t>Method 3</w:t>
      </w:r>
      <w:r w:rsidR="00D22D3F" w:rsidRPr="00097A86">
        <w:t>—</w:t>
      </w:r>
      <w:r w:rsidRPr="00097A86">
        <w:t>gas flared from natural gas production and processing</w:t>
      </w:r>
      <w:bookmarkEnd w:id="352"/>
    </w:p>
    <w:p w14:paraId="68A595DF" w14:textId="77777777" w:rsidR="003F0D4E" w:rsidRPr="00097A86" w:rsidRDefault="003F0D4E" w:rsidP="00D22D3F">
      <w:pPr>
        <w:pStyle w:val="subsection"/>
      </w:pPr>
      <w:r w:rsidRPr="00097A86">
        <w:tab/>
      </w:r>
      <w:r w:rsidRPr="00097A86">
        <w:tab/>
      </w:r>
      <w:r w:rsidR="008609A7" w:rsidRPr="00097A86">
        <w:t>For subparagraph</w:t>
      </w:r>
      <w:r w:rsidR="00097A86">
        <w:t> </w:t>
      </w:r>
      <w:r w:rsidR="008609A7" w:rsidRPr="00097A86">
        <w:t>3.83(3)(a)(iii), method 3 is the same as method 2 under section</w:t>
      </w:r>
      <w:r w:rsidR="00097A86">
        <w:t> </w:t>
      </w:r>
      <w:r w:rsidR="008609A7" w:rsidRPr="00097A86">
        <w:t xml:space="preserve">3.86, </w:t>
      </w:r>
      <w:r w:rsidRPr="00097A86">
        <w:t>but the emission factor (</w:t>
      </w:r>
      <w:r w:rsidRPr="00097A86">
        <w:rPr>
          <w:b/>
          <w:i/>
        </w:rPr>
        <w:t>EF</w:t>
      </w:r>
      <w:r w:rsidRPr="00097A86">
        <w:rPr>
          <w:b/>
          <w:i/>
          <w:vertAlign w:val="subscript"/>
        </w:rPr>
        <w:t>ij</w:t>
      </w:r>
      <w:r w:rsidRPr="00097A86">
        <w:t>) must be determined in accordance with method 3 for the consumption of gaseous fuels as specified in Division</w:t>
      </w:r>
      <w:r w:rsidR="00097A86">
        <w:t> </w:t>
      </w:r>
      <w:r w:rsidRPr="00097A86">
        <w:t>2.3.4.</w:t>
      </w:r>
    </w:p>
    <w:p w14:paraId="33736ADF" w14:textId="77777777" w:rsidR="00545F31" w:rsidRPr="00097A86" w:rsidRDefault="00545F31" w:rsidP="00D22D3F">
      <w:pPr>
        <w:pStyle w:val="ActHead2"/>
        <w:pageBreakBefore/>
      </w:pPr>
      <w:bookmarkStart w:id="353" w:name="_Toc13233785"/>
      <w:r w:rsidRPr="00097A86">
        <w:rPr>
          <w:rStyle w:val="CharPartNo"/>
        </w:rPr>
        <w:lastRenderedPageBreak/>
        <w:t>Part</w:t>
      </w:r>
      <w:r w:rsidR="00097A86">
        <w:rPr>
          <w:rStyle w:val="CharPartNo"/>
        </w:rPr>
        <w:t> </w:t>
      </w:r>
      <w:r w:rsidRPr="00097A86">
        <w:rPr>
          <w:rStyle w:val="CharPartNo"/>
        </w:rPr>
        <w:t>3.4</w:t>
      </w:r>
      <w:r w:rsidR="00D22D3F" w:rsidRPr="00097A86">
        <w:t>—</w:t>
      </w:r>
      <w:r w:rsidRPr="00097A86">
        <w:rPr>
          <w:rStyle w:val="CharPartText"/>
        </w:rPr>
        <w:t>Carbon capture and storage</w:t>
      </w:r>
      <w:r w:rsidR="00D22D3F" w:rsidRPr="00097A86">
        <w:rPr>
          <w:rStyle w:val="CharPartText"/>
        </w:rPr>
        <w:t>—</w:t>
      </w:r>
      <w:r w:rsidRPr="00097A86">
        <w:rPr>
          <w:rStyle w:val="CharPartText"/>
        </w:rPr>
        <w:t>fugitive emissions</w:t>
      </w:r>
      <w:bookmarkEnd w:id="353"/>
    </w:p>
    <w:p w14:paraId="6DD7C533" w14:textId="77777777" w:rsidR="00545F31" w:rsidRPr="00097A86" w:rsidRDefault="00545F31" w:rsidP="00D22D3F">
      <w:pPr>
        <w:pStyle w:val="ActHead3"/>
      </w:pPr>
      <w:bookmarkStart w:id="354" w:name="_Toc13233786"/>
      <w:r w:rsidRPr="00097A86">
        <w:rPr>
          <w:rStyle w:val="CharDivNo"/>
        </w:rPr>
        <w:t>Division</w:t>
      </w:r>
      <w:r w:rsidR="00097A86">
        <w:rPr>
          <w:rStyle w:val="CharDivNo"/>
        </w:rPr>
        <w:t> </w:t>
      </w:r>
      <w:r w:rsidRPr="00097A86">
        <w:rPr>
          <w:rStyle w:val="CharDivNo"/>
        </w:rPr>
        <w:t>3.4.1</w:t>
      </w:r>
      <w:r w:rsidR="00D22D3F" w:rsidRPr="00097A86">
        <w:t>—</w:t>
      </w:r>
      <w:r w:rsidRPr="00097A86">
        <w:rPr>
          <w:rStyle w:val="CharDivText"/>
        </w:rPr>
        <w:t>Preliminary</w:t>
      </w:r>
      <w:bookmarkEnd w:id="354"/>
    </w:p>
    <w:p w14:paraId="09B52DB7" w14:textId="77777777" w:rsidR="00545F31" w:rsidRPr="00097A86" w:rsidRDefault="00545F31" w:rsidP="00D22D3F">
      <w:pPr>
        <w:pStyle w:val="ActHead5"/>
      </w:pPr>
      <w:bookmarkStart w:id="355" w:name="_Toc13233787"/>
      <w:r w:rsidRPr="00097A86">
        <w:rPr>
          <w:rStyle w:val="CharSectno"/>
        </w:rPr>
        <w:t>3.88</w:t>
      </w:r>
      <w:r w:rsidR="00D22D3F" w:rsidRPr="00097A86">
        <w:t xml:space="preserve">  </w:t>
      </w:r>
      <w:r w:rsidRPr="00097A86">
        <w:t>Outline of Part</w:t>
      </w:r>
      <w:bookmarkEnd w:id="355"/>
    </w:p>
    <w:p w14:paraId="06A78672" w14:textId="77777777" w:rsidR="00545F31" w:rsidRPr="00097A86" w:rsidRDefault="00545F31" w:rsidP="00D22D3F">
      <w:pPr>
        <w:pStyle w:val="subsection"/>
      </w:pPr>
      <w:r w:rsidRPr="00097A86">
        <w:tab/>
      </w:r>
      <w:r w:rsidRPr="00097A86">
        <w:tab/>
        <w:t>This Part provides for fugitive emissions from carbon capture and storage.</w:t>
      </w:r>
    </w:p>
    <w:p w14:paraId="63DD8965" w14:textId="77777777" w:rsidR="00161D5B" w:rsidRPr="00097A86" w:rsidRDefault="00161D5B" w:rsidP="00D6308B">
      <w:pPr>
        <w:pStyle w:val="ActHead3"/>
        <w:pageBreakBefore/>
      </w:pPr>
      <w:bookmarkStart w:id="356" w:name="_Toc13233788"/>
      <w:r w:rsidRPr="00097A86">
        <w:rPr>
          <w:rStyle w:val="CharDivNo"/>
        </w:rPr>
        <w:lastRenderedPageBreak/>
        <w:t>Division</w:t>
      </w:r>
      <w:r w:rsidR="00097A86">
        <w:rPr>
          <w:rStyle w:val="CharDivNo"/>
        </w:rPr>
        <w:t> </w:t>
      </w:r>
      <w:r w:rsidRPr="00097A86">
        <w:rPr>
          <w:rStyle w:val="CharDivNo"/>
        </w:rPr>
        <w:t>3.4.2</w:t>
      </w:r>
      <w:r w:rsidRPr="00097A86">
        <w:t>—</w:t>
      </w:r>
      <w:r w:rsidRPr="00097A86">
        <w:rPr>
          <w:rStyle w:val="CharDivText"/>
        </w:rPr>
        <w:t>Transport of greenhouse gases</w:t>
      </w:r>
      <w:bookmarkEnd w:id="356"/>
    </w:p>
    <w:p w14:paraId="44ECDA8E" w14:textId="77777777" w:rsidR="00545F31" w:rsidRPr="00097A86" w:rsidRDefault="00545F31" w:rsidP="00D22D3F">
      <w:pPr>
        <w:pStyle w:val="ActHead4"/>
      </w:pPr>
      <w:bookmarkStart w:id="357" w:name="_Toc13233789"/>
      <w:r w:rsidRPr="00097A86">
        <w:rPr>
          <w:rStyle w:val="CharSubdNo"/>
        </w:rPr>
        <w:t>Subdivision</w:t>
      </w:r>
      <w:r w:rsidR="00097A86">
        <w:rPr>
          <w:rStyle w:val="CharSubdNo"/>
        </w:rPr>
        <w:t> </w:t>
      </w:r>
      <w:r w:rsidRPr="00097A86">
        <w:rPr>
          <w:rStyle w:val="CharSubdNo"/>
        </w:rPr>
        <w:t>3.4.2.1</w:t>
      </w:r>
      <w:r w:rsidR="00D22D3F" w:rsidRPr="00097A86">
        <w:t>—</w:t>
      </w:r>
      <w:r w:rsidRPr="00097A86">
        <w:rPr>
          <w:rStyle w:val="CharSubdText"/>
        </w:rPr>
        <w:t>Preliminary</w:t>
      </w:r>
      <w:bookmarkEnd w:id="357"/>
    </w:p>
    <w:p w14:paraId="4D8964E2" w14:textId="77777777" w:rsidR="00545F31" w:rsidRPr="00097A86" w:rsidRDefault="00545F31" w:rsidP="00D22D3F">
      <w:pPr>
        <w:pStyle w:val="ActHead5"/>
      </w:pPr>
      <w:bookmarkStart w:id="358" w:name="_Toc13233790"/>
      <w:r w:rsidRPr="00097A86">
        <w:rPr>
          <w:rStyle w:val="CharSectno"/>
        </w:rPr>
        <w:t>3.89</w:t>
      </w:r>
      <w:r w:rsidR="00D22D3F" w:rsidRPr="00097A86">
        <w:t xml:space="preserve">  </w:t>
      </w:r>
      <w:r w:rsidRPr="00097A86">
        <w:t>Application</w:t>
      </w:r>
      <w:bookmarkEnd w:id="358"/>
    </w:p>
    <w:p w14:paraId="2AF01023" w14:textId="77777777" w:rsidR="00545F31" w:rsidRPr="00097A86" w:rsidRDefault="00545F31" w:rsidP="00D22D3F">
      <w:pPr>
        <w:pStyle w:val="subsection"/>
      </w:pPr>
      <w:r w:rsidRPr="00097A86">
        <w:tab/>
      </w:r>
      <w:r w:rsidRPr="00097A86">
        <w:tab/>
        <w:t xml:space="preserve">This Division applies to fugitive emissions from the transport of </w:t>
      </w:r>
      <w:r w:rsidR="00161D5B" w:rsidRPr="00097A86">
        <w:t>a greenhouse gas</w:t>
      </w:r>
      <w:r w:rsidRPr="00097A86">
        <w:t xml:space="preserve"> captured for permanent storage.</w:t>
      </w:r>
    </w:p>
    <w:p w14:paraId="56A7E6FB" w14:textId="77777777" w:rsidR="00545F31" w:rsidRPr="00097A86" w:rsidRDefault="00D22D3F" w:rsidP="00D22D3F">
      <w:pPr>
        <w:pStyle w:val="notetext"/>
      </w:pPr>
      <w:r w:rsidRPr="00097A86">
        <w:t>Note:</w:t>
      </w:r>
      <w:r w:rsidRPr="00097A86">
        <w:tab/>
      </w:r>
      <w:r w:rsidR="00545F31" w:rsidRPr="00097A86">
        <w:t>Section</w:t>
      </w:r>
      <w:r w:rsidR="00097A86">
        <w:t> </w:t>
      </w:r>
      <w:r w:rsidR="00545F31" w:rsidRPr="00097A86">
        <w:t xml:space="preserve">1.19A defines when </w:t>
      </w:r>
      <w:r w:rsidR="00161D5B" w:rsidRPr="00097A86">
        <w:t>a greenhouse gas</w:t>
      </w:r>
      <w:r w:rsidR="00545F31" w:rsidRPr="00097A86">
        <w:t xml:space="preserve"> is captured for permanent storage.</w:t>
      </w:r>
    </w:p>
    <w:p w14:paraId="025503FA" w14:textId="77777777" w:rsidR="00545F31" w:rsidRPr="00097A86" w:rsidRDefault="00545F31" w:rsidP="00D22D3F">
      <w:pPr>
        <w:pStyle w:val="ActHead5"/>
      </w:pPr>
      <w:bookmarkStart w:id="359" w:name="_Toc13233791"/>
      <w:r w:rsidRPr="00097A86">
        <w:rPr>
          <w:rStyle w:val="CharSectno"/>
        </w:rPr>
        <w:t>3.90</w:t>
      </w:r>
      <w:r w:rsidR="00D22D3F" w:rsidRPr="00097A86">
        <w:t xml:space="preserve">  </w:t>
      </w:r>
      <w:r w:rsidRPr="00097A86">
        <w:t>Available methods</w:t>
      </w:r>
      <w:bookmarkEnd w:id="359"/>
    </w:p>
    <w:p w14:paraId="12864AAA" w14:textId="77777777" w:rsidR="00545F31" w:rsidRPr="00097A86" w:rsidRDefault="00545F31" w:rsidP="00D22D3F">
      <w:pPr>
        <w:pStyle w:val="subsection"/>
      </w:pPr>
      <w:r w:rsidRPr="00097A86">
        <w:tab/>
        <w:t>(1)</w:t>
      </w:r>
      <w:r w:rsidRPr="00097A86">
        <w:tab/>
        <w:t>Subject to section</w:t>
      </w:r>
      <w:r w:rsidR="00097A86">
        <w:t> </w:t>
      </w:r>
      <w:r w:rsidRPr="00097A86">
        <w:t xml:space="preserve">1.18, for estimating emissions released during a year from the operation of a facility that is constituted by the transport of </w:t>
      </w:r>
      <w:r w:rsidR="00161D5B" w:rsidRPr="00097A86">
        <w:t>a greenhouse gas</w:t>
      </w:r>
      <w:r w:rsidRPr="00097A86">
        <w:t xml:space="preserve"> captured for permanent storage the methods as set out in this section must be used.</w:t>
      </w:r>
    </w:p>
    <w:p w14:paraId="44EB221E" w14:textId="77777777" w:rsidR="00161D5B" w:rsidRPr="00097A86" w:rsidRDefault="00161D5B" w:rsidP="00161D5B">
      <w:pPr>
        <w:pStyle w:val="SubsectionHead"/>
      </w:pPr>
      <w:r w:rsidRPr="00097A86">
        <w:t>Emissions from transport of a greenhouse gas involving transfer</w:t>
      </w:r>
    </w:p>
    <w:p w14:paraId="0B88B8E3" w14:textId="77777777" w:rsidR="00161D5B" w:rsidRPr="00097A86" w:rsidRDefault="00161D5B" w:rsidP="00161D5B">
      <w:pPr>
        <w:pStyle w:val="subsection"/>
      </w:pPr>
      <w:r w:rsidRPr="00097A86">
        <w:tab/>
        <w:t>(2)</w:t>
      </w:r>
      <w:r w:rsidRPr="00097A86">
        <w:tab/>
        <w:t>If the greenhouse gas is transferred to a relevant person for injection by the person in accordance with a licence, lease or approval mentioned in section</w:t>
      </w:r>
      <w:r w:rsidR="00097A86">
        <w:t> </w:t>
      </w:r>
      <w:r w:rsidRPr="00097A86">
        <w:t>1.19A, one of the following methods must be used for estimating fugitive emissions of the greenhouse gas that result from the transport of the greenhouse gas stream for that injection:</w:t>
      </w:r>
    </w:p>
    <w:p w14:paraId="172983BB" w14:textId="77777777" w:rsidR="00161D5B" w:rsidRPr="00097A86" w:rsidRDefault="00161D5B" w:rsidP="00161D5B">
      <w:pPr>
        <w:pStyle w:val="paragraph"/>
      </w:pPr>
      <w:r w:rsidRPr="00097A86">
        <w:tab/>
        <w:t>(a)</w:t>
      </w:r>
      <w:r w:rsidRPr="00097A86">
        <w:tab/>
        <w:t>method 1 under section</w:t>
      </w:r>
      <w:r w:rsidR="00097A86">
        <w:t> </w:t>
      </w:r>
      <w:r w:rsidRPr="00097A86">
        <w:t>3.91 (which deals with injection);</w:t>
      </w:r>
    </w:p>
    <w:p w14:paraId="2EAF574E" w14:textId="77777777" w:rsidR="00161D5B" w:rsidRPr="00097A86" w:rsidRDefault="00161D5B" w:rsidP="00161D5B">
      <w:pPr>
        <w:pStyle w:val="paragraph"/>
      </w:pPr>
      <w:r w:rsidRPr="00097A86">
        <w:tab/>
        <w:t>(b)</w:t>
      </w:r>
      <w:r w:rsidRPr="00097A86">
        <w:tab/>
        <w:t>method 2 under section</w:t>
      </w:r>
      <w:r w:rsidR="00097A86">
        <w:t> </w:t>
      </w:r>
      <w:r w:rsidRPr="00097A86">
        <w:t>3.77 (which deals with transport), applied in relation to the greenhouse gas as if it were a type of natural gas.</w:t>
      </w:r>
    </w:p>
    <w:p w14:paraId="17B511EC" w14:textId="77777777" w:rsidR="00161D5B" w:rsidRPr="00097A86" w:rsidRDefault="00161D5B" w:rsidP="00161D5B">
      <w:pPr>
        <w:pStyle w:val="notetext"/>
      </w:pPr>
      <w:r w:rsidRPr="00097A86">
        <w:t>Note 1:</w:t>
      </w:r>
      <w:r w:rsidRPr="00097A86">
        <w:tab/>
        <w:t xml:space="preserve">There is no method 3 or 4 for </w:t>
      </w:r>
      <w:r w:rsidR="00097A86">
        <w:t>subsection (</w:t>
      </w:r>
      <w:r w:rsidRPr="00097A86">
        <w:t>2).</w:t>
      </w:r>
    </w:p>
    <w:p w14:paraId="187D4242" w14:textId="77777777" w:rsidR="00161D5B" w:rsidRPr="00097A86" w:rsidRDefault="00161D5B" w:rsidP="00161D5B">
      <w:pPr>
        <w:pStyle w:val="notetext"/>
        <w:rPr>
          <w:i/>
        </w:rPr>
      </w:pPr>
      <w:r w:rsidRPr="00097A86">
        <w:t>Note 2:</w:t>
      </w:r>
      <w:r w:rsidRPr="00097A86">
        <w:tab/>
        <w:t xml:space="preserve">The same emissions cannot be counted under both the method mentioned in </w:t>
      </w:r>
      <w:r w:rsidR="00097A86">
        <w:t>paragraph (</w:t>
      </w:r>
      <w:r w:rsidRPr="00097A86">
        <w:t xml:space="preserve">2)(a) (injection) and the method mentioned in </w:t>
      </w:r>
      <w:r w:rsidR="00097A86">
        <w:t>paragraph (</w:t>
      </w:r>
      <w:r w:rsidRPr="00097A86">
        <w:t>2)(b) (transport).</w:t>
      </w:r>
    </w:p>
    <w:p w14:paraId="1863A84F" w14:textId="77777777" w:rsidR="00161D5B" w:rsidRPr="00097A86" w:rsidRDefault="00161D5B" w:rsidP="00161D5B">
      <w:pPr>
        <w:pStyle w:val="SubsectionHead"/>
      </w:pPr>
      <w:r w:rsidRPr="00097A86">
        <w:t>Emissions from transport of a greenhouse gas not involving transfer</w:t>
      </w:r>
    </w:p>
    <w:p w14:paraId="423C995E" w14:textId="77777777" w:rsidR="00161D5B" w:rsidRPr="00097A86" w:rsidRDefault="00161D5B" w:rsidP="00161D5B">
      <w:pPr>
        <w:pStyle w:val="subsection"/>
      </w:pPr>
      <w:r w:rsidRPr="00097A86">
        <w:tab/>
        <w:t>(2A)</w:t>
      </w:r>
      <w:r w:rsidRPr="00097A86">
        <w:tab/>
      </w:r>
      <w:r w:rsidR="00097A86">
        <w:t>Subsection (</w:t>
      </w:r>
      <w:r w:rsidRPr="00097A86">
        <w:t>3) applies if:</w:t>
      </w:r>
    </w:p>
    <w:p w14:paraId="29D48D9B" w14:textId="77777777" w:rsidR="00161D5B" w:rsidRPr="00097A86" w:rsidRDefault="00161D5B" w:rsidP="00161D5B">
      <w:pPr>
        <w:pStyle w:val="paragraph"/>
      </w:pPr>
      <w:r w:rsidRPr="00097A86">
        <w:tab/>
        <w:t>(a)</w:t>
      </w:r>
      <w:r w:rsidRPr="00097A86">
        <w:tab/>
        <w:t>the greenhouse gas is captured by a relevant person for injection in accordance with a licence, lease or approval mentioned in section</w:t>
      </w:r>
      <w:r w:rsidR="00097A86">
        <w:t> </w:t>
      </w:r>
      <w:r w:rsidRPr="00097A86">
        <w:t>1.19A; and</w:t>
      </w:r>
    </w:p>
    <w:p w14:paraId="5A4940B5" w14:textId="77777777" w:rsidR="00161D5B" w:rsidRPr="00097A86" w:rsidRDefault="00161D5B" w:rsidP="00161D5B">
      <w:pPr>
        <w:pStyle w:val="paragraph"/>
      </w:pPr>
      <w:r w:rsidRPr="00097A86">
        <w:tab/>
        <w:t>(b)</w:t>
      </w:r>
      <w:r w:rsidRPr="00097A86">
        <w:tab/>
        <w:t>the greenhouse gas is not transferred to another person for the purpose of injection.</w:t>
      </w:r>
    </w:p>
    <w:p w14:paraId="474451F2" w14:textId="77777777" w:rsidR="00161D5B" w:rsidRPr="00097A86" w:rsidRDefault="00161D5B" w:rsidP="00161D5B">
      <w:pPr>
        <w:pStyle w:val="subsection"/>
      </w:pPr>
      <w:r w:rsidRPr="00097A86">
        <w:tab/>
        <w:t>(3)</w:t>
      </w:r>
      <w:r w:rsidRPr="00097A86">
        <w:tab/>
        <w:t>One of the following methods must be used for estimating fugitive emissions of the greenhouse gases that result from the transport of the greenhouse gas stream for that injection:</w:t>
      </w:r>
    </w:p>
    <w:p w14:paraId="230883DD" w14:textId="77777777" w:rsidR="00161D5B" w:rsidRPr="00097A86" w:rsidRDefault="00161D5B" w:rsidP="00161D5B">
      <w:pPr>
        <w:pStyle w:val="paragraph"/>
      </w:pPr>
      <w:r w:rsidRPr="00097A86">
        <w:tab/>
        <w:t>(a)</w:t>
      </w:r>
      <w:r w:rsidRPr="00097A86">
        <w:tab/>
        <w:t>method 1 under section</w:t>
      </w:r>
      <w:r w:rsidR="00097A86">
        <w:t> </w:t>
      </w:r>
      <w:r w:rsidRPr="00097A86">
        <w:t>3.92 (which deals with injection);</w:t>
      </w:r>
    </w:p>
    <w:p w14:paraId="18B76BB0" w14:textId="77777777" w:rsidR="00161D5B" w:rsidRPr="00097A86" w:rsidRDefault="00161D5B" w:rsidP="00161D5B">
      <w:pPr>
        <w:pStyle w:val="paragraph"/>
      </w:pPr>
      <w:r w:rsidRPr="00097A86">
        <w:tab/>
        <w:t>(b)</w:t>
      </w:r>
      <w:r w:rsidRPr="00097A86">
        <w:tab/>
        <w:t>method 2 under section</w:t>
      </w:r>
      <w:r w:rsidR="00097A86">
        <w:t> </w:t>
      </w:r>
      <w:r w:rsidRPr="00097A86">
        <w:t>3.77 (which deals with transport), applied in relation to the greenhouse gas as if it were a type of natural gas.</w:t>
      </w:r>
    </w:p>
    <w:p w14:paraId="4FAAED78" w14:textId="77777777" w:rsidR="00161D5B" w:rsidRPr="00097A86" w:rsidRDefault="00161D5B" w:rsidP="00161D5B">
      <w:pPr>
        <w:pStyle w:val="notetext"/>
      </w:pPr>
      <w:r w:rsidRPr="00097A86">
        <w:t>Note 1:</w:t>
      </w:r>
      <w:r w:rsidRPr="00097A86">
        <w:tab/>
        <w:t xml:space="preserve">There is no method 3 or 4 for </w:t>
      </w:r>
      <w:r w:rsidR="00097A86">
        <w:t>subsection (</w:t>
      </w:r>
      <w:r w:rsidRPr="00097A86">
        <w:t>3).</w:t>
      </w:r>
    </w:p>
    <w:p w14:paraId="6B64E6B6" w14:textId="77777777" w:rsidR="00161D5B" w:rsidRPr="00097A86" w:rsidRDefault="00161D5B" w:rsidP="00161D5B">
      <w:pPr>
        <w:pStyle w:val="notetext"/>
      </w:pPr>
      <w:r w:rsidRPr="00097A86">
        <w:lastRenderedPageBreak/>
        <w:t>Note 2:</w:t>
      </w:r>
      <w:r w:rsidRPr="00097A86">
        <w:tab/>
        <w:t xml:space="preserve">The same emissions cannot be counted under both the method mentioned in </w:t>
      </w:r>
      <w:r w:rsidR="00097A86">
        <w:t>paragraph (</w:t>
      </w:r>
      <w:r w:rsidRPr="00097A86">
        <w:t xml:space="preserve">3)(a) (injection) and the method mentioned in </w:t>
      </w:r>
      <w:r w:rsidR="00097A86">
        <w:t>paragraph (</w:t>
      </w:r>
      <w:r w:rsidRPr="00097A86">
        <w:t>3)(b) (transport).</w:t>
      </w:r>
    </w:p>
    <w:p w14:paraId="18F3D752" w14:textId="77777777" w:rsidR="00545F31" w:rsidRPr="00097A86" w:rsidRDefault="00545F31" w:rsidP="00D22D3F">
      <w:pPr>
        <w:pStyle w:val="subsection"/>
      </w:pPr>
      <w:r w:rsidRPr="00097A86">
        <w:tab/>
        <w:t>(4)</w:t>
      </w:r>
      <w:r w:rsidRPr="00097A86">
        <w:tab/>
        <w:t>However, for incidental emissions another method may be used that is consistent with the principles in section</w:t>
      </w:r>
      <w:r w:rsidR="00097A86">
        <w:t> </w:t>
      </w:r>
      <w:r w:rsidRPr="00097A86">
        <w:t>1.13.</w:t>
      </w:r>
    </w:p>
    <w:p w14:paraId="5D981A5C" w14:textId="77777777" w:rsidR="00161D5B" w:rsidRPr="00097A86" w:rsidRDefault="00161D5B" w:rsidP="00161D5B">
      <w:pPr>
        <w:pStyle w:val="ActHead4"/>
      </w:pPr>
      <w:bookmarkStart w:id="360" w:name="_Toc13233792"/>
      <w:r w:rsidRPr="00097A86">
        <w:rPr>
          <w:rStyle w:val="CharSubdNo"/>
        </w:rPr>
        <w:t>Subdivision</w:t>
      </w:r>
      <w:r w:rsidR="00097A86">
        <w:rPr>
          <w:rStyle w:val="CharSubdNo"/>
        </w:rPr>
        <w:t> </w:t>
      </w:r>
      <w:r w:rsidRPr="00097A86">
        <w:rPr>
          <w:rStyle w:val="CharSubdNo"/>
        </w:rPr>
        <w:t>3.4.2.2</w:t>
      </w:r>
      <w:r w:rsidRPr="00097A86">
        <w:t>—</w:t>
      </w:r>
      <w:r w:rsidRPr="00097A86">
        <w:rPr>
          <w:rStyle w:val="CharSubdText"/>
        </w:rPr>
        <w:t>Emissions from transport of greenhouse gases involving transfer</w:t>
      </w:r>
      <w:bookmarkEnd w:id="360"/>
    </w:p>
    <w:p w14:paraId="2F3836C1" w14:textId="77777777" w:rsidR="00161D5B" w:rsidRPr="00097A86" w:rsidRDefault="00161D5B" w:rsidP="00161D5B">
      <w:pPr>
        <w:pStyle w:val="ActHead5"/>
      </w:pPr>
      <w:bookmarkStart w:id="361" w:name="_Toc13233793"/>
      <w:r w:rsidRPr="00097A86">
        <w:rPr>
          <w:rStyle w:val="CharSectno"/>
        </w:rPr>
        <w:t>3.91</w:t>
      </w:r>
      <w:r w:rsidRPr="00097A86">
        <w:t xml:space="preserve">  Method 1—emissions from transport of greenhouse gases involving transfer</w:t>
      </w:r>
      <w:bookmarkEnd w:id="361"/>
    </w:p>
    <w:p w14:paraId="1A996335" w14:textId="77777777" w:rsidR="00161D5B" w:rsidRPr="00097A86" w:rsidRDefault="00161D5B" w:rsidP="00161D5B">
      <w:pPr>
        <w:pStyle w:val="subsection"/>
      </w:pPr>
      <w:r w:rsidRPr="00097A86">
        <w:tab/>
      </w:r>
      <w:r w:rsidRPr="00097A86">
        <w:tab/>
        <w:t>For subsection</w:t>
      </w:r>
      <w:r w:rsidR="00097A86">
        <w:t> </w:t>
      </w:r>
      <w:r w:rsidRPr="00097A86">
        <w:t>3.90(2), method 1 is:</w:t>
      </w:r>
    </w:p>
    <w:p w14:paraId="097F9A9C" w14:textId="77777777" w:rsidR="00161D5B" w:rsidRPr="00097A86" w:rsidRDefault="00321F91" w:rsidP="00161D5B">
      <w:pPr>
        <w:pStyle w:val="subsection2"/>
      </w:pPr>
      <w:r w:rsidRPr="00097A86">
        <w:rPr>
          <w:position w:val="-24"/>
        </w:rPr>
        <w:object w:dxaOrig="2580" w:dyaOrig="580" w14:anchorId="4604AFDC">
          <v:shape id="_x0000_i1037" type="#_x0000_t75" style="width:129.75pt;height:28.5pt" o:ole="">
            <v:imagedata r:id="rId118" o:title=""/>
          </v:shape>
          <o:OLEObject Type="Embed" ProgID="Equation.DSMT4" ShapeID="_x0000_i1037" DrawAspect="Content" ObjectID="_1624711041" r:id="rId119"/>
        </w:object>
      </w:r>
    </w:p>
    <w:p w14:paraId="7F5B088B" w14:textId="77777777" w:rsidR="00161D5B" w:rsidRPr="00097A86" w:rsidRDefault="00161D5B" w:rsidP="00161D5B">
      <w:pPr>
        <w:pStyle w:val="subsection2"/>
      </w:pPr>
      <w:r w:rsidRPr="00097A86">
        <w:t>where:</w:t>
      </w:r>
    </w:p>
    <w:p w14:paraId="6263AD56" w14:textId="77777777" w:rsidR="00161D5B" w:rsidRPr="00097A86" w:rsidRDefault="00161D5B" w:rsidP="00161D5B">
      <w:pPr>
        <w:pStyle w:val="Definition"/>
      </w:pPr>
      <w:r w:rsidRPr="00097A86">
        <w:rPr>
          <w:b/>
          <w:i/>
        </w:rPr>
        <w:t>E</w:t>
      </w:r>
      <w:r w:rsidRPr="00097A86">
        <w:rPr>
          <w:b/>
          <w:i/>
          <w:vertAlign w:val="subscript"/>
        </w:rPr>
        <w:t>j</w:t>
      </w:r>
      <w:r w:rsidRPr="00097A86">
        <w:rPr>
          <w:b/>
          <w:i/>
        </w:rPr>
        <w:t xml:space="preserve"> </w:t>
      </w:r>
      <w:r w:rsidRPr="00097A86">
        <w:t>is the emissions of gas type (</w:t>
      </w:r>
      <w:r w:rsidRPr="00097A86">
        <w:rPr>
          <w:b/>
          <w:i/>
        </w:rPr>
        <w:t>j</w:t>
      </w:r>
      <w:r w:rsidRPr="00097A86">
        <w:t>), during the year from transportation of greenhouse gas captured for permanent storage to the storage site, measured in CO</w:t>
      </w:r>
      <w:r w:rsidRPr="00097A86">
        <w:rPr>
          <w:vertAlign w:val="subscript"/>
        </w:rPr>
        <w:t>2</w:t>
      </w:r>
      <w:r w:rsidR="00097A86">
        <w:noBreakHyphen/>
      </w:r>
      <w:r w:rsidRPr="00097A86">
        <w:t>e</w:t>
      </w:r>
      <w:r w:rsidRPr="00097A86">
        <w:rPr>
          <w:rFonts w:ascii="TimesNewRoman" w:hAnsi="TimesNewRoman" w:cs="TimesNewRoman"/>
        </w:rPr>
        <w:t xml:space="preserve"> </w:t>
      </w:r>
      <w:r w:rsidRPr="00097A86">
        <w:t>tonnes</w:t>
      </w:r>
      <w:r w:rsidRPr="00097A86">
        <w:rPr>
          <w:rFonts w:ascii="TimesNewRoman" w:hAnsi="TimesNewRoman" w:cs="TimesNewRoman"/>
        </w:rPr>
        <w:t>.</w:t>
      </w:r>
    </w:p>
    <w:p w14:paraId="24FDAB5D" w14:textId="77777777" w:rsidR="00161D5B" w:rsidRPr="00097A86" w:rsidRDefault="00161D5B" w:rsidP="00161D5B">
      <w:pPr>
        <w:pStyle w:val="Definition"/>
      </w:pPr>
      <w:r w:rsidRPr="00097A86">
        <w:rPr>
          <w:b/>
          <w:i/>
        </w:rPr>
        <w:t>γ</w:t>
      </w:r>
      <w:r w:rsidRPr="00097A86">
        <w:rPr>
          <w:rFonts w:ascii="Times New Roman Bold Italic" w:hAnsi="Times New Roman Bold Italic"/>
          <w:b/>
          <w:i/>
          <w:vertAlign w:val="subscript"/>
        </w:rPr>
        <w:t>j</w:t>
      </w:r>
      <w:r w:rsidRPr="00097A86">
        <w:rPr>
          <w:b/>
          <w:i/>
        </w:rPr>
        <w:t xml:space="preserve"> </w:t>
      </w:r>
      <w:r w:rsidRPr="00097A86">
        <w:t>is the factor for converting a quantity of gas type (</w:t>
      </w:r>
      <w:r w:rsidRPr="00097A86">
        <w:rPr>
          <w:b/>
          <w:i/>
        </w:rPr>
        <w:t>j</w:t>
      </w:r>
      <w:r w:rsidRPr="00097A86">
        <w:t>) from cubic metres at standard conditions of pressure and temperature to CO</w:t>
      </w:r>
      <w:r w:rsidRPr="00097A86">
        <w:rPr>
          <w:vertAlign w:val="subscript"/>
        </w:rPr>
        <w:t>2</w:t>
      </w:r>
      <w:r w:rsidR="00097A86">
        <w:noBreakHyphen/>
      </w:r>
      <w:r w:rsidRPr="00097A86">
        <w:t>e tonnes, being:</w:t>
      </w:r>
    </w:p>
    <w:p w14:paraId="32A3D093" w14:textId="77777777" w:rsidR="00161D5B" w:rsidRPr="00097A86" w:rsidRDefault="00161D5B" w:rsidP="00161D5B">
      <w:pPr>
        <w:pStyle w:val="paragraph"/>
      </w:pPr>
      <w:r w:rsidRPr="00097A86">
        <w:tab/>
        <w:t>(a)</w:t>
      </w:r>
      <w:r w:rsidRPr="00097A86">
        <w:tab/>
        <w:t>for methane—6.784 × 10</w:t>
      </w:r>
      <w:r w:rsidR="00097A86">
        <w:rPr>
          <w:vertAlign w:val="superscript"/>
        </w:rPr>
        <w:noBreakHyphen/>
      </w:r>
      <w:r w:rsidRPr="00097A86">
        <w:rPr>
          <w:vertAlign w:val="superscript"/>
        </w:rPr>
        <w:t xml:space="preserve">4 </w:t>
      </w:r>
      <w:r w:rsidRPr="00097A86">
        <w:t xml:space="preserve">× </w:t>
      </w:r>
      <w:r w:rsidR="00992BEF">
        <w:t>25</w:t>
      </w:r>
      <w:r w:rsidRPr="00097A86">
        <w:t>; and</w:t>
      </w:r>
    </w:p>
    <w:p w14:paraId="51855D4F" w14:textId="77777777" w:rsidR="00161D5B" w:rsidRPr="00097A86" w:rsidRDefault="00161D5B" w:rsidP="00161D5B">
      <w:pPr>
        <w:pStyle w:val="paragraph"/>
      </w:pPr>
      <w:r w:rsidRPr="00097A86">
        <w:tab/>
        <w:t>(b)</w:t>
      </w:r>
      <w:r w:rsidRPr="00097A86">
        <w:tab/>
        <w:t>for carbon dioxide—1.861 × 10</w:t>
      </w:r>
      <w:r w:rsidR="00097A86">
        <w:rPr>
          <w:vertAlign w:val="superscript"/>
        </w:rPr>
        <w:noBreakHyphen/>
      </w:r>
      <w:r w:rsidRPr="00097A86">
        <w:rPr>
          <w:vertAlign w:val="superscript"/>
        </w:rPr>
        <w:t>3</w:t>
      </w:r>
      <w:r w:rsidRPr="00097A86">
        <w:t>; and</w:t>
      </w:r>
    </w:p>
    <w:p w14:paraId="04598B9A" w14:textId="77777777" w:rsidR="00161D5B" w:rsidRPr="00097A86" w:rsidRDefault="00161D5B" w:rsidP="00161D5B">
      <w:pPr>
        <w:pStyle w:val="paragraph"/>
      </w:pPr>
      <w:r w:rsidRPr="00097A86">
        <w:tab/>
        <w:t>(c)</w:t>
      </w:r>
      <w:r w:rsidRPr="00097A86">
        <w:tab/>
        <w:t>for any other gas type—the appropriate conversion factor for the gas type.</w:t>
      </w:r>
    </w:p>
    <w:p w14:paraId="7A4D35A2" w14:textId="77777777" w:rsidR="00161D5B" w:rsidRPr="00097A86" w:rsidRDefault="00161D5B" w:rsidP="00161D5B">
      <w:pPr>
        <w:pStyle w:val="Definition"/>
        <w:rPr>
          <w:rFonts w:eastAsiaTheme="minorHAnsi"/>
        </w:rPr>
      </w:pPr>
      <w:r w:rsidRPr="00097A86">
        <w:rPr>
          <w:rFonts w:eastAsiaTheme="minorHAnsi"/>
          <w:b/>
          <w:i/>
        </w:rPr>
        <w:t>Q</w:t>
      </w:r>
      <w:r w:rsidRPr="00097A86">
        <w:rPr>
          <w:rFonts w:eastAsiaTheme="minorHAnsi"/>
          <w:b/>
          <w:i/>
          <w:vertAlign w:val="subscript"/>
        </w:rPr>
        <w:t>inj</w:t>
      </w:r>
      <w:r w:rsidRPr="00097A86">
        <w:rPr>
          <w:rFonts w:eastAsiaTheme="minorHAnsi"/>
          <w:b/>
          <w:i/>
        </w:rPr>
        <w:t xml:space="preserve"> </w:t>
      </w:r>
      <w:r w:rsidRPr="00097A86">
        <w:rPr>
          <w:rFonts w:eastAsiaTheme="minorHAnsi"/>
        </w:rPr>
        <w:t>is the quantity of greenhouse gas injected into the storage site during the year and measured in cubic metres at standard conditions of pressure and temperature.</w:t>
      </w:r>
    </w:p>
    <w:p w14:paraId="7F0F8BDF" w14:textId="77777777" w:rsidR="00161D5B" w:rsidRPr="00097A86" w:rsidRDefault="00161D5B" w:rsidP="00161D5B">
      <w:pPr>
        <w:pStyle w:val="Definition"/>
      </w:pPr>
      <w:r w:rsidRPr="00097A86">
        <w:rPr>
          <w:b/>
          <w:i/>
        </w:rPr>
        <w:t>RCCS</w:t>
      </w:r>
      <w:r w:rsidRPr="00097A86">
        <w:rPr>
          <w:b/>
          <w:i/>
          <w:vertAlign w:val="subscript"/>
        </w:rPr>
        <w:t>j</w:t>
      </w:r>
      <w:r w:rsidRPr="00097A86">
        <w:rPr>
          <w:b/>
          <w:i/>
        </w:rPr>
        <w:t xml:space="preserve"> </w:t>
      </w:r>
      <w:r w:rsidRPr="00097A86">
        <w:t>is the quantity of gas type (</w:t>
      </w:r>
      <w:r w:rsidRPr="00097A86">
        <w:rPr>
          <w:b/>
          <w:i/>
        </w:rPr>
        <w:t>j</w:t>
      </w:r>
      <w:r w:rsidRPr="00097A86">
        <w:t>) captured during the year worked out under Division</w:t>
      </w:r>
      <w:r w:rsidR="00097A86">
        <w:t> </w:t>
      </w:r>
      <w:r w:rsidRPr="00097A86">
        <w:t>1.2.3 and measured in cubic metres at standard conditions of pressure and temperature.</w:t>
      </w:r>
    </w:p>
    <w:p w14:paraId="1275EC51" w14:textId="77777777" w:rsidR="00992BEF" w:rsidRPr="007418B4" w:rsidRDefault="00992BEF" w:rsidP="00992BEF">
      <w:pPr>
        <w:pStyle w:val="Definition"/>
        <w:rPr>
          <w:color w:val="000000" w:themeColor="text1"/>
        </w:rPr>
      </w:pPr>
      <w:r>
        <w:rPr>
          <w:b/>
          <w:i/>
          <w:color w:val="000000" w:themeColor="text1"/>
        </w:rPr>
        <w:t>E</w:t>
      </w:r>
      <w:r>
        <w:rPr>
          <w:b/>
          <w:i/>
          <w:color w:val="000000" w:themeColor="text1"/>
          <w:vertAlign w:val="subscript"/>
        </w:rPr>
        <w:t>ij</w:t>
      </w:r>
      <w:r>
        <w:rPr>
          <w:color w:val="000000" w:themeColor="text1"/>
          <w:vertAlign w:val="subscript"/>
        </w:rPr>
        <w:t xml:space="preserve"> </w:t>
      </w:r>
      <w:r>
        <w:rPr>
          <w:color w:val="000000" w:themeColor="text1"/>
        </w:rPr>
        <w:t>is the fugitive emissions (</w:t>
      </w:r>
      <w:r>
        <w:rPr>
          <w:b/>
          <w:i/>
          <w:color w:val="000000" w:themeColor="text1"/>
        </w:rPr>
        <w:t>j</w:t>
      </w:r>
      <w:r>
        <w:rPr>
          <w:color w:val="000000" w:themeColor="text1"/>
        </w:rPr>
        <w:t xml:space="preserve">) from the injection of a greenhouse gas into a geological formation during the reporting year, measured in </w:t>
      </w:r>
      <w:r w:rsidRPr="00097A86">
        <w:t>CO</w:t>
      </w:r>
      <w:r w:rsidRPr="00097A86">
        <w:rPr>
          <w:vertAlign w:val="subscript"/>
        </w:rPr>
        <w:t>2</w:t>
      </w:r>
      <w:r>
        <w:noBreakHyphen/>
      </w:r>
      <w:r w:rsidRPr="00097A86">
        <w:t>e tonnes</w:t>
      </w:r>
      <w:r>
        <w:rPr>
          <w:color w:val="000000" w:themeColor="text1"/>
        </w:rPr>
        <w:t xml:space="preserve"> and calculated in accordance with Subdivision 3.4.3.2.</w:t>
      </w:r>
    </w:p>
    <w:p w14:paraId="50F78E1B" w14:textId="77777777" w:rsidR="00161D5B" w:rsidRPr="00097A86" w:rsidRDefault="00161D5B" w:rsidP="00161D5B">
      <w:pPr>
        <w:pStyle w:val="ActHead4"/>
      </w:pPr>
      <w:bookmarkStart w:id="362" w:name="_Toc13233794"/>
      <w:r w:rsidRPr="00097A86">
        <w:rPr>
          <w:rStyle w:val="CharSubdNo"/>
        </w:rPr>
        <w:t>Subdivision</w:t>
      </w:r>
      <w:r w:rsidR="00097A86">
        <w:rPr>
          <w:rStyle w:val="CharSubdNo"/>
        </w:rPr>
        <w:t> </w:t>
      </w:r>
      <w:r w:rsidRPr="00097A86">
        <w:rPr>
          <w:rStyle w:val="CharSubdNo"/>
        </w:rPr>
        <w:t>3.4.2.3</w:t>
      </w:r>
      <w:r w:rsidRPr="00097A86">
        <w:t>—</w:t>
      </w:r>
      <w:r w:rsidRPr="00097A86">
        <w:rPr>
          <w:rStyle w:val="CharSubdText"/>
        </w:rPr>
        <w:t>Emissions from transport of greenhouse gases not involving transfer</w:t>
      </w:r>
      <w:bookmarkEnd w:id="362"/>
    </w:p>
    <w:p w14:paraId="441381DE" w14:textId="77777777" w:rsidR="00161D5B" w:rsidRPr="00097A86" w:rsidRDefault="00161D5B" w:rsidP="00161D5B">
      <w:pPr>
        <w:pStyle w:val="ActHead5"/>
      </w:pPr>
      <w:bookmarkStart w:id="363" w:name="_Toc13233795"/>
      <w:r w:rsidRPr="00097A86">
        <w:rPr>
          <w:rStyle w:val="CharSectno"/>
        </w:rPr>
        <w:t>3.92</w:t>
      </w:r>
      <w:r w:rsidRPr="00097A86">
        <w:t xml:space="preserve">  Method 1—emissions from transport of greenhouse gases not involving transfer</w:t>
      </w:r>
      <w:bookmarkEnd w:id="363"/>
    </w:p>
    <w:p w14:paraId="3B69F63E" w14:textId="77777777" w:rsidR="00161D5B" w:rsidRPr="00097A86" w:rsidRDefault="00161D5B" w:rsidP="00161D5B">
      <w:pPr>
        <w:pStyle w:val="subsection"/>
      </w:pPr>
      <w:r w:rsidRPr="00097A86">
        <w:tab/>
      </w:r>
      <w:r w:rsidRPr="00097A86">
        <w:tab/>
        <w:t>For subsection</w:t>
      </w:r>
      <w:r w:rsidR="00097A86">
        <w:t> </w:t>
      </w:r>
      <w:r w:rsidRPr="00097A86">
        <w:t>3.90(3), method 1 is:</w:t>
      </w:r>
    </w:p>
    <w:p w14:paraId="6B188522" w14:textId="77777777" w:rsidR="00161D5B" w:rsidRPr="00097A86" w:rsidRDefault="00161D5B" w:rsidP="00161D5B">
      <w:pPr>
        <w:pStyle w:val="subsection2"/>
      </w:pPr>
      <w:r w:rsidRPr="00097A86">
        <w:rPr>
          <w:position w:val="-24"/>
        </w:rPr>
        <w:object w:dxaOrig="2260" w:dyaOrig="580" w14:anchorId="3CDB73F9">
          <v:shape id="_x0000_i1038" type="#_x0000_t75" style="width:111.75pt;height:28.5pt" o:ole="">
            <v:imagedata r:id="rId120" o:title=""/>
          </v:shape>
          <o:OLEObject Type="Embed" ProgID="Equation.DSMT4" ShapeID="_x0000_i1038" DrawAspect="Content" ObjectID="_1624711042" r:id="rId121"/>
        </w:object>
      </w:r>
    </w:p>
    <w:p w14:paraId="26B856AC" w14:textId="77777777" w:rsidR="00161D5B" w:rsidRPr="00097A86" w:rsidRDefault="00161D5B" w:rsidP="00161D5B">
      <w:pPr>
        <w:pStyle w:val="subsection2"/>
      </w:pPr>
      <w:r w:rsidRPr="00097A86">
        <w:t>where:</w:t>
      </w:r>
    </w:p>
    <w:p w14:paraId="08E1DEED" w14:textId="77777777" w:rsidR="00161D5B" w:rsidRPr="00097A86" w:rsidRDefault="00161D5B" w:rsidP="00161D5B">
      <w:pPr>
        <w:pStyle w:val="Definition"/>
      </w:pPr>
      <w:r w:rsidRPr="00097A86">
        <w:rPr>
          <w:b/>
          <w:i/>
        </w:rPr>
        <w:lastRenderedPageBreak/>
        <w:t>E</w:t>
      </w:r>
      <w:r w:rsidRPr="00097A86">
        <w:rPr>
          <w:b/>
          <w:i/>
          <w:vertAlign w:val="subscript"/>
        </w:rPr>
        <w:t>j</w:t>
      </w:r>
      <w:r w:rsidRPr="00097A86">
        <w:rPr>
          <w:b/>
          <w:i/>
        </w:rPr>
        <w:t xml:space="preserve"> </w:t>
      </w:r>
      <w:r w:rsidRPr="00097A86">
        <w:t>is the emissions of gas type (</w:t>
      </w:r>
      <w:r w:rsidRPr="00097A86">
        <w:rPr>
          <w:b/>
          <w:i/>
        </w:rPr>
        <w:t>j</w:t>
      </w:r>
      <w:r w:rsidRPr="00097A86">
        <w:t>), during the year from transportation of greenhouse gas captured for permanent storage to the storage site, measured in CO</w:t>
      </w:r>
      <w:r w:rsidRPr="00097A86">
        <w:rPr>
          <w:vertAlign w:val="subscript"/>
        </w:rPr>
        <w:t>2</w:t>
      </w:r>
      <w:r w:rsidR="00097A86">
        <w:noBreakHyphen/>
      </w:r>
      <w:r w:rsidRPr="00097A86">
        <w:t>e</w:t>
      </w:r>
      <w:r w:rsidRPr="00097A86">
        <w:rPr>
          <w:rFonts w:ascii="TimesNewRoman" w:hAnsi="TimesNewRoman" w:cs="TimesNewRoman"/>
        </w:rPr>
        <w:t xml:space="preserve"> </w:t>
      </w:r>
      <w:r w:rsidRPr="00097A86">
        <w:t>tonnes</w:t>
      </w:r>
      <w:r w:rsidRPr="00097A86">
        <w:rPr>
          <w:rFonts w:ascii="TimesNewRoman" w:hAnsi="TimesNewRoman" w:cs="TimesNewRoman"/>
        </w:rPr>
        <w:t>.</w:t>
      </w:r>
    </w:p>
    <w:p w14:paraId="5C31E6CA" w14:textId="77777777" w:rsidR="00161D5B" w:rsidRPr="00097A86" w:rsidRDefault="00161D5B" w:rsidP="00161D5B">
      <w:pPr>
        <w:pStyle w:val="Definition"/>
      </w:pPr>
      <w:r w:rsidRPr="00097A86">
        <w:rPr>
          <w:b/>
          <w:i/>
        </w:rPr>
        <w:t>γ</w:t>
      </w:r>
      <w:r w:rsidRPr="00097A86">
        <w:rPr>
          <w:rFonts w:ascii="Times New Roman Bold Italic" w:hAnsi="Times New Roman Bold Italic"/>
          <w:b/>
          <w:i/>
          <w:vertAlign w:val="subscript"/>
        </w:rPr>
        <w:t>j</w:t>
      </w:r>
      <w:r w:rsidRPr="00097A86">
        <w:rPr>
          <w:b/>
          <w:i/>
        </w:rPr>
        <w:t xml:space="preserve"> </w:t>
      </w:r>
      <w:r w:rsidRPr="00097A86">
        <w:t>is the factor for converting a quantity of gas type (</w:t>
      </w:r>
      <w:r w:rsidRPr="00097A86">
        <w:rPr>
          <w:b/>
          <w:i/>
        </w:rPr>
        <w:t>j</w:t>
      </w:r>
      <w:r w:rsidRPr="00097A86">
        <w:t>) from cubic metres at standard conditions of pressure and temperature to CO</w:t>
      </w:r>
      <w:r w:rsidRPr="00097A86">
        <w:rPr>
          <w:vertAlign w:val="subscript"/>
        </w:rPr>
        <w:t>2</w:t>
      </w:r>
      <w:r w:rsidR="00097A86">
        <w:noBreakHyphen/>
      </w:r>
      <w:r w:rsidRPr="00097A86">
        <w:t>e tonnes, being:</w:t>
      </w:r>
    </w:p>
    <w:p w14:paraId="016FB22C" w14:textId="77777777" w:rsidR="00161D5B" w:rsidRPr="00097A86" w:rsidRDefault="00161D5B" w:rsidP="00161D5B">
      <w:pPr>
        <w:pStyle w:val="paragraph"/>
      </w:pPr>
      <w:r w:rsidRPr="00097A86">
        <w:tab/>
        <w:t>(a)</w:t>
      </w:r>
      <w:r w:rsidRPr="00097A86">
        <w:tab/>
        <w:t>for methane—6.784 × 10</w:t>
      </w:r>
      <w:r w:rsidR="00097A86">
        <w:rPr>
          <w:vertAlign w:val="superscript"/>
        </w:rPr>
        <w:noBreakHyphen/>
      </w:r>
      <w:r w:rsidRPr="00097A86">
        <w:rPr>
          <w:vertAlign w:val="superscript"/>
        </w:rPr>
        <w:t xml:space="preserve">4 </w:t>
      </w:r>
      <w:r w:rsidRPr="00097A86">
        <w:t xml:space="preserve">× </w:t>
      </w:r>
      <w:r w:rsidR="00992BEF">
        <w:t>25</w:t>
      </w:r>
      <w:r w:rsidRPr="00097A86">
        <w:t>; and</w:t>
      </w:r>
    </w:p>
    <w:p w14:paraId="3512ECD8" w14:textId="77777777" w:rsidR="00161D5B" w:rsidRPr="00097A86" w:rsidRDefault="00161D5B" w:rsidP="00161D5B">
      <w:pPr>
        <w:pStyle w:val="paragraph"/>
      </w:pPr>
      <w:r w:rsidRPr="00097A86">
        <w:tab/>
        <w:t>(b)</w:t>
      </w:r>
      <w:r w:rsidRPr="00097A86">
        <w:tab/>
        <w:t>for carbon dioxide—1.861 × 10</w:t>
      </w:r>
      <w:r w:rsidR="00097A86">
        <w:rPr>
          <w:vertAlign w:val="superscript"/>
        </w:rPr>
        <w:noBreakHyphen/>
      </w:r>
      <w:r w:rsidRPr="00097A86">
        <w:rPr>
          <w:vertAlign w:val="superscript"/>
        </w:rPr>
        <w:t>3</w:t>
      </w:r>
      <w:r w:rsidRPr="00097A86">
        <w:t>; and</w:t>
      </w:r>
    </w:p>
    <w:p w14:paraId="3214F06A" w14:textId="77777777" w:rsidR="00161D5B" w:rsidRPr="00097A86" w:rsidRDefault="00161D5B" w:rsidP="00161D5B">
      <w:pPr>
        <w:pStyle w:val="paragraph"/>
      </w:pPr>
      <w:r w:rsidRPr="00097A86">
        <w:tab/>
        <w:t>(c)</w:t>
      </w:r>
      <w:r w:rsidRPr="00097A86">
        <w:tab/>
        <w:t>for any other gas type—the appropriate conversion factor for the gas type.</w:t>
      </w:r>
    </w:p>
    <w:p w14:paraId="6857DE98" w14:textId="77777777" w:rsidR="00161D5B" w:rsidRPr="00097A86" w:rsidRDefault="00161D5B" w:rsidP="00161D5B">
      <w:pPr>
        <w:pStyle w:val="Definition"/>
        <w:rPr>
          <w:rFonts w:eastAsiaTheme="minorHAnsi"/>
        </w:rPr>
      </w:pPr>
      <w:r w:rsidRPr="00097A86">
        <w:rPr>
          <w:rFonts w:eastAsiaTheme="minorHAnsi"/>
          <w:b/>
          <w:i/>
        </w:rPr>
        <w:t>Q</w:t>
      </w:r>
      <w:r w:rsidRPr="00097A86">
        <w:rPr>
          <w:rFonts w:eastAsiaTheme="minorHAnsi"/>
          <w:b/>
          <w:i/>
          <w:vertAlign w:val="subscript"/>
        </w:rPr>
        <w:t>inj</w:t>
      </w:r>
      <w:r w:rsidRPr="00097A86">
        <w:rPr>
          <w:rFonts w:eastAsiaTheme="minorHAnsi"/>
          <w:b/>
          <w:i/>
        </w:rPr>
        <w:t xml:space="preserve"> </w:t>
      </w:r>
      <w:r w:rsidRPr="00097A86">
        <w:rPr>
          <w:rFonts w:eastAsiaTheme="minorHAnsi"/>
        </w:rPr>
        <w:t>is the quantity of greenhouse gas injected into the storage site during the year and measured in cubic metres at standard conditions of pressure and temperature.</w:t>
      </w:r>
    </w:p>
    <w:p w14:paraId="0E036BBD" w14:textId="77777777" w:rsidR="00161D5B" w:rsidRPr="00097A86" w:rsidRDefault="00161D5B" w:rsidP="00161D5B">
      <w:pPr>
        <w:pStyle w:val="Definition"/>
      </w:pPr>
      <w:r w:rsidRPr="00097A86">
        <w:rPr>
          <w:b/>
          <w:i/>
        </w:rPr>
        <w:t>RCCS</w:t>
      </w:r>
      <w:r w:rsidRPr="00097A86">
        <w:rPr>
          <w:b/>
          <w:i/>
          <w:vertAlign w:val="subscript"/>
        </w:rPr>
        <w:t>j</w:t>
      </w:r>
      <w:r w:rsidRPr="00097A86">
        <w:rPr>
          <w:b/>
          <w:i/>
        </w:rPr>
        <w:t xml:space="preserve"> </w:t>
      </w:r>
      <w:r w:rsidRPr="00097A86">
        <w:t>is the quantity of gas type (</w:t>
      </w:r>
      <w:r w:rsidRPr="00097A86">
        <w:rPr>
          <w:b/>
          <w:i/>
        </w:rPr>
        <w:t>j</w:t>
      </w:r>
      <w:r w:rsidRPr="00097A86">
        <w:t>) captured during the year worked out under Division</w:t>
      </w:r>
      <w:r w:rsidR="00097A86">
        <w:t> </w:t>
      </w:r>
      <w:r w:rsidRPr="00097A86">
        <w:t>1.2.3 and measured in cubic metres at standard conditions of pressure and temperature.</w:t>
      </w:r>
    </w:p>
    <w:p w14:paraId="3448ECDB" w14:textId="77777777" w:rsidR="00161D5B" w:rsidRPr="00097A86" w:rsidRDefault="00161D5B" w:rsidP="00CD4D3F">
      <w:pPr>
        <w:pStyle w:val="ActHead3"/>
        <w:pageBreakBefore/>
      </w:pPr>
      <w:bookmarkStart w:id="364" w:name="_Toc13233796"/>
      <w:r w:rsidRPr="00097A86">
        <w:rPr>
          <w:rStyle w:val="CharDivNo"/>
        </w:rPr>
        <w:lastRenderedPageBreak/>
        <w:t>Division</w:t>
      </w:r>
      <w:r w:rsidR="00097A86">
        <w:rPr>
          <w:rStyle w:val="CharDivNo"/>
        </w:rPr>
        <w:t> </w:t>
      </w:r>
      <w:r w:rsidRPr="00097A86">
        <w:rPr>
          <w:rStyle w:val="CharDivNo"/>
        </w:rPr>
        <w:t>3.4.3</w:t>
      </w:r>
      <w:r w:rsidRPr="00097A86">
        <w:t>—</w:t>
      </w:r>
      <w:r w:rsidRPr="00097A86">
        <w:rPr>
          <w:rStyle w:val="CharDivText"/>
        </w:rPr>
        <w:t>Injection of greenhouse gases</w:t>
      </w:r>
      <w:bookmarkEnd w:id="364"/>
    </w:p>
    <w:p w14:paraId="6CB35410" w14:textId="77777777" w:rsidR="00161D5B" w:rsidRPr="00097A86" w:rsidRDefault="00161D5B" w:rsidP="00161D5B">
      <w:pPr>
        <w:pStyle w:val="ActHead4"/>
      </w:pPr>
      <w:bookmarkStart w:id="365" w:name="_Toc13233797"/>
      <w:r w:rsidRPr="00097A86">
        <w:rPr>
          <w:rStyle w:val="CharSubdNo"/>
        </w:rPr>
        <w:t>Subdivision</w:t>
      </w:r>
      <w:r w:rsidR="00097A86">
        <w:rPr>
          <w:rStyle w:val="CharSubdNo"/>
        </w:rPr>
        <w:t> </w:t>
      </w:r>
      <w:r w:rsidRPr="00097A86">
        <w:rPr>
          <w:rStyle w:val="CharSubdNo"/>
        </w:rPr>
        <w:t>3.4.3.1</w:t>
      </w:r>
      <w:r w:rsidRPr="00097A86">
        <w:t>—</w:t>
      </w:r>
      <w:r w:rsidRPr="00097A86">
        <w:rPr>
          <w:rStyle w:val="CharSubdText"/>
        </w:rPr>
        <w:t>Preliminary</w:t>
      </w:r>
      <w:bookmarkEnd w:id="365"/>
    </w:p>
    <w:p w14:paraId="36ACE718" w14:textId="77777777" w:rsidR="00161D5B" w:rsidRPr="00097A86" w:rsidRDefault="00161D5B" w:rsidP="00161D5B">
      <w:pPr>
        <w:pStyle w:val="ActHead5"/>
      </w:pPr>
      <w:bookmarkStart w:id="366" w:name="_Toc13233798"/>
      <w:r w:rsidRPr="00097A86">
        <w:rPr>
          <w:rStyle w:val="CharSectno"/>
        </w:rPr>
        <w:t>3.93</w:t>
      </w:r>
      <w:r w:rsidRPr="00097A86">
        <w:t xml:space="preserve">  Application</w:t>
      </w:r>
      <w:bookmarkEnd w:id="366"/>
    </w:p>
    <w:p w14:paraId="222A522C" w14:textId="77777777" w:rsidR="00161D5B" w:rsidRPr="00097A86" w:rsidRDefault="00161D5B" w:rsidP="00161D5B">
      <w:pPr>
        <w:pStyle w:val="subsection"/>
      </w:pPr>
      <w:r w:rsidRPr="00097A86">
        <w:tab/>
      </w:r>
      <w:r w:rsidRPr="00097A86">
        <w:tab/>
        <w:t>This Division applies to fugitive emissions of greenhouse gases from the injection of a greenhouse gas captured for permanent storage into a geological formation.</w:t>
      </w:r>
    </w:p>
    <w:p w14:paraId="4C9F1C47" w14:textId="77777777" w:rsidR="00161D5B" w:rsidRPr="00097A86" w:rsidRDefault="00161D5B" w:rsidP="00161D5B">
      <w:pPr>
        <w:pStyle w:val="notetext"/>
      </w:pPr>
      <w:r w:rsidRPr="00097A86">
        <w:t>Note:</w:t>
      </w:r>
      <w:r w:rsidRPr="00097A86">
        <w:tab/>
        <w:t xml:space="preserve">A greenhouse gas is </w:t>
      </w:r>
      <w:r w:rsidRPr="00097A86">
        <w:rPr>
          <w:b/>
          <w:i/>
        </w:rPr>
        <w:t>captured for permanent storage</w:t>
      </w:r>
      <w:r w:rsidRPr="00097A86">
        <w:t xml:space="preserve"> in a geological formation if the gas is captured by, or transferred to, the holder of a licence, lease or approval mentioned in section</w:t>
      </w:r>
      <w:r w:rsidR="00097A86">
        <w:t> </w:t>
      </w:r>
      <w:r w:rsidRPr="00097A86">
        <w:t>1.19A, under a law mentioned in that section, for the purpose of being injected into a geological formation (however described) under the licence, lease or approval.</w:t>
      </w:r>
    </w:p>
    <w:p w14:paraId="0F0CB5C6" w14:textId="77777777" w:rsidR="00161D5B" w:rsidRPr="00097A86" w:rsidRDefault="00161D5B" w:rsidP="00161D5B">
      <w:pPr>
        <w:pStyle w:val="ActHead5"/>
      </w:pPr>
      <w:bookmarkStart w:id="367" w:name="_Toc13233799"/>
      <w:r w:rsidRPr="00097A86">
        <w:rPr>
          <w:rStyle w:val="CharSectno"/>
        </w:rPr>
        <w:t>3.94</w:t>
      </w:r>
      <w:r w:rsidRPr="00097A86">
        <w:t xml:space="preserve">  Available methods</w:t>
      </w:r>
      <w:bookmarkEnd w:id="367"/>
    </w:p>
    <w:p w14:paraId="75A62892" w14:textId="77777777" w:rsidR="00161D5B" w:rsidRPr="00097A86" w:rsidRDefault="00161D5B" w:rsidP="00161D5B">
      <w:pPr>
        <w:pStyle w:val="subsection"/>
      </w:pPr>
      <w:r w:rsidRPr="00097A86">
        <w:tab/>
        <w:t>(1)</w:t>
      </w:r>
      <w:r w:rsidRPr="00097A86">
        <w:tab/>
        <w:t>For estimating fugitive emissions of greenhouse gases released during a year from the injection of a greenhouse gas captured for permanent storage into a geological formation, the methods set out in this section must be used.</w:t>
      </w:r>
    </w:p>
    <w:p w14:paraId="026F595C" w14:textId="77777777" w:rsidR="00161D5B" w:rsidRPr="00097A86" w:rsidRDefault="00161D5B" w:rsidP="00161D5B">
      <w:pPr>
        <w:pStyle w:val="SubsectionHead"/>
      </w:pPr>
      <w:r w:rsidRPr="00097A86">
        <w:t>Process vents, system upsets and accidents</w:t>
      </w:r>
    </w:p>
    <w:p w14:paraId="04C3DCB1" w14:textId="77777777" w:rsidR="00161D5B" w:rsidRPr="00097A86" w:rsidRDefault="00161D5B" w:rsidP="00161D5B">
      <w:pPr>
        <w:pStyle w:val="subsection"/>
      </w:pPr>
      <w:r w:rsidRPr="00097A86">
        <w:tab/>
        <w:t>(2)</w:t>
      </w:r>
      <w:r w:rsidRPr="00097A86">
        <w:tab/>
        <w:t>Method 2 under section</w:t>
      </w:r>
      <w:r w:rsidR="00097A86">
        <w:t> </w:t>
      </w:r>
      <w:r w:rsidRPr="00097A86">
        <w:t>3.95 must be used for estimating fugitive emissions of greenhouse gases that result from deliberate releases from process vents, system upsets and accidents.</w:t>
      </w:r>
    </w:p>
    <w:p w14:paraId="68F6239B" w14:textId="77777777" w:rsidR="00161D5B" w:rsidRPr="00097A86" w:rsidRDefault="00161D5B" w:rsidP="00161D5B">
      <w:pPr>
        <w:pStyle w:val="SubsectionHead"/>
      </w:pPr>
      <w:r w:rsidRPr="00097A86">
        <w:t>Fugitive emissions of greenhouse gases other than from process vents, system upsets and accidents</w:t>
      </w:r>
    </w:p>
    <w:p w14:paraId="45C0CFB5" w14:textId="77777777" w:rsidR="00161D5B" w:rsidRPr="00097A86" w:rsidRDefault="00161D5B" w:rsidP="00161D5B">
      <w:pPr>
        <w:pStyle w:val="subsection"/>
      </w:pPr>
      <w:r w:rsidRPr="00097A86">
        <w:tab/>
        <w:t>(3)</w:t>
      </w:r>
      <w:r w:rsidRPr="00097A86">
        <w:tab/>
        <w:t>One of the following methods must be used for estimating fugitive emissions of greenhouse gases from the injection of a greenhouse gas captured for permanent storage into a geological formation that are not the result of deliberate releases from process vents, system upsets and accidents:</w:t>
      </w:r>
    </w:p>
    <w:p w14:paraId="10ED3E94" w14:textId="77777777" w:rsidR="00161D5B" w:rsidRPr="00097A86" w:rsidRDefault="00161D5B" w:rsidP="00161D5B">
      <w:pPr>
        <w:pStyle w:val="paragraph"/>
      </w:pPr>
      <w:r w:rsidRPr="00097A86">
        <w:tab/>
        <w:t>(a)</w:t>
      </w:r>
      <w:r w:rsidRPr="00097A86">
        <w:tab/>
        <w:t>method 2 under section</w:t>
      </w:r>
      <w:r w:rsidR="00097A86">
        <w:t> </w:t>
      </w:r>
      <w:r w:rsidRPr="00097A86">
        <w:t>3.96;</w:t>
      </w:r>
    </w:p>
    <w:p w14:paraId="788675D9" w14:textId="77777777" w:rsidR="00161D5B" w:rsidRPr="00097A86" w:rsidRDefault="00161D5B" w:rsidP="00161D5B">
      <w:pPr>
        <w:pStyle w:val="paragraph"/>
      </w:pPr>
      <w:r w:rsidRPr="00097A86">
        <w:tab/>
        <w:t>(b)</w:t>
      </w:r>
      <w:r w:rsidRPr="00097A86">
        <w:tab/>
        <w:t>method 3 under section</w:t>
      </w:r>
      <w:r w:rsidR="00097A86">
        <w:t> </w:t>
      </w:r>
      <w:r w:rsidRPr="00097A86">
        <w:t>3.97.</w:t>
      </w:r>
    </w:p>
    <w:p w14:paraId="59640DFA" w14:textId="77777777" w:rsidR="00161D5B" w:rsidRPr="00097A86" w:rsidRDefault="00161D5B" w:rsidP="00161D5B">
      <w:pPr>
        <w:pStyle w:val="notetext"/>
      </w:pPr>
      <w:r w:rsidRPr="00097A86">
        <w:t>Note:</w:t>
      </w:r>
      <w:r w:rsidRPr="00097A86">
        <w:tab/>
        <w:t xml:space="preserve">There is no method 1, 3 or 4 for </w:t>
      </w:r>
      <w:r w:rsidR="00097A86">
        <w:t>subsection (</w:t>
      </w:r>
      <w:r w:rsidRPr="00097A86">
        <w:t xml:space="preserve">2) and no method 1 or 4 for </w:t>
      </w:r>
      <w:r w:rsidR="00097A86">
        <w:t>subsection (</w:t>
      </w:r>
      <w:r w:rsidRPr="00097A86">
        <w:t>3).</w:t>
      </w:r>
    </w:p>
    <w:p w14:paraId="6E790B4E" w14:textId="77777777" w:rsidR="00161D5B" w:rsidRPr="00097A86" w:rsidRDefault="00161D5B" w:rsidP="00161D5B">
      <w:pPr>
        <w:pStyle w:val="ActHead4"/>
      </w:pPr>
      <w:bookmarkStart w:id="368" w:name="_Toc13233800"/>
      <w:r w:rsidRPr="00097A86">
        <w:rPr>
          <w:rStyle w:val="CharSubdNo"/>
        </w:rPr>
        <w:t>Subdivision</w:t>
      </w:r>
      <w:r w:rsidR="00097A86">
        <w:rPr>
          <w:rStyle w:val="CharSubdNo"/>
        </w:rPr>
        <w:t> </w:t>
      </w:r>
      <w:r w:rsidRPr="00097A86">
        <w:rPr>
          <w:rStyle w:val="CharSubdNo"/>
        </w:rPr>
        <w:t>3.4.3.2</w:t>
      </w:r>
      <w:r w:rsidRPr="00097A86">
        <w:t>—</w:t>
      </w:r>
      <w:r w:rsidRPr="00097A86">
        <w:rPr>
          <w:rStyle w:val="CharSubdText"/>
        </w:rPr>
        <w:t>Fugitive emissions from deliberate releases from process vents, system upsets and accidents</w:t>
      </w:r>
      <w:bookmarkEnd w:id="368"/>
    </w:p>
    <w:p w14:paraId="34B3A739" w14:textId="77777777" w:rsidR="00161D5B" w:rsidRPr="00097A86" w:rsidRDefault="00161D5B" w:rsidP="00161D5B">
      <w:pPr>
        <w:pStyle w:val="ActHead5"/>
      </w:pPr>
      <w:bookmarkStart w:id="369" w:name="_Toc13233801"/>
      <w:r w:rsidRPr="00097A86">
        <w:rPr>
          <w:rStyle w:val="CharSectno"/>
        </w:rPr>
        <w:t>3.95</w:t>
      </w:r>
      <w:r w:rsidRPr="00097A86">
        <w:t xml:space="preserve">  Method 2—fugitive emissions from deliberate releases from process vents, system upsets and accidents</w:t>
      </w:r>
      <w:bookmarkEnd w:id="369"/>
    </w:p>
    <w:p w14:paraId="6B230128" w14:textId="77777777" w:rsidR="00161D5B" w:rsidRPr="00097A86" w:rsidRDefault="00161D5B" w:rsidP="00161D5B">
      <w:pPr>
        <w:pStyle w:val="subsection"/>
      </w:pPr>
      <w:r w:rsidRPr="00097A86">
        <w:tab/>
      </w:r>
      <w:r w:rsidRPr="00097A86">
        <w:tab/>
        <w:t>Method 2 is the same as the approach mentioned in section</w:t>
      </w:r>
      <w:r w:rsidR="00097A86">
        <w:t> </w:t>
      </w:r>
      <w:r w:rsidRPr="00097A86">
        <w:t>5.3 or 5.7.1 of the API Compendium.</w:t>
      </w:r>
    </w:p>
    <w:p w14:paraId="38F0585D" w14:textId="77777777" w:rsidR="00161D5B" w:rsidRPr="00097A86" w:rsidRDefault="00161D5B" w:rsidP="00161D5B">
      <w:pPr>
        <w:pStyle w:val="ActHead4"/>
      </w:pPr>
      <w:bookmarkStart w:id="370" w:name="_Toc13233802"/>
      <w:r w:rsidRPr="00097A86">
        <w:rPr>
          <w:rStyle w:val="CharSubdNo"/>
        </w:rPr>
        <w:lastRenderedPageBreak/>
        <w:t>Subdivision</w:t>
      </w:r>
      <w:r w:rsidR="00097A86">
        <w:rPr>
          <w:rStyle w:val="CharSubdNo"/>
        </w:rPr>
        <w:t> </w:t>
      </w:r>
      <w:r w:rsidRPr="00097A86">
        <w:rPr>
          <w:rStyle w:val="CharSubdNo"/>
        </w:rPr>
        <w:t>3.4.3.3</w:t>
      </w:r>
      <w:r w:rsidRPr="00097A86">
        <w:t>—</w:t>
      </w:r>
      <w:r w:rsidRPr="00097A86">
        <w:rPr>
          <w:rStyle w:val="CharSubdText"/>
        </w:rPr>
        <w:t>Fugitive emissions from injection of greenhouse gases (other than emissions from deliberate releases from process vents, system upsets and accidents)</w:t>
      </w:r>
      <w:bookmarkEnd w:id="370"/>
    </w:p>
    <w:p w14:paraId="777AB2EF" w14:textId="77777777" w:rsidR="00161D5B" w:rsidRPr="00097A86" w:rsidRDefault="00161D5B" w:rsidP="00161D5B">
      <w:pPr>
        <w:pStyle w:val="ActHead5"/>
      </w:pPr>
      <w:bookmarkStart w:id="371" w:name="_Toc13233803"/>
      <w:r w:rsidRPr="00097A86">
        <w:rPr>
          <w:rStyle w:val="CharSectno"/>
        </w:rPr>
        <w:t>3.96</w:t>
      </w:r>
      <w:r w:rsidRPr="00097A86">
        <w:t xml:space="preserve">  Method 2—fugitive emissions from injection of a greenhouse gas into a geological formation (other than deliberate releases from process vents, system upsets and accidents)</w:t>
      </w:r>
      <w:bookmarkEnd w:id="371"/>
    </w:p>
    <w:p w14:paraId="392F8225" w14:textId="77777777" w:rsidR="00161D5B" w:rsidRPr="00097A86" w:rsidRDefault="00161D5B" w:rsidP="00161D5B">
      <w:pPr>
        <w:pStyle w:val="subsection"/>
      </w:pPr>
      <w:r w:rsidRPr="00097A86">
        <w:tab/>
        <w:t>(1)</w:t>
      </w:r>
      <w:r w:rsidRPr="00097A86">
        <w:tab/>
        <w:t>Method 2 is:</w:t>
      </w:r>
    </w:p>
    <w:p w14:paraId="6EA0A114" w14:textId="77777777" w:rsidR="00161D5B" w:rsidRPr="00097A86" w:rsidRDefault="00161D5B" w:rsidP="00161D5B">
      <w:pPr>
        <w:pStyle w:val="subsection2"/>
      </w:pPr>
      <w:r w:rsidRPr="00097A86">
        <w:rPr>
          <w:position w:val="-24"/>
        </w:rPr>
        <w:object w:dxaOrig="2160" w:dyaOrig="580" w14:anchorId="49FCE442">
          <v:shape id="_x0000_i1039" type="#_x0000_t75" style="width:108.75pt;height:28.5pt" o:ole="">
            <v:imagedata r:id="rId122" o:title=""/>
          </v:shape>
          <o:OLEObject Type="Embed" ProgID="Equation.DSMT4" ShapeID="_x0000_i1039" DrawAspect="Content" ObjectID="_1624711043" r:id="rId123"/>
        </w:object>
      </w:r>
    </w:p>
    <w:p w14:paraId="23505BBA" w14:textId="77777777" w:rsidR="00161D5B" w:rsidRPr="00097A86" w:rsidRDefault="00161D5B" w:rsidP="00161D5B">
      <w:pPr>
        <w:pStyle w:val="subsection2"/>
      </w:pPr>
      <w:r w:rsidRPr="00097A86">
        <w:t>where:</w:t>
      </w:r>
    </w:p>
    <w:p w14:paraId="5CDBB1EE" w14:textId="77777777" w:rsidR="00161D5B" w:rsidRPr="00097A86" w:rsidRDefault="00161D5B" w:rsidP="00161D5B">
      <w:pPr>
        <w:pStyle w:val="Definition"/>
      </w:pPr>
      <w:r w:rsidRPr="00097A86">
        <w:rPr>
          <w:b/>
          <w:i/>
        </w:rPr>
        <w:t>EF</w:t>
      </w:r>
      <w:r w:rsidRPr="00097A86">
        <w:rPr>
          <w:b/>
          <w:i/>
          <w:vertAlign w:val="subscript"/>
        </w:rPr>
        <w:t>ijk</w:t>
      </w:r>
      <w:r w:rsidRPr="00097A86">
        <w:rPr>
          <w:b/>
          <w:i/>
        </w:rPr>
        <w:t xml:space="preserve"> </w:t>
      </w:r>
      <w:r w:rsidRPr="00097A86">
        <w:t>is the emission factor (</w:t>
      </w:r>
      <w:r w:rsidRPr="00097A86">
        <w:rPr>
          <w:b/>
          <w:i/>
        </w:rPr>
        <w:t>j</w:t>
      </w:r>
      <w:r w:rsidRPr="00097A86">
        <w:t>) measured in CO</w:t>
      </w:r>
      <w:r w:rsidRPr="00097A86">
        <w:rPr>
          <w:vertAlign w:val="subscript"/>
        </w:rPr>
        <w:t>2</w:t>
      </w:r>
      <w:r w:rsidR="00097A86">
        <w:noBreakHyphen/>
      </w:r>
      <w:r w:rsidRPr="00097A86">
        <w:t>e tonnes that passes through each equipment type (</w:t>
      </w:r>
      <w:r w:rsidRPr="00097A86">
        <w:rPr>
          <w:b/>
          <w:i/>
        </w:rPr>
        <w:t>k</w:t>
      </w:r>
      <w:r w:rsidRPr="00097A86">
        <w:t>) mentioned in section</w:t>
      </w:r>
      <w:r w:rsidR="00097A86">
        <w:t> </w:t>
      </w:r>
      <w:r w:rsidRPr="00097A86">
        <w:t>6.1 of the API Compendium, if the equipment type was used in the injection of a greenhouse gas into the geological formation.</w:t>
      </w:r>
    </w:p>
    <w:p w14:paraId="7345DC9C" w14:textId="77777777" w:rsidR="00161D5B" w:rsidRPr="00097A86" w:rsidRDefault="00161D5B" w:rsidP="00161D5B">
      <w:pPr>
        <w:pStyle w:val="Definition"/>
      </w:pPr>
      <w:r w:rsidRPr="00097A86">
        <w:rPr>
          <w:b/>
          <w:i/>
        </w:rPr>
        <w:t>E</w:t>
      </w:r>
      <w:r w:rsidRPr="00097A86">
        <w:rPr>
          <w:b/>
          <w:i/>
          <w:vertAlign w:val="subscript"/>
        </w:rPr>
        <w:t>ij</w:t>
      </w:r>
      <w:r w:rsidRPr="00097A86">
        <w:rPr>
          <w:b/>
          <w:i/>
        </w:rPr>
        <w:t xml:space="preserve"> </w:t>
      </w:r>
      <w:r w:rsidRPr="00097A86">
        <w:t>is the fugitive emissions (</w:t>
      </w:r>
      <w:r w:rsidRPr="00097A86">
        <w:rPr>
          <w:b/>
          <w:i/>
        </w:rPr>
        <w:t>j</w:t>
      </w:r>
      <w:r w:rsidRPr="00097A86">
        <w:t>) from the injection of a greenhouse gas into a geological formation during the reporting year, measured in CO</w:t>
      </w:r>
      <w:r w:rsidRPr="00097A86">
        <w:rPr>
          <w:vertAlign w:val="subscript"/>
        </w:rPr>
        <w:t>2</w:t>
      </w:r>
      <w:r w:rsidR="00097A86">
        <w:noBreakHyphen/>
      </w:r>
      <w:r w:rsidRPr="00097A86">
        <w:t>e tonnes.</w:t>
      </w:r>
    </w:p>
    <w:p w14:paraId="5A2D551D" w14:textId="77777777" w:rsidR="00161D5B" w:rsidRPr="00097A86" w:rsidRDefault="00161D5B" w:rsidP="00161D5B">
      <w:pPr>
        <w:pStyle w:val="Definition"/>
      </w:pPr>
      <w:r w:rsidRPr="00097A86">
        <w:rPr>
          <w:b/>
          <w:i/>
        </w:rPr>
        <w:t>Σ</w:t>
      </w:r>
      <w:r w:rsidRPr="00097A86">
        <w:rPr>
          <w:b/>
          <w:i/>
          <w:vertAlign w:val="subscript"/>
        </w:rPr>
        <w:t xml:space="preserve">k </w:t>
      </w:r>
      <w:r w:rsidRPr="00097A86">
        <w:t>is the emissions (</w:t>
      </w:r>
      <w:r w:rsidRPr="00097A86">
        <w:rPr>
          <w:b/>
          <w:i/>
        </w:rPr>
        <w:t>j</w:t>
      </w:r>
      <w:r w:rsidRPr="00097A86">
        <w:t>) measured in CO</w:t>
      </w:r>
      <w:r w:rsidRPr="00097A86">
        <w:rPr>
          <w:vertAlign w:val="subscript"/>
        </w:rPr>
        <w:t>2</w:t>
      </w:r>
      <w:r w:rsidR="00097A86">
        <w:noBreakHyphen/>
      </w:r>
      <w:r w:rsidRPr="00097A86">
        <w:t>e tonnes and estimated by summing up the emissions released from each equipment type (</w:t>
      </w:r>
      <w:r w:rsidRPr="00097A86">
        <w:rPr>
          <w:b/>
          <w:i/>
        </w:rPr>
        <w:t>k</w:t>
      </w:r>
      <w:r w:rsidRPr="00097A86">
        <w:t>) mentioned in section</w:t>
      </w:r>
      <w:r w:rsidR="00097A86">
        <w:t> </w:t>
      </w:r>
      <w:r w:rsidRPr="00097A86">
        <w:t>6.1 of the API Compendium, if the equipment type was used in the injection of a greenhouse gas into the geological formation.</w:t>
      </w:r>
    </w:p>
    <w:p w14:paraId="182730E6" w14:textId="77777777" w:rsidR="00161D5B" w:rsidRPr="00097A86" w:rsidRDefault="00161D5B" w:rsidP="00161D5B">
      <w:pPr>
        <w:pStyle w:val="Definition"/>
      </w:pPr>
      <w:r w:rsidRPr="00097A86">
        <w:rPr>
          <w:b/>
          <w:i/>
        </w:rPr>
        <w:t>Q</w:t>
      </w:r>
      <w:r w:rsidRPr="00097A86">
        <w:rPr>
          <w:b/>
          <w:i/>
          <w:vertAlign w:val="subscript"/>
        </w:rPr>
        <w:t>ik</w:t>
      </w:r>
      <w:r w:rsidRPr="00097A86">
        <w:rPr>
          <w:vertAlign w:val="subscript"/>
        </w:rPr>
        <w:t xml:space="preserve"> </w:t>
      </w:r>
      <w:r w:rsidRPr="00097A86">
        <w:t>is the total of the quantities of greenhouse gas measured in tonnes that pass through each equipment type (</w:t>
      </w:r>
      <w:r w:rsidRPr="00097A86">
        <w:rPr>
          <w:b/>
          <w:i/>
        </w:rPr>
        <w:t>k</w:t>
      </w:r>
      <w:r w:rsidRPr="00097A86">
        <w:t>) mentioned in section</w:t>
      </w:r>
      <w:r w:rsidR="00097A86">
        <w:t> </w:t>
      </w:r>
      <w:r w:rsidRPr="00097A86">
        <w:t>6.1 of the API Compendium, if the equipment type was used in the injection of a greenhouse gas into the geological formation.</w:t>
      </w:r>
    </w:p>
    <w:p w14:paraId="328BA898" w14:textId="77777777" w:rsidR="00161D5B" w:rsidRPr="00097A86" w:rsidRDefault="00161D5B" w:rsidP="00161D5B">
      <w:pPr>
        <w:pStyle w:val="subsection"/>
      </w:pPr>
      <w:r w:rsidRPr="00097A86">
        <w:tab/>
        <w:t>(2)</w:t>
      </w:r>
      <w:r w:rsidRPr="00097A86">
        <w:tab/>
        <w:t xml:space="preserve">For </w:t>
      </w:r>
      <w:r w:rsidRPr="00097A86">
        <w:rPr>
          <w:b/>
          <w:i/>
        </w:rPr>
        <w:t>EF</w:t>
      </w:r>
      <w:r w:rsidRPr="00097A86">
        <w:rPr>
          <w:b/>
          <w:i/>
          <w:vertAlign w:val="subscript"/>
        </w:rPr>
        <w:t>ijk</w:t>
      </w:r>
      <w:r w:rsidRPr="00097A86">
        <w:rPr>
          <w:b/>
          <w:vertAlign w:val="subscript"/>
        </w:rPr>
        <w:t xml:space="preserve"> </w:t>
      </w:r>
      <w:r w:rsidRPr="00097A86">
        <w:t xml:space="preserve">in </w:t>
      </w:r>
      <w:r w:rsidR="00097A86">
        <w:t>subsection (</w:t>
      </w:r>
      <w:r w:rsidRPr="00097A86">
        <w:t>1), the emission factors are:</w:t>
      </w:r>
    </w:p>
    <w:p w14:paraId="32CF9C2C" w14:textId="77777777" w:rsidR="00161D5B" w:rsidRPr="00097A86" w:rsidRDefault="00161D5B" w:rsidP="00161D5B">
      <w:pPr>
        <w:pStyle w:val="paragraph"/>
      </w:pPr>
      <w:r w:rsidRPr="00097A86">
        <w:tab/>
        <w:t>(a)</w:t>
      </w:r>
      <w:r w:rsidRPr="00097A86">
        <w:tab/>
        <w:t>the emission factors listed for the equipment type in section</w:t>
      </w:r>
      <w:r w:rsidR="00097A86">
        <w:t> </w:t>
      </w:r>
      <w:r w:rsidRPr="00097A86">
        <w:t>6.1 of the API Compendium; or</w:t>
      </w:r>
    </w:p>
    <w:p w14:paraId="61A70C5D" w14:textId="77777777" w:rsidR="00161D5B" w:rsidRPr="00097A86" w:rsidRDefault="00161D5B" w:rsidP="00161D5B">
      <w:pPr>
        <w:pStyle w:val="paragraph"/>
      </w:pPr>
      <w:r w:rsidRPr="00097A86">
        <w:tab/>
        <w:t>(b)</w:t>
      </w:r>
      <w:r w:rsidRPr="00097A86">
        <w:tab/>
        <w:t>if the manufacturer of the equipment supplies equipment specific emissions factors for the equipment type—those factors.</w:t>
      </w:r>
    </w:p>
    <w:p w14:paraId="60923775" w14:textId="77777777" w:rsidR="00161D5B" w:rsidRPr="00097A86" w:rsidRDefault="00161D5B" w:rsidP="00161D5B">
      <w:pPr>
        <w:pStyle w:val="ActHead5"/>
      </w:pPr>
      <w:bookmarkStart w:id="372" w:name="_Toc13233804"/>
      <w:r w:rsidRPr="00097A86">
        <w:rPr>
          <w:rStyle w:val="CharSectno"/>
        </w:rPr>
        <w:t>3.97</w:t>
      </w:r>
      <w:r w:rsidRPr="00097A86">
        <w:t xml:space="preserve">  Method 3—fugitive emissions from injection of greenhouse gases (other than deliberate releases from process vents, system upsets and accidents)</w:t>
      </w:r>
      <w:bookmarkEnd w:id="372"/>
    </w:p>
    <w:p w14:paraId="64665E04" w14:textId="77777777" w:rsidR="00161D5B" w:rsidRPr="00097A86" w:rsidRDefault="00161D5B" w:rsidP="00161D5B">
      <w:pPr>
        <w:pStyle w:val="subsection"/>
      </w:pPr>
      <w:r w:rsidRPr="00097A86">
        <w:tab/>
      </w:r>
      <w:r w:rsidRPr="00097A86">
        <w:tab/>
        <w:t>Method 3 is the same as an approach mentioned in Appendix C to the API Compendium.</w:t>
      </w:r>
    </w:p>
    <w:p w14:paraId="4631A97A" w14:textId="77777777" w:rsidR="00161D5B" w:rsidRPr="00097A86" w:rsidRDefault="00161D5B" w:rsidP="00161D5B">
      <w:pPr>
        <w:pStyle w:val="notetext"/>
      </w:pPr>
      <w:r w:rsidRPr="00097A86">
        <w:t>Note:</w:t>
      </w:r>
      <w:r w:rsidRPr="00097A86">
        <w:tab/>
        <w:t>For this method, any approach mentioned in Appendix C to the API Compendium may be used.</w:t>
      </w:r>
    </w:p>
    <w:p w14:paraId="7A3F87FB" w14:textId="77777777" w:rsidR="00161D5B" w:rsidRPr="00097A86" w:rsidRDefault="00161D5B" w:rsidP="00503133">
      <w:pPr>
        <w:pStyle w:val="ActHead3"/>
        <w:pageBreakBefore/>
      </w:pPr>
      <w:bookmarkStart w:id="373" w:name="_Toc13233805"/>
      <w:r w:rsidRPr="00097A86">
        <w:rPr>
          <w:rStyle w:val="CharDivNo"/>
        </w:rPr>
        <w:lastRenderedPageBreak/>
        <w:t>Division</w:t>
      </w:r>
      <w:r w:rsidR="00097A86">
        <w:rPr>
          <w:rStyle w:val="CharDivNo"/>
        </w:rPr>
        <w:t> </w:t>
      </w:r>
      <w:r w:rsidRPr="00097A86">
        <w:rPr>
          <w:rStyle w:val="CharDivNo"/>
        </w:rPr>
        <w:t>3.4.4</w:t>
      </w:r>
      <w:r w:rsidRPr="00097A86">
        <w:t>—</w:t>
      </w:r>
      <w:r w:rsidRPr="00097A86">
        <w:rPr>
          <w:rStyle w:val="CharDivText"/>
        </w:rPr>
        <w:t>Storage of greenhouse gases</w:t>
      </w:r>
      <w:bookmarkEnd w:id="373"/>
    </w:p>
    <w:p w14:paraId="7250A024" w14:textId="77777777" w:rsidR="00161D5B" w:rsidRPr="00097A86" w:rsidRDefault="00161D5B" w:rsidP="00161D5B">
      <w:pPr>
        <w:pStyle w:val="ActHead4"/>
      </w:pPr>
      <w:bookmarkStart w:id="374" w:name="_Toc13233806"/>
      <w:r w:rsidRPr="00097A86">
        <w:rPr>
          <w:rStyle w:val="CharSubdNo"/>
        </w:rPr>
        <w:t>Subdivision</w:t>
      </w:r>
      <w:r w:rsidR="00097A86">
        <w:rPr>
          <w:rStyle w:val="CharSubdNo"/>
        </w:rPr>
        <w:t> </w:t>
      </w:r>
      <w:r w:rsidRPr="00097A86">
        <w:rPr>
          <w:rStyle w:val="CharSubdNo"/>
        </w:rPr>
        <w:t>3.4.4.1</w:t>
      </w:r>
      <w:r w:rsidRPr="00097A86">
        <w:t>—</w:t>
      </w:r>
      <w:r w:rsidRPr="00097A86">
        <w:rPr>
          <w:rStyle w:val="CharSubdText"/>
        </w:rPr>
        <w:t>Preliminary</w:t>
      </w:r>
      <w:bookmarkEnd w:id="374"/>
    </w:p>
    <w:p w14:paraId="1A1C7DF1" w14:textId="77777777" w:rsidR="00161D5B" w:rsidRPr="00097A86" w:rsidRDefault="00161D5B" w:rsidP="00161D5B">
      <w:pPr>
        <w:pStyle w:val="ActHead5"/>
      </w:pPr>
      <w:bookmarkStart w:id="375" w:name="_Toc13233807"/>
      <w:r w:rsidRPr="00097A86">
        <w:rPr>
          <w:rStyle w:val="CharSectno"/>
        </w:rPr>
        <w:t>3.98</w:t>
      </w:r>
      <w:r w:rsidRPr="00097A86">
        <w:t xml:space="preserve">  Application</w:t>
      </w:r>
      <w:bookmarkEnd w:id="375"/>
    </w:p>
    <w:p w14:paraId="52183994" w14:textId="77777777" w:rsidR="00161D5B" w:rsidRPr="00097A86" w:rsidRDefault="00161D5B" w:rsidP="00161D5B">
      <w:pPr>
        <w:pStyle w:val="subsection"/>
      </w:pPr>
      <w:r w:rsidRPr="00097A86">
        <w:tab/>
      </w:r>
      <w:r w:rsidRPr="00097A86">
        <w:tab/>
        <w:t>This Division applies to fugitive emissions to the atmosphere of greenhouse gases from geological formations used for storage of a greenhouse gas captured for permanent storage.</w:t>
      </w:r>
    </w:p>
    <w:p w14:paraId="0665B0FF" w14:textId="77777777" w:rsidR="00161D5B" w:rsidRPr="00097A86" w:rsidRDefault="00161D5B" w:rsidP="00161D5B">
      <w:pPr>
        <w:pStyle w:val="notetext"/>
      </w:pPr>
      <w:r w:rsidRPr="00097A86">
        <w:t>Note:</w:t>
      </w:r>
      <w:r w:rsidRPr="00097A86">
        <w:tab/>
        <w:t xml:space="preserve">A greenhouse gas is </w:t>
      </w:r>
      <w:r w:rsidRPr="00097A86">
        <w:rPr>
          <w:b/>
          <w:i/>
        </w:rPr>
        <w:t>captured for permanent storage</w:t>
      </w:r>
      <w:r w:rsidRPr="00097A86">
        <w:t xml:space="preserve"> in a geological formation if the gas is captured by, or transferred to, the holder of a licence, lease or approval mentioned in section</w:t>
      </w:r>
      <w:r w:rsidR="00097A86">
        <w:t> </w:t>
      </w:r>
      <w:r w:rsidRPr="00097A86">
        <w:t>1.19A, under a law mentioned in that section, for the purpose of being injected into a geological formation (however described) under the licence, lease or approval.</w:t>
      </w:r>
    </w:p>
    <w:p w14:paraId="0643CC08" w14:textId="77777777" w:rsidR="00161D5B" w:rsidRPr="00097A86" w:rsidRDefault="00161D5B" w:rsidP="00161D5B">
      <w:pPr>
        <w:pStyle w:val="ActHead5"/>
      </w:pPr>
      <w:bookmarkStart w:id="376" w:name="_Toc13233808"/>
      <w:r w:rsidRPr="00097A86">
        <w:rPr>
          <w:rStyle w:val="CharSectno"/>
        </w:rPr>
        <w:t>3.99</w:t>
      </w:r>
      <w:r w:rsidRPr="00097A86">
        <w:t xml:space="preserve">  Available method</w:t>
      </w:r>
      <w:bookmarkEnd w:id="376"/>
    </w:p>
    <w:p w14:paraId="71F6F484" w14:textId="77777777" w:rsidR="00161D5B" w:rsidRPr="00097A86" w:rsidRDefault="00161D5B" w:rsidP="00161D5B">
      <w:pPr>
        <w:pStyle w:val="subsection"/>
      </w:pPr>
      <w:r w:rsidRPr="00097A86">
        <w:tab/>
      </w:r>
      <w:r w:rsidRPr="00097A86">
        <w:tab/>
        <w:t>For estimating fugitive emissions of greenhouse gases released during a year from a geological formation used for the permanent storage of a greenhouse gas, method 2 set out in section</w:t>
      </w:r>
      <w:r w:rsidR="00097A86">
        <w:t> </w:t>
      </w:r>
      <w:r w:rsidRPr="00097A86">
        <w:t>3.100 must be used.</w:t>
      </w:r>
    </w:p>
    <w:p w14:paraId="2A0F7333" w14:textId="77777777" w:rsidR="00161D5B" w:rsidRPr="00097A86" w:rsidRDefault="00161D5B" w:rsidP="00161D5B">
      <w:pPr>
        <w:pStyle w:val="notetext"/>
      </w:pPr>
      <w:r w:rsidRPr="00097A86">
        <w:t>Note:</w:t>
      </w:r>
      <w:r w:rsidRPr="00097A86">
        <w:tab/>
        <w:t>There is no method 1, 3 or 4 for this Division.</w:t>
      </w:r>
    </w:p>
    <w:p w14:paraId="2DC3401F" w14:textId="77777777" w:rsidR="00161D5B" w:rsidRPr="00097A86" w:rsidRDefault="00161D5B" w:rsidP="00161D5B">
      <w:pPr>
        <w:pStyle w:val="ActHead4"/>
      </w:pPr>
      <w:bookmarkStart w:id="377" w:name="_Toc13233809"/>
      <w:r w:rsidRPr="00097A86">
        <w:rPr>
          <w:rStyle w:val="CharSubdNo"/>
        </w:rPr>
        <w:t>Subdivision</w:t>
      </w:r>
      <w:r w:rsidR="00097A86">
        <w:rPr>
          <w:rStyle w:val="CharSubdNo"/>
        </w:rPr>
        <w:t> </w:t>
      </w:r>
      <w:r w:rsidRPr="00097A86">
        <w:rPr>
          <w:rStyle w:val="CharSubdNo"/>
        </w:rPr>
        <w:t>3.4.4.2</w:t>
      </w:r>
      <w:r w:rsidRPr="00097A86">
        <w:t>—</w:t>
      </w:r>
      <w:r w:rsidRPr="00097A86">
        <w:rPr>
          <w:rStyle w:val="CharSubdText"/>
        </w:rPr>
        <w:t>Fugitive emissions from the storage of greenhouse gases</w:t>
      </w:r>
      <w:bookmarkEnd w:id="377"/>
    </w:p>
    <w:p w14:paraId="367FC1E0" w14:textId="77777777" w:rsidR="00161D5B" w:rsidRPr="00097A86" w:rsidRDefault="00161D5B" w:rsidP="00161D5B">
      <w:pPr>
        <w:pStyle w:val="ActHead5"/>
      </w:pPr>
      <w:bookmarkStart w:id="378" w:name="_Toc13233810"/>
      <w:r w:rsidRPr="00097A86">
        <w:rPr>
          <w:rStyle w:val="CharSectno"/>
        </w:rPr>
        <w:t>3.100</w:t>
      </w:r>
      <w:r w:rsidRPr="00097A86">
        <w:t xml:space="preserve">  Method 2—fugitive emissions from geological formations used for the storage of greenhouse gases</w:t>
      </w:r>
      <w:bookmarkEnd w:id="378"/>
    </w:p>
    <w:p w14:paraId="5E3D7555" w14:textId="77777777" w:rsidR="00161D5B" w:rsidRPr="00097A86" w:rsidRDefault="00161D5B" w:rsidP="00161D5B">
      <w:pPr>
        <w:pStyle w:val="subsection"/>
      </w:pPr>
      <w:r w:rsidRPr="00097A86">
        <w:tab/>
        <w:t>(1)</w:t>
      </w:r>
      <w:r w:rsidRPr="00097A86">
        <w:tab/>
        <w:t>Method 2 is:</w:t>
      </w:r>
    </w:p>
    <w:p w14:paraId="76CB183D" w14:textId="77777777" w:rsidR="00161D5B" w:rsidRPr="00097A86" w:rsidRDefault="00161D5B" w:rsidP="00161D5B">
      <w:pPr>
        <w:pStyle w:val="subsection2"/>
      </w:pPr>
      <w:r w:rsidRPr="00097A86">
        <w:rPr>
          <w:position w:val="-14"/>
        </w:rPr>
        <w:object w:dxaOrig="2340" w:dyaOrig="460" w14:anchorId="05CD98CA">
          <v:shape id="_x0000_i1040" type="#_x0000_t75" style="width:117pt;height:23.25pt" o:ole="">
            <v:imagedata r:id="rId124" o:title=""/>
          </v:shape>
          <o:OLEObject Type="Embed" ProgID="Equation.DSMT4" ShapeID="_x0000_i1040" DrawAspect="Content" ObjectID="_1624711044" r:id="rId125"/>
        </w:object>
      </w:r>
    </w:p>
    <w:p w14:paraId="686DDE9C" w14:textId="77777777" w:rsidR="00161D5B" w:rsidRPr="00097A86" w:rsidRDefault="00161D5B" w:rsidP="00161D5B">
      <w:pPr>
        <w:pStyle w:val="Definition"/>
      </w:pPr>
      <w:r w:rsidRPr="00097A86">
        <w:t>where:</w:t>
      </w:r>
    </w:p>
    <w:p w14:paraId="5A01E9A7" w14:textId="77777777" w:rsidR="00161D5B" w:rsidRPr="00097A86" w:rsidRDefault="00161D5B" w:rsidP="00161D5B">
      <w:pPr>
        <w:pStyle w:val="Definition"/>
      </w:pPr>
      <w:r w:rsidRPr="00097A86">
        <w:rPr>
          <w:b/>
          <w:i/>
        </w:rPr>
        <w:t>C</w:t>
      </w:r>
      <w:r w:rsidRPr="00097A86">
        <w:rPr>
          <w:b/>
          <w:i/>
          <w:vertAlign w:val="subscript"/>
        </w:rPr>
        <w:t xml:space="preserve">cst </w:t>
      </w:r>
      <w:r w:rsidRPr="00097A86">
        <w:t>is the closing stock of a stored greenhouse gas at the storage site for the reporting year, measured in CO</w:t>
      </w:r>
      <w:r w:rsidRPr="00097A86">
        <w:rPr>
          <w:vertAlign w:val="subscript"/>
        </w:rPr>
        <w:t>2</w:t>
      </w:r>
      <w:r w:rsidR="00097A86">
        <w:noBreakHyphen/>
      </w:r>
      <w:r w:rsidRPr="00097A86">
        <w:t>e tonnes.</w:t>
      </w:r>
    </w:p>
    <w:p w14:paraId="166D837D" w14:textId="77777777" w:rsidR="00161D5B" w:rsidRPr="00097A86" w:rsidRDefault="00161D5B" w:rsidP="00161D5B">
      <w:pPr>
        <w:pStyle w:val="Definition"/>
      </w:pPr>
      <w:r w:rsidRPr="00097A86">
        <w:rPr>
          <w:b/>
          <w:i/>
        </w:rPr>
        <w:t>C</w:t>
      </w:r>
      <w:r w:rsidRPr="00097A86">
        <w:rPr>
          <w:b/>
          <w:i/>
          <w:vertAlign w:val="subscript"/>
        </w:rPr>
        <w:t>ost</w:t>
      </w:r>
      <w:r w:rsidRPr="00097A86">
        <w:t xml:space="preserve"> is the opening stock of a stored greenhouse gas at the storage site for the reporting year, determined in accordance with </w:t>
      </w:r>
      <w:r w:rsidR="00097A86">
        <w:t>subsection (</w:t>
      </w:r>
      <w:r w:rsidRPr="00097A86">
        <w:t>2), measured in CO</w:t>
      </w:r>
      <w:r w:rsidRPr="00097A86">
        <w:rPr>
          <w:vertAlign w:val="subscript"/>
        </w:rPr>
        <w:t>2</w:t>
      </w:r>
      <w:r w:rsidR="00097A86">
        <w:noBreakHyphen/>
      </w:r>
      <w:r w:rsidRPr="00097A86">
        <w:t>e tonnes.</w:t>
      </w:r>
    </w:p>
    <w:p w14:paraId="025A0165" w14:textId="77777777" w:rsidR="00161D5B" w:rsidRPr="00097A86" w:rsidRDefault="00161D5B" w:rsidP="00161D5B">
      <w:pPr>
        <w:pStyle w:val="Definition"/>
      </w:pPr>
      <w:r w:rsidRPr="00097A86">
        <w:rPr>
          <w:b/>
          <w:i/>
        </w:rPr>
        <w:t>E</w:t>
      </w:r>
      <w:r w:rsidRPr="00097A86">
        <w:rPr>
          <w:b/>
          <w:i/>
          <w:vertAlign w:val="subscript"/>
        </w:rPr>
        <w:t>CO</w:t>
      </w:r>
      <w:r w:rsidRPr="00097A86">
        <w:rPr>
          <w:b/>
          <w:i/>
          <w:position w:val="-6"/>
          <w:vertAlign w:val="subscript"/>
        </w:rPr>
        <w:t>2</w:t>
      </w:r>
      <w:r w:rsidRPr="00097A86">
        <w:t xml:space="preserve"> is the fugitive emissions to the atmosphere of greenhouse gas during the reporting year from the geological storage formation, determined in accordance with </w:t>
      </w:r>
      <w:r w:rsidR="00097A86">
        <w:t>subsection (</w:t>
      </w:r>
      <w:r w:rsidRPr="00097A86">
        <w:t>3), measured in CO</w:t>
      </w:r>
      <w:r w:rsidRPr="00097A86">
        <w:rPr>
          <w:vertAlign w:val="subscript"/>
        </w:rPr>
        <w:t>2</w:t>
      </w:r>
      <w:r w:rsidR="00097A86">
        <w:noBreakHyphen/>
      </w:r>
      <w:r w:rsidRPr="00097A86">
        <w:t>e tonnes.</w:t>
      </w:r>
    </w:p>
    <w:p w14:paraId="51F42EE5" w14:textId="77777777" w:rsidR="00161D5B" w:rsidRPr="00097A86" w:rsidRDefault="00161D5B" w:rsidP="00161D5B">
      <w:pPr>
        <w:pStyle w:val="Definition"/>
      </w:pPr>
      <w:r w:rsidRPr="00097A86">
        <w:rPr>
          <w:b/>
          <w:i/>
        </w:rPr>
        <w:t>Q</w:t>
      </w:r>
      <w:r w:rsidRPr="00097A86">
        <w:rPr>
          <w:b/>
          <w:i/>
          <w:vertAlign w:val="subscript"/>
        </w:rPr>
        <w:t>inj</w:t>
      </w:r>
      <w:r w:rsidRPr="00097A86">
        <w:t xml:space="preserve"> is the quantity of a greenhouse gas injected into the geological formation during the reporting year, measured in CO</w:t>
      </w:r>
      <w:r w:rsidRPr="00097A86">
        <w:rPr>
          <w:vertAlign w:val="subscript"/>
        </w:rPr>
        <w:t>2</w:t>
      </w:r>
      <w:r w:rsidR="00097A86">
        <w:noBreakHyphen/>
      </w:r>
      <w:r w:rsidRPr="00097A86">
        <w:t>e tonnes.</w:t>
      </w:r>
    </w:p>
    <w:p w14:paraId="1FB7F1AB" w14:textId="77777777" w:rsidR="00161D5B" w:rsidRPr="00097A86" w:rsidRDefault="00161D5B" w:rsidP="00161D5B">
      <w:pPr>
        <w:pStyle w:val="notetext"/>
      </w:pPr>
      <w:r w:rsidRPr="00097A86">
        <w:lastRenderedPageBreak/>
        <w:t>Note:</w:t>
      </w:r>
      <w:r w:rsidRPr="00097A86">
        <w:tab/>
        <w:t>This formula represents C</w:t>
      </w:r>
      <w:r w:rsidRPr="00097A86">
        <w:rPr>
          <w:vertAlign w:val="subscript"/>
        </w:rPr>
        <w:t>cst</w:t>
      </w:r>
      <w:r w:rsidRPr="00097A86">
        <w:t xml:space="preserve"> (the closing stock) as the cumulative mass of a greenhouse gas injected into the geological formation in all years since the commencement of injection, less any fugitive emissions to the atmosphere.</w:t>
      </w:r>
    </w:p>
    <w:p w14:paraId="6EBEFBDE" w14:textId="77777777" w:rsidR="00161D5B" w:rsidRPr="00097A86" w:rsidRDefault="00161D5B" w:rsidP="00161D5B">
      <w:pPr>
        <w:pStyle w:val="notetext"/>
      </w:pPr>
      <w:r w:rsidRPr="00097A86">
        <w:tab/>
        <w:t xml:space="preserve">The closing stock of a greenhouse gas in the storage site for the reporting year is derived from the opening stock determined in accordance with </w:t>
      </w:r>
      <w:r w:rsidR="00097A86">
        <w:t>subsection (</w:t>
      </w:r>
      <w:r w:rsidRPr="00097A86">
        <w:t xml:space="preserve">2), the quantity injected into the geological formation during the reporting year, and estimates of fugitive emissions to the atmosphere determined in accordance with </w:t>
      </w:r>
      <w:r w:rsidR="00097A86">
        <w:t>subsection (</w:t>
      </w:r>
      <w:r w:rsidRPr="00097A86">
        <w:t>3).</w:t>
      </w:r>
    </w:p>
    <w:p w14:paraId="2FD1702E" w14:textId="77777777" w:rsidR="00161D5B" w:rsidRPr="00097A86" w:rsidRDefault="00161D5B" w:rsidP="00161D5B">
      <w:pPr>
        <w:pStyle w:val="subsection"/>
      </w:pPr>
      <w:r w:rsidRPr="00097A86">
        <w:tab/>
        <w:t>(2)</w:t>
      </w:r>
      <w:r w:rsidRPr="00097A86">
        <w:tab/>
        <w:t xml:space="preserve">For the factor </w:t>
      </w:r>
      <w:r w:rsidRPr="00097A86">
        <w:rPr>
          <w:b/>
          <w:i/>
        </w:rPr>
        <w:t>C</w:t>
      </w:r>
      <w:r w:rsidRPr="00097A86">
        <w:rPr>
          <w:b/>
          <w:i/>
          <w:vertAlign w:val="subscript"/>
        </w:rPr>
        <w:t>ost</w:t>
      </w:r>
      <w:r w:rsidRPr="00097A86">
        <w:t xml:space="preserve"> in </w:t>
      </w:r>
      <w:r w:rsidR="00097A86">
        <w:t>subsection (</w:t>
      </w:r>
      <w:r w:rsidRPr="00097A86">
        <w:t>1), the opening stock of a greenhouse gas in the storage site for the reporting year is:</w:t>
      </w:r>
    </w:p>
    <w:p w14:paraId="10C96A5B" w14:textId="77777777" w:rsidR="00161D5B" w:rsidRPr="00097A86" w:rsidRDefault="00161D5B" w:rsidP="00161D5B">
      <w:pPr>
        <w:pStyle w:val="paragraph"/>
      </w:pPr>
      <w:r w:rsidRPr="00097A86">
        <w:tab/>
        <w:t>(a)</w:t>
      </w:r>
      <w:r w:rsidRPr="00097A86">
        <w:tab/>
        <w:t>for the first reporting year in which this method is used to calculate fugitive emissions—zero; and</w:t>
      </w:r>
    </w:p>
    <w:p w14:paraId="1A01F024" w14:textId="77777777" w:rsidR="00161D5B" w:rsidRPr="00097A86" w:rsidRDefault="00161D5B" w:rsidP="00161D5B">
      <w:pPr>
        <w:pStyle w:val="paragraph"/>
      </w:pPr>
      <w:r w:rsidRPr="00097A86">
        <w:tab/>
        <w:t>(b)</w:t>
      </w:r>
      <w:r w:rsidRPr="00097A86">
        <w:tab/>
        <w:t>for each reporting year other than the first reporting year—the closing stock of a greenhouse gas in the storage site for the previous reporting year, determined</w:t>
      </w:r>
      <w:r w:rsidRPr="00097A86">
        <w:rPr>
          <w:i/>
        </w:rPr>
        <w:t xml:space="preserve"> </w:t>
      </w:r>
      <w:r w:rsidRPr="00097A86">
        <w:t xml:space="preserve">in accordance with </w:t>
      </w:r>
      <w:r w:rsidR="00097A86">
        <w:t>subsection (</w:t>
      </w:r>
      <w:r w:rsidRPr="00097A86">
        <w:t>1).</w:t>
      </w:r>
    </w:p>
    <w:p w14:paraId="576648B4" w14:textId="77777777" w:rsidR="00161D5B" w:rsidRPr="00097A86" w:rsidRDefault="00161D5B" w:rsidP="00161D5B">
      <w:pPr>
        <w:pStyle w:val="subsection"/>
      </w:pPr>
      <w:r w:rsidRPr="00097A86">
        <w:tab/>
        <w:t>(3)</w:t>
      </w:r>
      <w:r w:rsidRPr="00097A86">
        <w:tab/>
        <w:t xml:space="preserve">For the factor </w:t>
      </w:r>
      <w:r w:rsidRPr="00097A86">
        <w:rPr>
          <w:b/>
          <w:i/>
        </w:rPr>
        <w:t>E</w:t>
      </w:r>
      <w:r w:rsidRPr="00097A86">
        <w:rPr>
          <w:b/>
          <w:i/>
          <w:vertAlign w:val="subscript"/>
        </w:rPr>
        <w:t>CO</w:t>
      </w:r>
      <w:r w:rsidRPr="00097A86">
        <w:rPr>
          <w:b/>
          <w:i/>
          <w:position w:val="-6"/>
          <w:vertAlign w:val="subscript"/>
        </w:rPr>
        <w:t>2</w:t>
      </w:r>
      <w:r w:rsidRPr="00097A86">
        <w:t>, fugitive</w:t>
      </w:r>
      <w:r w:rsidRPr="00097A86">
        <w:rPr>
          <w:i/>
        </w:rPr>
        <w:t xml:space="preserve"> </w:t>
      </w:r>
      <w:r w:rsidRPr="00097A86">
        <w:t>emissions to the atmosphere from geological formations used for the permanent</w:t>
      </w:r>
      <w:r w:rsidRPr="00097A86">
        <w:rPr>
          <w:i/>
        </w:rPr>
        <w:t xml:space="preserve"> </w:t>
      </w:r>
      <w:r w:rsidRPr="00097A86">
        <w:t>storage of a greenhouse gas are to be estimated from data obtained for monitoring and verification obligations under</w:t>
      </w:r>
      <w:r w:rsidRPr="00097A86">
        <w:rPr>
          <w:i/>
        </w:rPr>
        <w:t xml:space="preserve"> </w:t>
      </w:r>
      <w:r w:rsidRPr="00097A86">
        <w:t>a licence, lease or approval mentioned in section</w:t>
      </w:r>
      <w:r w:rsidR="00097A86">
        <w:t> </w:t>
      </w:r>
      <w:r w:rsidRPr="00097A86">
        <w:t xml:space="preserve">1.19A (meaning of </w:t>
      </w:r>
      <w:r w:rsidRPr="00097A86">
        <w:rPr>
          <w:b/>
          <w:i/>
        </w:rPr>
        <w:t>captured for permanent storage</w:t>
      </w:r>
      <w:r w:rsidRPr="00097A86">
        <w:t>).</w:t>
      </w:r>
    </w:p>
    <w:p w14:paraId="0A000101" w14:textId="77777777" w:rsidR="00D4486E" w:rsidRPr="00097A86" w:rsidRDefault="00D4486E" w:rsidP="00D22D3F">
      <w:pPr>
        <w:pStyle w:val="ActHead1"/>
        <w:pageBreakBefore/>
      </w:pPr>
      <w:bookmarkStart w:id="379" w:name="_Toc13233811"/>
      <w:r w:rsidRPr="00097A86">
        <w:rPr>
          <w:rStyle w:val="CharChapNo"/>
        </w:rPr>
        <w:lastRenderedPageBreak/>
        <w:t>Chapter</w:t>
      </w:r>
      <w:r w:rsidR="00097A86">
        <w:rPr>
          <w:rStyle w:val="CharChapNo"/>
        </w:rPr>
        <w:t> </w:t>
      </w:r>
      <w:r w:rsidRPr="00097A86">
        <w:rPr>
          <w:rStyle w:val="CharChapNo"/>
        </w:rPr>
        <w:t>4</w:t>
      </w:r>
      <w:r w:rsidR="00D22D3F" w:rsidRPr="00097A86">
        <w:t>—</w:t>
      </w:r>
      <w:r w:rsidRPr="00097A86">
        <w:rPr>
          <w:rStyle w:val="CharChapText"/>
        </w:rPr>
        <w:t>Industrial processes emissions</w:t>
      </w:r>
      <w:bookmarkEnd w:id="379"/>
    </w:p>
    <w:p w14:paraId="3D332E26" w14:textId="77777777" w:rsidR="003F0D4E" w:rsidRPr="00097A86" w:rsidRDefault="003F0D4E" w:rsidP="00D22D3F">
      <w:pPr>
        <w:pStyle w:val="ActHead2"/>
      </w:pPr>
      <w:bookmarkStart w:id="380" w:name="_Toc13233812"/>
      <w:r w:rsidRPr="00097A86">
        <w:rPr>
          <w:rStyle w:val="CharPartNo"/>
        </w:rPr>
        <w:t>Part</w:t>
      </w:r>
      <w:r w:rsidR="00097A86">
        <w:rPr>
          <w:rStyle w:val="CharPartNo"/>
        </w:rPr>
        <w:t> </w:t>
      </w:r>
      <w:r w:rsidRPr="00097A86">
        <w:rPr>
          <w:rStyle w:val="CharPartNo"/>
        </w:rPr>
        <w:t>4.1</w:t>
      </w:r>
      <w:r w:rsidR="00D22D3F" w:rsidRPr="00097A86">
        <w:t>—</w:t>
      </w:r>
      <w:r w:rsidRPr="00097A86">
        <w:rPr>
          <w:rStyle w:val="CharPartText"/>
        </w:rPr>
        <w:t>Preliminary</w:t>
      </w:r>
      <w:bookmarkEnd w:id="380"/>
    </w:p>
    <w:p w14:paraId="6F7E36C7"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58085B5D" w14:textId="77777777" w:rsidR="003F0D4E" w:rsidRPr="00097A86" w:rsidRDefault="003F0D4E" w:rsidP="00D22D3F">
      <w:pPr>
        <w:pStyle w:val="ActHead5"/>
      </w:pPr>
      <w:bookmarkStart w:id="381" w:name="_Toc13233813"/>
      <w:r w:rsidRPr="00097A86">
        <w:rPr>
          <w:rStyle w:val="CharSectno"/>
        </w:rPr>
        <w:t>4.1</w:t>
      </w:r>
      <w:r w:rsidR="00D22D3F" w:rsidRPr="00097A86">
        <w:t xml:space="preserve">  </w:t>
      </w:r>
      <w:r w:rsidRPr="00097A86">
        <w:t>Outline of Chapter</w:t>
      </w:r>
      <w:bookmarkEnd w:id="381"/>
    </w:p>
    <w:p w14:paraId="53A5EE5A" w14:textId="77777777" w:rsidR="00D4486E" w:rsidRPr="00097A86" w:rsidRDefault="00D4486E" w:rsidP="00D22D3F">
      <w:pPr>
        <w:pStyle w:val="subsection"/>
      </w:pPr>
      <w:r w:rsidRPr="00097A86">
        <w:tab/>
        <w:t>(1)</w:t>
      </w:r>
      <w:r w:rsidRPr="00097A86">
        <w:tab/>
        <w:t>This Chapter provides for emissions from:</w:t>
      </w:r>
    </w:p>
    <w:p w14:paraId="1FB5DE4B" w14:textId="77777777" w:rsidR="00D4486E" w:rsidRPr="00097A86" w:rsidRDefault="00D4486E" w:rsidP="00D22D3F">
      <w:pPr>
        <w:pStyle w:val="paragraph"/>
      </w:pPr>
      <w:r w:rsidRPr="00097A86">
        <w:tab/>
        <w:t>(a)</w:t>
      </w:r>
      <w:r w:rsidRPr="00097A86">
        <w:tab/>
        <w:t>the consumption of carbonates; or</w:t>
      </w:r>
    </w:p>
    <w:p w14:paraId="1F1DB6CB" w14:textId="77777777" w:rsidR="00D4486E" w:rsidRPr="00097A86" w:rsidRDefault="00D4486E" w:rsidP="00D22D3F">
      <w:pPr>
        <w:pStyle w:val="paragraph"/>
      </w:pPr>
      <w:r w:rsidRPr="00097A86">
        <w:tab/>
        <w:t>(b)</w:t>
      </w:r>
      <w:r w:rsidRPr="00097A86">
        <w:tab/>
        <w:t>the use of fuels as:</w:t>
      </w:r>
    </w:p>
    <w:p w14:paraId="51FA5187" w14:textId="77777777" w:rsidR="00D4486E" w:rsidRPr="00097A86" w:rsidRDefault="00D4486E" w:rsidP="00D22D3F">
      <w:pPr>
        <w:pStyle w:val="paragraphsub"/>
      </w:pPr>
      <w:r w:rsidRPr="00097A86">
        <w:tab/>
        <w:t>(i)</w:t>
      </w:r>
      <w:r w:rsidRPr="00097A86">
        <w:tab/>
        <w:t>feedstock; or</w:t>
      </w:r>
    </w:p>
    <w:p w14:paraId="0B168256" w14:textId="77777777" w:rsidR="00D4486E" w:rsidRPr="00097A86" w:rsidRDefault="00D4486E" w:rsidP="00D22D3F">
      <w:pPr>
        <w:pStyle w:val="paragraphsub"/>
      </w:pPr>
      <w:r w:rsidRPr="00097A86">
        <w:tab/>
        <w:t>(ii)</w:t>
      </w:r>
      <w:r w:rsidRPr="00097A86">
        <w:tab/>
        <w:t>carbon reductants;</w:t>
      </w:r>
    </w:p>
    <w:p w14:paraId="7992CBFF" w14:textId="77777777" w:rsidR="00D4486E" w:rsidRPr="00097A86" w:rsidRDefault="00D4486E" w:rsidP="00D22D3F">
      <w:pPr>
        <w:pStyle w:val="paragraph"/>
      </w:pPr>
      <w:r w:rsidRPr="00097A86">
        <w:tab/>
      </w:r>
      <w:r w:rsidRPr="00097A86">
        <w:tab/>
        <w:t xml:space="preserve">from sources that are industrial processes mentioned in </w:t>
      </w:r>
      <w:r w:rsidR="00097A86">
        <w:t>subsection (</w:t>
      </w:r>
      <w:r w:rsidRPr="00097A86">
        <w:t>2).</w:t>
      </w:r>
    </w:p>
    <w:p w14:paraId="0FA8DCAB" w14:textId="77777777" w:rsidR="00D4486E" w:rsidRPr="00097A86" w:rsidRDefault="00D4486E" w:rsidP="00D22D3F">
      <w:pPr>
        <w:pStyle w:val="subsection"/>
      </w:pPr>
      <w:r w:rsidRPr="00097A86">
        <w:tab/>
        <w:t>(2)</w:t>
      </w:r>
      <w:r w:rsidRPr="00097A86">
        <w:tab/>
        <w:t xml:space="preserve">For </w:t>
      </w:r>
      <w:r w:rsidR="00097A86">
        <w:t>subsection (</w:t>
      </w:r>
      <w:r w:rsidRPr="00097A86">
        <w:t>1), the industrial processes are as follows:</w:t>
      </w:r>
    </w:p>
    <w:p w14:paraId="5C26364E" w14:textId="77777777" w:rsidR="00D4486E" w:rsidRPr="00097A86" w:rsidRDefault="00D4486E" w:rsidP="00D22D3F">
      <w:pPr>
        <w:pStyle w:val="paragraph"/>
      </w:pPr>
      <w:r w:rsidRPr="00097A86">
        <w:tab/>
        <w:t>(a)</w:t>
      </w:r>
      <w:r w:rsidRPr="00097A86">
        <w:tab/>
        <w:t>in Part</w:t>
      </w:r>
      <w:r w:rsidR="00097A86">
        <w:t> </w:t>
      </w:r>
      <w:r w:rsidRPr="00097A86">
        <w:t>4.2:</w:t>
      </w:r>
    </w:p>
    <w:p w14:paraId="40FE324A" w14:textId="77777777" w:rsidR="00D4486E" w:rsidRPr="00097A86" w:rsidRDefault="00D4486E" w:rsidP="00D22D3F">
      <w:pPr>
        <w:pStyle w:val="paragraphsub"/>
      </w:pPr>
      <w:r w:rsidRPr="00097A86">
        <w:tab/>
        <w:t>(i)</w:t>
      </w:r>
      <w:r w:rsidRPr="00097A86">
        <w:tab/>
        <w:t>producing cement clinker (see Division</w:t>
      </w:r>
      <w:r w:rsidR="00097A86">
        <w:t> </w:t>
      </w:r>
      <w:r w:rsidRPr="00097A86">
        <w:t>4.2.1);</w:t>
      </w:r>
    </w:p>
    <w:p w14:paraId="72DC268F" w14:textId="77777777" w:rsidR="00D4486E" w:rsidRPr="00097A86" w:rsidRDefault="00D4486E" w:rsidP="00D22D3F">
      <w:pPr>
        <w:pStyle w:val="paragraphsub"/>
      </w:pPr>
      <w:r w:rsidRPr="00097A86">
        <w:tab/>
        <w:t>(ii)</w:t>
      </w:r>
      <w:r w:rsidRPr="00097A86">
        <w:tab/>
        <w:t>producing lime (see Division</w:t>
      </w:r>
      <w:r w:rsidR="00097A86">
        <w:t> </w:t>
      </w:r>
      <w:r w:rsidRPr="00097A86">
        <w:t>4.2.2);</w:t>
      </w:r>
    </w:p>
    <w:p w14:paraId="02C02873" w14:textId="77777777" w:rsidR="00D4486E" w:rsidRPr="00097A86" w:rsidRDefault="00D4486E" w:rsidP="00D22D3F">
      <w:pPr>
        <w:pStyle w:val="paragraphsub"/>
      </w:pPr>
      <w:r w:rsidRPr="00097A86">
        <w:tab/>
        <w:t>(iii)</w:t>
      </w:r>
      <w:r w:rsidRPr="00097A86">
        <w:tab/>
        <w:t>using carbonate for the production of a product other than cement clinker, lime or soda ash (see Division</w:t>
      </w:r>
      <w:r w:rsidR="00097A86">
        <w:t> </w:t>
      </w:r>
      <w:r w:rsidRPr="00097A86">
        <w:t>4.2.3);</w:t>
      </w:r>
    </w:p>
    <w:p w14:paraId="20DC77DB" w14:textId="77777777" w:rsidR="00D4486E" w:rsidRPr="00097A86" w:rsidRDefault="00D4486E" w:rsidP="00D22D3F">
      <w:pPr>
        <w:pStyle w:val="paragraphsub"/>
      </w:pPr>
      <w:r w:rsidRPr="00097A86">
        <w:tab/>
        <w:t>(iv)</w:t>
      </w:r>
      <w:r w:rsidRPr="00097A86">
        <w:tab/>
        <w:t>using and producing soda ash (see Division</w:t>
      </w:r>
      <w:r w:rsidR="00097A86">
        <w:t> </w:t>
      </w:r>
      <w:r w:rsidRPr="00097A86">
        <w:t>4.2.4);</w:t>
      </w:r>
    </w:p>
    <w:p w14:paraId="44EEC941" w14:textId="77777777" w:rsidR="00D4486E" w:rsidRPr="00097A86" w:rsidRDefault="00D4486E" w:rsidP="00D22D3F">
      <w:pPr>
        <w:pStyle w:val="paragraph"/>
      </w:pPr>
      <w:r w:rsidRPr="00097A86">
        <w:tab/>
        <w:t>(b)</w:t>
      </w:r>
      <w:r w:rsidRPr="00097A86">
        <w:tab/>
        <w:t>in Part</w:t>
      </w:r>
      <w:r w:rsidR="00097A86">
        <w:t> </w:t>
      </w:r>
      <w:r w:rsidRPr="00097A86">
        <w:t>4.3</w:t>
      </w:r>
      <w:r w:rsidR="00D22D3F" w:rsidRPr="00097A86">
        <w:t>—</w:t>
      </w:r>
      <w:r w:rsidRPr="00097A86">
        <w:t>the production of:</w:t>
      </w:r>
    </w:p>
    <w:p w14:paraId="17AB920A" w14:textId="77777777" w:rsidR="00D4486E" w:rsidRPr="00097A86" w:rsidRDefault="00D4486E" w:rsidP="00D22D3F">
      <w:pPr>
        <w:pStyle w:val="paragraphsub"/>
      </w:pPr>
      <w:r w:rsidRPr="00097A86">
        <w:tab/>
        <w:t>(i)</w:t>
      </w:r>
      <w:r w:rsidRPr="00097A86">
        <w:tab/>
        <w:t>ammonia (see Division</w:t>
      </w:r>
      <w:r w:rsidR="00097A86">
        <w:t> </w:t>
      </w:r>
      <w:r w:rsidRPr="00097A86">
        <w:t>4.3.1);</w:t>
      </w:r>
    </w:p>
    <w:p w14:paraId="2C0E51CA" w14:textId="77777777" w:rsidR="00D4486E" w:rsidRPr="00097A86" w:rsidRDefault="00D4486E" w:rsidP="00D22D3F">
      <w:pPr>
        <w:pStyle w:val="paragraphsub"/>
      </w:pPr>
      <w:r w:rsidRPr="00097A86">
        <w:tab/>
        <w:t>(ii)</w:t>
      </w:r>
      <w:r w:rsidRPr="00097A86">
        <w:tab/>
        <w:t>nitric acid (see Division</w:t>
      </w:r>
      <w:r w:rsidR="00097A86">
        <w:t> </w:t>
      </w:r>
      <w:r w:rsidRPr="00097A86">
        <w:t>4.3.2);</w:t>
      </w:r>
    </w:p>
    <w:p w14:paraId="3C648926" w14:textId="77777777" w:rsidR="00D4486E" w:rsidRPr="00097A86" w:rsidRDefault="00D4486E" w:rsidP="00D22D3F">
      <w:pPr>
        <w:pStyle w:val="paragraphsub"/>
      </w:pPr>
      <w:r w:rsidRPr="00097A86">
        <w:tab/>
        <w:t>(iii)</w:t>
      </w:r>
      <w:r w:rsidRPr="00097A86">
        <w:tab/>
        <w:t>adipic acid (see Division</w:t>
      </w:r>
      <w:r w:rsidR="00097A86">
        <w:t> </w:t>
      </w:r>
      <w:r w:rsidRPr="00097A86">
        <w:t>4.3.3);</w:t>
      </w:r>
    </w:p>
    <w:p w14:paraId="77EE5DAE" w14:textId="77777777" w:rsidR="00D4486E" w:rsidRPr="00097A86" w:rsidRDefault="00D4486E" w:rsidP="00D22D3F">
      <w:pPr>
        <w:pStyle w:val="paragraphsub"/>
      </w:pPr>
      <w:r w:rsidRPr="00097A86">
        <w:tab/>
        <w:t>(iv)</w:t>
      </w:r>
      <w:r w:rsidRPr="00097A86">
        <w:tab/>
        <w:t>carbide (see Division</w:t>
      </w:r>
      <w:r w:rsidR="00097A86">
        <w:t> </w:t>
      </w:r>
      <w:r w:rsidRPr="00097A86">
        <w:t>4.3.4);</w:t>
      </w:r>
    </w:p>
    <w:p w14:paraId="0E8CC51D" w14:textId="77777777" w:rsidR="00D4486E" w:rsidRPr="00097A86" w:rsidRDefault="00D4486E" w:rsidP="00D22D3F">
      <w:pPr>
        <w:pStyle w:val="paragraphsub"/>
      </w:pPr>
      <w:r w:rsidRPr="00097A86">
        <w:tab/>
        <w:t>(v)</w:t>
      </w:r>
      <w:r w:rsidRPr="00097A86">
        <w:tab/>
        <w:t xml:space="preserve">a chemical or mineral product other than carbide using a carbon </w:t>
      </w:r>
      <w:r w:rsidR="00345CB2" w:rsidRPr="00097A86">
        <w:t xml:space="preserve">reductant or carbon anode </w:t>
      </w:r>
      <w:r w:rsidRPr="00097A86">
        <w:t>(see Division</w:t>
      </w:r>
      <w:r w:rsidR="00097A86">
        <w:t> </w:t>
      </w:r>
      <w:r w:rsidRPr="00097A86">
        <w:t>4.3.5);</w:t>
      </w:r>
    </w:p>
    <w:p w14:paraId="4972A866" w14:textId="77777777" w:rsidR="005240A6" w:rsidRPr="00097A86" w:rsidRDefault="005240A6" w:rsidP="00D22D3F">
      <w:pPr>
        <w:pStyle w:val="paragraphsub"/>
      </w:pPr>
      <w:r w:rsidRPr="00097A86">
        <w:tab/>
        <w:t>(vi)</w:t>
      </w:r>
      <w:r w:rsidRPr="00097A86">
        <w:tab/>
        <w:t>sodium cyanide (see Division</w:t>
      </w:r>
      <w:r w:rsidR="00097A86">
        <w:t> </w:t>
      </w:r>
      <w:r w:rsidRPr="00097A86">
        <w:t>4.3.6);</w:t>
      </w:r>
    </w:p>
    <w:p w14:paraId="4EB33A1B" w14:textId="77777777" w:rsidR="00D4486E" w:rsidRPr="00097A86" w:rsidRDefault="00D4486E" w:rsidP="00D22D3F">
      <w:pPr>
        <w:pStyle w:val="paragraph"/>
      </w:pPr>
      <w:r w:rsidRPr="00097A86">
        <w:tab/>
        <w:t>(c)</w:t>
      </w:r>
      <w:r w:rsidRPr="00097A86">
        <w:tab/>
        <w:t>in Part</w:t>
      </w:r>
      <w:r w:rsidR="00097A86">
        <w:t> </w:t>
      </w:r>
      <w:r w:rsidRPr="00097A86">
        <w:t>4.4</w:t>
      </w:r>
      <w:r w:rsidR="00D22D3F" w:rsidRPr="00097A86">
        <w:t>—</w:t>
      </w:r>
      <w:r w:rsidRPr="00097A86">
        <w:t>the production of:</w:t>
      </w:r>
    </w:p>
    <w:p w14:paraId="4CC8EA9C" w14:textId="77777777" w:rsidR="00D4486E" w:rsidRPr="00097A86" w:rsidRDefault="00D4486E" w:rsidP="00D22D3F">
      <w:pPr>
        <w:pStyle w:val="paragraphsub"/>
      </w:pPr>
      <w:r w:rsidRPr="00097A86">
        <w:tab/>
        <w:t>(i)</w:t>
      </w:r>
      <w:r w:rsidRPr="00097A86">
        <w:tab/>
        <w:t>iron and steel (see Division</w:t>
      </w:r>
      <w:r w:rsidR="00097A86">
        <w:t> </w:t>
      </w:r>
      <w:r w:rsidRPr="00097A86">
        <w:t>4.4.1);</w:t>
      </w:r>
    </w:p>
    <w:p w14:paraId="52DD437A" w14:textId="77777777" w:rsidR="00D4486E" w:rsidRPr="00097A86" w:rsidRDefault="00D4486E" w:rsidP="00D22D3F">
      <w:pPr>
        <w:pStyle w:val="paragraphsub"/>
      </w:pPr>
      <w:r w:rsidRPr="00097A86">
        <w:tab/>
        <w:t>(ii)</w:t>
      </w:r>
      <w:r w:rsidRPr="00097A86">
        <w:tab/>
        <w:t>ferroalloy metals (see Division</w:t>
      </w:r>
      <w:r w:rsidR="00097A86">
        <w:t> </w:t>
      </w:r>
      <w:r w:rsidRPr="00097A86">
        <w:t>4.4.2);</w:t>
      </w:r>
    </w:p>
    <w:p w14:paraId="0D72933D" w14:textId="77777777" w:rsidR="00D4486E" w:rsidRPr="00097A86" w:rsidRDefault="00D4486E" w:rsidP="00D22D3F">
      <w:pPr>
        <w:pStyle w:val="paragraphsub"/>
      </w:pPr>
      <w:r w:rsidRPr="00097A86">
        <w:tab/>
        <w:t>(iii)</w:t>
      </w:r>
      <w:r w:rsidRPr="00097A86">
        <w:tab/>
        <w:t>aluminium (see Divisions</w:t>
      </w:r>
      <w:r w:rsidR="00097A86">
        <w:t> </w:t>
      </w:r>
      <w:r w:rsidRPr="00097A86">
        <w:t>4.4.3 and 4.4.4);</w:t>
      </w:r>
    </w:p>
    <w:p w14:paraId="7F873E8F" w14:textId="77777777" w:rsidR="00D4486E" w:rsidRPr="00097A86" w:rsidRDefault="00D4486E" w:rsidP="00D22D3F">
      <w:pPr>
        <w:pStyle w:val="paragraphsub"/>
      </w:pPr>
      <w:r w:rsidRPr="00097A86">
        <w:tab/>
        <w:t>(iv)</w:t>
      </w:r>
      <w:r w:rsidRPr="00097A86">
        <w:tab/>
        <w:t>other metals (see Division</w:t>
      </w:r>
      <w:r w:rsidR="00097A86">
        <w:t> </w:t>
      </w:r>
      <w:r w:rsidRPr="00097A86">
        <w:t>4.4.5).</w:t>
      </w:r>
    </w:p>
    <w:p w14:paraId="0277E505" w14:textId="77777777" w:rsidR="003F0D4E" w:rsidRPr="00097A86" w:rsidRDefault="003F0D4E" w:rsidP="00D22D3F">
      <w:pPr>
        <w:pStyle w:val="subsection"/>
      </w:pPr>
      <w:r w:rsidRPr="00097A86">
        <w:tab/>
        <w:t>(3)</w:t>
      </w:r>
      <w:r w:rsidRPr="00097A86">
        <w:tab/>
        <w:t>This Chapter, in Part</w:t>
      </w:r>
      <w:r w:rsidR="00097A86">
        <w:t> </w:t>
      </w:r>
      <w:r w:rsidRPr="00097A86">
        <w:t>4.5, also applies to emissions released from the consumption of the following synthetic gases:</w:t>
      </w:r>
    </w:p>
    <w:p w14:paraId="4C99A80A" w14:textId="77777777" w:rsidR="003F0D4E" w:rsidRPr="00097A86" w:rsidRDefault="003F0D4E" w:rsidP="00D22D3F">
      <w:pPr>
        <w:pStyle w:val="paragraph"/>
      </w:pPr>
      <w:r w:rsidRPr="00097A86">
        <w:tab/>
        <w:t>(a)</w:t>
      </w:r>
      <w:r w:rsidRPr="00097A86">
        <w:tab/>
        <w:t>hydrofluorocarbons;</w:t>
      </w:r>
    </w:p>
    <w:p w14:paraId="3DD05C74" w14:textId="77777777" w:rsidR="003F0D4E" w:rsidRPr="00097A86" w:rsidRDefault="003F0D4E" w:rsidP="00D22D3F">
      <w:pPr>
        <w:pStyle w:val="paragraph"/>
      </w:pPr>
      <w:r w:rsidRPr="00097A86">
        <w:tab/>
        <w:t>(b)</w:t>
      </w:r>
      <w:r w:rsidRPr="00097A86">
        <w:tab/>
        <w:t>sulphur hexafluoride.</w:t>
      </w:r>
    </w:p>
    <w:p w14:paraId="7D77B04B" w14:textId="77777777" w:rsidR="00D4486E" w:rsidRPr="00097A86" w:rsidRDefault="00D4486E" w:rsidP="00D22D3F">
      <w:pPr>
        <w:pStyle w:val="subsection"/>
      </w:pPr>
      <w:r w:rsidRPr="00097A86">
        <w:tab/>
        <w:t>(4)</w:t>
      </w:r>
      <w:r w:rsidRPr="00097A86">
        <w:tab/>
        <w:t>This Chapter does not apply to emissions from fuel combusted for energy production.</w:t>
      </w:r>
    </w:p>
    <w:p w14:paraId="73B32B7F" w14:textId="77777777" w:rsidR="003F0D4E" w:rsidRPr="00097A86" w:rsidRDefault="003F0D4E" w:rsidP="004C53FA">
      <w:pPr>
        <w:pStyle w:val="ActHead2"/>
        <w:pageBreakBefore/>
      </w:pPr>
      <w:bookmarkStart w:id="382" w:name="_Toc13233814"/>
      <w:r w:rsidRPr="00097A86">
        <w:rPr>
          <w:rStyle w:val="CharPartNo"/>
        </w:rPr>
        <w:lastRenderedPageBreak/>
        <w:t>Part</w:t>
      </w:r>
      <w:r w:rsidR="00097A86">
        <w:rPr>
          <w:rStyle w:val="CharPartNo"/>
        </w:rPr>
        <w:t> </w:t>
      </w:r>
      <w:r w:rsidRPr="00097A86">
        <w:rPr>
          <w:rStyle w:val="CharPartNo"/>
        </w:rPr>
        <w:t>4.2</w:t>
      </w:r>
      <w:r w:rsidR="00D22D3F" w:rsidRPr="00097A86">
        <w:t>—</w:t>
      </w:r>
      <w:r w:rsidRPr="00097A86">
        <w:rPr>
          <w:rStyle w:val="CharPartText"/>
        </w:rPr>
        <w:t>Industrial processes</w:t>
      </w:r>
      <w:r w:rsidR="00D22D3F" w:rsidRPr="00097A86">
        <w:rPr>
          <w:rStyle w:val="CharPartText"/>
        </w:rPr>
        <w:t>—</w:t>
      </w:r>
      <w:r w:rsidRPr="00097A86">
        <w:rPr>
          <w:rStyle w:val="CharPartText"/>
        </w:rPr>
        <w:t>mineral products</w:t>
      </w:r>
      <w:bookmarkEnd w:id="382"/>
    </w:p>
    <w:p w14:paraId="3B98A9E3" w14:textId="77777777" w:rsidR="003F0D4E" w:rsidRPr="00097A86" w:rsidRDefault="003F0D4E" w:rsidP="00D22D3F">
      <w:pPr>
        <w:pStyle w:val="ActHead3"/>
      </w:pPr>
      <w:bookmarkStart w:id="383" w:name="_Toc13233815"/>
      <w:r w:rsidRPr="00097A86">
        <w:rPr>
          <w:rStyle w:val="CharDivNo"/>
        </w:rPr>
        <w:t>Division</w:t>
      </w:r>
      <w:r w:rsidR="00097A86">
        <w:rPr>
          <w:rStyle w:val="CharDivNo"/>
        </w:rPr>
        <w:t> </w:t>
      </w:r>
      <w:r w:rsidRPr="00097A86">
        <w:rPr>
          <w:rStyle w:val="CharDivNo"/>
        </w:rPr>
        <w:t>4.2.1</w:t>
      </w:r>
      <w:r w:rsidR="00D22D3F" w:rsidRPr="00097A86">
        <w:t>—</w:t>
      </w:r>
      <w:r w:rsidRPr="00097A86">
        <w:rPr>
          <w:rStyle w:val="CharDivText"/>
        </w:rPr>
        <w:t>Cement clinker production</w:t>
      </w:r>
      <w:bookmarkEnd w:id="383"/>
    </w:p>
    <w:p w14:paraId="6ABA41F4" w14:textId="77777777" w:rsidR="003F0D4E" w:rsidRPr="00097A86" w:rsidRDefault="003F0D4E" w:rsidP="00D22D3F">
      <w:pPr>
        <w:pStyle w:val="ActHead5"/>
      </w:pPr>
      <w:bookmarkStart w:id="384" w:name="_Toc13233816"/>
      <w:r w:rsidRPr="00097A86">
        <w:rPr>
          <w:rStyle w:val="CharSectno"/>
        </w:rPr>
        <w:t>4.2</w:t>
      </w:r>
      <w:r w:rsidR="00D22D3F" w:rsidRPr="00097A86">
        <w:t xml:space="preserve">  </w:t>
      </w:r>
      <w:r w:rsidRPr="00097A86">
        <w:t>Application</w:t>
      </w:r>
      <w:bookmarkEnd w:id="384"/>
    </w:p>
    <w:p w14:paraId="06811B57" w14:textId="77777777" w:rsidR="003F0D4E" w:rsidRPr="00097A86" w:rsidRDefault="003F0D4E" w:rsidP="00D22D3F">
      <w:pPr>
        <w:pStyle w:val="subsection"/>
      </w:pPr>
      <w:r w:rsidRPr="00097A86">
        <w:tab/>
      </w:r>
      <w:r w:rsidRPr="00097A86">
        <w:tab/>
        <w:t>This Division applies to cement clinker production.</w:t>
      </w:r>
    </w:p>
    <w:p w14:paraId="22028916" w14:textId="77777777" w:rsidR="003F0D4E" w:rsidRPr="00097A86" w:rsidRDefault="003F0D4E" w:rsidP="00D22D3F">
      <w:pPr>
        <w:pStyle w:val="ActHead5"/>
      </w:pPr>
      <w:bookmarkStart w:id="385" w:name="_Toc13233817"/>
      <w:r w:rsidRPr="00097A86">
        <w:rPr>
          <w:rStyle w:val="CharSectno"/>
        </w:rPr>
        <w:t>4.3</w:t>
      </w:r>
      <w:r w:rsidR="00D22D3F" w:rsidRPr="00097A86">
        <w:t xml:space="preserve">  </w:t>
      </w:r>
      <w:r w:rsidRPr="00097A86">
        <w:t>Available methods</w:t>
      </w:r>
      <w:bookmarkEnd w:id="385"/>
    </w:p>
    <w:p w14:paraId="5651D879"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carbon dioxide released during a year from the operation of a facility that is constituted by the production of cement clinker:</w:t>
      </w:r>
    </w:p>
    <w:p w14:paraId="1CEA7EBD" w14:textId="77777777" w:rsidR="003F0D4E" w:rsidRPr="00097A86" w:rsidRDefault="003F0D4E" w:rsidP="00D22D3F">
      <w:pPr>
        <w:pStyle w:val="paragraph"/>
      </w:pPr>
      <w:r w:rsidRPr="00097A86">
        <w:tab/>
        <w:t>(a)</w:t>
      </w:r>
      <w:r w:rsidRPr="00097A86">
        <w:tab/>
        <w:t>method 1 under section</w:t>
      </w:r>
      <w:r w:rsidR="00097A86">
        <w:t> </w:t>
      </w:r>
      <w:r w:rsidRPr="00097A86">
        <w:t>4.4;</w:t>
      </w:r>
    </w:p>
    <w:p w14:paraId="6B0CD7E6" w14:textId="77777777" w:rsidR="003F0D4E" w:rsidRPr="00097A86" w:rsidRDefault="003F0D4E" w:rsidP="00D22D3F">
      <w:pPr>
        <w:pStyle w:val="paragraph"/>
      </w:pPr>
      <w:r w:rsidRPr="00097A86">
        <w:tab/>
        <w:t>(b)</w:t>
      </w:r>
      <w:r w:rsidRPr="00097A86">
        <w:tab/>
        <w:t>method 2 under section</w:t>
      </w:r>
      <w:r w:rsidR="00097A86">
        <w:t> </w:t>
      </w:r>
      <w:r w:rsidRPr="00097A86">
        <w:t>4.5;</w:t>
      </w:r>
    </w:p>
    <w:p w14:paraId="66C37815" w14:textId="77777777" w:rsidR="003F0D4E" w:rsidRPr="00097A86" w:rsidRDefault="003F0D4E" w:rsidP="00D22D3F">
      <w:pPr>
        <w:pStyle w:val="paragraph"/>
      </w:pPr>
      <w:r w:rsidRPr="00097A86">
        <w:tab/>
        <w:t>(c)</w:t>
      </w:r>
      <w:r w:rsidRPr="00097A86">
        <w:tab/>
        <w:t>method 3 under section</w:t>
      </w:r>
      <w:r w:rsidR="00097A86">
        <w:t> </w:t>
      </w:r>
      <w:r w:rsidRPr="00097A86">
        <w:t>4.8;</w:t>
      </w:r>
    </w:p>
    <w:p w14:paraId="73E29C43" w14:textId="77777777" w:rsidR="003F0D4E" w:rsidRPr="00097A86" w:rsidRDefault="003F0D4E" w:rsidP="00D22D3F">
      <w:pPr>
        <w:pStyle w:val="paragraph"/>
      </w:pPr>
      <w:r w:rsidRPr="00097A86">
        <w:tab/>
        <w:t>(d)</w:t>
      </w:r>
      <w:r w:rsidRPr="00097A86">
        <w:tab/>
        <w:t>method 4 under Part</w:t>
      </w:r>
      <w:r w:rsidR="00097A86">
        <w:t> </w:t>
      </w:r>
      <w:r w:rsidRPr="00097A86">
        <w:t>1.3.</w:t>
      </w:r>
    </w:p>
    <w:p w14:paraId="57919FFD"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another method may be used that is consistent with the principles in section</w:t>
      </w:r>
      <w:r w:rsidR="00097A86">
        <w:t> </w:t>
      </w:r>
      <w:r w:rsidRPr="00097A86">
        <w:t>1.13.</w:t>
      </w:r>
    </w:p>
    <w:p w14:paraId="08B38B40" w14:textId="77777777" w:rsidR="003F0D4E" w:rsidRPr="00097A86" w:rsidRDefault="003F0D4E" w:rsidP="00D22D3F">
      <w:pPr>
        <w:pStyle w:val="ActHead5"/>
      </w:pPr>
      <w:bookmarkStart w:id="386" w:name="_Toc13233818"/>
      <w:r w:rsidRPr="00097A86">
        <w:rPr>
          <w:rStyle w:val="CharSectno"/>
        </w:rPr>
        <w:t>4.4</w:t>
      </w:r>
      <w:r w:rsidR="00D22D3F" w:rsidRPr="00097A86">
        <w:t xml:space="preserve">  </w:t>
      </w:r>
      <w:r w:rsidRPr="00097A86">
        <w:t>Method 1</w:t>
      </w:r>
      <w:r w:rsidR="00D22D3F" w:rsidRPr="00097A86">
        <w:t>—</w:t>
      </w:r>
      <w:r w:rsidRPr="00097A86">
        <w:t>cement clinker production</w:t>
      </w:r>
      <w:bookmarkEnd w:id="386"/>
    </w:p>
    <w:p w14:paraId="6AF1BDA9" w14:textId="77777777" w:rsidR="003F0D4E" w:rsidRPr="00097A86" w:rsidRDefault="003F0D4E" w:rsidP="00D22D3F">
      <w:pPr>
        <w:pStyle w:val="subsection"/>
      </w:pPr>
      <w:r w:rsidRPr="00097A86">
        <w:tab/>
      </w:r>
      <w:r w:rsidRPr="00097A86">
        <w:tab/>
        <w:t>Method 1 is:</w:t>
      </w:r>
    </w:p>
    <w:p w14:paraId="5705EB10"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3B6B2492" wp14:editId="1866CECE">
            <wp:extent cx="2828925" cy="352425"/>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p>
    <w:p w14:paraId="1917A998" w14:textId="77777777" w:rsidR="003F0D4E" w:rsidRPr="00097A86" w:rsidRDefault="003F0D4E" w:rsidP="00D22D3F">
      <w:pPr>
        <w:pStyle w:val="subsection2"/>
      </w:pPr>
      <w:r w:rsidRPr="00097A86">
        <w:t>where:</w:t>
      </w:r>
    </w:p>
    <w:p w14:paraId="3BD1EB75" w14:textId="77777777" w:rsidR="003F0D4E" w:rsidRPr="00097A86" w:rsidRDefault="003F0D4E" w:rsidP="00D22D3F">
      <w:pPr>
        <w:pStyle w:val="Definition"/>
      </w:pPr>
      <w:r w:rsidRPr="00097A86">
        <w:rPr>
          <w:b/>
          <w:i/>
        </w:rPr>
        <w:t>E</w:t>
      </w:r>
      <w:r w:rsidRPr="00097A86">
        <w:rPr>
          <w:rStyle w:val="charSubscript"/>
          <w:b/>
          <w:i/>
          <w:sz w:val="16"/>
          <w:szCs w:val="16"/>
        </w:rPr>
        <w:t>ij</w:t>
      </w:r>
      <w:r w:rsidRPr="00097A86">
        <w:rPr>
          <w:b/>
          <w:i/>
        </w:rPr>
        <w:t xml:space="preserve"> </w:t>
      </w:r>
      <w:r w:rsidRPr="00097A86">
        <w:t>is the emissions of carbon dioxide (</w:t>
      </w:r>
      <w:r w:rsidRPr="00097A86">
        <w:rPr>
          <w:b/>
          <w:i/>
        </w:rPr>
        <w:t>j</w:t>
      </w:r>
      <w:r w:rsidRPr="00097A86">
        <w:t>) released from the production of cement clinker (</w:t>
      </w:r>
      <w:r w:rsidRPr="00097A86">
        <w:rPr>
          <w:b/>
          <w:i/>
        </w:rPr>
        <w:t>i</w:t>
      </w:r>
      <w:r w:rsidRPr="00097A86">
        <w:t>) during the year measured in CO</w:t>
      </w:r>
      <w:r w:rsidRPr="00097A86">
        <w:rPr>
          <w:rStyle w:val="charSubscript"/>
          <w:iCs/>
        </w:rPr>
        <w:t>2</w:t>
      </w:r>
      <w:r w:rsidR="00097A86">
        <w:noBreakHyphen/>
      </w:r>
      <w:r w:rsidRPr="00097A86">
        <w:t>e tonnes.</w:t>
      </w:r>
    </w:p>
    <w:p w14:paraId="7F42CD07" w14:textId="77777777" w:rsidR="003F0D4E" w:rsidRPr="00097A86" w:rsidRDefault="003F0D4E" w:rsidP="00D22D3F">
      <w:pPr>
        <w:pStyle w:val="Definition"/>
      </w:pPr>
      <w:r w:rsidRPr="00097A86">
        <w:rPr>
          <w:b/>
          <w:i/>
        </w:rPr>
        <w:t>EF</w:t>
      </w:r>
      <w:r w:rsidRPr="00097A86">
        <w:rPr>
          <w:rStyle w:val="charSubscript"/>
          <w:b/>
          <w:i/>
        </w:rPr>
        <w:t>ij</w:t>
      </w:r>
      <w:r w:rsidRPr="00097A86">
        <w:rPr>
          <w:b/>
          <w:i/>
        </w:rPr>
        <w:t xml:space="preserve"> </w:t>
      </w:r>
      <w:r w:rsidRPr="00097A86">
        <w:t>is 0.534, which is the carbon dioxide (</w:t>
      </w:r>
      <w:r w:rsidRPr="00097A86">
        <w:rPr>
          <w:b/>
          <w:i/>
        </w:rPr>
        <w:t>j</w:t>
      </w:r>
      <w:r w:rsidRPr="00097A86">
        <w:t>) emission factor for cement clinker (</w:t>
      </w:r>
      <w:r w:rsidRPr="00097A86">
        <w:rPr>
          <w:b/>
          <w:i/>
        </w:rPr>
        <w:t>i</w:t>
      </w:r>
      <w:r w:rsidRPr="00097A86">
        <w:t>), measured in tonnes of emissions of carbon dioxide per tonne of cement clinker produced.</w:t>
      </w:r>
    </w:p>
    <w:p w14:paraId="40C08A77" w14:textId="77777777" w:rsidR="003F0D4E" w:rsidRPr="00097A86" w:rsidRDefault="003F0D4E" w:rsidP="00D22D3F">
      <w:pPr>
        <w:pStyle w:val="Definition"/>
      </w:pPr>
      <w:r w:rsidRPr="00097A86">
        <w:rPr>
          <w:b/>
          <w:i/>
        </w:rPr>
        <w:t>EF</w:t>
      </w:r>
      <w:r w:rsidRPr="00097A86">
        <w:rPr>
          <w:b/>
          <w:i/>
          <w:vertAlign w:val="subscript"/>
        </w:rPr>
        <w:t xml:space="preserve">toc,j </w:t>
      </w:r>
      <w:r w:rsidRPr="00097A86">
        <w:t>is 0.010, which is the carbon dioxide (</w:t>
      </w:r>
      <w:r w:rsidRPr="00097A86">
        <w:rPr>
          <w:b/>
          <w:i/>
        </w:rPr>
        <w:t>j</w:t>
      </w:r>
      <w:r w:rsidRPr="00097A86">
        <w:t>) emission factor for carbon</w:t>
      </w:r>
      <w:r w:rsidR="00097A86">
        <w:noBreakHyphen/>
      </w:r>
      <w:r w:rsidRPr="00097A86">
        <w:t>bearing non</w:t>
      </w:r>
      <w:r w:rsidR="00097A86">
        <w:noBreakHyphen/>
      </w:r>
      <w:r w:rsidRPr="00097A86">
        <w:t>fuel raw material, measured in tonnes of emissions of carbon dioxide per tonne of cement clinker produced.</w:t>
      </w:r>
    </w:p>
    <w:p w14:paraId="358CDA10" w14:textId="77777777" w:rsidR="003F0D4E" w:rsidRPr="00097A86" w:rsidRDefault="003F0D4E" w:rsidP="00D22D3F">
      <w:pPr>
        <w:pStyle w:val="Definition"/>
      </w:pPr>
      <w:r w:rsidRPr="00097A86">
        <w:rPr>
          <w:b/>
          <w:i/>
        </w:rPr>
        <w:t>A</w:t>
      </w:r>
      <w:r w:rsidRPr="00097A86">
        <w:rPr>
          <w:rStyle w:val="charSubscript"/>
          <w:b/>
          <w:i/>
        </w:rPr>
        <w:t>i</w:t>
      </w:r>
      <w:r w:rsidRPr="00097A86">
        <w:rPr>
          <w:b/>
          <w:i/>
        </w:rPr>
        <w:t xml:space="preserve"> </w:t>
      </w:r>
      <w:r w:rsidRPr="00097A86">
        <w:t>is the quantity of cement clinker (</w:t>
      </w:r>
      <w:r w:rsidRPr="00097A86">
        <w:rPr>
          <w:b/>
          <w:i/>
        </w:rPr>
        <w:t>i</w:t>
      </w:r>
      <w:r w:rsidRPr="00097A86">
        <w:t>) produced during the year measured in tonnes and estimated under Division</w:t>
      </w:r>
      <w:r w:rsidR="00097A86">
        <w:t> </w:t>
      </w:r>
      <w:r w:rsidRPr="00097A86">
        <w:t>4.2.5.</w:t>
      </w:r>
    </w:p>
    <w:p w14:paraId="779661B0" w14:textId="77777777" w:rsidR="003F0D4E" w:rsidRPr="00097A86" w:rsidRDefault="003F0D4E" w:rsidP="00D22D3F">
      <w:pPr>
        <w:pStyle w:val="Definition"/>
      </w:pPr>
      <w:r w:rsidRPr="00097A86">
        <w:rPr>
          <w:b/>
          <w:i/>
          <w:iCs/>
        </w:rPr>
        <w:t>A</w:t>
      </w:r>
      <w:r w:rsidRPr="00097A86">
        <w:rPr>
          <w:rStyle w:val="charSubscript"/>
          <w:b/>
          <w:i/>
        </w:rPr>
        <w:t>ckd</w:t>
      </w:r>
      <w:r w:rsidRPr="00097A86">
        <w:rPr>
          <w:b/>
          <w:i/>
          <w:iCs/>
        </w:rPr>
        <w:t xml:space="preserve"> </w:t>
      </w:r>
      <w:r w:rsidRPr="00097A86">
        <w:rPr>
          <w:iCs/>
        </w:rPr>
        <w:t>is</w:t>
      </w:r>
      <w:r w:rsidRPr="00097A86">
        <w:t xml:space="preserve"> the quantity of cement kiln dust produced as a result of the production of cement clinker during the year, measured in tonnes and estimated under Division</w:t>
      </w:r>
      <w:r w:rsidR="00097A86">
        <w:t> </w:t>
      </w:r>
      <w:r w:rsidRPr="00097A86">
        <w:t>4.2.5.</w:t>
      </w:r>
    </w:p>
    <w:p w14:paraId="5F2EA0E2" w14:textId="77777777" w:rsidR="003F0D4E" w:rsidRPr="00097A86" w:rsidRDefault="003F0D4E" w:rsidP="00D22D3F">
      <w:pPr>
        <w:pStyle w:val="Definition"/>
      </w:pPr>
      <w:r w:rsidRPr="00097A86">
        <w:rPr>
          <w:b/>
          <w:i/>
        </w:rPr>
        <w:t>F</w:t>
      </w:r>
      <w:r w:rsidRPr="00097A86">
        <w:rPr>
          <w:rStyle w:val="charSubscript"/>
          <w:b/>
          <w:i/>
        </w:rPr>
        <w:t>ckd</w:t>
      </w:r>
      <w:r w:rsidRPr="00097A86">
        <w:rPr>
          <w:b/>
          <w:i/>
        </w:rPr>
        <w:t xml:space="preserve"> </w:t>
      </w:r>
      <w:r w:rsidRPr="00097A86">
        <w:t>is:</w:t>
      </w:r>
    </w:p>
    <w:p w14:paraId="1ADEF95C" w14:textId="77777777" w:rsidR="003F0D4E" w:rsidRPr="00097A86" w:rsidRDefault="003F0D4E" w:rsidP="00D22D3F">
      <w:pPr>
        <w:pStyle w:val="paragraph"/>
      </w:pPr>
      <w:r w:rsidRPr="00097A86">
        <w:lastRenderedPageBreak/>
        <w:tab/>
        <w:t>(a)</w:t>
      </w:r>
      <w:r w:rsidRPr="00097A86">
        <w:tab/>
        <w:t>the degree of calcination of cement kiln dust produced as a result of the production of cement clinker during the year, expressed as a decimal fraction; or</w:t>
      </w:r>
    </w:p>
    <w:p w14:paraId="7711108A" w14:textId="77777777" w:rsidR="003F0D4E" w:rsidRPr="00097A86" w:rsidRDefault="003F0D4E" w:rsidP="00D22D3F">
      <w:pPr>
        <w:pStyle w:val="paragraph"/>
      </w:pPr>
      <w:r w:rsidRPr="00097A86">
        <w:tab/>
        <w:t>(b)</w:t>
      </w:r>
      <w:r w:rsidRPr="00097A86">
        <w:tab/>
        <w:t xml:space="preserve">if the information mentioned in </w:t>
      </w:r>
      <w:r w:rsidR="00097A86">
        <w:t>paragraph (</w:t>
      </w:r>
      <w:r w:rsidRPr="00097A86">
        <w:t>a) is not available</w:t>
      </w:r>
      <w:r w:rsidR="00D22D3F" w:rsidRPr="00097A86">
        <w:t>—</w:t>
      </w:r>
      <w:r w:rsidRPr="00097A86">
        <w:t>the value 1.</w:t>
      </w:r>
    </w:p>
    <w:p w14:paraId="64B48155" w14:textId="77777777" w:rsidR="003577A4" w:rsidRPr="00097A86" w:rsidRDefault="003577A4" w:rsidP="00D22D3F">
      <w:pPr>
        <w:pStyle w:val="ActHead5"/>
      </w:pPr>
      <w:bookmarkStart w:id="387" w:name="_Toc13233819"/>
      <w:r w:rsidRPr="00097A86">
        <w:rPr>
          <w:rStyle w:val="CharSectno"/>
        </w:rPr>
        <w:t>4.5</w:t>
      </w:r>
      <w:r w:rsidR="00D22D3F" w:rsidRPr="00097A86">
        <w:t xml:space="preserve">  </w:t>
      </w:r>
      <w:r w:rsidRPr="00097A86">
        <w:t>Method 2</w:t>
      </w:r>
      <w:r w:rsidR="00D22D3F" w:rsidRPr="00097A86">
        <w:t>—</w:t>
      </w:r>
      <w:r w:rsidRPr="00097A86">
        <w:t>cement clinker production</w:t>
      </w:r>
      <w:bookmarkEnd w:id="387"/>
    </w:p>
    <w:p w14:paraId="7BD275D0" w14:textId="77777777" w:rsidR="003577A4" w:rsidRPr="00097A86" w:rsidRDefault="003577A4" w:rsidP="00D22D3F">
      <w:pPr>
        <w:pStyle w:val="subsection"/>
      </w:pPr>
      <w:r w:rsidRPr="00097A86">
        <w:tab/>
        <w:t>(1)</w:t>
      </w:r>
      <w:r w:rsidRPr="00097A86">
        <w:tab/>
        <w:t>Method 2 is:</w:t>
      </w:r>
    </w:p>
    <w:p w14:paraId="53FEA7E5" w14:textId="77777777" w:rsidR="003577A4" w:rsidRPr="00097A86" w:rsidRDefault="00D22D3F" w:rsidP="00D22D3F">
      <w:pPr>
        <w:pStyle w:val="subsection"/>
        <w:spacing w:before="120" w:after="120"/>
      </w:pPr>
      <w:r w:rsidRPr="00097A86">
        <w:tab/>
      </w:r>
      <w:r w:rsidRPr="00097A86">
        <w:tab/>
      </w:r>
      <w:r w:rsidR="009E1F90">
        <w:rPr>
          <w:noProof/>
        </w:rPr>
        <w:drawing>
          <wp:inline distT="0" distB="0" distL="0" distR="0" wp14:anchorId="3B187F8A" wp14:editId="35E1AEA5">
            <wp:extent cx="3019425" cy="276225"/>
            <wp:effectExtent l="0" t="0" r="9525" b="9525"/>
            <wp:docPr id="18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14:paraId="6B7BD56E" w14:textId="77777777" w:rsidR="003577A4" w:rsidRPr="00097A86" w:rsidRDefault="003577A4" w:rsidP="00D22D3F">
      <w:pPr>
        <w:pStyle w:val="subsection2"/>
      </w:pPr>
      <w:r w:rsidRPr="00097A86">
        <w:t>where:</w:t>
      </w:r>
    </w:p>
    <w:p w14:paraId="08B7C39E" w14:textId="77777777" w:rsidR="003577A4" w:rsidRPr="00097A86" w:rsidRDefault="003577A4" w:rsidP="00D22D3F">
      <w:pPr>
        <w:pStyle w:val="Definition"/>
      </w:pPr>
      <w:r w:rsidRPr="00097A86">
        <w:rPr>
          <w:b/>
          <w:i/>
        </w:rPr>
        <w:t>E</w:t>
      </w:r>
      <w:r w:rsidRPr="00097A86">
        <w:rPr>
          <w:rStyle w:val="charSubscript"/>
          <w:b/>
          <w:i/>
          <w:sz w:val="16"/>
          <w:szCs w:val="16"/>
        </w:rPr>
        <w:t>ij</w:t>
      </w:r>
      <w:r w:rsidRPr="00097A86">
        <w:rPr>
          <w:b/>
          <w:i/>
        </w:rPr>
        <w:t xml:space="preserve"> </w:t>
      </w:r>
      <w:r w:rsidRPr="00097A86">
        <w:t>is the emissions of carbon dioxide (</w:t>
      </w:r>
      <w:r w:rsidRPr="00097A86">
        <w:rPr>
          <w:b/>
          <w:i/>
        </w:rPr>
        <w:t>j</w:t>
      </w:r>
      <w:r w:rsidRPr="00097A86">
        <w:t>) released from the production of cement clinker (</w:t>
      </w:r>
      <w:r w:rsidRPr="00097A86">
        <w:rPr>
          <w:b/>
          <w:i/>
        </w:rPr>
        <w:t>i</w:t>
      </w:r>
      <w:r w:rsidRPr="00097A86">
        <w:t>) during the year measured in CO</w:t>
      </w:r>
      <w:r w:rsidRPr="00097A86">
        <w:rPr>
          <w:rStyle w:val="charSubscript"/>
          <w:iCs/>
        </w:rPr>
        <w:t>2</w:t>
      </w:r>
      <w:r w:rsidR="00097A86">
        <w:noBreakHyphen/>
      </w:r>
      <w:r w:rsidRPr="00097A86">
        <w:t>e tonnes.</w:t>
      </w:r>
    </w:p>
    <w:p w14:paraId="0CD8322F" w14:textId="77777777" w:rsidR="003577A4" w:rsidRPr="00097A86" w:rsidRDefault="003577A4" w:rsidP="00D22D3F">
      <w:pPr>
        <w:pStyle w:val="Definition"/>
      </w:pPr>
      <w:r w:rsidRPr="00097A86">
        <w:rPr>
          <w:b/>
          <w:i/>
        </w:rPr>
        <w:t>EF</w:t>
      </w:r>
      <w:r w:rsidRPr="00097A86">
        <w:rPr>
          <w:rStyle w:val="charSubscript"/>
          <w:b/>
          <w:i/>
        </w:rPr>
        <w:t>ij</w:t>
      </w:r>
      <w:r w:rsidRPr="00097A86">
        <w:rPr>
          <w:b/>
          <w:i/>
        </w:rPr>
        <w:t xml:space="preserve"> </w:t>
      </w:r>
      <w:r w:rsidRPr="00097A86">
        <w:t xml:space="preserve">is as set out in </w:t>
      </w:r>
      <w:r w:rsidR="00097A86">
        <w:t>subsection (</w:t>
      </w:r>
      <w:r w:rsidRPr="00097A86">
        <w:t>2).</w:t>
      </w:r>
    </w:p>
    <w:p w14:paraId="5D09E7E0" w14:textId="77777777" w:rsidR="003577A4" w:rsidRPr="00097A86" w:rsidRDefault="003577A4" w:rsidP="00D22D3F">
      <w:pPr>
        <w:pStyle w:val="Definition"/>
      </w:pPr>
      <w:r w:rsidRPr="00097A86">
        <w:rPr>
          <w:b/>
          <w:i/>
        </w:rPr>
        <w:t>EF</w:t>
      </w:r>
      <w:r w:rsidRPr="00097A86">
        <w:rPr>
          <w:b/>
          <w:i/>
          <w:vertAlign w:val="subscript"/>
        </w:rPr>
        <w:t xml:space="preserve">toc,j </w:t>
      </w:r>
      <w:r w:rsidRPr="00097A86">
        <w:t>is 0.010, which is the carbon dioxide (</w:t>
      </w:r>
      <w:r w:rsidRPr="00097A86">
        <w:rPr>
          <w:b/>
          <w:i/>
        </w:rPr>
        <w:t>j</w:t>
      </w:r>
      <w:r w:rsidRPr="00097A86">
        <w:t>) emission factor for carbon</w:t>
      </w:r>
      <w:r w:rsidR="00097A86">
        <w:noBreakHyphen/>
      </w:r>
      <w:r w:rsidRPr="00097A86">
        <w:t>bearing non</w:t>
      </w:r>
      <w:r w:rsidR="00097A86">
        <w:noBreakHyphen/>
      </w:r>
      <w:r w:rsidRPr="00097A86">
        <w:t>fuel raw material, measured in tonnes of emissions of carbon dioxide per tonne of cement clinker produced.</w:t>
      </w:r>
    </w:p>
    <w:p w14:paraId="60115C0F" w14:textId="77777777" w:rsidR="003577A4" w:rsidRPr="00097A86" w:rsidRDefault="003577A4" w:rsidP="00D22D3F">
      <w:pPr>
        <w:pStyle w:val="Definition"/>
      </w:pPr>
      <w:r w:rsidRPr="00097A86">
        <w:rPr>
          <w:b/>
          <w:i/>
        </w:rPr>
        <w:t>A</w:t>
      </w:r>
      <w:r w:rsidRPr="00097A86">
        <w:rPr>
          <w:rStyle w:val="charSubscript"/>
          <w:b/>
          <w:i/>
        </w:rPr>
        <w:t>i</w:t>
      </w:r>
      <w:r w:rsidRPr="00097A86">
        <w:rPr>
          <w:b/>
          <w:i/>
        </w:rPr>
        <w:t xml:space="preserve"> </w:t>
      </w:r>
      <w:r w:rsidRPr="00097A86">
        <w:t>is the quantity of cement clinker (</w:t>
      </w:r>
      <w:r w:rsidRPr="00097A86">
        <w:rPr>
          <w:b/>
          <w:i/>
        </w:rPr>
        <w:t>i</w:t>
      </w:r>
      <w:r w:rsidRPr="00097A86">
        <w:t>) produced during the year measured in tonnes and estimated under Division</w:t>
      </w:r>
      <w:r w:rsidR="00097A86">
        <w:t> </w:t>
      </w:r>
      <w:r w:rsidRPr="00097A86">
        <w:t>4.2.5.</w:t>
      </w:r>
    </w:p>
    <w:p w14:paraId="15058391" w14:textId="77777777" w:rsidR="003577A4" w:rsidRPr="00097A86" w:rsidRDefault="003577A4" w:rsidP="00D22D3F">
      <w:pPr>
        <w:pStyle w:val="Definition"/>
      </w:pPr>
      <w:r w:rsidRPr="00097A86">
        <w:rPr>
          <w:b/>
          <w:i/>
          <w:iCs/>
        </w:rPr>
        <w:t>A</w:t>
      </w:r>
      <w:r w:rsidRPr="00097A86">
        <w:rPr>
          <w:rStyle w:val="charSubscript"/>
          <w:b/>
          <w:i/>
        </w:rPr>
        <w:t>ckd</w:t>
      </w:r>
      <w:r w:rsidRPr="00097A86">
        <w:rPr>
          <w:b/>
          <w:i/>
          <w:iCs/>
        </w:rPr>
        <w:t xml:space="preserve"> </w:t>
      </w:r>
      <w:r w:rsidRPr="00097A86">
        <w:rPr>
          <w:iCs/>
        </w:rPr>
        <w:t>is</w:t>
      </w:r>
      <w:r w:rsidRPr="00097A86">
        <w:t xml:space="preserve"> the quantity of cement kiln dust produced as a result of the production of cement clinker during the year, measured in tonnes and estimated under Division</w:t>
      </w:r>
      <w:r w:rsidR="00097A86">
        <w:t> </w:t>
      </w:r>
      <w:r w:rsidRPr="00097A86">
        <w:t>4.2.5.</w:t>
      </w:r>
    </w:p>
    <w:p w14:paraId="0F951C88" w14:textId="77777777" w:rsidR="003577A4" w:rsidRPr="00097A86" w:rsidRDefault="003577A4" w:rsidP="00D22D3F">
      <w:pPr>
        <w:pStyle w:val="Definition"/>
      </w:pPr>
      <w:r w:rsidRPr="00097A86">
        <w:rPr>
          <w:b/>
          <w:i/>
        </w:rPr>
        <w:t>F</w:t>
      </w:r>
      <w:r w:rsidRPr="00097A86">
        <w:rPr>
          <w:rStyle w:val="charSubscript"/>
          <w:b/>
          <w:i/>
        </w:rPr>
        <w:t>ckd</w:t>
      </w:r>
      <w:r w:rsidRPr="00097A86">
        <w:rPr>
          <w:b/>
          <w:i/>
        </w:rPr>
        <w:t xml:space="preserve"> </w:t>
      </w:r>
      <w:r w:rsidRPr="00097A86">
        <w:t>is:</w:t>
      </w:r>
    </w:p>
    <w:p w14:paraId="6674527D" w14:textId="77777777" w:rsidR="003577A4" w:rsidRPr="00097A86" w:rsidRDefault="003577A4" w:rsidP="00D22D3F">
      <w:pPr>
        <w:pStyle w:val="paragraph"/>
      </w:pPr>
      <w:r w:rsidRPr="00097A86">
        <w:tab/>
        <w:t>(a)</w:t>
      </w:r>
      <w:r w:rsidRPr="00097A86">
        <w:tab/>
        <w:t>the degree of calcination of cement kiln dust produced as a result of the production of cement clinker during the year, expressed as a decimal fraction; or</w:t>
      </w:r>
    </w:p>
    <w:p w14:paraId="178D7162" w14:textId="77777777" w:rsidR="003577A4" w:rsidRPr="00097A86" w:rsidRDefault="003577A4" w:rsidP="00D22D3F">
      <w:pPr>
        <w:pStyle w:val="paragraph"/>
      </w:pPr>
      <w:r w:rsidRPr="00097A86">
        <w:tab/>
        <w:t>(b)</w:t>
      </w:r>
      <w:r w:rsidRPr="00097A86">
        <w:tab/>
        <w:t xml:space="preserve">if the information mentioned in </w:t>
      </w:r>
      <w:r w:rsidR="00097A86">
        <w:t>paragraph (</w:t>
      </w:r>
      <w:r w:rsidRPr="00097A86">
        <w:t>a) is not available</w:t>
      </w:r>
      <w:r w:rsidR="00D22D3F" w:rsidRPr="00097A86">
        <w:t>—</w:t>
      </w:r>
      <w:r w:rsidRPr="00097A86">
        <w:t>the value 1.</w:t>
      </w:r>
    </w:p>
    <w:p w14:paraId="28438CA0" w14:textId="77777777" w:rsidR="003577A4" w:rsidRPr="00097A86" w:rsidRDefault="003577A4"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4276AFAA" w14:textId="77777777" w:rsidR="003577A4" w:rsidRPr="00097A86" w:rsidRDefault="003577A4" w:rsidP="00D22D3F">
      <w:pPr>
        <w:pStyle w:val="Definition"/>
      </w:pPr>
      <w:r w:rsidRPr="00097A86">
        <w:rPr>
          <w:b/>
          <w:i/>
        </w:rPr>
        <w:t>RCCS</w:t>
      </w:r>
      <w:r w:rsidRPr="00097A86">
        <w:rPr>
          <w:b/>
          <w:i/>
          <w:vertAlign w:val="subscript"/>
        </w:rPr>
        <w:t>CO</w:t>
      </w:r>
      <w:r w:rsidRPr="00097A86">
        <w:rPr>
          <w:b/>
          <w:i/>
          <w:position w:val="-4"/>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5E3DE8EB" w14:textId="77777777" w:rsidR="003577A4" w:rsidRPr="00097A86" w:rsidRDefault="003577A4" w:rsidP="00D22D3F">
      <w:pPr>
        <w:pStyle w:val="subsection"/>
      </w:pPr>
      <w:r w:rsidRPr="00097A86">
        <w:tab/>
        <w:t>(2)</w:t>
      </w:r>
      <w:r w:rsidRPr="00097A86">
        <w:tab/>
        <w:t xml:space="preserve">For </w:t>
      </w:r>
      <w:r w:rsidR="00097A86">
        <w:t>subsection (</w:t>
      </w:r>
      <w:r w:rsidRPr="00097A86">
        <w:t xml:space="preserve">1), </w:t>
      </w:r>
      <w:r w:rsidRPr="00097A86">
        <w:rPr>
          <w:b/>
          <w:i/>
        </w:rPr>
        <w:t>EF</w:t>
      </w:r>
      <w:r w:rsidRPr="00097A86">
        <w:rPr>
          <w:rStyle w:val="charSubscript"/>
          <w:b/>
          <w:i/>
          <w:sz w:val="22"/>
        </w:rPr>
        <w:t>ij</w:t>
      </w:r>
      <w:r w:rsidRPr="00097A86">
        <w:t xml:space="preserve"> is:</w:t>
      </w:r>
    </w:p>
    <w:p w14:paraId="081D6940" w14:textId="77777777" w:rsidR="003577A4" w:rsidRPr="00097A86" w:rsidRDefault="00D22D3F" w:rsidP="00D22D3F">
      <w:pPr>
        <w:pStyle w:val="subsection"/>
        <w:spacing w:before="120" w:after="120"/>
      </w:pPr>
      <w:r w:rsidRPr="00097A86">
        <w:tab/>
      </w:r>
      <w:r w:rsidRPr="00097A86">
        <w:tab/>
      </w:r>
      <w:r w:rsidR="009E1F90">
        <w:rPr>
          <w:noProof/>
        </w:rPr>
        <w:drawing>
          <wp:inline distT="0" distB="0" distL="0" distR="0" wp14:anchorId="2DF5BDCB" wp14:editId="477EE405">
            <wp:extent cx="1685925" cy="238125"/>
            <wp:effectExtent l="0" t="0" r="9525" b="9525"/>
            <wp:docPr id="18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p w14:paraId="6B5B629C" w14:textId="77777777" w:rsidR="003577A4" w:rsidRPr="00097A86" w:rsidRDefault="003577A4" w:rsidP="00D22D3F">
      <w:pPr>
        <w:pStyle w:val="subsection2"/>
      </w:pPr>
      <w:r w:rsidRPr="00097A86">
        <w:t>where:</w:t>
      </w:r>
    </w:p>
    <w:p w14:paraId="2BE2FAE0" w14:textId="77777777" w:rsidR="003577A4" w:rsidRPr="00097A86" w:rsidRDefault="003577A4" w:rsidP="00D22D3F">
      <w:pPr>
        <w:pStyle w:val="Definition"/>
      </w:pPr>
      <w:r w:rsidRPr="00097A86">
        <w:rPr>
          <w:b/>
          <w:i/>
        </w:rPr>
        <w:t>F</w:t>
      </w:r>
      <w:r w:rsidRPr="00097A86">
        <w:rPr>
          <w:rStyle w:val="charSubscript"/>
          <w:b/>
          <w:i/>
          <w:iCs/>
        </w:rPr>
        <w:t>CaO</w:t>
      </w:r>
      <w:r w:rsidRPr="00097A86">
        <w:rPr>
          <w:b/>
          <w:i/>
        </w:rPr>
        <w:t xml:space="preserve"> </w:t>
      </w:r>
      <w:r w:rsidRPr="00097A86">
        <w:t>is the estimated fraction of cement clinker that is calcium oxide derived from carbonate sources and produced from the operation of the facility.</w:t>
      </w:r>
    </w:p>
    <w:p w14:paraId="3DBF351F" w14:textId="77777777" w:rsidR="003577A4" w:rsidRPr="00097A86" w:rsidRDefault="003577A4" w:rsidP="00D22D3F">
      <w:pPr>
        <w:pStyle w:val="Definition"/>
      </w:pPr>
      <w:r w:rsidRPr="00097A86">
        <w:rPr>
          <w:b/>
          <w:i/>
        </w:rPr>
        <w:lastRenderedPageBreak/>
        <w:t>F</w:t>
      </w:r>
      <w:r w:rsidRPr="00097A86">
        <w:rPr>
          <w:rStyle w:val="charSubscript"/>
          <w:b/>
          <w:i/>
          <w:iCs/>
          <w:sz w:val="16"/>
        </w:rPr>
        <w:t>MgO</w:t>
      </w:r>
      <w:r w:rsidRPr="00097A86">
        <w:rPr>
          <w:b/>
          <w:i/>
        </w:rPr>
        <w:t xml:space="preserve"> </w:t>
      </w:r>
      <w:r w:rsidRPr="00097A86">
        <w:t>is the estimated fraction of cement clinker that is magnesium oxide derived from carbonate sources and produced from the operation of the facility.</w:t>
      </w:r>
    </w:p>
    <w:p w14:paraId="6B65C69E" w14:textId="77777777" w:rsidR="003577A4" w:rsidRPr="00097A86" w:rsidRDefault="00D22D3F" w:rsidP="00D22D3F">
      <w:pPr>
        <w:pStyle w:val="notetext"/>
      </w:pPr>
      <w:r w:rsidRPr="00097A86">
        <w:t>Note:</w:t>
      </w:r>
      <w:r w:rsidRPr="00097A86">
        <w:tab/>
      </w:r>
      <w:r w:rsidR="003577A4" w:rsidRPr="00097A86">
        <w:t>The molecular weight ratio of carbon dioxide to calcium oxide is 0.785, and the molecular weight ratio of carbon dioxide to magnesium oxide is 1.092.</w:t>
      </w:r>
    </w:p>
    <w:p w14:paraId="3A818BDE" w14:textId="77777777" w:rsidR="003577A4" w:rsidRPr="00097A86" w:rsidRDefault="003577A4" w:rsidP="00D22D3F">
      <w:pPr>
        <w:pStyle w:val="subsection"/>
      </w:pPr>
      <w:r w:rsidRPr="00097A86">
        <w:tab/>
        <w:t>(3)</w:t>
      </w:r>
      <w:r w:rsidRPr="00097A86">
        <w:tab/>
        <w:t>The cement clinker must be sampled and analysed in accordance with sections</w:t>
      </w:r>
      <w:r w:rsidR="00097A86">
        <w:t> </w:t>
      </w:r>
      <w:r w:rsidRPr="00097A86">
        <w:t>4.6 and 4.7.</w:t>
      </w:r>
    </w:p>
    <w:p w14:paraId="16DF8FDA" w14:textId="77777777" w:rsidR="003F0D4E" w:rsidRPr="00097A86" w:rsidRDefault="003F0D4E" w:rsidP="00D22D3F">
      <w:pPr>
        <w:pStyle w:val="ActHead5"/>
      </w:pPr>
      <w:bookmarkStart w:id="388" w:name="_Toc13233820"/>
      <w:r w:rsidRPr="00097A86">
        <w:rPr>
          <w:rStyle w:val="CharSectno"/>
        </w:rPr>
        <w:t>4.6</w:t>
      </w:r>
      <w:r w:rsidR="00D22D3F" w:rsidRPr="00097A86">
        <w:t xml:space="preserve">  </w:t>
      </w:r>
      <w:r w:rsidRPr="00097A86">
        <w:t>General requirements for sampling cement clinker</w:t>
      </w:r>
      <w:bookmarkEnd w:id="388"/>
    </w:p>
    <w:p w14:paraId="199E6D9F" w14:textId="77777777" w:rsidR="003F0D4E" w:rsidRPr="00097A86" w:rsidRDefault="003F0D4E" w:rsidP="00D22D3F">
      <w:pPr>
        <w:pStyle w:val="subsection"/>
      </w:pPr>
      <w:r w:rsidRPr="00097A86">
        <w:tab/>
        <w:t>(1)</w:t>
      </w:r>
      <w:r w:rsidRPr="00097A86">
        <w:tab/>
        <w:t>A sample of cement clinker must be derived from a composite of amounts of the cement clinker produced.</w:t>
      </w:r>
    </w:p>
    <w:p w14:paraId="6DE034EA"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4D5AF223"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35080FBE" w14:textId="77777777" w:rsidR="003F0D4E" w:rsidRPr="00097A86" w:rsidRDefault="003F0D4E" w:rsidP="00D22D3F">
      <w:pPr>
        <w:pStyle w:val="subsection"/>
      </w:pPr>
      <w:r w:rsidRPr="00097A86">
        <w:tab/>
        <w:t>(4)</w:t>
      </w:r>
      <w:r w:rsidRPr="00097A86">
        <w:tab/>
        <w:t>Bias must be tested in accordance with an appropriate standard.</w:t>
      </w:r>
    </w:p>
    <w:p w14:paraId="1150BC80" w14:textId="77777777" w:rsidR="003F0D4E" w:rsidRPr="00097A86" w:rsidRDefault="00D22D3F" w:rsidP="00D22D3F">
      <w:pPr>
        <w:pStyle w:val="notetext"/>
      </w:pPr>
      <w:r w:rsidRPr="00097A86">
        <w:t>Note:</w:t>
      </w:r>
      <w:r w:rsidRPr="00097A86">
        <w:tab/>
      </w:r>
      <w:r w:rsidR="003F0D4E" w:rsidRPr="00097A86">
        <w:t xml:space="preserve">An appropriate standard is AS 4264.4—1996, </w:t>
      </w:r>
      <w:r w:rsidR="003F0D4E" w:rsidRPr="00097A86">
        <w:rPr>
          <w:i/>
        </w:rPr>
        <w:t>Coal and coke – Sampling</w:t>
      </w:r>
      <w:r w:rsidR="003F0D4E" w:rsidRPr="00097A86">
        <w:t xml:space="preserve"> Part</w:t>
      </w:r>
      <w:r w:rsidR="00097A86">
        <w:t> </w:t>
      </w:r>
      <w:r w:rsidR="003F0D4E" w:rsidRPr="00097A86">
        <w:t xml:space="preserve">4: </w:t>
      </w:r>
      <w:r w:rsidR="003F0D4E" w:rsidRPr="00097A86">
        <w:rPr>
          <w:i/>
        </w:rPr>
        <w:t>Determination of precision and bias</w:t>
      </w:r>
      <w:r w:rsidR="003F0D4E" w:rsidRPr="00097A86">
        <w:t>.</w:t>
      </w:r>
    </w:p>
    <w:p w14:paraId="615C311F" w14:textId="77777777" w:rsidR="003F0D4E" w:rsidRPr="00097A86" w:rsidRDefault="003F0D4E" w:rsidP="00D22D3F">
      <w:pPr>
        <w:pStyle w:val="subsection"/>
      </w:pPr>
      <w:r w:rsidRPr="00097A86">
        <w:tab/>
        <w:t>(5)</w:t>
      </w:r>
      <w:r w:rsidRPr="00097A86">
        <w:tab/>
        <w:t>The value obtained from the sample must only be used for the production period for which it was intended to be representative.</w:t>
      </w:r>
    </w:p>
    <w:p w14:paraId="28D55C10" w14:textId="77777777" w:rsidR="003F0D4E" w:rsidRPr="00097A86" w:rsidRDefault="003F0D4E" w:rsidP="00D22D3F">
      <w:pPr>
        <w:pStyle w:val="ActHead5"/>
      </w:pPr>
      <w:bookmarkStart w:id="389" w:name="_Toc13233821"/>
      <w:r w:rsidRPr="00097A86">
        <w:rPr>
          <w:rStyle w:val="CharSectno"/>
        </w:rPr>
        <w:t>4.7</w:t>
      </w:r>
      <w:r w:rsidR="00D22D3F" w:rsidRPr="00097A86">
        <w:t xml:space="preserve">  </w:t>
      </w:r>
      <w:r w:rsidRPr="00097A86">
        <w:t>General requirements for analysing cement clinker</w:t>
      </w:r>
      <w:bookmarkEnd w:id="389"/>
    </w:p>
    <w:p w14:paraId="1C399793" w14:textId="77777777" w:rsidR="003F0D4E" w:rsidRPr="00097A86" w:rsidRDefault="003F0D4E" w:rsidP="00D22D3F">
      <w:pPr>
        <w:pStyle w:val="subsection"/>
      </w:pPr>
      <w:r w:rsidRPr="00097A86">
        <w:tab/>
        <w:t>(1)</w:t>
      </w:r>
      <w:r w:rsidRPr="00097A86">
        <w:tab/>
        <w:t>Analysis of a sample of cement clinker, including determining the fraction of the sample that is calcium oxide or magnesium oxide, must be done in accordance with industry practice and must be consistent with the principles in section</w:t>
      </w:r>
      <w:r w:rsidR="00097A86">
        <w:t> </w:t>
      </w:r>
      <w:r w:rsidRPr="00097A86">
        <w:t>1.13.</w:t>
      </w:r>
    </w:p>
    <w:p w14:paraId="687899FF" w14:textId="77777777" w:rsidR="003F0D4E" w:rsidRPr="00097A86" w:rsidRDefault="003F0D4E" w:rsidP="00D22D3F">
      <w:pPr>
        <w:pStyle w:val="subsection"/>
      </w:pPr>
      <w:r w:rsidRPr="00097A86">
        <w:tab/>
        <w:t>(2)</w:t>
      </w:r>
      <w:r w:rsidRPr="00097A86">
        <w:tab/>
        <w:t>The minimum frequency of analysis of samples of cement clinker must be in accordance with the Tier 3 method for cement clinker in section</w:t>
      </w:r>
      <w:r w:rsidR="00097A86">
        <w:t> </w:t>
      </w:r>
      <w:r w:rsidRPr="00097A86">
        <w:t xml:space="preserve">2.2.1.1 in </w:t>
      </w:r>
      <w:r w:rsidR="00B16A2E" w:rsidRPr="00097A86">
        <w:t>Chapter</w:t>
      </w:r>
      <w:r w:rsidR="00097A86">
        <w:t> </w:t>
      </w:r>
      <w:r w:rsidR="00B16A2E" w:rsidRPr="00097A86">
        <w:t xml:space="preserve">2 </w:t>
      </w:r>
      <w:r w:rsidRPr="00097A86">
        <w:t>of Volume 3 of the 2006 IPCC Guidelines.</w:t>
      </w:r>
    </w:p>
    <w:p w14:paraId="75B8C34B" w14:textId="77777777" w:rsidR="003F0D4E" w:rsidRPr="00097A86" w:rsidRDefault="003F0D4E" w:rsidP="00D22D3F">
      <w:pPr>
        <w:pStyle w:val="ActHead5"/>
      </w:pPr>
      <w:bookmarkStart w:id="390" w:name="_Toc13233822"/>
      <w:r w:rsidRPr="00097A86">
        <w:rPr>
          <w:rStyle w:val="CharSectno"/>
        </w:rPr>
        <w:t>4.8</w:t>
      </w:r>
      <w:r w:rsidR="00D22D3F" w:rsidRPr="00097A86">
        <w:t xml:space="preserve">  </w:t>
      </w:r>
      <w:r w:rsidRPr="00097A86">
        <w:t>Method 3</w:t>
      </w:r>
      <w:r w:rsidR="00D22D3F" w:rsidRPr="00097A86">
        <w:t>—</w:t>
      </w:r>
      <w:r w:rsidRPr="00097A86">
        <w:t>cement clinker production</w:t>
      </w:r>
      <w:bookmarkEnd w:id="390"/>
    </w:p>
    <w:p w14:paraId="4C291785" w14:textId="77777777" w:rsidR="003F0D4E" w:rsidRPr="00097A86" w:rsidRDefault="003F0D4E" w:rsidP="00D22D3F">
      <w:pPr>
        <w:pStyle w:val="subsection"/>
      </w:pPr>
      <w:r w:rsidRPr="00097A86">
        <w:tab/>
        <w:t>(1)</w:t>
      </w:r>
      <w:r w:rsidRPr="00097A86">
        <w:tab/>
        <w:t>Method 3 is:</w:t>
      </w:r>
    </w:p>
    <w:tbl>
      <w:tblPr>
        <w:tblW w:w="5000" w:type="pct"/>
        <w:tblLook w:val="0000" w:firstRow="0" w:lastRow="0" w:firstColumn="0" w:lastColumn="0" w:noHBand="0" w:noVBand="0"/>
      </w:tblPr>
      <w:tblGrid>
        <w:gridCol w:w="969"/>
        <w:gridCol w:w="7344"/>
      </w:tblGrid>
      <w:tr w:rsidR="00926860" w:rsidRPr="00097A86" w14:paraId="74BAC3B6" w14:textId="77777777" w:rsidTr="00C20CC2">
        <w:trPr>
          <w:cantSplit/>
          <w:trHeight w:val="80"/>
        </w:trPr>
        <w:tc>
          <w:tcPr>
            <w:tcW w:w="583" w:type="pct"/>
            <w:vMerge w:val="restart"/>
          </w:tcPr>
          <w:p w14:paraId="5F782C25" w14:textId="77777777" w:rsidR="00926860" w:rsidRPr="00097A86" w:rsidRDefault="00926860" w:rsidP="005C4580">
            <w:pPr>
              <w:pStyle w:val="Tabletext"/>
              <w:rPr>
                <w:sz w:val="22"/>
                <w:szCs w:val="22"/>
              </w:rPr>
            </w:pPr>
            <w:r w:rsidRPr="00097A86">
              <w:rPr>
                <w:sz w:val="22"/>
                <w:szCs w:val="22"/>
              </w:rPr>
              <w:t>Step 1</w:t>
            </w:r>
          </w:p>
        </w:tc>
        <w:tc>
          <w:tcPr>
            <w:tcW w:w="4417" w:type="pct"/>
          </w:tcPr>
          <w:p w14:paraId="204277B0" w14:textId="77777777" w:rsidR="00926860" w:rsidRPr="00097A86" w:rsidRDefault="00926860" w:rsidP="005C4580">
            <w:pPr>
              <w:pStyle w:val="Tabletext"/>
              <w:rPr>
                <w:sz w:val="22"/>
                <w:szCs w:val="22"/>
              </w:rPr>
            </w:pPr>
            <w:r w:rsidRPr="00097A86">
              <w:rPr>
                <w:sz w:val="22"/>
                <w:szCs w:val="22"/>
              </w:rPr>
              <w:t>Measure the amount of emissions of carbon dioxide in CO</w:t>
            </w:r>
            <w:r w:rsidRPr="00097A86">
              <w:rPr>
                <w:rStyle w:val="Subscript"/>
                <w:iCs/>
                <w:sz w:val="22"/>
                <w:szCs w:val="22"/>
              </w:rPr>
              <w:t>2</w:t>
            </w:r>
            <w:r w:rsidR="00097A86">
              <w:rPr>
                <w:sz w:val="22"/>
                <w:szCs w:val="22"/>
              </w:rPr>
              <w:noBreakHyphen/>
            </w:r>
            <w:r w:rsidRPr="00097A86">
              <w:rPr>
                <w:sz w:val="22"/>
                <w:szCs w:val="22"/>
              </w:rPr>
              <w:t>e tonnes released from each pure carbonate calcined in the production of cement clinker during the year as follows:</w:t>
            </w:r>
          </w:p>
          <w:p w14:paraId="30F65229" w14:textId="77777777" w:rsidR="00926860" w:rsidRPr="00097A86" w:rsidRDefault="009E1F90" w:rsidP="005C4580">
            <w:pPr>
              <w:pStyle w:val="Formula"/>
              <w:spacing w:after="120"/>
              <w:ind w:left="11"/>
              <w:jc w:val="both"/>
              <w:rPr>
                <w:sz w:val="22"/>
                <w:szCs w:val="22"/>
              </w:rPr>
            </w:pPr>
            <w:r>
              <w:rPr>
                <w:noProof/>
                <w:position w:val="-16"/>
                <w:sz w:val="22"/>
                <w:szCs w:val="22"/>
              </w:rPr>
              <w:drawing>
                <wp:inline distT="0" distB="0" distL="0" distR="0" wp14:anchorId="69FE7466" wp14:editId="61C44C10">
                  <wp:extent cx="4095750" cy="238125"/>
                  <wp:effectExtent l="0" t="0" r="0" b="9525"/>
                  <wp:docPr id="18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a:ln>
                            <a:noFill/>
                          </a:ln>
                        </pic:spPr>
                      </pic:pic>
                    </a:graphicData>
                  </a:graphic>
                </wp:inline>
              </w:drawing>
            </w:r>
          </w:p>
        </w:tc>
      </w:tr>
      <w:tr w:rsidR="00926860" w:rsidRPr="00097A86" w14:paraId="5B43E080" w14:textId="77777777" w:rsidTr="00C20CC2">
        <w:trPr>
          <w:cantSplit/>
          <w:trHeight w:val="80"/>
        </w:trPr>
        <w:tc>
          <w:tcPr>
            <w:tcW w:w="583" w:type="pct"/>
            <w:vMerge/>
          </w:tcPr>
          <w:p w14:paraId="3BF30EA2" w14:textId="77777777" w:rsidR="00926860" w:rsidRPr="00097A86" w:rsidRDefault="00926860" w:rsidP="00617697">
            <w:pPr>
              <w:spacing w:before="60" w:after="60"/>
              <w:rPr>
                <w:i/>
                <w:szCs w:val="22"/>
              </w:rPr>
            </w:pPr>
          </w:p>
        </w:tc>
        <w:tc>
          <w:tcPr>
            <w:tcW w:w="4417" w:type="pct"/>
          </w:tcPr>
          <w:p w14:paraId="76853DE1" w14:textId="77777777" w:rsidR="00926860" w:rsidRPr="00097A86" w:rsidRDefault="00926860" w:rsidP="009F3FBB">
            <w:pPr>
              <w:pStyle w:val="subsection2"/>
              <w:ind w:left="13"/>
            </w:pPr>
            <w:r w:rsidRPr="00097A86">
              <w:t>where:</w:t>
            </w:r>
          </w:p>
          <w:p w14:paraId="70A3E98E" w14:textId="77777777" w:rsidR="00926860" w:rsidRPr="00097A86" w:rsidRDefault="00926860" w:rsidP="005C4580">
            <w:pPr>
              <w:pStyle w:val="Definition"/>
              <w:ind w:left="34"/>
              <w:rPr>
                <w:szCs w:val="22"/>
              </w:rPr>
            </w:pPr>
            <w:r w:rsidRPr="00097A86">
              <w:rPr>
                <w:b/>
                <w:i/>
                <w:szCs w:val="22"/>
              </w:rPr>
              <w:t>E</w:t>
            </w:r>
            <w:r w:rsidRPr="00097A86">
              <w:rPr>
                <w:rStyle w:val="Subscript"/>
                <w:b/>
                <w:i/>
                <w:szCs w:val="22"/>
              </w:rPr>
              <w:t>ij</w:t>
            </w:r>
            <w:r w:rsidRPr="00097A86">
              <w:rPr>
                <w:b/>
                <w:i/>
                <w:szCs w:val="22"/>
              </w:rPr>
              <w:t xml:space="preserve"> </w:t>
            </w:r>
            <w:r w:rsidRPr="00097A86">
              <w:rPr>
                <w:szCs w:val="22"/>
              </w:rPr>
              <w:t>is the emissions of carbon dioxide (</w:t>
            </w:r>
            <w:r w:rsidRPr="00097A86">
              <w:rPr>
                <w:b/>
                <w:i/>
                <w:szCs w:val="22"/>
              </w:rPr>
              <w:t>j</w:t>
            </w:r>
            <w:r w:rsidRPr="00097A86">
              <w:rPr>
                <w:szCs w:val="22"/>
              </w:rPr>
              <w:t>) released from the carbonate (</w:t>
            </w:r>
            <w:r w:rsidRPr="00097A86">
              <w:rPr>
                <w:b/>
                <w:i/>
                <w:szCs w:val="22"/>
              </w:rPr>
              <w:t>i</w:t>
            </w:r>
            <w:r w:rsidRPr="00097A86">
              <w:rPr>
                <w:szCs w:val="22"/>
              </w:rPr>
              <w:t>) calcined in the production of cement clinker during the year measured in CO</w:t>
            </w:r>
            <w:r w:rsidRPr="00097A86">
              <w:rPr>
                <w:rStyle w:val="Subscript"/>
                <w:iCs/>
                <w:szCs w:val="22"/>
              </w:rPr>
              <w:t>2</w:t>
            </w:r>
            <w:r w:rsidR="00097A86">
              <w:rPr>
                <w:szCs w:val="22"/>
              </w:rPr>
              <w:noBreakHyphen/>
            </w:r>
            <w:r w:rsidRPr="00097A86">
              <w:rPr>
                <w:szCs w:val="22"/>
              </w:rPr>
              <w:t>e tonnes.</w:t>
            </w:r>
          </w:p>
        </w:tc>
      </w:tr>
      <w:tr w:rsidR="00926860" w:rsidRPr="00097A86" w14:paraId="709EE8BD" w14:textId="77777777" w:rsidTr="00C20CC2">
        <w:trPr>
          <w:cantSplit/>
          <w:trHeight w:val="80"/>
        </w:trPr>
        <w:tc>
          <w:tcPr>
            <w:tcW w:w="583" w:type="pct"/>
            <w:vMerge w:val="restart"/>
          </w:tcPr>
          <w:p w14:paraId="56086857" w14:textId="77777777" w:rsidR="00926860" w:rsidRPr="00097A86" w:rsidRDefault="00926860" w:rsidP="00617697">
            <w:pPr>
              <w:spacing w:before="60" w:after="60"/>
              <w:rPr>
                <w:i/>
                <w:szCs w:val="22"/>
              </w:rPr>
            </w:pPr>
          </w:p>
        </w:tc>
        <w:tc>
          <w:tcPr>
            <w:tcW w:w="4417" w:type="pct"/>
          </w:tcPr>
          <w:p w14:paraId="1B97A348" w14:textId="77777777" w:rsidR="00926860" w:rsidRPr="00097A86" w:rsidRDefault="00926860" w:rsidP="005C4580">
            <w:pPr>
              <w:pStyle w:val="Definition"/>
              <w:ind w:left="34"/>
              <w:rPr>
                <w:szCs w:val="22"/>
              </w:rPr>
            </w:pPr>
            <w:r w:rsidRPr="00097A86">
              <w:rPr>
                <w:b/>
                <w:i/>
                <w:szCs w:val="22"/>
              </w:rPr>
              <w:t>EF</w:t>
            </w:r>
            <w:r w:rsidRPr="00097A86">
              <w:rPr>
                <w:rStyle w:val="Subscript"/>
                <w:b/>
                <w:i/>
                <w:szCs w:val="22"/>
              </w:rPr>
              <w:t>ij</w:t>
            </w:r>
            <w:r w:rsidRPr="00097A86">
              <w:rPr>
                <w:b/>
                <w:i/>
                <w:szCs w:val="22"/>
              </w:rPr>
              <w:t xml:space="preserve"> </w:t>
            </w:r>
            <w:r w:rsidRPr="00097A86">
              <w:rPr>
                <w:szCs w:val="22"/>
              </w:rPr>
              <w:t>is the carbon dioxide (</w:t>
            </w:r>
            <w:r w:rsidRPr="00097A86">
              <w:rPr>
                <w:b/>
                <w:i/>
                <w:szCs w:val="22"/>
              </w:rPr>
              <w:t>j</w:t>
            </w:r>
            <w:r w:rsidRPr="00097A86">
              <w:rPr>
                <w:szCs w:val="22"/>
              </w:rPr>
              <w:t>) emission factor for the carbonate (</w:t>
            </w:r>
            <w:r w:rsidRPr="00097A86">
              <w:rPr>
                <w:b/>
                <w:i/>
                <w:szCs w:val="22"/>
              </w:rPr>
              <w:t>i</w:t>
            </w:r>
            <w:r w:rsidRPr="00097A86">
              <w:rPr>
                <w:szCs w:val="22"/>
              </w:rPr>
              <w:t>) measured in tonnes of emissions of carbon dioxide per tonne of pure carbonate, as follows:</w:t>
            </w:r>
          </w:p>
          <w:p w14:paraId="235FB42F" w14:textId="77777777" w:rsidR="00926860" w:rsidRPr="00097A86" w:rsidRDefault="00926860" w:rsidP="00617697">
            <w:pPr>
              <w:pStyle w:val="TableP1a"/>
              <w:rPr>
                <w:szCs w:val="22"/>
              </w:rPr>
            </w:pPr>
            <w:r w:rsidRPr="00097A86">
              <w:rPr>
                <w:szCs w:val="22"/>
              </w:rPr>
              <w:tab/>
              <w:t>(a)</w:t>
            </w:r>
            <w:r w:rsidRPr="00097A86">
              <w:rPr>
                <w:szCs w:val="22"/>
              </w:rPr>
              <w:tab/>
              <w:t>for calcium carbonate—0.440; and</w:t>
            </w:r>
          </w:p>
          <w:p w14:paraId="29903D4D" w14:textId="77777777" w:rsidR="00926860" w:rsidRPr="00097A86" w:rsidRDefault="00926860" w:rsidP="00617697">
            <w:pPr>
              <w:pStyle w:val="TableP1a"/>
              <w:rPr>
                <w:szCs w:val="22"/>
              </w:rPr>
            </w:pPr>
            <w:r w:rsidRPr="00097A86">
              <w:rPr>
                <w:szCs w:val="22"/>
              </w:rPr>
              <w:tab/>
              <w:t>(b)</w:t>
            </w:r>
            <w:r w:rsidRPr="00097A86">
              <w:rPr>
                <w:szCs w:val="22"/>
              </w:rPr>
              <w:tab/>
              <w:t>for magnesium carbonate—0.522; and</w:t>
            </w:r>
          </w:p>
          <w:p w14:paraId="1D8C7EBA" w14:textId="77777777" w:rsidR="00926860" w:rsidRPr="00097A86" w:rsidRDefault="00926860" w:rsidP="00617697">
            <w:pPr>
              <w:pStyle w:val="TableP1a"/>
              <w:rPr>
                <w:szCs w:val="22"/>
              </w:rPr>
            </w:pPr>
            <w:r w:rsidRPr="00097A86">
              <w:rPr>
                <w:szCs w:val="22"/>
              </w:rPr>
              <w:tab/>
              <w:t>(c)</w:t>
            </w:r>
            <w:r w:rsidRPr="00097A86">
              <w:rPr>
                <w:szCs w:val="22"/>
              </w:rPr>
              <w:tab/>
              <w:t>for dolomite—0.477; and</w:t>
            </w:r>
          </w:p>
          <w:p w14:paraId="31E6718C" w14:textId="77777777" w:rsidR="00926860" w:rsidRPr="00097A86" w:rsidRDefault="00926860" w:rsidP="00617697">
            <w:pPr>
              <w:pStyle w:val="TableP1a"/>
              <w:rPr>
                <w:szCs w:val="22"/>
              </w:rPr>
            </w:pPr>
            <w:r w:rsidRPr="00097A86">
              <w:rPr>
                <w:szCs w:val="22"/>
              </w:rPr>
              <w:tab/>
              <w:t>(d)</w:t>
            </w:r>
            <w:r w:rsidRPr="00097A86">
              <w:rPr>
                <w:szCs w:val="22"/>
              </w:rPr>
              <w:tab/>
              <w:t>for any other pure carbonate — the factor for the carbonate in accordance with section</w:t>
            </w:r>
            <w:r w:rsidR="00097A86">
              <w:rPr>
                <w:szCs w:val="22"/>
              </w:rPr>
              <w:t> </w:t>
            </w:r>
            <w:r w:rsidRPr="00097A86">
              <w:rPr>
                <w:szCs w:val="22"/>
              </w:rPr>
              <w:t xml:space="preserve">2.1 of </w:t>
            </w:r>
            <w:r w:rsidRPr="00097A86">
              <w:t>Chapter</w:t>
            </w:r>
            <w:r w:rsidR="00097A86">
              <w:t> </w:t>
            </w:r>
            <w:r w:rsidRPr="00097A86">
              <w:t xml:space="preserve">2 </w:t>
            </w:r>
            <w:r w:rsidRPr="00097A86">
              <w:rPr>
                <w:szCs w:val="22"/>
              </w:rPr>
              <w:t>of Volume 3 of the 2006 IPCC Guidelines.</w:t>
            </w:r>
          </w:p>
        </w:tc>
      </w:tr>
      <w:tr w:rsidR="00926860" w:rsidRPr="00097A86" w14:paraId="4A29EF28" w14:textId="77777777" w:rsidTr="00C20CC2">
        <w:trPr>
          <w:cantSplit/>
          <w:trHeight w:val="80"/>
        </w:trPr>
        <w:tc>
          <w:tcPr>
            <w:tcW w:w="583" w:type="pct"/>
            <w:vMerge/>
          </w:tcPr>
          <w:p w14:paraId="1B53958C" w14:textId="77777777" w:rsidR="00926860" w:rsidRPr="00097A86" w:rsidRDefault="00926860" w:rsidP="00617697">
            <w:pPr>
              <w:spacing w:before="60" w:after="60"/>
              <w:rPr>
                <w:i/>
                <w:szCs w:val="22"/>
              </w:rPr>
            </w:pPr>
          </w:p>
        </w:tc>
        <w:tc>
          <w:tcPr>
            <w:tcW w:w="4417" w:type="pct"/>
          </w:tcPr>
          <w:p w14:paraId="709CCB23" w14:textId="77777777" w:rsidR="00926860" w:rsidRPr="00097A86" w:rsidRDefault="00926860" w:rsidP="005C4580">
            <w:pPr>
              <w:pStyle w:val="Definition"/>
              <w:spacing w:before="60" w:after="60"/>
              <w:ind w:left="34"/>
              <w:rPr>
                <w:b/>
                <w:i/>
                <w:szCs w:val="22"/>
              </w:rPr>
            </w:pPr>
            <w:r w:rsidRPr="00097A86">
              <w:rPr>
                <w:b/>
                <w:i/>
                <w:szCs w:val="22"/>
              </w:rPr>
              <w:t>Q</w:t>
            </w:r>
            <w:r w:rsidRPr="00097A86">
              <w:rPr>
                <w:b/>
                <w:i/>
                <w:szCs w:val="22"/>
                <w:vertAlign w:val="subscript"/>
              </w:rPr>
              <w:t>i</w:t>
            </w:r>
            <w:r w:rsidRPr="00097A86">
              <w:rPr>
                <w:b/>
                <w:i/>
                <w:szCs w:val="22"/>
              </w:rPr>
              <w:t xml:space="preserve"> </w:t>
            </w:r>
            <w:r w:rsidRPr="00097A86">
              <w:rPr>
                <w:szCs w:val="22"/>
              </w:rPr>
              <w:t>is the quantity of the pure carbonate (</w:t>
            </w:r>
            <w:r w:rsidRPr="00097A86">
              <w:rPr>
                <w:b/>
                <w:i/>
                <w:szCs w:val="22"/>
              </w:rPr>
              <w:t>i</w:t>
            </w:r>
            <w:r w:rsidRPr="00097A86">
              <w:rPr>
                <w:szCs w:val="22"/>
              </w:rPr>
              <w:t>) consumed in the calcining process for the production of cement clinker during the year measured in tonnes and estimated under Division</w:t>
            </w:r>
            <w:r w:rsidR="00097A86">
              <w:rPr>
                <w:szCs w:val="22"/>
              </w:rPr>
              <w:t> </w:t>
            </w:r>
            <w:r w:rsidRPr="00097A86">
              <w:rPr>
                <w:szCs w:val="22"/>
              </w:rPr>
              <w:t>4.2.5.</w:t>
            </w:r>
          </w:p>
        </w:tc>
      </w:tr>
      <w:tr w:rsidR="00926860" w:rsidRPr="00097A86" w14:paraId="73FECDBB" w14:textId="77777777" w:rsidTr="00C20CC2">
        <w:trPr>
          <w:cantSplit/>
          <w:trHeight w:val="80"/>
        </w:trPr>
        <w:tc>
          <w:tcPr>
            <w:tcW w:w="583" w:type="pct"/>
            <w:vMerge/>
          </w:tcPr>
          <w:p w14:paraId="45C8ABAC" w14:textId="77777777" w:rsidR="00926860" w:rsidRPr="00097A86" w:rsidRDefault="00926860" w:rsidP="00617697">
            <w:pPr>
              <w:spacing w:before="60" w:after="60"/>
              <w:rPr>
                <w:i/>
                <w:szCs w:val="22"/>
              </w:rPr>
            </w:pPr>
          </w:p>
        </w:tc>
        <w:tc>
          <w:tcPr>
            <w:tcW w:w="4417" w:type="pct"/>
          </w:tcPr>
          <w:p w14:paraId="3E6EACAB" w14:textId="77777777" w:rsidR="00926860" w:rsidRPr="00097A86" w:rsidRDefault="00926860" w:rsidP="005C4580">
            <w:pPr>
              <w:pStyle w:val="Definition"/>
              <w:spacing w:before="60" w:after="60"/>
              <w:ind w:left="34"/>
              <w:rPr>
                <w:szCs w:val="22"/>
              </w:rPr>
            </w:pPr>
            <w:r w:rsidRPr="00097A86">
              <w:rPr>
                <w:b/>
                <w:i/>
                <w:szCs w:val="22"/>
              </w:rPr>
              <w:t>F</w:t>
            </w:r>
            <w:r w:rsidRPr="00097A86">
              <w:rPr>
                <w:rStyle w:val="Subscript"/>
                <w:b/>
                <w:i/>
                <w:szCs w:val="22"/>
              </w:rPr>
              <w:t>cal</w:t>
            </w:r>
            <w:r w:rsidRPr="00097A86">
              <w:rPr>
                <w:szCs w:val="22"/>
              </w:rPr>
              <w:t xml:space="preserve"> is:</w:t>
            </w:r>
          </w:p>
          <w:p w14:paraId="36E2E507" w14:textId="77777777" w:rsidR="00926860" w:rsidRPr="00097A86" w:rsidRDefault="00926860" w:rsidP="00617697">
            <w:pPr>
              <w:pStyle w:val="TableP1a"/>
              <w:numPr>
                <w:ilvl w:val="0"/>
                <w:numId w:val="26"/>
              </w:numPr>
              <w:rPr>
                <w:szCs w:val="22"/>
              </w:rPr>
            </w:pPr>
            <w:r w:rsidRPr="00097A86">
              <w:rPr>
                <w:szCs w:val="22"/>
              </w:rPr>
              <w:t>the amount of the carbonate calcined in the production of cement clinker during the year, expressed as a decimal fraction; or</w:t>
            </w:r>
          </w:p>
          <w:p w14:paraId="39790D44" w14:textId="77777777" w:rsidR="00926860" w:rsidRPr="00097A86" w:rsidRDefault="00926860" w:rsidP="006A3969">
            <w:pPr>
              <w:pStyle w:val="TableP1a"/>
              <w:numPr>
                <w:ilvl w:val="0"/>
                <w:numId w:val="26"/>
              </w:numPr>
              <w:rPr>
                <w:szCs w:val="22"/>
              </w:rPr>
            </w:pPr>
            <w:r w:rsidRPr="00097A86">
              <w:rPr>
                <w:szCs w:val="22"/>
              </w:rPr>
              <w:t xml:space="preserve">if the information mentioned in </w:t>
            </w:r>
            <w:r w:rsidR="00097A86">
              <w:rPr>
                <w:szCs w:val="22"/>
              </w:rPr>
              <w:t>paragraph (</w:t>
            </w:r>
            <w:r w:rsidRPr="00097A86">
              <w:rPr>
                <w:szCs w:val="22"/>
              </w:rPr>
              <w:t>a) is not available—the value 1.</w:t>
            </w:r>
          </w:p>
        </w:tc>
      </w:tr>
      <w:tr w:rsidR="00926860" w:rsidRPr="00097A86" w14:paraId="130D00A3" w14:textId="77777777" w:rsidTr="00C20CC2">
        <w:trPr>
          <w:cantSplit/>
          <w:trHeight w:val="80"/>
        </w:trPr>
        <w:tc>
          <w:tcPr>
            <w:tcW w:w="583" w:type="pct"/>
            <w:vMerge/>
          </w:tcPr>
          <w:p w14:paraId="11276B95" w14:textId="77777777" w:rsidR="00926860" w:rsidRPr="00097A86" w:rsidRDefault="00926860" w:rsidP="00617697">
            <w:pPr>
              <w:spacing w:before="60" w:after="60"/>
              <w:rPr>
                <w:i/>
                <w:szCs w:val="22"/>
              </w:rPr>
            </w:pPr>
          </w:p>
        </w:tc>
        <w:tc>
          <w:tcPr>
            <w:tcW w:w="4417" w:type="pct"/>
          </w:tcPr>
          <w:p w14:paraId="3056F54B" w14:textId="77777777" w:rsidR="00926860" w:rsidRPr="00097A86" w:rsidRDefault="00926860" w:rsidP="005C4580">
            <w:pPr>
              <w:pStyle w:val="Definition"/>
              <w:spacing w:before="60" w:after="60"/>
              <w:ind w:left="34"/>
              <w:rPr>
                <w:b/>
                <w:i/>
                <w:szCs w:val="22"/>
              </w:rPr>
            </w:pPr>
            <w:r w:rsidRPr="00097A86">
              <w:rPr>
                <w:b/>
                <w:i/>
                <w:szCs w:val="22"/>
              </w:rPr>
              <w:t>A</w:t>
            </w:r>
            <w:r w:rsidRPr="00097A86">
              <w:rPr>
                <w:rStyle w:val="Subscript"/>
                <w:b/>
                <w:i/>
                <w:szCs w:val="22"/>
              </w:rPr>
              <w:t>ckd</w:t>
            </w:r>
            <w:r w:rsidRPr="00097A86">
              <w:rPr>
                <w:szCs w:val="22"/>
              </w:rPr>
              <w:t xml:space="preserve"> is the quantity of cement kiln dust lost from the kiln in the production of cement clinker during the year</w:t>
            </w:r>
            <w:r w:rsidRPr="00097A86">
              <w:rPr>
                <w:i/>
                <w:szCs w:val="22"/>
              </w:rPr>
              <w:t xml:space="preserve"> </w:t>
            </w:r>
            <w:r w:rsidRPr="00097A86">
              <w:rPr>
                <w:szCs w:val="22"/>
              </w:rPr>
              <w:t>measured in tonnes and estimated under Division</w:t>
            </w:r>
            <w:r w:rsidR="00097A86">
              <w:rPr>
                <w:szCs w:val="22"/>
              </w:rPr>
              <w:t> </w:t>
            </w:r>
            <w:r w:rsidRPr="00097A86">
              <w:rPr>
                <w:szCs w:val="22"/>
              </w:rPr>
              <w:t>4.2.5.</w:t>
            </w:r>
          </w:p>
        </w:tc>
      </w:tr>
      <w:tr w:rsidR="00926860" w:rsidRPr="00097A86" w14:paraId="4A13D490" w14:textId="77777777" w:rsidTr="00C20CC2">
        <w:trPr>
          <w:cantSplit/>
          <w:trHeight w:val="80"/>
        </w:trPr>
        <w:tc>
          <w:tcPr>
            <w:tcW w:w="583" w:type="pct"/>
            <w:vMerge/>
          </w:tcPr>
          <w:p w14:paraId="74DE1E24" w14:textId="77777777" w:rsidR="00926860" w:rsidRPr="00097A86" w:rsidRDefault="00926860" w:rsidP="00617697">
            <w:pPr>
              <w:spacing w:before="60" w:after="60"/>
              <w:rPr>
                <w:i/>
                <w:szCs w:val="22"/>
              </w:rPr>
            </w:pPr>
          </w:p>
        </w:tc>
        <w:tc>
          <w:tcPr>
            <w:tcW w:w="4417" w:type="pct"/>
          </w:tcPr>
          <w:p w14:paraId="08373C60" w14:textId="77777777" w:rsidR="00926860" w:rsidRPr="00097A86" w:rsidRDefault="00926860" w:rsidP="005C4580">
            <w:pPr>
              <w:pStyle w:val="Definition"/>
              <w:spacing w:before="60" w:after="60"/>
              <w:ind w:left="34"/>
              <w:rPr>
                <w:b/>
                <w:i/>
                <w:szCs w:val="22"/>
              </w:rPr>
            </w:pPr>
            <w:r w:rsidRPr="00097A86">
              <w:rPr>
                <w:b/>
                <w:i/>
                <w:szCs w:val="22"/>
              </w:rPr>
              <w:t>EF</w:t>
            </w:r>
            <w:r w:rsidRPr="00097A86">
              <w:rPr>
                <w:rStyle w:val="Subscript"/>
                <w:b/>
                <w:i/>
                <w:szCs w:val="22"/>
              </w:rPr>
              <w:t>ckd</w:t>
            </w:r>
            <w:r w:rsidRPr="00097A86">
              <w:rPr>
                <w:szCs w:val="22"/>
              </w:rPr>
              <w:t xml:space="preserve"> is 0.440, which is the carbon dioxide emission factor for calcined cement kiln dust lost from the kiln.</w:t>
            </w:r>
          </w:p>
        </w:tc>
      </w:tr>
      <w:tr w:rsidR="00926860" w:rsidRPr="00097A86" w14:paraId="23F0ED6F" w14:textId="77777777" w:rsidTr="00C20CC2">
        <w:trPr>
          <w:cantSplit/>
          <w:trHeight w:val="80"/>
        </w:trPr>
        <w:tc>
          <w:tcPr>
            <w:tcW w:w="583" w:type="pct"/>
            <w:vMerge/>
          </w:tcPr>
          <w:p w14:paraId="75CE8029" w14:textId="77777777" w:rsidR="00926860" w:rsidRPr="00097A86" w:rsidRDefault="00926860" w:rsidP="00617697">
            <w:pPr>
              <w:spacing w:before="60" w:after="60"/>
              <w:rPr>
                <w:i/>
                <w:szCs w:val="22"/>
              </w:rPr>
            </w:pPr>
          </w:p>
        </w:tc>
        <w:tc>
          <w:tcPr>
            <w:tcW w:w="4417" w:type="pct"/>
          </w:tcPr>
          <w:p w14:paraId="0E179BA9" w14:textId="77777777" w:rsidR="00926860" w:rsidRPr="00097A86" w:rsidRDefault="00926860" w:rsidP="005C4580">
            <w:pPr>
              <w:pStyle w:val="Definition"/>
              <w:spacing w:before="60" w:after="60"/>
              <w:ind w:left="34"/>
              <w:rPr>
                <w:szCs w:val="22"/>
              </w:rPr>
            </w:pPr>
            <w:r w:rsidRPr="00097A86">
              <w:rPr>
                <w:b/>
                <w:i/>
                <w:szCs w:val="22"/>
              </w:rPr>
              <w:t>F</w:t>
            </w:r>
            <w:r w:rsidRPr="00097A86">
              <w:rPr>
                <w:rStyle w:val="Subscript"/>
                <w:b/>
                <w:i/>
                <w:szCs w:val="22"/>
              </w:rPr>
              <w:t>ckd</w:t>
            </w:r>
            <w:r w:rsidRPr="00097A86">
              <w:rPr>
                <w:szCs w:val="22"/>
              </w:rPr>
              <w:t xml:space="preserve"> is:</w:t>
            </w:r>
          </w:p>
          <w:p w14:paraId="3ABB5220" w14:textId="77777777" w:rsidR="00926860" w:rsidRPr="00097A86" w:rsidRDefault="00926860" w:rsidP="00617697">
            <w:pPr>
              <w:pStyle w:val="TableP1a"/>
              <w:rPr>
                <w:szCs w:val="22"/>
              </w:rPr>
            </w:pPr>
            <w:r w:rsidRPr="00097A86">
              <w:rPr>
                <w:szCs w:val="22"/>
              </w:rPr>
              <w:tab/>
              <w:t>(a)</w:t>
            </w:r>
            <w:r w:rsidRPr="00097A86">
              <w:rPr>
                <w:szCs w:val="22"/>
              </w:rPr>
              <w:tab/>
              <w:t>the fraction of calcination achieved for cement kiln dust lost from the kiln in the production of cement clinker during the year; or</w:t>
            </w:r>
          </w:p>
          <w:p w14:paraId="3F4A6426" w14:textId="77777777" w:rsidR="00926860" w:rsidRPr="00097A86" w:rsidRDefault="00926860" w:rsidP="006A3969">
            <w:pPr>
              <w:pStyle w:val="TableP1a"/>
              <w:rPr>
                <w:b/>
                <w:i/>
                <w:szCs w:val="22"/>
              </w:rPr>
            </w:pPr>
            <w:r w:rsidRPr="00097A86">
              <w:rPr>
                <w:szCs w:val="22"/>
              </w:rPr>
              <w:tab/>
              <w:t>(b)</w:t>
            </w:r>
            <w:r w:rsidRPr="00097A86">
              <w:rPr>
                <w:szCs w:val="22"/>
              </w:rPr>
              <w:tab/>
              <w:t xml:space="preserve">if the information mentioned in </w:t>
            </w:r>
            <w:r w:rsidR="00097A86">
              <w:rPr>
                <w:szCs w:val="22"/>
              </w:rPr>
              <w:t>paragraph (</w:t>
            </w:r>
            <w:r w:rsidRPr="00097A86">
              <w:rPr>
                <w:szCs w:val="22"/>
              </w:rPr>
              <w:t>a) is not available—the value 1.</w:t>
            </w:r>
          </w:p>
        </w:tc>
      </w:tr>
      <w:tr w:rsidR="00926860" w:rsidRPr="00097A86" w14:paraId="28732735" w14:textId="77777777" w:rsidTr="00C20CC2">
        <w:trPr>
          <w:cantSplit/>
          <w:trHeight w:val="80"/>
        </w:trPr>
        <w:tc>
          <w:tcPr>
            <w:tcW w:w="583" w:type="pct"/>
            <w:vMerge/>
          </w:tcPr>
          <w:p w14:paraId="6CD176D1" w14:textId="77777777" w:rsidR="00926860" w:rsidRPr="00097A86" w:rsidRDefault="00926860" w:rsidP="00617697">
            <w:pPr>
              <w:spacing w:before="60" w:after="60"/>
              <w:rPr>
                <w:i/>
                <w:szCs w:val="22"/>
              </w:rPr>
            </w:pPr>
          </w:p>
        </w:tc>
        <w:tc>
          <w:tcPr>
            <w:tcW w:w="4417" w:type="pct"/>
          </w:tcPr>
          <w:p w14:paraId="3AC8124F" w14:textId="77777777" w:rsidR="00926860" w:rsidRPr="00097A86" w:rsidRDefault="00926860" w:rsidP="005C4580">
            <w:pPr>
              <w:pStyle w:val="Definition"/>
              <w:spacing w:before="60" w:after="60"/>
              <w:ind w:left="34"/>
              <w:rPr>
                <w:b/>
                <w:i/>
                <w:szCs w:val="22"/>
              </w:rPr>
            </w:pPr>
            <w:r w:rsidRPr="00097A86">
              <w:rPr>
                <w:b/>
                <w:i/>
                <w:szCs w:val="22"/>
              </w:rPr>
              <w:t>Q</w:t>
            </w:r>
            <w:r w:rsidRPr="00097A86">
              <w:rPr>
                <w:rStyle w:val="Subscript"/>
                <w:b/>
                <w:i/>
                <w:szCs w:val="22"/>
              </w:rPr>
              <w:t>toc</w:t>
            </w:r>
            <w:r w:rsidRPr="00097A86">
              <w:rPr>
                <w:szCs w:val="22"/>
              </w:rPr>
              <w:t xml:space="preserve"> is the quantity of total carbon</w:t>
            </w:r>
            <w:r w:rsidR="00097A86">
              <w:rPr>
                <w:szCs w:val="22"/>
              </w:rPr>
              <w:noBreakHyphen/>
            </w:r>
            <w:r w:rsidRPr="00097A86">
              <w:rPr>
                <w:szCs w:val="22"/>
              </w:rPr>
              <w:t>bearing non</w:t>
            </w:r>
            <w:r w:rsidR="00097A86">
              <w:rPr>
                <w:szCs w:val="22"/>
              </w:rPr>
              <w:noBreakHyphen/>
            </w:r>
            <w:r w:rsidRPr="00097A86">
              <w:rPr>
                <w:szCs w:val="22"/>
              </w:rPr>
              <w:t>fuel raw material consumed in the production of cement clinker during the year measured in tonnes and estimated under Division</w:t>
            </w:r>
            <w:r w:rsidR="00097A86">
              <w:rPr>
                <w:szCs w:val="22"/>
              </w:rPr>
              <w:t> </w:t>
            </w:r>
            <w:r w:rsidRPr="00097A86">
              <w:rPr>
                <w:szCs w:val="22"/>
              </w:rPr>
              <w:t>4.2.5.</w:t>
            </w:r>
          </w:p>
        </w:tc>
      </w:tr>
      <w:tr w:rsidR="00926860" w:rsidRPr="00097A86" w14:paraId="0AFE5BFC" w14:textId="77777777" w:rsidTr="00C20CC2">
        <w:trPr>
          <w:cantSplit/>
          <w:trHeight w:val="80"/>
        </w:trPr>
        <w:tc>
          <w:tcPr>
            <w:tcW w:w="583" w:type="pct"/>
            <w:vMerge/>
          </w:tcPr>
          <w:p w14:paraId="64B3F32B" w14:textId="77777777" w:rsidR="00926860" w:rsidRPr="00097A86" w:rsidRDefault="00926860" w:rsidP="00617697">
            <w:pPr>
              <w:spacing w:before="60" w:after="60"/>
              <w:rPr>
                <w:i/>
                <w:szCs w:val="22"/>
              </w:rPr>
            </w:pPr>
          </w:p>
        </w:tc>
        <w:tc>
          <w:tcPr>
            <w:tcW w:w="4417" w:type="pct"/>
          </w:tcPr>
          <w:p w14:paraId="6684AD6F" w14:textId="77777777" w:rsidR="00926860" w:rsidRPr="00097A86" w:rsidRDefault="00926860" w:rsidP="005C4580">
            <w:pPr>
              <w:pStyle w:val="Definition"/>
              <w:spacing w:before="60" w:after="60"/>
              <w:ind w:left="34"/>
              <w:rPr>
                <w:b/>
                <w:i/>
                <w:szCs w:val="22"/>
              </w:rPr>
            </w:pPr>
            <w:r w:rsidRPr="00097A86">
              <w:rPr>
                <w:b/>
                <w:i/>
                <w:szCs w:val="22"/>
              </w:rPr>
              <w:t>EF</w:t>
            </w:r>
            <w:r w:rsidRPr="00097A86">
              <w:rPr>
                <w:rStyle w:val="Subscript"/>
                <w:b/>
                <w:i/>
                <w:szCs w:val="22"/>
              </w:rPr>
              <w:t>toc</w:t>
            </w:r>
            <w:r w:rsidRPr="00097A86">
              <w:rPr>
                <w:szCs w:val="22"/>
              </w:rPr>
              <w:t xml:space="preserve"> is 0.010, which is the emission factor for carbon</w:t>
            </w:r>
            <w:r w:rsidR="00097A86">
              <w:rPr>
                <w:szCs w:val="22"/>
              </w:rPr>
              <w:noBreakHyphen/>
            </w:r>
            <w:r w:rsidRPr="00097A86">
              <w:rPr>
                <w:szCs w:val="22"/>
              </w:rPr>
              <w:t>bearing non</w:t>
            </w:r>
            <w:r w:rsidR="00097A86">
              <w:rPr>
                <w:szCs w:val="22"/>
              </w:rPr>
              <w:noBreakHyphen/>
            </w:r>
            <w:r w:rsidRPr="00097A86">
              <w:rPr>
                <w:szCs w:val="22"/>
              </w:rPr>
              <w:t>fuel raw material, measured in tonnes of carbon dioxide produced per tonne of carbon.</w:t>
            </w:r>
          </w:p>
        </w:tc>
      </w:tr>
      <w:tr w:rsidR="00926860" w:rsidRPr="00097A86" w14:paraId="156C37E0" w14:textId="77777777" w:rsidTr="00C20CC2">
        <w:trPr>
          <w:cantSplit/>
          <w:trHeight w:val="80"/>
        </w:trPr>
        <w:tc>
          <w:tcPr>
            <w:tcW w:w="583" w:type="pct"/>
          </w:tcPr>
          <w:p w14:paraId="5B1B9229" w14:textId="77777777" w:rsidR="00926860" w:rsidRPr="00097A86" w:rsidRDefault="00926860" w:rsidP="00617697">
            <w:pPr>
              <w:spacing w:before="60" w:after="60"/>
              <w:rPr>
                <w:i/>
                <w:szCs w:val="22"/>
              </w:rPr>
            </w:pPr>
          </w:p>
        </w:tc>
        <w:tc>
          <w:tcPr>
            <w:tcW w:w="4417" w:type="pct"/>
          </w:tcPr>
          <w:p w14:paraId="4BC310E6" w14:textId="77777777" w:rsidR="00926860" w:rsidRPr="00097A86" w:rsidRDefault="00926860" w:rsidP="005C4580">
            <w:pPr>
              <w:pStyle w:val="Definition"/>
              <w:spacing w:before="60" w:after="60"/>
              <w:ind w:left="34"/>
              <w:rPr>
                <w:b/>
                <w:i/>
                <w:szCs w:val="22"/>
              </w:rPr>
            </w:pPr>
            <w:r w:rsidRPr="00097A86">
              <w:rPr>
                <w:b/>
                <w:i/>
              </w:rPr>
              <w:t>γ</w:t>
            </w:r>
            <w:r w:rsidRPr="00097A86">
              <w:t xml:space="preserve"> 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tc>
      </w:tr>
      <w:tr w:rsidR="00926860" w:rsidRPr="00097A86" w14:paraId="5B0DC77A" w14:textId="77777777" w:rsidTr="00C20CC2">
        <w:trPr>
          <w:cantSplit/>
          <w:trHeight w:val="626"/>
        </w:trPr>
        <w:tc>
          <w:tcPr>
            <w:tcW w:w="583" w:type="pct"/>
          </w:tcPr>
          <w:p w14:paraId="73A84A90" w14:textId="77777777" w:rsidR="00926860" w:rsidRPr="00097A86" w:rsidRDefault="00926860" w:rsidP="00617697">
            <w:pPr>
              <w:spacing w:before="60" w:after="60"/>
              <w:rPr>
                <w:i/>
                <w:szCs w:val="22"/>
              </w:rPr>
            </w:pPr>
          </w:p>
        </w:tc>
        <w:tc>
          <w:tcPr>
            <w:tcW w:w="4417" w:type="pct"/>
          </w:tcPr>
          <w:p w14:paraId="1A416D60" w14:textId="77777777" w:rsidR="00926860" w:rsidRPr="00097A86" w:rsidRDefault="00926860" w:rsidP="005C4580">
            <w:pPr>
              <w:pStyle w:val="Definition"/>
              <w:spacing w:before="60" w:after="60"/>
              <w:ind w:left="34"/>
              <w:rPr>
                <w:b/>
                <w:i/>
                <w:szCs w:val="22"/>
              </w:rPr>
            </w:pPr>
            <w:r w:rsidRPr="00097A86">
              <w:rPr>
                <w:b/>
                <w:i/>
                <w:szCs w:val="22"/>
              </w:rPr>
              <w:t>RCCS</w:t>
            </w:r>
            <w:r w:rsidRPr="00097A86">
              <w:rPr>
                <w:b/>
                <w:i/>
                <w:szCs w:val="22"/>
                <w:vertAlign w:val="subscript"/>
              </w:rPr>
              <w:t>CO</w:t>
            </w:r>
            <w:r w:rsidRPr="00097A86">
              <w:rPr>
                <w:b/>
                <w:i/>
                <w:position w:val="-4"/>
                <w:szCs w:val="22"/>
                <w:vertAlign w:val="subscript"/>
              </w:rPr>
              <w:t>2</w:t>
            </w:r>
            <w:r w:rsidRPr="00097A86">
              <w:rPr>
                <w:szCs w:val="22"/>
                <w:vertAlign w:val="subscript"/>
              </w:rPr>
              <w:t xml:space="preserve"> </w:t>
            </w:r>
            <w:r w:rsidRPr="00097A86">
              <w:rPr>
                <w:szCs w:val="22"/>
              </w:rPr>
              <w:t>is carbon dioxide captured for permanent storage measured in cubic metres in accordance with Division</w:t>
            </w:r>
            <w:r w:rsidR="00097A86">
              <w:rPr>
                <w:szCs w:val="22"/>
              </w:rPr>
              <w:t> </w:t>
            </w:r>
            <w:r w:rsidRPr="00097A86">
              <w:rPr>
                <w:szCs w:val="22"/>
              </w:rPr>
              <w:t>1.2.3.</w:t>
            </w:r>
          </w:p>
        </w:tc>
      </w:tr>
      <w:tr w:rsidR="00926860" w:rsidRPr="00097A86" w14:paraId="339AD9A6" w14:textId="77777777" w:rsidTr="00C20CC2">
        <w:trPr>
          <w:cantSplit/>
        </w:trPr>
        <w:tc>
          <w:tcPr>
            <w:tcW w:w="583" w:type="pct"/>
          </w:tcPr>
          <w:p w14:paraId="3AAA77BA" w14:textId="77777777" w:rsidR="00926860" w:rsidRPr="00097A86" w:rsidRDefault="00926860" w:rsidP="005C4580">
            <w:pPr>
              <w:pStyle w:val="Tabletext"/>
              <w:rPr>
                <w:sz w:val="22"/>
                <w:szCs w:val="22"/>
              </w:rPr>
            </w:pPr>
            <w:r w:rsidRPr="00097A86">
              <w:rPr>
                <w:sz w:val="22"/>
                <w:szCs w:val="22"/>
              </w:rPr>
              <w:t>Step 2</w:t>
            </w:r>
          </w:p>
        </w:tc>
        <w:tc>
          <w:tcPr>
            <w:tcW w:w="4417" w:type="pct"/>
          </w:tcPr>
          <w:p w14:paraId="38BFDD55" w14:textId="77777777" w:rsidR="00926860" w:rsidRPr="00097A86" w:rsidRDefault="00926860" w:rsidP="005C4580">
            <w:pPr>
              <w:pStyle w:val="Tabletext"/>
              <w:rPr>
                <w:sz w:val="22"/>
                <w:szCs w:val="22"/>
              </w:rPr>
            </w:pPr>
            <w:r w:rsidRPr="00097A86">
              <w:rPr>
                <w:sz w:val="22"/>
                <w:szCs w:val="22"/>
              </w:rPr>
              <w:t>Add together the amount of emissions of carbon dioxide as measured in CO</w:t>
            </w:r>
            <w:r w:rsidRPr="00097A86">
              <w:rPr>
                <w:rStyle w:val="Subscript"/>
                <w:iCs/>
                <w:sz w:val="22"/>
                <w:szCs w:val="22"/>
              </w:rPr>
              <w:t>2</w:t>
            </w:r>
            <w:r w:rsidR="00097A86">
              <w:rPr>
                <w:sz w:val="22"/>
                <w:szCs w:val="22"/>
              </w:rPr>
              <w:noBreakHyphen/>
            </w:r>
            <w:r w:rsidRPr="00097A86">
              <w:rPr>
                <w:sz w:val="22"/>
                <w:szCs w:val="22"/>
              </w:rPr>
              <w:t>e tonnes released for each pure carbonate calcined in the production of cement clinker during the year.</w:t>
            </w:r>
          </w:p>
        </w:tc>
      </w:tr>
    </w:tbl>
    <w:p w14:paraId="569C91FD" w14:textId="77777777" w:rsidR="00D22D3F" w:rsidRPr="00097A86" w:rsidRDefault="00D22D3F" w:rsidP="00D22D3F">
      <w:pPr>
        <w:pStyle w:val="Tabletext"/>
      </w:pPr>
    </w:p>
    <w:p w14:paraId="4F998B33" w14:textId="77777777" w:rsidR="003F0D4E" w:rsidRPr="00097A86" w:rsidRDefault="003F0D4E" w:rsidP="00D22D3F">
      <w:pPr>
        <w:pStyle w:val="subsection"/>
      </w:pPr>
      <w:r w:rsidRPr="00097A86">
        <w:lastRenderedPageBreak/>
        <w:tab/>
        <w:t>(2)</w:t>
      </w:r>
      <w:r w:rsidRPr="00097A86">
        <w:tab/>
        <w:t xml:space="preserve">For the factor </w:t>
      </w:r>
      <w:r w:rsidRPr="00097A86">
        <w:rPr>
          <w:b/>
          <w:i/>
        </w:rPr>
        <w:t>EF</w:t>
      </w:r>
      <w:r w:rsidRPr="00097A86">
        <w:rPr>
          <w:rStyle w:val="charSubscript"/>
          <w:b/>
          <w:i/>
          <w:sz w:val="22"/>
        </w:rPr>
        <w:t>ckd</w:t>
      </w:r>
      <w:r w:rsidRPr="00097A86">
        <w:t xml:space="preserve"> in </w:t>
      </w:r>
      <w:r w:rsidR="00097A86">
        <w:t>subsection (</w:t>
      </w:r>
      <w:r w:rsidRPr="00097A86">
        <w:t>1), the carbon dioxide emission factor for calcined cement kiln dust is assumed to be the same as the emission factor for calcium carbonate.</w:t>
      </w:r>
    </w:p>
    <w:p w14:paraId="507DF9C5" w14:textId="77777777" w:rsidR="003F0D4E" w:rsidRPr="00097A86" w:rsidRDefault="003F0D4E" w:rsidP="00D22D3F">
      <w:pPr>
        <w:pStyle w:val="subsection"/>
      </w:pPr>
      <w:r w:rsidRPr="00097A86">
        <w:tab/>
        <w:t>(3)</w:t>
      </w:r>
      <w:r w:rsidRPr="00097A86">
        <w:tab/>
        <w:t xml:space="preserve">For the factor </w:t>
      </w:r>
      <w:r w:rsidRPr="00097A86">
        <w:rPr>
          <w:b/>
          <w:i/>
        </w:rPr>
        <w:t>Q</w:t>
      </w:r>
      <w:r w:rsidRPr="00097A86">
        <w:rPr>
          <w:rStyle w:val="charSubscript"/>
          <w:b/>
          <w:i/>
          <w:sz w:val="22"/>
        </w:rPr>
        <w:t>toc</w:t>
      </w:r>
      <w:r w:rsidRPr="00097A86">
        <w:t xml:space="preserve"> in </w:t>
      </w:r>
      <w:r w:rsidR="00097A86">
        <w:t>subsection (</w:t>
      </w:r>
      <w:r w:rsidRPr="00097A86">
        <w:t>1), the quantity of carbon</w:t>
      </w:r>
      <w:r w:rsidR="00097A86">
        <w:noBreakHyphen/>
      </w:r>
      <w:r w:rsidRPr="00097A86">
        <w:t>bearing non</w:t>
      </w:r>
      <w:r w:rsidR="00097A86">
        <w:noBreakHyphen/>
      </w:r>
      <w:r w:rsidRPr="00097A86">
        <w:t>fuel raw material must be estimated in accordance with Division</w:t>
      </w:r>
      <w:r w:rsidR="00097A86">
        <w:t> </w:t>
      </w:r>
      <w:r w:rsidRPr="00097A86">
        <w:t>4.2.5 as if a reference to carbonates consumed from the activity was a reference to carbon</w:t>
      </w:r>
      <w:r w:rsidR="00097A86">
        <w:noBreakHyphen/>
      </w:r>
      <w:r w:rsidRPr="00097A86">
        <w:t>bearing non</w:t>
      </w:r>
      <w:r w:rsidR="00097A86">
        <w:noBreakHyphen/>
      </w:r>
      <w:r w:rsidRPr="00097A86">
        <w:t>fuel raw material consumed from the activity.</w:t>
      </w:r>
    </w:p>
    <w:p w14:paraId="0BE3D708" w14:textId="77777777" w:rsidR="003F0D4E" w:rsidRPr="00097A86" w:rsidRDefault="003F0D4E" w:rsidP="00D22D3F">
      <w:pPr>
        <w:pStyle w:val="subsection"/>
      </w:pPr>
      <w:r w:rsidRPr="00097A86">
        <w:tab/>
        <w:t>(4)</w:t>
      </w:r>
      <w:r w:rsidRPr="00097A86">
        <w:tab/>
        <w:t>Method 3 requires carbonates to be sampled and analysed in accordance with sections</w:t>
      </w:r>
      <w:r w:rsidR="00097A86">
        <w:t> </w:t>
      </w:r>
      <w:r w:rsidRPr="00097A86">
        <w:t>4.9 and 4.10.</w:t>
      </w:r>
    </w:p>
    <w:p w14:paraId="3EBD06ED" w14:textId="77777777" w:rsidR="003F0D4E" w:rsidRPr="00097A86" w:rsidRDefault="003F0D4E" w:rsidP="00D22D3F">
      <w:pPr>
        <w:pStyle w:val="ActHead5"/>
      </w:pPr>
      <w:bookmarkStart w:id="391" w:name="_Toc13233823"/>
      <w:r w:rsidRPr="00097A86">
        <w:rPr>
          <w:rStyle w:val="CharSectno"/>
        </w:rPr>
        <w:t>4.9</w:t>
      </w:r>
      <w:r w:rsidR="00D22D3F" w:rsidRPr="00097A86">
        <w:t xml:space="preserve">  </w:t>
      </w:r>
      <w:r w:rsidRPr="00097A86">
        <w:t>General requirements for sampling carbonates</w:t>
      </w:r>
      <w:bookmarkEnd w:id="391"/>
    </w:p>
    <w:p w14:paraId="74BF94B3" w14:textId="77777777" w:rsidR="003F0D4E" w:rsidRPr="00097A86" w:rsidRDefault="003F0D4E" w:rsidP="00D22D3F">
      <w:pPr>
        <w:pStyle w:val="subsection"/>
      </w:pPr>
      <w:r w:rsidRPr="00097A86">
        <w:tab/>
        <w:t>(1)</w:t>
      </w:r>
      <w:r w:rsidRPr="00097A86">
        <w:tab/>
        <w:t>Method 3 requires carbonates to be sampled in accordance with the procedure for sampling cement clinker specified under section</w:t>
      </w:r>
      <w:r w:rsidR="00097A86">
        <w:t> </w:t>
      </w:r>
      <w:r w:rsidRPr="00097A86">
        <w:t>4.6 for method 2.</w:t>
      </w:r>
    </w:p>
    <w:p w14:paraId="74B898BA" w14:textId="77777777" w:rsidR="003F0D4E" w:rsidRPr="00097A86" w:rsidRDefault="003F0D4E" w:rsidP="00D22D3F">
      <w:pPr>
        <w:pStyle w:val="subsection"/>
      </w:pPr>
      <w:r w:rsidRPr="00097A86">
        <w:tab/>
        <w:t>(2)</w:t>
      </w:r>
      <w:r w:rsidRPr="00097A86">
        <w:tab/>
        <w:t>In applying section</w:t>
      </w:r>
      <w:r w:rsidR="00097A86">
        <w:t> </w:t>
      </w:r>
      <w:r w:rsidRPr="00097A86">
        <w:t>4.6, a reference in that section to cement clinker is taken to be a reference to a carbonate.</w:t>
      </w:r>
    </w:p>
    <w:p w14:paraId="68C80197" w14:textId="77777777" w:rsidR="003F0D4E" w:rsidRPr="00097A86" w:rsidRDefault="003F0D4E" w:rsidP="00D22D3F">
      <w:pPr>
        <w:pStyle w:val="ActHead5"/>
      </w:pPr>
      <w:bookmarkStart w:id="392" w:name="_Toc13233824"/>
      <w:r w:rsidRPr="00097A86">
        <w:rPr>
          <w:rStyle w:val="CharSectno"/>
        </w:rPr>
        <w:t>4.10</w:t>
      </w:r>
      <w:r w:rsidR="00D22D3F" w:rsidRPr="00097A86">
        <w:t xml:space="preserve">  </w:t>
      </w:r>
      <w:r w:rsidRPr="00097A86">
        <w:t>General requirements for analysing carbonates</w:t>
      </w:r>
      <w:bookmarkEnd w:id="392"/>
    </w:p>
    <w:p w14:paraId="5BF1FEF5" w14:textId="77777777" w:rsidR="003F0D4E" w:rsidRPr="00097A86" w:rsidRDefault="003F0D4E" w:rsidP="00D22D3F">
      <w:pPr>
        <w:pStyle w:val="subsection"/>
      </w:pPr>
      <w:r w:rsidRPr="00097A86">
        <w:tab/>
        <w:t>(1)</w:t>
      </w:r>
      <w:r w:rsidRPr="00097A86">
        <w:tab/>
        <w:t>Analysis of samples of carbonates, including determining the quantity (in tonnes) of pure carbonate, must be done in accordance with industry practice or standards, and must be consistent with the principles in section</w:t>
      </w:r>
      <w:r w:rsidR="00097A86">
        <w:t> </w:t>
      </w:r>
      <w:r w:rsidRPr="00097A86">
        <w:t>1.13.</w:t>
      </w:r>
    </w:p>
    <w:p w14:paraId="6DCED591" w14:textId="77777777" w:rsidR="003F0D4E" w:rsidRPr="00097A86" w:rsidRDefault="003F0D4E" w:rsidP="00D22D3F">
      <w:pPr>
        <w:pStyle w:val="subsection"/>
      </w:pPr>
      <w:r w:rsidRPr="00097A86">
        <w:tab/>
        <w:t>(2)</w:t>
      </w:r>
      <w:r w:rsidRPr="00097A86">
        <w:tab/>
        <w:t>The minimum frequency of analysis of samples of carbonates must be in accordance with the Tier 3 method in section</w:t>
      </w:r>
      <w:r w:rsidR="00097A86">
        <w:t> </w:t>
      </w:r>
      <w:r w:rsidRPr="00097A86">
        <w:t xml:space="preserve">2.2.1.1 of </w:t>
      </w:r>
      <w:r w:rsidR="00B16A2E" w:rsidRPr="00097A86">
        <w:t>Chapter</w:t>
      </w:r>
      <w:r w:rsidR="00097A86">
        <w:t> </w:t>
      </w:r>
      <w:r w:rsidR="00B16A2E" w:rsidRPr="00097A86">
        <w:t xml:space="preserve">2 </w:t>
      </w:r>
      <w:r w:rsidRPr="00097A86">
        <w:t>of Volume 3 of the 2006 IPCC Guidelines</w:t>
      </w:r>
      <w:r w:rsidRPr="00097A86">
        <w:rPr>
          <w:i/>
        </w:rPr>
        <w:t>.</w:t>
      </w:r>
    </w:p>
    <w:p w14:paraId="32E41057" w14:textId="77777777" w:rsidR="003F0D4E" w:rsidRPr="00097A86" w:rsidRDefault="003F0D4E" w:rsidP="004C53FA">
      <w:pPr>
        <w:pStyle w:val="ActHead3"/>
        <w:pageBreakBefore/>
      </w:pPr>
      <w:bookmarkStart w:id="393" w:name="_Toc13233825"/>
      <w:r w:rsidRPr="00097A86">
        <w:rPr>
          <w:rStyle w:val="CharDivNo"/>
        </w:rPr>
        <w:lastRenderedPageBreak/>
        <w:t>Division</w:t>
      </w:r>
      <w:r w:rsidR="00097A86">
        <w:rPr>
          <w:rStyle w:val="CharDivNo"/>
        </w:rPr>
        <w:t> </w:t>
      </w:r>
      <w:r w:rsidRPr="00097A86">
        <w:rPr>
          <w:rStyle w:val="CharDivNo"/>
        </w:rPr>
        <w:t>4.2.2</w:t>
      </w:r>
      <w:r w:rsidR="00D22D3F" w:rsidRPr="00097A86">
        <w:t>—</w:t>
      </w:r>
      <w:r w:rsidRPr="00097A86">
        <w:rPr>
          <w:rStyle w:val="CharDivText"/>
        </w:rPr>
        <w:t>Lime production</w:t>
      </w:r>
      <w:bookmarkEnd w:id="393"/>
    </w:p>
    <w:p w14:paraId="7253AC66" w14:textId="77777777" w:rsidR="003F0D4E" w:rsidRPr="00097A86" w:rsidRDefault="003F0D4E" w:rsidP="00D22D3F">
      <w:pPr>
        <w:pStyle w:val="ActHead5"/>
      </w:pPr>
      <w:bookmarkStart w:id="394" w:name="_Toc13233826"/>
      <w:r w:rsidRPr="00097A86">
        <w:rPr>
          <w:rStyle w:val="CharSectno"/>
        </w:rPr>
        <w:t>4.11</w:t>
      </w:r>
      <w:r w:rsidR="00D22D3F" w:rsidRPr="00097A86">
        <w:t xml:space="preserve">  </w:t>
      </w:r>
      <w:r w:rsidRPr="00097A86">
        <w:t>Application</w:t>
      </w:r>
      <w:bookmarkEnd w:id="394"/>
    </w:p>
    <w:p w14:paraId="0F09BA3F" w14:textId="77777777" w:rsidR="003F0D4E" w:rsidRPr="00097A86" w:rsidRDefault="003F0D4E" w:rsidP="00D22D3F">
      <w:pPr>
        <w:pStyle w:val="subsection"/>
      </w:pPr>
      <w:r w:rsidRPr="00097A86">
        <w:tab/>
      </w:r>
      <w:r w:rsidRPr="00097A86">
        <w:tab/>
        <w:t>This Division applies to lime production (other than the in</w:t>
      </w:r>
      <w:r w:rsidR="00097A86">
        <w:noBreakHyphen/>
      </w:r>
      <w:r w:rsidRPr="00097A86">
        <w:t>house production of lime in the metals industry).</w:t>
      </w:r>
    </w:p>
    <w:p w14:paraId="033AB9AA" w14:textId="77777777" w:rsidR="003F0D4E" w:rsidRPr="00097A86" w:rsidRDefault="003F0D4E" w:rsidP="00D22D3F">
      <w:pPr>
        <w:pStyle w:val="ActHead5"/>
      </w:pPr>
      <w:bookmarkStart w:id="395" w:name="_Toc13233827"/>
      <w:r w:rsidRPr="00097A86">
        <w:rPr>
          <w:rStyle w:val="CharSectno"/>
        </w:rPr>
        <w:t>4.12</w:t>
      </w:r>
      <w:r w:rsidR="00D22D3F" w:rsidRPr="00097A86">
        <w:t xml:space="preserve">  </w:t>
      </w:r>
      <w:r w:rsidRPr="00097A86">
        <w:t>Available methods</w:t>
      </w:r>
      <w:bookmarkEnd w:id="395"/>
    </w:p>
    <w:p w14:paraId="7EF159C3"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carbon dioxide released during a year from the operation of a facility that is constituted by the production of lime (other than the in</w:t>
      </w:r>
      <w:r w:rsidR="00097A86">
        <w:noBreakHyphen/>
      </w:r>
      <w:r w:rsidRPr="00097A86">
        <w:t>house production of lime in the ferrous metals industry):</w:t>
      </w:r>
    </w:p>
    <w:p w14:paraId="0C0D9817" w14:textId="77777777" w:rsidR="003F0D4E" w:rsidRPr="00097A86" w:rsidRDefault="003F0D4E" w:rsidP="00D22D3F">
      <w:pPr>
        <w:pStyle w:val="paragraph"/>
      </w:pPr>
      <w:r w:rsidRPr="00097A86">
        <w:tab/>
        <w:t>(a)</w:t>
      </w:r>
      <w:r w:rsidRPr="00097A86">
        <w:tab/>
        <w:t>method 1 under section</w:t>
      </w:r>
      <w:r w:rsidR="00097A86">
        <w:t> </w:t>
      </w:r>
      <w:r w:rsidRPr="00097A86">
        <w:t>4.13;</w:t>
      </w:r>
    </w:p>
    <w:p w14:paraId="00905358" w14:textId="77777777" w:rsidR="003F0D4E" w:rsidRPr="00097A86" w:rsidRDefault="003F0D4E" w:rsidP="00D22D3F">
      <w:pPr>
        <w:pStyle w:val="paragraph"/>
      </w:pPr>
      <w:r w:rsidRPr="00097A86">
        <w:tab/>
        <w:t>(b)</w:t>
      </w:r>
      <w:r w:rsidRPr="00097A86">
        <w:tab/>
        <w:t>method 2 under section</w:t>
      </w:r>
      <w:r w:rsidR="00097A86">
        <w:t> </w:t>
      </w:r>
      <w:r w:rsidRPr="00097A86">
        <w:t>4.14;</w:t>
      </w:r>
    </w:p>
    <w:p w14:paraId="3BDA1828" w14:textId="77777777" w:rsidR="003F0D4E" w:rsidRPr="00097A86" w:rsidRDefault="003F0D4E" w:rsidP="00D22D3F">
      <w:pPr>
        <w:pStyle w:val="paragraph"/>
      </w:pPr>
      <w:r w:rsidRPr="00097A86">
        <w:tab/>
        <w:t>(c)</w:t>
      </w:r>
      <w:r w:rsidRPr="00097A86">
        <w:tab/>
        <w:t>method 3 under section</w:t>
      </w:r>
      <w:r w:rsidR="00097A86">
        <w:t> </w:t>
      </w:r>
      <w:r w:rsidRPr="00097A86">
        <w:t>4.17;</w:t>
      </w:r>
    </w:p>
    <w:p w14:paraId="38DD916C" w14:textId="77777777" w:rsidR="003F0D4E" w:rsidRPr="00097A86" w:rsidRDefault="003F0D4E" w:rsidP="00D22D3F">
      <w:pPr>
        <w:pStyle w:val="paragraph"/>
      </w:pPr>
      <w:r w:rsidRPr="00097A86">
        <w:tab/>
        <w:t>(d)</w:t>
      </w:r>
      <w:r w:rsidRPr="00097A86">
        <w:tab/>
        <w:t>method 4 under Part</w:t>
      </w:r>
      <w:r w:rsidR="00097A86">
        <w:t> </w:t>
      </w:r>
      <w:r w:rsidRPr="00097A86">
        <w:t>1.3.</w:t>
      </w:r>
    </w:p>
    <w:p w14:paraId="2720A7D7" w14:textId="77777777" w:rsidR="003F0D4E" w:rsidRPr="00097A86" w:rsidRDefault="003F0D4E" w:rsidP="00D22D3F">
      <w:pPr>
        <w:pStyle w:val="subsection"/>
      </w:pPr>
      <w:r w:rsidRPr="00097A86">
        <w:tab/>
        <w:t>(2)</w:t>
      </w:r>
      <w:r w:rsidRPr="00097A86">
        <w:tab/>
        <w:t xml:space="preserve">However, for </w:t>
      </w:r>
      <w:r w:rsidR="00E23653" w:rsidRPr="00097A86">
        <w:t>incidental emissions</w:t>
      </w:r>
      <w:r w:rsidRPr="00097A86">
        <w:t xml:space="preserve"> another method may be used that is consistent with the principles in section</w:t>
      </w:r>
      <w:r w:rsidR="00097A86">
        <w:t> </w:t>
      </w:r>
      <w:r w:rsidRPr="00097A86">
        <w:t>1.13.</w:t>
      </w:r>
    </w:p>
    <w:p w14:paraId="2AD3A126" w14:textId="77777777" w:rsidR="004979AE" w:rsidRPr="00097A86" w:rsidRDefault="004979AE" w:rsidP="00D22D3F">
      <w:pPr>
        <w:pStyle w:val="ActHead5"/>
      </w:pPr>
      <w:bookmarkStart w:id="396" w:name="_Toc13233828"/>
      <w:r w:rsidRPr="00097A86">
        <w:rPr>
          <w:rStyle w:val="CharSectno"/>
        </w:rPr>
        <w:t>4.13</w:t>
      </w:r>
      <w:r w:rsidR="00D22D3F" w:rsidRPr="00097A86">
        <w:t xml:space="preserve">  </w:t>
      </w:r>
      <w:r w:rsidRPr="00097A86">
        <w:t>Method 1</w:t>
      </w:r>
      <w:r w:rsidR="00D22D3F" w:rsidRPr="00097A86">
        <w:t>—</w:t>
      </w:r>
      <w:r w:rsidRPr="00097A86">
        <w:t>lime production</w:t>
      </w:r>
      <w:bookmarkEnd w:id="396"/>
    </w:p>
    <w:p w14:paraId="13D9F192" w14:textId="77777777" w:rsidR="004979AE" w:rsidRPr="00097A86" w:rsidRDefault="004979AE" w:rsidP="00D22D3F">
      <w:pPr>
        <w:pStyle w:val="subsection"/>
      </w:pPr>
      <w:r w:rsidRPr="00097A86">
        <w:tab/>
        <w:t>(1)</w:t>
      </w:r>
      <w:r w:rsidRPr="00097A86">
        <w:tab/>
        <w:t>Method 1 is:</w:t>
      </w:r>
    </w:p>
    <w:p w14:paraId="2B151B72" w14:textId="77777777" w:rsidR="004979AE" w:rsidRPr="00097A86" w:rsidRDefault="00D22D3F" w:rsidP="00D22D3F">
      <w:pPr>
        <w:pStyle w:val="subsection"/>
        <w:spacing w:before="120" w:after="120"/>
      </w:pPr>
      <w:r w:rsidRPr="00097A86">
        <w:tab/>
      </w:r>
      <w:r w:rsidRPr="00097A86">
        <w:tab/>
      </w:r>
      <w:r w:rsidR="009E1F90">
        <w:rPr>
          <w:noProof/>
        </w:rPr>
        <w:drawing>
          <wp:inline distT="0" distB="0" distL="0" distR="0" wp14:anchorId="42A6E7F1" wp14:editId="181CD222">
            <wp:extent cx="2076450" cy="247650"/>
            <wp:effectExtent l="0" t="0" r="0" b="0"/>
            <wp:docPr id="18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76450" cy="247650"/>
                    </a:xfrm>
                    <a:prstGeom prst="rect">
                      <a:avLst/>
                    </a:prstGeom>
                    <a:noFill/>
                    <a:ln>
                      <a:noFill/>
                    </a:ln>
                  </pic:spPr>
                </pic:pic>
              </a:graphicData>
            </a:graphic>
          </wp:inline>
        </w:drawing>
      </w:r>
    </w:p>
    <w:p w14:paraId="63CAC119" w14:textId="77777777" w:rsidR="004979AE" w:rsidRPr="00097A86" w:rsidRDefault="004979AE" w:rsidP="00D22D3F">
      <w:pPr>
        <w:pStyle w:val="subsection2"/>
      </w:pPr>
      <w:r w:rsidRPr="00097A86">
        <w:t>where:</w:t>
      </w:r>
    </w:p>
    <w:p w14:paraId="745ED05E" w14:textId="77777777" w:rsidR="004979AE" w:rsidRPr="00097A86" w:rsidRDefault="004979AE" w:rsidP="00D8659E">
      <w:pPr>
        <w:pStyle w:val="Definition"/>
      </w:pPr>
      <w:r w:rsidRPr="00097A86">
        <w:rPr>
          <w:b/>
          <w:i/>
        </w:rPr>
        <w:t>E</w:t>
      </w:r>
      <w:r w:rsidRPr="00097A86">
        <w:rPr>
          <w:rStyle w:val="charSubscript"/>
          <w:b/>
          <w:i/>
        </w:rPr>
        <w:t>ij</w:t>
      </w:r>
      <w:r w:rsidRPr="00097A86">
        <w:t xml:space="preserve"> is the emissions of carbon dioxide (</w:t>
      </w:r>
      <w:r w:rsidRPr="00097A86">
        <w:rPr>
          <w:b/>
          <w:i/>
        </w:rPr>
        <w:t>j</w:t>
      </w:r>
      <w:r w:rsidRPr="00097A86">
        <w:t>) released from the production of lime (</w:t>
      </w:r>
      <w:r w:rsidRPr="00097A86">
        <w:rPr>
          <w:b/>
          <w:i/>
        </w:rPr>
        <w:t>i</w:t>
      </w:r>
      <w:r w:rsidRPr="00097A86">
        <w:t>) during the year, measured in CO</w:t>
      </w:r>
      <w:r w:rsidRPr="00097A86">
        <w:rPr>
          <w:rStyle w:val="charSubscript"/>
        </w:rPr>
        <w:t>2</w:t>
      </w:r>
      <w:r w:rsidR="00097A86">
        <w:noBreakHyphen/>
      </w:r>
      <w:r w:rsidRPr="00097A86">
        <w:t>e tonnes.</w:t>
      </w:r>
    </w:p>
    <w:p w14:paraId="746CA2C0" w14:textId="77777777" w:rsidR="004979AE" w:rsidRPr="00097A86" w:rsidRDefault="004979AE" w:rsidP="00D8659E">
      <w:pPr>
        <w:pStyle w:val="Definition"/>
      </w:pPr>
      <w:r w:rsidRPr="00097A86">
        <w:rPr>
          <w:b/>
          <w:i/>
        </w:rPr>
        <w:t>A</w:t>
      </w:r>
      <w:r w:rsidRPr="00097A86">
        <w:rPr>
          <w:rStyle w:val="charSubscript"/>
          <w:b/>
          <w:i/>
        </w:rPr>
        <w:t>i</w:t>
      </w:r>
      <w:r w:rsidRPr="00097A86">
        <w:rPr>
          <w:b/>
          <w:i/>
        </w:rPr>
        <w:t xml:space="preserve"> </w:t>
      </w:r>
      <w:r w:rsidRPr="00097A86">
        <w:t>is the quantity of lime produced during the year, measured in tonnes and estimated under Division</w:t>
      </w:r>
      <w:r w:rsidR="00097A86">
        <w:t> </w:t>
      </w:r>
      <w:r w:rsidRPr="00097A86">
        <w:t>4.2.5.</w:t>
      </w:r>
    </w:p>
    <w:p w14:paraId="06ACA2A7" w14:textId="77777777" w:rsidR="004979AE" w:rsidRPr="00097A86" w:rsidRDefault="004979AE" w:rsidP="00D8659E">
      <w:pPr>
        <w:pStyle w:val="Definition"/>
      </w:pPr>
      <w:r w:rsidRPr="00097A86">
        <w:rPr>
          <w:b/>
          <w:i/>
        </w:rPr>
        <w:t>A</w:t>
      </w:r>
      <w:r w:rsidRPr="00097A86">
        <w:rPr>
          <w:b/>
          <w:i/>
          <w:vertAlign w:val="subscript"/>
        </w:rPr>
        <w:t>lkd</w:t>
      </w:r>
      <w:r w:rsidRPr="00097A86">
        <w:t xml:space="preserve"> is the quantity of lime kiln dust lost as a result of the production of lime during the year, measured in tonnes and estimated under Division</w:t>
      </w:r>
      <w:r w:rsidR="00097A86">
        <w:t> </w:t>
      </w:r>
      <w:r w:rsidRPr="00097A86">
        <w:t>4.2.5.</w:t>
      </w:r>
    </w:p>
    <w:p w14:paraId="27E8A0BC" w14:textId="77777777" w:rsidR="004979AE" w:rsidRPr="00097A86" w:rsidRDefault="004979AE" w:rsidP="00D8659E">
      <w:pPr>
        <w:pStyle w:val="Definition"/>
      </w:pPr>
      <w:r w:rsidRPr="00097A86">
        <w:rPr>
          <w:b/>
        </w:rPr>
        <w:t>F</w:t>
      </w:r>
      <w:r w:rsidRPr="00097A86">
        <w:rPr>
          <w:b/>
          <w:vertAlign w:val="subscript"/>
        </w:rPr>
        <w:t>lkd</w:t>
      </w:r>
      <w:r w:rsidRPr="00097A86">
        <w:rPr>
          <w:rFonts w:ascii="Times New Roman Bold" w:hAnsi="Times New Roman Bold"/>
        </w:rPr>
        <w:t xml:space="preserve"> </w:t>
      </w:r>
      <w:r w:rsidRPr="00097A86">
        <w:t>is:</w:t>
      </w:r>
    </w:p>
    <w:p w14:paraId="226B0B63" w14:textId="77777777" w:rsidR="004979AE" w:rsidRPr="00097A86" w:rsidRDefault="004979AE" w:rsidP="00D22D3F">
      <w:pPr>
        <w:pStyle w:val="paragraph"/>
      </w:pPr>
      <w:r w:rsidRPr="00097A86">
        <w:tab/>
        <w:t>(a)</w:t>
      </w:r>
      <w:r w:rsidRPr="00097A86">
        <w:tab/>
        <w:t xml:space="preserve">the fraction of </w:t>
      </w:r>
      <w:r w:rsidR="009B2A85" w:rsidRPr="00097A86">
        <w:t>calcination</w:t>
      </w:r>
      <w:r w:rsidRPr="00097A86">
        <w:t xml:space="preserve"> achieved for lime kiln dust in the production of lime during the year; or</w:t>
      </w:r>
    </w:p>
    <w:p w14:paraId="7FA0AC8D" w14:textId="77777777" w:rsidR="004979AE" w:rsidRPr="00097A86" w:rsidRDefault="004979AE" w:rsidP="00D22D3F">
      <w:pPr>
        <w:pStyle w:val="paragraph"/>
      </w:pPr>
      <w:r w:rsidRPr="00097A86">
        <w:tab/>
        <w:t>(b)</w:t>
      </w:r>
      <w:r w:rsidRPr="00097A86">
        <w:tab/>
        <w:t xml:space="preserve">if the data mentioned in </w:t>
      </w:r>
      <w:r w:rsidR="00097A86">
        <w:t>paragraph (</w:t>
      </w:r>
      <w:r w:rsidRPr="00097A86">
        <w:t>a) is not available</w:t>
      </w:r>
      <w:r w:rsidR="00D22D3F" w:rsidRPr="00097A86">
        <w:t>—</w:t>
      </w:r>
      <w:r w:rsidRPr="00097A86">
        <w:t>the value 1.</w:t>
      </w:r>
    </w:p>
    <w:p w14:paraId="5208AA63" w14:textId="77777777" w:rsidR="004979AE" w:rsidRPr="00097A86" w:rsidRDefault="004979AE" w:rsidP="00D8659E">
      <w:pPr>
        <w:pStyle w:val="Definition"/>
      </w:pPr>
      <w:r w:rsidRPr="00097A86">
        <w:rPr>
          <w:b/>
          <w:i/>
        </w:rPr>
        <w:t>EF</w:t>
      </w:r>
      <w:r w:rsidRPr="00097A86">
        <w:rPr>
          <w:rStyle w:val="charSubscript"/>
          <w:b/>
          <w:i/>
        </w:rPr>
        <w:t>ij</w:t>
      </w:r>
      <w:r w:rsidRPr="00097A86">
        <w:t xml:space="preserve"> is the carbon dioxide (</w:t>
      </w:r>
      <w:r w:rsidRPr="00097A86">
        <w:rPr>
          <w:b/>
          <w:i/>
        </w:rPr>
        <w:t>j</w:t>
      </w:r>
      <w:r w:rsidRPr="00097A86">
        <w:t>) emission factor for lime, measured in tonnes of emission of carbon dioxide per tonne of lime produced, as follows:</w:t>
      </w:r>
    </w:p>
    <w:p w14:paraId="317D79E6" w14:textId="77777777" w:rsidR="004979AE" w:rsidRPr="00097A86" w:rsidRDefault="004979AE" w:rsidP="00D22D3F">
      <w:pPr>
        <w:pStyle w:val="paragraph"/>
      </w:pPr>
      <w:r w:rsidRPr="00097A86">
        <w:tab/>
        <w:t>(a)</w:t>
      </w:r>
      <w:r w:rsidRPr="00097A86">
        <w:tab/>
        <w:t>for commercial lime production</w:t>
      </w:r>
      <w:r w:rsidR="00D22D3F" w:rsidRPr="00097A86">
        <w:t>—</w:t>
      </w:r>
      <w:r w:rsidRPr="00097A86">
        <w:t>0.675;</w:t>
      </w:r>
    </w:p>
    <w:p w14:paraId="35BA2F8B" w14:textId="77777777" w:rsidR="004979AE" w:rsidRPr="00097A86" w:rsidRDefault="004979AE" w:rsidP="00D22D3F">
      <w:pPr>
        <w:pStyle w:val="paragraph"/>
      </w:pPr>
      <w:r w:rsidRPr="00097A86">
        <w:tab/>
        <w:t>(b)</w:t>
      </w:r>
      <w:r w:rsidRPr="00097A86">
        <w:tab/>
        <w:t>for non</w:t>
      </w:r>
      <w:r w:rsidR="00097A86">
        <w:noBreakHyphen/>
      </w:r>
      <w:r w:rsidRPr="00097A86">
        <w:t>commercial lime production</w:t>
      </w:r>
      <w:r w:rsidR="00D22D3F" w:rsidRPr="00097A86">
        <w:t>—</w:t>
      </w:r>
      <w:r w:rsidRPr="00097A86">
        <w:t>0.730;</w:t>
      </w:r>
    </w:p>
    <w:p w14:paraId="42BEA9CF" w14:textId="77777777" w:rsidR="004979AE" w:rsidRPr="00097A86" w:rsidRDefault="004979AE" w:rsidP="00D22D3F">
      <w:pPr>
        <w:pStyle w:val="paragraph"/>
      </w:pPr>
      <w:r w:rsidRPr="00097A86">
        <w:tab/>
        <w:t>(c)</w:t>
      </w:r>
      <w:r w:rsidRPr="00097A86">
        <w:tab/>
        <w:t>for magnesian lime and dolomitic lime production</w:t>
      </w:r>
      <w:r w:rsidR="00D22D3F" w:rsidRPr="00097A86">
        <w:t>—</w:t>
      </w:r>
      <w:r w:rsidRPr="00097A86">
        <w:t>0.860.</w:t>
      </w:r>
    </w:p>
    <w:p w14:paraId="27853A86" w14:textId="77777777" w:rsidR="004979AE" w:rsidRPr="00097A86" w:rsidRDefault="004979AE" w:rsidP="00D22D3F">
      <w:pPr>
        <w:pStyle w:val="subsection"/>
      </w:pPr>
      <w:r w:rsidRPr="00097A86">
        <w:lastRenderedPageBreak/>
        <w:tab/>
        <w:t>(2)</w:t>
      </w:r>
      <w:r w:rsidRPr="00097A86">
        <w:tab/>
        <w:t>In this section:</w:t>
      </w:r>
    </w:p>
    <w:p w14:paraId="3D22F5BB" w14:textId="77777777" w:rsidR="004979AE" w:rsidRPr="00097A86" w:rsidRDefault="004979AE" w:rsidP="00D22D3F">
      <w:pPr>
        <w:pStyle w:val="Definition"/>
      </w:pPr>
      <w:r w:rsidRPr="00097A86">
        <w:rPr>
          <w:b/>
          <w:i/>
        </w:rPr>
        <w:t xml:space="preserve">dolomitic lime </w:t>
      </w:r>
      <w:r w:rsidRPr="00097A86">
        <w:t>is lime formed from limestone containing more than 35% magnesium carbonate.</w:t>
      </w:r>
    </w:p>
    <w:p w14:paraId="0139D29E" w14:textId="77777777" w:rsidR="004979AE" w:rsidRPr="00097A86" w:rsidRDefault="004979AE" w:rsidP="00D22D3F">
      <w:pPr>
        <w:pStyle w:val="Definition"/>
      </w:pPr>
      <w:r w:rsidRPr="00097A86">
        <w:rPr>
          <w:b/>
          <w:i/>
        </w:rPr>
        <w:t xml:space="preserve">magnesian lime </w:t>
      </w:r>
      <w:r w:rsidRPr="00097A86">
        <w:t>is lime formed from limestone containing 5–35% magnesium carbonate.</w:t>
      </w:r>
    </w:p>
    <w:p w14:paraId="2251960C" w14:textId="77777777" w:rsidR="004979AE" w:rsidRPr="00097A86" w:rsidRDefault="004979AE" w:rsidP="00D22D3F">
      <w:pPr>
        <w:pStyle w:val="ActHead5"/>
      </w:pPr>
      <w:bookmarkStart w:id="397" w:name="_Toc13233829"/>
      <w:r w:rsidRPr="00097A86">
        <w:rPr>
          <w:rStyle w:val="CharSectno"/>
        </w:rPr>
        <w:t>4.14</w:t>
      </w:r>
      <w:r w:rsidR="00D22D3F" w:rsidRPr="00097A86">
        <w:t xml:space="preserve">  </w:t>
      </w:r>
      <w:r w:rsidRPr="00097A86">
        <w:t>Method 2</w:t>
      </w:r>
      <w:r w:rsidR="00D22D3F" w:rsidRPr="00097A86">
        <w:t>—</w:t>
      </w:r>
      <w:r w:rsidRPr="00097A86">
        <w:t>lime production</w:t>
      </w:r>
      <w:bookmarkEnd w:id="397"/>
    </w:p>
    <w:p w14:paraId="2EF60901" w14:textId="77777777" w:rsidR="004979AE" w:rsidRPr="00097A86" w:rsidRDefault="004979AE" w:rsidP="00D22D3F">
      <w:pPr>
        <w:pStyle w:val="subsection"/>
      </w:pPr>
      <w:r w:rsidRPr="00097A86">
        <w:tab/>
        <w:t>(1)</w:t>
      </w:r>
      <w:r w:rsidRPr="00097A86">
        <w:tab/>
        <w:t>Method 2 is:</w:t>
      </w:r>
    </w:p>
    <w:p w14:paraId="2FC424A6" w14:textId="77777777" w:rsidR="004979AE" w:rsidRPr="00097A86" w:rsidRDefault="00D22D3F" w:rsidP="00D22D3F">
      <w:pPr>
        <w:pStyle w:val="subsection"/>
        <w:spacing w:before="120" w:after="120"/>
      </w:pPr>
      <w:r w:rsidRPr="00097A86">
        <w:tab/>
      </w:r>
      <w:r w:rsidRPr="00097A86">
        <w:tab/>
      </w:r>
      <w:r w:rsidR="009E1F90">
        <w:rPr>
          <w:noProof/>
        </w:rPr>
        <w:drawing>
          <wp:inline distT="0" distB="0" distL="0" distR="0" wp14:anchorId="24B62411" wp14:editId="7A925F1D">
            <wp:extent cx="2733675" cy="247650"/>
            <wp:effectExtent l="0" t="0" r="9525" b="0"/>
            <wp:docPr id="1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33675" cy="247650"/>
                    </a:xfrm>
                    <a:prstGeom prst="rect">
                      <a:avLst/>
                    </a:prstGeom>
                    <a:noFill/>
                    <a:ln>
                      <a:noFill/>
                    </a:ln>
                  </pic:spPr>
                </pic:pic>
              </a:graphicData>
            </a:graphic>
          </wp:inline>
        </w:drawing>
      </w:r>
    </w:p>
    <w:p w14:paraId="12BEB5C2" w14:textId="77777777" w:rsidR="004979AE" w:rsidRPr="00097A86" w:rsidRDefault="004979AE" w:rsidP="00D8659E">
      <w:pPr>
        <w:pStyle w:val="subsection2"/>
      </w:pPr>
      <w:r w:rsidRPr="00097A86">
        <w:t>where:</w:t>
      </w:r>
    </w:p>
    <w:p w14:paraId="394F8D36" w14:textId="77777777" w:rsidR="004979AE" w:rsidRPr="00097A86" w:rsidRDefault="004979AE" w:rsidP="00BF4A6E">
      <w:pPr>
        <w:pStyle w:val="Definition"/>
      </w:pPr>
      <w:r w:rsidRPr="00097A86">
        <w:rPr>
          <w:b/>
          <w:i/>
        </w:rPr>
        <w:t>E</w:t>
      </w:r>
      <w:r w:rsidRPr="00097A86">
        <w:rPr>
          <w:b/>
          <w:i/>
          <w:vertAlign w:val="subscript"/>
        </w:rPr>
        <w:t>ij</w:t>
      </w:r>
      <w:r w:rsidRPr="00097A86">
        <w:t xml:space="preserve"> is the emissions of carbon dioxide (</w:t>
      </w:r>
      <w:r w:rsidRPr="00097A86">
        <w:rPr>
          <w:b/>
          <w:i/>
        </w:rPr>
        <w:t>j</w:t>
      </w:r>
      <w:r w:rsidRPr="00097A86">
        <w:t>) released from the production of lime (</w:t>
      </w:r>
      <w:r w:rsidRPr="00097A86">
        <w:rPr>
          <w:b/>
          <w:i/>
        </w:rPr>
        <w:t>i</w:t>
      </w:r>
      <w:r w:rsidRPr="00097A86">
        <w:t>) during the year, measured in CO</w:t>
      </w:r>
      <w:r w:rsidRPr="00097A86">
        <w:rPr>
          <w:vertAlign w:val="subscript"/>
        </w:rPr>
        <w:t>2</w:t>
      </w:r>
      <w:r w:rsidR="00097A86">
        <w:noBreakHyphen/>
      </w:r>
      <w:r w:rsidRPr="00097A86">
        <w:t>e tonnes.</w:t>
      </w:r>
    </w:p>
    <w:p w14:paraId="3BE91584" w14:textId="77777777" w:rsidR="004979AE" w:rsidRPr="00097A86" w:rsidRDefault="004979AE" w:rsidP="00BF4A6E">
      <w:pPr>
        <w:pStyle w:val="Definition"/>
      </w:pPr>
      <w:r w:rsidRPr="00097A86">
        <w:rPr>
          <w:b/>
          <w:i/>
        </w:rPr>
        <w:t>A</w:t>
      </w:r>
      <w:r w:rsidRPr="00097A86">
        <w:rPr>
          <w:b/>
          <w:i/>
          <w:vertAlign w:val="subscript"/>
        </w:rPr>
        <w:t>i</w:t>
      </w:r>
      <w:r w:rsidRPr="00097A86">
        <w:t xml:space="preserve"> is the quantity of lime produced during the year, measured in tonnes and estimated under Division</w:t>
      </w:r>
      <w:r w:rsidR="00097A86">
        <w:t> </w:t>
      </w:r>
      <w:r w:rsidRPr="00097A86">
        <w:t>4.2.5.</w:t>
      </w:r>
    </w:p>
    <w:p w14:paraId="77EB3048" w14:textId="77777777" w:rsidR="004979AE" w:rsidRPr="00097A86" w:rsidRDefault="004979AE" w:rsidP="00BF4A6E">
      <w:pPr>
        <w:pStyle w:val="Definition"/>
      </w:pPr>
      <w:r w:rsidRPr="00097A86">
        <w:rPr>
          <w:b/>
          <w:i/>
        </w:rPr>
        <w:t>A</w:t>
      </w:r>
      <w:r w:rsidRPr="00097A86">
        <w:rPr>
          <w:b/>
          <w:i/>
          <w:vertAlign w:val="subscript"/>
        </w:rPr>
        <w:t>lkd</w:t>
      </w:r>
      <w:r w:rsidRPr="00097A86">
        <w:t xml:space="preserve"> is the quantity of lime kiln dust lost as a result of the production of lime during the year, measured in tonnes and estimated under Division</w:t>
      </w:r>
      <w:r w:rsidR="00097A86">
        <w:t> </w:t>
      </w:r>
      <w:r w:rsidRPr="00097A86">
        <w:t>4.2.5.</w:t>
      </w:r>
    </w:p>
    <w:p w14:paraId="14A8375D" w14:textId="77777777" w:rsidR="004979AE" w:rsidRPr="00097A86" w:rsidRDefault="004979AE" w:rsidP="00BF4A6E">
      <w:pPr>
        <w:pStyle w:val="Definition"/>
      </w:pPr>
      <w:r w:rsidRPr="00097A86">
        <w:rPr>
          <w:b/>
          <w:i/>
        </w:rPr>
        <w:t>F</w:t>
      </w:r>
      <w:r w:rsidRPr="00097A86">
        <w:rPr>
          <w:b/>
          <w:i/>
          <w:vertAlign w:val="subscript"/>
        </w:rPr>
        <w:t>lkd</w:t>
      </w:r>
      <w:r w:rsidRPr="00097A86">
        <w:t xml:space="preserve"> is:</w:t>
      </w:r>
    </w:p>
    <w:p w14:paraId="1460B258" w14:textId="77777777" w:rsidR="004979AE" w:rsidRPr="00097A86" w:rsidRDefault="004979AE" w:rsidP="00BF4A6E">
      <w:pPr>
        <w:pStyle w:val="paragraph"/>
      </w:pPr>
      <w:r w:rsidRPr="00097A86">
        <w:tab/>
        <w:t>(a)</w:t>
      </w:r>
      <w:r w:rsidRPr="00097A86">
        <w:tab/>
        <w:t xml:space="preserve">the fraction of </w:t>
      </w:r>
      <w:r w:rsidR="009B2A85" w:rsidRPr="00097A86">
        <w:t>calcination</w:t>
      </w:r>
      <w:r w:rsidRPr="00097A86">
        <w:t xml:space="preserve"> achieved for lime kiln dust in the production of lime during the year; or</w:t>
      </w:r>
    </w:p>
    <w:p w14:paraId="5CA69F5A" w14:textId="77777777" w:rsidR="004979AE" w:rsidRPr="00097A86" w:rsidRDefault="004979AE" w:rsidP="00D22D3F">
      <w:pPr>
        <w:pStyle w:val="paragraph"/>
      </w:pPr>
      <w:r w:rsidRPr="00097A86">
        <w:tab/>
        <w:t>(b)</w:t>
      </w:r>
      <w:r w:rsidRPr="00097A86">
        <w:tab/>
        <w:t xml:space="preserve">if the data in </w:t>
      </w:r>
      <w:r w:rsidR="00097A86">
        <w:t>paragraph (</w:t>
      </w:r>
      <w:r w:rsidRPr="00097A86">
        <w:t>a) is not available</w:t>
      </w:r>
      <w:r w:rsidR="00D22D3F" w:rsidRPr="00097A86">
        <w:t>—</w:t>
      </w:r>
      <w:r w:rsidRPr="00097A86">
        <w:t>the value 1.</w:t>
      </w:r>
    </w:p>
    <w:p w14:paraId="7F3C212C" w14:textId="77777777" w:rsidR="004979AE" w:rsidRPr="00097A86" w:rsidRDefault="004979AE" w:rsidP="00BF4A6E">
      <w:pPr>
        <w:pStyle w:val="Definition"/>
      </w:pPr>
      <w:r w:rsidRPr="00097A86">
        <w:rPr>
          <w:b/>
          <w:i/>
        </w:rPr>
        <w:t>EF</w:t>
      </w:r>
      <w:r w:rsidRPr="00097A86">
        <w:rPr>
          <w:b/>
          <w:i/>
          <w:vertAlign w:val="subscript"/>
        </w:rPr>
        <w:t>ij</w:t>
      </w:r>
      <w:r w:rsidRPr="00097A86">
        <w:t xml:space="preserve"> is worked out using the following formula:</w:t>
      </w:r>
    </w:p>
    <w:p w14:paraId="40D1A140" w14:textId="77777777" w:rsidR="004979AE" w:rsidRPr="00097A86" w:rsidRDefault="006A6B38" w:rsidP="006A6B38">
      <w:pPr>
        <w:pStyle w:val="subsection"/>
        <w:spacing w:before="120" w:after="120"/>
      </w:pPr>
      <w:r w:rsidRPr="00097A86">
        <w:tab/>
      </w:r>
      <w:r w:rsidRPr="00097A86">
        <w:tab/>
      </w:r>
      <w:r w:rsidR="00B52DD1" w:rsidRPr="00097A86">
        <w:tab/>
      </w:r>
      <w:r w:rsidR="009E1F90">
        <w:rPr>
          <w:noProof/>
        </w:rPr>
        <w:drawing>
          <wp:inline distT="0" distB="0" distL="0" distR="0" wp14:anchorId="5C57CB8D" wp14:editId="2F28CF58">
            <wp:extent cx="2495550" cy="238125"/>
            <wp:effectExtent l="0" t="0" r="0" b="9525"/>
            <wp:docPr id="18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495550" cy="238125"/>
                    </a:xfrm>
                    <a:prstGeom prst="rect">
                      <a:avLst/>
                    </a:prstGeom>
                    <a:noFill/>
                    <a:ln>
                      <a:noFill/>
                    </a:ln>
                  </pic:spPr>
                </pic:pic>
              </a:graphicData>
            </a:graphic>
          </wp:inline>
        </w:drawing>
      </w:r>
    </w:p>
    <w:p w14:paraId="4523EF4A" w14:textId="77777777" w:rsidR="004979AE" w:rsidRPr="00097A86" w:rsidRDefault="004979AE" w:rsidP="00C27627">
      <w:pPr>
        <w:pStyle w:val="subsection2"/>
        <w:ind w:left="1560"/>
      </w:pPr>
      <w:r w:rsidRPr="00097A86">
        <w:t>where:</w:t>
      </w:r>
    </w:p>
    <w:p w14:paraId="0E9FB7F6" w14:textId="77777777" w:rsidR="004979AE" w:rsidRPr="00097A86" w:rsidRDefault="004979AE" w:rsidP="00C27627">
      <w:pPr>
        <w:pStyle w:val="Definition"/>
        <w:ind w:left="1560"/>
      </w:pPr>
      <w:r w:rsidRPr="00097A86">
        <w:rPr>
          <w:b/>
          <w:i/>
        </w:rPr>
        <w:t>F</w:t>
      </w:r>
      <w:r w:rsidRPr="00097A86">
        <w:rPr>
          <w:b/>
          <w:i/>
          <w:vertAlign w:val="subscript"/>
        </w:rPr>
        <w:t>CaO</w:t>
      </w:r>
      <w:r w:rsidRPr="00097A86">
        <w:t xml:space="preserve"> is the estimated fraction of lime that is calcium oxide derived from carbonate sources and produced from the operation of the facility.</w:t>
      </w:r>
    </w:p>
    <w:p w14:paraId="2061162F" w14:textId="77777777" w:rsidR="004979AE" w:rsidRPr="00097A86" w:rsidRDefault="004979AE" w:rsidP="00C27627">
      <w:pPr>
        <w:pStyle w:val="Definition"/>
        <w:ind w:left="1560"/>
      </w:pPr>
      <w:r w:rsidRPr="00097A86">
        <w:rPr>
          <w:b/>
          <w:i/>
        </w:rPr>
        <w:t>F</w:t>
      </w:r>
      <w:r w:rsidRPr="00097A86">
        <w:rPr>
          <w:b/>
          <w:i/>
          <w:vertAlign w:val="subscript"/>
        </w:rPr>
        <w:t>MgO</w:t>
      </w:r>
      <w:r w:rsidRPr="00097A86">
        <w:t xml:space="preserve"> is the estimated fraction of lime that is magnesium oxide derived from carbonate sources and produced from the operation of the facility.</w:t>
      </w:r>
    </w:p>
    <w:p w14:paraId="479CDD4B" w14:textId="77777777" w:rsidR="004979AE" w:rsidRPr="00097A86" w:rsidRDefault="004979AE" w:rsidP="00D8659E">
      <w:pPr>
        <w:pStyle w:val="Definition"/>
      </w:pPr>
      <w:r w:rsidRPr="00097A86">
        <w:rPr>
          <w:b/>
        </w:rPr>
        <w:t xml:space="preserve">γ </w:t>
      </w:r>
      <w:r w:rsidRPr="00097A86">
        <w:t xml:space="preserve">is the factor 1.861 × </w:t>
      </w:r>
      <w:r w:rsidRPr="00097A86">
        <w:rPr>
          <w:szCs w:val="22"/>
        </w:rPr>
        <w:t>10</w:t>
      </w:r>
      <w:r w:rsidR="00097A86">
        <w:rPr>
          <w:szCs w:val="22"/>
          <w:vertAlign w:val="superscript"/>
        </w:rPr>
        <w:noBreakHyphen/>
      </w:r>
      <w:r w:rsidRPr="00097A86">
        <w:rPr>
          <w:szCs w:val="22"/>
          <w:vertAlign w:val="superscript"/>
        </w:rPr>
        <w:t>3</w:t>
      </w:r>
      <w:r w:rsidRPr="00097A86">
        <w:t xml:space="preserve"> for converting a quantity of carbon dioxide from cubic metres at standard conditions of pressure and temperature to CO</w:t>
      </w:r>
      <w:r w:rsidRPr="00097A86">
        <w:rPr>
          <w:vertAlign w:val="subscript"/>
        </w:rPr>
        <w:t>2</w:t>
      </w:r>
      <w:r w:rsidR="00097A86">
        <w:noBreakHyphen/>
      </w:r>
      <w:r w:rsidRPr="00097A86">
        <w:t>e tonnes.</w:t>
      </w:r>
    </w:p>
    <w:p w14:paraId="67E26661" w14:textId="77777777" w:rsidR="004979AE" w:rsidRPr="00097A86" w:rsidRDefault="004979AE" w:rsidP="00D8659E">
      <w:pPr>
        <w:pStyle w:val="Definition"/>
      </w:pPr>
      <w:r w:rsidRPr="00097A86">
        <w:rPr>
          <w:b/>
          <w:i/>
        </w:rPr>
        <w:t>RCCS</w:t>
      </w:r>
      <w:r w:rsidRPr="00097A86">
        <w:rPr>
          <w:b/>
          <w:i/>
          <w:vertAlign w:val="subscript"/>
        </w:rPr>
        <w:t>CO</w:t>
      </w:r>
      <w:r w:rsidRPr="00097A86">
        <w:rPr>
          <w:b/>
          <w:i/>
          <w:position w:val="-4"/>
          <w:vertAlign w:val="subscript"/>
        </w:rPr>
        <w:t>2</w:t>
      </w:r>
      <w:r w:rsidRPr="00097A86">
        <w:t xml:space="preserve"> is carbon dioxide captured for permanent storage, measured in cubic metres in accordance with Division</w:t>
      </w:r>
      <w:r w:rsidR="00097A86">
        <w:t> </w:t>
      </w:r>
      <w:r w:rsidRPr="00097A86">
        <w:t>1.2.3.</w:t>
      </w:r>
    </w:p>
    <w:p w14:paraId="737E72CC" w14:textId="77777777" w:rsidR="004979AE" w:rsidRPr="00097A86" w:rsidRDefault="004979AE" w:rsidP="00D22D3F">
      <w:pPr>
        <w:pStyle w:val="subsection"/>
      </w:pPr>
      <w:r w:rsidRPr="00097A86">
        <w:tab/>
        <w:t>(2)</w:t>
      </w:r>
      <w:r w:rsidRPr="00097A86">
        <w:tab/>
        <w:t>Method 2 requires lime to be sampled and analysed in accordance with sections</w:t>
      </w:r>
      <w:r w:rsidR="00097A86">
        <w:t> </w:t>
      </w:r>
      <w:r w:rsidRPr="00097A86">
        <w:t>4.15 and 4.16.</w:t>
      </w:r>
    </w:p>
    <w:p w14:paraId="5506FAF6" w14:textId="77777777" w:rsidR="003F0D4E" w:rsidRPr="00097A86" w:rsidRDefault="003F0D4E" w:rsidP="00D22D3F">
      <w:pPr>
        <w:pStyle w:val="ActHead5"/>
      </w:pPr>
      <w:bookmarkStart w:id="398" w:name="_Toc13233830"/>
      <w:r w:rsidRPr="00097A86">
        <w:rPr>
          <w:rStyle w:val="CharSectno"/>
        </w:rPr>
        <w:lastRenderedPageBreak/>
        <w:t>4.15</w:t>
      </w:r>
      <w:r w:rsidR="00D22D3F" w:rsidRPr="00097A86">
        <w:t xml:space="preserve">  </w:t>
      </w:r>
      <w:r w:rsidRPr="00097A86">
        <w:t>General requirements for sampling</w:t>
      </w:r>
      <w:bookmarkEnd w:id="398"/>
    </w:p>
    <w:p w14:paraId="07D69D24" w14:textId="77777777" w:rsidR="003F0D4E" w:rsidRPr="00097A86" w:rsidRDefault="003F0D4E" w:rsidP="00D22D3F">
      <w:pPr>
        <w:pStyle w:val="subsection"/>
      </w:pPr>
      <w:r w:rsidRPr="00097A86">
        <w:tab/>
        <w:t>(1)</w:t>
      </w:r>
      <w:r w:rsidRPr="00097A86">
        <w:tab/>
        <w:t>A sample of lime must be derived from a composite of amounts of the lime produced.</w:t>
      </w:r>
    </w:p>
    <w:p w14:paraId="4F572586" w14:textId="77777777" w:rsidR="004979AE" w:rsidRPr="00097A86" w:rsidRDefault="00D22D3F" w:rsidP="00D22D3F">
      <w:pPr>
        <w:pStyle w:val="notetext"/>
      </w:pPr>
      <w:r w:rsidRPr="00097A86">
        <w:t>Note:</w:t>
      </w:r>
      <w:r w:rsidRPr="00097A86">
        <w:tab/>
      </w:r>
      <w:r w:rsidR="004979AE" w:rsidRPr="00097A86">
        <w:t>Appropriate standards for sampling are:</w:t>
      </w:r>
    </w:p>
    <w:p w14:paraId="5D476F67" w14:textId="77777777" w:rsidR="004979AE" w:rsidRPr="00097A86" w:rsidRDefault="004979AE" w:rsidP="00D22D3F">
      <w:pPr>
        <w:pStyle w:val="notepara"/>
      </w:pPr>
      <w:r w:rsidRPr="00097A86">
        <w:sym w:font="Symbol" w:char="F0B7"/>
      </w:r>
      <w:r w:rsidRPr="00097A86">
        <w:tab/>
        <w:t>ASTM C25</w:t>
      </w:r>
      <w:r w:rsidR="00097A86">
        <w:noBreakHyphen/>
      </w:r>
      <w:r w:rsidRPr="00097A86">
        <w:t xml:space="preserve">06, </w:t>
      </w:r>
      <w:r w:rsidRPr="00097A86">
        <w:rPr>
          <w:i/>
        </w:rPr>
        <w:t>Standard Test Methods for Chemical Analysis of Limestone, Quicklime, and Hydrated Lime</w:t>
      </w:r>
    </w:p>
    <w:p w14:paraId="1889A793" w14:textId="77777777" w:rsidR="004979AE" w:rsidRPr="00097A86" w:rsidRDefault="004979AE" w:rsidP="00D22D3F">
      <w:pPr>
        <w:pStyle w:val="notepara"/>
        <w:rPr>
          <w:i/>
        </w:rPr>
      </w:pPr>
      <w:r w:rsidRPr="00097A86">
        <w:sym w:font="Symbol" w:char="00B7"/>
      </w:r>
      <w:r w:rsidRPr="00097A86">
        <w:tab/>
        <w:t>ASTM C50</w:t>
      </w:r>
      <w:r w:rsidR="00097A86">
        <w:noBreakHyphen/>
      </w:r>
      <w:r w:rsidRPr="00097A86">
        <w:t xml:space="preserve">00 (2006), </w:t>
      </w:r>
      <w:r w:rsidRPr="00097A86">
        <w:rPr>
          <w:i/>
        </w:rPr>
        <w:t>Standard Practice for Sampling, Sample Preparation, Packaging, and Marking of Lime and Limestone Products</w:t>
      </w:r>
    </w:p>
    <w:p w14:paraId="73EE6E1E" w14:textId="77777777" w:rsidR="004979AE" w:rsidRPr="00097A86" w:rsidRDefault="004979AE" w:rsidP="00D22D3F">
      <w:pPr>
        <w:pStyle w:val="notepara"/>
      </w:pPr>
      <w:r w:rsidRPr="00097A86">
        <w:sym w:font="Symbol" w:char="00B7"/>
      </w:r>
      <w:r w:rsidRPr="00097A86">
        <w:tab/>
        <w:t xml:space="preserve">AS 4489.0–1997 </w:t>
      </w:r>
      <w:r w:rsidRPr="00097A86">
        <w:rPr>
          <w:i/>
        </w:rPr>
        <w:t>Test methods for limes and limestones</w:t>
      </w:r>
      <w:r w:rsidR="00D22D3F" w:rsidRPr="00097A86">
        <w:rPr>
          <w:i/>
        </w:rPr>
        <w:t>—</w:t>
      </w:r>
      <w:r w:rsidRPr="00097A86">
        <w:rPr>
          <w:i/>
        </w:rPr>
        <w:t>General introduction and list of methods</w:t>
      </w:r>
      <w:r w:rsidRPr="00097A86">
        <w:t>.</w:t>
      </w:r>
    </w:p>
    <w:p w14:paraId="1D036C30"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275A2782"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48AA774C" w14:textId="77777777" w:rsidR="003F0D4E" w:rsidRPr="00097A86" w:rsidRDefault="003F0D4E" w:rsidP="00D22D3F">
      <w:pPr>
        <w:pStyle w:val="subsection"/>
      </w:pPr>
      <w:r w:rsidRPr="00097A86">
        <w:tab/>
        <w:t>(4)</w:t>
      </w:r>
      <w:r w:rsidRPr="00097A86">
        <w:tab/>
        <w:t>Bias must be tested in accordance with an appropriate standard.</w:t>
      </w:r>
    </w:p>
    <w:p w14:paraId="4EAF8CFA" w14:textId="77777777" w:rsidR="003F0D4E" w:rsidRPr="00097A86" w:rsidRDefault="00D22D3F" w:rsidP="00D22D3F">
      <w:pPr>
        <w:pStyle w:val="notetext"/>
      </w:pPr>
      <w:r w:rsidRPr="00097A86">
        <w:t>Note:</w:t>
      </w:r>
      <w:r w:rsidRPr="00097A86">
        <w:tab/>
      </w:r>
      <w:r w:rsidR="003F0D4E" w:rsidRPr="00097A86">
        <w:t xml:space="preserve">An appropriate standard is AS 4264.4—1996 – </w:t>
      </w:r>
      <w:r w:rsidR="003F0D4E" w:rsidRPr="00097A86">
        <w:rPr>
          <w:i/>
        </w:rPr>
        <w:t>Coal and coke – sampling – Determination of precision and bias</w:t>
      </w:r>
      <w:r w:rsidR="003F0D4E" w:rsidRPr="00097A86">
        <w:t>.</w:t>
      </w:r>
    </w:p>
    <w:p w14:paraId="3FC04204" w14:textId="77777777" w:rsidR="003F0D4E" w:rsidRPr="00097A86" w:rsidRDefault="003F0D4E" w:rsidP="00D22D3F">
      <w:pPr>
        <w:pStyle w:val="subsection"/>
      </w:pPr>
      <w:r w:rsidRPr="00097A86">
        <w:tab/>
        <w:t>(5)</w:t>
      </w:r>
      <w:r w:rsidRPr="00097A86">
        <w:tab/>
        <w:t>The value obtained from the sample must only be used for the production period for which it was intended to be representative.</w:t>
      </w:r>
    </w:p>
    <w:p w14:paraId="4DB15C35" w14:textId="77777777" w:rsidR="003F0D4E" w:rsidRPr="00097A86" w:rsidRDefault="003F0D4E" w:rsidP="00D22D3F">
      <w:pPr>
        <w:pStyle w:val="ActHead5"/>
      </w:pPr>
      <w:bookmarkStart w:id="399" w:name="_Toc13233831"/>
      <w:r w:rsidRPr="00097A86">
        <w:rPr>
          <w:rStyle w:val="CharSectno"/>
        </w:rPr>
        <w:t>4.16</w:t>
      </w:r>
      <w:r w:rsidR="00D22D3F" w:rsidRPr="00097A86">
        <w:t xml:space="preserve">  </w:t>
      </w:r>
      <w:r w:rsidRPr="00097A86">
        <w:t>General requirements for analysis of lime</w:t>
      </w:r>
      <w:bookmarkEnd w:id="399"/>
    </w:p>
    <w:p w14:paraId="282B4568" w14:textId="77777777" w:rsidR="003F0D4E" w:rsidRPr="00097A86" w:rsidRDefault="003F0D4E" w:rsidP="00D22D3F">
      <w:pPr>
        <w:pStyle w:val="subsection"/>
      </w:pPr>
      <w:r w:rsidRPr="00097A86">
        <w:tab/>
        <w:t>(1)</w:t>
      </w:r>
      <w:r w:rsidRPr="00097A86">
        <w:tab/>
        <w:t>Analysis of a sample of lime, including determining the fractional purity of the sample, must be done in accordance with industry practice and must be consistent with the principles in section</w:t>
      </w:r>
      <w:r w:rsidR="00097A86">
        <w:t> </w:t>
      </w:r>
      <w:r w:rsidRPr="00097A86">
        <w:t>1.13.</w:t>
      </w:r>
    </w:p>
    <w:p w14:paraId="1F126CB1" w14:textId="77777777" w:rsidR="003F0D4E" w:rsidRPr="00097A86" w:rsidRDefault="003F0D4E" w:rsidP="00D22D3F">
      <w:pPr>
        <w:pStyle w:val="subsection"/>
      </w:pPr>
      <w:r w:rsidRPr="00097A86">
        <w:tab/>
        <w:t>(2)</w:t>
      </w:r>
      <w:r w:rsidRPr="00097A86">
        <w:tab/>
        <w:t>The minimum frequency of analysis of samples of lime must be in accordance with the Tier 3 method in section</w:t>
      </w:r>
      <w:r w:rsidR="00097A86">
        <w:t> </w:t>
      </w:r>
      <w:r w:rsidRPr="00097A86">
        <w:t xml:space="preserve">2.2.1.1 of </w:t>
      </w:r>
      <w:r w:rsidR="00B16A2E" w:rsidRPr="00097A86">
        <w:t>Chapter</w:t>
      </w:r>
      <w:r w:rsidR="00097A86">
        <w:t> </w:t>
      </w:r>
      <w:r w:rsidR="00B16A2E" w:rsidRPr="00097A86">
        <w:t xml:space="preserve">2 </w:t>
      </w:r>
      <w:r w:rsidRPr="00097A86">
        <w:t>of Volume 3 of the 2006 IPCC Guidelines</w:t>
      </w:r>
      <w:r w:rsidRPr="00097A86">
        <w:rPr>
          <w:i/>
        </w:rPr>
        <w:t>.</w:t>
      </w:r>
    </w:p>
    <w:p w14:paraId="20E087D6" w14:textId="77777777" w:rsidR="003F0D4E" w:rsidRPr="00097A86" w:rsidRDefault="003F0D4E" w:rsidP="00D22D3F">
      <w:pPr>
        <w:pStyle w:val="ActHead5"/>
      </w:pPr>
      <w:bookmarkStart w:id="400" w:name="_Toc13233832"/>
      <w:r w:rsidRPr="00097A86">
        <w:rPr>
          <w:rStyle w:val="CharSectno"/>
        </w:rPr>
        <w:t>4.17</w:t>
      </w:r>
      <w:r w:rsidR="00D22D3F" w:rsidRPr="00097A86">
        <w:t xml:space="preserve">  </w:t>
      </w:r>
      <w:r w:rsidRPr="00097A86">
        <w:t>Method 3</w:t>
      </w:r>
      <w:r w:rsidR="00D22D3F" w:rsidRPr="00097A86">
        <w:t>—</w:t>
      </w:r>
      <w:r w:rsidRPr="00097A86">
        <w:t>lime production</w:t>
      </w:r>
      <w:bookmarkEnd w:id="400"/>
    </w:p>
    <w:p w14:paraId="60C7E5CC" w14:textId="77777777" w:rsidR="003F0D4E" w:rsidRPr="00097A86" w:rsidRDefault="003F0D4E" w:rsidP="006118DB">
      <w:pPr>
        <w:pStyle w:val="subsection"/>
        <w:spacing w:after="60"/>
      </w:pPr>
      <w:r w:rsidRPr="00097A86">
        <w:tab/>
        <w:t>(1)</w:t>
      </w:r>
      <w:r w:rsidRPr="00097A86">
        <w:tab/>
        <w:t>Method 3 is:</w:t>
      </w:r>
    </w:p>
    <w:tbl>
      <w:tblPr>
        <w:tblW w:w="5000" w:type="pct"/>
        <w:tblLook w:val="0000" w:firstRow="0" w:lastRow="0" w:firstColumn="0" w:lastColumn="0" w:noHBand="0" w:noVBand="0"/>
      </w:tblPr>
      <w:tblGrid>
        <w:gridCol w:w="951"/>
        <w:gridCol w:w="7362"/>
      </w:tblGrid>
      <w:tr w:rsidR="00926860" w:rsidRPr="00097A86" w14:paraId="40405A67" w14:textId="77777777" w:rsidTr="00C20CC2">
        <w:trPr>
          <w:cantSplit/>
          <w:trHeight w:val="2610"/>
        </w:trPr>
        <w:tc>
          <w:tcPr>
            <w:tcW w:w="572" w:type="pct"/>
          </w:tcPr>
          <w:p w14:paraId="6FC7A0C4" w14:textId="77777777" w:rsidR="00926860" w:rsidRPr="00097A86" w:rsidRDefault="00926860" w:rsidP="00B9785F">
            <w:pPr>
              <w:pStyle w:val="TableHeading"/>
              <w:keepNext w:val="0"/>
            </w:pPr>
            <w:r w:rsidRPr="00097A86">
              <w:rPr>
                <w:b w:val="0"/>
                <w:sz w:val="22"/>
                <w:szCs w:val="22"/>
              </w:rPr>
              <w:t>Step 1</w:t>
            </w:r>
          </w:p>
        </w:tc>
        <w:tc>
          <w:tcPr>
            <w:tcW w:w="4428" w:type="pct"/>
          </w:tcPr>
          <w:p w14:paraId="586F815A" w14:textId="77777777" w:rsidR="00926860" w:rsidRPr="00097A86" w:rsidRDefault="00926860" w:rsidP="00B9785F">
            <w:pPr>
              <w:pStyle w:val="TableHeading"/>
              <w:keepLines/>
              <w:rPr>
                <w:b w:val="0"/>
                <w:sz w:val="22"/>
                <w:szCs w:val="22"/>
              </w:rPr>
            </w:pPr>
            <w:r w:rsidRPr="00097A86">
              <w:rPr>
                <w:b w:val="0"/>
                <w:sz w:val="22"/>
                <w:szCs w:val="22"/>
              </w:rPr>
              <w:t>Measure the amount of emissions of carbon dioxide in CO</w:t>
            </w:r>
            <w:r w:rsidRPr="00097A86">
              <w:rPr>
                <w:rStyle w:val="Subscript"/>
                <w:b w:val="0"/>
                <w:iCs/>
                <w:sz w:val="22"/>
                <w:szCs w:val="22"/>
              </w:rPr>
              <w:t>2</w:t>
            </w:r>
            <w:r w:rsidR="00097A86">
              <w:rPr>
                <w:b w:val="0"/>
                <w:sz w:val="22"/>
                <w:szCs w:val="22"/>
              </w:rPr>
              <w:noBreakHyphen/>
            </w:r>
            <w:r w:rsidRPr="00097A86">
              <w:rPr>
                <w:b w:val="0"/>
                <w:sz w:val="22"/>
                <w:szCs w:val="22"/>
              </w:rPr>
              <w:t>e tonnes released from each pure carbonate calcined in the production of lime during the year as follows:</w:t>
            </w:r>
          </w:p>
          <w:p w14:paraId="48C2472A" w14:textId="77777777" w:rsidR="00926860" w:rsidRPr="00097A86" w:rsidRDefault="00926860" w:rsidP="00926860">
            <w:pPr>
              <w:pStyle w:val="TableHeading"/>
              <w:rPr>
                <w:b w:val="0"/>
                <w:sz w:val="22"/>
                <w:szCs w:val="22"/>
              </w:rPr>
            </w:pPr>
            <w:r w:rsidRPr="00097A86">
              <w:rPr>
                <w:b w:val="0"/>
                <w:noProof/>
                <w:sz w:val="22"/>
                <w:szCs w:val="22"/>
              </w:rPr>
              <w:drawing>
                <wp:inline distT="0" distB="0" distL="0" distR="0" wp14:anchorId="4BA724C1" wp14:editId="6639EC62">
                  <wp:extent cx="38100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p>
          <w:p w14:paraId="6030FE8E" w14:textId="77777777" w:rsidR="00926860" w:rsidRPr="00097A86" w:rsidRDefault="00926860" w:rsidP="00E82EBB">
            <w:pPr>
              <w:pStyle w:val="subsection2"/>
              <w:ind w:left="34"/>
            </w:pPr>
            <w:r w:rsidRPr="00097A86">
              <w:t>where:</w:t>
            </w:r>
          </w:p>
          <w:p w14:paraId="52A287CB" w14:textId="77777777" w:rsidR="00926860" w:rsidRPr="00097A86" w:rsidRDefault="00926860" w:rsidP="00E82EBB">
            <w:pPr>
              <w:pStyle w:val="Definition"/>
              <w:spacing w:after="60"/>
              <w:ind w:left="34"/>
            </w:pPr>
            <w:r w:rsidRPr="00097A86">
              <w:rPr>
                <w:b/>
                <w:i/>
              </w:rPr>
              <w:t>E</w:t>
            </w:r>
            <w:r w:rsidRPr="00097A86">
              <w:rPr>
                <w:rStyle w:val="Subscript"/>
                <w:b/>
                <w:i/>
                <w:sz w:val="16"/>
                <w:szCs w:val="16"/>
              </w:rPr>
              <w:t>ij</w:t>
            </w:r>
            <w:r w:rsidRPr="00097A86">
              <w:rPr>
                <w:b/>
                <w:i/>
              </w:rPr>
              <w:t xml:space="preserve"> </w:t>
            </w:r>
            <w:r w:rsidRPr="00097A86">
              <w:t>is the emissions of carbon dioxide (</w:t>
            </w:r>
            <w:r w:rsidRPr="00097A86">
              <w:rPr>
                <w:b/>
                <w:i/>
              </w:rPr>
              <w:t>j</w:t>
            </w:r>
            <w:r w:rsidRPr="00097A86">
              <w:t>) released from a carbonate (</w:t>
            </w:r>
            <w:r w:rsidRPr="00097A86">
              <w:rPr>
                <w:b/>
                <w:i/>
              </w:rPr>
              <w:t>i</w:t>
            </w:r>
            <w:r w:rsidRPr="00097A86">
              <w:t xml:space="preserve">) calcined in the production of lime during the year measured in </w:t>
            </w:r>
            <w:r w:rsidRPr="00097A86">
              <w:rPr>
                <w:szCs w:val="22"/>
              </w:rPr>
              <w:t>CO</w:t>
            </w:r>
            <w:r w:rsidRPr="00097A86">
              <w:rPr>
                <w:rStyle w:val="Subscript"/>
                <w:iCs/>
                <w:szCs w:val="22"/>
              </w:rPr>
              <w:t>2</w:t>
            </w:r>
            <w:r w:rsidR="00097A86">
              <w:rPr>
                <w:szCs w:val="22"/>
              </w:rPr>
              <w:noBreakHyphen/>
            </w:r>
            <w:r w:rsidRPr="00097A86">
              <w:rPr>
                <w:szCs w:val="22"/>
              </w:rPr>
              <w:t>e</w:t>
            </w:r>
            <w:r w:rsidRPr="00097A86">
              <w:t xml:space="preserve"> tonnes.</w:t>
            </w:r>
          </w:p>
        </w:tc>
      </w:tr>
      <w:tr w:rsidR="00926860" w:rsidRPr="00097A86" w14:paraId="0EA76492" w14:textId="77777777" w:rsidTr="00C20CC2">
        <w:trPr>
          <w:cantSplit/>
          <w:trHeight w:val="2610"/>
        </w:trPr>
        <w:tc>
          <w:tcPr>
            <w:tcW w:w="572" w:type="pct"/>
          </w:tcPr>
          <w:p w14:paraId="7FD8EB38" w14:textId="77777777" w:rsidR="00926860" w:rsidRPr="00097A86" w:rsidRDefault="00926860" w:rsidP="00617697">
            <w:pPr>
              <w:spacing w:before="60" w:after="60"/>
              <w:rPr>
                <w:i/>
              </w:rPr>
            </w:pPr>
          </w:p>
        </w:tc>
        <w:tc>
          <w:tcPr>
            <w:tcW w:w="4428" w:type="pct"/>
          </w:tcPr>
          <w:p w14:paraId="3FC4C053" w14:textId="77777777" w:rsidR="00926860" w:rsidRPr="00097A86" w:rsidRDefault="00926860" w:rsidP="00E82EBB">
            <w:pPr>
              <w:pStyle w:val="Definition"/>
              <w:spacing w:before="60" w:after="60"/>
              <w:ind w:left="34"/>
            </w:pPr>
            <w:r w:rsidRPr="00097A86">
              <w:rPr>
                <w:b/>
                <w:i/>
              </w:rPr>
              <w:t>EF</w:t>
            </w:r>
            <w:r w:rsidRPr="00097A86">
              <w:rPr>
                <w:rStyle w:val="Subscript"/>
                <w:b/>
                <w:i/>
              </w:rPr>
              <w:t>ij</w:t>
            </w:r>
            <w:r w:rsidRPr="00097A86">
              <w:t xml:space="preserve"> is the carbon dioxide (</w:t>
            </w:r>
            <w:r w:rsidRPr="00097A86">
              <w:rPr>
                <w:b/>
                <w:i/>
              </w:rPr>
              <w:t>j</w:t>
            </w:r>
            <w:r w:rsidRPr="00097A86">
              <w:t>) emission factor for the carbonate (</w:t>
            </w:r>
            <w:r w:rsidRPr="00097A86">
              <w:rPr>
                <w:b/>
                <w:i/>
              </w:rPr>
              <w:t>i</w:t>
            </w:r>
            <w:r w:rsidRPr="00097A86">
              <w:t>), measured in tonnes of emissions of carbon dioxide per tonne of pure carbonate as follows:</w:t>
            </w:r>
          </w:p>
          <w:p w14:paraId="7A130917" w14:textId="77777777" w:rsidR="00926860" w:rsidRPr="00097A86" w:rsidRDefault="00926860" w:rsidP="00617697">
            <w:pPr>
              <w:pStyle w:val="TableP1a"/>
            </w:pPr>
            <w:r w:rsidRPr="00097A86">
              <w:tab/>
              <w:t>(a)</w:t>
            </w:r>
            <w:r w:rsidRPr="00097A86">
              <w:tab/>
              <w:t>for calcium carbonate—0.440;</w:t>
            </w:r>
          </w:p>
          <w:p w14:paraId="4750A87F" w14:textId="77777777" w:rsidR="00926860" w:rsidRPr="00097A86" w:rsidRDefault="00926860" w:rsidP="00617697">
            <w:pPr>
              <w:pStyle w:val="TableP1a"/>
            </w:pPr>
            <w:r w:rsidRPr="00097A86">
              <w:tab/>
              <w:t>(b)</w:t>
            </w:r>
            <w:r w:rsidRPr="00097A86">
              <w:tab/>
              <w:t>for magnesium carbonate—0.522;</w:t>
            </w:r>
          </w:p>
          <w:p w14:paraId="7C5CF4C3" w14:textId="77777777" w:rsidR="00926860" w:rsidRPr="00097A86" w:rsidRDefault="00926860" w:rsidP="00617697">
            <w:pPr>
              <w:pStyle w:val="TableP1a"/>
            </w:pPr>
            <w:r w:rsidRPr="00097A86">
              <w:tab/>
              <w:t>(c)</w:t>
            </w:r>
            <w:r w:rsidRPr="00097A86">
              <w:tab/>
              <w:t>for dolomite—0.477;</w:t>
            </w:r>
          </w:p>
          <w:p w14:paraId="1526DADF" w14:textId="77777777" w:rsidR="00926860" w:rsidRPr="00097A86" w:rsidRDefault="00926860" w:rsidP="006A3969">
            <w:pPr>
              <w:pStyle w:val="TableP1a"/>
            </w:pPr>
            <w:r w:rsidRPr="00097A86">
              <w:tab/>
              <w:t>(d)</w:t>
            </w:r>
            <w:r w:rsidRPr="00097A86">
              <w:tab/>
              <w:t>for any other carbonate—the factor for the carbonate in accordance with section</w:t>
            </w:r>
            <w:r w:rsidR="00097A86">
              <w:t> </w:t>
            </w:r>
            <w:r w:rsidRPr="00097A86">
              <w:t>2.1 of Chapter</w:t>
            </w:r>
            <w:r w:rsidR="00097A86">
              <w:t> </w:t>
            </w:r>
            <w:r w:rsidRPr="00097A86">
              <w:t>2 of Volume 3 of the 2006 IPCC Guidelines.</w:t>
            </w:r>
          </w:p>
        </w:tc>
      </w:tr>
      <w:tr w:rsidR="00926860" w:rsidRPr="00097A86" w14:paraId="75AFCBF0" w14:textId="77777777" w:rsidTr="00C20CC2">
        <w:trPr>
          <w:cantSplit/>
        </w:trPr>
        <w:tc>
          <w:tcPr>
            <w:tcW w:w="572" w:type="pct"/>
          </w:tcPr>
          <w:p w14:paraId="46C9FA6C" w14:textId="77777777" w:rsidR="00926860" w:rsidRPr="00097A86" w:rsidRDefault="00926860" w:rsidP="00617697">
            <w:pPr>
              <w:spacing w:before="60" w:after="60"/>
              <w:rPr>
                <w:i/>
              </w:rPr>
            </w:pPr>
          </w:p>
        </w:tc>
        <w:tc>
          <w:tcPr>
            <w:tcW w:w="4428" w:type="pct"/>
          </w:tcPr>
          <w:p w14:paraId="4D98E2B7" w14:textId="77777777" w:rsidR="00926860" w:rsidRPr="00097A86" w:rsidRDefault="00926860" w:rsidP="00E82EBB">
            <w:pPr>
              <w:pStyle w:val="Definition"/>
              <w:spacing w:before="60" w:after="60"/>
              <w:ind w:left="34"/>
            </w:pPr>
            <w:r w:rsidRPr="00097A86">
              <w:rPr>
                <w:b/>
                <w:i/>
              </w:rPr>
              <w:t>Q</w:t>
            </w:r>
            <w:r w:rsidRPr="00097A86">
              <w:rPr>
                <w:rStyle w:val="Subscript"/>
                <w:b/>
                <w:i/>
              </w:rPr>
              <w:t>i</w:t>
            </w:r>
            <w:r w:rsidRPr="00097A86">
              <w:t xml:space="preserve"> is the quantity of the pure carbonate (</w:t>
            </w:r>
            <w:r w:rsidRPr="00097A86">
              <w:rPr>
                <w:b/>
                <w:i/>
              </w:rPr>
              <w:t>i</w:t>
            </w:r>
            <w:r w:rsidRPr="00097A86">
              <w:t>) entering the calcining process in the production of lime during the year measured in tonnes and estimated under Division</w:t>
            </w:r>
            <w:r w:rsidR="00097A86">
              <w:t> </w:t>
            </w:r>
            <w:r w:rsidRPr="00097A86">
              <w:t>4.2.5.</w:t>
            </w:r>
          </w:p>
          <w:p w14:paraId="7D3E6C61" w14:textId="77777777" w:rsidR="00926860" w:rsidRPr="00097A86" w:rsidRDefault="00926860" w:rsidP="00E82EBB">
            <w:pPr>
              <w:pStyle w:val="Definition"/>
              <w:spacing w:before="60" w:after="60"/>
              <w:ind w:left="34"/>
            </w:pPr>
            <w:r w:rsidRPr="00097A86">
              <w:rPr>
                <w:b/>
                <w:i/>
              </w:rPr>
              <w:t>F</w:t>
            </w:r>
            <w:r w:rsidRPr="00097A86">
              <w:rPr>
                <w:rStyle w:val="Subscript"/>
                <w:b/>
                <w:i/>
              </w:rPr>
              <w:t>cal</w:t>
            </w:r>
            <w:r w:rsidRPr="00097A86">
              <w:t xml:space="preserve"> is:</w:t>
            </w:r>
          </w:p>
          <w:p w14:paraId="5ED0C6A3" w14:textId="77777777" w:rsidR="00926860" w:rsidRPr="00097A86" w:rsidRDefault="00926860" w:rsidP="00617697">
            <w:pPr>
              <w:pStyle w:val="TableP1a"/>
              <w:numPr>
                <w:ilvl w:val="0"/>
                <w:numId w:val="27"/>
              </w:numPr>
            </w:pPr>
            <w:r w:rsidRPr="00097A86">
              <w:t>the amount of the carbonate calcined in the production of lime during the year expressed as a decimal fraction; or</w:t>
            </w:r>
          </w:p>
          <w:p w14:paraId="0A614FBB" w14:textId="77777777" w:rsidR="00926860" w:rsidRPr="00097A86" w:rsidRDefault="00926860" w:rsidP="00617697">
            <w:pPr>
              <w:pStyle w:val="TableP1a"/>
              <w:numPr>
                <w:ilvl w:val="0"/>
                <w:numId w:val="27"/>
              </w:numPr>
            </w:pPr>
            <w:r w:rsidRPr="00097A86">
              <w:t>if the information mentioned in</w:t>
            </w:r>
            <w:r w:rsidR="006A3969" w:rsidRPr="00097A86">
              <w:t xml:space="preserve"> </w:t>
            </w:r>
            <w:r w:rsidR="00097A86">
              <w:t>paragraph (</w:t>
            </w:r>
            <w:r w:rsidR="006A3969" w:rsidRPr="00097A86">
              <w:t>a) is not available</w:t>
            </w:r>
            <w:r w:rsidRPr="00097A86">
              <w:t>—the value 1.</w:t>
            </w:r>
          </w:p>
          <w:p w14:paraId="523C7DB8" w14:textId="77777777" w:rsidR="00926860" w:rsidRPr="00097A86" w:rsidRDefault="00926860" w:rsidP="00E82EBB">
            <w:pPr>
              <w:pStyle w:val="Definition"/>
              <w:spacing w:before="60" w:after="60"/>
              <w:ind w:left="34"/>
            </w:pPr>
            <w:r w:rsidRPr="00097A86">
              <w:rPr>
                <w:b/>
                <w:i/>
              </w:rPr>
              <w:t>A</w:t>
            </w:r>
            <w:r w:rsidRPr="00097A86">
              <w:rPr>
                <w:rStyle w:val="Subscript"/>
                <w:b/>
                <w:i/>
              </w:rPr>
              <w:t>lkd</w:t>
            </w:r>
            <w:r w:rsidRPr="00097A86">
              <w:t xml:space="preserve"> is the quantity of lime kiln dust lost in the production of lime during the year, measured in tonnes and estimated under Division</w:t>
            </w:r>
            <w:r w:rsidR="00097A86">
              <w:t> </w:t>
            </w:r>
            <w:r w:rsidRPr="00097A86">
              <w:t>4.2.5.</w:t>
            </w:r>
          </w:p>
        </w:tc>
      </w:tr>
      <w:tr w:rsidR="00926860" w:rsidRPr="00097A86" w14:paraId="31FC60AD" w14:textId="77777777" w:rsidTr="00C20CC2">
        <w:trPr>
          <w:cantSplit/>
        </w:trPr>
        <w:tc>
          <w:tcPr>
            <w:tcW w:w="572" w:type="pct"/>
          </w:tcPr>
          <w:p w14:paraId="742FBD0E" w14:textId="77777777" w:rsidR="00926860" w:rsidRPr="00097A86" w:rsidRDefault="00926860" w:rsidP="00617697">
            <w:pPr>
              <w:spacing w:before="60" w:after="60"/>
              <w:rPr>
                <w:i/>
              </w:rPr>
            </w:pPr>
          </w:p>
        </w:tc>
        <w:tc>
          <w:tcPr>
            <w:tcW w:w="4428" w:type="pct"/>
          </w:tcPr>
          <w:p w14:paraId="6674C07D" w14:textId="77777777" w:rsidR="00926860" w:rsidRPr="00097A86" w:rsidRDefault="00926860" w:rsidP="00E82EBB">
            <w:pPr>
              <w:pStyle w:val="Definition"/>
              <w:spacing w:before="60" w:after="60"/>
              <w:ind w:left="34"/>
              <w:rPr>
                <w:b/>
                <w:i/>
              </w:rPr>
            </w:pPr>
            <w:r w:rsidRPr="00097A86">
              <w:rPr>
                <w:b/>
                <w:i/>
              </w:rPr>
              <w:t>EF</w:t>
            </w:r>
            <w:r w:rsidRPr="00097A86">
              <w:rPr>
                <w:rStyle w:val="Subscript"/>
                <w:b/>
                <w:i/>
              </w:rPr>
              <w:t>lkd</w:t>
            </w:r>
            <w:r w:rsidRPr="00097A86">
              <w:t xml:space="preserve"> is 0.440, which is the emission factor for calcined lime kiln dust lost from the kiln.</w:t>
            </w:r>
          </w:p>
          <w:p w14:paraId="280965BC" w14:textId="77777777" w:rsidR="00926860" w:rsidRPr="00097A86" w:rsidRDefault="00926860" w:rsidP="00E82EBB">
            <w:pPr>
              <w:pStyle w:val="Definition"/>
              <w:spacing w:before="60" w:after="60"/>
              <w:ind w:left="34"/>
            </w:pPr>
            <w:r w:rsidRPr="00097A86">
              <w:rPr>
                <w:b/>
                <w:i/>
              </w:rPr>
              <w:t>F</w:t>
            </w:r>
            <w:r w:rsidRPr="00097A86">
              <w:rPr>
                <w:rStyle w:val="Subscript"/>
                <w:b/>
                <w:i/>
              </w:rPr>
              <w:t>lkd</w:t>
            </w:r>
            <w:r w:rsidRPr="00097A86">
              <w:t xml:space="preserve"> is:</w:t>
            </w:r>
          </w:p>
          <w:p w14:paraId="0B90AD79" w14:textId="77777777" w:rsidR="00926860" w:rsidRPr="00097A86" w:rsidRDefault="00926860" w:rsidP="00617697">
            <w:pPr>
              <w:pStyle w:val="TableP1a"/>
            </w:pPr>
            <w:r w:rsidRPr="00097A86">
              <w:tab/>
              <w:t>(a)</w:t>
            </w:r>
            <w:r w:rsidRPr="00097A86">
              <w:tab/>
              <w:t>the fraction of calcination achieved for lime kiln dust in the production of lime during the year; or</w:t>
            </w:r>
          </w:p>
          <w:p w14:paraId="485BBC12" w14:textId="77777777" w:rsidR="00926860" w:rsidRPr="00097A86" w:rsidRDefault="00926860" w:rsidP="00617697">
            <w:pPr>
              <w:pStyle w:val="TableP1a"/>
            </w:pPr>
            <w:r w:rsidRPr="00097A86">
              <w:tab/>
              <w:t>(b)</w:t>
            </w:r>
            <w:r w:rsidRPr="00097A86">
              <w:tab/>
              <w:t xml:space="preserve">if the data in </w:t>
            </w:r>
            <w:r w:rsidR="00097A86">
              <w:t>paragraph (</w:t>
            </w:r>
            <w:r w:rsidRPr="00097A86">
              <w:t>a) is not available—the value 1.</w:t>
            </w:r>
          </w:p>
          <w:p w14:paraId="024AD276" w14:textId="77777777" w:rsidR="00926860" w:rsidRPr="00097A86" w:rsidRDefault="00926860" w:rsidP="00C4455B">
            <w:pPr>
              <w:pStyle w:val="Definition"/>
              <w:spacing w:before="120" w:after="60"/>
              <w:ind w:left="34"/>
            </w:pPr>
            <w:r w:rsidRPr="00097A86">
              <w:rPr>
                <w:b/>
                <w:i/>
              </w:rPr>
              <w:t>γ</w:t>
            </w:r>
            <w:r w:rsidRPr="00097A86">
              <w:t xml:space="preserve"> 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0B78BD21" w14:textId="77777777" w:rsidR="00926860" w:rsidRPr="00097A86" w:rsidRDefault="00926860" w:rsidP="00E82EBB">
            <w:pPr>
              <w:pStyle w:val="Definition"/>
              <w:spacing w:before="60" w:after="60"/>
              <w:ind w:left="34"/>
              <w:rPr>
                <w:b/>
                <w:i/>
              </w:rPr>
            </w:pPr>
            <w:r w:rsidRPr="00097A86">
              <w:rPr>
                <w:b/>
                <w:i/>
                <w:szCs w:val="22"/>
              </w:rPr>
              <w:t>RCCS</w:t>
            </w:r>
            <w:r w:rsidRPr="00097A86">
              <w:rPr>
                <w:b/>
                <w:i/>
                <w:szCs w:val="22"/>
                <w:vertAlign w:val="subscript"/>
              </w:rPr>
              <w:t>CO</w:t>
            </w:r>
            <w:r w:rsidRPr="00097A86">
              <w:rPr>
                <w:b/>
                <w:i/>
                <w:position w:val="-4"/>
                <w:szCs w:val="22"/>
                <w:vertAlign w:val="subscript"/>
              </w:rPr>
              <w:t>2</w:t>
            </w:r>
            <w:r w:rsidRPr="00097A86">
              <w:rPr>
                <w:szCs w:val="22"/>
                <w:vertAlign w:val="subscript"/>
              </w:rPr>
              <w:t xml:space="preserve"> </w:t>
            </w:r>
            <w:r w:rsidRPr="00097A86">
              <w:rPr>
                <w:szCs w:val="22"/>
              </w:rPr>
              <w:t>is carbon dioxide captured for permanent storage measured in cubic metres in accordance with Division</w:t>
            </w:r>
            <w:r w:rsidR="00097A86">
              <w:rPr>
                <w:szCs w:val="22"/>
              </w:rPr>
              <w:t> </w:t>
            </w:r>
            <w:r w:rsidRPr="00097A86">
              <w:rPr>
                <w:szCs w:val="22"/>
              </w:rPr>
              <w:t>1.2.3.</w:t>
            </w:r>
          </w:p>
        </w:tc>
      </w:tr>
      <w:tr w:rsidR="00926860" w:rsidRPr="00097A86" w14:paraId="7F956856" w14:textId="77777777" w:rsidTr="00C20CC2">
        <w:trPr>
          <w:cantSplit/>
        </w:trPr>
        <w:tc>
          <w:tcPr>
            <w:tcW w:w="572" w:type="pct"/>
          </w:tcPr>
          <w:p w14:paraId="3A159478" w14:textId="77777777" w:rsidR="00926860" w:rsidRPr="00097A86" w:rsidRDefault="00926860" w:rsidP="00E82EBB">
            <w:pPr>
              <w:pStyle w:val="TableHeading"/>
              <w:keepLines/>
            </w:pPr>
            <w:r w:rsidRPr="00097A86">
              <w:rPr>
                <w:b w:val="0"/>
                <w:sz w:val="22"/>
                <w:szCs w:val="22"/>
              </w:rPr>
              <w:t>Step 2</w:t>
            </w:r>
          </w:p>
        </w:tc>
        <w:tc>
          <w:tcPr>
            <w:tcW w:w="4428" w:type="pct"/>
          </w:tcPr>
          <w:p w14:paraId="68EDA30F" w14:textId="77777777" w:rsidR="00926860" w:rsidRPr="00097A86" w:rsidRDefault="00926860" w:rsidP="00E82EBB">
            <w:pPr>
              <w:pStyle w:val="TableHeading"/>
              <w:keepLines/>
              <w:rPr>
                <w:b w:val="0"/>
                <w:sz w:val="22"/>
                <w:szCs w:val="22"/>
              </w:rPr>
            </w:pPr>
            <w:r w:rsidRPr="00097A86">
              <w:rPr>
                <w:b w:val="0"/>
                <w:sz w:val="22"/>
                <w:szCs w:val="22"/>
              </w:rPr>
              <w:t>Add together the amount of emissions of carbon dioxide for each pure carbonate calcined in the production of lime during the year.</w:t>
            </w:r>
          </w:p>
        </w:tc>
      </w:tr>
    </w:tbl>
    <w:p w14:paraId="21D0AF0B" w14:textId="77777777" w:rsidR="003F0D4E" w:rsidRPr="00097A86" w:rsidRDefault="003F0D4E" w:rsidP="00D22D3F">
      <w:pPr>
        <w:pStyle w:val="subsection"/>
      </w:pPr>
      <w:r w:rsidRPr="00097A86">
        <w:tab/>
        <w:t>(2)</w:t>
      </w:r>
      <w:r w:rsidRPr="00097A86">
        <w:tab/>
        <w:t xml:space="preserve">For the factor </w:t>
      </w:r>
      <w:r w:rsidRPr="00097A86">
        <w:rPr>
          <w:b/>
          <w:i/>
        </w:rPr>
        <w:t>EF</w:t>
      </w:r>
      <w:r w:rsidRPr="00097A86">
        <w:rPr>
          <w:rStyle w:val="charSubscript"/>
          <w:b/>
          <w:i/>
          <w:sz w:val="22"/>
        </w:rPr>
        <w:t>lkd</w:t>
      </w:r>
      <w:r w:rsidRPr="00097A86">
        <w:rPr>
          <w:b/>
        </w:rPr>
        <w:t xml:space="preserve"> </w:t>
      </w:r>
      <w:r w:rsidRPr="00097A86">
        <w:t xml:space="preserve">in </w:t>
      </w:r>
      <w:r w:rsidR="00097A86">
        <w:t>subsection (</w:t>
      </w:r>
      <w:r w:rsidRPr="00097A86">
        <w:t>1), the emission factor for calcined lime kiln dust is assumed to be the same as the emission factor for calcium carbonate.</w:t>
      </w:r>
    </w:p>
    <w:p w14:paraId="5DD7FFF4" w14:textId="77777777" w:rsidR="003F0D4E" w:rsidRPr="00097A86" w:rsidRDefault="003F0D4E" w:rsidP="00D22D3F">
      <w:pPr>
        <w:pStyle w:val="subsection"/>
      </w:pPr>
      <w:r w:rsidRPr="00097A86">
        <w:tab/>
        <w:t>(3)</w:t>
      </w:r>
      <w:r w:rsidRPr="00097A86">
        <w:tab/>
        <w:t>Method 3 requires each carbonate to be sampled and analysed in accordance with sections</w:t>
      </w:r>
      <w:r w:rsidR="00097A86">
        <w:t> </w:t>
      </w:r>
      <w:r w:rsidRPr="00097A86">
        <w:t>4.18 and 4.19.</w:t>
      </w:r>
    </w:p>
    <w:p w14:paraId="42830E01" w14:textId="77777777" w:rsidR="003F0D4E" w:rsidRPr="00097A86" w:rsidRDefault="003F0D4E" w:rsidP="00D22D3F">
      <w:pPr>
        <w:pStyle w:val="ActHead5"/>
      </w:pPr>
      <w:bookmarkStart w:id="401" w:name="_Toc13233833"/>
      <w:r w:rsidRPr="00097A86">
        <w:rPr>
          <w:rStyle w:val="CharSectno"/>
        </w:rPr>
        <w:t>4.18</w:t>
      </w:r>
      <w:r w:rsidR="00D22D3F" w:rsidRPr="00097A86">
        <w:t xml:space="preserve">  </w:t>
      </w:r>
      <w:r w:rsidRPr="00097A86">
        <w:t>General requirements for sampling</w:t>
      </w:r>
      <w:bookmarkEnd w:id="401"/>
    </w:p>
    <w:p w14:paraId="38BD1873" w14:textId="77777777" w:rsidR="003F0D4E" w:rsidRPr="00097A86" w:rsidRDefault="003F0D4E" w:rsidP="00D22D3F">
      <w:pPr>
        <w:pStyle w:val="subsection"/>
      </w:pPr>
      <w:r w:rsidRPr="00097A86">
        <w:tab/>
        <w:t>(1)</w:t>
      </w:r>
      <w:r w:rsidRPr="00097A86">
        <w:tab/>
        <w:t>For section</w:t>
      </w:r>
      <w:r w:rsidR="00097A86">
        <w:t> </w:t>
      </w:r>
      <w:r w:rsidRPr="00097A86">
        <w:t>4.17, carbonates must be sampled in accordance with the procedure for sampling lime specified under section</w:t>
      </w:r>
      <w:r w:rsidR="00097A86">
        <w:t> </w:t>
      </w:r>
      <w:r w:rsidRPr="00097A86">
        <w:t>4.15 for method 2.</w:t>
      </w:r>
    </w:p>
    <w:p w14:paraId="495FD6AF" w14:textId="77777777" w:rsidR="003F0D4E" w:rsidRPr="00097A86" w:rsidRDefault="003F0D4E" w:rsidP="00D22D3F">
      <w:pPr>
        <w:pStyle w:val="subsection"/>
      </w:pPr>
      <w:r w:rsidRPr="00097A86">
        <w:lastRenderedPageBreak/>
        <w:tab/>
        <w:t>(2)</w:t>
      </w:r>
      <w:r w:rsidRPr="00097A86">
        <w:tab/>
        <w:t>In applying section</w:t>
      </w:r>
      <w:r w:rsidR="00097A86">
        <w:t> </w:t>
      </w:r>
      <w:r w:rsidRPr="00097A86">
        <w:t>4.15, a reference in that section to lime is taken to be a reference to carbonates.</w:t>
      </w:r>
    </w:p>
    <w:p w14:paraId="7CBBC86B" w14:textId="77777777" w:rsidR="003F0D4E" w:rsidRPr="00097A86" w:rsidRDefault="003F0D4E" w:rsidP="00D22D3F">
      <w:pPr>
        <w:pStyle w:val="ActHead5"/>
      </w:pPr>
      <w:bookmarkStart w:id="402" w:name="_Toc13233834"/>
      <w:r w:rsidRPr="00097A86">
        <w:rPr>
          <w:rStyle w:val="CharSectno"/>
        </w:rPr>
        <w:t>4.19</w:t>
      </w:r>
      <w:r w:rsidR="00D22D3F" w:rsidRPr="00097A86">
        <w:t xml:space="preserve">  </w:t>
      </w:r>
      <w:r w:rsidRPr="00097A86">
        <w:t>General requirements for analysis of carbonates</w:t>
      </w:r>
      <w:bookmarkEnd w:id="402"/>
    </w:p>
    <w:p w14:paraId="4B04B0B3" w14:textId="77777777" w:rsidR="003F0D4E" w:rsidRPr="00097A86" w:rsidRDefault="003F0D4E" w:rsidP="00D22D3F">
      <w:pPr>
        <w:pStyle w:val="subsection"/>
      </w:pPr>
      <w:r w:rsidRPr="00097A86">
        <w:tab/>
        <w:t>(1)</w:t>
      </w:r>
      <w:r w:rsidRPr="00097A86">
        <w:tab/>
        <w:t>For section</w:t>
      </w:r>
      <w:r w:rsidR="00097A86">
        <w:t> </w:t>
      </w:r>
      <w:r w:rsidRPr="00097A86">
        <w:t>4.17, samples must be analysed in accordance with the procedure for analysing lime specified under section</w:t>
      </w:r>
      <w:r w:rsidR="00097A86">
        <w:t> </w:t>
      </w:r>
      <w:r w:rsidRPr="00097A86">
        <w:t>4.16 for method 2.</w:t>
      </w:r>
    </w:p>
    <w:p w14:paraId="0DFB9860" w14:textId="77777777" w:rsidR="003F0D4E" w:rsidRPr="00097A86" w:rsidRDefault="003F0D4E" w:rsidP="00D22D3F">
      <w:pPr>
        <w:pStyle w:val="subsection"/>
      </w:pPr>
      <w:r w:rsidRPr="00097A86">
        <w:tab/>
        <w:t>(2)</w:t>
      </w:r>
      <w:r w:rsidRPr="00097A86">
        <w:tab/>
        <w:t>In applying section</w:t>
      </w:r>
      <w:r w:rsidR="00097A86">
        <w:t> </w:t>
      </w:r>
      <w:r w:rsidRPr="00097A86">
        <w:t>4.16, a reference in that section to lime is taken to be a reference to carbonates.</w:t>
      </w:r>
    </w:p>
    <w:p w14:paraId="08114A15" w14:textId="77777777" w:rsidR="00E77440" w:rsidRPr="00097A86" w:rsidRDefault="00E77440" w:rsidP="00D22D3F">
      <w:pPr>
        <w:pStyle w:val="ActHead3"/>
        <w:pageBreakBefore/>
      </w:pPr>
      <w:bookmarkStart w:id="403" w:name="_Toc13233835"/>
      <w:r w:rsidRPr="00097A86">
        <w:rPr>
          <w:rStyle w:val="CharDivNo"/>
        </w:rPr>
        <w:lastRenderedPageBreak/>
        <w:t>Division</w:t>
      </w:r>
      <w:r w:rsidR="00097A86">
        <w:rPr>
          <w:rStyle w:val="CharDivNo"/>
        </w:rPr>
        <w:t> </w:t>
      </w:r>
      <w:r w:rsidRPr="00097A86">
        <w:rPr>
          <w:rStyle w:val="CharDivNo"/>
        </w:rPr>
        <w:t>4.2.3</w:t>
      </w:r>
      <w:r w:rsidR="00D22D3F" w:rsidRPr="00097A86">
        <w:t>—</w:t>
      </w:r>
      <w:r w:rsidRPr="00097A86">
        <w:rPr>
          <w:rStyle w:val="CharDivText"/>
        </w:rPr>
        <w:t>Use of carbonates for production of a product other than cement clinker, lime or soda ash</w:t>
      </w:r>
      <w:bookmarkEnd w:id="403"/>
    </w:p>
    <w:p w14:paraId="1A53CBBE" w14:textId="77777777" w:rsidR="00CF72CD" w:rsidRPr="00097A86" w:rsidRDefault="00CF72CD" w:rsidP="00D22D3F">
      <w:pPr>
        <w:pStyle w:val="ActHead5"/>
      </w:pPr>
      <w:bookmarkStart w:id="404" w:name="_Toc13233836"/>
      <w:r w:rsidRPr="00097A86">
        <w:rPr>
          <w:rStyle w:val="CharSectno"/>
        </w:rPr>
        <w:t>4.20</w:t>
      </w:r>
      <w:r w:rsidR="00D22D3F" w:rsidRPr="00097A86">
        <w:t xml:space="preserve">  </w:t>
      </w:r>
      <w:r w:rsidRPr="00097A86">
        <w:t>Application</w:t>
      </w:r>
      <w:bookmarkEnd w:id="404"/>
    </w:p>
    <w:p w14:paraId="1BBBEFC6" w14:textId="77777777" w:rsidR="00CF72CD" w:rsidRPr="00097A86" w:rsidRDefault="00CF72CD" w:rsidP="00D22D3F">
      <w:pPr>
        <w:pStyle w:val="subsection"/>
      </w:pPr>
      <w:r w:rsidRPr="00097A86">
        <w:tab/>
      </w:r>
      <w:r w:rsidRPr="00097A86">
        <w:tab/>
        <w:t>This Division applies to emissions of carbon dioxide from the consumption of a carbonate (other than soda ash) but does not apply to:</w:t>
      </w:r>
    </w:p>
    <w:p w14:paraId="13EA37CE" w14:textId="77777777" w:rsidR="00CF72CD" w:rsidRPr="00097A86" w:rsidRDefault="00CF72CD" w:rsidP="00D22D3F">
      <w:pPr>
        <w:pStyle w:val="paragraph"/>
      </w:pPr>
      <w:r w:rsidRPr="00097A86">
        <w:tab/>
        <w:t>(a)</w:t>
      </w:r>
      <w:r w:rsidRPr="00097A86">
        <w:tab/>
        <w:t>emissions of carbon dioxide from the calcination of a carbonate in the production of cement clinker; or</w:t>
      </w:r>
    </w:p>
    <w:p w14:paraId="1B6B8825" w14:textId="77777777" w:rsidR="00CF72CD" w:rsidRPr="00097A86" w:rsidRDefault="00CF72CD" w:rsidP="00D22D3F">
      <w:pPr>
        <w:pStyle w:val="paragraph"/>
      </w:pPr>
      <w:r w:rsidRPr="00097A86">
        <w:tab/>
        <w:t>(b)</w:t>
      </w:r>
      <w:r w:rsidRPr="00097A86">
        <w:tab/>
        <w:t>emissions of carbon dioxide from the calcination of a carbonate in the production of lime; or</w:t>
      </w:r>
    </w:p>
    <w:p w14:paraId="0752B0A9" w14:textId="77777777" w:rsidR="00CF72CD" w:rsidRPr="00097A86" w:rsidRDefault="00CF72CD" w:rsidP="00D22D3F">
      <w:pPr>
        <w:pStyle w:val="paragraph"/>
      </w:pPr>
      <w:r w:rsidRPr="00097A86">
        <w:tab/>
        <w:t>(c)</w:t>
      </w:r>
      <w:r w:rsidRPr="00097A86">
        <w:tab/>
        <w:t>emissions of carbon dioxide from the calcination of a carbonate in the process of production of soda ash; or</w:t>
      </w:r>
    </w:p>
    <w:p w14:paraId="0A50063C" w14:textId="77777777" w:rsidR="00CF72CD" w:rsidRPr="00097A86" w:rsidRDefault="00CF72CD" w:rsidP="00D22D3F">
      <w:pPr>
        <w:pStyle w:val="paragraph"/>
      </w:pPr>
      <w:r w:rsidRPr="00097A86">
        <w:tab/>
        <w:t>(d)</w:t>
      </w:r>
      <w:r w:rsidRPr="00097A86">
        <w:tab/>
        <w:t>emissions from the consumption of carbonates following their application to soil.</w:t>
      </w:r>
    </w:p>
    <w:p w14:paraId="3B0BE02C" w14:textId="77777777" w:rsidR="00CF72CD" w:rsidRPr="00097A86" w:rsidRDefault="00CF72CD" w:rsidP="00D22D3F">
      <w:pPr>
        <w:pStyle w:val="notetext"/>
      </w:pPr>
      <w:r w:rsidRPr="00097A86">
        <w:rPr>
          <w:iCs/>
        </w:rPr>
        <w:t>Examples</w:t>
      </w:r>
      <w:r w:rsidRPr="00097A86">
        <w:t xml:space="preserve"> of activities involving the consumption of carbonates</w:t>
      </w:r>
      <w:r w:rsidR="006A3969" w:rsidRPr="00097A86">
        <w:t>:</w:t>
      </w:r>
    </w:p>
    <w:p w14:paraId="51A3D08D" w14:textId="77777777" w:rsidR="00CF72CD" w:rsidRPr="00097A86" w:rsidRDefault="00D22D3F" w:rsidP="008E6771">
      <w:pPr>
        <w:pStyle w:val="Tablea"/>
        <w:ind w:left="1418"/>
      </w:pPr>
      <w:r w:rsidRPr="00097A86">
        <w:t>1</w:t>
      </w:r>
      <w:r w:rsidR="008E6771" w:rsidRPr="00097A86">
        <w:tab/>
      </w:r>
      <w:r w:rsidR="00CF72CD" w:rsidRPr="00097A86">
        <w:t>Metallurgy.</w:t>
      </w:r>
    </w:p>
    <w:p w14:paraId="14847F87" w14:textId="77777777" w:rsidR="00CF72CD" w:rsidRPr="00097A86" w:rsidRDefault="00D22D3F" w:rsidP="008E6771">
      <w:pPr>
        <w:pStyle w:val="Tablea"/>
        <w:ind w:left="1418"/>
      </w:pPr>
      <w:r w:rsidRPr="00097A86">
        <w:t>2</w:t>
      </w:r>
      <w:r w:rsidR="008E6771" w:rsidRPr="00097A86">
        <w:tab/>
      </w:r>
      <w:r w:rsidR="00CF72CD" w:rsidRPr="00097A86">
        <w:t>Glass manufacture, including fibreglass and mineral wools.</w:t>
      </w:r>
    </w:p>
    <w:p w14:paraId="3A1D0A67" w14:textId="77777777" w:rsidR="00CF72CD" w:rsidRPr="00097A86" w:rsidRDefault="00D22D3F" w:rsidP="008E6771">
      <w:pPr>
        <w:pStyle w:val="Tablea"/>
        <w:ind w:left="1418"/>
      </w:pPr>
      <w:r w:rsidRPr="00097A86">
        <w:t>3</w:t>
      </w:r>
      <w:r w:rsidR="008E6771" w:rsidRPr="00097A86">
        <w:tab/>
      </w:r>
      <w:r w:rsidR="00CF72CD" w:rsidRPr="00097A86">
        <w:t>Magnesia production.</w:t>
      </w:r>
    </w:p>
    <w:p w14:paraId="0724D947" w14:textId="77777777" w:rsidR="00CF72CD" w:rsidRPr="00097A86" w:rsidRDefault="00D22D3F" w:rsidP="008E6771">
      <w:pPr>
        <w:pStyle w:val="Tablea"/>
        <w:ind w:left="1418"/>
      </w:pPr>
      <w:r w:rsidRPr="00097A86">
        <w:t>4</w:t>
      </w:r>
      <w:r w:rsidR="008E6771" w:rsidRPr="00097A86">
        <w:tab/>
      </w:r>
      <w:r w:rsidR="00CF72CD" w:rsidRPr="00097A86">
        <w:t>Construction.</w:t>
      </w:r>
    </w:p>
    <w:p w14:paraId="2BB033B0" w14:textId="77777777" w:rsidR="00CF72CD" w:rsidRPr="00097A86" w:rsidRDefault="00D22D3F" w:rsidP="008E6771">
      <w:pPr>
        <w:pStyle w:val="Tablea"/>
        <w:ind w:left="1418"/>
      </w:pPr>
      <w:r w:rsidRPr="00097A86">
        <w:t>5</w:t>
      </w:r>
      <w:r w:rsidR="008E6771" w:rsidRPr="00097A86">
        <w:tab/>
      </w:r>
      <w:r w:rsidR="00CF72CD" w:rsidRPr="00097A86">
        <w:t>Environment pollution control.</w:t>
      </w:r>
    </w:p>
    <w:p w14:paraId="21BBB7F0" w14:textId="77777777" w:rsidR="00CF72CD" w:rsidRPr="00097A86" w:rsidRDefault="00D22D3F" w:rsidP="008E6771">
      <w:pPr>
        <w:pStyle w:val="Tablea"/>
        <w:ind w:left="1418"/>
      </w:pPr>
      <w:r w:rsidRPr="00097A86">
        <w:t>6</w:t>
      </w:r>
      <w:r w:rsidR="008E6771" w:rsidRPr="00097A86">
        <w:tab/>
      </w:r>
      <w:r w:rsidR="00CF72CD" w:rsidRPr="00097A86">
        <w:t>Use as a flux or slagging agent.</w:t>
      </w:r>
    </w:p>
    <w:p w14:paraId="398C333A" w14:textId="77777777" w:rsidR="00CF72CD" w:rsidRPr="00097A86" w:rsidRDefault="00D22D3F" w:rsidP="008E6771">
      <w:pPr>
        <w:pStyle w:val="Tablea"/>
        <w:ind w:left="1418"/>
      </w:pPr>
      <w:r w:rsidRPr="00097A86">
        <w:t>7</w:t>
      </w:r>
      <w:r w:rsidR="008E6771" w:rsidRPr="00097A86">
        <w:tab/>
      </w:r>
      <w:r w:rsidR="00CF72CD" w:rsidRPr="00097A86">
        <w:t>In</w:t>
      </w:r>
      <w:r w:rsidR="00097A86">
        <w:noBreakHyphen/>
      </w:r>
      <w:r w:rsidR="00CF72CD" w:rsidRPr="00097A86">
        <w:t>house production of lime in the metals industry.</w:t>
      </w:r>
    </w:p>
    <w:p w14:paraId="52960505" w14:textId="77777777" w:rsidR="004979AE" w:rsidRPr="00097A86" w:rsidRDefault="008E6771" w:rsidP="008E6771">
      <w:pPr>
        <w:pStyle w:val="Tablea"/>
        <w:ind w:left="1418"/>
      </w:pPr>
      <w:r w:rsidRPr="00097A86">
        <w:t>8</w:t>
      </w:r>
      <w:r w:rsidRPr="00097A86">
        <w:tab/>
      </w:r>
      <w:r w:rsidR="004979AE" w:rsidRPr="00097A86">
        <w:t>Phosphoric acid production from phosphate rock containing carbonates.</w:t>
      </w:r>
    </w:p>
    <w:p w14:paraId="604B7F8F" w14:textId="77777777" w:rsidR="00BE02E0" w:rsidRPr="00097A86" w:rsidRDefault="008E6771" w:rsidP="008E6771">
      <w:pPr>
        <w:pStyle w:val="Tablea"/>
        <w:ind w:left="1418"/>
      </w:pPr>
      <w:r w:rsidRPr="00097A86">
        <w:t>9</w:t>
      </w:r>
      <w:r w:rsidRPr="00097A86">
        <w:tab/>
      </w:r>
      <w:r w:rsidR="00BE02E0" w:rsidRPr="00097A86">
        <w:t>Brick production.</w:t>
      </w:r>
    </w:p>
    <w:p w14:paraId="4B697C9F" w14:textId="77777777" w:rsidR="00BE02E0" w:rsidRPr="00097A86" w:rsidRDefault="008E6771" w:rsidP="008E6771">
      <w:pPr>
        <w:pStyle w:val="Tablea"/>
        <w:ind w:left="1418"/>
      </w:pPr>
      <w:r w:rsidRPr="00097A86">
        <w:t>10</w:t>
      </w:r>
      <w:r w:rsidRPr="00097A86">
        <w:tab/>
      </w:r>
      <w:r w:rsidR="00BE02E0" w:rsidRPr="00097A86">
        <w:t>Ceramic production.</w:t>
      </w:r>
    </w:p>
    <w:p w14:paraId="28DEBA47" w14:textId="77777777" w:rsidR="003F0D4E" w:rsidRPr="00097A86" w:rsidRDefault="003F0D4E" w:rsidP="00D22D3F">
      <w:pPr>
        <w:pStyle w:val="ActHead5"/>
      </w:pPr>
      <w:bookmarkStart w:id="405" w:name="_Toc13233837"/>
      <w:r w:rsidRPr="00097A86">
        <w:rPr>
          <w:rStyle w:val="CharSectno"/>
        </w:rPr>
        <w:t>4.21</w:t>
      </w:r>
      <w:r w:rsidR="00D22D3F" w:rsidRPr="00097A86">
        <w:t xml:space="preserve">  </w:t>
      </w:r>
      <w:r w:rsidRPr="00097A86">
        <w:t>Available methods</w:t>
      </w:r>
      <w:bookmarkEnd w:id="405"/>
    </w:p>
    <w:p w14:paraId="039CF975" w14:textId="77777777" w:rsidR="003F0D4E" w:rsidRPr="00097A86" w:rsidRDefault="003F0D4E" w:rsidP="00D22D3F">
      <w:pPr>
        <w:pStyle w:val="subsection"/>
      </w:pPr>
      <w:r w:rsidRPr="00097A86">
        <w:tab/>
        <w:t>(1)</w:t>
      </w:r>
      <w:r w:rsidRPr="00097A86">
        <w:tab/>
        <w:t>Subject to section</w:t>
      </w:r>
      <w:r w:rsidR="00097A86">
        <w:t> </w:t>
      </w:r>
      <w:r w:rsidRPr="00097A86">
        <w:t xml:space="preserve">1.18 one of the following methods must be used for estimating emissions of carbon dioxide released during a year from the operation of a facility constituted by the </w:t>
      </w:r>
      <w:r w:rsidR="00A55FF1" w:rsidRPr="00097A86">
        <w:t>calcination or any other use of carbonates that produces carbon dioxide</w:t>
      </w:r>
      <w:r w:rsidRPr="00097A86">
        <w:t xml:space="preserve"> (the </w:t>
      </w:r>
      <w:r w:rsidRPr="00097A86">
        <w:rPr>
          <w:b/>
          <w:i/>
        </w:rPr>
        <w:t>industrial process</w:t>
      </w:r>
      <w:r w:rsidRPr="00097A86">
        <w:t>) in an industrial process (other than cement clinker production or lime production):</w:t>
      </w:r>
    </w:p>
    <w:p w14:paraId="381AB1CE" w14:textId="77777777" w:rsidR="003F0D4E" w:rsidRPr="00097A86" w:rsidRDefault="003F0D4E" w:rsidP="00D22D3F">
      <w:pPr>
        <w:pStyle w:val="paragraph"/>
      </w:pPr>
      <w:r w:rsidRPr="00097A86">
        <w:tab/>
        <w:t>(a)</w:t>
      </w:r>
      <w:r w:rsidRPr="00097A86">
        <w:tab/>
        <w:t>method 1 under section</w:t>
      </w:r>
      <w:r w:rsidR="00097A86">
        <w:t> </w:t>
      </w:r>
      <w:r w:rsidRPr="00097A86">
        <w:t>4.22;</w:t>
      </w:r>
    </w:p>
    <w:p w14:paraId="7323FD6E" w14:textId="77777777" w:rsidR="00BE02E0" w:rsidRPr="00097A86" w:rsidRDefault="00BE02E0" w:rsidP="00D22D3F">
      <w:pPr>
        <w:pStyle w:val="paragraph"/>
      </w:pPr>
      <w:r w:rsidRPr="00097A86">
        <w:tab/>
        <w:t>(aa)</w:t>
      </w:r>
      <w:r w:rsidRPr="00097A86">
        <w:tab/>
        <w:t>for use of carbonates in clay materials—method 1A under section</w:t>
      </w:r>
      <w:r w:rsidR="00097A86">
        <w:t> </w:t>
      </w:r>
      <w:r w:rsidRPr="00097A86">
        <w:t>4.22A;</w:t>
      </w:r>
    </w:p>
    <w:p w14:paraId="46BE5DBF" w14:textId="77777777" w:rsidR="003F0D4E" w:rsidRPr="00097A86" w:rsidRDefault="003F0D4E" w:rsidP="00D22D3F">
      <w:pPr>
        <w:pStyle w:val="paragraph"/>
      </w:pPr>
      <w:r w:rsidRPr="00097A86">
        <w:tab/>
        <w:t>(b)</w:t>
      </w:r>
      <w:r w:rsidRPr="00097A86">
        <w:tab/>
        <w:t>method 3 under section</w:t>
      </w:r>
      <w:r w:rsidR="00097A86">
        <w:t> </w:t>
      </w:r>
      <w:r w:rsidRPr="00097A86">
        <w:t>4.23;</w:t>
      </w:r>
    </w:p>
    <w:p w14:paraId="101F3ABC" w14:textId="77777777" w:rsidR="00BE02E0" w:rsidRPr="00097A86" w:rsidRDefault="00BE02E0" w:rsidP="00D22D3F">
      <w:pPr>
        <w:pStyle w:val="paragraph"/>
      </w:pPr>
      <w:r w:rsidRPr="00097A86">
        <w:tab/>
        <w:t>(ba)</w:t>
      </w:r>
      <w:r w:rsidRPr="00097A86">
        <w:tab/>
        <w:t>for use of carbonates in clay materials—method 3A under section</w:t>
      </w:r>
      <w:r w:rsidR="00097A86">
        <w:t> </w:t>
      </w:r>
      <w:r w:rsidRPr="00097A86">
        <w:t>4.23A;</w:t>
      </w:r>
    </w:p>
    <w:p w14:paraId="191D09AD" w14:textId="77777777" w:rsidR="003F0D4E" w:rsidRPr="00097A86" w:rsidRDefault="003F0D4E" w:rsidP="00D22D3F">
      <w:pPr>
        <w:pStyle w:val="paragraph"/>
      </w:pPr>
      <w:r w:rsidRPr="00097A86">
        <w:tab/>
        <w:t>(c)</w:t>
      </w:r>
      <w:r w:rsidRPr="00097A86">
        <w:tab/>
        <w:t>method 4 under Part</w:t>
      </w:r>
      <w:r w:rsidR="00097A86">
        <w:t> </w:t>
      </w:r>
      <w:r w:rsidRPr="00097A86">
        <w:t>1.3.</w:t>
      </w:r>
    </w:p>
    <w:p w14:paraId="0A09015A" w14:textId="77777777" w:rsidR="003F0D4E" w:rsidRPr="00097A86" w:rsidRDefault="00D22D3F" w:rsidP="00D22D3F">
      <w:pPr>
        <w:pStyle w:val="notetext"/>
      </w:pPr>
      <w:r w:rsidRPr="00097A86">
        <w:t>Note:</w:t>
      </w:r>
      <w:r w:rsidRPr="00097A86">
        <w:tab/>
      </w:r>
      <w:r w:rsidR="003F0D4E" w:rsidRPr="00097A86">
        <w:t xml:space="preserve">There is no method 2 for this Division. </w:t>
      </w:r>
    </w:p>
    <w:p w14:paraId="16858276" w14:textId="77777777" w:rsidR="003F0D4E" w:rsidRPr="00097A86" w:rsidRDefault="003F0D4E" w:rsidP="00D22D3F">
      <w:pPr>
        <w:pStyle w:val="subsection"/>
      </w:pPr>
      <w:r w:rsidRPr="00097A86">
        <w:tab/>
        <w:t>(2)</w:t>
      </w:r>
      <w:r w:rsidRPr="00097A86">
        <w:tab/>
        <w:t xml:space="preserve">However, for </w:t>
      </w:r>
      <w:r w:rsidR="00170B15" w:rsidRPr="00097A86">
        <w:t xml:space="preserve">incidental emissions </w:t>
      </w:r>
      <w:r w:rsidRPr="00097A86">
        <w:t>another method may be used that is consistent with the principles in section</w:t>
      </w:r>
      <w:r w:rsidR="00097A86">
        <w:t> </w:t>
      </w:r>
      <w:r w:rsidRPr="00097A86">
        <w:t>1.13.</w:t>
      </w:r>
    </w:p>
    <w:p w14:paraId="1AEA9527" w14:textId="77777777" w:rsidR="00A55FF1" w:rsidRPr="00097A86" w:rsidRDefault="00A55FF1" w:rsidP="00D22D3F">
      <w:pPr>
        <w:pStyle w:val="ActHead5"/>
      </w:pPr>
      <w:bookmarkStart w:id="406" w:name="_Toc13233838"/>
      <w:r w:rsidRPr="00097A86">
        <w:rPr>
          <w:rStyle w:val="CharSectno"/>
        </w:rPr>
        <w:lastRenderedPageBreak/>
        <w:t>4.22</w:t>
      </w:r>
      <w:r w:rsidR="00D22D3F" w:rsidRPr="00097A86">
        <w:t xml:space="preserve">  </w:t>
      </w:r>
      <w:r w:rsidRPr="00097A86">
        <w:t>Method 1</w:t>
      </w:r>
      <w:r w:rsidR="00D22D3F" w:rsidRPr="00097A86">
        <w:t>—</w:t>
      </w:r>
      <w:r w:rsidRPr="00097A86">
        <w:t>product other than cement clinker, lime or soda ash</w:t>
      </w:r>
      <w:bookmarkEnd w:id="406"/>
    </w:p>
    <w:p w14:paraId="3468BA0F" w14:textId="77777777" w:rsidR="003F0D4E" w:rsidRPr="00097A86" w:rsidRDefault="003F0D4E" w:rsidP="006118DB">
      <w:pPr>
        <w:pStyle w:val="subsection"/>
        <w:spacing w:after="60"/>
      </w:pPr>
      <w:r w:rsidRPr="00097A86">
        <w:tab/>
      </w:r>
      <w:r w:rsidRPr="00097A86">
        <w:tab/>
        <w:t>Method 1 is:</w:t>
      </w:r>
    </w:p>
    <w:tbl>
      <w:tblPr>
        <w:tblW w:w="5000" w:type="pct"/>
        <w:tblLook w:val="0000" w:firstRow="0" w:lastRow="0" w:firstColumn="0" w:lastColumn="0" w:noHBand="0" w:noVBand="0"/>
      </w:tblPr>
      <w:tblGrid>
        <w:gridCol w:w="951"/>
        <w:gridCol w:w="7362"/>
      </w:tblGrid>
      <w:tr w:rsidR="006118DB" w:rsidRPr="00097A86" w14:paraId="1DB3BE2A" w14:textId="77777777" w:rsidTr="00C20CC2">
        <w:trPr>
          <w:cantSplit/>
        </w:trPr>
        <w:tc>
          <w:tcPr>
            <w:tcW w:w="572" w:type="pct"/>
          </w:tcPr>
          <w:p w14:paraId="30B69077" w14:textId="77777777" w:rsidR="006118DB" w:rsidRPr="00097A86" w:rsidRDefault="006118DB" w:rsidP="00E82EBB">
            <w:pPr>
              <w:pStyle w:val="Tabletext"/>
              <w:rPr>
                <w:sz w:val="22"/>
                <w:szCs w:val="22"/>
              </w:rPr>
            </w:pPr>
            <w:r w:rsidRPr="00097A86">
              <w:rPr>
                <w:sz w:val="22"/>
                <w:szCs w:val="22"/>
              </w:rPr>
              <w:t>Step 1</w:t>
            </w:r>
          </w:p>
        </w:tc>
        <w:tc>
          <w:tcPr>
            <w:tcW w:w="4428" w:type="pct"/>
          </w:tcPr>
          <w:p w14:paraId="66D0F5DA" w14:textId="77777777" w:rsidR="006118DB" w:rsidRPr="00097A86" w:rsidRDefault="006118DB" w:rsidP="00E82EBB">
            <w:pPr>
              <w:pStyle w:val="Tabletext"/>
              <w:rPr>
                <w:sz w:val="22"/>
                <w:szCs w:val="22"/>
              </w:rPr>
            </w:pPr>
            <w:r w:rsidRPr="00097A86">
              <w:rPr>
                <w:sz w:val="22"/>
                <w:szCs w:val="22"/>
              </w:rPr>
              <w:t>Measure the amount of emissions of carbon dioxide in CO2</w:t>
            </w:r>
            <w:r w:rsidR="00097A86">
              <w:rPr>
                <w:sz w:val="22"/>
                <w:szCs w:val="22"/>
              </w:rPr>
              <w:noBreakHyphen/>
            </w:r>
            <w:r w:rsidRPr="00097A86">
              <w:rPr>
                <w:sz w:val="22"/>
                <w:szCs w:val="22"/>
              </w:rPr>
              <w:t>e tonnes released from each raw carbonate material consumed in the industrial process during the year as follows:</w:t>
            </w:r>
          </w:p>
          <w:p w14:paraId="7974971D" w14:textId="77777777" w:rsidR="006118DB" w:rsidRPr="00097A86" w:rsidRDefault="006118DB" w:rsidP="00BA13B0">
            <w:pPr>
              <w:pStyle w:val="TableText0"/>
              <w:spacing w:before="360"/>
            </w:pPr>
            <w:r w:rsidRPr="00097A86">
              <w:rPr>
                <w:noProof/>
                <w:lang w:eastAsia="en-AU"/>
              </w:rPr>
              <w:drawing>
                <wp:inline distT="0" distB="0" distL="0" distR="0" wp14:anchorId="572E577F" wp14:editId="27DF928F">
                  <wp:extent cx="16002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noFill/>
                          <a:ln>
                            <a:noFill/>
                          </a:ln>
                        </pic:spPr>
                      </pic:pic>
                    </a:graphicData>
                  </a:graphic>
                </wp:inline>
              </w:drawing>
            </w:r>
          </w:p>
          <w:p w14:paraId="08D63B75" w14:textId="77777777" w:rsidR="006118DB" w:rsidRPr="00097A86" w:rsidRDefault="006118DB" w:rsidP="00D73D70">
            <w:pPr>
              <w:pStyle w:val="subsection2"/>
              <w:ind w:left="34"/>
            </w:pPr>
            <w:r w:rsidRPr="00097A86">
              <w:t>where:</w:t>
            </w:r>
          </w:p>
        </w:tc>
      </w:tr>
      <w:tr w:rsidR="006118DB" w:rsidRPr="00097A86" w14:paraId="30335304" w14:textId="77777777" w:rsidTr="00C20CC2">
        <w:trPr>
          <w:cantSplit/>
        </w:trPr>
        <w:tc>
          <w:tcPr>
            <w:tcW w:w="572" w:type="pct"/>
          </w:tcPr>
          <w:p w14:paraId="13930FC0" w14:textId="77777777" w:rsidR="006118DB" w:rsidRPr="00097A86" w:rsidRDefault="006118DB" w:rsidP="00617697">
            <w:pPr>
              <w:spacing w:before="60" w:after="60"/>
              <w:rPr>
                <w:i/>
              </w:rPr>
            </w:pPr>
          </w:p>
        </w:tc>
        <w:tc>
          <w:tcPr>
            <w:tcW w:w="4428" w:type="pct"/>
          </w:tcPr>
          <w:p w14:paraId="0BCFFEF6" w14:textId="77777777" w:rsidR="006118DB" w:rsidRPr="00097A86" w:rsidRDefault="006118DB" w:rsidP="00D73D70">
            <w:pPr>
              <w:pStyle w:val="Definition"/>
              <w:spacing w:after="60"/>
              <w:ind w:left="0"/>
            </w:pPr>
            <w:r w:rsidRPr="00097A86">
              <w:rPr>
                <w:b/>
                <w:i/>
              </w:rPr>
              <w:t>E</w:t>
            </w:r>
            <w:r w:rsidRPr="00097A86">
              <w:rPr>
                <w:rStyle w:val="Subscript"/>
                <w:b/>
                <w:i/>
              </w:rPr>
              <w:t>ij</w:t>
            </w:r>
            <w:r w:rsidRPr="00097A86">
              <w:rPr>
                <w:b/>
                <w:i/>
              </w:rPr>
              <w:t xml:space="preserve"> </w:t>
            </w:r>
            <w:r w:rsidRPr="00097A86">
              <w:t>is the emissions of carbon dioxide (</w:t>
            </w:r>
            <w:r w:rsidRPr="00097A86">
              <w:rPr>
                <w:b/>
                <w:i/>
              </w:rPr>
              <w:t>j</w:t>
            </w:r>
            <w:r w:rsidRPr="00097A86">
              <w:t>) released from raw carbonate material (</w:t>
            </w:r>
            <w:r w:rsidRPr="00097A86">
              <w:rPr>
                <w:b/>
                <w:i/>
              </w:rPr>
              <w:t>i</w:t>
            </w:r>
            <w:r w:rsidRPr="00097A86">
              <w:t xml:space="preserve">) consumed in the industrial process during the year measured in </w:t>
            </w:r>
            <w:r w:rsidRPr="00097A86">
              <w:rPr>
                <w:szCs w:val="22"/>
              </w:rPr>
              <w:t>CO</w:t>
            </w:r>
            <w:r w:rsidRPr="00097A86">
              <w:rPr>
                <w:rStyle w:val="Subscript"/>
                <w:szCs w:val="22"/>
              </w:rPr>
              <w:t>2</w:t>
            </w:r>
            <w:r w:rsidR="00097A86">
              <w:rPr>
                <w:szCs w:val="22"/>
              </w:rPr>
              <w:noBreakHyphen/>
            </w:r>
            <w:r w:rsidRPr="00097A86">
              <w:rPr>
                <w:szCs w:val="22"/>
              </w:rPr>
              <w:t>e</w:t>
            </w:r>
            <w:r w:rsidRPr="00097A86">
              <w:t xml:space="preserve"> tonnes.</w:t>
            </w:r>
          </w:p>
          <w:p w14:paraId="4574DE69" w14:textId="77777777" w:rsidR="006118DB" w:rsidRPr="00097A86" w:rsidRDefault="006118DB" w:rsidP="00D73D70">
            <w:pPr>
              <w:pStyle w:val="Definition"/>
              <w:spacing w:before="60" w:after="60"/>
              <w:ind w:left="0"/>
            </w:pPr>
            <w:r w:rsidRPr="00097A86">
              <w:rPr>
                <w:b/>
                <w:i/>
              </w:rPr>
              <w:t>Q</w:t>
            </w:r>
            <w:r w:rsidRPr="00097A86">
              <w:rPr>
                <w:rStyle w:val="Subscript"/>
                <w:b/>
                <w:i/>
              </w:rPr>
              <w:t>i</w:t>
            </w:r>
            <w:r w:rsidRPr="00097A86">
              <w:rPr>
                <w:b/>
                <w:i/>
              </w:rPr>
              <w:t xml:space="preserve"> </w:t>
            </w:r>
            <w:r w:rsidRPr="00097A86">
              <w:t>is the quantity of the raw carbonate material (</w:t>
            </w:r>
            <w:r w:rsidRPr="00097A86">
              <w:rPr>
                <w:b/>
                <w:i/>
              </w:rPr>
              <w:t>i</w:t>
            </w:r>
            <w:r w:rsidRPr="00097A86">
              <w:t>) consumed in the calcining process for the industrial process during the year measured in tonnes and estimated under Division</w:t>
            </w:r>
            <w:r w:rsidR="00097A86">
              <w:t> </w:t>
            </w:r>
            <w:r w:rsidRPr="00097A86">
              <w:t>4.2.5.</w:t>
            </w:r>
          </w:p>
          <w:p w14:paraId="2F854114" w14:textId="77777777" w:rsidR="006118DB" w:rsidRPr="00097A86" w:rsidRDefault="006118DB" w:rsidP="00E82EBB">
            <w:pPr>
              <w:pStyle w:val="Definition"/>
              <w:spacing w:before="60" w:after="60"/>
              <w:ind w:left="0"/>
            </w:pPr>
            <w:r w:rsidRPr="00097A86">
              <w:rPr>
                <w:b/>
                <w:i/>
              </w:rPr>
              <w:t>EF</w:t>
            </w:r>
            <w:r w:rsidRPr="00097A86">
              <w:rPr>
                <w:rStyle w:val="Subscript"/>
                <w:b/>
                <w:i/>
              </w:rPr>
              <w:t xml:space="preserve">ij </w:t>
            </w:r>
            <w:r w:rsidRPr="00097A86">
              <w:t>is the carbon dioxide (</w:t>
            </w:r>
            <w:r w:rsidRPr="00097A86">
              <w:rPr>
                <w:b/>
                <w:i/>
              </w:rPr>
              <w:t>j</w:t>
            </w:r>
            <w:r w:rsidRPr="00097A86">
              <w:t>) emission factor for the raw carbonate material (</w:t>
            </w:r>
            <w:r w:rsidRPr="00097A86">
              <w:rPr>
                <w:b/>
                <w:i/>
              </w:rPr>
              <w:t>i</w:t>
            </w:r>
            <w:r w:rsidRPr="00097A86">
              <w:t>) measured in tonnes of emissions of carbon dioxide per tonne of carbonate, that is:</w:t>
            </w:r>
          </w:p>
          <w:p w14:paraId="261E7B6D" w14:textId="77777777" w:rsidR="006118DB" w:rsidRPr="00097A86" w:rsidRDefault="006118DB" w:rsidP="00617697">
            <w:pPr>
              <w:pStyle w:val="TableP1a"/>
            </w:pPr>
            <w:r w:rsidRPr="00097A86">
              <w:tab/>
              <w:t>(a)</w:t>
            </w:r>
            <w:r w:rsidRPr="00097A86">
              <w:tab/>
              <w:t>for calcium carbonate—0.396; and</w:t>
            </w:r>
          </w:p>
          <w:p w14:paraId="7A71D24C" w14:textId="77777777" w:rsidR="006118DB" w:rsidRPr="00097A86" w:rsidRDefault="006118DB" w:rsidP="00617697">
            <w:pPr>
              <w:pStyle w:val="TableP1a"/>
            </w:pPr>
            <w:r w:rsidRPr="00097A86">
              <w:tab/>
              <w:t>(b)</w:t>
            </w:r>
            <w:r w:rsidRPr="00097A86">
              <w:tab/>
              <w:t>for magnesium carbonate—0.522; and</w:t>
            </w:r>
          </w:p>
          <w:p w14:paraId="7B9D954F" w14:textId="77777777" w:rsidR="006118DB" w:rsidRPr="00097A86" w:rsidRDefault="006118DB" w:rsidP="00617697">
            <w:pPr>
              <w:pStyle w:val="TableP1a"/>
            </w:pPr>
            <w:r w:rsidRPr="00097A86">
              <w:tab/>
              <w:t>(c)</w:t>
            </w:r>
            <w:r w:rsidRPr="00097A86">
              <w:tab/>
              <w:t>for dolomite—0.453; and</w:t>
            </w:r>
          </w:p>
          <w:p w14:paraId="6775E086" w14:textId="77777777" w:rsidR="006118DB" w:rsidRPr="00097A86" w:rsidRDefault="006118DB" w:rsidP="000E58FE">
            <w:pPr>
              <w:pStyle w:val="TableP1a"/>
            </w:pPr>
            <w:r w:rsidRPr="00097A86">
              <w:tab/>
              <w:t>(d)</w:t>
            </w:r>
            <w:r w:rsidRPr="00097A86">
              <w:tab/>
              <w:t>for any other raw carbonate material—the factor for the raw carbonate material in accordance with section</w:t>
            </w:r>
            <w:r w:rsidR="00097A86">
              <w:t> </w:t>
            </w:r>
            <w:r w:rsidRPr="00097A86">
              <w:t>2.1 of Chapter</w:t>
            </w:r>
            <w:r w:rsidR="00097A86">
              <w:t> </w:t>
            </w:r>
            <w:r w:rsidRPr="00097A86">
              <w:t>2 of Volume 3 of the 2006 IPCC Guidelines.</w:t>
            </w:r>
          </w:p>
        </w:tc>
      </w:tr>
      <w:tr w:rsidR="006118DB" w:rsidRPr="00097A86" w14:paraId="45E30085" w14:textId="77777777" w:rsidTr="00C20CC2">
        <w:trPr>
          <w:cantSplit/>
        </w:trPr>
        <w:tc>
          <w:tcPr>
            <w:tcW w:w="572" w:type="pct"/>
          </w:tcPr>
          <w:p w14:paraId="3C048E3B" w14:textId="77777777" w:rsidR="006118DB" w:rsidRPr="00097A86" w:rsidRDefault="006118DB" w:rsidP="00617697">
            <w:pPr>
              <w:spacing w:before="60" w:after="60"/>
              <w:rPr>
                <w:i/>
              </w:rPr>
            </w:pPr>
          </w:p>
        </w:tc>
        <w:tc>
          <w:tcPr>
            <w:tcW w:w="4428" w:type="pct"/>
          </w:tcPr>
          <w:p w14:paraId="15D135BE" w14:textId="77777777" w:rsidR="006118DB" w:rsidRPr="00097A86" w:rsidRDefault="006118DB" w:rsidP="00E82EBB">
            <w:pPr>
              <w:pStyle w:val="Definition"/>
              <w:spacing w:before="60" w:after="60"/>
              <w:ind w:left="0"/>
            </w:pPr>
            <w:r w:rsidRPr="00097A86">
              <w:rPr>
                <w:b/>
                <w:i/>
              </w:rPr>
              <w:t>F</w:t>
            </w:r>
            <w:r w:rsidRPr="00097A86">
              <w:rPr>
                <w:rStyle w:val="Subscript"/>
                <w:b/>
                <w:i/>
              </w:rPr>
              <w:t>cal</w:t>
            </w:r>
            <w:r w:rsidRPr="00097A86">
              <w:t xml:space="preserve"> is:</w:t>
            </w:r>
          </w:p>
          <w:p w14:paraId="1607785E" w14:textId="77777777" w:rsidR="006118DB" w:rsidRPr="00097A86" w:rsidRDefault="006118DB" w:rsidP="00617697">
            <w:pPr>
              <w:pStyle w:val="TableP1a"/>
            </w:pPr>
            <w:r w:rsidRPr="00097A86">
              <w:tab/>
              <w:t>(a)</w:t>
            </w:r>
            <w:r w:rsidRPr="00097A86">
              <w:tab/>
              <w:t>the fraction of the raw carbonate material consumed in the industrial process during the year; or</w:t>
            </w:r>
          </w:p>
          <w:p w14:paraId="37A1666C" w14:textId="77777777" w:rsidR="006118DB" w:rsidRPr="00097A86" w:rsidRDefault="006118DB" w:rsidP="000E58FE">
            <w:pPr>
              <w:pStyle w:val="TableP1a"/>
            </w:pPr>
            <w:r w:rsidRPr="00097A86">
              <w:tab/>
              <w:t>(b)</w:t>
            </w:r>
            <w:r w:rsidRPr="00097A86">
              <w:tab/>
              <w:t xml:space="preserve">if the information in </w:t>
            </w:r>
            <w:r w:rsidR="00097A86">
              <w:t>paragraph (</w:t>
            </w:r>
            <w:r w:rsidRPr="00097A86">
              <w:t>a) is not available—the value 1.</w:t>
            </w:r>
          </w:p>
        </w:tc>
      </w:tr>
      <w:tr w:rsidR="006118DB" w:rsidRPr="00097A86" w14:paraId="259239F1" w14:textId="77777777" w:rsidTr="00C20CC2">
        <w:trPr>
          <w:cantSplit/>
        </w:trPr>
        <w:tc>
          <w:tcPr>
            <w:tcW w:w="572" w:type="pct"/>
          </w:tcPr>
          <w:p w14:paraId="3097CC81" w14:textId="77777777" w:rsidR="006118DB" w:rsidRPr="00097A86" w:rsidRDefault="006118DB" w:rsidP="00E82EBB">
            <w:pPr>
              <w:pStyle w:val="Tabletext"/>
              <w:rPr>
                <w:sz w:val="22"/>
                <w:szCs w:val="22"/>
              </w:rPr>
            </w:pPr>
            <w:r w:rsidRPr="00097A86">
              <w:rPr>
                <w:sz w:val="22"/>
                <w:szCs w:val="22"/>
              </w:rPr>
              <w:t>Step 2</w:t>
            </w:r>
          </w:p>
        </w:tc>
        <w:tc>
          <w:tcPr>
            <w:tcW w:w="4428" w:type="pct"/>
          </w:tcPr>
          <w:p w14:paraId="4A8D30B4" w14:textId="77777777" w:rsidR="006118DB" w:rsidRPr="00097A86" w:rsidRDefault="006118DB" w:rsidP="00E82EBB">
            <w:pPr>
              <w:pStyle w:val="Tabletext"/>
              <w:rPr>
                <w:sz w:val="22"/>
                <w:szCs w:val="22"/>
              </w:rPr>
            </w:pPr>
            <w:r w:rsidRPr="00097A86">
              <w:rPr>
                <w:sz w:val="22"/>
                <w:szCs w:val="22"/>
              </w:rPr>
              <w:t>Add together the amount of emissions of carbon dioxide for each carbonate consumed in the industrial process during the year.</w:t>
            </w:r>
          </w:p>
        </w:tc>
      </w:tr>
    </w:tbl>
    <w:p w14:paraId="75C59024" w14:textId="77777777" w:rsidR="003F0D4E" w:rsidRPr="00097A86" w:rsidRDefault="00D22D3F" w:rsidP="00D22D3F">
      <w:pPr>
        <w:pStyle w:val="notetext"/>
      </w:pPr>
      <w:r w:rsidRPr="00097A86">
        <w:t>Note:</w:t>
      </w:r>
      <w:r w:rsidRPr="00097A86">
        <w:tab/>
      </w:r>
      <w:r w:rsidR="003F0D4E" w:rsidRPr="00097A86">
        <w:t xml:space="preserve">For the factor </w:t>
      </w:r>
      <w:r w:rsidR="003F0D4E" w:rsidRPr="00097A86">
        <w:rPr>
          <w:b/>
          <w:i/>
        </w:rPr>
        <w:t>E</w:t>
      </w:r>
      <w:r w:rsidR="005C3E39" w:rsidRPr="00097A86">
        <w:rPr>
          <w:b/>
          <w:i/>
        </w:rPr>
        <w:t>f</w:t>
      </w:r>
      <w:r w:rsidR="003F0D4E" w:rsidRPr="00097A86">
        <w:rPr>
          <w:b/>
          <w:i/>
        </w:rPr>
        <w:t xml:space="preserve">ij </w:t>
      </w:r>
      <w:r w:rsidR="003F0D4E" w:rsidRPr="00097A86">
        <w:t>in step 1, the emission factor value given for a raw carbonate material is based on a method of calculation that ascribed the following content to the material:</w:t>
      </w:r>
    </w:p>
    <w:p w14:paraId="37379AC2" w14:textId="77777777" w:rsidR="003F0D4E" w:rsidRPr="00097A86" w:rsidRDefault="003F0D4E" w:rsidP="00D22D3F">
      <w:pPr>
        <w:pStyle w:val="notepara"/>
      </w:pPr>
      <w:r w:rsidRPr="00097A86">
        <w:t>(a)</w:t>
      </w:r>
      <w:r w:rsidRPr="00097A86">
        <w:tab/>
        <w:t>for calcium carbonate</w:t>
      </w:r>
      <w:r w:rsidR="00D22D3F" w:rsidRPr="00097A86">
        <w:t>—</w:t>
      </w:r>
      <w:r w:rsidRPr="00097A86">
        <w:t>at least 90% calcium carbonate;</w:t>
      </w:r>
    </w:p>
    <w:p w14:paraId="6B38CAAF" w14:textId="77777777" w:rsidR="003F0D4E" w:rsidRPr="00097A86" w:rsidRDefault="003F0D4E" w:rsidP="00D22D3F">
      <w:pPr>
        <w:pStyle w:val="notepara"/>
      </w:pPr>
      <w:r w:rsidRPr="00097A86">
        <w:t>(b)</w:t>
      </w:r>
      <w:r w:rsidRPr="00097A86">
        <w:tab/>
        <w:t>for magnesium carbonate</w:t>
      </w:r>
      <w:r w:rsidR="00D22D3F" w:rsidRPr="00097A86">
        <w:t>—</w:t>
      </w:r>
      <w:r w:rsidRPr="00097A86">
        <w:t>100% magnesium carbonate;</w:t>
      </w:r>
    </w:p>
    <w:p w14:paraId="7CC47CFA" w14:textId="77777777" w:rsidR="003F0D4E" w:rsidRPr="00097A86" w:rsidRDefault="003F0D4E" w:rsidP="00D22D3F">
      <w:pPr>
        <w:pStyle w:val="notepara"/>
      </w:pPr>
      <w:r w:rsidRPr="00097A86">
        <w:t>(c)</w:t>
      </w:r>
      <w:r w:rsidRPr="00097A86">
        <w:tab/>
        <w:t>for dolomite</w:t>
      </w:r>
      <w:r w:rsidR="00D22D3F" w:rsidRPr="00097A86">
        <w:t>—</w:t>
      </w:r>
      <w:r w:rsidRPr="00097A86">
        <w:t>at least 95% dolomite.</w:t>
      </w:r>
    </w:p>
    <w:p w14:paraId="18FB881F" w14:textId="77777777" w:rsidR="00BE02E0" w:rsidRPr="00097A86" w:rsidRDefault="00BE02E0" w:rsidP="00D22D3F">
      <w:pPr>
        <w:pStyle w:val="ActHead5"/>
      </w:pPr>
      <w:bookmarkStart w:id="407" w:name="_Toc13233839"/>
      <w:r w:rsidRPr="00097A86">
        <w:rPr>
          <w:rStyle w:val="CharSectno"/>
        </w:rPr>
        <w:t>4.22A</w:t>
      </w:r>
      <w:r w:rsidR="00D22D3F" w:rsidRPr="00097A86">
        <w:t xml:space="preserve">  </w:t>
      </w:r>
      <w:r w:rsidRPr="00097A86">
        <w:t>Method 1A—product other than cement clinker, lime or soda ash for use of carbonates in clay materials</w:t>
      </w:r>
      <w:bookmarkEnd w:id="407"/>
    </w:p>
    <w:p w14:paraId="04A1C623" w14:textId="77777777" w:rsidR="00BE02E0" w:rsidRPr="00097A86" w:rsidRDefault="00BE02E0" w:rsidP="00D22D3F">
      <w:pPr>
        <w:pStyle w:val="subsection"/>
      </w:pPr>
      <w:r w:rsidRPr="00097A86">
        <w:tab/>
        <w:t>(1)</w:t>
      </w:r>
      <w:r w:rsidRPr="00097A86">
        <w:tab/>
        <w:t xml:space="preserve">Method 1A is measure the amount of emissions of carbon dioxide released from each clay material consumed in the industrial process during the reporting year, measured in </w:t>
      </w:r>
      <w:r w:rsidRPr="00097A86">
        <w:rPr>
          <w:szCs w:val="22"/>
        </w:rPr>
        <w:t>CO</w:t>
      </w:r>
      <w:r w:rsidRPr="00097A86">
        <w:rPr>
          <w:rStyle w:val="charSubscript"/>
          <w:sz w:val="22"/>
          <w:szCs w:val="22"/>
        </w:rPr>
        <w:t>2</w:t>
      </w:r>
      <w:r w:rsidR="00097A86">
        <w:rPr>
          <w:szCs w:val="22"/>
        </w:rPr>
        <w:noBreakHyphen/>
      </w:r>
      <w:r w:rsidRPr="00097A86">
        <w:rPr>
          <w:szCs w:val="22"/>
        </w:rPr>
        <w:t>e</w:t>
      </w:r>
      <w:r w:rsidRPr="00097A86">
        <w:t xml:space="preserve"> tonnes, using the following formula:</w:t>
      </w:r>
    </w:p>
    <w:p w14:paraId="4D3ADB05" w14:textId="77777777" w:rsidR="00BE02E0" w:rsidRPr="00097A86" w:rsidRDefault="00D22D3F" w:rsidP="00D22D3F">
      <w:pPr>
        <w:pStyle w:val="subsection"/>
        <w:spacing w:before="120" w:after="120"/>
      </w:pPr>
      <w:r w:rsidRPr="00097A86">
        <w:tab/>
      </w:r>
      <w:r w:rsidRPr="00097A86">
        <w:tab/>
      </w:r>
      <w:r w:rsidR="009E1F90">
        <w:rPr>
          <w:noProof/>
        </w:rPr>
        <w:drawing>
          <wp:inline distT="0" distB="0" distL="0" distR="0" wp14:anchorId="47062F3F" wp14:editId="534F5FAC">
            <wp:extent cx="1485900" cy="219075"/>
            <wp:effectExtent l="0" t="0" r="0" b="9525"/>
            <wp:docPr id="18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p w14:paraId="65F13265" w14:textId="77777777" w:rsidR="00BE02E0" w:rsidRPr="00097A86" w:rsidRDefault="00BE02E0" w:rsidP="00D22D3F">
      <w:pPr>
        <w:pStyle w:val="subsection2"/>
      </w:pPr>
      <w:r w:rsidRPr="00097A86">
        <w:lastRenderedPageBreak/>
        <w:t>where:</w:t>
      </w:r>
    </w:p>
    <w:p w14:paraId="712735E3" w14:textId="77777777" w:rsidR="00BE02E0" w:rsidRPr="00097A86" w:rsidRDefault="00BE02E0" w:rsidP="00D22D3F">
      <w:pPr>
        <w:pStyle w:val="Definition"/>
      </w:pPr>
      <w:r w:rsidRPr="00097A86">
        <w:rPr>
          <w:b/>
          <w:i/>
        </w:rPr>
        <w:t>E</w:t>
      </w:r>
      <w:r w:rsidRPr="00097A86">
        <w:rPr>
          <w:rStyle w:val="charSubscript"/>
          <w:b/>
          <w:i/>
          <w:sz w:val="16"/>
          <w:szCs w:val="16"/>
        </w:rPr>
        <w:t>j</w:t>
      </w:r>
      <w:r w:rsidRPr="00097A86">
        <w:rPr>
          <w:b/>
          <w:i/>
        </w:rPr>
        <w:t xml:space="preserve"> </w:t>
      </w:r>
      <w:r w:rsidRPr="00097A86">
        <w:t>is the emissions of carbon dioxide released from the clay material consumed in the industrial process during the reporting year in a State or Territory (</w:t>
      </w:r>
      <w:r w:rsidRPr="00097A86">
        <w:rPr>
          <w:b/>
          <w:i/>
        </w:rPr>
        <w:t>j</w:t>
      </w:r>
      <w:r w:rsidRPr="00097A86">
        <w:t xml:space="preserve">) mentioned in column 2 of an item in the table in </w:t>
      </w:r>
      <w:r w:rsidR="00097A86">
        <w:t>subsection (</w:t>
      </w:r>
      <w:r w:rsidRPr="00097A86">
        <w:t>2), measured in CO</w:t>
      </w:r>
      <w:r w:rsidRPr="00097A86">
        <w:rPr>
          <w:rStyle w:val="charSubscript"/>
        </w:rPr>
        <w:t>2</w:t>
      </w:r>
      <w:r w:rsidR="00097A86">
        <w:noBreakHyphen/>
      </w:r>
      <w:r w:rsidRPr="00097A86">
        <w:t>e tonnes.</w:t>
      </w:r>
    </w:p>
    <w:p w14:paraId="084B4692" w14:textId="77777777" w:rsidR="00BE02E0" w:rsidRPr="00097A86" w:rsidRDefault="00BE02E0" w:rsidP="00D22D3F">
      <w:pPr>
        <w:pStyle w:val="Definition"/>
      </w:pPr>
      <w:r w:rsidRPr="00097A86">
        <w:rPr>
          <w:b/>
          <w:i/>
        </w:rPr>
        <w:t>Q</w:t>
      </w:r>
      <w:r w:rsidRPr="00097A86">
        <w:rPr>
          <w:rStyle w:val="charSubscript"/>
          <w:b/>
          <w:i/>
          <w:sz w:val="16"/>
          <w:szCs w:val="16"/>
        </w:rPr>
        <w:t>j</w:t>
      </w:r>
      <w:r w:rsidRPr="00097A86">
        <w:rPr>
          <w:b/>
          <w:i/>
        </w:rPr>
        <w:t xml:space="preserve"> </w:t>
      </w:r>
      <w:r w:rsidRPr="00097A86">
        <w:t>is the quantity of clay material consumed in the industrial process during the reporting year in a State or Territory (</w:t>
      </w:r>
      <w:r w:rsidRPr="00097A86">
        <w:rPr>
          <w:b/>
          <w:i/>
        </w:rPr>
        <w:t>j</w:t>
      </w:r>
      <w:r w:rsidRPr="00097A86">
        <w:t xml:space="preserve">) mentioned in column 2 of an item in the table in </w:t>
      </w:r>
      <w:r w:rsidR="00097A86">
        <w:t>subsection (</w:t>
      </w:r>
      <w:r w:rsidRPr="00097A86">
        <w:t>2), measured in tonnes and estimated under Division</w:t>
      </w:r>
      <w:r w:rsidR="00097A86">
        <w:t> </w:t>
      </w:r>
      <w:r w:rsidRPr="00097A86">
        <w:t>4.2.5.</w:t>
      </w:r>
    </w:p>
    <w:p w14:paraId="4ADF0151" w14:textId="77777777" w:rsidR="00BE02E0" w:rsidRPr="00097A86" w:rsidRDefault="00BE02E0" w:rsidP="00D22D3F">
      <w:pPr>
        <w:pStyle w:val="Definition"/>
      </w:pPr>
      <w:r w:rsidRPr="00097A86">
        <w:rPr>
          <w:b/>
          <w:i/>
        </w:rPr>
        <w:t>ICC</w:t>
      </w:r>
      <w:r w:rsidRPr="00097A86">
        <w:rPr>
          <w:rStyle w:val="charSubscript"/>
          <w:b/>
          <w:i/>
        </w:rPr>
        <w:t>j</w:t>
      </w:r>
      <w:r w:rsidRPr="00097A86">
        <w:rPr>
          <w:b/>
          <w:i/>
        </w:rPr>
        <w:t xml:space="preserve"> </w:t>
      </w:r>
      <w:r w:rsidRPr="00097A86">
        <w:t xml:space="preserve">is the inorganic carbon content factor of clay material specified in column 3 of an item in the table in </w:t>
      </w:r>
      <w:r w:rsidR="00097A86">
        <w:t>subsection (</w:t>
      </w:r>
      <w:r w:rsidRPr="00097A86">
        <w:t>2) for each State or Territory (</w:t>
      </w:r>
      <w:r w:rsidRPr="00097A86">
        <w:rPr>
          <w:b/>
          <w:i/>
        </w:rPr>
        <w:t>j</w:t>
      </w:r>
      <w:r w:rsidRPr="00097A86">
        <w:t>) mentioned in column 2 of the item.</w:t>
      </w:r>
    </w:p>
    <w:p w14:paraId="684255B1" w14:textId="77777777" w:rsidR="00BE02E0" w:rsidRPr="00097A86" w:rsidRDefault="00BE02E0" w:rsidP="00D22D3F">
      <w:pPr>
        <w:pStyle w:val="subsection"/>
      </w:pPr>
      <w:r w:rsidRPr="00097A86">
        <w:tab/>
        <w:t>(2)</w:t>
      </w:r>
      <w:r w:rsidRPr="00097A86">
        <w:tab/>
        <w:t xml:space="preserve">For </w:t>
      </w:r>
      <w:r w:rsidRPr="00097A86">
        <w:rPr>
          <w:b/>
          <w:i/>
        </w:rPr>
        <w:t>ICC</w:t>
      </w:r>
      <w:r w:rsidRPr="00097A86">
        <w:rPr>
          <w:b/>
          <w:i/>
          <w:vertAlign w:val="subscript"/>
        </w:rPr>
        <w:t>j</w:t>
      </w:r>
      <w:r w:rsidRPr="00097A86">
        <w:t xml:space="preserve"> in </w:t>
      </w:r>
      <w:r w:rsidR="00097A86">
        <w:t>subsection (</w:t>
      </w:r>
      <w:r w:rsidRPr="00097A86">
        <w:t>1), column 3 of an item in the following table specifies the inorganic carbon content factor for a State or Territory (</w:t>
      </w:r>
      <w:r w:rsidRPr="00097A86">
        <w:rPr>
          <w:b/>
          <w:i/>
        </w:rPr>
        <w:t>j</w:t>
      </w:r>
      <w:r w:rsidRPr="00097A86">
        <w:t>)</w:t>
      </w:r>
      <w:r w:rsidRPr="00097A86">
        <w:rPr>
          <w:b/>
          <w:i/>
        </w:rPr>
        <w:t xml:space="preserve"> </w:t>
      </w:r>
      <w:r w:rsidRPr="00097A86">
        <w:t>mentioned in column 2 of the item.</w:t>
      </w:r>
    </w:p>
    <w:p w14:paraId="53DE5C43"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1"/>
        <w:gridCol w:w="3864"/>
        <w:gridCol w:w="3608"/>
      </w:tblGrid>
      <w:tr w:rsidR="00BE02E0" w:rsidRPr="00097A86" w14:paraId="7AED84AA" w14:textId="77777777" w:rsidTr="00C20CC2">
        <w:trPr>
          <w:tblHeader/>
        </w:trPr>
        <w:tc>
          <w:tcPr>
            <w:tcW w:w="506" w:type="pct"/>
            <w:tcBorders>
              <w:top w:val="single" w:sz="12" w:space="0" w:color="auto"/>
              <w:bottom w:val="single" w:sz="12" w:space="0" w:color="auto"/>
            </w:tcBorders>
            <w:shd w:val="clear" w:color="auto" w:fill="auto"/>
          </w:tcPr>
          <w:p w14:paraId="148664F0" w14:textId="77777777" w:rsidR="00BE02E0" w:rsidRPr="00097A86" w:rsidRDefault="00BE02E0" w:rsidP="00D22D3F">
            <w:pPr>
              <w:pStyle w:val="TableHeading"/>
            </w:pPr>
            <w:r w:rsidRPr="00097A86">
              <w:t>Item</w:t>
            </w:r>
          </w:p>
        </w:tc>
        <w:tc>
          <w:tcPr>
            <w:tcW w:w="2324" w:type="pct"/>
            <w:tcBorders>
              <w:top w:val="single" w:sz="12" w:space="0" w:color="auto"/>
              <w:bottom w:val="single" w:sz="12" w:space="0" w:color="auto"/>
            </w:tcBorders>
            <w:shd w:val="clear" w:color="auto" w:fill="auto"/>
          </w:tcPr>
          <w:p w14:paraId="02DB0290" w14:textId="77777777" w:rsidR="00BE02E0" w:rsidRPr="00097A86" w:rsidRDefault="00BE02E0" w:rsidP="00D22D3F">
            <w:pPr>
              <w:pStyle w:val="TableHeading"/>
            </w:pPr>
            <w:r w:rsidRPr="00097A86">
              <w:t>State or Territory (j)</w:t>
            </w:r>
          </w:p>
        </w:tc>
        <w:tc>
          <w:tcPr>
            <w:tcW w:w="2170" w:type="pct"/>
            <w:tcBorders>
              <w:top w:val="single" w:sz="12" w:space="0" w:color="auto"/>
              <w:bottom w:val="single" w:sz="12" w:space="0" w:color="auto"/>
            </w:tcBorders>
            <w:shd w:val="clear" w:color="auto" w:fill="auto"/>
          </w:tcPr>
          <w:p w14:paraId="26FE0AB5" w14:textId="77777777" w:rsidR="00BE02E0" w:rsidRPr="00097A86" w:rsidRDefault="00BE02E0" w:rsidP="00D22D3F">
            <w:pPr>
              <w:pStyle w:val="TableHeading"/>
            </w:pPr>
            <w:r w:rsidRPr="00097A86">
              <w:t>Inorganic carbon content factor</w:t>
            </w:r>
          </w:p>
        </w:tc>
      </w:tr>
      <w:tr w:rsidR="00BE02E0" w:rsidRPr="00097A86" w14:paraId="0B73A706" w14:textId="77777777" w:rsidTr="00C20CC2">
        <w:tc>
          <w:tcPr>
            <w:tcW w:w="506" w:type="pct"/>
            <w:tcBorders>
              <w:top w:val="single" w:sz="12" w:space="0" w:color="auto"/>
            </w:tcBorders>
            <w:shd w:val="clear" w:color="auto" w:fill="auto"/>
          </w:tcPr>
          <w:p w14:paraId="05076679" w14:textId="77777777" w:rsidR="00BE02E0" w:rsidRPr="00097A86" w:rsidRDefault="00BE02E0" w:rsidP="00D22D3F">
            <w:pPr>
              <w:pStyle w:val="Tabletext"/>
            </w:pPr>
            <w:r w:rsidRPr="00097A86">
              <w:t>1</w:t>
            </w:r>
          </w:p>
        </w:tc>
        <w:tc>
          <w:tcPr>
            <w:tcW w:w="2324" w:type="pct"/>
            <w:tcBorders>
              <w:top w:val="single" w:sz="12" w:space="0" w:color="auto"/>
            </w:tcBorders>
            <w:shd w:val="clear" w:color="auto" w:fill="auto"/>
          </w:tcPr>
          <w:p w14:paraId="07F2D50D" w14:textId="77777777" w:rsidR="00BE02E0" w:rsidRPr="00097A86" w:rsidRDefault="00BE02E0" w:rsidP="00D22D3F">
            <w:pPr>
              <w:pStyle w:val="Tabletext"/>
            </w:pPr>
            <w:r w:rsidRPr="00097A86">
              <w:t>New South Wales</w:t>
            </w:r>
          </w:p>
        </w:tc>
        <w:tc>
          <w:tcPr>
            <w:tcW w:w="2170" w:type="pct"/>
            <w:tcBorders>
              <w:top w:val="single" w:sz="12" w:space="0" w:color="auto"/>
            </w:tcBorders>
            <w:shd w:val="clear" w:color="auto" w:fill="auto"/>
          </w:tcPr>
          <w:p w14:paraId="09E403D5" w14:textId="77777777" w:rsidR="00BE02E0" w:rsidRPr="00097A86" w:rsidRDefault="00BE02E0" w:rsidP="00D22D3F">
            <w:pPr>
              <w:pStyle w:val="Tabletext"/>
            </w:pPr>
            <w:r w:rsidRPr="00097A86">
              <w:t xml:space="preserve">6.068 </w:t>
            </w:r>
            <w:r w:rsidR="009E1F90">
              <w:rPr>
                <w:noProof/>
                <w:position w:val="-4"/>
              </w:rPr>
              <w:drawing>
                <wp:inline distT="0" distB="0" distL="0" distR="0" wp14:anchorId="271636E2" wp14:editId="1A443713">
                  <wp:extent cx="123825" cy="123825"/>
                  <wp:effectExtent l="0" t="0" r="9525" b="9525"/>
                  <wp:docPr id="18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3</w:t>
            </w:r>
          </w:p>
        </w:tc>
      </w:tr>
      <w:tr w:rsidR="00BE02E0" w:rsidRPr="00097A86" w14:paraId="18733061" w14:textId="77777777" w:rsidTr="00C20CC2">
        <w:tc>
          <w:tcPr>
            <w:tcW w:w="506" w:type="pct"/>
            <w:shd w:val="clear" w:color="auto" w:fill="auto"/>
          </w:tcPr>
          <w:p w14:paraId="6EDB3DD6" w14:textId="77777777" w:rsidR="00BE02E0" w:rsidRPr="00097A86" w:rsidRDefault="00BE02E0" w:rsidP="00D22D3F">
            <w:pPr>
              <w:pStyle w:val="Tabletext"/>
            </w:pPr>
            <w:r w:rsidRPr="00097A86">
              <w:t>2</w:t>
            </w:r>
          </w:p>
        </w:tc>
        <w:tc>
          <w:tcPr>
            <w:tcW w:w="2324" w:type="pct"/>
            <w:shd w:val="clear" w:color="auto" w:fill="auto"/>
          </w:tcPr>
          <w:p w14:paraId="6BE01E78" w14:textId="77777777" w:rsidR="00BE02E0" w:rsidRPr="00097A86" w:rsidRDefault="00BE02E0" w:rsidP="00D22D3F">
            <w:pPr>
              <w:pStyle w:val="Tabletext"/>
            </w:pPr>
            <w:r w:rsidRPr="00097A86">
              <w:t>Victoria</w:t>
            </w:r>
          </w:p>
        </w:tc>
        <w:tc>
          <w:tcPr>
            <w:tcW w:w="2170" w:type="pct"/>
            <w:shd w:val="clear" w:color="auto" w:fill="auto"/>
          </w:tcPr>
          <w:p w14:paraId="0FFDD8CF" w14:textId="77777777" w:rsidR="00BE02E0" w:rsidRPr="00097A86" w:rsidRDefault="00BE02E0" w:rsidP="00D22D3F">
            <w:pPr>
              <w:pStyle w:val="Tabletext"/>
            </w:pPr>
            <w:r w:rsidRPr="00097A86">
              <w:t xml:space="preserve">2.333 </w:t>
            </w:r>
            <w:r w:rsidR="009E1F90">
              <w:rPr>
                <w:noProof/>
                <w:position w:val="-4"/>
              </w:rPr>
              <w:drawing>
                <wp:inline distT="0" distB="0" distL="0" distR="0" wp14:anchorId="46018581" wp14:editId="436B8925">
                  <wp:extent cx="123825" cy="123825"/>
                  <wp:effectExtent l="0" t="0" r="9525" b="9525"/>
                  <wp:docPr id="18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4</w:t>
            </w:r>
          </w:p>
        </w:tc>
      </w:tr>
      <w:tr w:rsidR="00BE02E0" w:rsidRPr="00097A86" w14:paraId="78914975" w14:textId="77777777" w:rsidTr="00C20CC2">
        <w:tc>
          <w:tcPr>
            <w:tcW w:w="506" w:type="pct"/>
            <w:shd w:val="clear" w:color="auto" w:fill="auto"/>
          </w:tcPr>
          <w:p w14:paraId="1613AF0A" w14:textId="77777777" w:rsidR="00BE02E0" w:rsidRPr="00097A86" w:rsidRDefault="00BE02E0" w:rsidP="00D22D3F">
            <w:pPr>
              <w:pStyle w:val="Tabletext"/>
            </w:pPr>
            <w:r w:rsidRPr="00097A86">
              <w:t>3</w:t>
            </w:r>
          </w:p>
        </w:tc>
        <w:tc>
          <w:tcPr>
            <w:tcW w:w="2324" w:type="pct"/>
            <w:shd w:val="clear" w:color="auto" w:fill="auto"/>
          </w:tcPr>
          <w:p w14:paraId="0C2ED626" w14:textId="77777777" w:rsidR="00BE02E0" w:rsidRPr="00097A86" w:rsidRDefault="00BE02E0" w:rsidP="00D22D3F">
            <w:pPr>
              <w:pStyle w:val="Tabletext"/>
            </w:pPr>
            <w:r w:rsidRPr="00097A86">
              <w:t>Queensland</w:t>
            </w:r>
          </w:p>
        </w:tc>
        <w:tc>
          <w:tcPr>
            <w:tcW w:w="2170" w:type="pct"/>
            <w:shd w:val="clear" w:color="auto" w:fill="auto"/>
          </w:tcPr>
          <w:p w14:paraId="7BDA162A" w14:textId="77777777" w:rsidR="00BE02E0" w:rsidRPr="00097A86" w:rsidRDefault="00BE02E0" w:rsidP="00D22D3F">
            <w:pPr>
              <w:pStyle w:val="Tabletext"/>
            </w:pPr>
            <w:r w:rsidRPr="00097A86">
              <w:t xml:space="preserve">2.509 </w:t>
            </w:r>
            <w:r w:rsidR="009E1F90">
              <w:rPr>
                <w:noProof/>
                <w:position w:val="-4"/>
              </w:rPr>
              <w:drawing>
                <wp:inline distT="0" distB="0" distL="0" distR="0" wp14:anchorId="0F791DC5" wp14:editId="3477D36D">
                  <wp:extent cx="123825" cy="123825"/>
                  <wp:effectExtent l="0" t="0" r="9525" b="9525"/>
                  <wp:docPr id="1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3</w:t>
            </w:r>
          </w:p>
        </w:tc>
      </w:tr>
      <w:tr w:rsidR="00BE02E0" w:rsidRPr="00097A86" w14:paraId="6ED55BFF" w14:textId="77777777" w:rsidTr="00C20CC2">
        <w:tc>
          <w:tcPr>
            <w:tcW w:w="506" w:type="pct"/>
            <w:shd w:val="clear" w:color="auto" w:fill="auto"/>
          </w:tcPr>
          <w:p w14:paraId="78BC059C" w14:textId="77777777" w:rsidR="00BE02E0" w:rsidRPr="00097A86" w:rsidRDefault="00BE02E0" w:rsidP="00D22D3F">
            <w:pPr>
              <w:pStyle w:val="Tabletext"/>
            </w:pPr>
            <w:r w:rsidRPr="00097A86">
              <w:t>4</w:t>
            </w:r>
          </w:p>
        </w:tc>
        <w:tc>
          <w:tcPr>
            <w:tcW w:w="2324" w:type="pct"/>
            <w:shd w:val="clear" w:color="auto" w:fill="auto"/>
          </w:tcPr>
          <w:p w14:paraId="60303877" w14:textId="77777777" w:rsidR="00BE02E0" w:rsidRPr="00097A86" w:rsidRDefault="00BE02E0" w:rsidP="00D22D3F">
            <w:pPr>
              <w:pStyle w:val="Tabletext"/>
            </w:pPr>
            <w:r w:rsidRPr="00097A86">
              <w:t>Western Australia</w:t>
            </w:r>
          </w:p>
        </w:tc>
        <w:tc>
          <w:tcPr>
            <w:tcW w:w="2170" w:type="pct"/>
            <w:shd w:val="clear" w:color="auto" w:fill="auto"/>
          </w:tcPr>
          <w:p w14:paraId="34F324BE" w14:textId="77777777" w:rsidR="00BE02E0" w:rsidRPr="00097A86" w:rsidRDefault="00BE02E0" w:rsidP="00D22D3F">
            <w:pPr>
              <w:pStyle w:val="Tabletext"/>
            </w:pPr>
            <w:r w:rsidRPr="00097A86">
              <w:t xml:space="preserve">3.140 </w:t>
            </w:r>
            <w:r w:rsidR="009E1F90">
              <w:rPr>
                <w:noProof/>
                <w:position w:val="-4"/>
              </w:rPr>
              <w:drawing>
                <wp:inline distT="0" distB="0" distL="0" distR="0" wp14:anchorId="73F6D3A9" wp14:editId="5F22FD25">
                  <wp:extent cx="123825" cy="123825"/>
                  <wp:effectExtent l="0" t="0" r="9525" b="9525"/>
                  <wp:docPr id="17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4</w:t>
            </w:r>
          </w:p>
        </w:tc>
      </w:tr>
      <w:tr w:rsidR="00BE02E0" w:rsidRPr="00097A86" w14:paraId="283CA184" w14:textId="77777777" w:rsidTr="00C20CC2">
        <w:tc>
          <w:tcPr>
            <w:tcW w:w="506" w:type="pct"/>
            <w:shd w:val="clear" w:color="auto" w:fill="auto"/>
          </w:tcPr>
          <w:p w14:paraId="0A3730B6" w14:textId="77777777" w:rsidR="00BE02E0" w:rsidRPr="00097A86" w:rsidRDefault="00BE02E0" w:rsidP="00D22D3F">
            <w:pPr>
              <w:pStyle w:val="Tabletext"/>
            </w:pPr>
            <w:r w:rsidRPr="00097A86">
              <w:t>5</w:t>
            </w:r>
          </w:p>
        </w:tc>
        <w:tc>
          <w:tcPr>
            <w:tcW w:w="2324" w:type="pct"/>
            <w:shd w:val="clear" w:color="auto" w:fill="auto"/>
          </w:tcPr>
          <w:p w14:paraId="02547F54" w14:textId="77777777" w:rsidR="00BE02E0" w:rsidRPr="00097A86" w:rsidRDefault="00BE02E0" w:rsidP="00D22D3F">
            <w:pPr>
              <w:pStyle w:val="Tabletext"/>
            </w:pPr>
            <w:r w:rsidRPr="00097A86">
              <w:t>South Australia</w:t>
            </w:r>
          </w:p>
        </w:tc>
        <w:tc>
          <w:tcPr>
            <w:tcW w:w="2170" w:type="pct"/>
            <w:shd w:val="clear" w:color="auto" w:fill="auto"/>
          </w:tcPr>
          <w:p w14:paraId="7EA55862" w14:textId="77777777" w:rsidR="00BE02E0" w:rsidRPr="00097A86" w:rsidRDefault="00BE02E0" w:rsidP="00D22D3F">
            <w:pPr>
              <w:pStyle w:val="Tabletext"/>
            </w:pPr>
            <w:r w:rsidRPr="00097A86">
              <w:t xml:space="preserve">5.170 </w:t>
            </w:r>
            <w:r w:rsidR="009E1F90">
              <w:rPr>
                <w:noProof/>
                <w:position w:val="-4"/>
              </w:rPr>
              <w:drawing>
                <wp:inline distT="0" distB="0" distL="0" distR="0" wp14:anchorId="5C564CEE" wp14:editId="75D23427">
                  <wp:extent cx="123825" cy="123825"/>
                  <wp:effectExtent l="0" t="0" r="9525" b="9525"/>
                  <wp:docPr id="17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4</w:t>
            </w:r>
          </w:p>
        </w:tc>
      </w:tr>
      <w:tr w:rsidR="00BE02E0" w:rsidRPr="00097A86" w14:paraId="59DAB321" w14:textId="77777777" w:rsidTr="00C20CC2">
        <w:tc>
          <w:tcPr>
            <w:tcW w:w="506" w:type="pct"/>
            <w:shd w:val="clear" w:color="auto" w:fill="auto"/>
          </w:tcPr>
          <w:p w14:paraId="390CFD60" w14:textId="77777777" w:rsidR="00BE02E0" w:rsidRPr="00097A86" w:rsidRDefault="00BE02E0" w:rsidP="00D22D3F">
            <w:pPr>
              <w:pStyle w:val="Tabletext"/>
            </w:pPr>
            <w:r w:rsidRPr="00097A86">
              <w:t>6</w:t>
            </w:r>
          </w:p>
        </w:tc>
        <w:tc>
          <w:tcPr>
            <w:tcW w:w="2324" w:type="pct"/>
            <w:shd w:val="clear" w:color="auto" w:fill="auto"/>
          </w:tcPr>
          <w:p w14:paraId="42611D19" w14:textId="77777777" w:rsidR="00BE02E0" w:rsidRPr="00097A86" w:rsidRDefault="00BE02E0" w:rsidP="00D22D3F">
            <w:pPr>
              <w:pStyle w:val="Tabletext"/>
            </w:pPr>
            <w:r w:rsidRPr="00097A86">
              <w:t>Tasmania</w:t>
            </w:r>
          </w:p>
        </w:tc>
        <w:tc>
          <w:tcPr>
            <w:tcW w:w="2170" w:type="pct"/>
            <w:shd w:val="clear" w:color="auto" w:fill="auto"/>
          </w:tcPr>
          <w:p w14:paraId="22A61E07" w14:textId="77777777" w:rsidR="00BE02E0" w:rsidRPr="00097A86" w:rsidRDefault="00BE02E0" w:rsidP="00D22D3F">
            <w:pPr>
              <w:pStyle w:val="Tabletext"/>
            </w:pPr>
            <w:r w:rsidRPr="00097A86">
              <w:t xml:space="preserve">1.050 </w:t>
            </w:r>
            <w:r w:rsidR="009E1F90">
              <w:rPr>
                <w:noProof/>
                <w:position w:val="-4"/>
              </w:rPr>
              <w:drawing>
                <wp:inline distT="0" distB="0" distL="0" distR="0" wp14:anchorId="1C27B960" wp14:editId="3AFF5F6F">
                  <wp:extent cx="123825" cy="123825"/>
                  <wp:effectExtent l="0" t="0" r="9525" b="9525"/>
                  <wp:docPr id="17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3</w:t>
            </w:r>
          </w:p>
        </w:tc>
      </w:tr>
      <w:tr w:rsidR="00BE02E0" w:rsidRPr="00097A86" w14:paraId="37B5155B" w14:textId="77777777" w:rsidTr="00C20CC2">
        <w:tc>
          <w:tcPr>
            <w:tcW w:w="506" w:type="pct"/>
            <w:tcBorders>
              <w:bottom w:val="single" w:sz="4" w:space="0" w:color="auto"/>
            </w:tcBorders>
            <w:shd w:val="clear" w:color="auto" w:fill="auto"/>
          </w:tcPr>
          <w:p w14:paraId="3616E8DB" w14:textId="77777777" w:rsidR="00BE02E0" w:rsidRPr="00097A86" w:rsidRDefault="00BE02E0" w:rsidP="00D22D3F">
            <w:pPr>
              <w:pStyle w:val="Tabletext"/>
            </w:pPr>
            <w:r w:rsidRPr="00097A86">
              <w:t>7</w:t>
            </w:r>
          </w:p>
        </w:tc>
        <w:tc>
          <w:tcPr>
            <w:tcW w:w="2324" w:type="pct"/>
            <w:tcBorders>
              <w:bottom w:val="single" w:sz="4" w:space="0" w:color="auto"/>
            </w:tcBorders>
            <w:shd w:val="clear" w:color="auto" w:fill="auto"/>
          </w:tcPr>
          <w:p w14:paraId="27EFFAAB" w14:textId="77777777" w:rsidR="00BE02E0" w:rsidRPr="00097A86" w:rsidRDefault="00BE02E0" w:rsidP="00D22D3F">
            <w:pPr>
              <w:pStyle w:val="Tabletext"/>
            </w:pPr>
            <w:r w:rsidRPr="00097A86">
              <w:t>Australian Capital Territory</w:t>
            </w:r>
          </w:p>
        </w:tc>
        <w:tc>
          <w:tcPr>
            <w:tcW w:w="2170" w:type="pct"/>
            <w:tcBorders>
              <w:bottom w:val="single" w:sz="4" w:space="0" w:color="auto"/>
            </w:tcBorders>
            <w:shd w:val="clear" w:color="auto" w:fill="auto"/>
          </w:tcPr>
          <w:p w14:paraId="3C70352F" w14:textId="77777777" w:rsidR="00BE02E0" w:rsidRPr="00097A86" w:rsidRDefault="00BE02E0" w:rsidP="00D22D3F">
            <w:pPr>
              <w:pStyle w:val="Tabletext"/>
            </w:pPr>
            <w:r w:rsidRPr="00097A86">
              <w:t xml:space="preserve">6.068 </w:t>
            </w:r>
            <w:r w:rsidR="009E1F90">
              <w:rPr>
                <w:noProof/>
                <w:position w:val="-4"/>
              </w:rPr>
              <w:drawing>
                <wp:inline distT="0" distB="0" distL="0" distR="0" wp14:anchorId="71FCEAB5" wp14:editId="0EC5033D">
                  <wp:extent cx="123825" cy="123825"/>
                  <wp:effectExtent l="0" t="0" r="9525" b="9525"/>
                  <wp:docPr id="17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3</w:t>
            </w:r>
          </w:p>
        </w:tc>
      </w:tr>
      <w:tr w:rsidR="00BE02E0" w:rsidRPr="00097A86" w14:paraId="66DF7C43" w14:textId="77777777" w:rsidTr="00C20CC2">
        <w:tc>
          <w:tcPr>
            <w:tcW w:w="506" w:type="pct"/>
            <w:tcBorders>
              <w:bottom w:val="single" w:sz="12" w:space="0" w:color="auto"/>
            </w:tcBorders>
            <w:shd w:val="clear" w:color="auto" w:fill="auto"/>
          </w:tcPr>
          <w:p w14:paraId="39011043" w14:textId="77777777" w:rsidR="00BE02E0" w:rsidRPr="00097A86" w:rsidRDefault="00BE02E0" w:rsidP="00D22D3F">
            <w:pPr>
              <w:pStyle w:val="Tabletext"/>
            </w:pPr>
            <w:r w:rsidRPr="00097A86">
              <w:t>8</w:t>
            </w:r>
          </w:p>
        </w:tc>
        <w:tc>
          <w:tcPr>
            <w:tcW w:w="2324" w:type="pct"/>
            <w:tcBorders>
              <w:bottom w:val="single" w:sz="12" w:space="0" w:color="auto"/>
            </w:tcBorders>
            <w:shd w:val="clear" w:color="auto" w:fill="auto"/>
          </w:tcPr>
          <w:p w14:paraId="78D9A9C3" w14:textId="77777777" w:rsidR="00BE02E0" w:rsidRPr="00097A86" w:rsidRDefault="00BE02E0" w:rsidP="00D22D3F">
            <w:pPr>
              <w:pStyle w:val="Tabletext"/>
            </w:pPr>
            <w:r w:rsidRPr="00097A86">
              <w:t>Northern Territory</w:t>
            </w:r>
          </w:p>
        </w:tc>
        <w:tc>
          <w:tcPr>
            <w:tcW w:w="2170" w:type="pct"/>
            <w:tcBorders>
              <w:bottom w:val="single" w:sz="12" w:space="0" w:color="auto"/>
            </w:tcBorders>
            <w:shd w:val="clear" w:color="auto" w:fill="auto"/>
          </w:tcPr>
          <w:p w14:paraId="51528C5C" w14:textId="77777777" w:rsidR="00BE02E0" w:rsidRPr="00097A86" w:rsidRDefault="00BE02E0" w:rsidP="00D22D3F">
            <w:pPr>
              <w:pStyle w:val="Tabletext"/>
            </w:pPr>
            <w:r w:rsidRPr="00097A86">
              <w:t xml:space="preserve">5.170 </w:t>
            </w:r>
            <w:r w:rsidR="009E1F90">
              <w:rPr>
                <w:noProof/>
                <w:position w:val="-4"/>
              </w:rPr>
              <w:drawing>
                <wp:inline distT="0" distB="0" distL="0" distR="0" wp14:anchorId="3719FAC6" wp14:editId="7AB65FEF">
                  <wp:extent cx="123825" cy="123825"/>
                  <wp:effectExtent l="0" t="0" r="9525" b="9525"/>
                  <wp:docPr id="17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7A86">
              <w:t xml:space="preserve"> 10</w:t>
            </w:r>
            <w:r w:rsidR="00097A86">
              <w:rPr>
                <w:vertAlign w:val="superscript"/>
              </w:rPr>
              <w:noBreakHyphen/>
            </w:r>
            <w:r w:rsidRPr="00097A86">
              <w:rPr>
                <w:vertAlign w:val="superscript"/>
              </w:rPr>
              <w:t>4</w:t>
            </w:r>
          </w:p>
        </w:tc>
      </w:tr>
    </w:tbl>
    <w:p w14:paraId="26AF0430" w14:textId="77777777" w:rsidR="00516A57" w:rsidRPr="00097A86" w:rsidRDefault="00516A57" w:rsidP="00D22D3F">
      <w:pPr>
        <w:pStyle w:val="ActHead5"/>
      </w:pPr>
      <w:bookmarkStart w:id="408" w:name="_Toc13233840"/>
      <w:r w:rsidRPr="00097A86">
        <w:rPr>
          <w:rStyle w:val="CharSectno"/>
        </w:rPr>
        <w:t>4.23</w:t>
      </w:r>
      <w:r w:rsidR="00D22D3F" w:rsidRPr="00097A86">
        <w:t xml:space="preserve">  </w:t>
      </w:r>
      <w:r w:rsidRPr="00097A86">
        <w:t>Method 3</w:t>
      </w:r>
      <w:r w:rsidR="00D22D3F" w:rsidRPr="00097A86">
        <w:t>—</w:t>
      </w:r>
      <w:r w:rsidRPr="00097A86">
        <w:t>product other than cement clinker, lime or soda ash</w:t>
      </w:r>
      <w:bookmarkEnd w:id="408"/>
      <w:r w:rsidRPr="00097A86">
        <w:t xml:space="preserve"> </w:t>
      </w:r>
    </w:p>
    <w:p w14:paraId="234063DB" w14:textId="77777777" w:rsidR="003F0D4E" w:rsidRPr="00097A86" w:rsidRDefault="003F0D4E" w:rsidP="006118DB">
      <w:pPr>
        <w:pStyle w:val="subsection"/>
        <w:spacing w:after="60"/>
      </w:pPr>
      <w:r w:rsidRPr="00097A86">
        <w:tab/>
        <w:t>(1)</w:t>
      </w:r>
      <w:r w:rsidRPr="00097A86">
        <w:tab/>
        <w:t>Method 3 is:</w:t>
      </w:r>
    </w:p>
    <w:tbl>
      <w:tblPr>
        <w:tblW w:w="5000" w:type="pct"/>
        <w:tblLook w:val="0000" w:firstRow="0" w:lastRow="0" w:firstColumn="0" w:lastColumn="0" w:noHBand="0" w:noVBand="0"/>
      </w:tblPr>
      <w:tblGrid>
        <w:gridCol w:w="881"/>
        <w:gridCol w:w="7432"/>
      </w:tblGrid>
      <w:tr w:rsidR="006118DB" w:rsidRPr="00097A86" w14:paraId="44137D98" w14:textId="77777777" w:rsidTr="00C20CC2">
        <w:trPr>
          <w:cantSplit/>
        </w:trPr>
        <w:tc>
          <w:tcPr>
            <w:tcW w:w="530" w:type="pct"/>
          </w:tcPr>
          <w:p w14:paraId="784387CC" w14:textId="77777777" w:rsidR="006118DB" w:rsidRPr="00097A86" w:rsidRDefault="006118DB" w:rsidP="00D73D70">
            <w:pPr>
              <w:pStyle w:val="Tabletext"/>
            </w:pPr>
            <w:r w:rsidRPr="00097A86">
              <w:rPr>
                <w:sz w:val="22"/>
                <w:szCs w:val="22"/>
              </w:rPr>
              <w:t>Step 1</w:t>
            </w:r>
          </w:p>
        </w:tc>
        <w:tc>
          <w:tcPr>
            <w:tcW w:w="4470" w:type="pct"/>
          </w:tcPr>
          <w:p w14:paraId="51BD82A3" w14:textId="77777777" w:rsidR="006118DB" w:rsidRPr="00097A86" w:rsidRDefault="006118DB" w:rsidP="00D73D70">
            <w:pPr>
              <w:pStyle w:val="Tabletext"/>
              <w:rPr>
                <w:sz w:val="22"/>
                <w:szCs w:val="22"/>
              </w:rPr>
            </w:pPr>
            <w:r w:rsidRPr="00097A86">
              <w:rPr>
                <w:sz w:val="22"/>
                <w:szCs w:val="22"/>
              </w:rPr>
              <w:t>Measure the amount of emissions of carbon dioxide in CO</w:t>
            </w:r>
            <w:r w:rsidRPr="00097A86">
              <w:rPr>
                <w:sz w:val="22"/>
              </w:rPr>
              <w:t>2</w:t>
            </w:r>
            <w:r w:rsidR="00097A86">
              <w:rPr>
                <w:sz w:val="22"/>
                <w:szCs w:val="22"/>
              </w:rPr>
              <w:noBreakHyphen/>
            </w:r>
            <w:r w:rsidRPr="00097A86">
              <w:rPr>
                <w:sz w:val="22"/>
                <w:szCs w:val="22"/>
              </w:rPr>
              <w:t>e tonnes released from each pure carbonate consumed in the industrial process during the year as follows:</w:t>
            </w:r>
          </w:p>
          <w:p w14:paraId="6E4985D9" w14:textId="77777777" w:rsidR="006118DB" w:rsidRPr="00097A86" w:rsidRDefault="006118DB" w:rsidP="00BA13B0">
            <w:pPr>
              <w:pStyle w:val="TableText0"/>
              <w:spacing w:before="180" w:after="120"/>
            </w:pPr>
            <w:r w:rsidRPr="00097A86">
              <w:rPr>
                <w:position w:val="-16"/>
              </w:rPr>
              <w:object w:dxaOrig="3620" w:dyaOrig="400" w14:anchorId="418B4424">
                <v:shape id="_x0000_i1041" type="#_x0000_t75" style="width:180.75pt;height:19.5pt" o:ole="">
                  <v:imagedata r:id="rId137" o:title=""/>
                </v:shape>
                <o:OLEObject Type="Embed" ProgID="Equation.DSMT4" ShapeID="_x0000_i1041" DrawAspect="Content" ObjectID="_1624711045" r:id="rId138"/>
              </w:object>
            </w:r>
          </w:p>
          <w:p w14:paraId="15A0BF7C" w14:textId="77777777" w:rsidR="006118DB" w:rsidRPr="00097A86" w:rsidRDefault="006118DB" w:rsidP="00D73D70">
            <w:pPr>
              <w:pStyle w:val="subsection2"/>
              <w:ind w:left="0"/>
            </w:pPr>
            <w:r w:rsidRPr="00097A86">
              <w:t>where:</w:t>
            </w:r>
          </w:p>
          <w:p w14:paraId="52DEB004" w14:textId="77777777" w:rsidR="006118DB" w:rsidRPr="00097A86" w:rsidRDefault="006118DB" w:rsidP="00044B27">
            <w:pPr>
              <w:pStyle w:val="Definition"/>
              <w:spacing w:before="60" w:after="60"/>
              <w:ind w:left="0"/>
            </w:pPr>
            <w:r w:rsidRPr="00097A86">
              <w:rPr>
                <w:b/>
                <w:i/>
              </w:rPr>
              <w:t>E</w:t>
            </w:r>
            <w:r w:rsidRPr="00097A86">
              <w:rPr>
                <w:b/>
                <w:i/>
                <w:sz w:val="16"/>
                <w:szCs w:val="16"/>
                <w:vertAlign w:val="subscript"/>
              </w:rPr>
              <w:t>ij</w:t>
            </w:r>
            <w:r w:rsidRPr="00097A86">
              <w:rPr>
                <w:b/>
                <w:i/>
              </w:rPr>
              <w:t xml:space="preserve"> </w:t>
            </w:r>
            <w:r w:rsidRPr="00097A86">
              <w:t>is the emissions of carbon dioxide (</w:t>
            </w:r>
            <w:r w:rsidRPr="00097A86">
              <w:rPr>
                <w:b/>
                <w:i/>
              </w:rPr>
              <w:t>j</w:t>
            </w:r>
            <w:r w:rsidRPr="00097A86">
              <w:t>) from a pure carbonate (</w:t>
            </w:r>
            <w:r w:rsidRPr="00097A86">
              <w:rPr>
                <w:b/>
                <w:i/>
              </w:rPr>
              <w:t>i</w:t>
            </w:r>
            <w:r w:rsidRPr="00097A86">
              <w:t xml:space="preserve">) consumed in the industrial process during the year measured in </w:t>
            </w:r>
            <w:r w:rsidRPr="00097A86">
              <w:rPr>
                <w:szCs w:val="22"/>
              </w:rPr>
              <w:t>CO</w:t>
            </w:r>
            <w:r w:rsidRPr="00097A86">
              <w:rPr>
                <w:rStyle w:val="Subscript"/>
                <w:szCs w:val="22"/>
              </w:rPr>
              <w:t>2</w:t>
            </w:r>
            <w:r w:rsidR="00097A86">
              <w:rPr>
                <w:szCs w:val="22"/>
              </w:rPr>
              <w:noBreakHyphen/>
            </w:r>
            <w:r w:rsidRPr="00097A86">
              <w:rPr>
                <w:szCs w:val="22"/>
              </w:rPr>
              <w:t>e</w:t>
            </w:r>
            <w:r w:rsidRPr="00097A86">
              <w:t xml:space="preserve"> tonnes.</w:t>
            </w:r>
          </w:p>
        </w:tc>
      </w:tr>
      <w:tr w:rsidR="006118DB" w:rsidRPr="00097A86" w14:paraId="1B7591A2" w14:textId="77777777" w:rsidTr="00C20CC2">
        <w:trPr>
          <w:cantSplit/>
        </w:trPr>
        <w:tc>
          <w:tcPr>
            <w:tcW w:w="530" w:type="pct"/>
          </w:tcPr>
          <w:p w14:paraId="3AC5F886" w14:textId="77777777" w:rsidR="006118DB" w:rsidRPr="00097A86" w:rsidRDefault="006118DB" w:rsidP="00617697">
            <w:pPr>
              <w:spacing w:before="60" w:after="60"/>
              <w:rPr>
                <w:i/>
              </w:rPr>
            </w:pPr>
          </w:p>
        </w:tc>
        <w:tc>
          <w:tcPr>
            <w:tcW w:w="4470" w:type="pct"/>
          </w:tcPr>
          <w:p w14:paraId="57DC1162" w14:textId="77777777" w:rsidR="006118DB" w:rsidRPr="00097A86" w:rsidRDefault="006118DB" w:rsidP="00D73D70">
            <w:pPr>
              <w:pStyle w:val="Definition"/>
              <w:spacing w:before="60" w:after="60"/>
              <w:ind w:left="0"/>
            </w:pPr>
            <w:r w:rsidRPr="00097A86">
              <w:rPr>
                <w:b/>
                <w:i/>
              </w:rPr>
              <w:t>EF</w:t>
            </w:r>
            <w:r w:rsidRPr="00097A86">
              <w:rPr>
                <w:rStyle w:val="Subscript"/>
                <w:b/>
                <w:i/>
              </w:rPr>
              <w:t>ij</w:t>
            </w:r>
            <w:r w:rsidRPr="00097A86">
              <w:t xml:space="preserve"> is the carbon dioxide (</w:t>
            </w:r>
            <w:r w:rsidRPr="00097A86">
              <w:rPr>
                <w:b/>
                <w:i/>
              </w:rPr>
              <w:t>j</w:t>
            </w:r>
            <w:r w:rsidRPr="00097A86">
              <w:t>) emission factor for the pure carbonate (</w:t>
            </w:r>
            <w:r w:rsidRPr="00097A86">
              <w:rPr>
                <w:b/>
                <w:i/>
              </w:rPr>
              <w:t>i</w:t>
            </w:r>
            <w:r w:rsidRPr="00097A86">
              <w:t>) in tonnes of emissions of carbon dioxide per tonne of pure carbonate, that is:</w:t>
            </w:r>
          </w:p>
          <w:p w14:paraId="3093BB3D" w14:textId="77777777" w:rsidR="006118DB" w:rsidRPr="00097A86" w:rsidRDefault="006118DB" w:rsidP="00617697">
            <w:pPr>
              <w:pStyle w:val="TableP1a"/>
            </w:pPr>
            <w:r w:rsidRPr="00097A86">
              <w:tab/>
              <w:t>(a)</w:t>
            </w:r>
            <w:r w:rsidRPr="00097A86">
              <w:tab/>
              <w:t>for calcium carbonate—0.440;</w:t>
            </w:r>
          </w:p>
          <w:p w14:paraId="2E82D672" w14:textId="77777777" w:rsidR="006118DB" w:rsidRPr="00097A86" w:rsidRDefault="006118DB" w:rsidP="00617697">
            <w:pPr>
              <w:pStyle w:val="TableP1a"/>
            </w:pPr>
            <w:r w:rsidRPr="00097A86">
              <w:tab/>
              <w:t>(b)</w:t>
            </w:r>
            <w:r w:rsidRPr="00097A86">
              <w:tab/>
              <w:t>for magnesium carbonate—0.522;</w:t>
            </w:r>
          </w:p>
          <w:p w14:paraId="6C69B199" w14:textId="77777777" w:rsidR="006118DB" w:rsidRPr="00097A86" w:rsidRDefault="006118DB" w:rsidP="00617697">
            <w:pPr>
              <w:pStyle w:val="TableP1a"/>
            </w:pPr>
            <w:r w:rsidRPr="00097A86">
              <w:tab/>
              <w:t>(c)</w:t>
            </w:r>
            <w:r w:rsidRPr="00097A86">
              <w:tab/>
              <w:t>for dolomite—0.477;</w:t>
            </w:r>
          </w:p>
          <w:p w14:paraId="2DCF20C9" w14:textId="77777777" w:rsidR="006118DB" w:rsidRPr="00097A86" w:rsidRDefault="006118DB" w:rsidP="00617697">
            <w:pPr>
              <w:pStyle w:val="TableP1a"/>
            </w:pPr>
            <w:r w:rsidRPr="00097A86">
              <w:tab/>
              <w:t>(d)</w:t>
            </w:r>
            <w:r w:rsidRPr="00097A86">
              <w:tab/>
              <w:t>for any other pure carbonate—the factor for the carbonate in accordance with Chapter</w:t>
            </w:r>
            <w:r w:rsidR="00097A86">
              <w:t> </w:t>
            </w:r>
            <w:r w:rsidRPr="00097A86">
              <w:t>2 of Volume 3 of the 2006 IPCC Guidelines.</w:t>
            </w:r>
          </w:p>
          <w:p w14:paraId="7E298F90" w14:textId="77777777" w:rsidR="006118DB" w:rsidRPr="00097A86" w:rsidRDefault="006118DB" w:rsidP="00D73D70">
            <w:pPr>
              <w:pStyle w:val="Definition"/>
              <w:spacing w:before="60" w:after="60"/>
              <w:ind w:left="0"/>
            </w:pPr>
            <w:r w:rsidRPr="00097A86">
              <w:rPr>
                <w:b/>
                <w:i/>
              </w:rPr>
              <w:t>Q</w:t>
            </w:r>
            <w:r w:rsidRPr="00097A86">
              <w:rPr>
                <w:rStyle w:val="Subscript"/>
                <w:b/>
                <w:i/>
              </w:rPr>
              <w:t>i</w:t>
            </w:r>
            <w:r w:rsidRPr="00097A86">
              <w:t xml:space="preserve"> is the quantity of the pure carbonate (</w:t>
            </w:r>
            <w:r w:rsidRPr="00097A86">
              <w:rPr>
                <w:b/>
                <w:i/>
              </w:rPr>
              <w:t>i</w:t>
            </w:r>
            <w:r w:rsidRPr="00097A86">
              <w:t>) entering the industrial process during the year measured in tonnes and estimated under Division</w:t>
            </w:r>
            <w:r w:rsidR="00097A86">
              <w:t> </w:t>
            </w:r>
            <w:r w:rsidRPr="00097A86">
              <w:t>4.2.5.</w:t>
            </w:r>
          </w:p>
        </w:tc>
      </w:tr>
      <w:tr w:rsidR="006118DB" w:rsidRPr="00097A86" w14:paraId="70108642" w14:textId="77777777" w:rsidTr="00C20CC2">
        <w:trPr>
          <w:cantSplit/>
        </w:trPr>
        <w:tc>
          <w:tcPr>
            <w:tcW w:w="530" w:type="pct"/>
          </w:tcPr>
          <w:p w14:paraId="0860B352" w14:textId="77777777" w:rsidR="006118DB" w:rsidRPr="00097A86" w:rsidRDefault="006118DB" w:rsidP="00617697">
            <w:pPr>
              <w:spacing w:before="60" w:after="60"/>
              <w:rPr>
                <w:i/>
              </w:rPr>
            </w:pPr>
          </w:p>
        </w:tc>
        <w:tc>
          <w:tcPr>
            <w:tcW w:w="4470" w:type="pct"/>
          </w:tcPr>
          <w:p w14:paraId="00CBFE80" w14:textId="77777777" w:rsidR="006118DB" w:rsidRPr="00097A86" w:rsidRDefault="006118DB" w:rsidP="00D73D70">
            <w:pPr>
              <w:pStyle w:val="Definition"/>
              <w:spacing w:before="60" w:after="60"/>
              <w:ind w:left="0"/>
            </w:pPr>
            <w:r w:rsidRPr="00097A86">
              <w:rPr>
                <w:b/>
                <w:i/>
              </w:rPr>
              <w:t>F</w:t>
            </w:r>
            <w:r w:rsidRPr="00097A86">
              <w:rPr>
                <w:rStyle w:val="Subscript"/>
                <w:b/>
                <w:i/>
              </w:rPr>
              <w:t>cal</w:t>
            </w:r>
            <w:r w:rsidRPr="00097A86">
              <w:t xml:space="preserve"> is: </w:t>
            </w:r>
          </w:p>
          <w:p w14:paraId="2CEF2056" w14:textId="77777777" w:rsidR="006118DB" w:rsidRPr="00097A86" w:rsidRDefault="006118DB" w:rsidP="00617697">
            <w:pPr>
              <w:pStyle w:val="TableP1a"/>
            </w:pPr>
            <w:r w:rsidRPr="00097A86">
              <w:tab/>
              <w:t>(a)</w:t>
            </w:r>
            <w:r w:rsidRPr="00097A86">
              <w:tab/>
              <w:t>the fraction of the pure carbonate consumed in the industrial process during the year; or</w:t>
            </w:r>
          </w:p>
          <w:p w14:paraId="6CB840AF" w14:textId="77777777" w:rsidR="006118DB" w:rsidRPr="00097A86" w:rsidRDefault="006118DB" w:rsidP="00617697">
            <w:pPr>
              <w:pStyle w:val="TableP1a"/>
            </w:pPr>
            <w:r w:rsidRPr="00097A86">
              <w:tab/>
              <w:t>(b)</w:t>
            </w:r>
            <w:r w:rsidRPr="00097A86">
              <w:tab/>
              <w:t xml:space="preserve">if the information in </w:t>
            </w:r>
            <w:r w:rsidR="00097A86">
              <w:t>paragraph (</w:t>
            </w:r>
            <w:r w:rsidRPr="00097A86">
              <w:t>a) is not available—the value 1.</w:t>
            </w:r>
          </w:p>
          <w:p w14:paraId="73965CD0" w14:textId="77777777" w:rsidR="006118DB" w:rsidRPr="00097A86" w:rsidRDefault="006118DB" w:rsidP="00D73D70">
            <w:pPr>
              <w:pStyle w:val="Definition"/>
              <w:spacing w:before="60" w:after="60"/>
              <w:ind w:left="0"/>
            </w:pPr>
            <w:r w:rsidRPr="00097A86">
              <w:rPr>
                <w:b/>
                <w:i/>
              </w:rPr>
              <w:t>γ</w:t>
            </w:r>
            <w:r w:rsidRPr="00097A86">
              <w:t xml:space="preserve"> 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6A739B0F" w14:textId="77777777" w:rsidR="006118DB" w:rsidRPr="00097A86" w:rsidRDefault="006118DB" w:rsidP="00D73D70">
            <w:pPr>
              <w:pStyle w:val="Definition"/>
              <w:spacing w:before="60" w:after="60"/>
              <w:ind w:left="0"/>
              <w:rPr>
                <w:szCs w:val="22"/>
              </w:rPr>
            </w:pPr>
            <w:r w:rsidRPr="00097A86">
              <w:rPr>
                <w:b/>
                <w:i/>
                <w:szCs w:val="22"/>
              </w:rPr>
              <w:t>RCCS</w:t>
            </w:r>
            <w:r w:rsidRPr="00097A86">
              <w:rPr>
                <w:b/>
                <w:i/>
                <w:szCs w:val="22"/>
                <w:vertAlign w:val="subscript"/>
              </w:rPr>
              <w:t>CO</w:t>
            </w:r>
            <w:r w:rsidRPr="00097A86">
              <w:rPr>
                <w:b/>
                <w:i/>
                <w:position w:val="-4"/>
                <w:szCs w:val="22"/>
                <w:vertAlign w:val="subscript"/>
              </w:rPr>
              <w:t>2</w:t>
            </w:r>
            <w:r w:rsidRPr="00097A86">
              <w:rPr>
                <w:szCs w:val="22"/>
                <w:vertAlign w:val="subscript"/>
              </w:rPr>
              <w:t xml:space="preserve"> </w:t>
            </w:r>
            <w:r w:rsidRPr="00097A86">
              <w:rPr>
                <w:szCs w:val="22"/>
              </w:rPr>
              <w:t>is carbon dioxide captured for permanent storage measured in cubic metres in accordance with Division</w:t>
            </w:r>
            <w:r w:rsidR="00097A86">
              <w:rPr>
                <w:szCs w:val="22"/>
              </w:rPr>
              <w:t> </w:t>
            </w:r>
            <w:r w:rsidRPr="00097A86">
              <w:rPr>
                <w:szCs w:val="22"/>
              </w:rPr>
              <w:t>1.2.3.</w:t>
            </w:r>
          </w:p>
        </w:tc>
      </w:tr>
      <w:tr w:rsidR="006118DB" w:rsidRPr="00097A86" w14:paraId="6C3A25E4" w14:textId="77777777" w:rsidTr="00C20CC2">
        <w:trPr>
          <w:cantSplit/>
        </w:trPr>
        <w:tc>
          <w:tcPr>
            <w:tcW w:w="530" w:type="pct"/>
          </w:tcPr>
          <w:p w14:paraId="44FB7CD3" w14:textId="77777777" w:rsidR="006118DB" w:rsidRPr="00097A86" w:rsidRDefault="006118DB" w:rsidP="00D73D70">
            <w:pPr>
              <w:pStyle w:val="Tabletext"/>
              <w:rPr>
                <w:sz w:val="22"/>
                <w:szCs w:val="22"/>
              </w:rPr>
            </w:pPr>
            <w:r w:rsidRPr="00097A86">
              <w:rPr>
                <w:sz w:val="22"/>
                <w:szCs w:val="22"/>
              </w:rPr>
              <w:t>Step 2</w:t>
            </w:r>
          </w:p>
        </w:tc>
        <w:tc>
          <w:tcPr>
            <w:tcW w:w="4470" w:type="pct"/>
          </w:tcPr>
          <w:p w14:paraId="7EF08563" w14:textId="77777777" w:rsidR="006118DB" w:rsidRPr="00097A86" w:rsidRDefault="006118DB" w:rsidP="00D73D70">
            <w:pPr>
              <w:pStyle w:val="Tabletext"/>
              <w:rPr>
                <w:sz w:val="22"/>
                <w:szCs w:val="22"/>
              </w:rPr>
            </w:pPr>
            <w:r w:rsidRPr="00097A86">
              <w:rPr>
                <w:sz w:val="22"/>
                <w:szCs w:val="22"/>
              </w:rPr>
              <w:t>Add together the amount of emissions of carbon dioxide for each pure carbonate consumed in the industrial process during the year.</w:t>
            </w:r>
          </w:p>
        </w:tc>
      </w:tr>
    </w:tbl>
    <w:p w14:paraId="0DCC90A5" w14:textId="77777777" w:rsidR="003F0D4E" w:rsidRPr="00097A86" w:rsidRDefault="003F0D4E" w:rsidP="00D22D3F">
      <w:pPr>
        <w:pStyle w:val="subsection"/>
      </w:pPr>
      <w:r w:rsidRPr="00097A86">
        <w:tab/>
        <w:t>(2)</w:t>
      </w:r>
      <w:r w:rsidRPr="00097A86">
        <w:tab/>
        <w:t>Method 3 requires each carbonate to be sampled and analysed in accordance with sections</w:t>
      </w:r>
      <w:r w:rsidR="00097A86">
        <w:t> </w:t>
      </w:r>
      <w:r w:rsidRPr="00097A86">
        <w:t>4.24 and 4.25.</w:t>
      </w:r>
    </w:p>
    <w:p w14:paraId="7BD5C44F" w14:textId="77777777" w:rsidR="00BE02E0" w:rsidRPr="00097A86" w:rsidRDefault="00BE02E0" w:rsidP="00D22D3F">
      <w:pPr>
        <w:pStyle w:val="ActHead5"/>
      </w:pPr>
      <w:bookmarkStart w:id="409" w:name="_Toc13233841"/>
      <w:r w:rsidRPr="00097A86">
        <w:rPr>
          <w:rStyle w:val="CharSectno"/>
        </w:rPr>
        <w:t>4.23A</w:t>
      </w:r>
      <w:r w:rsidR="00D22D3F" w:rsidRPr="00097A86">
        <w:t xml:space="preserve">  </w:t>
      </w:r>
      <w:r w:rsidRPr="00097A86">
        <w:t>Method 3A—product other than cement clinker, lime or soda ash for use of carbonates in clay materials</w:t>
      </w:r>
      <w:bookmarkEnd w:id="409"/>
    </w:p>
    <w:p w14:paraId="52D8F7A5" w14:textId="77777777" w:rsidR="00BE02E0" w:rsidRPr="00097A86" w:rsidRDefault="00BE02E0" w:rsidP="00D22D3F">
      <w:pPr>
        <w:pStyle w:val="subsection"/>
      </w:pPr>
      <w:r w:rsidRPr="00097A86">
        <w:tab/>
      </w:r>
      <w:r w:rsidRPr="00097A86">
        <w:tab/>
        <w:t>Method 3A is:</w:t>
      </w:r>
    </w:p>
    <w:tbl>
      <w:tblPr>
        <w:tblW w:w="5000" w:type="pct"/>
        <w:tblLook w:val="0000" w:firstRow="0" w:lastRow="0" w:firstColumn="0" w:lastColumn="0" w:noHBand="0" w:noVBand="0"/>
      </w:tblPr>
      <w:tblGrid>
        <w:gridCol w:w="881"/>
        <w:gridCol w:w="7432"/>
      </w:tblGrid>
      <w:tr w:rsidR="006118DB" w:rsidRPr="00097A86" w14:paraId="6E6990DC" w14:textId="77777777" w:rsidTr="00C20CC2">
        <w:trPr>
          <w:cantSplit/>
        </w:trPr>
        <w:tc>
          <w:tcPr>
            <w:tcW w:w="530" w:type="pct"/>
          </w:tcPr>
          <w:p w14:paraId="68A152F9" w14:textId="77777777" w:rsidR="006118DB" w:rsidRPr="00097A86" w:rsidRDefault="006118DB" w:rsidP="00D73D70">
            <w:pPr>
              <w:pStyle w:val="Tabletext"/>
              <w:rPr>
                <w:sz w:val="22"/>
                <w:szCs w:val="22"/>
              </w:rPr>
            </w:pPr>
            <w:r w:rsidRPr="00097A86">
              <w:rPr>
                <w:sz w:val="22"/>
                <w:szCs w:val="22"/>
              </w:rPr>
              <w:t>Step 1</w:t>
            </w:r>
          </w:p>
        </w:tc>
        <w:tc>
          <w:tcPr>
            <w:tcW w:w="4470" w:type="pct"/>
          </w:tcPr>
          <w:p w14:paraId="0FF91917" w14:textId="77777777" w:rsidR="006118DB" w:rsidRPr="00097A86" w:rsidRDefault="006118DB" w:rsidP="00D73D70">
            <w:pPr>
              <w:pStyle w:val="Tabletext"/>
              <w:rPr>
                <w:sz w:val="22"/>
                <w:szCs w:val="22"/>
              </w:rPr>
            </w:pPr>
            <w:r w:rsidRPr="00097A86">
              <w:rPr>
                <w:sz w:val="22"/>
                <w:szCs w:val="22"/>
              </w:rPr>
              <w:t>Measure the amount of emissions of carbon dioxide released from each clay material consumed in the industrial process during the reporting year, measured in CO</w:t>
            </w:r>
            <w:r w:rsidRPr="00097A86">
              <w:rPr>
                <w:sz w:val="22"/>
              </w:rPr>
              <w:t>2</w:t>
            </w:r>
            <w:r w:rsidR="00097A86">
              <w:rPr>
                <w:sz w:val="22"/>
                <w:szCs w:val="22"/>
              </w:rPr>
              <w:noBreakHyphen/>
            </w:r>
            <w:r w:rsidRPr="00097A86">
              <w:rPr>
                <w:sz w:val="22"/>
                <w:szCs w:val="22"/>
              </w:rPr>
              <w:t>e tonnes, using the following formula:</w:t>
            </w:r>
          </w:p>
          <w:p w14:paraId="624439C8" w14:textId="77777777" w:rsidR="006118DB" w:rsidRPr="00097A86" w:rsidRDefault="006118DB" w:rsidP="00BA13B0">
            <w:pPr>
              <w:pStyle w:val="TableText0"/>
              <w:spacing w:before="180" w:after="120"/>
              <w:rPr>
                <w:szCs w:val="22"/>
              </w:rPr>
            </w:pPr>
            <w:r w:rsidRPr="00097A86">
              <w:rPr>
                <w:position w:val="-10"/>
                <w:szCs w:val="22"/>
              </w:rPr>
              <w:object w:dxaOrig="3540" w:dyaOrig="320" w14:anchorId="16C1FDB6">
                <v:shape id="_x0000_i1042" type="#_x0000_t75" style="width:177pt;height:17.25pt" o:ole="">
                  <v:imagedata r:id="rId139" o:title=""/>
                </v:shape>
                <o:OLEObject Type="Embed" ProgID="Equation.DSMT4" ShapeID="_x0000_i1042" DrawAspect="Content" ObjectID="_1624711046" r:id="rId140"/>
              </w:object>
            </w:r>
          </w:p>
        </w:tc>
      </w:tr>
      <w:tr w:rsidR="006118DB" w:rsidRPr="00097A86" w14:paraId="6AF61E52" w14:textId="77777777" w:rsidTr="00C20CC2">
        <w:trPr>
          <w:cantSplit/>
          <w:trHeight w:val="2355"/>
        </w:trPr>
        <w:tc>
          <w:tcPr>
            <w:tcW w:w="530" w:type="pct"/>
          </w:tcPr>
          <w:p w14:paraId="62E734A4" w14:textId="77777777" w:rsidR="006118DB" w:rsidRPr="00097A86" w:rsidRDefault="006118DB" w:rsidP="006118DB">
            <w:pPr>
              <w:pStyle w:val="TableText0"/>
              <w:rPr>
                <w:i/>
                <w:szCs w:val="22"/>
              </w:rPr>
            </w:pPr>
          </w:p>
        </w:tc>
        <w:tc>
          <w:tcPr>
            <w:tcW w:w="4470" w:type="pct"/>
          </w:tcPr>
          <w:p w14:paraId="5ADB66FF" w14:textId="77777777" w:rsidR="006118DB" w:rsidRPr="00097A86" w:rsidRDefault="006118DB" w:rsidP="00D73D70">
            <w:pPr>
              <w:pStyle w:val="subsection2"/>
              <w:ind w:left="34"/>
            </w:pPr>
            <w:r w:rsidRPr="00097A86">
              <w:t>where:</w:t>
            </w:r>
          </w:p>
          <w:p w14:paraId="2E0B224C" w14:textId="77777777" w:rsidR="006118DB" w:rsidRPr="00097A86" w:rsidRDefault="006118DB" w:rsidP="00044B27">
            <w:pPr>
              <w:pStyle w:val="Definition"/>
              <w:spacing w:before="60" w:after="60"/>
              <w:ind w:left="0"/>
              <w:rPr>
                <w:szCs w:val="22"/>
              </w:rPr>
            </w:pPr>
            <w:r w:rsidRPr="00097A86">
              <w:rPr>
                <w:b/>
                <w:i/>
                <w:szCs w:val="22"/>
              </w:rPr>
              <w:t>E</w:t>
            </w:r>
            <w:r w:rsidRPr="00097A86">
              <w:rPr>
                <w:szCs w:val="22"/>
              </w:rPr>
              <w:t xml:space="preserve"> is the emissions of carbon dioxide released from the clay material consumed in the </w:t>
            </w:r>
            <w:r w:rsidRPr="00097A86">
              <w:t>industrial</w:t>
            </w:r>
            <w:r w:rsidRPr="00097A86">
              <w:rPr>
                <w:szCs w:val="22"/>
              </w:rPr>
              <w:t xml:space="preserve"> process during the reporting year, measured in CO</w:t>
            </w:r>
            <w:r w:rsidRPr="00097A86">
              <w:rPr>
                <w:rStyle w:val="Subscript"/>
                <w:sz w:val="22"/>
                <w:szCs w:val="22"/>
              </w:rPr>
              <w:t>2</w:t>
            </w:r>
            <w:r w:rsidR="00097A86">
              <w:rPr>
                <w:szCs w:val="22"/>
              </w:rPr>
              <w:noBreakHyphen/>
            </w:r>
            <w:r w:rsidRPr="00097A86">
              <w:rPr>
                <w:szCs w:val="22"/>
              </w:rPr>
              <w:t>e tonnes.</w:t>
            </w:r>
          </w:p>
          <w:p w14:paraId="7C2F9965" w14:textId="77777777" w:rsidR="006118DB" w:rsidRPr="00097A86" w:rsidRDefault="006118DB" w:rsidP="00D73D70">
            <w:pPr>
              <w:pStyle w:val="Definition"/>
              <w:spacing w:before="60" w:after="60"/>
              <w:ind w:left="0"/>
              <w:rPr>
                <w:szCs w:val="22"/>
              </w:rPr>
            </w:pPr>
            <w:r w:rsidRPr="00097A86">
              <w:rPr>
                <w:b/>
                <w:i/>
                <w:szCs w:val="22"/>
              </w:rPr>
              <w:t>Q</w:t>
            </w:r>
            <w:r w:rsidRPr="00097A86">
              <w:rPr>
                <w:rStyle w:val="Subscript"/>
                <w:b/>
                <w:i/>
                <w:sz w:val="22"/>
                <w:szCs w:val="22"/>
              </w:rPr>
              <w:t xml:space="preserve"> </w:t>
            </w:r>
            <w:r w:rsidRPr="00097A86">
              <w:rPr>
                <w:szCs w:val="22"/>
              </w:rPr>
              <w:t xml:space="preserve">is the </w:t>
            </w:r>
            <w:r w:rsidRPr="00097A86">
              <w:t>quantity</w:t>
            </w:r>
            <w:r w:rsidRPr="00097A86">
              <w:rPr>
                <w:szCs w:val="22"/>
              </w:rPr>
              <w:t xml:space="preserve"> of clay material consumed in the industrial process during the reporting year, measured in tonnes and estimated under Division</w:t>
            </w:r>
            <w:r w:rsidR="00097A86">
              <w:rPr>
                <w:szCs w:val="22"/>
              </w:rPr>
              <w:t> </w:t>
            </w:r>
            <w:r w:rsidRPr="00097A86">
              <w:rPr>
                <w:szCs w:val="22"/>
              </w:rPr>
              <w:t>4.2.5.</w:t>
            </w:r>
          </w:p>
          <w:p w14:paraId="491CA516" w14:textId="77777777" w:rsidR="006118DB" w:rsidRPr="00097A86" w:rsidRDefault="006118DB" w:rsidP="00D73D70">
            <w:pPr>
              <w:pStyle w:val="Definition"/>
              <w:spacing w:before="60" w:after="60"/>
              <w:ind w:left="0"/>
              <w:rPr>
                <w:b/>
                <w:i/>
                <w:szCs w:val="22"/>
              </w:rPr>
            </w:pPr>
            <w:r w:rsidRPr="00097A86">
              <w:rPr>
                <w:b/>
                <w:i/>
                <w:szCs w:val="22"/>
              </w:rPr>
              <w:t>ICC</w:t>
            </w:r>
            <w:r w:rsidRPr="00097A86">
              <w:rPr>
                <w:rStyle w:val="Subscript"/>
                <w:b/>
                <w:i/>
                <w:sz w:val="22"/>
                <w:szCs w:val="22"/>
              </w:rPr>
              <w:t xml:space="preserve"> </w:t>
            </w:r>
            <w:r w:rsidRPr="00097A86">
              <w:rPr>
                <w:szCs w:val="22"/>
              </w:rPr>
              <w:t>is the inorganic carbon content factor of the clay material.</w:t>
            </w:r>
          </w:p>
        </w:tc>
      </w:tr>
      <w:tr w:rsidR="006118DB" w:rsidRPr="00097A86" w14:paraId="26F07A25" w14:textId="77777777" w:rsidTr="00C20CC2">
        <w:trPr>
          <w:cantSplit/>
          <w:trHeight w:val="1270"/>
        </w:trPr>
        <w:tc>
          <w:tcPr>
            <w:tcW w:w="530" w:type="pct"/>
          </w:tcPr>
          <w:p w14:paraId="7EF62E1D" w14:textId="77777777" w:rsidR="006118DB" w:rsidRPr="00097A86" w:rsidRDefault="006118DB" w:rsidP="006118DB">
            <w:pPr>
              <w:pStyle w:val="TableText0"/>
              <w:rPr>
                <w:i/>
                <w:szCs w:val="22"/>
              </w:rPr>
            </w:pPr>
          </w:p>
        </w:tc>
        <w:tc>
          <w:tcPr>
            <w:tcW w:w="4470" w:type="pct"/>
          </w:tcPr>
          <w:p w14:paraId="45541854" w14:textId="77777777" w:rsidR="006118DB" w:rsidRPr="00097A86" w:rsidRDefault="006118DB" w:rsidP="00D73D70">
            <w:pPr>
              <w:pStyle w:val="Definition"/>
              <w:spacing w:before="60" w:after="60"/>
              <w:ind w:left="0"/>
              <w:rPr>
                <w:szCs w:val="22"/>
                <w:vertAlign w:val="superscript"/>
              </w:rPr>
            </w:pPr>
            <w:r w:rsidRPr="00097A86">
              <w:rPr>
                <w:b/>
                <w:i/>
                <w:szCs w:val="22"/>
              </w:rPr>
              <w:t>γ</w:t>
            </w:r>
            <w:r w:rsidRPr="00097A86">
              <w:rPr>
                <w:szCs w:val="22"/>
              </w:rPr>
              <w:t xml:space="preserve"> is the factor 1.861 </w:t>
            </w:r>
            <w:r w:rsidRPr="00097A86">
              <w:rPr>
                <w:szCs w:val="22"/>
              </w:rPr>
              <w:sym w:font="Wingdings 2" w:char="F0CD"/>
            </w:r>
            <w:r w:rsidRPr="00097A86">
              <w:rPr>
                <w:szCs w:val="22"/>
              </w:rPr>
              <w:t xml:space="preserve">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p w14:paraId="463629DA" w14:textId="77777777" w:rsidR="006118DB" w:rsidRPr="00097A86" w:rsidRDefault="00DF0748" w:rsidP="00D73D70">
            <w:pPr>
              <w:pStyle w:val="Definition"/>
              <w:spacing w:before="60" w:after="60"/>
              <w:ind w:left="0"/>
              <w:rPr>
                <w:szCs w:val="22"/>
              </w:rPr>
            </w:pPr>
            <w:r w:rsidRPr="00097A86">
              <w:rPr>
                <w:b/>
                <w:i/>
                <w:szCs w:val="22"/>
              </w:rPr>
              <w:t>RCCS</w:t>
            </w:r>
            <w:r w:rsidRPr="00097A86">
              <w:rPr>
                <w:b/>
                <w:i/>
                <w:szCs w:val="22"/>
                <w:vertAlign w:val="subscript"/>
              </w:rPr>
              <w:t>CO</w:t>
            </w:r>
            <w:r w:rsidRPr="00097A86">
              <w:rPr>
                <w:b/>
                <w:i/>
                <w:position w:val="-4"/>
                <w:szCs w:val="22"/>
                <w:vertAlign w:val="subscript"/>
              </w:rPr>
              <w:t>2</w:t>
            </w:r>
            <w:r w:rsidR="006118DB" w:rsidRPr="00097A86">
              <w:rPr>
                <w:szCs w:val="22"/>
              </w:rPr>
              <w:t>is carbon dioxide captured for permanent storage, measured in cubic metres in accordance with Division</w:t>
            </w:r>
            <w:r w:rsidR="00097A86">
              <w:rPr>
                <w:szCs w:val="22"/>
              </w:rPr>
              <w:t> </w:t>
            </w:r>
            <w:r w:rsidR="006118DB" w:rsidRPr="00097A86">
              <w:rPr>
                <w:szCs w:val="22"/>
              </w:rPr>
              <w:t>1.2.3.</w:t>
            </w:r>
          </w:p>
        </w:tc>
      </w:tr>
      <w:tr w:rsidR="006118DB" w:rsidRPr="00097A86" w14:paraId="0238B160" w14:textId="77777777" w:rsidTr="00C20CC2">
        <w:trPr>
          <w:cantSplit/>
        </w:trPr>
        <w:tc>
          <w:tcPr>
            <w:tcW w:w="530" w:type="pct"/>
          </w:tcPr>
          <w:p w14:paraId="728AB122" w14:textId="77777777" w:rsidR="006118DB" w:rsidRPr="00097A86" w:rsidRDefault="006118DB" w:rsidP="00D73D70">
            <w:pPr>
              <w:pStyle w:val="Tabletext"/>
              <w:rPr>
                <w:sz w:val="22"/>
                <w:szCs w:val="22"/>
              </w:rPr>
            </w:pPr>
            <w:r w:rsidRPr="00097A86">
              <w:rPr>
                <w:sz w:val="22"/>
                <w:szCs w:val="22"/>
              </w:rPr>
              <w:t>Step 2</w:t>
            </w:r>
          </w:p>
        </w:tc>
        <w:tc>
          <w:tcPr>
            <w:tcW w:w="4470" w:type="pct"/>
          </w:tcPr>
          <w:p w14:paraId="4DBA616F" w14:textId="77777777" w:rsidR="006118DB" w:rsidRPr="00097A86" w:rsidRDefault="006118DB" w:rsidP="00D73D70">
            <w:pPr>
              <w:pStyle w:val="Tabletext"/>
              <w:rPr>
                <w:sz w:val="22"/>
                <w:szCs w:val="22"/>
              </w:rPr>
            </w:pPr>
            <w:r w:rsidRPr="00097A86">
              <w:rPr>
                <w:sz w:val="22"/>
                <w:szCs w:val="22"/>
              </w:rPr>
              <w:t>Identify the amount of emissions of carbon dioxide for each clay material consumed in the industrial process during the reporting year.</w:t>
            </w:r>
          </w:p>
        </w:tc>
      </w:tr>
      <w:tr w:rsidR="006118DB" w:rsidRPr="00097A86" w14:paraId="708F2B55" w14:textId="77777777" w:rsidTr="00C20CC2">
        <w:trPr>
          <w:cantSplit/>
        </w:trPr>
        <w:tc>
          <w:tcPr>
            <w:tcW w:w="530" w:type="pct"/>
          </w:tcPr>
          <w:p w14:paraId="53F95F61" w14:textId="77777777" w:rsidR="006118DB" w:rsidRPr="00097A86" w:rsidRDefault="006118DB" w:rsidP="00D73D70">
            <w:pPr>
              <w:pStyle w:val="Tabletext"/>
              <w:rPr>
                <w:sz w:val="22"/>
                <w:szCs w:val="22"/>
              </w:rPr>
            </w:pPr>
            <w:r w:rsidRPr="00097A86">
              <w:rPr>
                <w:sz w:val="22"/>
                <w:szCs w:val="22"/>
              </w:rPr>
              <w:t>Step 3</w:t>
            </w:r>
          </w:p>
        </w:tc>
        <w:tc>
          <w:tcPr>
            <w:tcW w:w="4470" w:type="pct"/>
          </w:tcPr>
          <w:p w14:paraId="20CCEC3A" w14:textId="77777777" w:rsidR="006118DB" w:rsidRPr="00097A86" w:rsidRDefault="006118DB" w:rsidP="00D73D70">
            <w:pPr>
              <w:pStyle w:val="Tabletext"/>
              <w:rPr>
                <w:sz w:val="22"/>
                <w:szCs w:val="22"/>
              </w:rPr>
            </w:pPr>
            <w:r w:rsidRPr="00097A86">
              <w:rPr>
                <w:sz w:val="22"/>
                <w:szCs w:val="22"/>
              </w:rPr>
              <w:t>Add together each amount identified under step 2.</w:t>
            </w:r>
          </w:p>
        </w:tc>
      </w:tr>
    </w:tbl>
    <w:p w14:paraId="3F7E59E9" w14:textId="77777777" w:rsidR="00BE02E0" w:rsidRPr="00097A86" w:rsidRDefault="00BE02E0" w:rsidP="00D22D3F">
      <w:pPr>
        <w:pStyle w:val="ActHead5"/>
      </w:pPr>
      <w:bookmarkStart w:id="410" w:name="_Toc13233842"/>
      <w:r w:rsidRPr="00097A86">
        <w:rPr>
          <w:rStyle w:val="CharSectno"/>
        </w:rPr>
        <w:t>4.23B</w:t>
      </w:r>
      <w:r w:rsidR="00D22D3F" w:rsidRPr="00097A86">
        <w:t xml:space="preserve">  </w:t>
      </w:r>
      <w:r w:rsidRPr="00097A86">
        <w:t>General requirements for sampling clay material</w:t>
      </w:r>
      <w:bookmarkEnd w:id="410"/>
    </w:p>
    <w:p w14:paraId="6D4C0733" w14:textId="77777777" w:rsidR="00BE02E0" w:rsidRPr="00097A86" w:rsidRDefault="00BE02E0" w:rsidP="00D22D3F">
      <w:pPr>
        <w:pStyle w:val="subsection"/>
      </w:pPr>
      <w:r w:rsidRPr="00097A86">
        <w:tab/>
        <w:t>(1)</w:t>
      </w:r>
      <w:r w:rsidRPr="00097A86">
        <w:tab/>
        <w:t>A sample of clay material must:</w:t>
      </w:r>
    </w:p>
    <w:p w14:paraId="18BD1B47" w14:textId="77777777" w:rsidR="00BE02E0" w:rsidRPr="00097A86" w:rsidRDefault="00BE02E0" w:rsidP="00D22D3F">
      <w:pPr>
        <w:pStyle w:val="paragraph"/>
      </w:pPr>
      <w:r w:rsidRPr="00097A86">
        <w:tab/>
        <w:t>(a)</w:t>
      </w:r>
      <w:r w:rsidRPr="00097A86">
        <w:tab/>
        <w:t>be derived from a composite of amounts of the clay material; and</w:t>
      </w:r>
    </w:p>
    <w:p w14:paraId="29CC2E10" w14:textId="77777777" w:rsidR="00BE02E0" w:rsidRPr="00097A86" w:rsidRDefault="00BE02E0" w:rsidP="00D22D3F">
      <w:pPr>
        <w:pStyle w:val="paragraph"/>
      </w:pPr>
      <w:r w:rsidRPr="00097A86">
        <w:tab/>
        <w:t>(b)</w:t>
      </w:r>
      <w:r w:rsidRPr="00097A86">
        <w:tab/>
        <w:t>be collected on enough occasions to produce a representative sample; and</w:t>
      </w:r>
    </w:p>
    <w:p w14:paraId="190FE94B" w14:textId="77777777" w:rsidR="00BE02E0" w:rsidRPr="00097A86" w:rsidRDefault="00BE02E0" w:rsidP="00D22D3F">
      <w:pPr>
        <w:pStyle w:val="paragraph"/>
      </w:pPr>
      <w:r w:rsidRPr="00097A86">
        <w:tab/>
        <w:t>(c)</w:t>
      </w:r>
      <w:r w:rsidRPr="00097A86">
        <w:tab/>
        <w:t>be free from bias so that any estimates are neither over nor under estimates of the true value; and</w:t>
      </w:r>
    </w:p>
    <w:p w14:paraId="12758EAF" w14:textId="77777777" w:rsidR="00BE02E0" w:rsidRPr="00097A86" w:rsidRDefault="00BE02E0" w:rsidP="00D22D3F">
      <w:pPr>
        <w:pStyle w:val="paragraph"/>
      </w:pPr>
      <w:r w:rsidRPr="00097A86">
        <w:tab/>
        <w:t>(d)</w:t>
      </w:r>
      <w:r w:rsidRPr="00097A86">
        <w:tab/>
        <w:t>be tested for bias in accordance with an appropriate standard.</w:t>
      </w:r>
    </w:p>
    <w:p w14:paraId="42EF7809" w14:textId="77777777" w:rsidR="00BE02E0" w:rsidRPr="00097A86" w:rsidRDefault="00BE02E0" w:rsidP="00D22D3F">
      <w:pPr>
        <w:pStyle w:val="subsection"/>
      </w:pPr>
      <w:r w:rsidRPr="00097A86">
        <w:tab/>
        <w:t>(2)</w:t>
      </w:r>
      <w:r w:rsidRPr="00097A86">
        <w:tab/>
        <w:t>The value obtained from the samples of the clay material must be used only for the delivery period or consignment of the clay material for which it was intended to be representative.</w:t>
      </w:r>
    </w:p>
    <w:p w14:paraId="77DCCE67" w14:textId="77777777" w:rsidR="00BE02E0" w:rsidRPr="00097A86" w:rsidRDefault="00BE02E0" w:rsidP="00D22D3F">
      <w:pPr>
        <w:pStyle w:val="ActHead5"/>
      </w:pPr>
      <w:bookmarkStart w:id="411" w:name="_Toc13233843"/>
      <w:r w:rsidRPr="00097A86">
        <w:rPr>
          <w:rStyle w:val="CharSectno"/>
        </w:rPr>
        <w:t>4.23C</w:t>
      </w:r>
      <w:r w:rsidR="00D22D3F" w:rsidRPr="00097A86">
        <w:t xml:space="preserve">  </w:t>
      </w:r>
      <w:r w:rsidRPr="00097A86">
        <w:t>General requirements for analysing clay material</w:t>
      </w:r>
      <w:bookmarkEnd w:id="411"/>
    </w:p>
    <w:p w14:paraId="6CE73D27" w14:textId="77777777" w:rsidR="00BE02E0" w:rsidRPr="00097A86" w:rsidRDefault="00BE02E0" w:rsidP="00D22D3F">
      <w:pPr>
        <w:pStyle w:val="subsection"/>
      </w:pPr>
      <w:r w:rsidRPr="00097A86">
        <w:tab/>
        <w:t>(1)</w:t>
      </w:r>
      <w:r w:rsidRPr="00097A86">
        <w:tab/>
        <w:t>Analysis of samples of the clay material must be performed in accordance with:</w:t>
      </w:r>
    </w:p>
    <w:p w14:paraId="7E21E532" w14:textId="77777777" w:rsidR="00BE02E0" w:rsidRPr="00097A86" w:rsidRDefault="00BE02E0" w:rsidP="00D22D3F">
      <w:pPr>
        <w:pStyle w:val="paragraph"/>
      </w:pPr>
      <w:r w:rsidRPr="00097A86">
        <w:tab/>
        <w:t>(a)</w:t>
      </w:r>
      <w:r w:rsidRPr="00097A86">
        <w:tab/>
        <w:t>industry practice; and</w:t>
      </w:r>
    </w:p>
    <w:p w14:paraId="75629BE2" w14:textId="77777777" w:rsidR="00BE02E0" w:rsidRPr="00097A86" w:rsidRDefault="00BE02E0" w:rsidP="00D22D3F">
      <w:pPr>
        <w:pStyle w:val="paragraph"/>
      </w:pPr>
      <w:r w:rsidRPr="00097A86">
        <w:tab/>
        <w:t>(b)</w:t>
      </w:r>
      <w:r w:rsidRPr="00097A86">
        <w:tab/>
        <w:t>the general principles for measuring emissions mentioned in section</w:t>
      </w:r>
      <w:r w:rsidR="00097A86">
        <w:t> </w:t>
      </w:r>
      <w:r w:rsidRPr="00097A86">
        <w:t>1.13.</w:t>
      </w:r>
    </w:p>
    <w:p w14:paraId="63031C85" w14:textId="77777777" w:rsidR="00BE02E0" w:rsidRPr="00097A86" w:rsidRDefault="00BE02E0" w:rsidP="00D22D3F">
      <w:pPr>
        <w:pStyle w:val="subsection"/>
      </w:pPr>
      <w:r w:rsidRPr="00097A86">
        <w:tab/>
        <w:t>(2)</w:t>
      </w:r>
      <w:r w:rsidRPr="00097A86">
        <w:tab/>
        <w:t>The minimum frequency of analysis of samples of clay material must be in accordance with the Tier 3 method in section</w:t>
      </w:r>
      <w:r w:rsidR="00097A86">
        <w:t> </w:t>
      </w:r>
      <w:r w:rsidRPr="00097A86">
        <w:t>2.2.1.1 of Chapter</w:t>
      </w:r>
      <w:r w:rsidR="00097A86">
        <w:t> </w:t>
      </w:r>
      <w:r w:rsidRPr="00097A86">
        <w:t>2 of Volume 3 of the 2006 IPCC Guidelines</w:t>
      </w:r>
      <w:r w:rsidRPr="00097A86">
        <w:rPr>
          <w:i/>
          <w:iCs/>
        </w:rPr>
        <w:t>.</w:t>
      </w:r>
    </w:p>
    <w:p w14:paraId="0969F80E" w14:textId="77777777" w:rsidR="003F0D4E" w:rsidRPr="00097A86" w:rsidRDefault="003F0D4E" w:rsidP="00D22D3F">
      <w:pPr>
        <w:pStyle w:val="ActHead5"/>
      </w:pPr>
      <w:bookmarkStart w:id="412" w:name="_Toc13233844"/>
      <w:r w:rsidRPr="00097A86">
        <w:rPr>
          <w:rStyle w:val="CharSectno"/>
        </w:rPr>
        <w:t>4.24</w:t>
      </w:r>
      <w:r w:rsidR="00D22D3F" w:rsidRPr="00097A86">
        <w:t xml:space="preserve">  </w:t>
      </w:r>
      <w:r w:rsidRPr="00097A86">
        <w:t>General requirements for sampling carbonates</w:t>
      </w:r>
      <w:bookmarkEnd w:id="412"/>
    </w:p>
    <w:p w14:paraId="415DED7A" w14:textId="77777777" w:rsidR="003F0D4E" w:rsidRPr="00097A86" w:rsidRDefault="003F0D4E" w:rsidP="00D22D3F">
      <w:pPr>
        <w:pStyle w:val="subsection"/>
      </w:pPr>
      <w:r w:rsidRPr="00097A86">
        <w:tab/>
        <w:t>(1)</w:t>
      </w:r>
      <w:r w:rsidRPr="00097A86">
        <w:tab/>
        <w:t>A sample of a carbonate must be derived from a composite of amounts of the carbonate consumed.</w:t>
      </w:r>
    </w:p>
    <w:p w14:paraId="4B6C4A98"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14768AEE"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22BC7A8B" w14:textId="77777777" w:rsidR="003F0D4E" w:rsidRPr="00097A86" w:rsidRDefault="003F0D4E" w:rsidP="00D22D3F">
      <w:pPr>
        <w:pStyle w:val="subsection"/>
      </w:pPr>
      <w:r w:rsidRPr="00097A86">
        <w:tab/>
        <w:t>(4)</w:t>
      </w:r>
      <w:r w:rsidRPr="00097A86">
        <w:tab/>
        <w:t>Bias must be tested in accordance with an appropriate standard.</w:t>
      </w:r>
    </w:p>
    <w:p w14:paraId="33B5F52C" w14:textId="77777777" w:rsidR="003F0D4E" w:rsidRPr="00097A86" w:rsidRDefault="00D22D3F" w:rsidP="00D22D3F">
      <w:pPr>
        <w:pStyle w:val="notetext"/>
      </w:pPr>
      <w:r w:rsidRPr="00097A86">
        <w:t>Note:</w:t>
      </w:r>
      <w:r w:rsidRPr="00097A86">
        <w:tab/>
      </w:r>
      <w:r w:rsidR="003F0D4E" w:rsidRPr="00097A86">
        <w:t xml:space="preserve">An example of an appropriate standard is AS 4264.4—1996 – </w:t>
      </w:r>
      <w:r w:rsidR="003F0D4E" w:rsidRPr="00097A86">
        <w:rPr>
          <w:i/>
        </w:rPr>
        <w:t>Coal and coke – sampling – Determination of precision and bias</w:t>
      </w:r>
      <w:r w:rsidR="003F0D4E" w:rsidRPr="00097A86">
        <w:t>.</w:t>
      </w:r>
    </w:p>
    <w:p w14:paraId="668B682E" w14:textId="77777777" w:rsidR="003F0D4E" w:rsidRPr="00097A86" w:rsidRDefault="003F0D4E" w:rsidP="00D22D3F">
      <w:pPr>
        <w:pStyle w:val="subsection"/>
      </w:pPr>
      <w:r w:rsidRPr="00097A86">
        <w:tab/>
        <w:t>(5)</w:t>
      </w:r>
      <w:r w:rsidRPr="00097A86">
        <w:tab/>
        <w:t>The value obtained from the samples must only be used for the delivery period or consignment of the carbonate for which it was intended to be representative.</w:t>
      </w:r>
    </w:p>
    <w:p w14:paraId="0D28ACB1" w14:textId="77777777" w:rsidR="003F0D4E" w:rsidRPr="00097A86" w:rsidRDefault="003F0D4E" w:rsidP="00D22D3F">
      <w:pPr>
        <w:pStyle w:val="ActHead5"/>
      </w:pPr>
      <w:bookmarkStart w:id="413" w:name="_Toc13233845"/>
      <w:r w:rsidRPr="00097A86">
        <w:rPr>
          <w:rStyle w:val="CharSectno"/>
        </w:rPr>
        <w:lastRenderedPageBreak/>
        <w:t>4.25</w:t>
      </w:r>
      <w:r w:rsidR="00D22D3F" w:rsidRPr="00097A86">
        <w:t xml:space="preserve">  </w:t>
      </w:r>
      <w:r w:rsidRPr="00097A86">
        <w:t>General requirements for analysis of carbonates</w:t>
      </w:r>
      <w:bookmarkEnd w:id="413"/>
    </w:p>
    <w:p w14:paraId="6C75BF11" w14:textId="77777777" w:rsidR="003F0D4E" w:rsidRPr="00097A86" w:rsidRDefault="003F0D4E" w:rsidP="00D22D3F">
      <w:pPr>
        <w:pStyle w:val="subsection"/>
      </w:pPr>
      <w:r w:rsidRPr="00097A86">
        <w:tab/>
        <w:t>(1)</w:t>
      </w:r>
      <w:r w:rsidRPr="00097A86">
        <w:tab/>
        <w:t>Analysis of samples of carbonates must be in accordance with industry practice and must be consistent with the principles in section</w:t>
      </w:r>
      <w:r w:rsidR="00097A86">
        <w:t> </w:t>
      </w:r>
      <w:r w:rsidRPr="00097A86">
        <w:t>1.13.</w:t>
      </w:r>
    </w:p>
    <w:p w14:paraId="7C2FD4ED" w14:textId="77777777" w:rsidR="003F0D4E" w:rsidRPr="00097A86" w:rsidRDefault="003F0D4E" w:rsidP="00D22D3F">
      <w:pPr>
        <w:pStyle w:val="subsection"/>
      </w:pPr>
      <w:r w:rsidRPr="00097A86">
        <w:tab/>
        <w:t>(2)</w:t>
      </w:r>
      <w:r w:rsidRPr="00097A86">
        <w:tab/>
        <w:t>The minimum frequency of analysis of samples of carbonates must be in accordance with the Tier 3 method of section</w:t>
      </w:r>
      <w:r w:rsidR="00097A86">
        <w:t> </w:t>
      </w:r>
      <w:r w:rsidRPr="00097A86">
        <w:t xml:space="preserve">2.2.1.1 of </w:t>
      </w:r>
      <w:r w:rsidR="00B16A2E" w:rsidRPr="00097A86">
        <w:t>Chapter</w:t>
      </w:r>
      <w:r w:rsidR="00097A86">
        <w:t> </w:t>
      </w:r>
      <w:r w:rsidR="00B16A2E" w:rsidRPr="00097A86">
        <w:t xml:space="preserve">2 </w:t>
      </w:r>
      <w:r w:rsidRPr="00097A86">
        <w:t>of Volume 3 of the 2006 IPCC Guidelines</w:t>
      </w:r>
      <w:r w:rsidRPr="00097A86">
        <w:rPr>
          <w:i/>
        </w:rPr>
        <w:t>.</w:t>
      </w:r>
    </w:p>
    <w:p w14:paraId="52087BB6" w14:textId="77777777" w:rsidR="003F0D4E" w:rsidRPr="00097A86" w:rsidRDefault="003F0D4E" w:rsidP="00D22D3F">
      <w:pPr>
        <w:pStyle w:val="ActHead3"/>
        <w:pageBreakBefore/>
      </w:pPr>
      <w:bookmarkStart w:id="414" w:name="_Toc13233846"/>
      <w:r w:rsidRPr="00097A86">
        <w:rPr>
          <w:rStyle w:val="CharDivNo"/>
        </w:rPr>
        <w:lastRenderedPageBreak/>
        <w:t>Division</w:t>
      </w:r>
      <w:r w:rsidR="00097A86">
        <w:rPr>
          <w:rStyle w:val="CharDivNo"/>
        </w:rPr>
        <w:t> </w:t>
      </w:r>
      <w:r w:rsidRPr="00097A86">
        <w:rPr>
          <w:rStyle w:val="CharDivNo"/>
        </w:rPr>
        <w:t>4.2.4</w:t>
      </w:r>
      <w:r w:rsidR="00D22D3F" w:rsidRPr="00097A86">
        <w:t>—</w:t>
      </w:r>
      <w:r w:rsidRPr="00097A86">
        <w:rPr>
          <w:rStyle w:val="CharDivText"/>
        </w:rPr>
        <w:t>Soda ash use and production</w:t>
      </w:r>
      <w:bookmarkEnd w:id="414"/>
    </w:p>
    <w:p w14:paraId="2A7ED973" w14:textId="77777777" w:rsidR="00565BAB" w:rsidRPr="00097A86" w:rsidRDefault="00565BAB" w:rsidP="00D22D3F">
      <w:pPr>
        <w:pStyle w:val="ActHead5"/>
      </w:pPr>
      <w:bookmarkStart w:id="415" w:name="_Toc13233847"/>
      <w:r w:rsidRPr="00097A86">
        <w:rPr>
          <w:rStyle w:val="CharSectno"/>
        </w:rPr>
        <w:t>4.26</w:t>
      </w:r>
      <w:r w:rsidR="00D22D3F" w:rsidRPr="00097A86">
        <w:t xml:space="preserve">  </w:t>
      </w:r>
      <w:r w:rsidRPr="00097A86">
        <w:t>Application</w:t>
      </w:r>
      <w:bookmarkEnd w:id="415"/>
    </w:p>
    <w:p w14:paraId="5F68CC92" w14:textId="77777777" w:rsidR="00565BAB" w:rsidRPr="00097A86" w:rsidRDefault="00565BAB" w:rsidP="00D22D3F">
      <w:pPr>
        <w:pStyle w:val="subsection"/>
      </w:pPr>
      <w:r w:rsidRPr="00097A86">
        <w:tab/>
      </w:r>
      <w:r w:rsidRPr="00097A86">
        <w:tab/>
        <w:t xml:space="preserve">This Division applies to emissions from the use of soda ash and emissions of carbon dioxide from the chemical </w:t>
      </w:r>
      <w:r w:rsidRPr="00097A86">
        <w:rPr>
          <w:szCs w:val="23"/>
        </w:rPr>
        <w:t>transformation of calcium carbonate, sodium chloride, ammonia and coke into sodium bicarbonate and soda ash.</w:t>
      </w:r>
    </w:p>
    <w:p w14:paraId="527CD4EE" w14:textId="77777777" w:rsidR="00565BAB" w:rsidRPr="00097A86" w:rsidRDefault="00565BAB" w:rsidP="00D22D3F">
      <w:pPr>
        <w:pStyle w:val="notetext"/>
      </w:pPr>
      <w:r w:rsidRPr="00097A86">
        <w:t>Examples of uses of soda ash in industrial processes</w:t>
      </w:r>
      <w:r w:rsidR="000E58FE" w:rsidRPr="00097A86">
        <w:t>:</w:t>
      </w:r>
    </w:p>
    <w:p w14:paraId="1A018AC6" w14:textId="77777777" w:rsidR="00565BAB" w:rsidRPr="00097A86" w:rsidRDefault="008E6771" w:rsidP="008E6771">
      <w:pPr>
        <w:pStyle w:val="notepara"/>
        <w:ind w:left="1503"/>
      </w:pPr>
      <w:r w:rsidRPr="00097A86">
        <w:t>1</w:t>
      </w:r>
      <w:r w:rsidRPr="00097A86">
        <w:tab/>
      </w:r>
      <w:r w:rsidR="00565BAB" w:rsidRPr="00097A86">
        <w:t>Glass production.</w:t>
      </w:r>
    </w:p>
    <w:p w14:paraId="48359F60" w14:textId="77777777" w:rsidR="00565BAB" w:rsidRPr="00097A86" w:rsidRDefault="008E6771" w:rsidP="008E6771">
      <w:pPr>
        <w:pStyle w:val="notepara"/>
        <w:ind w:left="1503"/>
      </w:pPr>
      <w:r w:rsidRPr="00097A86">
        <w:t>2</w:t>
      </w:r>
      <w:r w:rsidRPr="00097A86">
        <w:tab/>
      </w:r>
      <w:r w:rsidR="00565BAB" w:rsidRPr="00097A86">
        <w:t>Soap and detergent production.</w:t>
      </w:r>
    </w:p>
    <w:p w14:paraId="4C3010B9" w14:textId="77777777" w:rsidR="00565BAB" w:rsidRPr="00097A86" w:rsidRDefault="008E6771" w:rsidP="008E6771">
      <w:pPr>
        <w:pStyle w:val="notepara"/>
        <w:ind w:left="1503"/>
      </w:pPr>
      <w:r w:rsidRPr="00097A86">
        <w:t>3</w:t>
      </w:r>
      <w:r w:rsidRPr="00097A86">
        <w:tab/>
      </w:r>
      <w:r w:rsidR="00565BAB" w:rsidRPr="00097A86">
        <w:t>Flue gas desulphurisation.</w:t>
      </w:r>
    </w:p>
    <w:p w14:paraId="6AFE63CB" w14:textId="77777777" w:rsidR="00565BAB" w:rsidRPr="00097A86" w:rsidRDefault="008E6771" w:rsidP="008E6771">
      <w:pPr>
        <w:pStyle w:val="notepara"/>
        <w:ind w:left="1503"/>
      </w:pPr>
      <w:r w:rsidRPr="00097A86">
        <w:t>4</w:t>
      </w:r>
      <w:r w:rsidRPr="00097A86">
        <w:tab/>
      </w:r>
      <w:r w:rsidR="00565BAB" w:rsidRPr="00097A86">
        <w:t>Pulp and paper production.</w:t>
      </w:r>
    </w:p>
    <w:p w14:paraId="3C4753BD" w14:textId="77777777" w:rsidR="003F0D4E" w:rsidRPr="00097A86" w:rsidRDefault="003F0D4E" w:rsidP="00D22D3F">
      <w:pPr>
        <w:pStyle w:val="ActHead5"/>
      </w:pPr>
      <w:bookmarkStart w:id="416" w:name="_Toc13233848"/>
      <w:r w:rsidRPr="00097A86">
        <w:rPr>
          <w:rStyle w:val="CharSectno"/>
        </w:rPr>
        <w:t>4.27</w:t>
      </w:r>
      <w:r w:rsidR="00D22D3F" w:rsidRPr="00097A86">
        <w:t xml:space="preserve">  </w:t>
      </w:r>
      <w:r w:rsidRPr="00097A86">
        <w:t>Outline of Division</w:t>
      </w:r>
      <w:bookmarkEnd w:id="416"/>
    </w:p>
    <w:p w14:paraId="17645035" w14:textId="77777777" w:rsidR="003F0D4E" w:rsidRPr="00097A86" w:rsidRDefault="003F0D4E" w:rsidP="00D22D3F">
      <w:pPr>
        <w:pStyle w:val="subsection"/>
      </w:pPr>
      <w:r w:rsidRPr="00097A86">
        <w:tab/>
      </w:r>
      <w:r w:rsidRPr="00097A86">
        <w:tab/>
        <w:t>Emissions released from the use and production of soda ash must be estimated in accordance with:</w:t>
      </w:r>
    </w:p>
    <w:p w14:paraId="7E65ACDC" w14:textId="77777777" w:rsidR="003F0D4E" w:rsidRPr="00097A86" w:rsidRDefault="003F0D4E" w:rsidP="00D22D3F">
      <w:pPr>
        <w:pStyle w:val="paragraph"/>
      </w:pPr>
      <w:r w:rsidRPr="00097A86">
        <w:tab/>
        <w:t>(a)</w:t>
      </w:r>
      <w:r w:rsidRPr="00097A86">
        <w:tab/>
        <w:t>for the use of soda ash in production processes</w:t>
      </w:r>
      <w:r w:rsidR="00D22D3F" w:rsidRPr="00097A86">
        <w:t>—</w:t>
      </w:r>
      <w:r w:rsidRPr="00097A86">
        <w:t>Subdivision</w:t>
      </w:r>
      <w:r w:rsidR="00097A86">
        <w:t> </w:t>
      </w:r>
      <w:r w:rsidRPr="00097A86">
        <w:t>4.2.4.1; or</w:t>
      </w:r>
    </w:p>
    <w:p w14:paraId="1DA56930" w14:textId="77777777" w:rsidR="003F0D4E" w:rsidRPr="00097A86" w:rsidRDefault="003F0D4E" w:rsidP="00D22D3F">
      <w:pPr>
        <w:pStyle w:val="paragraph"/>
      </w:pPr>
      <w:r w:rsidRPr="00097A86">
        <w:tab/>
        <w:t>(b)</w:t>
      </w:r>
      <w:r w:rsidRPr="00097A86">
        <w:tab/>
        <w:t>for the production of soda ash</w:t>
      </w:r>
      <w:r w:rsidR="00D22D3F" w:rsidRPr="00097A86">
        <w:t>—</w:t>
      </w:r>
      <w:r w:rsidRPr="00097A86">
        <w:t>Subdivision</w:t>
      </w:r>
      <w:r w:rsidR="00097A86">
        <w:t> </w:t>
      </w:r>
      <w:r w:rsidRPr="00097A86">
        <w:t>4.2.4.2.</w:t>
      </w:r>
    </w:p>
    <w:p w14:paraId="6DC11440" w14:textId="77777777" w:rsidR="003F0D4E" w:rsidRPr="00097A86" w:rsidRDefault="003F0D4E" w:rsidP="00D22D3F">
      <w:pPr>
        <w:pStyle w:val="ActHead4"/>
      </w:pPr>
      <w:bookmarkStart w:id="417" w:name="_Toc13233849"/>
      <w:r w:rsidRPr="00097A86">
        <w:rPr>
          <w:rStyle w:val="CharSubdNo"/>
        </w:rPr>
        <w:t>Subdivision</w:t>
      </w:r>
      <w:r w:rsidR="00097A86">
        <w:rPr>
          <w:rStyle w:val="CharSubdNo"/>
        </w:rPr>
        <w:t> </w:t>
      </w:r>
      <w:r w:rsidRPr="00097A86">
        <w:rPr>
          <w:rStyle w:val="CharSubdNo"/>
        </w:rPr>
        <w:t>4.2.4.1</w:t>
      </w:r>
      <w:r w:rsidR="00D22D3F" w:rsidRPr="00097A86">
        <w:t>—</w:t>
      </w:r>
      <w:r w:rsidRPr="00097A86">
        <w:rPr>
          <w:rStyle w:val="CharSubdText"/>
        </w:rPr>
        <w:t>Soda ash use</w:t>
      </w:r>
      <w:bookmarkEnd w:id="417"/>
      <w:r w:rsidRPr="00097A86">
        <w:rPr>
          <w:rStyle w:val="CharSubdText"/>
        </w:rPr>
        <w:t xml:space="preserve"> </w:t>
      </w:r>
    </w:p>
    <w:p w14:paraId="2332D5D6" w14:textId="77777777" w:rsidR="003F0D4E" w:rsidRPr="00097A86" w:rsidRDefault="003F0D4E" w:rsidP="00D22D3F">
      <w:pPr>
        <w:pStyle w:val="ActHead5"/>
      </w:pPr>
      <w:bookmarkStart w:id="418" w:name="_Toc13233850"/>
      <w:r w:rsidRPr="00097A86">
        <w:rPr>
          <w:rStyle w:val="CharSectno"/>
        </w:rPr>
        <w:t>4.28</w:t>
      </w:r>
      <w:r w:rsidR="00D22D3F" w:rsidRPr="00097A86">
        <w:t xml:space="preserve">  </w:t>
      </w:r>
      <w:r w:rsidRPr="00097A86">
        <w:t>Available methods</w:t>
      </w:r>
      <w:bookmarkEnd w:id="418"/>
    </w:p>
    <w:p w14:paraId="70422C82"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carbon dioxide released during a year from the operation of a facility constituted by the use of soda ash in a production process:</w:t>
      </w:r>
    </w:p>
    <w:p w14:paraId="35B27927" w14:textId="77777777" w:rsidR="003F0D4E" w:rsidRPr="00097A86" w:rsidRDefault="003F0D4E" w:rsidP="00D22D3F">
      <w:pPr>
        <w:pStyle w:val="paragraph"/>
      </w:pPr>
      <w:r w:rsidRPr="00097A86">
        <w:tab/>
        <w:t>(a)</w:t>
      </w:r>
      <w:r w:rsidRPr="00097A86">
        <w:tab/>
        <w:t>method 1 under section</w:t>
      </w:r>
      <w:r w:rsidR="00097A86">
        <w:t> </w:t>
      </w:r>
      <w:r w:rsidRPr="00097A86">
        <w:t>4.29;</w:t>
      </w:r>
    </w:p>
    <w:p w14:paraId="1ADEA5D0" w14:textId="77777777" w:rsidR="003F0D4E" w:rsidRPr="00097A86" w:rsidRDefault="003F0D4E" w:rsidP="00D22D3F">
      <w:pPr>
        <w:pStyle w:val="paragraph"/>
      </w:pPr>
      <w:r w:rsidRPr="00097A86">
        <w:tab/>
        <w:t>(b)</w:t>
      </w:r>
      <w:r w:rsidRPr="00097A86">
        <w:tab/>
        <w:t>method 4 under Part</w:t>
      </w:r>
      <w:r w:rsidR="00097A86">
        <w:t> </w:t>
      </w:r>
      <w:r w:rsidRPr="00097A86">
        <w:t>1.3.</w:t>
      </w:r>
    </w:p>
    <w:p w14:paraId="6A8BCB77" w14:textId="77777777" w:rsidR="003F0D4E" w:rsidRPr="00097A86" w:rsidRDefault="00D22D3F" w:rsidP="008E6771">
      <w:pPr>
        <w:pStyle w:val="notepara"/>
        <w:ind w:left="1503"/>
      </w:pPr>
      <w:r w:rsidRPr="00097A86">
        <w:t>Note:</w:t>
      </w:r>
      <w:r w:rsidRPr="00097A86">
        <w:tab/>
      </w:r>
      <w:r w:rsidR="003F0D4E" w:rsidRPr="00097A86">
        <w:t>There is no method 2 or 3 for this Division.</w:t>
      </w:r>
    </w:p>
    <w:p w14:paraId="10098932" w14:textId="77777777" w:rsidR="003F0D4E" w:rsidRPr="00097A86" w:rsidRDefault="003F0D4E" w:rsidP="00D22D3F">
      <w:pPr>
        <w:pStyle w:val="subsection"/>
      </w:pPr>
      <w:r w:rsidRPr="00097A86">
        <w:tab/>
        <w:t>(2)</w:t>
      </w:r>
      <w:r w:rsidRPr="00097A86">
        <w:tab/>
        <w:t xml:space="preserve">However, for </w:t>
      </w:r>
      <w:r w:rsidR="009E7CE2" w:rsidRPr="00097A86">
        <w:t>incidental emissions</w:t>
      </w:r>
      <w:r w:rsidRPr="00097A86">
        <w:t xml:space="preserve"> another method may be used that is consistent with the principles in section</w:t>
      </w:r>
      <w:r w:rsidR="00097A86">
        <w:t> </w:t>
      </w:r>
      <w:r w:rsidRPr="00097A86">
        <w:t>1.13.</w:t>
      </w:r>
    </w:p>
    <w:p w14:paraId="58E10B65" w14:textId="77777777" w:rsidR="003F0D4E" w:rsidRPr="00097A86" w:rsidRDefault="003F0D4E" w:rsidP="00D22D3F">
      <w:pPr>
        <w:pStyle w:val="ActHead5"/>
      </w:pPr>
      <w:bookmarkStart w:id="419" w:name="_Toc13233851"/>
      <w:r w:rsidRPr="00097A86">
        <w:rPr>
          <w:rStyle w:val="CharSectno"/>
        </w:rPr>
        <w:t>4.29</w:t>
      </w:r>
      <w:r w:rsidR="00D22D3F" w:rsidRPr="00097A86">
        <w:t xml:space="preserve">  </w:t>
      </w:r>
      <w:r w:rsidRPr="00097A86">
        <w:t>Method 1</w:t>
      </w:r>
      <w:r w:rsidR="00D22D3F" w:rsidRPr="00097A86">
        <w:t>—</w:t>
      </w:r>
      <w:r w:rsidRPr="00097A86">
        <w:t>use of soda ash</w:t>
      </w:r>
      <w:bookmarkEnd w:id="419"/>
    </w:p>
    <w:p w14:paraId="4C7EFF6D" w14:textId="77777777" w:rsidR="003F0D4E" w:rsidRPr="00097A86" w:rsidRDefault="003F0D4E" w:rsidP="00D22D3F">
      <w:pPr>
        <w:pStyle w:val="subsection"/>
      </w:pPr>
      <w:r w:rsidRPr="00097A86">
        <w:tab/>
      </w:r>
      <w:r w:rsidRPr="00097A86">
        <w:tab/>
        <w:t>Method 1 is:</w:t>
      </w:r>
    </w:p>
    <w:p w14:paraId="3F19DB5B"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2B2EE06C" wp14:editId="406456A4">
            <wp:extent cx="1047750" cy="2190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p w14:paraId="5E00F4F8" w14:textId="77777777" w:rsidR="003F0D4E" w:rsidRPr="00097A86" w:rsidRDefault="003F0D4E" w:rsidP="00D22D3F">
      <w:pPr>
        <w:pStyle w:val="subsection2"/>
      </w:pPr>
      <w:r w:rsidRPr="00097A86">
        <w:t>where:</w:t>
      </w:r>
    </w:p>
    <w:p w14:paraId="65C2AFCC" w14:textId="77777777" w:rsidR="003F0D4E" w:rsidRPr="00097A86" w:rsidRDefault="003F0D4E" w:rsidP="00D22D3F">
      <w:pPr>
        <w:pStyle w:val="Definition"/>
      </w:pPr>
      <w:r w:rsidRPr="00097A86">
        <w:rPr>
          <w:b/>
          <w:i/>
        </w:rPr>
        <w:t>E</w:t>
      </w:r>
      <w:r w:rsidRPr="00097A86">
        <w:rPr>
          <w:b/>
          <w:i/>
          <w:sz w:val="16"/>
          <w:szCs w:val="16"/>
          <w:vertAlign w:val="subscript"/>
        </w:rPr>
        <w:t>ij</w:t>
      </w:r>
      <w:r w:rsidRPr="00097A86">
        <w:rPr>
          <w:b/>
          <w:i/>
        </w:rPr>
        <w:t xml:space="preserve"> </w:t>
      </w:r>
      <w:r w:rsidRPr="00097A86">
        <w:t>is the emissions of carbon dioxide (</w:t>
      </w:r>
      <w:r w:rsidRPr="00097A86">
        <w:rPr>
          <w:b/>
          <w:i/>
        </w:rPr>
        <w:t>j</w:t>
      </w:r>
      <w:r w:rsidRPr="00097A86">
        <w:t>) from soda ash (</w:t>
      </w:r>
      <w:r w:rsidRPr="00097A86">
        <w:rPr>
          <w:b/>
          <w:i/>
        </w:rPr>
        <w:t>i</w:t>
      </w:r>
      <w:r w:rsidRPr="00097A86">
        <w:t>) consumed in the production process during the year measured in CO</w:t>
      </w:r>
      <w:r w:rsidRPr="00097A86">
        <w:rPr>
          <w:rStyle w:val="charSubscript"/>
        </w:rPr>
        <w:t>2</w:t>
      </w:r>
      <w:r w:rsidR="00097A86">
        <w:noBreakHyphen/>
      </w:r>
      <w:r w:rsidRPr="00097A86">
        <w:t>e tonnes.</w:t>
      </w:r>
    </w:p>
    <w:p w14:paraId="78DF1FEA"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soda ash (</w:t>
      </w:r>
      <w:r w:rsidRPr="00097A86">
        <w:rPr>
          <w:b/>
          <w:i/>
        </w:rPr>
        <w:t>i</w:t>
      </w:r>
      <w:r w:rsidRPr="00097A86">
        <w:t>) consumed in the production process during the year measured in tonnes and estimated under Division</w:t>
      </w:r>
      <w:r w:rsidR="00097A86">
        <w:t> </w:t>
      </w:r>
      <w:r w:rsidRPr="00097A86">
        <w:t>4.2.5.</w:t>
      </w:r>
    </w:p>
    <w:p w14:paraId="22D8490C" w14:textId="77777777" w:rsidR="003F0D4E" w:rsidRPr="00097A86" w:rsidRDefault="003F0D4E" w:rsidP="00D22D3F">
      <w:pPr>
        <w:pStyle w:val="Definition"/>
      </w:pPr>
      <w:r w:rsidRPr="00097A86">
        <w:rPr>
          <w:b/>
          <w:i/>
        </w:rPr>
        <w:t>EF</w:t>
      </w:r>
      <w:r w:rsidRPr="00097A86">
        <w:rPr>
          <w:b/>
          <w:i/>
          <w:vertAlign w:val="subscript"/>
        </w:rPr>
        <w:t xml:space="preserve">ij </w:t>
      </w:r>
      <w:r w:rsidRPr="00097A86">
        <w:t>is 0.415, which is the carbon dioxide (</w:t>
      </w:r>
      <w:r w:rsidRPr="00097A86">
        <w:rPr>
          <w:b/>
          <w:i/>
        </w:rPr>
        <w:t>j</w:t>
      </w:r>
      <w:r w:rsidRPr="00097A86">
        <w:t>) emission factor for soda ash (</w:t>
      </w:r>
      <w:r w:rsidRPr="00097A86">
        <w:rPr>
          <w:b/>
          <w:i/>
        </w:rPr>
        <w:t>i</w:t>
      </w:r>
      <w:r w:rsidRPr="00097A86">
        <w:t>) measured in tonnes of carbon dioxide emissions per tonne of soda ash.</w:t>
      </w:r>
    </w:p>
    <w:p w14:paraId="5E7720B5" w14:textId="77777777" w:rsidR="003F0D4E" w:rsidRPr="00097A86" w:rsidRDefault="003F0D4E" w:rsidP="00D22D3F">
      <w:pPr>
        <w:pStyle w:val="ActHead4"/>
      </w:pPr>
      <w:bookmarkStart w:id="420" w:name="_Toc13233852"/>
      <w:r w:rsidRPr="00097A86">
        <w:rPr>
          <w:rStyle w:val="CharSubdNo"/>
        </w:rPr>
        <w:lastRenderedPageBreak/>
        <w:t>Subdivision</w:t>
      </w:r>
      <w:r w:rsidR="00097A86">
        <w:rPr>
          <w:rStyle w:val="CharSubdNo"/>
        </w:rPr>
        <w:t> </w:t>
      </w:r>
      <w:r w:rsidRPr="00097A86">
        <w:rPr>
          <w:rStyle w:val="CharSubdNo"/>
        </w:rPr>
        <w:t>4.2.4.2</w:t>
      </w:r>
      <w:r w:rsidR="00D22D3F" w:rsidRPr="00097A86">
        <w:t>—</w:t>
      </w:r>
      <w:r w:rsidRPr="00097A86">
        <w:rPr>
          <w:rStyle w:val="CharSubdText"/>
        </w:rPr>
        <w:t>Soda ash production</w:t>
      </w:r>
      <w:bookmarkEnd w:id="420"/>
    </w:p>
    <w:p w14:paraId="1B2EA74F" w14:textId="77777777" w:rsidR="003F0D4E" w:rsidRPr="00097A86" w:rsidRDefault="003F0D4E" w:rsidP="00D22D3F">
      <w:pPr>
        <w:pStyle w:val="ActHead5"/>
      </w:pPr>
      <w:bookmarkStart w:id="421" w:name="_Toc13233853"/>
      <w:r w:rsidRPr="00097A86">
        <w:rPr>
          <w:rStyle w:val="CharSectno"/>
        </w:rPr>
        <w:t>4.30</w:t>
      </w:r>
      <w:r w:rsidR="00D22D3F" w:rsidRPr="00097A86">
        <w:t xml:space="preserve">  </w:t>
      </w:r>
      <w:r w:rsidRPr="00097A86">
        <w:t>Available methods</w:t>
      </w:r>
      <w:bookmarkEnd w:id="421"/>
    </w:p>
    <w:p w14:paraId="67D53639" w14:textId="77777777" w:rsidR="003F0D4E" w:rsidRPr="00097A86" w:rsidRDefault="003F0D4E" w:rsidP="00D22D3F">
      <w:pPr>
        <w:pStyle w:val="subsection"/>
      </w:pPr>
      <w:r w:rsidRPr="00097A86">
        <w:tab/>
        <w:t>(1)</w:t>
      </w:r>
      <w:r w:rsidRPr="00097A86">
        <w:tab/>
        <w:t>Subject to section</w:t>
      </w:r>
      <w:r w:rsidR="00097A86">
        <w:t> </w:t>
      </w:r>
      <w:r w:rsidRPr="00097A86">
        <w:t xml:space="preserve">1.18, one of the following methods must be used for estimating emissions released during a year from the operation of a facility </w:t>
      </w:r>
      <w:r w:rsidR="00565BAB" w:rsidRPr="00097A86">
        <w:t xml:space="preserve">that is constituted by an activity that produces </w:t>
      </w:r>
      <w:r w:rsidRPr="00097A86">
        <w:t>soda ash:</w:t>
      </w:r>
    </w:p>
    <w:p w14:paraId="798E0F35" w14:textId="77777777" w:rsidR="003F0D4E" w:rsidRPr="00097A86" w:rsidRDefault="003F0D4E" w:rsidP="00D22D3F">
      <w:pPr>
        <w:pStyle w:val="paragraph"/>
      </w:pPr>
      <w:r w:rsidRPr="00097A86">
        <w:tab/>
        <w:t>(a)</w:t>
      </w:r>
      <w:r w:rsidRPr="00097A86">
        <w:tab/>
        <w:t>method 1 under section</w:t>
      </w:r>
      <w:r w:rsidR="00097A86">
        <w:t> </w:t>
      </w:r>
      <w:r w:rsidRPr="00097A86">
        <w:t>4.31;</w:t>
      </w:r>
    </w:p>
    <w:p w14:paraId="59EA50AD" w14:textId="77777777" w:rsidR="003F0D4E" w:rsidRPr="00097A86" w:rsidRDefault="003F0D4E" w:rsidP="00D22D3F">
      <w:pPr>
        <w:pStyle w:val="paragraph"/>
      </w:pPr>
      <w:r w:rsidRPr="00097A86">
        <w:tab/>
        <w:t>(b)</w:t>
      </w:r>
      <w:r w:rsidRPr="00097A86">
        <w:tab/>
        <w:t>method 2 under section</w:t>
      </w:r>
      <w:r w:rsidR="00097A86">
        <w:t> </w:t>
      </w:r>
      <w:r w:rsidRPr="00097A86">
        <w:t>4.32;</w:t>
      </w:r>
    </w:p>
    <w:p w14:paraId="0D25D065" w14:textId="77777777" w:rsidR="003F0D4E" w:rsidRPr="00097A86" w:rsidRDefault="003F0D4E" w:rsidP="00D22D3F">
      <w:pPr>
        <w:pStyle w:val="paragraph"/>
      </w:pPr>
      <w:r w:rsidRPr="00097A86">
        <w:tab/>
        <w:t>(c)</w:t>
      </w:r>
      <w:r w:rsidRPr="00097A86">
        <w:tab/>
        <w:t>method 3 under section</w:t>
      </w:r>
      <w:r w:rsidR="00097A86">
        <w:t> </w:t>
      </w:r>
      <w:r w:rsidRPr="00097A86">
        <w:t>4.33;</w:t>
      </w:r>
    </w:p>
    <w:p w14:paraId="7EB87A78" w14:textId="77777777" w:rsidR="003F0D4E" w:rsidRPr="00097A86" w:rsidRDefault="003F0D4E" w:rsidP="00D22D3F">
      <w:pPr>
        <w:pStyle w:val="paragraph"/>
      </w:pPr>
      <w:r w:rsidRPr="00097A86">
        <w:tab/>
        <w:t>(d)</w:t>
      </w:r>
      <w:r w:rsidRPr="00097A86">
        <w:tab/>
        <w:t>method 4 under Part</w:t>
      </w:r>
      <w:r w:rsidR="00097A86">
        <w:t> </w:t>
      </w:r>
      <w:r w:rsidRPr="00097A86">
        <w:t>1.3.</w:t>
      </w:r>
    </w:p>
    <w:p w14:paraId="063F4E40" w14:textId="77777777" w:rsidR="003F0D4E" w:rsidRPr="00097A86" w:rsidRDefault="003F0D4E" w:rsidP="00D22D3F">
      <w:pPr>
        <w:pStyle w:val="subsection"/>
      </w:pPr>
      <w:r w:rsidRPr="00097A86">
        <w:tab/>
        <w:t>(2)</w:t>
      </w:r>
      <w:r w:rsidRPr="00097A86">
        <w:tab/>
        <w:t xml:space="preserve">However, for </w:t>
      </w:r>
      <w:r w:rsidR="009E7CE2" w:rsidRPr="00097A86">
        <w:t>incidental emissions</w:t>
      </w:r>
      <w:r w:rsidRPr="00097A86">
        <w:t xml:space="preserve"> another method may be used that is consistent with the principles in section</w:t>
      </w:r>
      <w:r w:rsidR="00097A86">
        <w:t> </w:t>
      </w:r>
      <w:r w:rsidRPr="00097A86">
        <w:t>1.13.</w:t>
      </w:r>
    </w:p>
    <w:p w14:paraId="45A99C15" w14:textId="77777777" w:rsidR="00565BAB" w:rsidRPr="00097A86" w:rsidRDefault="00565BAB" w:rsidP="00D22D3F">
      <w:pPr>
        <w:pStyle w:val="ActHead5"/>
      </w:pPr>
      <w:bookmarkStart w:id="422" w:name="_Toc13233854"/>
      <w:r w:rsidRPr="00097A86">
        <w:rPr>
          <w:rStyle w:val="CharSectno"/>
        </w:rPr>
        <w:t>4.31</w:t>
      </w:r>
      <w:r w:rsidR="00D22D3F" w:rsidRPr="00097A86">
        <w:t xml:space="preserve">  </w:t>
      </w:r>
      <w:r w:rsidRPr="00097A86">
        <w:t>Method 1</w:t>
      </w:r>
      <w:r w:rsidR="00D22D3F" w:rsidRPr="00097A86">
        <w:t>—</w:t>
      </w:r>
      <w:r w:rsidRPr="00097A86">
        <w:t>production of soda ash</w:t>
      </w:r>
      <w:bookmarkEnd w:id="422"/>
    </w:p>
    <w:p w14:paraId="16D59943" w14:textId="77777777" w:rsidR="00565BAB" w:rsidRPr="00097A86" w:rsidRDefault="00565BAB" w:rsidP="00D22D3F">
      <w:pPr>
        <w:pStyle w:val="subsection"/>
      </w:pPr>
      <w:r w:rsidRPr="00097A86">
        <w:tab/>
      </w:r>
      <w:r w:rsidRPr="00097A86">
        <w:tab/>
        <w:t>Method 1 is:</w:t>
      </w:r>
    </w:p>
    <w:tbl>
      <w:tblPr>
        <w:tblW w:w="5000" w:type="pct"/>
        <w:tblLook w:val="0000" w:firstRow="0" w:lastRow="0" w:firstColumn="0" w:lastColumn="0" w:noHBand="0" w:noVBand="0"/>
      </w:tblPr>
      <w:tblGrid>
        <w:gridCol w:w="835"/>
        <w:gridCol w:w="7478"/>
      </w:tblGrid>
      <w:tr w:rsidR="0071203C" w:rsidRPr="00097A86" w14:paraId="5D162500" w14:textId="77777777" w:rsidTr="00C20CC2">
        <w:trPr>
          <w:cantSplit/>
          <w:trHeight w:val="80"/>
        </w:trPr>
        <w:tc>
          <w:tcPr>
            <w:tcW w:w="502" w:type="pct"/>
          </w:tcPr>
          <w:p w14:paraId="1B656BB2" w14:textId="77777777" w:rsidR="0071203C" w:rsidRPr="00097A86" w:rsidRDefault="0071203C" w:rsidP="00A24F5F">
            <w:pPr>
              <w:pStyle w:val="Tabletext"/>
            </w:pPr>
            <w:r w:rsidRPr="00097A86">
              <w:rPr>
                <w:sz w:val="22"/>
                <w:szCs w:val="22"/>
              </w:rPr>
              <w:t>Step 1</w:t>
            </w:r>
          </w:p>
        </w:tc>
        <w:tc>
          <w:tcPr>
            <w:tcW w:w="4498" w:type="pct"/>
          </w:tcPr>
          <w:p w14:paraId="1CE142AA" w14:textId="77777777" w:rsidR="0071203C" w:rsidRPr="00097A86" w:rsidRDefault="0071203C" w:rsidP="00A24F5F">
            <w:pPr>
              <w:pStyle w:val="Tabletext"/>
              <w:rPr>
                <w:sz w:val="22"/>
                <w:szCs w:val="22"/>
              </w:rPr>
            </w:pPr>
            <w:r w:rsidRPr="00097A86">
              <w:rPr>
                <w:sz w:val="22"/>
                <w:szCs w:val="22"/>
              </w:rPr>
              <w:t>Calculate the carbon content in fuel type (</w:t>
            </w:r>
            <w:r w:rsidRPr="00097A86">
              <w:rPr>
                <w:b/>
                <w:bCs/>
                <w:i/>
                <w:iCs/>
                <w:sz w:val="22"/>
                <w:szCs w:val="22"/>
              </w:rPr>
              <w:t>i</w:t>
            </w:r>
            <w:r w:rsidRPr="00097A86">
              <w:rPr>
                <w:sz w:val="22"/>
                <w:szCs w:val="22"/>
              </w:rPr>
              <w:t>) or carbonate material (</w:t>
            </w:r>
            <w:r w:rsidRPr="00097A86">
              <w:rPr>
                <w:b/>
                <w:i/>
                <w:sz w:val="22"/>
                <w:szCs w:val="22"/>
              </w:rPr>
              <w:t>j</w:t>
            </w:r>
            <w:r w:rsidRPr="00097A86">
              <w:rPr>
                <w:sz w:val="22"/>
                <w:szCs w:val="22"/>
              </w:rPr>
              <w:t>) delivered for the activity during the year measured in tonnes of carbon as follows:</w:t>
            </w:r>
          </w:p>
          <w:p w14:paraId="08C733AD" w14:textId="77777777" w:rsidR="0071203C" w:rsidRPr="00097A86" w:rsidRDefault="009E1F90" w:rsidP="00BA13B0">
            <w:pPr>
              <w:pStyle w:val="Formula"/>
              <w:keepLines/>
              <w:ind w:left="13"/>
              <w:rPr>
                <w:position w:val="-14"/>
              </w:rPr>
            </w:pPr>
            <w:r>
              <w:rPr>
                <w:noProof/>
                <w:position w:val="-14"/>
              </w:rPr>
              <w:drawing>
                <wp:inline distT="0" distB="0" distL="0" distR="0" wp14:anchorId="645CAF63" wp14:editId="52C152B0">
                  <wp:extent cx="1895475" cy="238125"/>
                  <wp:effectExtent l="0" t="0" r="9525" b="9525"/>
                  <wp:docPr id="17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95475" cy="238125"/>
                          </a:xfrm>
                          <a:prstGeom prst="rect">
                            <a:avLst/>
                          </a:prstGeom>
                          <a:noFill/>
                          <a:ln>
                            <a:noFill/>
                          </a:ln>
                        </pic:spPr>
                      </pic:pic>
                    </a:graphicData>
                  </a:graphic>
                </wp:inline>
              </w:drawing>
            </w:r>
          </w:p>
        </w:tc>
      </w:tr>
      <w:tr w:rsidR="0071203C" w:rsidRPr="00097A86" w14:paraId="6D8C0A8F" w14:textId="77777777" w:rsidTr="00C20CC2">
        <w:trPr>
          <w:cantSplit/>
          <w:trHeight w:val="80"/>
        </w:trPr>
        <w:tc>
          <w:tcPr>
            <w:tcW w:w="502" w:type="pct"/>
          </w:tcPr>
          <w:p w14:paraId="359650D6" w14:textId="77777777" w:rsidR="0071203C" w:rsidRPr="00097A86" w:rsidRDefault="0071203C" w:rsidP="00617697">
            <w:pPr>
              <w:spacing w:before="60" w:after="60"/>
            </w:pPr>
          </w:p>
        </w:tc>
        <w:tc>
          <w:tcPr>
            <w:tcW w:w="4498" w:type="pct"/>
          </w:tcPr>
          <w:p w14:paraId="62A7E16E" w14:textId="77777777" w:rsidR="0071203C" w:rsidRPr="00097A86" w:rsidRDefault="0071203C" w:rsidP="00A24F5F">
            <w:pPr>
              <w:pStyle w:val="subsection2"/>
              <w:ind w:left="13"/>
            </w:pPr>
            <w:r w:rsidRPr="00097A86">
              <w:t>where:</w:t>
            </w:r>
          </w:p>
          <w:p w14:paraId="5D8021EF" w14:textId="77777777" w:rsidR="0071203C" w:rsidRPr="00097A86" w:rsidRDefault="0071203C" w:rsidP="00044B27">
            <w:pPr>
              <w:pStyle w:val="Definition"/>
              <w:spacing w:after="60"/>
              <w:ind w:left="0"/>
            </w:pPr>
            <w:r w:rsidRPr="00097A86">
              <w:rPr>
                <w:rFonts w:ascii="TimesNewRoman" w:hAnsi="TimesNewRoman" w:cs="TimesNewRoman"/>
                <w:i/>
                <w:szCs w:val="22"/>
              </w:rPr>
              <w:t>∑</w:t>
            </w:r>
            <w:r w:rsidRPr="00097A86">
              <w:rPr>
                <w:rFonts w:ascii="TimesNewRoman,BoldItalic" w:hAnsi="TimesNewRoman,BoldItalic" w:cs="TimesNewRoman,BoldItalic"/>
                <w:bCs/>
                <w:i/>
                <w:iCs/>
                <w:sz w:val="14"/>
                <w:szCs w:val="14"/>
              </w:rPr>
              <w:t>i</w:t>
            </w:r>
            <w:r w:rsidRPr="00097A86">
              <w:rPr>
                <w:i/>
                <w:vertAlign w:val="subscript"/>
              </w:rPr>
              <w:t xml:space="preserve"> </w:t>
            </w:r>
            <w:r w:rsidRPr="00097A86">
              <w:t>means sum the carbon content values obtained for all fuel types (</w:t>
            </w:r>
            <w:r w:rsidRPr="00097A86">
              <w:rPr>
                <w:b/>
                <w:i/>
              </w:rPr>
              <w:t>i</w:t>
            </w:r>
            <w:r w:rsidRPr="00097A86">
              <w:t>).</w:t>
            </w:r>
          </w:p>
          <w:p w14:paraId="17A2BA06" w14:textId="77777777" w:rsidR="0071203C" w:rsidRPr="00097A86" w:rsidRDefault="0071203C" w:rsidP="00044B27">
            <w:pPr>
              <w:pStyle w:val="Definition"/>
              <w:spacing w:before="60" w:after="60"/>
              <w:ind w:left="34"/>
            </w:pPr>
            <w:r w:rsidRPr="00097A86">
              <w:rPr>
                <w:b/>
                <w:i/>
              </w:rPr>
              <w:t>CCF</w:t>
            </w:r>
            <w:r w:rsidRPr="00097A86">
              <w:rPr>
                <w:i/>
                <w:vertAlign w:val="subscript"/>
              </w:rPr>
              <w:t>i</w:t>
            </w:r>
            <w:r w:rsidRPr="00097A86">
              <w:t xml:space="preserve"> is the carbon content factor mentioned in Schedule</w:t>
            </w:r>
            <w:r w:rsidR="00097A86">
              <w:t> </w:t>
            </w:r>
            <w:r w:rsidRPr="00097A86">
              <w:t>3 measured in tonnes of carbon for each appropriate unit of fuel type (i) consumed during the year from the operation of the activity.</w:t>
            </w:r>
          </w:p>
          <w:p w14:paraId="58C736BE" w14:textId="77777777" w:rsidR="0071203C" w:rsidRPr="00097A86" w:rsidRDefault="0071203C" w:rsidP="00044B27">
            <w:pPr>
              <w:pStyle w:val="Definition"/>
              <w:spacing w:before="60" w:after="60"/>
              <w:ind w:left="34"/>
              <w:rPr>
                <w:rFonts w:ascii="TimesNewRoman" w:hAnsi="TimesNewRoman" w:cs="TimesNewRoman"/>
                <w:szCs w:val="22"/>
              </w:rPr>
            </w:pPr>
            <w:r w:rsidRPr="00097A86">
              <w:rPr>
                <w:b/>
                <w:i/>
              </w:rPr>
              <w:t>Q</w:t>
            </w:r>
            <w:r w:rsidRPr="00097A86">
              <w:rPr>
                <w:b/>
                <w:i/>
                <w:vertAlign w:val="subscript"/>
              </w:rPr>
              <w:t xml:space="preserve">i </w:t>
            </w:r>
            <w:r w:rsidRPr="00097A86">
              <w:rPr>
                <w:szCs w:val="22"/>
              </w:rPr>
              <w:t>is the quantity of fuel type (</w:t>
            </w:r>
            <w:r w:rsidRPr="00097A86">
              <w:rPr>
                <w:b/>
                <w:bCs/>
                <w:i/>
                <w:iCs/>
                <w:szCs w:val="22"/>
              </w:rPr>
              <w:t>i</w:t>
            </w:r>
            <w:r w:rsidRPr="00097A86">
              <w:rPr>
                <w:szCs w:val="22"/>
              </w:rPr>
              <w:t>) delivered for the activity during the year measured in an appropriate unit and estimated in accordance with Division</w:t>
            </w:r>
            <w:r w:rsidR="00097A86">
              <w:rPr>
                <w:szCs w:val="22"/>
              </w:rPr>
              <w:t> </w:t>
            </w:r>
            <w:r w:rsidRPr="00097A86">
              <w:rPr>
                <w:szCs w:val="22"/>
              </w:rPr>
              <w:t>2.2.5, 2.3.6 and 2.4.6.</w:t>
            </w:r>
          </w:p>
        </w:tc>
      </w:tr>
      <w:tr w:rsidR="0071203C" w:rsidRPr="00097A86" w14:paraId="1B7EED57" w14:textId="77777777" w:rsidTr="00C20CC2">
        <w:trPr>
          <w:cantSplit/>
          <w:trHeight w:val="80"/>
        </w:trPr>
        <w:tc>
          <w:tcPr>
            <w:tcW w:w="502" w:type="pct"/>
          </w:tcPr>
          <w:p w14:paraId="307E1399" w14:textId="77777777" w:rsidR="0071203C" w:rsidRPr="00097A86" w:rsidRDefault="0071203C" w:rsidP="00617697">
            <w:pPr>
              <w:spacing w:before="60" w:after="60"/>
            </w:pPr>
          </w:p>
        </w:tc>
        <w:tc>
          <w:tcPr>
            <w:tcW w:w="4498" w:type="pct"/>
          </w:tcPr>
          <w:p w14:paraId="6FC2B3F7" w14:textId="77777777" w:rsidR="0071203C" w:rsidRPr="00097A86" w:rsidRDefault="0071203C" w:rsidP="00672A5E">
            <w:pPr>
              <w:pStyle w:val="Definition"/>
              <w:spacing w:before="60" w:after="60"/>
              <w:ind w:left="0"/>
              <w:rPr>
                <w:szCs w:val="22"/>
              </w:rPr>
            </w:pPr>
            <w:r w:rsidRPr="00097A86">
              <w:rPr>
                <w:i/>
                <w:szCs w:val="22"/>
              </w:rPr>
              <w:t>∑</w:t>
            </w:r>
            <w:r w:rsidRPr="00097A86">
              <w:rPr>
                <w:b/>
                <w:bCs/>
                <w:i/>
                <w:iCs/>
                <w:sz w:val="14"/>
                <w:szCs w:val="14"/>
              </w:rPr>
              <w:t>j</w:t>
            </w:r>
            <w:r w:rsidRPr="00097A86">
              <w:rPr>
                <w:b/>
                <w:i/>
              </w:rPr>
              <w:t xml:space="preserve"> </w:t>
            </w:r>
            <w:r w:rsidRPr="00097A86">
              <w:rPr>
                <w:szCs w:val="22"/>
              </w:rPr>
              <w:t>means sum the carbon content values obtained for all pure carbonate material (</w:t>
            </w:r>
            <w:r w:rsidRPr="00097A86">
              <w:rPr>
                <w:b/>
                <w:i/>
                <w:szCs w:val="22"/>
              </w:rPr>
              <w:t>j</w:t>
            </w:r>
            <w:r w:rsidRPr="00097A86">
              <w:rPr>
                <w:szCs w:val="22"/>
              </w:rPr>
              <w:t>).</w:t>
            </w:r>
          </w:p>
        </w:tc>
      </w:tr>
      <w:tr w:rsidR="0071203C" w:rsidRPr="00097A86" w14:paraId="62363000" w14:textId="77777777" w:rsidTr="00C20CC2">
        <w:trPr>
          <w:cantSplit/>
          <w:trHeight w:val="80"/>
        </w:trPr>
        <w:tc>
          <w:tcPr>
            <w:tcW w:w="502" w:type="pct"/>
          </w:tcPr>
          <w:p w14:paraId="6F63D794" w14:textId="77777777" w:rsidR="0071203C" w:rsidRPr="00097A86" w:rsidRDefault="0071203C" w:rsidP="00617697">
            <w:pPr>
              <w:spacing w:before="60" w:after="60"/>
            </w:pPr>
          </w:p>
        </w:tc>
        <w:tc>
          <w:tcPr>
            <w:tcW w:w="4498" w:type="pct"/>
          </w:tcPr>
          <w:p w14:paraId="645232B6" w14:textId="77777777" w:rsidR="0071203C" w:rsidRPr="00097A86" w:rsidRDefault="0071203C" w:rsidP="00044B27">
            <w:pPr>
              <w:pStyle w:val="Definition"/>
              <w:spacing w:before="60" w:after="60"/>
              <w:ind w:left="34"/>
              <w:rPr>
                <w:szCs w:val="22"/>
              </w:rPr>
            </w:pPr>
            <w:r w:rsidRPr="00097A86">
              <w:rPr>
                <w:b/>
                <w:bCs/>
                <w:i/>
                <w:iCs/>
                <w:szCs w:val="22"/>
              </w:rPr>
              <w:t>CCF</w:t>
            </w:r>
            <w:r w:rsidRPr="00097A86">
              <w:rPr>
                <w:b/>
                <w:bCs/>
                <w:i/>
                <w:iCs/>
                <w:sz w:val="14"/>
                <w:szCs w:val="14"/>
              </w:rPr>
              <w:t xml:space="preserve">j </w:t>
            </w:r>
            <w:r w:rsidRPr="00097A86">
              <w:rPr>
                <w:szCs w:val="22"/>
              </w:rPr>
              <w:t>is the carbon content factor mention</w:t>
            </w:r>
            <w:r w:rsidRPr="00097A86">
              <w:t>ed in Schedule</w:t>
            </w:r>
            <w:r w:rsidR="00097A86">
              <w:t> </w:t>
            </w:r>
            <w:r w:rsidRPr="00097A86">
              <w:t>3 measured in tonnes of c</w:t>
            </w:r>
            <w:r w:rsidRPr="00097A86">
              <w:rPr>
                <w:szCs w:val="22"/>
              </w:rPr>
              <w:t>arbon for each tonne of pure carbonate material (</w:t>
            </w:r>
            <w:r w:rsidRPr="00097A86">
              <w:rPr>
                <w:b/>
                <w:i/>
                <w:szCs w:val="22"/>
              </w:rPr>
              <w:t>j</w:t>
            </w:r>
            <w:r w:rsidRPr="00097A86">
              <w:rPr>
                <w:szCs w:val="22"/>
              </w:rPr>
              <w:t>) consumed during the year from the operation of the activity.</w:t>
            </w:r>
          </w:p>
          <w:p w14:paraId="40706A53" w14:textId="77777777" w:rsidR="0071203C" w:rsidRPr="00097A86" w:rsidRDefault="0071203C" w:rsidP="00044B27">
            <w:pPr>
              <w:pStyle w:val="Definition"/>
              <w:spacing w:before="60" w:after="60"/>
              <w:ind w:left="34"/>
              <w:rPr>
                <w:szCs w:val="22"/>
              </w:rPr>
            </w:pPr>
            <w:r w:rsidRPr="00097A86">
              <w:rPr>
                <w:b/>
                <w:i/>
                <w:szCs w:val="22"/>
              </w:rPr>
              <w:t>F</w:t>
            </w:r>
            <w:r w:rsidRPr="00097A86">
              <w:rPr>
                <w:b/>
                <w:i/>
                <w:sz w:val="14"/>
                <w:szCs w:val="18"/>
              </w:rPr>
              <w:t>j</w:t>
            </w:r>
            <w:r w:rsidRPr="00097A86">
              <w:rPr>
                <w:b/>
                <w:i/>
                <w:szCs w:val="22"/>
              </w:rPr>
              <w:t xml:space="preserve"> </w:t>
            </w:r>
            <w:r w:rsidRPr="00097A86">
              <w:rPr>
                <w:szCs w:val="22"/>
              </w:rPr>
              <w:t>is the fraction of pure carbonate material (</w:t>
            </w:r>
            <w:r w:rsidRPr="00097A86">
              <w:rPr>
                <w:b/>
                <w:i/>
                <w:szCs w:val="22"/>
              </w:rPr>
              <w:t>j</w:t>
            </w:r>
            <w:r w:rsidRPr="00097A86">
              <w:rPr>
                <w:szCs w:val="22"/>
              </w:rPr>
              <w:t>) in the raw carbonate input material and taken to be 0.97 for calcium carbonate and 0.018 for magnesium carbonate.</w:t>
            </w:r>
          </w:p>
          <w:p w14:paraId="33ABD5CF" w14:textId="77777777" w:rsidR="0071203C" w:rsidRPr="00097A86" w:rsidRDefault="0071203C" w:rsidP="00044B27">
            <w:pPr>
              <w:pStyle w:val="Definition"/>
              <w:spacing w:before="60" w:after="60"/>
              <w:ind w:left="34"/>
            </w:pPr>
            <w:r w:rsidRPr="00097A86">
              <w:rPr>
                <w:b/>
                <w:i/>
                <w:szCs w:val="22"/>
              </w:rPr>
              <w:t>L</w:t>
            </w:r>
            <w:r w:rsidRPr="00097A86">
              <w:rPr>
                <w:b/>
                <w:i/>
                <w:sz w:val="14"/>
                <w:szCs w:val="18"/>
              </w:rPr>
              <w:t xml:space="preserve"> j</w:t>
            </w:r>
            <w:r w:rsidRPr="00097A86">
              <w:rPr>
                <w:i/>
                <w:sz w:val="18"/>
                <w:szCs w:val="18"/>
              </w:rPr>
              <w:t xml:space="preserve"> </w:t>
            </w:r>
            <w:r w:rsidRPr="00097A86">
              <w:rPr>
                <w:szCs w:val="18"/>
              </w:rPr>
              <w:t xml:space="preserve">is the quantity of raw carbonate input material </w:t>
            </w:r>
            <w:r w:rsidRPr="00097A86">
              <w:rPr>
                <w:szCs w:val="22"/>
              </w:rPr>
              <w:t>(</w:t>
            </w:r>
            <w:r w:rsidRPr="00097A86">
              <w:rPr>
                <w:b/>
                <w:i/>
                <w:szCs w:val="22"/>
              </w:rPr>
              <w:t>j</w:t>
            </w:r>
            <w:r w:rsidRPr="00097A86">
              <w:rPr>
                <w:szCs w:val="22"/>
              </w:rPr>
              <w:t xml:space="preserve">) </w:t>
            </w:r>
            <w:r w:rsidRPr="00097A86">
              <w:rPr>
                <w:szCs w:val="18"/>
              </w:rPr>
              <w:t xml:space="preserve">delivered for the activity during the year measured in tonnes and estimated </w:t>
            </w:r>
            <w:r w:rsidRPr="00097A86">
              <w:rPr>
                <w:szCs w:val="22"/>
              </w:rPr>
              <w:t>in accordance with Division</w:t>
            </w:r>
            <w:r w:rsidR="00097A86">
              <w:rPr>
                <w:szCs w:val="22"/>
              </w:rPr>
              <w:t> </w:t>
            </w:r>
            <w:r w:rsidRPr="00097A86">
              <w:rPr>
                <w:szCs w:val="22"/>
              </w:rPr>
              <w:t>4.2.5.</w:t>
            </w:r>
          </w:p>
        </w:tc>
      </w:tr>
      <w:tr w:rsidR="0071203C" w:rsidRPr="00097A86" w14:paraId="0E2E93E6" w14:textId="77777777" w:rsidTr="00C20CC2">
        <w:trPr>
          <w:cantSplit/>
        </w:trPr>
        <w:tc>
          <w:tcPr>
            <w:tcW w:w="502" w:type="pct"/>
          </w:tcPr>
          <w:p w14:paraId="53DC6CFB" w14:textId="77777777" w:rsidR="0071203C" w:rsidRPr="00097A86" w:rsidRDefault="0071203C" w:rsidP="00044B27">
            <w:pPr>
              <w:pStyle w:val="Tabletext"/>
            </w:pPr>
            <w:r w:rsidRPr="00097A86">
              <w:rPr>
                <w:sz w:val="22"/>
                <w:szCs w:val="22"/>
              </w:rPr>
              <w:t>Step 2</w:t>
            </w:r>
          </w:p>
        </w:tc>
        <w:tc>
          <w:tcPr>
            <w:tcW w:w="4498" w:type="pct"/>
          </w:tcPr>
          <w:p w14:paraId="4A4DB220" w14:textId="77777777" w:rsidR="0071203C" w:rsidRPr="00097A86" w:rsidRDefault="0071203C" w:rsidP="00044B27">
            <w:pPr>
              <w:pStyle w:val="Tabletext"/>
              <w:rPr>
                <w:sz w:val="22"/>
                <w:szCs w:val="22"/>
              </w:rPr>
            </w:pPr>
            <w:r w:rsidRPr="00097A86">
              <w:rPr>
                <w:sz w:val="22"/>
                <w:szCs w:val="22"/>
              </w:rPr>
              <w:t>Calculate the carbon content in products (</w:t>
            </w:r>
            <w:r w:rsidRPr="00097A86">
              <w:rPr>
                <w:b/>
                <w:i/>
                <w:sz w:val="22"/>
                <w:szCs w:val="22"/>
              </w:rPr>
              <w:t>p</w:t>
            </w:r>
            <w:r w:rsidRPr="00097A86">
              <w:rPr>
                <w:sz w:val="22"/>
                <w:szCs w:val="22"/>
              </w:rPr>
              <w:t>) leaving the activity during the year measured in tonnes of carbon as follows:</w:t>
            </w:r>
          </w:p>
          <w:p w14:paraId="21B74068" w14:textId="77777777" w:rsidR="0071203C" w:rsidRPr="00097A86" w:rsidRDefault="009E1F90" w:rsidP="00BA13B0">
            <w:pPr>
              <w:pStyle w:val="Formula"/>
              <w:keepLines/>
              <w:ind w:left="13"/>
              <w:rPr>
                <w:sz w:val="22"/>
                <w:szCs w:val="22"/>
              </w:rPr>
            </w:pPr>
            <w:r>
              <w:rPr>
                <w:noProof/>
                <w:position w:val="-14"/>
                <w:sz w:val="22"/>
                <w:szCs w:val="22"/>
              </w:rPr>
              <w:drawing>
                <wp:inline distT="0" distB="0" distL="0" distR="0" wp14:anchorId="5D8E0F17" wp14:editId="2DE5C770">
                  <wp:extent cx="1123950" cy="238125"/>
                  <wp:effectExtent l="0" t="0" r="0" b="9525"/>
                  <wp:docPr id="1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tc>
      </w:tr>
      <w:tr w:rsidR="0071203C" w:rsidRPr="00097A86" w14:paraId="60D29BD2" w14:textId="77777777" w:rsidTr="00C20CC2">
        <w:trPr>
          <w:cantSplit/>
          <w:trHeight w:val="1128"/>
        </w:trPr>
        <w:tc>
          <w:tcPr>
            <w:tcW w:w="502" w:type="pct"/>
            <w:vMerge w:val="restart"/>
          </w:tcPr>
          <w:p w14:paraId="2BECA849" w14:textId="77777777" w:rsidR="0071203C" w:rsidRPr="00097A86" w:rsidRDefault="0071203C" w:rsidP="00617697">
            <w:pPr>
              <w:spacing w:before="60" w:after="60"/>
            </w:pPr>
          </w:p>
        </w:tc>
        <w:tc>
          <w:tcPr>
            <w:tcW w:w="4498" w:type="pct"/>
          </w:tcPr>
          <w:p w14:paraId="3100C82B" w14:textId="77777777" w:rsidR="0071203C" w:rsidRPr="00097A86" w:rsidRDefault="0071203C" w:rsidP="00387507">
            <w:pPr>
              <w:pStyle w:val="subsection2"/>
              <w:ind w:left="13"/>
            </w:pPr>
            <w:r w:rsidRPr="00097A86">
              <w:t>where:</w:t>
            </w:r>
          </w:p>
          <w:p w14:paraId="060BF6B0" w14:textId="77777777" w:rsidR="0071203C" w:rsidRPr="00097A86" w:rsidRDefault="0071203C" w:rsidP="00387507">
            <w:pPr>
              <w:pStyle w:val="Definition"/>
              <w:spacing w:after="60"/>
              <w:ind w:left="0"/>
            </w:pPr>
            <w:r w:rsidRPr="00097A86">
              <w:rPr>
                <w:i/>
                <w:szCs w:val="22"/>
              </w:rPr>
              <w:t>∑</w:t>
            </w:r>
            <w:r w:rsidRPr="00097A86">
              <w:rPr>
                <w:b/>
                <w:bCs/>
                <w:i/>
                <w:iCs/>
                <w:sz w:val="14"/>
                <w:szCs w:val="14"/>
              </w:rPr>
              <w:t xml:space="preserve">p </w:t>
            </w:r>
            <w:r w:rsidRPr="00097A86">
              <w:rPr>
                <w:szCs w:val="22"/>
              </w:rPr>
              <w:t>means sum the carbon content values obtained for all product types (</w:t>
            </w:r>
            <w:r w:rsidRPr="00097A86">
              <w:rPr>
                <w:b/>
                <w:bCs/>
                <w:i/>
                <w:iCs/>
                <w:szCs w:val="22"/>
              </w:rPr>
              <w:t>p</w:t>
            </w:r>
            <w:r w:rsidRPr="00097A86">
              <w:rPr>
                <w:szCs w:val="22"/>
              </w:rPr>
              <w:t>).</w:t>
            </w:r>
          </w:p>
          <w:p w14:paraId="140361FB" w14:textId="77777777" w:rsidR="0071203C" w:rsidRPr="00097A86" w:rsidRDefault="0071203C" w:rsidP="00387507">
            <w:pPr>
              <w:pStyle w:val="Definition"/>
              <w:spacing w:before="60" w:after="60"/>
              <w:ind w:left="34"/>
            </w:pPr>
            <w:r w:rsidRPr="00097A86">
              <w:rPr>
                <w:b/>
                <w:bCs/>
                <w:i/>
                <w:iCs/>
                <w:szCs w:val="22"/>
              </w:rPr>
              <w:t>CCF</w:t>
            </w:r>
            <w:r w:rsidRPr="00097A86">
              <w:rPr>
                <w:b/>
                <w:bCs/>
                <w:i/>
                <w:iCs/>
                <w:sz w:val="14"/>
                <w:szCs w:val="14"/>
              </w:rPr>
              <w:t xml:space="preserve">p </w:t>
            </w:r>
            <w:r w:rsidRPr="00097A86">
              <w:rPr>
                <w:szCs w:val="22"/>
              </w:rPr>
              <w:t>is the carbon content factor mentioned in Schedule</w:t>
            </w:r>
            <w:r w:rsidR="00097A86">
              <w:rPr>
                <w:szCs w:val="22"/>
              </w:rPr>
              <w:t> </w:t>
            </w:r>
            <w:r w:rsidRPr="00097A86">
              <w:rPr>
                <w:szCs w:val="22"/>
              </w:rPr>
              <w:t>3 and measured in tonnes of carbon for each tonne of product type (</w:t>
            </w:r>
            <w:r w:rsidRPr="00097A86">
              <w:rPr>
                <w:b/>
                <w:bCs/>
                <w:i/>
                <w:iCs/>
                <w:szCs w:val="22"/>
              </w:rPr>
              <w:t>p</w:t>
            </w:r>
            <w:r w:rsidRPr="00097A86">
              <w:rPr>
                <w:szCs w:val="22"/>
              </w:rPr>
              <w:t>) produced during the year.</w:t>
            </w:r>
          </w:p>
        </w:tc>
      </w:tr>
      <w:tr w:rsidR="0071203C" w:rsidRPr="00097A86" w14:paraId="2997F56A" w14:textId="77777777" w:rsidTr="00C20CC2">
        <w:trPr>
          <w:cantSplit/>
          <w:trHeight w:val="1050"/>
        </w:trPr>
        <w:tc>
          <w:tcPr>
            <w:tcW w:w="502" w:type="pct"/>
            <w:vMerge/>
          </w:tcPr>
          <w:p w14:paraId="0AB0A5A1" w14:textId="77777777" w:rsidR="0071203C" w:rsidRPr="00097A86" w:rsidRDefault="0071203C" w:rsidP="00617697">
            <w:pPr>
              <w:spacing w:before="60" w:after="60"/>
            </w:pPr>
          </w:p>
        </w:tc>
        <w:tc>
          <w:tcPr>
            <w:tcW w:w="4498" w:type="pct"/>
          </w:tcPr>
          <w:p w14:paraId="35CEB8E7" w14:textId="77777777" w:rsidR="0071203C" w:rsidRPr="00097A86" w:rsidRDefault="0071203C" w:rsidP="00672A5E">
            <w:pPr>
              <w:pStyle w:val="Definition"/>
              <w:spacing w:before="60" w:after="60"/>
              <w:ind w:left="0"/>
              <w:rPr>
                <w:iCs/>
              </w:rPr>
            </w:pPr>
            <w:r w:rsidRPr="00097A86">
              <w:rPr>
                <w:b/>
                <w:i/>
                <w:szCs w:val="22"/>
              </w:rPr>
              <w:t>F</w:t>
            </w:r>
            <w:r w:rsidRPr="00097A86">
              <w:rPr>
                <w:b/>
                <w:i/>
                <w:sz w:val="14"/>
                <w:szCs w:val="18"/>
              </w:rPr>
              <w:t>p</w:t>
            </w:r>
            <w:r w:rsidRPr="00097A86">
              <w:rPr>
                <w:b/>
                <w:i/>
                <w:szCs w:val="22"/>
              </w:rPr>
              <w:t xml:space="preserve"> </w:t>
            </w:r>
            <w:r w:rsidRPr="00097A86">
              <w:rPr>
                <w:szCs w:val="22"/>
              </w:rPr>
              <w:t>is the fraction of pure carbonate material in the product type (</w:t>
            </w:r>
            <w:r w:rsidRPr="00097A86">
              <w:rPr>
                <w:b/>
                <w:i/>
                <w:szCs w:val="22"/>
              </w:rPr>
              <w:t>p</w:t>
            </w:r>
            <w:r w:rsidRPr="00097A86">
              <w:rPr>
                <w:szCs w:val="22"/>
              </w:rPr>
              <w:t>).</w:t>
            </w:r>
          </w:p>
          <w:p w14:paraId="56983E39" w14:textId="77777777" w:rsidR="0071203C" w:rsidRPr="00097A86" w:rsidRDefault="0071203C" w:rsidP="00672A5E">
            <w:pPr>
              <w:pStyle w:val="Definition"/>
              <w:spacing w:before="60" w:after="60"/>
              <w:ind w:left="0"/>
            </w:pPr>
            <w:r w:rsidRPr="00097A86">
              <w:rPr>
                <w:b/>
                <w:bCs/>
                <w:i/>
                <w:iCs/>
                <w:szCs w:val="22"/>
              </w:rPr>
              <w:t>A</w:t>
            </w:r>
            <w:r w:rsidRPr="00097A86">
              <w:rPr>
                <w:b/>
                <w:bCs/>
                <w:i/>
                <w:iCs/>
                <w:sz w:val="14"/>
                <w:szCs w:val="14"/>
              </w:rPr>
              <w:t xml:space="preserve">p </w:t>
            </w:r>
            <w:r w:rsidRPr="00097A86">
              <w:rPr>
                <w:szCs w:val="22"/>
              </w:rPr>
              <w:t>is the quantity of product types (</w:t>
            </w:r>
            <w:r w:rsidRPr="00097A86">
              <w:rPr>
                <w:b/>
                <w:bCs/>
                <w:i/>
                <w:iCs/>
                <w:szCs w:val="22"/>
              </w:rPr>
              <w:t>p</w:t>
            </w:r>
            <w:r w:rsidRPr="00097A86">
              <w:rPr>
                <w:szCs w:val="22"/>
              </w:rPr>
              <w:t>) produced leaving the activity during the year measured in tonnes.</w:t>
            </w:r>
          </w:p>
        </w:tc>
      </w:tr>
      <w:tr w:rsidR="0071203C" w:rsidRPr="00097A86" w14:paraId="2D531B80" w14:textId="77777777" w:rsidTr="00C20CC2">
        <w:trPr>
          <w:cantSplit/>
        </w:trPr>
        <w:tc>
          <w:tcPr>
            <w:tcW w:w="502" w:type="pct"/>
            <w:vMerge w:val="restart"/>
          </w:tcPr>
          <w:p w14:paraId="45AE9BC7" w14:textId="77777777" w:rsidR="0071203C" w:rsidRPr="00097A86" w:rsidRDefault="0071203C" w:rsidP="00672A5E">
            <w:pPr>
              <w:pStyle w:val="Tabletext"/>
              <w:rPr>
                <w:sz w:val="22"/>
                <w:szCs w:val="22"/>
              </w:rPr>
            </w:pPr>
            <w:r w:rsidRPr="00097A86">
              <w:rPr>
                <w:sz w:val="22"/>
                <w:szCs w:val="22"/>
              </w:rPr>
              <w:t>Step 3</w:t>
            </w:r>
          </w:p>
        </w:tc>
        <w:tc>
          <w:tcPr>
            <w:tcW w:w="4498" w:type="pct"/>
          </w:tcPr>
          <w:p w14:paraId="569B0AF1" w14:textId="77777777" w:rsidR="0071203C" w:rsidRPr="00097A86" w:rsidRDefault="0071203C" w:rsidP="00672A5E">
            <w:pPr>
              <w:pStyle w:val="Tabletext"/>
              <w:rPr>
                <w:sz w:val="22"/>
                <w:szCs w:val="22"/>
              </w:rPr>
            </w:pPr>
            <w:r w:rsidRPr="00097A86">
              <w:rPr>
                <w:sz w:val="22"/>
                <w:szCs w:val="22"/>
              </w:rPr>
              <w:t>Calculate the carbon content in waste by</w:t>
            </w:r>
            <w:r w:rsidR="00097A86">
              <w:rPr>
                <w:sz w:val="22"/>
                <w:szCs w:val="22"/>
              </w:rPr>
              <w:noBreakHyphen/>
            </w:r>
            <w:r w:rsidRPr="00097A86">
              <w:rPr>
                <w:sz w:val="22"/>
                <w:szCs w:val="22"/>
              </w:rPr>
              <w:t>product types (r) leaving the activity, other than as an emission of greenhouse gas, during the year, measured in tonnes of carbon, as follows:</w:t>
            </w:r>
          </w:p>
          <w:p w14:paraId="14FF9DBD" w14:textId="77777777" w:rsidR="0071203C" w:rsidRPr="00097A86" w:rsidRDefault="009E1F90" w:rsidP="00BA13B0">
            <w:pPr>
              <w:pStyle w:val="Formula"/>
              <w:keepLines/>
              <w:ind w:left="13"/>
            </w:pPr>
            <w:r>
              <w:rPr>
                <w:noProof/>
                <w:position w:val="-10"/>
              </w:rPr>
              <w:drawing>
                <wp:inline distT="0" distB="0" distL="0" distR="0" wp14:anchorId="6320E49C" wp14:editId="7FEF151A">
                  <wp:extent cx="1114425" cy="219075"/>
                  <wp:effectExtent l="0" t="0" r="9525" b="9525"/>
                  <wp:docPr id="14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inline>
              </w:drawing>
            </w:r>
          </w:p>
        </w:tc>
      </w:tr>
      <w:tr w:rsidR="0071203C" w:rsidRPr="00097A86" w14:paraId="4106AC97" w14:textId="77777777" w:rsidTr="00C20CC2">
        <w:trPr>
          <w:cantSplit/>
        </w:trPr>
        <w:tc>
          <w:tcPr>
            <w:tcW w:w="502" w:type="pct"/>
            <w:vMerge/>
          </w:tcPr>
          <w:p w14:paraId="6852CE0C" w14:textId="77777777" w:rsidR="0071203C" w:rsidRPr="00097A86" w:rsidRDefault="0071203C" w:rsidP="00617697">
            <w:pPr>
              <w:spacing w:before="60" w:after="60"/>
            </w:pPr>
          </w:p>
        </w:tc>
        <w:tc>
          <w:tcPr>
            <w:tcW w:w="4498" w:type="pct"/>
          </w:tcPr>
          <w:p w14:paraId="4BB78650" w14:textId="77777777" w:rsidR="0071203C" w:rsidRPr="00097A86" w:rsidRDefault="0071203C" w:rsidP="00044B27">
            <w:pPr>
              <w:pStyle w:val="subsection2"/>
              <w:ind w:left="13"/>
            </w:pPr>
            <w:r w:rsidRPr="00097A86">
              <w:t>where:</w:t>
            </w:r>
          </w:p>
          <w:p w14:paraId="5AA890BD" w14:textId="77777777" w:rsidR="0071203C" w:rsidRPr="00097A86" w:rsidRDefault="0071203C" w:rsidP="00044B27">
            <w:pPr>
              <w:pStyle w:val="Definition"/>
              <w:spacing w:after="60"/>
              <w:ind w:left="0"/>
            </w:pPr>
            <w:r w:rsidRPr="00097A86">
              <w:rPr>
                <w:rFonts w:ascii="Symbol" w:hAnsi="Symbol"/>
                <w:b/>
                <w:i/>
              </w:rPr>
              <w:t></w:t>
            </w:r>
            <w:r w:rsidRPr="00097A86">
              <w:rPr>
                <w:b/>
                <w:i/>
                <w:vertAlign w:val="subscript"/>
              </w:rPr>
              <w:t xml:space="preserve">r </w:t>
            </w:r>
            <w:r w:rsidRPr="00097A86">
              <w:t>means sum the carbon content values obtained for all waste by</w:t>
            </w:r>
            <w:r w:rsidR="00097A86">
              <w:noBreakHyphen/>
            </w:r>
            <w:r w:rsidRPr="00097A86">
              <w:t>product types (</w:t>
            </w:r>
            <w:r w:rsidRPr="00097A86">
              <w:rPr>
                <w:b/>
                <w:i/>
              </w:rPr>
              <w:t>r</w:t>
            </w:r>
            <w:r w:rsidRPr="00097A86">
              <w:t>).</w:t>
            </w:r>
          </w:p>
          <w:p w14:paraId="0FC58F29" w14:textId="77777777" w:rsidR="0071203C" w:rsidRPr="00097A86" w:rsidRDefault="0071203C" w:rsidP="00672A5E">
            <w:pPr>
              <w:pStyle w:val="Definition"/>
              <w:spacing w:before="60" w:after="60"/>
              <w:ind w:left="0"/>
              <w:rPr>
                <w:iCs/>
              </w:rPr>
            </w:pPr>
            <w:r w:rsidRPr="00097A86">
              <w:rPr>
                <w:b/>
                <w:i/>
                <w:iCs/>
              </w:rPr>
              <w:t>CCF</w:t>
            </w:r>
            <w:r w:rsidRPr="00097A86">
              <w:rPr>
                <w:b/>
                <w:i/>
                <w:iCs/>
                <w:vertAlign w:val="subscript"/>
              </w:rPr>
              <w:t>r</w:t>
            </w:r>
            <w:r w:rsidRPr="00097A86">
              <w:rPr>
                <w:iCs/>
              </w:rPr>
              <w:t xml:space="preserve"> is the carbon content factor mentioned in Schedule</w:t>
            </w:r>
            <w:r w:rsidR="00097A86">
              <w:rPr>
                <w:iCs/>
              </w:rPr>
              <w:t> </w:t>
            </w:r>
            <w:r w:rsidRPr="00097A86">
              <w:rPr>
                <w:iCs/>
              </w:rPr>
              <w:t>3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2911CBF9" w14:textId="77777777" w:rsidR="0071203C" w:rsidRPr="00097A86" w:rsidRDefault="0071203C" w:rsidP="00672A5E">
            <w:pPr>
              <w:pStyle w:val="Definition"/>
              <w:spacing w:before="60" w:after="60"/>
              <w:ind w:left="0"/>
              <w:rPr>
                <w:iCs/>
              </w:rPr>
            </w:pPr>
            <w:r w:rsidRPr="00097A86">
              <w:rPr>
                <w:b/>
                <w:i/>
                <w:iCs/>
              </w:rPr>
              <w:t>F</w:t>
            </w:r>
            <w:r w:rsidRPr="00097A86">
              <w:rPr>
                <w:b/>
                <w:i/>
                <w:iCs/>
                <w:vertAlign w:val="subscript"/>
              </w:rPr>
              <w:t>r</w:t>
            </w:r>
            <w:r w:rsidRPr="00097A86">
              <w:rPr>
                <w:iCs/>
              </w:rPr>
              <w:t xml:space="preserve"> is the fraction of pure carbonate material in the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2ACACC27" w14:textId="77777777" w:rsidR="0071203C" w:rsidRPr="00097A86" w:rsidRDefault="0071203C" w:rsidP="00672A5E">
            <w:pPr>
              <w:pStyle w:val="Definition"/>
              <w:spacing w:before="60" w:after="60"/>
              <w:ind w:left="0"/>
            </w:pPr>
            <w:r w:rsidRPr="00097A86">
              <w:rPr>
                <w:b/>
                <w:i/>
              </w:rPr>
              <w:t>Y</w:t>
            </w:r>
            <w:r w:rsidRPr="00097A86">
              <w:rPr>
                <w:b/>
                <w:i/>
                <w:vertAlign w:val="subscript"/>
              </w:rPr>
              <w:t xml:space="preserve">r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71203C" w:rsidRPr="00097A86" w14:paraId="58CE15C2" w14:textId="77777777" w:rsidTr="00C20CC2">
        <w:trPr>
          <w:cantSplit/>
        </w:trPr>
        <w:tc>
          <w:tcPr>
            <w:tcW w:w="502" w:type="pct"/>
            <w:vMerge w:val="restart"/>
          </w:tcPr>
          <w:p w14:paraId="3817EE14" w14:textId="77777777" w:rsidR="0071203C" w:rsidRPr="00097A86" w:rsidRDefault="0071203C" w:rsidP="00672A5E">
            <w:pPr>
              <w:pStyle w:val="Tabletext"/>
            </w:pPr>
            <w:r w:rsidRPr="00097A86">
              <w:rPr>
                <w:sz w:val="22"/>
                <w:szCs w:val="22"/>
              </w:rPr>
              <w:t>Step 4</w:t>
            </w:r>
          </w:p>
        </w:tc>
        <w:tc>
          <w:tcPr>
            <w:tcW w:w="4498" w:type="pct"/>
          </w:tcPr>
          <w:p w14:paraId="09154B36" w14:textId="77777777" w:rsidR="0071203C" w:rsidRPr="00097A86" w:rsidRDefault="0071203C" w:rsidP="00387507">
            <w:pPr>
              <w:pStyle w:val="Tabletext"/>
              <w:spacing w:after="120"/>
              <w:rPr>
                <w:sz w:val="22"/>
                <w:szCs w:val="22"/>
              </w:rPr>
            </w:pPr>
            <w:r w:rsidRPr="00097A86">
              <w:rPr>
                <w:sz w:val="22"/>
                <w:szCs w:val="22"/>
              </w:rPr>
              <w:t>Calculate the carbon content in the amount of the change in stocks of inputs, products and waste by</w:t>
            </w:r>
            <w:r w:rsidR="00097A86">
              <w:rPr>
                <w:sz w:val="22"/>
                <w:szCs w:val="22"/>
              </w:rPr>
              <w:noBreakHyphen/>
            </w:r>
            <w:r w:rsidRPr="00097A86">
              <w:rPr>
                <w:sz w:val="22"/>
                <w:szCs w:val="22"/>
              </w:rPr>
              <w:t>products held within the boundary of the activity during the year in tonnes of carbon as follows:</w:t>
            </w:r>
          </w:p>
          <w:p w14:paraId="10F31735" w14:textId="77777777" w:rsidR="0071203C" w:rsidRPr="00097A86" w:rsidRDefault="009E1F90" w:rsidP="00BA13B0">
            <w:pPr>
              <w:pStyle w:val="Formula"/>
              <w:keepLines/>
              <w:ind w:left="13"/>
            </w:pPr>
            <w:r>
              <w:rPr>
                <w:noProof/>
              </w:rPr>
              <w:drawing>
                <wp:inline distT="0" distB="0" distL="0" distR="0" wp14:anchorId="12097DE2" wp14:editId="112F0F43">
                  <wp:extent cx="4105275" cy="200025"/>
                  <wp:effectExtent l="0" t="0" r="9525" b="9525"/>
                  <wp:docPr id="14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105275" cy="200025"/>
                          </a:xfrm>
                          <a:prstGeom prst="rect">
                            <a:avLst/>
                          </a:prstGeom>
                          <a:noFill/>
                          <a:ln>
                            <a:noFill/>
                          </a:ln>
                        </pic:spPr>
                      </pic:pic>
                    </a:graphicData>
                  </a:graphic>
                </wp:inline>
              </w:drawing>
            </w:r>
          </w:p>
        </w:tc>
      </w:tr>
      <w:tr w:rsidR="0071203C" w:rsidRPr="00097A86" w14:paraId="2D906BA3" w14:textId="77777777" w:rsidTr="00C20CC2">
        <w:trPr>
          <w:cantSplit/>
        </w:trPr>
        <w:tc>
          <w:tcPr>
            <w:tcW w:w="502" w:type="pct"/>
            <w:vMerge/>
          </w:tcPr>
          <w:p w14:paraId="75259495" w14:textId="77777777" w:rsidR="0071203C" w:rsidRPr="00097A86" w:rsidRDefault="0071203C" w:rsidP="00617697">
            <w:pPr>
              <w:spacing w:before="60" w:after="60"/>
            </w:pPr>
          </w:p>
        </w:tc>
        <w:tc>
          <w:tcPr>
            <w:tcW w:w="4498" w:type="pct"/>
          </w:tcPr>
          <w:p w14:paraId="3DC2018E" w14:textId="77777777" w:rsidR="0071203C" w:rsidRPr="00097A86" w:rsidRDefault="0071203C" w:rsidP="00387507">
            <w:pPr>
              <w:pStyle w:val="subsection2"/>
              <w:ind w:left="13"/>
            </w:pPr>
            <w:r w:rsidRPr="00097A86">
              <w:t>where:</w:t>
            </w:r>
          </w:p>
          <w:p w14:paraId="56C26DF1" w14:textId="77777777" w:rsidR="0071203C" w:rsidRPr="00097A86" w:rsidRDefault="0071203C" w:rsidP="00387507">
            <w:pPr>
              <w:pStyle w:val="Definition"/>
              <w:spacing w:after="60"/>
              <w:ind w:left="0"/>
              <w:rPr>
                <w:b/>
                <w:i/>
              </w:rPr>
            </w:pPr>
            <w:r w:rsidRPr="00097A86">
              <w:rPr>
                <w:rFonts w:ascii="Symbol" w:hAnsi="Symbol"/>
                <w:b/>
                <w:i/>
              </w:rPr>
              <w:t></w:t>
            </w:r>
            <w:r w:rsidRPr="00097A86">
              <w:rPr>
                <w:b/>
                <w:i/>
                <w:vertAlign w:val="subscript"/>
              </w:rPr>
              <w:t xml:space="preserve">i </w:t>
            </w:r>
            <w:r w:rsidRPr="00097A86">
              <w:t>has the same meaning as in step 1.</w:t>
            </w:r>
          </w:p>
          <w:p w14:paraId="7C0089B8" w14:textId="77777777" w:rsidR="0071203C" w:rsidRPr="00097A86" w:rsidRDefault="0071203C" w:rsidP="00617697">
            <w:pPr>
              <w:pStyle w:val="TableText0"/>
              <w:rPr>
                <w:iCs/>
              </w:rPr>
            </w:pPr>
            <w:r w:rsidRPr="00097A86">
              <w:rPr>
                <w:b/>
                <w:i/>
              </w:rPr>
              <w:t>CCF</w:t>
            </w:r>
            <w:r w:rsidRPr="00097A86">
              <w:rPr>
                <w:b/>
                <w:i/>
                <w:vertAlign w:val="subscript"/>
              </w:rPr>
              <w:t xml:space="preserve">i </w:t>
            </w:r>
            <w:r w:rsidRPr="00097A86">
              <w:t>has the same meaning as in step 1.</w:t>
            </w:r>
          </w:p>
          <w:p w14:paraId="3BB04983" w14:textId="77777777" w:rsidR="0071203C" w:rsidRPr="00097A86" w:rsidRDefault="0071203C" w:rsidP="00672A5E">
            <w:pPr>
              <w:pStyle w:val="Definition"/>
              <w:spacing w:before="60" w:after="60"/>
              <w:ind w:left="0"/>
              <w:rPr>
                <w:rFonts w:ascii="TimesNewRoman" w:hAnsi="TimesNewRoman" w:cs="TimesNewRoman"/>
                <w:szCs w:val="22"/>
              </w:rPr>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qi </w:t>
            </w:r>
            <w:r w:rsidRPr="00097A86">
              <w:rPr>
                <w:rFonts w:ascii="TimesNewRoman" w:hAnsi="TimesNewRoman" w:cs="TimesNewRoman"/>
                <w:szCs w:val="22"/>
              </w:rPr>
              <w:t>is the</w:t>
            </w:r>
            <w:r w:rsidRPr="00097A86">
              <w:t xml:space="preserve"> change in stocks</w:t>
            </w:r>
            <w:r w:rsidRPr="00097A86">
              <w:rPr>
                <w:rFonts w:ascii="TimesNewRoman" w:hAnsi="TimesNewRoman" w:cs="TimesNewRoman"/>
                <w:szCs w:val="22"/>
              </w:rPr>
              <w:t xml:space="preserve"> of fuel type (</w:t>
            </w:r>
            <w:r w:rsidRPr="00097A86">
              <w:rPr>
                <w:rFonts w:ascii="TimesNewRoman,BoldItalic" w:hAnsi="TimesNewRoman,BoldItalic" w:cs="TimesNewRoman,BoldItalic"/>
                <w:b/>
                <w:bCs/>
                <w:i/>
                <w:iCs/>
                <w:szCs w:val="22"/>
              </w:rPr>
              <w:t>i</w:t>
            </w:r>
            <w:r w:rsidRPr="00097A86">
              <w:rPr>
                <w:rFonts w:ascii="TimesNewRoman" w:hAnsi="TimesNewRoman" w:cs="TimesNewRoman"/>
                <w:szCs w:val="22"/>
              </w:rPr>
              <w:t>) for the activity and held within the boundary of the activity during the year measured in tonnes.</w:t>
            </w:r>
          </w:p>
          <w:p w14:paraId="7500EF31" w14:textId="77777777" w:rsidR="0071203C" w:rsidRPr="00097A86" w:rsidRDefault="0071203C" w:rsidP="00672A5E">
            <w:pPr>
              <w:pStyle w:val="Definition"/>
              <w:spacing w:before="60" w:after="60"/>
              <w:ind w:left="0"/>
              <w:rPr>
                <w:rFonts w:ascii="TimesNewRoman" w:hAnsi="TimesNewRoman" w:cs="TimesNewRoman"/>
                <w:szCs w:val="22"/>
              </w:rPr>
            </w:pPr>
            <w:r w:rsidRPr="00097A86">
              <w:rPr>
                <w:rFonts w:ascii="Symbol" w:hAnsi="Symbol"/>
                <w:b/>
                <w:i/>
              </w:rPr>
              <w:t></w:t>
            </w:r>
            <w:r w:rsidRPr="00097A86">
              <w:rPr>
                <w:b/>
                <w:i/>
                <w:vertAlign w:val="subscript"/>
              </w:rPr>
              <w:t xml:space="preserve">j </w:t>
            </w:r>
            <w:r w:rsidRPr="00097A86">
              <w:t>has the same meaning as in step 1.</w:t>
            </w:r>
          </w:p>
          <w:p w14:paraId="3FE52B61" w14:textId="77777777" w:rsidR="0071203C" w:rsidRPr="00097A86" w:rsidRDefault="0071203C" w:rsidP="00672A5E">
            <w:pPr>
              <w:pStyle w:val="Definition"/>
              <w:spacing w:before="60" w:after="60"/>
              <w:ind w:left="0"/>
              <w:rPr>
                <w:rFonts w:ascii="TimesNewRoman" w:hAnsi="TimesNewRoman" w:cs="TimesNewRoman"/>
                <w:szCs w:val="22"/>
              </w:rPr>
            </w:pPr>
            <w:r w:rsidRPr="00097A86">
              <w:rPr>
                <w:rFonts w:ascii="TimesNewRoman,BoldItalic" w:hAnsi="TimesNewRoman,BoldItalic" w:cs="TimesNewRoman,BoldItalic"/>
                <w:b/>
                <w:bCs/>
                <w:i/>
                <w:iCs/>
                <w:szCs w:val="22"/>
              </w:rPr>
              <w:t>CCF</w:t>
            </w:r>
            <w:r w:rsidRPr="00097A86">
              <w:rPr>
                <w:rFonts w:ascii="TimesNewRoman,BoldItalic" w:hAnsi="TimesNewRoman,BoldItalic" w:cs="TimesNewRoman,BoldItalic"/>
                <w:b/>
                <w:bCs/>
                <w:i/>
                <w:iCs/>
                <w:sz w:val="14"/>
                <w:szCs w:val="14"/>
              </w:rPr>
              <w:t xml:space="preserve">j </w:t>
            </w:r>
            <w:r w:rsidRPr="00097A86">
              <w:rPr>
                <w:rFonts w:ascii="TimesNewRoman" w:hAnsi="TimesNewRoman" w:cs="TimesNewRoman"/>
                <w:szCs w:val="22"/>
              </w:rPr>
              <w:t>has the same meaning as in step 1.</w:t>
            </w:r>
          </w:p>
          <w:p w14:paraId="55BDF663" w14:textId="77777777" w:rsidR="0071203C" w:rsidRPr="00097A86" w:rsidRDefault="0071203C" w:rsidP="00672A5E">
            <w:pPr>
              <w:pStyle w:val="Definition"/>
              <w:spacing w:before="60" w:after="60"/>
              <w:ind w:left="0"/>
              <w:rPr>
                <w:iCs/>
              </w:rPr>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qj </w:t>
            </w:r>
            <w:r w:rsidRPr="00097A86">
              <w:rPr>
                <w:rFonts w:ascii="TimesNewRoman" w:hAnsi="TimesNewRoman" w:cs="TimesNewRoman"/>
                <w:szCs w:val="22"/>
              </w:rPr>
              <w:t xml:space="preserve">is the </w:t>
            </w:r>
            <w:r w:rsidRPr="00097A86">
              <w:t>change in stocks</w:t>
            </w:r>
            <w:r w:rsidRPr="00097A86">
              <w:rPr>
                <w:rFonts w:ascii="TimesNewRoman" w:hAnsi="TimesNewRoman" w:cs="TimesNewRoman"/>
                <w:szCs w:val="22"/>
              </w:rPr>
              <w:t xml:space="preserve"> of pure carbonate material (</w:t>
            </w:r>
            <w:r w:rsidRPr="00097A86">
              <w:rPr>
                <w:rFonts w:ascii="TimesNewRoman" w:hAnsi="TimesNewRoman" w:cs="TimesNewRoman"/>
                <w:b/>
                <w:i/>
                <w:szCs w:val="22"/>
              </w:rPr>
              <w:t>j</w:t>
            </w:r>
            <w:r w:rsidRPr="00097A86">
              <w:rPr>
                <w:rFonts w:ascii="TimesNewRoman" w:hAnsi="TimesNewRoman" w:cs="TimesNewRoman"/>
                <w:szCs w:val="22"/>
              </w:rPr>
              <w:t>) for the activity and held within the boundary of the activity during the year measured in tonnes.</w:t>
            </w:r>
          </w:p>
          <w:p w14:paraId="73A21F1C" w14:textId="77777777" w:rsidR="0071203C" w:rsidRPr="00097A86" w:rsidRDefault="0071203C" w:rsidP="00672A5E">
            <w:pPr>
              <w:pStyle w:val="Definition"/>
              <w:spacing w:before="60" w:after="60"/>
              <w:ind w:left="0"/>
              <w:rPr>
                <w:b/>
                <w:i/>
              </w:rPr>
            </w:pPr>
            <w:r w:rsidRPr="00097A86">
              <w:rPr>
                <w:rFonts w:ascii="Symbol" w:hAnsi="Symbol"/>
                <w:b/>
                <w:i/>
              </w:rPr>
              <w:t></w:t>
            </w:r>
            <w:r w:rsidRPr="00097A86">
              <w:rPr>
                <w:b/>
                <w:i/>
                <w:vertAlign w:val="subscript"/>
              </w:rPr>
              <w:t xml:space="preserve">p </w:t>
            </w:r>
            <w:r w:rsidRPr="00097A86">
              <w:t>has the same meaning as in step 2.</w:t>
            </w:r>
          </w:p>
        </w:tc>
      </w:tr>
      <w:tr w:rsidR="0071203C" w:rsidRPr="00097A86" w14:paraId="15583602" w14:textId="77777777" w:rsidTr="00C20CC2">
        <w:trPr>
          <w:cantSplit/>
        </w:trPr>
        <w:tc>
          <w:tcPr>
            <w:tcW w:w="502" w:type="pct"/>
            <w:vMerge/>
          </w:tcPr>
          <w:p w14:paraId="187E0670" w14:textId="77777777" w:rsidR="0071203C" w:rsidRPr="00097A86" w:rsidRDefault="0071203C" w:rsidP="00617697">
            <w:pPr>
              <w:spacing w:before="60" w:after="60"/>
            </w:pPr>
          </w:p>
        </w:tc>
        <w:tc>
          <w:tcPr>
            <w:tcW w:w="4498" w:type="pct"/>
          </w:tcPr>
          <w:p w14:paraId="35C9AF56" w14:textId="77777777" w:rsidR="0071203C" w:rsidRPr="00097A86" w:rsidRDefault="0071203C" w:rsidP="00672A5E">
            <w:pPr>
              <w:pStyle w:val="Definition"/>
              <w:spacing w:before="60" w:after="60"/>
              <w:ind w:left="0"/>
              <w:rPr>
                <w:b/>
                <w:i/>
                <w:iCs/>
              </w:rPr>
            </w:pPr>
            <w:r w:rsidRPr="00097A86">
              <w:rPr>
                <w:b/>
                <w:i/>
              </w:rPr>
              <w:t>CCF</w:t>
            </w:r>
            <w:r w:rsidRPr="00097A86">
              <w:rPr>
                <w:b/>
                <w:i/>
                <w:vertAlign w:val="subscript"/>
              </w:rPr>
              <w:t xml:space="preserve">p </w:t>
            </w:r>
            <w:r w:rsidRPr="00097A86">
              <w:t>has the same meaning as in step 2.</w:t>
            </w:r>
          </w:p>
        </w:tc>
      </w:tr>
      <w:tr w:rsidR="0071203C" w:rsidRPr="00097A86" w14:paraId="41092D86" w14:textId="77777777" w:rsidTr="00C20CC2">
        <w:trPr>
          <w:cantSplit/>
        </w:trPr>
        <w:tc>
          <w:tcPr>
            <w:tcW w:w="502" w:type="pct"/>
            <w:vMerge/>
          </w:tcPr>
          <w:p w14:paraId="741CB44E" w14:textId="77777777" w:rsidR="0071203C" w:rsidRPr="00097A86" w:rsidRDefault="0071203C" w:rsidP="00617697">
            <w:pPr>
              <w:spacing w:before="60" w:after="60"/>
            </w:pPr>
          </w:p>
        </w:tc>
        <w:tc>
          <w:tcPr>
            <w:tcW w:w="4498" w:type="pct"/>
          </w:tcPr>
          <w:p w14:paraId="0C3DFC6A" w14:textId="77777777" w:rsidR="0071203C" w:rsidRPr="00097A86" w:rsidRDefault="0071203C" w:rsidP="00672A5E">
            <w:pPr>
              <w:pStyle w:val="Definition"/>
              <w:spacing w:before="60" w:after="60"/>
              <w:ind w:left="0"/>
            </w:pPr>
            <w:r w:rsidRPr="00097A86">
              <w:rPr>
                <w:rFonts w:ascii="TimesNewRoman,BoldItalic" w:hAnsi="TimesNewRoman,BoldItalic" w:cs="TimesNewRoman,BoldItalic"/>
                <w:b/>
                <w:bCs/>
                <w:i/>
                <w:iCs/>
              </w:rPr>
              <w:t>Δs</w:t>
            </w:r>
            <w:r w:rsidRPr="00097A86">
              <w:rPr>
                <w:rFonts w:ascii="TimesNewRoman,BoldItalic" w:hAnsi="TimesNewRoman,BoldItalic" w:cs="TimesNewRoman,BoldItalic"/>
                <w:b/>
                <w:bCs/>
                <w:i/>
                <w:iCs/>
                <w:sz w:val="14"/>
                <w:szCs w:val="14"/>
              </w:rPr>
              <w:t xml:space="preserve">ap </w:t>
            </w:r>
            <w:r w:rsidRPr="00097A86">
              <w:t>is the change in stocks of product types (</w:t>
            </w:r>
            <w:r w:rsidRPr="00097A86">
              <w:rPr>
                <w:rFonts w:ascii="TimesNewRoman,BoldItalic" w:hAnsi="TimesNewRoman,BoldItalic" w:cs="TimesNewRoman,BoldItalic"/>
                <w:b/>
                <w:bCs/>
                <w:i/>
                <w:iCs/>
              </w:rPr>
              <w:t xml:space="preserve">p) </w:t>
            </w:r>
            <w:r w:rsidRPr="00097A86">
              <w:t>produced by the activity and held within the boundary of the activity during the year measured in tonnes.</w:t>
            </w:r>
          </w:p>
        </w:tc>
      </w:tr>
      <w:tr w:rsidR="0071203C" w:rsidRPr="00097A86" w14:paraId="6A91BAE4" w14:textId="77777777" w:rsidTr="00C20CC2">
        <w:trPr>
          <w:cantSplit/>
        </w:trPr>
        <w:tc>
          <w:tcPr>
            <w:tcW w:w="502" w:type="pct"/>
          </w:tcPr>
          <w:p w14:paraId="18243E4E" w14:textId="77777777" w:rsidR="0071203C" w:rsidRPr="00097A86" w:rsidRDefault="0071203C" w:rsidP="00617697">
            <w:pPr>
              <w:spacing w:before="60" w:after="60"/>
            </w:pPr>
          </w:p>
        </w:tc>
        <w:tc>
          <w:tcPr>
            <w:tcW w:w="4498" w:type="pct"/>
          </w:tcPr>
          <w:p w14:paraId="4176FAE5" w14:textId="77777777" w:rsidR="0071203C" w:rsidRPr="00097A86" w:rsidRDefault="0071203C" w:rsidP="00672A5E">
            <w:pPr>
              <w:pStyle w:val="Definition"/>
              <w:spacing w:before="60" w:after="60"/>
              <w:ind w:left="0"/>
              <w:rPr>
                <w:b/>
                <w:i/>
              </w:rPr>
            </w:pPr>
            <w:r w:rsidRPr="00097A86">
              <w:rPr>
                <w:rFonts w:ascii="Symbol" w:hAnsi="Symbol"/>
                <w:b/>
                <w:i/>
              </w:rPr>
              <w:t></w:t>
            </w:r>
            <w:r w:rsidRPr="00097A86">
              <w:rPr>
                <w:b/>
                <w:i/>
                <w:vertAlign w:val="subscript"/>
              </w:rPr>
              <w:t xml:space="preserve">r </w:t>
            </w:r>
            <w:r w:rsidRPr="00097A86">
              <w:t>has the same meaning as in step 3.</w:t>
            </w:r>
          </w:p>
          <w:p w14:paraId="0C8404C0" w14:textId="77777777" w:rsidR="0071203C" w:rsidRPr="00097A86" w:rsidRDefault="0071203C" w:rsidP="00672A5E">
            <w:pPr>
              <w:pStyle w:val="Definition"/>
              <w:spacing w:before="60" w:after="60"/>
              <w:ind w:left="0"/>
              <w:rPr>
                <w:szCs w:val="22"/>
              </w:rPr>
            </w:pPr>
            <w:r w:rsidRPr="00097A86">
              <w:rPr>
                <w:b/>
                <w:i/>
              </w:rPr>
              <w:t>CCF</w:t>
            </w:r>
            <w:r w:rsidRPr="00097A86">
              <w:rPr>
                <w:b/>
                <w:i/>
                <w:vertAlign w:val="subscript"/>
              </w:rPr>
              <w:t xml:space="preserve">r </w:t>
            </w:r>
            <w:r w:rsidRPr="00097A86">
              <w:t>has the same meaning as in step 3.</w:t>
            </w:r>
          </w:p>
          <w:p w14:paraId="3FB70042" w14:textId="77777777" w:rsidR="0071203C" w:rsidRPr="00097A86" w:rsidRDefault="0071203C" w:rsidP="00672A5E">
            <w:pPr>
              <w:pStyle w:val="Definition"/>
              <w:spacing w:before="60" w:after="60"/>
              <w:ind w:left="0"/>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w:t>
            </w:r>
            <w:r w:rsidRPr="00097A86">
              <w:t>change in stocks</w:t>
            </w:r>
            <w:r w:rsidRPr="00097A86">
              <w:rPr>
                <w:iCs/>
              </w:rPr>
              <w:t xml:space="preserve">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71203C" w:rsidRPr="00097A86" w14:paraId="71BED878" w14:textId="77777777" w:rsidTr="00C20CC2">
        <w:trPr>
          <w:cantSplit/>
        </w:trPr>
        <w:tc>
          <w:tcPr>
            <w:tcW w:w="502" w:type="pct"/>
          </w:tcPr>
          <w:p w14:paraId="73BBB1A3" w14:textId="77777777" w:rsidR="0071203C" w:rsidRPr="00097A86" w:rsidRDefault="0071203C" w:rsidP="00044B27">
            <w:pPr>
              <w:pStyle w:val="Tabletext"/>
              <w:rPr>
                <w:sz w:val="22"/>
                <w:szCs w:val="22"/>
              </w:rPr>
            </w:pPr>
            <w:r w:rsidRPr="00097A86">
              <w:rPr>
                <w:sz w:val="22"/>
                <w:szCs w:val="22"/>
              </w:rPr>
              <w:t>Step 5</w:t>
            </w:r>
          </w:p>
        </w:tc>
        <w:tc>
          <w:tcPr>
            <w:tcW w:w="4498" w:type="pct"/>
          </w:tcPr>
          <w:p w14:paraId="029AC13D" w14:textId="77777777" w:rsidR="0071203C" w:rsidRPr="00097A86" w:rsidRDefault="0071203C" w:rsidP="00044B27">
            <w:pPr>
              <w:pStyle w:val="Tabletext"/>
              <w:rPr>
                <w:sz w:val="22"/>
                <w:szCs w:val="22"/>
              </w:rPr>
            </w:pPr>
            <w:r w:rsidRPr="00097A86">
              <w:rPr>
                <w:sz w:val="22"/>
                <w:szCs w:val="22"/>
              </w:rPr>
              <w:t>Calculate the emissions of carbon dioxide released from the operation of the activity during the year measured in CO</w:t>
            </w:r>
            <w:r w:rsidRPr="00097A86">
              <w:rPr>
                <w:sz w:val="22"/>
                <w:szCs w:val="22"/>
                <w:vertAlign w:val="subscript"/>
              </w:rPr>
              <w:t>2</w:t>
            </w:r>
            <w:r w:rsidR="00097A86">
              <w:rPr>
                <w:sz w:val="22"/>
                <w:szCs w:val="22"/>
                <w:vertAlign w:val="subscript"/>
              </w:rPr>
              <w:noBreakHyphen/>
            </w:r>
            <w:r w:rsidRPr="00097A86">
              <w:rPr>
                <w:sz w:val="22"/>
                <w:szCs w:val="22"/>
              </w:rPr>
              <w:t>e tonnes as follows:</w:t>
            </w:r>
          </w:p>
          <w:p w14:paraId="05F400EE" w14:textId="77777777" w:rsidR="0071203C" w:rsidRPr="00097A86" w:rsidRDefault="0071203C"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7CD44DAD" w14:textId="77777777" w:rsidR="0071203C" w:rsidRPr="00097A86" w:rsidRDefault="0071203C"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p w14:paraId="77B4E4EA" w14:textId="77777777" w:rsidR="0071203C" w:rsidRPr="00097A86" w:rsidRDefault="0071203C" w:rsidP="00617697">
            <w:pPr>
              <w:pStyle w:val="TableP1a"/>
            </w:pPr>
            <w:r w:rsidRPr="00097A86">
              <w:tab/>
              <w:t>(c)</w:t>
            </w:r>
            <w:r w:rsidRPr="00097A86">
              <w:tab/>
              <w:t>multiply amount B by 3.664 to work out the amount of emissions released from the operation of the activity during a year.</w:t>
            </w:r>
          </w:p>
        </w:tc>
      </w:tr>
    </w:tbl>
    <w:p w14:paraId="41837059" w14:textId="77777777" w:rsidR="00565BAB" w:rsidRPr="00097A86" w:rsidRDefault="00565BAB" w:rsidP="00D22D3F">
      <w:pPr>
        <w:pStyle w:val="ActHead5"/>
      </w:pPr>
      <w:bookmarkStart w:id="423" w:name="_Toc13233855"/>
      <w:r w:rsidRPr="00097A86">
        <w:rPr>
          <w:rStyle w:val="CharSectno"/>
        </w:rPr>
        <w:t>4.32</w:t>
      </w:r>
      <w:r w:rsidR="00D22D3F" w:rsidRPr="00097A86">
        <w:t xml:space="preserve">  </w:t>
      </w:r>
      <w:r w:rsidRPr="00097A86">
        <w:t>Method 2</w:t>
      </w:r>
      <w:r w:rsidR="00D22D3F" w:rsidRPr="00097A86">
        <w:t>—</w:t>
      </w:r>
      <w:r w:rsidRPr="00097A86">
        <w:t>production of soda ash</w:t>
      </w:r>
      <w:bookmarkEnd w:id="423"/>
    </w:p>
    <w:p w14:paraId="6A79F0CE" w14:textId="77777777" w:rsidR="00565BAB" w:rsidRPr="00097A86" w:rsidRDefault="00565BAB" w:rsidP="00683F3B">
      <w:pPr>
        <w:pStyle w:val="subsection"/>
        <w:spacing w:after="60"/>
      </w:pPr>
      <w:r w:rsidRPr="00097A86">
        <w:tab/>
      </w:r>
      <w:r w:rsidRPr="00097A86">
        <w:tab/>
        <w:t>Method 2 is:</w:t>
      </w:r>
    </w:p>
    <w:tbl>
      <w:tblPr>
        <w:tblW w:w="5000" w:type="pct"/>
        <w:tblLook w:val="0000" w:firstRow="0" w:lastRow="0" w:firstColumn="0" w:lastColumn="0" w:noHBand="0" w:noVBand="0"/>
      </w:tblPr>
      <w:tblGrid>
        <w:gridCol w:w="969"/>
        <w:gridCol w:w="7344"/>
      </w:tblGrid>
      <w:tr w:rsidR="00683F3B" w:rsidRPr="00097A86" w14:paraId="1200CA8A" w14:textId="77777777" w:rsidTr="00C20CC2">
        <w:trPr>
          <w:cantSplit/>
          <w:trHeight w:val="80"/>
        </w:trPr>
        <w:tc>
          <w:tcPr>
            <w:tcW w:w="583" w:type="pct"/>
          </w:tcPr>
          <w:p w14:paraId="6317ECF2" w14:textId="77777777" w:rsidR="00683F3B" w:rsidRPr="00097A86" w:rsidRDefault="00683F3B" w:rsidP="00387507">
            <w:pPr>
              <w:pStyle w:val="Tabletext"/>
              <w:rPr>
                <w:sz w:val="22"/>
                <w:szCs w:val="22"/>
              </w:rPr>
            </w:pPr>
            <w:r w:rsidRPr="00097A86">
              <w:rPr>
                <w:sz w:val="22"/>
                <w:szCs w:val="22"/>
              </w:rPr>
              <w:t>Step 1</w:t>
            </w:r>
          </w:p>
        </w:tc>
        <w:tc>
          <w:tcPr>
            <w:tcW w:w="4417" w:type="pct"/>
          </w:tcPr>
          <w:p w14:paraId="27E9DF26" w14:textId="77777777" w:rsidR="00683F3B" w:rsidRPr="00097A86" w:rsidRDefault="00683F3B" w:rsidP="00617697">
            <w:pPr>
              <w:pStyle w:val="TableText0"/>
              <w:keepNext/>
            </w:pPr>
            <w:r w:rsidRPr="00097A86">
              <w:rPr>
                <w:rFonts w:ascii="TimesNewRoman" w:hAnsi="TimesNewRoman" w:cs="TimesNewRoman"/>
                <w:szCs w:val="22"/>
              </w:rPr>
              <w:t>Calculate the carbon content in fuel types (</w:t>
            </w:r>
            <w:r w:rsidRPr="00097A86">
              <w:rPr>
                <w:rFonts w:ascii="TimesNewRoman,BoldItalic" w:hAnsi="TimesNewRoman,BoldItalic" w:cs="TimesNewRoman,BoldItalic"/>
                <w:b/>
                <w:bCs/>
                <w:i/>
                <w:iCs/>
                <w:szCs w:val="22"/>
              </w:rPr>
              <w:t>i</w:t>
            </w:r>
            <w:r w:rsidRPr="00097A86">
              <w:rPr>
                <w:rFonts w:ascii="TimesNewRoman" w:hAnsi="TimesNewRoman" w:cs="TimesNewRoman"/>
                <w:szCs w:val="22"/>
              </w:rPr>
              <w:t>) or carbonate material (</w:t>
            </w:r>
            <w:r w:rsidRPr="00097A86">
              <w:rPr>
                <w:rFonts w:ascii="TimesNewRoman" w:hAnsi="TimesNewRoman" w:cs="TimesNewRoman"/>
                <w:b/>
                <w:i/>
                <w:szCs w:val="22"/>
              </w:rPr>
              <w:t>j</w:t>
            </w:r>
            <w:r w:rsidRPr="00097A86">
              <w:rPr>
                <w:rFonts w:ascii="TimesNewRoman" w:hAnsi="TimesNewRoman" w:cs="TimesNewRoman"/>
                <w:szCs w:val="22"/>
              </w:rPr>
              <w:t>) delivered for the activity during the year measured in tonnes of carbon as follows:</w:t>
            </w:r>
          </w:p>
          <w:p w14:paraId="52228979" w14:textId="77777777" w:rsidR="00683F3B" w:rsidRPr="00097A86" w:rsidRDefault="009E1F90" w:rsidP="00BA13B0">
            <w:pPr>
              <w:pStyle w:val="Formula"/>
              <w:keepNext/>
              <w:ind w:left="13"/>
            </w:pPr>
            <w:r>
              <w:rPr>
                <w:noProof/>
                <w:position w:val="-14"/>
              </w:rPr>
              <w:drawing>
                <wp:inline distT="0" distB="0" distL="0" distR="0" wp14:anchorId="55692DBE" wp14:editId="3F0CB8E6">
                  <wp:extent cx="1647825" cy="238125"/>
                  <wp:effectExtent l="0" t="0" r="9525" b="9525"/>
                  <wp:docPr id="14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tc>
      </w:tr>
      <w:tr w:rsidR="00683F3B" w:rsidRPr="00097A86" w14:paraId="1DB12737" w14:textId="77777777" w:rsidTr="00C20CC2">
        <w:trPr>
          <w:cantSplit/>
          <w:trHeight w:val="80"/>
        </w:trPr>
        <w:tc>
          <w:tcPr>
            <w:tcW w:w="583" w:type="pct"/>
          </w:tcPr>
          <w:p w14:paraId="4366D2F8" w14:textId="77777777" w:rsidR="00683F3B" w:rsidRPr="00097A86" w:rsidRDefault="00683F3B" w:rsidP="00617697">
            <w:pPr>
              <w:spacing w:before="60" w:after="60"/>
            </w:pPr>
          </w:p>
        </w:tc>
        <w:tc>
          <w:tcPr>
            <w:tcW w:w="4417" w:type="pct"/>
          </w:tcPr>
          <w:p w14:paraId="5AB84ED5" w14:textId="77777777" w:rsidR="00683F3B" w:rsidRPr="00097A86" w:rsidRDefault="00683F3B" w:rsidP="00387507">
            <w:pPr>
              <w:pStyle w:val="subsection2"/>
              <w:ind w:left="13"/>
            </w:pPr>
            <w:r w:rsidRPr="00097A86">
              <w:t>where:</w:t>
            </w:r>
          </w:p>
          <w:p w14:paraId="6BB519F1" w14:textId="77777777" w:rsidR="00683F3B" w:rsidRPr="00097A86" w:rsidRDefault="00683F3B" w:rsidP="00672A5E">
            <w:pPr>
              <w:pStyle w:val="Definition"/>
              <w:spacing w:before="60" w:after="60"/>
              <w:ind w:left="0"/>
            </w:pPr>
            <w:r w:rsidRPr="00097A86">
              <w:rPr>
                <w:rFonts w:ascii="TimesNewRoman" w:hAnsi="TimesNewRoman" w:cs="TimesNewRoman"/>
                <w:i/>
                <w:szCs w:val="22"/>
              </w:rPr>
              <w:t>∑</w:t>
            </w:r>
            <w:r w:rsidRPr="00097A86">
              <w:rPr>
                <w:rFonts w:ascii="TimesNewRoman,BoldItalic" w:hAnsi="TimesNewRoman,BoldItalic" w:cs="TimesNewRoman,BoldItalic"/>
                <w:b/>
                <w:bCs/>
                <w:i/>
                <w:iCs/>
                <w:sz w:val="14"/>
                <w:szCs w:val="14"/>
              </w:rPr>
              <w:t>i</w:t>
            </w:r>
            <w:r w:rsidRPr="00097A86">
              <w:rPr>
                <w:b/>
                <w:i/>
                <w:vertAlign w:val="subscript"/>
              </w:rPr>
              <w:t xml:space="preserve"> </w:t>
            </w:r>
            <w:r w:rsidRPr="00097A86">
              <w:t>means sum the carbon content values obtained for all fuel types (</w:t>
            </w:r>
            <w:r w:rsidRPr="00097A86">
              <w:rPr>
                <w:b/>
                <w:i/>
              </w:rPr>
              <w:t>i</w:t>
            </w:r>
            <w:r w:rsidRPr="00097A86">
              <w:t>).</w:t>
            </w:r>
          </w:p>
        </w:tc>
      </w:tr>
      <w:tr w:rsidR="00683F3B" w:rsidRPr="00097A86" w14:paraId="2DBB2C09" w14:textId="77777777" w:rsidTr="00C20CC2">
        <w:trPr>
          <w:cantSplit/>
          <w:trHeight w:val="80"/>
        </w:trPr>
        <w:tc>
          <w:tcPr>
            <w:tcW w:w="583" w:type="pct"/>
          </w:tcPr>
          <w:p w14:paraId="303A3BC7" w14:textId="77777777" w:rsidR="00683F3B" w:rsidRPr="00097A86" w:rsidRDefault="00683F3B" w:rsidP="00617697">
            <w:pPr>
              <w:spacing w:before="60" w:after="60"/>
            </w:pPr>
          </w:p>
        </w:tc>
        <w:tc>
          <w:tcPr>
            <w:tcW w:w="4417" w:type="pct"/>
          </w:tcPr>
          <w:p w14:paraId="4514101E" w14:textId="77777777" w:rsidR="00683F3B" w:rsidRPr="00097A86" w:rsidRDefault="00683F3B" w:rsidP="00672A5E">
            <w:pPr>
              <w:pStyle w:val="Definition"/>
              <w:spacing w:before="60" w:after="60"/>
              <w:ind w:left="0"/>
            </w:pPr>
            <w:r w:rsidRPr="00097A86">
              <w:rPr>
                <w:rFonts w:ascii="TimesNewRoman,BoldItalic" w:hAnsi="TimesNewRoman,BoldItalic" w:cs="TimesNewRoman,BoldItalic"/>
                <w:b/>
                <w:bCs/>
                <w:i/>
                <w:iCs/>
                <w:szCs w:val="22"/>
              </w:rPr>
              <w:t>CCF</w:t>
            </w:r>
            <w:r w:rsidRPr="00097A86">
              <w:rPr>
                <w:rFonts w:ascii="TimesNewRoman,BoldItalic" w:hAnsi="TimesNewRoman,BoldItalic" w:cs="TimesNewRoman,BoldItalic"/>
                <w:b/>
                <w:bCs/>
                <w:i/>
                <w:iCs/>
                <w:sz w:val="14"/>
                <w:szCs w:val="14"/>
              </w:rPr>
              <w:t xml:space="preserve">i </w:t>
            </w:r>
            <w:r w:rsidRPr="00097A86">
              <w:rPr>
                <w:rFonts w:ascii="TimesNewRoman" w:hAnsi="TimesNewRoman" w:cs="TimesNewRoman"/>
                <w:szCs w:val="22"/>
              </w:rPr>
              <w:t>is the carbon content factor measured in tonnes of carbon for each appropriate unit of fuel type (</w:t>
            </w:r>
            <w:r w:rsidRPr="00097A86">
              <w:rPr>
                <w:rFonts w:ascii="TimesNewRoman,BoldItalic" w:hAnsi="TimesNewRoman,BoldItalic" w:cs="TimesNewRoman,BoldItalic"/>
                <w:b/>
                <w:bCs/>
                <w:i/>
                <w:iCs/>
                <w:szCs w:val="22"/>
              </w:rPr>
              <w:t>i</w:t>
            </w:r>
            <w:r w:rsidRPr="00097A86">
              <w:rPr>
                <w:rFonts w:ascii="TimesNewRoman" w:hAnsi="TimesNewRoman" w:cs="TimesNewRoman"/>
                <w:szCs w:val="22"/>
              </w:rPr>
              <w:t>) consumed during the year from the operation of the activity.</w:t>
            </w:r>
          </w:p>
        </w:tc>
      </w:tr>
      <w:tr w:rsidR="00683F3B" w:rsidRPr="00097A86" w14:paraId="738D7836" w14:textId="77777777" w:rsidTr="00C20CC2">
        <w:trPr>
          <w:cantSplit/>
          <w:trHeight w:val="80"/>
        </w:trPr>
        <w:tc>
          <w:tcPr>
            <w:tcW w:w="583" w:type="pct"/>
          </w:tcPr>
          <w:p w14:paraId="009526A5" w14:textId="77777777" w:rsidR="00683F3B" w:rsidRPr="00097A86" w:rsidRDefault="00683F3B" w:rsidP="00617697">
            <w:pPr>
              <w:spacing w:before="60" w:after="60"/>
            </w:pPr>
          </w:p>
        </w:tc>
        <w:tc>
          <w:tcPr>
            <w:tcW w:w="4417" w:type="pct"/>
          </w:tcPr>
          <w:p w14:paraId="74F84574" w14:textId="77777777" w:rsidR="00683F3B" w:rsidRPr="00097A86" w:rsidRDefault="00683F3B" w:rsidP="00672A5E">
            <w:pPr>
              <w:pStyle w:val="Definition"/>
              <w:spacing w:before="60" w:after="60"/>
              <w:ind w:left="0"/>
              <w:rPr>
                <w:rFonts w:ascii="TimesNewRoman" w:hAnsi="TimesNewRoman" w:cs="TimesNewRoman"/>
                <w:szCs w:val="22"/>
              </w:rPr>
            </w:pPr>
            <w:r w:rsidRPr="00097A86">
              <w:rPr>
                <w:rFonts w:ascii="TimesNewRoman,BoldItalic" w:hAnsi="TimesNewRoman,BoldItalic" w:cs="TimesNewRoman,BoldItalic"/>
                <w:b/>
                <w:bCs/>
                <w:i/>
                <w:iCs/>
                <w:szCs w:val="22"/>
              </w:rPr>
              <w:t>Q</w:t>
            </w:r>
            <w:r w:rsidRPr="00097A86">
              <w:rPr>
                <w:rFonts w:ascii="TimesNewRoman,BoldItalic" w:hAnsi="TimesNewRoman,BoldItalic" w:cs="TimesNewRoman,BoldItalic"/>
                <w:b/>
                <w:bCs/>
                <w:i/>
                <w:iCs/>
                <w:sz w:val="14"/>
                <w:szCs w:val="14"/>
              </w:rPr>
              <w:t xml:space="preserve">i </w:t>
            </w:r>
            <w:r w:rsidRPr="00097A86">
              <w:rPr>
                <w:rFonts w:ascii="TimesNewRoman" w:hAnsi="TimesNewRoman" w:cs="TimesNewRoman"/>
                <w:szCs w:val="22"/>
              </w:rPr>
              <w:t>is the quantity of fuel type (</w:t>
            </w:r>
            <w:r w:rsidRPr="00097A86">
              <w:rPr>
                <w:rFonts w:ascii="TimesNewRoman,BoldItalic" w:hAnsi="TimesNewRoman,BoldItalic" w:cs="TimesNewRoman,BoldItalic"/>
                <w:b/>
                <w:bCs/>
                <w:i/>
                <w:iCs/>
                <w:szCs w:val="22"/>
              </w:rPr>
              <w:t>i</w:t>
            </w:r>
            <w:r w:rsidRPr="00097A86">
              <w:rPr>
                <w:rFonts w:ascii="TimesNewRoman" w:hAnsi="TimesNewRoman" w:cs="TimesNewRoman"/>
                <w:szCs w:val="22"/>
              </w:rPr>
              <w:t>) delivered for the activity during the year measured in an appropriate unit and estimated in accordance with Divisions</w:t>
            </w:r>
            <w:r w:rsidR="00097A86">
              <w:rPr>
                <w:rFonts w:ascii="TimesNewRoman" w:hAnsi="TimesNewRoman" w:cs="TimesNewRoman"/>
                <w:szCs w:val="22"/>
              </w:rPr>
              <w:t> </w:t>
            </w:r>
            <w:r w:rsidRPr="00097A86">
              <w:rPr>
                <w:rFonts w:ascii="TimesNewRoman" w:hAnsi="TimesNewRoman" w:cs="TimesNewRoman"/>
                <w:szCs w:val="22"/>
              </w:rPr>
              <w:t>2.2.5, 2.3.6 and 2.4.6.</w:t>
            </w:r>
          </w:p>
        </w:tc>
      </w:tr>
      <w:tr w:rsidR="00683F3B" w:rsidRPr="00097A86" w14:paraId="57D9397E" w14:textId="77777777" w:rsidTr="00C20CC2">
        <w:trPr>
          <w:cantSplit/>
          <w:trHeight w:val="80"/>
        </w:trPr>
        <w:tc>
          <w:tcPr>
            <w:tcW w:w="583" w:type="pct"/>
          </w:tcPr>
          <w:p w14:paraId="1549ABC7" w14:textId="77777777" w:rsidR="00683F3B" w:rsidRPr="00097A86" w:rsidRDefault="00683F3B" w:rsidP="00617697">
            <w:pPr>
              <w:spacing w:before="60" w:after="60"/>
            </w:pPr>
          </w:p>
        </w:tc>
        <w:tc>
          <w:tcPr>
            <w:tcW w:w="4417" w:type="pct"/>
          </w:tcPr>
          <w:p w14:paraId="464FA405" w14:textId="77777777" w:rsidR="00683F3B" w:rsidRPr="00097A86" w:rsidRDefault="00683F3B" w:rsidP="00672A5E">
            <w:pPr>
              <w:pStyle w:val="Definition"/>
              <w:spacing w:before="60" w:after="60"/>
              <w:ind w:left="0"/>
              <w:rPr>
                <w:rFonts w:ascii="TimesNewRoman" w:hAnsi="TimesNewRoman" w:cs="TimesNewRoman"/>
                <w:szCs w:val="22"/>
              </w:rPr>
            </w:pPr>
            <w:r w:rsidRPr="00097A86">
              <w:rPr>
                <w:rFonts w:ascii="TimesNewRoman" w:hAnsi="TimesNewRoman" w:cs="TimesNewRoman"/>
                <w:i/>
                <w:szCs w:val="22"/>
              </w:rPr>
              <w:t>∑</w:t>
            </w:r>
            <w:r w:rsidRPr="00097A86">
              <w:rPr>
                <w:rFonts w:ascii="TimesNewRoman,BoldItalic" w:hAnsi="TimesNewRoman,BoldItalic" w:cs="TimesNewRoman,BoldItalic"/>
                <w:b/>
                <w:bCs/>
                <w:i/>
                <w:iCs/>
                <w:sz w:val="14"/>
                <w:szCs w:val="14"/>
              </w:rPr>
              <w:t>j</w:t>
            </w:r>
            <w:r w:rsidRPr="00097A86">
              <w:rPr>
                <w:b/>
                <w:i/>
              </w:rPr>
              <w:t xml:space="preserve"> </w:t>
            </w:r>
            <w:r w:rsidRPr="00097A86">
              <w:rPr>
                <w:rFonts w:ascii="TimesNewRoman" w:hAnsi="TimesNewRoman" w:cs="TimesNewRoman"/>
                <w:szCs w:val="22"/>
              </w:rPr>
              <w:t>means sum the carbon content values obtained for all pure carbonate material (</w:t>
            </w:r>
            <w:r w:rsidRPr="00097A86">
              <w:rPr>
                <w:rFonts w:ascii="TimesNewRoman" w:hAnsi="TimesNewRoman" w:cs="TimesNewRoman"/>
                <w:b/>
                <w:i/>
                <w:szCs w:val="22"/>
              </w:rPr>
              <w:t>j</w:t>
            </w:r>
            <w:r w:rsidRPr="00097A86">
              <w:rPr>
                <w:rFonts w:ascii="TimesNewRoman" w:hAnsi="TimesNewRoman" w:cs="TimesNewRoman"/>
                <w:szCs w:val="22"/>
              </w:rPr>
              <w:t>).</w:t>
            </w:r>
          </w:p>
          <w:p w14:paraId="78542C87" w14:textId="77777777" w:rsidR="00683F3B" w:rsidRPr="00097A86" w:rsidRDefault="00683F3B" w:rsidP="00672A5E">
            <w:pPr>
              <w:pStyle w:val="Definition"/>
              <w:spacing w:before="60" w:after="60"/>
              <w:ind w:left="0"/>
              <w:rPr>
                <w:szCs w:val="22"/>
              </w:rPr>
            </w:pPr>
            <w:r w:rsidRPr="00097A86">
              <w:rPr>
                <w:rFonts w:ascii="TimesNewRoman,BoldItalic" w:hAnsi="TimesNewRoman,BoldItalic" w:cs="TimesNewRoman,BoldItalic"/>
                <w:b/>
                <w:bCs/>
                <w:i/>
                <w:iCs/>
                <w:szCs w:val="22"/>
              </w:rPr>
              <w:t>CCF</w:t>
            </w:r>
            <w:r w:rsidRPr="00097A86">
              <w:rPr>
                <w:rFonts w:ascii="TimesNewRoman,BoldItalic" w:hAnsi="TimesNewRoman,BoldItalic" w:cs="TimesNewRoman,BoldItalic"/>
                <w:b/>
                <w:bCs/>
                <w:i/>
                <w:iCs/>
                <w:sz w:val="14"/>
                <w:szCs w:val="14"/>
              </w:rPr>
              <w:t xml:space="preserve">j </w:t>
            </w:r>
            <w:r w:rsidRPr="00097A86">
              <w:rPr>
                <w:rFonts w:ascii="TimesNewRoman" w:hAnsi="TimesNewRoman" w:cs="TimesNewRoman"/>
                <w:szCs w:val="22"/>
              </w:rPr>
              <w:t>is the carbon content factor measured in tonnes of carbon for each pure carbonate material (</w:t>
            </w:r>
            <w:r w:rsidRPr="00097A86">
              <w:rPr>
                <w:rFonts w:ascii="TimesNewRoman" w:hAnsi="TimesNewRoman" w:cs="TimesNewRoman"/>
                <w:b/>
                <w:i/>
                <w:szCs w:val="22"/>
              </w:rPr>
              <w:t>j</w:t>
            </w:r>
            <w:r w:rsidRPr="00097A86">
              <w:rPr>
                <w:rFonts w:ascii="TimesNewRoman" w:hAnsi="TimesNewRoman" w:cs="TimesNewRoman"/>
                <w:szCs w:val="22"/>
              </w:rPr>
              <w:t>) consumed during the year from the operation of the activity.</w:t>
            </w:r>
          </w:p>
          <w:p w14:paraId="503D39A4" w14:textId="77777777" w:rsidR="00683F3B" w:rsidRPr="00097A86" w:rsidRDefault="00683F3B" w:rsidP="00672A5E">
            <w:pPr>
              <w:pStyle w:val="Definition"/>
              <w:spacing w:before="60" w:after="60"/>
              <w:ind w:left="0"/>
            </w:pPr>
            <w:r w:rsidRPr="00097A86">
              <w:rPr>
                <w:rFonts w:ascii="TimesNewRoman" w:hAnsi="TimesNewRoman" w:cs="TimesNewRoman"/>
                <w:b/>
                <w:i/>
                <w:szCs w:val="28"/>
              </w:rPr>
              <w:t>L</w:t>
            </w:r>
            <w:r w:rsidRPr="00097A86">
              <w:rPr>
                <w:rFonts w:ascii="TimesNewRoman" w:hAnsi="TimesNewRoman" w:cs="TimesNewRoman"/>
                <w:b/>
                <w:i/>
                <w:sz w:val="14"/>
                <w:szCs w:val="18"/>
              </w:rPr>
              <w:t>j</w:t>
            </w:r>
            <w:r w:rsidRPr="00097A86">
              <w:rPr>
                <w:rFonts w:ascii="TimesNewRoman" w:hAnsi="TimesNewRoman" w:cs="TimesNewRoman"/>
                <w:sz w:val="18"/>
                <w:szCs w:val="18"/>
              </w:rPr>
              <w:t xml:space="preserve"> </w:t>
            </w:r>
            <w:r w:rsidRPr="00097A86">
              <w:rPr>
                <w:rFonts w:ascii="TimesNewRoman" w:hAnsi="TimesNewRoman" w:cs="TimesNewRoman"/>
                <w:szCs w:val="18"/>
              </w:rPr>
              <w:t xml:space="preserve">is the quantity of pure carbonate material </w:t>
            </w:r>
            <w:r w:rsidRPr="00097A86">
              <w:rPr>
                <w:rFonts w:ascii="TimesNewRoman" w:hAnsi="TimesNewRoman" w:cs="TimesNewRoman"/>
                <w:szCs w:val="22"/>
              </w:rPr>
              <w:t>(</w:t>
            </w:r>
            <w:r w:rsidRPr="00097A86">
              <w:rPr>
                <w:rFonts w:ascii="TimesNewRoman" w:hAnsi="TimesNewRoman" w:cs="TimesNewRoman"/>
                <w:b/>
                <w:i/>
                <w:szCs w:val="22"/>
              </w:rPr>
              <w:t>j</w:t>
            </w:r>
            <w:r w:rsidRPr="00097A86">
              <w:rPr>
                <w:rFonts w:ascii="TimesNewRoman" w:hAnsi="TimesNewRoman" w:cs="TimesNewRoman"/>
                <w:szCs w:val="22"/>
              </w:rPr>
              <w:t xml:space="preserve">) </w:t>
            </w:r>
            <w:r w:rsidRPr="00097A86">
              <w:rPr>
                <w:rFonts w:ascii="TimesNewRoman" w:hAnsi="TimesNewRoman" w:cs="TimesNewRoman"/>
                <w:szCs w:val="18"/>
              </w:rPr>
              <w:t xml:space="preserve">delivered for the activity during the year measured in tonnes and estimated </w:t>
            </w:r>
            <w:r w:rsidRPr="00097A86">
              <w:rPr>
                <w:rFonts w:ascii="TimesNewRoman" w:hAnsi="TimesNewRoman" w:cs="TimesNewRoman"/>
                <w:szCs w:val="22"/>
              </w:rPr>
              <w:t>in accordance with Division</w:t>
            </w:r>
            <w:r w:rsidR="00097A86">
              <w:rPr>
                <w:rFonts w:ascii="TimesNewRoman" w:hAnsi="TimesNewRoman" w:cs="TimesNewRoman"/>
                <w:szCs w:val="22"/>
              </w:rPr>
              <w:t> </w:t>
            </w:r>
            <w:r w:rsidRPr="00097A86">
              <w:rPr>
                <w:rFonts w:ascii="TimesNewRoman" w:hAnsi="TimesNewRoman" w:cs="TimesNewRoman"/>
                <w:szCs w:val="22"/>
              </w:rPr>
              <w:t>4.2.5.</w:t>
            </w:r>
          </w:p>
        </w:tc>
      </w:tr>
      <w:tr w:rsidR="00683F3B" w:rsidRPr="00097A86" w14:paraId="39D592B4" w14:textId="77777777" w:rsidTr="00C20CC2">
        <w:trPr>
          <w:cantSplit/>
        </w:trPr>
        <w:tc>
          <w:tcPr>
            <w:tcW w:w="583" w:type="pct"/>
            <w:vMerge w:val="restart"/>
          </w:tcPr>
          <w:p w14:paraId="437F8CB6" w14:textId="77777777" w:rsidR="00683F3B" w:rsidRPr="00097A86" w:rsidRDefault="00683F3B" w:rsidP="00387507">
            <w:pPr>
              <w:pStyle w:val="Tabletext"/>
              <w:rPr>
                <w:sz w:val="22"/>
                <w:szCs w:val="22"/>
              </w:rPr>
            </w:pPr>
            <w:r w:rsidRPr="00097A86">
              <w:rPr>
                <w:sz w:val="22"/>
                <w:szCs w:val="22"/>
              </w:rPr>
              <w:t>Step 2</w:t>
            </w:r>
          </w:p>
        </w:tc>
        <w:tc>
          <w:tcPr>
            <w:tcW w:w="4417" w:type="pct"/>
          </w:tcPr>
          <w:p w14:paraId="0F45F837" w14:textId="77777777" w:rsidR="00683F3B" w:rsidRPr="00097A86" w:rsidRDefault="00683F3B" w:rsidP="00387507">
            <w:pPr>
              <w:pStyle w:val="Tabletext"/>
              <w:rPr>
                <w:sz w:val="22"/>
                <w:szCs w:val="22"/>
              </w:rPr>
            </w:pPr>
            <w:r w:rsidRPr="00097A86">
              <w:rPr>
                <w:sz w:val="22"/>
                <w:szCs w:val="22"/>
              </w:rPr>
              <w:t>Calculate the carbon content in products (p) leaving the activity during the year measured in tonnes of carbon as follows:</w:t>
            </w:r>
          </w:p>
          <w:p w14:paraId="0A4FFE25" w14:textId="77777777" w:rsidR="00683F3B" w:rsidRPr="00097A86" w:rsidRDefault="009E1F90" w:rsidP="00387507">
            <w:pPr>
              <w:pStyle w:val="Tabletext"/>
              <w:rPr>
                <w:sz w:val="22"/>
                <w:szCs w:val="22"/>
              </w:rPr>
            </w:pPr>
            <w:r>
              <w:rPr>
                <w:noProof/>
                <w:sz w:val="22"/>
                <w:szCs w:val="22"/>
              </w:rPr>
              <w:drawing>
                <wp:inline distT="0" distB="0" distL="0" distR="0" wp14:anchorId="661E3874" wp14:editId="30689F5F">
                  <wp:extent cx="876300" cy="238125"/>
                  <wp:effectExtent l="0" t="0" r="0" b="9525"/>
                  <wp:docPr id="14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r>
      <w:tr w:rsidR="00683F3B" w:rsidRPr="00097A86" w14:paraId="16AD0F9E" w14:textId="77777777" w:rsidTr="00C20CC2">
        <w:trPr>
          <w:cantSplit/>
        </w:trPr>
        <w:tc>
          <w:tcPr>
            <w:tcW w:w="583" w:type="pct"/>
            <w:vMerge/>
          </w:tcPr>
          <w:p w14:paraId="5169E53F" w14:textId="77777777" w:rsidR="00683F3B" w:rsidRPr="00097A86" w:rsidRDefault="00683F3B" w:rsidP="00617697">
            <w:pPr>
              <w:spacing w:before="60" w:after="60"/>
            </w:pPr>
          </w:p>
        </w:tc>
        <w:tc>
          <w:tcPr>
            <w:tcW w:w="4417" w:type="pct"/>
          </w:tcPr>
          <w:p w14:paraId="668C8444" w14:textId="77777777" w:rsidR="00683F3B" w:rsidRPr="00097A86" w:rsidRDefault="00683F3B" w:rsidP="00387507">
            <w:pPr>
              <w:pStyle w:val="subsection2"/>
              <w:ind w:left="13"/>
            </w:pPr>
            <w:r w:rsidRPr="00097A86">
              <w:t>where:</w:t>
            </w:r>
          </w:p>
          <w:p w14:paraId="37BB1180" w14:textId="77777777" w:rsidR="00683F3B" w:rsidRPr="00097A86" w:rsidRDefault="00683F3B" w:rsidP="00672A5E">
            <w:pPr>
              <w:pStyle w:val="Definition"/>
              <w:spacing w:before="60" w:after="60"/>
              <w:ind w:left="0"/>
            </w:pPr>
            <w:r w:rsidRPr="00097A86">
              <w:rPr>
                <w:rFonts w:ascii="TimesNewRoman" w:hAnsi="TimesNewRoman" w:cs="TimesNewRoman"/>
                <w:b/>
                <w:i/>
                <w:szCs w:val="22"/>
              </w:rPr>
              <w:t>∑</w:t>
            </w:r>
            <w:r w:rsidRPr="00097A86">
              <w:rPr>
                <w:rFonts w:ascii="TimesNewRoman,BoldItalic" w:hAnsi="TimesNewRoman,BoldItalic" w:cs="TimesNewRoman,BoldItalic"/>
                <w:b/>
                <w:bCs/>
                <w:i/>
                <w:iCs/>
                <w:sz w:val="14"/>
                <w:szCs w:val="14"/>
              </w:rPr>
              <w:t xml:space="preserve">p </w:t>
            </w:r>
            <w:r w:rsidRPr="00097A86">
              <w:rPr>
                <w:rFonts w:ascii="TimesNewRoman" w:hAnsi="TimesNewRoman" w:cs="TimesNewRoman"/>
                <w:szCs w:val="22"/>
              </w:rPr>
              <w:t>means sum the carbon content values obtained for all product types (</w:t>
            </w:r>
            <w:r w:rsidRPr="00097A86">
              <w:rPr>
                <w:rFonts w:ascii="TimesNewRoman,BoldItalic" w:hAnsi="TimesNewRoman,BoldItalic" w:cs="TimesNewRoman,BoldItalic"/>
                <w:b/>
                <w:bCs/>
                <w:i/>
                <w:iCs/>
                <w:szCs w:val="22"/>
              </w:rPr>
              <w:t>p</w:t>
            </w:r>
            <w:r w:rsidRPr="00097A86">
              <w:rPr>
                <w:rFonts w:ascii="TimesNewRoman" w:hAnsi="TimesNewRoman" w:cs="TimesNewRoman"/>
                <w:szCs w:val="22"/>
              </w:rPr>
              <w:t>).</w:t>
            </w:r>
          </w:p>
          <w:p w14:paraId="1E9B2B73" w14:textId="77777777" w:rsidR="00683F3B" w:rsidRPr="00097A86" w:rsidRDefault="00683F3B" w:rsidP="00672A5E">
            <w:pPr>
              <w:pStyle w:val="Definition"/>
              <w:spacing w:before="60" w:after="60"/>
              <w:ind w:left="0"/>
              <w:rPr>
                <w:rFonts w:ascii="TimesNewRoman" w:hAnsi="TimesNewRoman" w:cs="TimesNewRoman"/>
                <w:szCs w:val="22"/>
              </w:rPr>
            </w:pPr>
            <w:r w:rsidRPr="00097A86">
              <w:rPr>
                <w:rFonts w:ascii="TimesNewRoman,BoldItalic" w:hAnsi="TimesNewRoman,BoldItalic" w:cs="TimesNewRoman,BoldItalic"/>
                <w:b/>
                <w:bCs/>
                <w:i/>
                <w:iCs/>
                <w:szCs w:val="22"/>
              </w:rPr>
              <w:t>CCF</w:t>
            </w:r>
            <w:r w:rsidRPr="00097A86">
              <w:rPr>
                <w:rFonts w:ascii="TimesNewRoman,BoldItalic" w:hAnsi="TimesNewRoman,BoldItalic" w:cs="TimesNewRoman,BoldItalic"/>
                <w:b/>
                <w:bCs/>
                <w:i/>
                <w:iCs/>
                <w:sz w:val="14"/>
                <w:szCs w:val="14"/>
              </w:rPr>
              <w:t xml:space="preserve">p </w:t>
            </w:r>
            <w:r w:rsidRPr="00097A86">
              <w:rPr>
                <w:rFonts w:ascii="TimesNewRoman" w:hAnsi="TimesNewRoman" w:cs="TimesNewRoman"/>
                <w:szCs w:val="22"/>
              </w:rPr>
              <w:t>is the carbon content factor measured in tonnes of carbon for each tonne of product type (</w:t>
            </w:r>
            <w:r w:rsidRPr="00097A86">
              <w:rPr>
                <w:rFonts w:ascii="TimesNewRoman,BoldItalic" w:hAnsi="TimesNewRoman,BoldItalic" w:cs="TimesNewRoman,BoldItalic"/>
                <w:b/>
                <w:bCs/>
                <w:i/>
                <w:iCs/>
                <w:szCs w:val="22"/>
              </w:rPr>
              <w:t>p</w:t>
            </w:r>
            <w:r w:rsidRPr="00097A86">
              <w:rPr>
                <w:rFonts w:ascii="TimesNewRoman" w:hAnsi="TimesNewRoman" w:cs="TimesNewRoman"/>
                <w:szCs w:val="22"/>
              </w:rPr>
              <w:t>) produced during the year.</w:t>
            </w:r>
          </w:p>
          <w:p w14:paraId="41DEAD59" w14:textId="77777777" w:rsidR="00683F3B" w:rsidRPr="00097A86" w:rsidRDefault="00683F3B" w:rsidP="00672A5E">
            <w:pPr>
              <w:pStyle w:val="Definition"/>
              <w:spacing w:before="60" w:after="60"/>
              <w:ind w:left="0"/>
            </w:pPr>
            <w:r w:rsidRPr="00097A86">
              <w:rPr>
                <w:rFonts w:ascii="TimesNewRoman,BoldItalic" w:hAnsi="TimesNewRoman,BoldItalic" w:cs="TimesNewRoman,BoldItalic"/>
                <w:b/>
                <w:bCs/>
                <w:i/>
                <w:iCs/>
                <w:szCs w:val="22"/>
              </w:rPr>
              <w:t>A</w:t>
            </w:r>
            <w:r w:rsidRPr="00097A86">
              <w:rPr>
                <w:rFonts w:ascii="TimesNewRoman,BoldItalic" w:hAnsi="TimesNewRoman,BoldItalic" w:cs="TimesNewRoman,BoldItalic"/>
                <w:b/>
                <w:bCs/>
                <w:i/>
                <w:iCs/>
                <w:sz w:val="14"/>
                <w:szCs w:val="14"/>
              </w:rPr>
              <w:t xml:space="preserve">p </w:t>
            </w:r>
            <w:r w:rsidRPr="00097A86">
              <w:rPr>
                <w:rFonts w:ascii="TimesNewRoman" w:hAnsi="TimesNewRoman" w:cs="TimesNewRoman"/>
                <w:szCs w:val="22"/>
              </w:rPr>
              <w:t>is the quantity of product types (</w:t>
            </w:r>
            <w:r w:rsidRPr="00097A86">
              <w:rPr>
                <w:rFonts w:ascii="TimesNewRoman,BoldItalic" w:hAnsi="TimesNewRoman,BoldItalic" w:cs="TimesNewRoman,BoldItalic"/>
                <w:b/>
                <w:bCs/>
                <w:i/>
                <w:iCs/>
                <w:szCs w:val="22"/>
              </w:rPr>
              <w:t>p</w:t>
            </w:r>
            <w:r w:rsidRPr="00097A86">
              <w:rPr>
                <w:rFonts w:ascii="TimesNewRoman" w:hAnsi="TimesNewRoman" w:cs="TimesNewRoman"/>
                <w:szCs w:val="22"/>
              </w:rPr>
              <w:t>) produced leaving the activity during the year measured in tonnes.</w:t>
            </w:r>
          </w:p>
        </w:tc>
      </w:tr>
      <w:tr w:rsidR="00683F3B" w:rsidRPr="00097A86" w14:paraId="57D1D95A" w14:textId="77777777" w:rsidTr="00C20CC2">
        <w:trPr>
          <w:cantSplit/>
        </w:trPr>
        <w:tc>
          <w:tcPr>
            <w:tcW w:w="583" w:type="pct"/>
            <w:vMerge w:val="restart"/>
          </w:tcPr>
          <w:p w14:paraId="083CE38A" w14:textId="77777777" w:rsidR="00683F3B" w:rsidRPr="00097A86" w:rsidRDefault="00683F3B" w:rsidP="00387507">
            <w:pPr>
              <w:pStyle w:val="Tabletext"/>
              <w:rPr>
                <w:sz w:val="22"/>
                <w:szCs w:val="22"/>
              </w:rPr>
            </w:pPr>
            <w:r w:rsidRPr="00097A86">
              <w:rPr>
                <w:sz w:val="22"/>
                <w:szCs w:val="22"/>
              </w:rPr>
              <w:t>Step 3</w:t>
            </w:r>
          </w:p>
        </w:tc>
        <w:tc>
          <w:tcPr>
            <w:tcW w:w="4417" w:type="pct"/>
          </w:tcPr>
          <w:p w14:paraId="22F1CF05" w14:textId="77777777" w:rsidR="00683F3B" w:rsidRPr="00097A86" w:rsidRDefault="00683F3B" w:rsidP="00617697">
            <w:pPr>
              <w:pStyle w:val="TableText0"/>
              <w:rPr>
                <w:iCs/>
              </w:rPr>
            </w:pPr>
            <w:r w:rsidRPr="00097A86">
              <w:rPr>
                <w:iCs/>
              </w:rPr>
              <w:t xml:space="preserve">Calculate </w:t>
            </w:r>
            <w:r w:rsidRPr="00097A86">
              <w:t xml:space="preserve">the carbon content in </w:t>
            </w:r>
            <w:r w:rsidRPr="00097A86">
              <w:rPr>
                <w:iCs/>
              </w:rPr>
              <w:t>waste by</w:t>
            </w:r>
            <w:r w:rsidR="00097A86">
              <w:rPr>
                <w:iCs/>
              </w:rPr>
              <w:noBreakHyphen/>
            </w:r>
            <w:r w:rsidRPr="00097A86">
              <w:rPr>
                <w:iCs/>
              </w:rPr>
              <w:t xml:space="preserve">product types </w:t>
            </w:r>
            <w:r w:rsidRPr="00097A86">
              <w:rPr>
                <w:b/>
                <w:i/>
              </w:rPr>
              <w:t xml:space="preserve">(r) </w:t>
            </w:r>
            <w:r w:rsidRPr="00097A86">
              <w:t>leaving the activity,</w:t>
            </w:r>
            <w:r w:rsidRPr="00097A86">
              <w:rPr>
                <w:iCs/>
              </w:rPr>
              <w:t xml:space="preserve"> other than as an emission of greenhouse gas, during the year, </w:t>
            </w:r>
            <w:r w:rsidRPr="00097A86">
              <w:t xml:space="preserve">measured in tonnes of carbon, </w:t>
            </w:r>
            <w:r w:rsidRPr="00097A86">
              <w:rPr>
                <w:iCs/>
              </w:rPr>
              <w:t>as follows:</w:t>
            </w:r>
          </w:p>
          <w:p w14:paraId="319FBAE6" w14:textId="77777777" w:rsidR="00683F3B" w:rsidRPr="00097A86" w:rsidRDefault="009E1F90" w:rsidP="00BA13B0">
            <w:pPr>
              <w:pStyle w:val="Formula"/>
              <w:ind w:left="13"/>
            </w:pPr>
            <w:r>
              <w:rPr>
                <w:noProof/>
                <w:position w:val="-10"/>
              </w:rPr>
              <w:drawing>
                <wp:inline distT="0" distB="0" distL="0" distR="0" wp14:anchorId="38B6C233" wp14:editId="5644EB54">
                  <wp:extent cx="800100" cy="219075"/>
                  <wp:effectExtent l="0" t="0" r="0" b="9525"/>
                  <wp:docPr id="14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p>
        </w:tc>
      </w:tr>
      <w:tr w:rsidR="00683F3B" w:rsidRPr="00097A86" w14:paraId="7AB39847" w14:textId="77777777" w:rsidTr="00C20CC2">
        <w:trPr>
          <w:cantSplit/>
        </w:trPr>
        <w:tc>
          <w:tcPr>
            <w:tcW w:w="583" w:type="pct"/>
            <w:vMerge/>
          </w:tcPr>
          <w:p w14:paraId="288C3CB2" w14:textId="77777777" w:rsidR="00683F3B" w:rsidRPr="00097A86" w:rsidRDefault="00683F3B" w:rsidP="00617697">
            <w:pPr>
              <w:spacing w:before="60" w:after="60"/>
            </w:pPr>
          </w:p>
        </w:tc>
        <w:tc>
          <w:tcPr>
            <w:tcW w:w="4417" w:type="pct"/>
          </w:tcPr>
          <w:p w14:paraId="27013AD4" w14:textId="77777777" w:rsidR="00683F3B" w:rsidRPr="00097A86" w:rsidRDefault="00683F3B" w:rsidP="00387507">
            <w:pPr>
              <w:pStyle w:val="subsection2"/>
              <w:ind w:left="13"/>
            </w:pPr>
            <w:r w:rsidRPr="00097A86">
              <w:t>where:</w:t>
            </w:r>
          </w:p>
          <w:p w14:paraId="753A9966" w14:textId="77777777" w:rsidR="00683F3B" w:rsidRPr="00097A86" w:rsidRDefault="00683F3B" w:rsidP="00617697">
            <w:pPr>
              <w:pStyle w:val="TableText0"/>
            </w:pPr>
            <w:r w:rsidRPr="00097A86">
              <w:rPr>
                <w:rFonts w:ascii="Symbol" w:hAnsi="Symbol"/>
                <w:b/>
                <w:i/>
              </w:rPr>
              <w:t></w:t>
            </w:r>
            <w:r w:rsidRPr="00097A86">
              <w:rPr>
                <w:b/>
                <w:i/>
                <w:vertAlign w:val="subscript"/>
              </w:rPr>
              <w:t xml:space="preserve">r </w:t>
            </w:r>
            <w:r w:rsidRPr="00097A86">
              <w:t>means sum the carbon content values obtained for all waste by</w:t>
            </w:r>
            <w:r w:rsidR="00097A86">
              <w:noBreakHyphen/>
            </w:r>
            <w:r w:rsidRPr="00097A86">
              <w:t>product types (</w:t>
            </w:r>
            <w:r w:rsidRPr="00097A86">
              <w:rPr>
                <w:b/>
                <w:i/>
              </w:rPr>
              <w:t>r</w:t>
            </w:r>
            <w:r w:rsidRPr="00097A86">
              <w:t>).</w:t>
            </w:r>
          </w:p>
          <w:p w14:paraId="641BDBB5" w14:textId="77777777" w:rsidR="00683F3B" w:rsidRPr="00097A86" w:rsidRDefault="00683F3B" w:rsidP="00672A5E">
            <w:pPr>
              <w:pStyle w:val="Definition"/>
              <w:spacing w:before="60" w:after="60"/>
              <w:ind w:left="0"/>
              <w:rPr>
                <w:szCs w:val="22"/>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1BC8A01F" w14:textId="77777777" w:rsidR="00683F3B" w:rsidRPr="00097A86" w:rsidRDefault="00683F3B" w:rsidP="00672A5E">
            <w:pPr>
              <w:pStyle w:val="Definition"/>
              <w:spacing w:before="60" w:after="60"/>
              <w:ind w:left="0"/>
            </w:pPr>
            <w:r w:rsidRPr="00097A86">
              <w:rPr>
                <w:b/>
                <w:i/>
              </w:rPr>
              <w:t>Y</w:t>
            </w:r>
            <w:r w:rsidRPr="00097A86">
              <w:rPr>
                <w:b/>
                <w:i/>
                <w:vertAlign w:val="subscript"/>
              </w:rPr>
              <w:t xml:space="preserve">r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683F3B" w:rsidRPr="00097A86" w14:paraId="0556843E" w14:textId="77777777" w:rsidTr="00C20CC2">
        <w:trPr>
          <w:cantSplit/>
        </w:trPr>
        <w:tc>
          <w:tcPr>
            <w:tcW w:w="583" w:type="pct"/>
            <w:vMerge w:val="restart"/>
          </w:tcPr>
          <w:p w14:paraId="56E5E5E2" w14:textId="77777777" w:rsidR="00683F3B" w:rsidRPr="00097A86" w:rsidRDefault="00683F3B" w:rsidP="00387507">
            <w:pPr>
              <w:pStyle w:val="Tabletext"/>
              <w:rPr>
                <w:sz w:val="22"/>
                <w:szCs w:val="22"/>
              </w:rPr>
            </w:pPr>
            <w:r w:rsidRPr="00097A86">
              <w:rPr>
                <w:sz w:val="22"/>
                <w:szCs w:val="22"/>
              </w:rPr>
              <w:t>Step 4</w:t>
            </w:r>
          </w:p>
        </w:tc>
        <w:tc>
          <w:tcPr>
            <w:tcW w:w="4417" w:type="pct"/>
          </w:tcPr>
          <w:p w14:paraId="4CB10650" w14:textId="77777777" w:rsidR="00683F3B" w:rsidRPr="00097A86" w:rsidRDefault="00683F3B" w:rsidP="00617697">
            <w:pPr>
              <w:pStyle w:val="TableText0"/>
              <w:rPr>
                <w:iCs/>
              </w:rPr>
            </w:pPr>
            <w:r w:rsidRPr="00097A86">
              <w:t>Calculate the carbon content in the amount of the change in stocks</w:t>
            </w:r>
            <w:r w:rsidRPr="00097A86">
              <w:rPr>
                <w:iCs/>
              </w:rPr>
              <w:t xml:space="preserve"> of inputs, products and waste by</w:t>
            </w:r>
            <w:r w:rsidR="00097A86">
              <w:rPr>
                <w:b/>
                <w:iCs/>
              </w:rPr>
              <w:noBreakHyphen/>
            </w:r>
            <w:r w:rsidRPr="00097A86">
              <w:rPr>
                <w:iCs/>
              </w:rPr>
              <w:t>products held within the boundary of the activity during the year in tonnes of carbon as follows:</w:t>
            </w:r>
          </w:p>
          <w:p w14:paraId="3E4C0487" w14:textId="77777777" w:rsidR="00683F3B" w:rsidRPr="00097A86" w:rsidRDefault="009E1F90" w:rsidP="00BA13B0">
            <w:pPr>
              <w:pStyle w:val="Formula"/>
              <w:ind w:left="13"/>
            </w:pPr>
            <w:r>
              <w:rPr>
                <w:noProof/>
                <w:position w:val="-12"/>
              </w:rPr>
              <w:drawing>
                <wp:inline distT="0" distB="0" distL="0" distR="0" wp14:anchorId="2D04D653" wp14:editId="2D9EFBB4">
                  <wp:extent cx="4124325" cy="161925"/>
                  <wp:effectExtent l="0" t="0" r="9525" b="9525"/>
                  <wp:docPr id="1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124325" cy="161925"/>
                          </a:xfrm>
                          <a:prstGeom prst="rect">
                            <a:avLst/>
                          </a:prstGeom>
                          <a:noFill/>
                          <a:ln>
                            <a:noFill/>
                          </a:ln>
                        </pic:spPr>
                      </pic:pic>
                    </a:graphicData>
                  </a:graphic>
                </wp:inline>
              </w:drawing>
            </w:r>
          </w:p>
        </w:tc>
      </w:tr>
      <w:tr w:rsidR="00683F3B" w:rsidRPr="00097A86" w14:paraId="737B44B6" w14:textId="77777777" w:rsidTr="00C20CC2">
        <w:trPr>
          <w:cantSplit/>
        </w:trPr>
        <w:tc>
          <w:tcPr>
            <w:tcW w:w="583" w:type="pct"/>
            <w:vMerge/>
          </w:tcPr>
          <w:p w14:paraId="631BDFCA" w14:textId="77777777" w:rsidR="00683F3B" w:rsidRPr="00097A86" w:rsidRDefault="00683F3B" w:rsidP="00617697">
            <w:pPr>
              <w:spacing w:before="60" w:after="60"/>
            </w:pPr>
          </w:p>
        </w:tc>
        <w:tc>
          <w:tcPr>
            <w:tcW w:w="4417" w:type="pct"/>
          </w:tcPr>
          <w:p w14:paraId="3F653B19" w14:textId="77777777" w:rsidR="00683F3B" w:rsidRPr="00097A86" w:rsidRDefault="00683F3B" w:rsidP="00387507">
            <w:pPr>
              <w:pStyle w:val="subsection2"/>
              <w:ind w:left="13"/>
            </w:pPr>
            <w:r w:rsidRPr="00097A86">
              <w:t>where:</w:t>
            </w:r>
          </w:p>
          <w:p w14:paraId="29990B72" w14:textId="77777777" w:rsidR="00683F3B" w:rsidRPr="00097A86" w:rsidRDefault="00683F3B" w:rsidP="00672A5E">
            <w:pPr>
              <w:pStyle w:val="Definition"/>
              <w:spacing w:before="60" w:after="60"/>
              <w:ind w:left="0"/>
              <w:rPr>
                <w:b/>
                <w:i/>
              </w:rPr>
            </w:pPr>
            <w:r w:rsidRPr="00097A86">
              <w:rPr>
                <w:rFonts w:ascii="Symbol" w:hAnsi="Symbol"/>
                <w:b/>
                <w:i/>
              </w:rPr>
              <w:t></w:t>
            </w:r>
            <w:r w:rsidRPr="00097A86">
              <w:rPr>
                <w:b/>
                <w:i/>
                <w:vertAlign w:val="subscript"/>
              </w:rPr>
              <w:t xml:space="preserve">i </w:t>
            </w:r>
            <w:r w:rsidRPr="00097A86">
              <w:t>has the same meaning as in step 1.</w:t>
            </w:r>
          </w:p>
          <w:p w14:paraId="6F58D453" w14:textId="77777777" w:rsidR="00683F3B" w:rsidRPr="00097A86" w:rsidRDefault="00683F3B" w:rsidP="00672A5E">
            <w:pPr>
              <w:pStyle w:val="Definition"/>
              <w:spacing w:before="60" w:after="60"/>
              <w:ind w:left="0"/>
              <w:rPr>
                <w:iCs/>
              </w:rPr>
            </w:pPr>
            <w:r w:rsidRPr="00097A86">
              <w:rPr>
                <w:b/>
                <w:i/>
              </w:rPr>
              <w:t>CCF</w:t>
            </w:r>
            <w:r w:rsidRPr="00097A86">
              <w:rPr>
                <w:b/>
                <w:i/>
                <w:vertAlign w:val="subscript"/>
              </w:rPr>
              <w:t xml:space="preserve">i </w:t>
            </w:r>
            <w:r w:rsidRPr="00097A86">
              <w:t>has the same meaning as in step 1.</w:t>
            </w:r>
          </w:p>
          <w:p w14:paraId="3DD67208" w14:textId="77777777" w:rsidR="00683F3B" w:rsidRPr="00097A86" w:rsidRDefault="00683F3B" w:rsidP="00672A5E">
            <w:pPr>
              <w:pStyle w:val="Definition"/>
              <w:spacing w:before="60" w:after="60"/>
              <w:ind w:left="0"/>
              <w:rPr>
                <w:szCs w:val="22"/>
              </w:rPr>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qi </w:t>
            </w:r>
            <w:r w:rsidRPr="00097A86">
              <w:rPr>
                <w:rFonts w:ascii="TimesNewRoman" w:hAnsi="TimesNewRoman" w:cs="TimesNewRoman"/>
                <w:szCs w:val="22"/>
              </w:rPr>
              <w:t xml:space="preserve">is the </w:t>
            </w:r>
            <w:r w:rsidRPr="00097A86">
              <w:t>change in stocks</w:t>
            </w:r>
            <w:r w:rsidRPr="00097A86">
              <w:rPr>
                <w:rFonts w:ascii="TimesNewRoman" w:hAnsi="TimesNewRoman" w:cs="TimesNewRoman"/>
                <w:szCs w:val="22"/>
              </w:rPr>
              <w:t xml:space="preserve"> of fuel type (</w:t>
            </w:r>
            <w:r w:rsidRPr="00097A86">
              <w:rPr>
                <w:rFonts w:ascii="TimesNewRoman,BoldItalic" w:hAnsi="TimesNewRoman,BoldItalic" w:cs="TimesNewRoman,BoldItalic"/>
                <w:b/>
                <w:bCs/>
                <w:i/>
                <w:iCs/>
                <w:szCs w:val="22"/>
              </w:rPr>
              <w:t>i</w:t>
            </w:r>
            <w:r w:rsidRPr="00097A86">
              <w:rPr>
                <w:rFonts w:ascii="TimesNewRoman" w:hAnsi="TimesNewRoman" w:cs="TimesNewRoman"/>
                <w:szCs w:val="22"/>
              </w:rPr>
              <w:t>) for the activity and held within the boundary of the activity during the year measured in tonnes.</w:t>
            </w:r>
          </w:p>
          <w:p w14:paraId="66E17CBD" w14:textId="77777777" w:rsidR="00683F3B" w:rsidRPr="00097A86" w:rsidRDefault="00683F3B" w:rsidP="00672A5E">
            <w:pPr>
              <w:pStyle w:val="Definition"/>
              <w:spacing w:before="60" w:after="60"/>
              <w:ind w:left="0"/>
              <w:rPr>
                <w:rFonts w:ascii="TimesNewRoman" w:hAnsi="TimesNewRoman" w:cs="TimesNewRoman"/>
                <w:szCs w:val="22"/>
              </w:rPr>
            </w:pPr>
            <w:r w:rsidRPr="00097A86">
              <w:rPr>
                <w:rFonts w:ascii="Symbol" w:hAnsi="Symbol"/>
                <w:b/>
                <w:i/>
              </w:rPr>
              <w:t></w:t>
            </w:r>
            <w:r w:rsidRPr="00097A86">
              <w:rPr>
                <w:b/>
                <w:i/>
                <w:vertAlign w:val="subscript"/>
              </w:rPr>
              <w:t xml:space="preserve">j </w:t>
            </w:r>
            <w:r w:rsidRPr="00097A86">
              <w:t>has the same meaning as in step 1.</w:t>
            </w:r>
          </w:p>
        </w:tc>
      </w:tr>
      <w:tr w:rsidR="00683F3B" w:rsidRPr="00097A86" w14:paraId="47562D75" w14:textId="77777777" w:rsidTr="00C20CC2">
        <w:trPr>
          <w:cantSplit/>
        </w:trPr>
        <w:tc>
          <w:tcPr>
            <w:tcW w:w="583" w:type="pct"/>
            <w:vMerge/>
          </w:tcPr>
          <w:p w14:paraId="5B07E317" w14:textId="77777777" w:rsidR="00683F3B" w:rsidRPr="00097A86" w:rsidRDefault="00683F3B" w:rsidP="00617697">
            <w:pPr>
              <w:spacing w:before="60" w:after="60"/>
            </w:pPr>
          </w:p>
        </w:tc>
        <w:tc>
          <w:tcPr>
            <w:tcW w:w="4417" w:type="pct"/>
          </w:tcPr>
          <w:p w14:paraId="589FD5A0" w14:textId="77777777" w:rsidR="00683F3B" w:rsidRPr="00097A86" w:rsidRDefault="00683F3B" w:rsidP="00617697">
            <w:pPr>
              <w:pStyle w:val="TableText0"/>
              <w:rPr>
                <w:rFonts w:ascii="TimesNewRoman" w:hAnsi="TimesNewRoman" w:cs="TimesNewRoman"/>
                <w:szCs w:val="22"/>
              </w:rPr>
            </w:pPr>
            <w:r w:rsidRPr="00097A86">
              <w:rPr>
                <w:rFonts w:ascii="TimesNewRoman,BoldItalic" w:hAnsi="TimesNewRoman,BoldItalic" w:cs="TimesNewRoman,BoldItalic"/>
                <w:b/>
                <w:bCs/>
                <w:i/>
                <w:iCs/>
                <w:szCs w:val="22"/>
              </w:rPr>
              <w:t>CCF</w:t>
            </w:r>
            <w:r w:rsidRPr="00097A86">
              <w:rPr>
                <w:rFonts w:ascii="TimesNewRoman,BoldItalic" w:hAnsi="TimesNewRoman,BoldItalic" w:cs="TimesNewRoman,BoldItalic"/>
                <w:b/>
                <w:bCs/>
                <w:i/>
                <w:iCs/>
                <w:sz w:val="14"/>
                <w:szCs w:val="14"/>
              </w:rPr>
              <w:t xml:space="preserve">j </w:t>
            </w:r>
            <w:r w:rsidRPr="00097A86">
              <w:rPr>
                <w:rFonts w:ascii="TimesNewRoman" w:hAnsi="TimesNewRoman" w:cs="TimesNewRoman"/>
                <w:szCs w:val="22"/>
              </w:rPr>
              <w:t>has the same meaning as in step 1.</w:t>
            </w:r>
          </w:p>
          <w:p w14:paraId="06D34707" w14:textId="77777777" w:rsidR="00683F3B" w:rsidRPr="00097A86" w:rsidRDefault="00683F3B" w:rsidP="00617697">
            <w:pPr>
              <w:pStyle w:val="TableText0"/>
              <w:rPr>
                <w:iCs/>
              </w:rPr>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qj </w:t>
            </w:r>
            <w:r w:rsidRPr="00097A86">
              <w:rPr>
                <w:rFonts w:ascii="TimesNewRoman" w:hAnsi="TimesNewRoman" w:cs="TimesNewRoman"/>
                <w:szCs w:val="22"/>
              </w:rPr>
              <w:t xml:space="preserve">is the </w:t>
            </w:r>
            <w:r w:rsidRPr="00097A86">
              <w:t>change in stocks</w:t>
            </w:r>
            <w:r w:rsidRPr="00097A86">
              <w:rPr>
                <w:rFonts w:ascii="TimesNewRoman" w:hAnsi="TimesNewRoman" w:cs="TimesNewRoman"/>
                <w:szCs w:val="22"/>
              </w:rPr>
              <w:t xml:space="preserve"> of pure carbonate material (</w:t>
            </w:r>
            <w:r w:rsidRPr="00097A86">
              <w:rPr>
                <w:rFonts w:ascii="TimesNewRoman" w:hAnsi="TimesNewRoman" w:cs="TimesNewRoman"/>
                <w:b/>
                <w:i/>
                <w:szCs w:val="22"/>
              </w:rPr>
              <w:t>j</w:t>
            </w:r>
            <w:r w:rsidRPr="00097A86">
              <w:rPr>
                <w:rFonts w:ascii="TimesNewRoman" w:hAnsi="TimesNewRoman" w:cs="TimesNewRoman"/>
                <w:szCs w:val="22"/>
              </w:rPr>
              <w:t>) for the activity and held within the boundary of the activity during the year measured in tonnes.</w:t>
            </w:r>
          </w:p>
          <w:p w14:paraId="72587A3B" w14:textId="77777777" w:rsidR="00683F3B" w:rsidRPr="00097A86" w:rsidRDefault="00683F3B" w:rsidP="00617697">
            <w:pPr>
              <w:pStyle w:val="TableText0"/>
              <w:rPr>
                <w:b/>
                <w:i/>
              </w:rPr>
            </w:pPr>
            <w:r w:rsidRPr="00097A86">
              <w:rPr>
                <w:rFonts w:ascii="Symbol" w:hAnsi="Symbol"/>
                <w:b/>
                <w:i/>
              </w:rPr>
              <w:t></w:t>
            </w:r>
            <w:r w:rsidRPr="00097A86">
              <w:rPr>
                <w:b/>
                <w:i/>
                <w:vertAlign w:val="subscript"/>
              </w:rPr>
              <w:t xml:space="preserve">p </w:t>
            </w:r>
            <w:r w:rsidRPr="00097A86">
              <w:t>has the same meaning as in step 2.</w:t>
            </w:r>
          </w:p>
        </w:tc>
      </w:tr>
      <w:tr w:rsidR="00683F3B" w:rsidRPr="00097A86" w14:paraId="2EF069FF" w14:textId="77777777" w:rsidTr="00C20CC2">
        <w:trPr>
          <w:cantSplit/>
        </w:trPr>
        <w:tc>
          <w:tcPr>
            <w:tcW w:w="583" w:type="pct"/>
            <w:vMerge/>
          </w:tcPr>
          <w:p w14:paraId="501ABD71" w14:textId="77777777" w:rsidR="00683F3B" w:rsidRPr="00097A86" w:rsidRDefault="00683F3B" w:rsidP="00617697">
            <w:pPr>
              <w:spacing w:before="60" w:after="60"/>
            </w:pPr>
          </w:p>
        </w:tc>
        <w:tc>
          <w:tcPr>
            <w:tcW w:w="4417" w:type="pct"/>
          </w:tcPr>
          <w:p w14:paraId="2CE26D05" w14:textId="77777777" w:rsidR="00683F3B" w:rsidRPr="00097A86" w:rsidRDefault="00683F3B" w:rsidP="00617697">
            <w:pPr>
              <w:pStyle w:val="TableText0"/>
              <w:rPr>
                <w:b/>
                <w:i/>
                <w:iCs/>
              </w:rPr>
            </w:pPr>
            <w:r w:rsidRPr="00097A86">
              <w:rPr>
                <w:b/>
                <w:i/>
              </w:rPr>
              <w:t>CCF</w:t>
            </w:r>
            <w:r w:rsidRPr="00097A86">
              <w:rPr>
                <w:b/>
                <w:i/>
                <w:vertAlign w:val="subscript"/>
              </w:rPr>
              <w:t xml:space="preserve">p </w:t>
            </w:r>
            <w:r w:rsidRPr="00097A86">
              <w:t>has the same meaning as in step 2.</w:t>
            </w:r>
          </w:p>
          <w:p w14:paraId="057D31E9" w14:textId="77777777" w:rsidR="00683F3B" w:rsidRPr="00097A86" w:rsidRDefault="00683F3B" w:rsidP="00617697">
            <w:pPr>
              <w:autoSpaceDE w:val="0"/>
              <w:autoSpaceDN w:val="0"/>
              <w:adjustRightInd w:val="0"/>
              <w:rPr>
                <w:rFonts w:ascii="TimesNewRoman" w:hAnsi="TimesNewRoman" w:cs="TimesNewRoman"/>
                <w:szCs w:val="22"/>
              </w:rPr>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ap </w:t>
            </w:r>
            <w:r w:rsidRPr="00097A86">
              <w:rPr>
                <w:rFonts w:ascii="TimesNewRoman" w:hAnsi="TimesNewRoman" w:cs="TimesNewRoman"/>
                <w:szCs w:val="22"/>
              </w:rPr>
              <w:t xml:space="preserve">is the </w:t>
            </w:r>
            <w:r w:rsidRPr="00097A86">
              <w:t>change in stocks</w:t>
            </w:r>
            <w:r w:rsidRPr="00097A86">
              <w:rPr>
                <w:rFonts w:ascii="TimesNewRoman" w:hAnsi="TimesNewRoman" w:cs="TimesNewRoman"/>
                <w:szCs w:val="22"/>
              </w:rPr>
              <w:t xml:space="preserve"> of product types (</w:t>
            </w:r>
            <w:r w:rsidRPr="00097A86">
              <w:rPr>
                <w:rFonts w:ascii="TimesNewRoman,BoldItalic" w:hAnsi="TimesNewRoman,BoldItalic" w:cs="TimesNewRoman,BoldItalic"/>
                <w:b/>
                <w:bCs/>
                <w:i/>
                <w:iCs/>
                <w:szCs w:val="22"/>
              </w:rPr>
              <w:t xml:space="preserve">p) </w:t>
            </w:r>
            <w:r w:rsidRPr="00097A86">
              <w:rPr>
                <w:rFonts w:ascii="TimesNewRoman" w:hAnsi="TimesNewRoman" w:cs="TimesNewRoman"/>
                <w:szCs w:val="22"/>
              </w:rPr>
              <w:t>produced by the activity and held within the boundary of the activity during the year measured in tonnes.</w:t>
            </w:r>
          </w:p>
        </w:tc>
      </w:tr>
      <w:tr w:rsidR="00683F3B" w:rsidRPr="00097A86" w14:paraId="50ADF91B" w14:textId="77777777" w:rsidTr="00C20CC2">
        <w:trPr>
          <w:cantSplit/>
          <w:trHeight w:val="1470"/>
        </w:trPr>
        <w:tc>
          <w:tcPr>
            <w:tcW w:w="583" w:type="pct"/>
          </w:tcPr>
          <w:p w14:paraId="581F37DF" w14:textId="77777777" w:rsidR="00683F3B" w:rsidRPr="00097A86" w:rsidRDefault="00683F3B" w:rsidP="00617697">
            <w:pPr>
              <w:spacing w:before="60" w:after="60"/>
            </w:pPr>
          </w:p>
        </w:tc>
        <w:tc>
          <w:tcPr>
            <w:tcW w:w="4417" w:type="pct"/>
          </w:tcPr>
          <w:p w14:paraId="40AF56DB" w14:textId="77777777" w:rsidR="00683F3B" w:rsidRPr="00097A86" w:rsidRDefault="00683F3B" w:rsidP="00672A5E">
            <w:pPr>
              <w:pStyle w:val="Definition"/>
              <w:spacing w:before="60" w:after="60"/>
              <w:ind w:left="0"/>
              <w:rPr>
                <w:b/>
                <w:i/>
              </w:rPr>
            </w:pPr>
            <w:r w:rsidRPr="00097A86">
              <w:rPr>
                <w:rFonts w:ascii="Symbol" w:hAnsi="Symbol"/>
                <w:b/>
                <w:i/>
              </w:rPr>
              <w:t></w:t>
            </w:r>
            <w:r w:rsidRPr="00097A86">
              <w:rPr>
                <w:b/>
                <w:i/>
                <w:vertAlign w:val="subscript"/>
              </w:rPr>
              <w:t xml:space="preserve">r </w:t>
            </w:r>
            <w:r w:rsidRPr="00097A86">
              <w:t>has the same meaning as in step 3.</w:t>
            </w:r>
          </w:p>
          <w:p w14:paraId="21A3D82B" w14:textId="77777777" w:rsidR="00683F3B" w:rsidRPr="00097A86" w:rsidRDefault="00683F3B" w:rsidP="00672A5E">
            <w:pPr>
              <w:pStyle w:val="Definition"/>
              <w:spacing w:before="60" w:after="60"/>
              <w:ind w:left="0"/>
              <w:rPr>
                <w:b/>
                <w:i/>
                <w:iCs/>
              </w:rPr>
            </w:pPr>
            <w:r w:rsidRPr="00097A86">
              <w:rPr>
                <w:b/>
                <w:i/>
              </w:rPr>
              <w:t>CCF</w:t>
            </w:r>
            <w:r w:rsidRPr="00097A86">
              <w:rPr>
                <w:b/>
                <w:i/>
                <w:vertAlign w:val="subscript"/>
              </w:rPr>
              <w:t xml:space="preserve">r </w:t>
            </w:r>
            <w:r w:rsidRPr="00097A86">
              <w:t>has the same meaning as in step 3.</w:t>
            </w:r>
          </w:p>
          <w:p w14:paraId="25A89D79" w14:textId="77777777" w:rsidR="00683F3B" w:rsidRPr="00097A86" w:rsidRDefault="00683F3B" w:rsidP="00672A5E">
            <w:pPr>
              <w:pStyle w:val="Definition"/>
              <w:spacing w:before="60" w:after="60"/>
              <w:ind w:left="0"/>
            </w:pPr>
            <w:r w:rsidRPr="00097A86">
              <w:rPr>
                <w:rFonts w:ascii="TimesNewRoman,BoldItalic" w:hAnsi="TimesNewRoman,BoldItalic" w:cs="TimesNewRoman,BoldItalic"/>
                <w:b/>
                <w:bCs/>
                <w:i/>
                <w:iCs/>
                <w:szCs w:val="22"/>
              </w:rPr>
              <w:t>Δs</w:t>
            </w:r>
            <w:r w:rsidRPr="00097A86">
              <w:rPr>
                <w:rFonts w:ascii="TimesNewRoman,BoldItalic" w:hAnsi="TimesNewRoman,BoldItalic" w:cs="TimesNewRoman,BoldItalic"/>
                <w:b/>
                <w:bCs/>
                <w:i/>
                <w:iCs/>
                <w:sz w:val="14"/>
                <w:szCs w:val="14"/>
              </w:rPr>
              <w:t xml:space="preserve">yr </w:t>
            </w:r>
            <w:r w:rsidRPr="00097A86">
              <w:rPr>
                <w:rFonts w:ascii="TimesNewRoman" w:hAnsi="TimesNewRoman" w:cs="TimesNewRoman"/>
                <w:szCs w:val="22"/>
              </w:rPr>
              <w:t xml:space="preserve">is the </w:t>
            </w:r>
            <w:r w:rsidRPr="00097A86">
              <w:t>change in stocks</w:t>
            </w:r>
            <w:r w:rsidRPr="00097A86">
              <w:rPr>
                <w:rFonts w:ascii="TimesNewRoman" w:hAnsi="TimesNewRoman" w:cs="TimesNewRoman"/>
                <w:szCs w:val="22"/>
              </w:rPr>
              <w:t xml:space="preserve"> of waste by</w:t>
            </w:r>
            <w:r w:rsidR="00097A86">
              <w:rPr>
                <w:rFonts w:ascii="TimesNewRoman" w:hAnsi="TimesNewRoman" w:cs="TimesNewRoman"/>
                <w:szCs w:val="22"/>
              </w:rPr>
              <w:noBreakHyphen/>
            </w:r>
            <w:r w:rsidRPr="00097A86">
              <w:rPr>
                <w:rFonts w:ascii="TimesNewRoman" w:hAnsi="TimesNewRoman" w:cs="TimesNewRoman"/>
                <w:szCs w:val="22"/>
              </w:rPr>
              <w:t>product types (</w:t>
            </w:r>
            <w:r w:rsidRPr="00097A86">
              <w:rPr>
                <w:rFonts w:ascii="TimesNewRoman,BoldItalic" w:hAnsi="TimesNewRoman,BoldItalic" w:cs="TimesNewRoman,BoldItalic"/>
                <w:b/>
                <w:bCs/>
                <w:i/>
                <w:iCs/>
                <w:szCs w:val="22"/>
              </w:rPr>
              <w:t>r</w:t>
            </w:r>
            <w:r w:rsidRPr="00097A86">
              <w:rPr>
                <w:rFonts w:ascii="TimesNewRoman" w:hAnsi="TimesNewRoman" w:cs="TimesNewRoman"/>
                <w:szCs w:val="22"/>
              </w:rPr>
              <w:t>) produced from the operation of the activity and held within the boundary of the activity during the year measured in tonnes.</w:t>
            </w:r>
          </w:p>
        </w:tc>
      </w:tr>
      <w:tr w:rsidR="00387507" w:rsidRPr="00097A86" w14:paraId="5EF5D3F4" w14:textId="77777777" w:rsidTr="00C20CC2">
        <w:trPr>
          <w:cantSplit/>
        </w:trPr>
        <w:tc>
          <w:tcPr>
            <w:tcW w:w="583" w:type="pct"/>
          </w:tcPr>
          <w:p w14:paraId="3D3A6BF5" w14:textId="77777777" w:rsidR="00387507" w:rsidRPr="00097A86" w:rsidRDefault="00387507" w:rsidP="008A3026">
            <w:pPr>
              <w:spacing w:before="60" w:after="60"/>
              <w:rPr>
                <w:i/>
              </w:rPr>
            </w:pPr>
          </w:p>
        </w:tc>
        <w:tc>
          <w:tcPr>
            <w:tcW w:w="4417" w:type="pct"/>
          </w:tcPr>
          <w:p w14:paraId="054C661B" w14:textId="77777777" w:rsidR="00387507" w:rsidRPr="00097A86" w:rsidRDefault="00387507" w:rsidP="008A3026">
            <w:pPr>
              <w:pStyle w:val="TableText0"/>
              <w:rPr>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472B0228" wp14:editId="57FE833C">
                      <wp:extent cx="232410" cy="283845"/>
                      <wp:effectExtent l="0" t="0" r="0" b="1905"/>
                      <wp:docPr id="9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Rectangle 4"/>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36E7" w14:textId="77777777" w:rsidR="00497E3C" w:rsidRDefault="00497E3C" w:rsidP="00387507">
                                    <w:r w:rsidRPr="000A5860">
                                      <w:rPr>
                                        <w:color w:val="000000"/>
                                        <w:position w:val="-12"/>
                                        <w:sz w:val="16"/>
                                        <w:szCs w:val="16"/>
                                        <w:lang w:val="en-US"/>
                                      </w:rPr>
                                      <w:t>1</w:t>
                                    </w:r>
                                  </w:p>
                                </w:txbxContent>
                              </wps:txbx>
                              <wps:bodyPr rot="0" vert="horz" wrap="none" lIns="0" tIns="0" rIns="0" bIns="0" anchor="t" anchorCtr="0" upright="1">
                                <a:noAutofit/>
                              </wps:bodyPr>
                            </wps:wsp>
                            <wps:wsp>
                              <wps:cNvPr id="96" name="Line 5"/>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6"/>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3973" w14:textId="77777777" w:rsidR="00497E3C" w:rsidRPr="000A5860" w:rsidRDefault="00497E3C" w:rsidP="00387507">
                                    <w:pPr>
                                      <w:spacing w:line="276" w:lineRule="auto"/>
                                      <w:rPr>
                                        <w:position w:val="-12"/>
                                        <w:sz w:val="16"/>
                                        <w:szCs w:val="16"/>
                                      </w:rPr>
                                    </w:pPr>
                                    <w:r w:rsidRPr="000A5860">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472B0228" id="_x0000_s1041" editas="canvas" style="width:18.3pt;height:22.35pt;mso-position-horizontal-relative:char;mso-position-vertical-relative:line" coordsize="23241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QdewMAAMAMAAAOAAAAZHJzL2Uyb0RvYy54bWzsV11vmzAUfZ+0/2D5nfIRQgIqqdqkmSZ1&#10;W7VuP8ABE6yBjWw3pJv233dtIElbVevaqepDeSDGNtf345xzyfHJtq7QhkrFBE+xf+RhRHkmcsbX&#10;Kf7+belMMVKa8JxUgtMU31CFT2bv3x23TUIDUYoqpxKBEa6StklxqXWTuK7KSloTdSQaymGxELIm&#10;Gh7l2s0lacF6XbmB50VuK2TeSJFRpWB20S3imbVfFDTTX4pCUY2qFINv2t6lva/M3Z0dk2QtSVOy&#10;rHeDPMGLmjAOh+5MLYgm6Fqye6ZqlkmhRKGPMlG7oihYRm0MEI3v3YlmTviGKBtMBtkZHITRf7S7&#10;Whu/uViyqoJsuGA9MXPmt4X6UJhsG6iOanZ1Us87/6okDbVhqST7vLmUiOUpjscYcVIDSL5C2Qhf&#10;VxSFpkDmdNh21VxK46pqLkT2QyEu5iXsoqdSirakJAevfLMfQjh4wTwoeBWt2k8iB+vkWgtbq20h&#10;a2MQqoC2KZ6OpgFA5AaseH7UQ4NuNcpgceyHI/AvM6t+NA3tskuSwUYjlf5ARY3MIMUSIrBnkM2F&#10;0sYnkgxbbqWbJBW/NQEbuxk4GV41a8YHi6VfsRefT8+noRMG0bkTeouFc7qch0609CfjxWgxny/8&#10;3+ZcP0xKlueUm6oOuPbDx5WtZ1iHyB2ylahYbswZl5Rcr+aVRBsCvFray2YeVvbb3Ntu2CRALHdC&#10;8oPQOwtiZxlNJ064DMdOPPGmjufHZ3HkhXG4WN4O6YJx+vyQUGsQF4xtlQ6cvhObZ6/7sZGkZhqU&#10;q2I1IGe3iSQGiOc8h5KTRBNWdeODVBj396mAcg+FtrA1SO0Qr7erreVFNHBgJfIbwLEUADAAKqgu&#10;DEohf2LUgoKlmIPEYlR95MAEI3bDQA6D1TAgPIMXU6wx6oZz3YnidSPZugS7vk0MF6fAloJZCBsm&#10;dT70HANJeCltiAZtsNUfDykBWZjzS9mLxKNo7o8AXx3NR7EXWVMdxwzPA2/sez3RI2B8R90HWF5B&#10;KW2aHsNyAzjfezLcpLjuUfUQwl6pbuw7y0Ny8DAHOrSZGhjsvSDcJgPc9q1oR8MXaEU9PqNoBFC1&#10;UmJ6gMVnEAf7RjQJJ3+B6Fsjgn51oL5dA+sQ99aI/q0RTQbVfZ2NyH65wlerba79J735Dj98tkqy&#10;/+Mx+wMAAP//AwBQSwMEFAAGAAgAAAAhALh8ihjcAAAAAwEAAA8AAABkcnMvZG93bnJldi54bWxM&#10;j8FKw0AQhu+C77CM4KXYXW2JGrMpRRA8aLFVsMdpdkyC2dmQ3bbx7R296GVg+H+++aZYjL5TBxpi&#10;G9jC5dSAIq6Ca7m28Pb6cHEDKiZkh11gsvBFERbl6UmBuQtHXtNhk2olEI45WmhS6nOtY9WQxzgN&#10;PbFkH2HwmGQdau0GPArcd/rKmEx7bFkuNNjTfUPV52bvhXI7WU5W7/z4vBqfqmy9NbPti7H2/Gxc&#10;3oFKNKa/MvzoizqU4rQLe3ZRdRbkkfQ7JZtlGaidhfn8GnRZ6P/u5TcAAAD//wMAUEsBAi0AFAAG&#10;AAgAAAAhALaDOJL+AAAA4QEAABMAAAAAAAAAAAAAAAAAAAAAAFtDb250ZW50X1R5cGVzXS54bWxQ&#10;SwECLQAUAAYACAAAACEAOP0h/9YAAACUAQAACwAAAAAAAAAAAAAAAAAvAQAAX3JlbHMvLnJlbHNQ&#10;SwECLQAUAAYACAAAACEA1ZmkHXsDAADADAAADgAAAAAAAAAAAAAAAAAuAgAAZHJzL2Uyb0RvYy54&#10;bWxQSwECLQAUAAYACAAAACEAuHyKGNwAAAADAQAADwAAAAAAAAAAAAAAAADVBQAAZHJzL2Rvd25y&#10;ZXYueG1sUEsFBgAAAAAEAAQA8wAAAN4GAAAAAA==&#10;">
                      <v:shape id="_x0000_s1042" type="#_x0000_t75" style="position:absolute;width:232410;height:283845;visibility:visible;mso-wrap-style:square">
                        <v:fill o:detectmouseclick="t"/>
                        <v:path o:connecttype="none"/>
                      </v:shape>
                      <v:rect id="Rectangle 4" o:spid="_x0000_s1043"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oMQA&#10;AADbAAAADwAAAGRycy9kb3ducmV2LnhtbESPUWvCMBSF3wf7D+EKvs20MsV2RtHBUAY+WPcDLs1d&#10;09ncdEmm9d8vg4GPh3POdzjL9WA7cSEfWscK8kkGgrh2uuVGwcfp7WkBIkRkjZ1jUnCjAOvV48MS&#10;S+2ufKRLFRuRIBxKVGBi7EspQ23IYpi4njh5n85bjEn6RmqP1wS3nZxm2VxabDktGOzp1VB9rn6s&#10;AtrujsXXJpiD9HnID+/z4nn3rdR4NGxeQEQa4j38395rBc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V6DEAAAA2wAAAA8AAAAAAAAAAAAAAAAAmAIAAGRycy9k&#10;b3ducmV2LnhtbFBLBQYAAAAABAAEAPUAAACJAwAAAAA=&#10;" filled="f" stroked="f">
                        <v:textbox inset="0,0,0,0">
                          <w:txbxContent>
                            <w:p w14:paraId="27D736E7" w14:textId="77777777" w:rsidR="00497E3C" w:rsidRDefault="00497E3C" w:rsidP="00387507">
                              <w:r w:rsidRPr="000A5860">
                                <w:rPr>
                                  <w:color w:val="000000"/>
                                  <w:position w:val="-12"/>
                                  <w:sz w:val="16"/>
                                  <w:szCs w:val="16"/>
                                  <w:lang w:val="en-US"/>
                                </w:rPr>
                                <w:t>1</w:t>
                              </w:r>
                            </w:p>
                          </w:txbxContent>
                        </v:textbox>
                      </v:rect>
                      <v:line id="Line 5" o:spid="_x0000_s1044"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dPcQAAADbAAAADwAAAGRycy9kb3ducmV2LnhtbESPzW7CMBCE70i8g7VI3MBpD/ykGFRV&#10;rRqOJLlwW+IliRqvI9uFwNNjpEo9jmbmG81mN5hOXMj51rKCl3kCgriyuuVaQVl8zVYgfEDW2Fkm&#10;BTfysNuORxtMtb3ygS55qEWEsE9RQRNCn0rpq4YM+rntiaN3ts5giNLVUju8Rrjp5GuSLKTBluNC&#10;gz19NFT95L9GwT0rPstj9n04lfdjsbe5d8vzSqnpZHh/AxFoCP/hv3amFawX8PwSf4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d09xAAAANsAAAAPAAAAAAAAAAAA&#10;AAAAAKECAABkcnMvZG93bnJldi54bWxQSwUGAAAAAAQABAD5AAAAkgMAAAAA&#10;" strokeweight="28e-5mm"/>
                      <v:rect id="Rectangle 6" o:spid="_x0000_s1045"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14:paraId="7A263973" w14:textId="77777777" w:rsidR="00497E3C" w:rsidRPr="000A5860" w:rsidRDefault="00497E3C" w:rsidP="00387507">
                              <w:pPr>
                                <w:spacing w:line="276" w:lineRule="auto"/>
                                <w:rPr>
                                  <w:position w:val="-12"/>
                                  <w:sz w:val="16"/>
                                  <w:szCs w:val="16"/>
                                </w:rPr>
                              </w:pPr>
                              <w:r w:rsidRPr="000A5860">
                                <w:rPr>
                                  <w:color w:val="000000"/>
                                  <w:position w:val="-12"/>
                                  <w:sz w:val="16"/>
                                  <w:szCs w:val="16"/>
                                  <w:lang w:val="en-US"/>
                                </w:rPr>
                                <w:t>3.664</w:t>
                              </w:r>
                            </w:p>
                          </w:txbxContent>
                        </v:textbox>
                      </v:rect>
                      <w10:anchorlock/>
                    </v:group>
                  </w:pict>
                </mc:Fallback>
              </mc:AlternateContent>
            </w:r>
            <w:r w:rsidRPr="00097A86">
              <w:t xml:space="preserve"> for converting the mass of carbon dioxide to a mass of carbon.</w:t>
            </w:r>
          </w:p>
        </w:tc>
      </w:tr>
      <w:tr w:rsidR="00387507" w:rsidRPr="00097A86" w14:paraId="00242624" w14:textId="77777777" w:rsidTr="00C20CC2">
        <w:trPr>
          <w:cantSplit/>
          <w:trHeight w:val="1545"/>
        </w:trPr>
        <w:tc>
          <w:tcPr>
            <w:tcW w:w="583" w:type="pct"/>
          </w:tcPr>
          <w:p w14:paraId="17D10FAF" w14:textId="77777777" w:rsidR="00387507" w:rsidRPr="00097A86" w:rsidRDefault="00387507" w:rsidP="00617697">
            <w:pPr>
              <w:spacing w:before="60" w:after="60"/>
            </w:pPr>
          </w:p>
        </w:tc>
        <w:tc>
          <w:tcPr>
            <w:tcW w:w="4417" w:type="pct"/>
          </w:tcPr>
          <w:p w14:paraId="4A537075" w14:textId="77777777" w:rsidR="00387507" w:rsidRPr="00097A86" w:rsidRDefault="00387507" w:rsidP="00672A5E">
            <w:pPr>
              <w:pStyle w:val="Definition"/>
              <w:spacing w:before="60" w:after="60"/>
              <w:ind w:left="0"/>
              <w:rPr>
                <w:iCs/>
                <w:szCs w:val="22"/>
              </w:rPr>
            </w:pPr>
            <w:r w:rsidRPr="00097A86">
              <w:rPr>
                <w:b/>
                <w:i/>
                <w:szCs w:val="22"/>
              </w:rPr>
              <w:t>γ</w:t>
            </w:r>
            <w:r w:rsidRPr="00097A86">
              <w:rPr>
                <w:szCs w:val="22"/>
              </w:rPr>
              <w:t xml:space="preserve"> is the factor 1.861 × 10</w:t>
            </w:r>
            <w:r w:rsidR="00097A86">
              <w:rPr>
                <w:szCs w:val="22"/>
                <w:vertAlign w:val="superscript"/>
              </w:rPr>
              <w:noBreakHyphen/>
            </w:r>
            <w:r w:rsidRPr="00097A86">
              <w:rPr>
                <w:szCs w:val="22"/>
                <w:vertAlign w:val="superscript"/>
              </w:rPr>
              <w:t>3</w:t>
            </w:r>
            <w:r w:rsidRPr="00097A86">
              <w:rPr>
                <w:szCs w:val="22"/>
              </w:rPr>
              <w:t xml:space="preserve"> for converting a quantity of carbon dioxide from cubic metres at standard conditions of pressure and temperature to CO2</w:t>
            </w:r>
            <w:r w:rsidR="00097A86">
              <w:rPr>
                <w:szCs w:val="22"/>
              </w:rPr>
              <w:noBreakHyphen/>
            </w:r>
            <w:r w:rsidRPr="00097A86">
              <w:rPr>
                <w:szCs w:val="22"/>
              </w:rPr>
              <w:t>e tonnes.</w:t>
            </w:r>
          </w:p>
          <w:p w14:paraId="7E0E2812" w14:textId="77777777" w:rsidR="00387507" w:rsidRPr="00097A86" w:rsidRDefault="00387507" w:rsidP="00672A5E">
            <w:pPr>
              <w:pStyle w:val="Definition"/>
              <w:spacing w:before="60" w:after="60"/>
              <w:ind w:left="0"/>
              <w:rPr>
                <w:b/>
                <w:i/>
              </w:rPr>
            </w:pPr>
            <w:r w:rsidRPr="00097A86">
              <w:rPr>
                <w:b/>
                <w:bCs/>
                <w:i/>
                <w:iCs/>
                <w:szCs w:val="22"/>
              </w:rPr>
              <w:t>RCCS</w:t>
            </w:r>
            <w:r w:rsidRPr="00097A86">
              <w:rPr>
                <w:b/>
                <w:bCs/>
                <w:i/>
                <w:iCs/>
                <w:szCs w:val="22"/>
                <w:vertAlign w:val="subscript"/>
              </w:rPr>
              <w:t>CO</w:t>
            </w:r>
            <w:r w:rsidRPr="00097A86">
              <w:rPr>
                <w:b/>
                <w:bCs/>
                <w:i/>
                <w:iCs/>
                <w:position w:val="-4"/>
                <w:szCs w:val="22"/>
                <w:vertAlign w:val="subscript"/>
              </w:rPr>
              <w:t>2</w:t>
            </w:r>
            <w:r w:rsidRPr="00097A86">
              <w:rPr>
                <w:b/>
                <w:bCs/>
                <w:i/>
                <w:iCs/>
                <w:szCs w:val="22"/>
              </w:rPr>
              <w:t xml:space="preserve"> </w:t>
            </w:r>
            <w:r w:rsidRPr="00097A86">
              <w:rPr>
                <w:szCs w:val="22"/>
              </w:rPr>
              <w:t xml:space="preserve">is carbon dioxide captured for permanent storage measured in cubic metres in accordance with </w:t>
            </w:r>
            <w:r w:rsidRPr="00097A86">
              <w:t>Division</w:t>
            </w:r>
            <w:r w:rsidR="00097A86">
              <w:t> </w:t>
            </w:r>
            <w:r w:rsidRPr="00097A86">
              <w:t>1.2.3</w:t>
            </w:r>
            <w:r w:rsidRPr="00097A86">
              <w:rPr>
                <w:szCs w:val="22"/>
              </w:rPr>
              <w:t>.</w:t>
            </w:r>
          </w:p>
        </w:tc>
      </w:tr>
      <w:tr w:rsidR="00683F3B" w:rsidRPr="00097A86" w14:paraId="4562406A" w14:textId="77777777" w:rsidTr="00C20CC2">
        <w:trPr>
          <w:cantSplit/>
        </w:trPr>
        <w:tc>
          <w:tcPr>
            <w:tcW w:w="583" w:type="pct"/>
          </w:tcPr>
          <w:p w14:paraId="05D7E044" w14:textId="77777777" w:rsidR="00683F3B" w:rsidRPr="00097A86" w:rsidRDefault="00683F3B" w:rsidP="00387507">
            <w:pPr>
              <w:pStyle w:val="Tabletext"/>
              <w:rPr>
                <w:sz w:val="22"/>
                <w:szCs w:val="22"/>
              </w:rPr>
            </w:pPr>
            <w:r w:rsidRPr="00097A86">
              <w:rPr>
                <w:sz w:val="22"/>
                <w:szCs w:val="22"/>
              </w:rPr>
              <w:t>Step 5</w:t>
            </w:r>
          </w:p>
        </w:tc>
        <w:tc>
          <w:tcPr>
            <w:tcW w:w="4417" w:type="pct"/>
          </w:tcPr>
          <w:p w14:paraId="45C3321F" w14:textId="77777777" w:rsidR="00683F3B" w:rsidRPr="00097A86" w:rsidRDefault="00683F3B" w:rsidP="00617697">
            <w:pPr>
              <w:pStyle w:val="TableText0"/>
            </w:pPr>
            <w:r w:rsidRPr="00097A86">
              <w:t xml:space="preserve">Calculate the emissions of carbon dioxide released from the operation of the activity during the year measured in </w:t>
            </w:r>
            <w:r w:rsidRPr="00097A86">
              <w:rPr>
                <w:szCs w:val="22"/>
              </w:rPr>
              <w:t>CO</w:t>
            </w:r>
            <w:r w:rsidRPr="00097A86">
              <w:rPr>
                <w:szCs w:val="22"/>
                <w:vertAlign w:val="subscript"/>
              </w:rPr>
              <w:t>2</w:t>
            </w:r>
            <w:r w:rsidR="00097A86">
              <w:rPr>
                <w:szCs w:val="22"/>
              </w:rPr>
              <w:noBreakHyphen/>
            </w:r>
            <w:r w:rsidRPr="00097A86">
              <w:rPr>
                <w:szCs w:val="22"/>
              </w:rPr>
              <w:t>e</w:t>
            </w:r>
            <w:r w:rsidRPr="00097A86">
              <w:t xml:space="preserve"> tonnes as follows:</w:t>
            </w:r>
          </w:p>
          <w:p w14:paraId="6C66B7EC" w14:textId="77777777" w:rsidR="00683F3B" w:rsidRPr="00097A86" w:rsidRDefault="00683F3B"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3BAAB891" w14:textId="77777777" w:rsidR="00683F3B" w:rsidRPr="00097A86" w:rsidRDefault="00683F3B"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p w14:paraId="1F7778CE" w14:textId="77777777" w:rsidR="00683F3B" w:rsidRPr="00097A86" w:rsidRDefault="00683F3B" w:rsidP="00617697">
            <w:pPr>
              <w:pStyle w:val="TableP1a"/>
            </w:pPr>
            <w:r w:rsidRPr="00097A86">
              <w:tab/>
              <w:t>(c)</w:t>
            </w:r>
            <w:r w:rsidRPr="00097A86">
              <w:tab/>
              <w:t>multiply amount B by 3.664 to work out the amount of emissions released from the operation of the activity during a year.</w:t>
            </w:r>
          </w:p>
        </w:tc>
      </w:tr>
    </w:tbl>
    <w:p w14:paraId="654E0A95" w14:textId="77777777" w:rsidR="00565BAB" w:rsidRPr="00097A86" w:rsidRDefault="00565BAB" w:rsidP="00D22D3F">
      <w:pPr>
        <w:pStyle w:val="subsection"/>
      </w:pPr>
      <w:r w:rsidRPr="00097A86">
        <w:tab/>
        <w:t>(2)</w:t>
      </w:r>
      <w:r w:rsidRPr="00097A86">
        <w:tab/>
        <w:t>If a fuel type (</w:t>
      </w:r>
      <w:r w:rsidRPr="00097A86">
        <w:rPr>
          <w:b/>
          <w:bCs/>
          <w:i/>
          <w:iCs/>
        </w:rPr>
        <w:t>i</w:t>
      </w:r>
      <w:r w:rsidRPr="00097A86">
        <w:t>) or carbonate material (</w:t>
      </w:r>
      <w:r w:rsidRPr="00097A86">
        <w:rPr>
          <w:b/>
          <w:i/>
        </w:rPr>
        <w:t>j</w:t>
      </w:r>
      <w:r w:rsidRPr="00097A86">
        <w:t>) delivered for the activity during the year accounts for more than 5% of total carbon input for the activity based on a calculation using the factors mentioned in Schedule</w:t>
      </w:r>
      <w:r w:rsidR="00097A86">
        <w:t> </w:t>
      </w:r>
      <w:r w:rsidRPr="00097A86">
        <w:t xml:space="preserve">3, sampling and analysis of fuel type </w:t>
      </w:r>
      <w:r w:rsidRPr="00097A86">
        <w:rPr>
          <w:b/>
          <w:bCs/>
          <w:i/>
          <w:iCs/>
        </w:rPr>
        <w:t>(i)</w:t>
      </w:r>
      <w:r w:rsidRPr="00097A86">
        <w:rPr>
          <w:bCs/>
          <w:iCs/>
        </w:rPr>
        <w:t xml:space="preserve"> or carbonate material </w:t>
      </w:r>
      <w:r w:rsidRPr="00097A86">
        <w:t>(</w:t>
      </w:r>
      <w:r w:rsidRPr="00097A86">
        <w:rPr>
          <w:b/>
          <w:i/>
        </w:rPr>
        <w:t>j</w:t>
      </w:r>
      <w:r w:rsidRPr="00097A86">
        <w:t>) must be carried out to determine its carbon content.</w:t>
      </w:r>
    </w:p>
    <w:p w14:paraId="7DF8DB6E" w14:textId="77777777" w:rsidR="00565BAB" w:rsidRPr="00097A86" w:rsidRDefault="00565BAB" w:rsidP="00D22D3F">
      <w:pPr>
        <w:pStyle w:val="subsection"/>
      </w:pPr>
      <w:r w:rsidRPr="00097A86">
        <w:tab/>
        <w:t>(3)</w:t>
      </w:r>
      <w:r w:rsidRPr="00097A86">
        <w:tab/>
        <w:t>The sampling and analysis for fuel type (</w:t>
      </w:r>
      <w:r w:rsidRPr="00097A86">
        <w:rPr>
          <w:b/>
          <w:bCs/>
          <w:i/>
          <w:iCs/>
        </w:rPr>
        <w:t>i</w:t>
      </w:r>
      <w:r w:rsidRPr="00097A86">
        <w:t>) is to be carried out using the sampling and analysis provided for in Divisions</w:t>
      </w:r>
      <w:r w:rsidR="00097A86">
        <w:t> </w:t>
      </w:r>
      <w:r w:rsidRPr="00097A86">
        <w:t>2.2.3, 2.3.3 and 2.4.3.</w:t>
      </w:r>
    </w:p>
    <w:p w14:paraId="4F06FAFA" w14:textId="77777777" w:rsidR="00565BAB" w:rsidRPr="00097A86" w:rsidRDefault="00565BAB" w:rsidP="00D22D3F">
      <w:pPr>
        <w:pStyle w:val="subsection"/>
      </w:pPr>
      <w:r w:rsidRPr="00097A86">
        <w:tab/>
        <w:t>(4)</w:t>
      </w:r>
      <w:r w:rsidRPr="00097A86">
        <w:tab/>
        <w:t>The sampling for carbonate materials (</w:t>
      </w:r>
      <w:r w:rsidRPr="00097A86">
        <w:rPr>
          <w:b/>
          <w:i/>
        </w:rPr>
        <w:t>j</w:t>
      </w:r>
      <w:r w:rsidRPr="00097A86">
        <w:t>) is to be carried out in accordance with section</w:t>
      </w:r>
      <w:r w:rsidR="00097A86">
        <w:t> </w:t>
      </w:r>
      <w:r w:rsidRPr="00097A86">
        <w:t>4.24.</w:t>
      </w:r>
    </w:p>
    <w:p w14:paraId="59D737F0" w14:textId="77777777" w:rsidR="00565BAB" w:rsidRPr="00097A86" w:rsidRDefault="00565BAB" w:rsidP="00D22D3F">
      <w:pPr>
        <w:pStyle w:val="subsection"/>
      </w:pPr>
      <w:r w:rsidRPr="00097A86">
        <w:tab/>
        <w:t>(5)</w:t>
      </w:r>
      <w:r w:rsidRPr="00097A86">
        <w:tab/>
        <w:t>The analysis for carbonate materials (</w:t>
      </w:r>
      <w:r w:rsidRPr="00097A86">
        <w:rPr>
          <w:b/>
          <w:i/>
        </w:rPr>
        <w:t>j</w:t>
      </w:r>
      <w:r w:rsidRPr="00097A86">
        <w:t>) is to be carried out in accordance with ASTM C25</w:t>
      </w:r>
      <w:r w:rsidR="00097A86">
        <w:noBreakHyphen/>
      </w:r>
      <w:r w:rsidRPr="00097A86">
        <w:t xml:space="preserve">06, </w:t>
      </w:r>
      <w:r w:rsidRPr="00097A86">
        <w:rPr>
          <w:i/>
        </w:rPr>
        <w:t xml:space="preserve">Standard Test Methods for Chemical Analysis of Limestone, Quicklime, and Hydrated Lime </w:t>
      </w:r>
      <w:r w:rsidRPr="00097A86">
        <w:t>or an equivalent standard.</w:t>
      </w:r>
    </w:p>
    <w:p w14:paraId="3089DA57" w14:textId="77777777" w:rsidR="00565BAB" w:rsidRPr="00097A86" w:rsidRDefault="00565BAB" w:rsidP="00D22D3F">
      <w:pPr>
        <w:pStyle w:val="ActHead5"/>
      </w:pPr>
      <w:bookmarkStart w:id="424" w:name="_Toc13233856"/>
      <w:r w:rsidRPr="00097A86">
        <w:rPr>
          <w:rStyle w:val="CharSectno"/>
        </w:rPr>
        <w:t>4.33</w:t>
      </w:r>
      <w:r w:rsidR="00D22D3F" w:rsidRPr="00097A86">
        <w:t xml:space="preserve">  </w:t>
      </w:r>
      <w:r w:rsidRPr="00097A86">
        <w:t>Method 3</w:t>
      </w:r>
      <w:r w:rsidR="00D22D3F" w:rsidRPr="00097A86">
        <w:t>—</w:t>
      </w:r>
      <w:r w:rsidRPr="00097A86">
        <w:t>production of soda ash</w:t>
      </w:r>
      <w:bookmarkEnd w:id="424"/>
    </w:p>
    <w:p w14:paraId="338A0184" w14:textId="77777777" w:rsidR="00565BAB" w:rsidRPr="00097A86" w:rsidRDefault="00565BAB" w:rsidP="00D22D3F">
      <w:pPr>
        <w:pStyle w:val="subsection"/>
      </w:pPr>
      <w:r w:rsidRPr="00097A86">
        <w:tab/>
        <w:t>(1)</w:t>
      </w:r>
      <w:r w:rsidRPr="00097A86">
        <w:tab/>
        <w:t xml:space="preserve">Subject to </w:t>
      </w:r>
      <w:r w:rsidR="00097A86">
        <w:t>subsections (</w:t>
      </w:r>
      <w:r w:rsidRPr="00097A86">
        <w:t>2) and (3), method 3 is the same as method 2.</w:t>
      </w:r>
    </w:p>
    <w:p w14:paraId="5068EA7C" w14:textId="77777777" w:rsidR="00565BAB" w:rsidRPr="00097A86" w:rsidRDefault="00565BAB" w:rsidP="00D22D3F">
      <w:pPr>
        <w:pStyle w:val="subsection"/>
      </w:pPr>
      <w:r w:rsidRPr="00097A86">
        <w:tab/>
        <w:t>(2)</w:t>
      </w:r>
      <w:r w:rsidRPr="00097A86">
        <w:tab/>
        <w:t>The sampling and analysis for fuel type (</w:t>
      </w:r>
      <w:r w:rsidRPr="00097A86">
        <w:rPr>
          <w:b/>
          <w:bCs/>
          <w:i/>
          <w:iCs/>
        </w:rPr>
        <w:t>i</w:t>
      </w:r>
      <w:r w:rsidRPr="00097A86">
        <w:t>) is to be carried out using the sampling and analysis provided for in Divisions</w:t>
      </w:r>
      <w:r w:rsidR="00097A86">
        <w:t> </w:t>
      </w:r>
      <w:r w:rsidRPr="00097A86">
        <w:t>2.2.4, 2.3.4 and 2.4.4 or an equivalent sampling and analysis method.</w:t>
      </w:r>
    </w:p>
    <w:p w14:paraId="63F88677" w14:textId="77777777" w:rsidR="00565BAB" w:rsidRPr="00097A86" w:rsidRDefault="00565BAB" w:rsidP="00D22D3F">
      <w:pPr>
        <w:pStyle w:val="subsection"/>
      </w:pPr>
      <w:r w:rsidRPr="00097A86">
        <w:tab/>
        <w:t>(3)</w:t>
      </w:r>
      <w:r w:rsidRPr="00097A86">
        <w:tab/>
        <w:t>The sampling for carbonate material (</w:t>
      </w:r>
      <w:r w:rsidRPr="00097A86">
        <w:rPr>
          <w:b/>
          <w:bCs/>
          <w:iCs/>
        </w:rPr>
        <w:t>j</w:t>
      </w:r>
      <w:r w:rsidRPr="00097A86">
        <w:t>) is to be carried out in accordance with ASTM C50</w:t>
      </w:r>
      <w:r w:rsidR="00097A86">
        <w:noBreakHyphen/>
      </w:r>
      <w:r w:rsidRPr="00097A86">
        <w:t xml:space="preserve">00 (2006), </w:t>
      </w:r>
      <w:r w:rsidR="004979AE" w:rsidRPr="00097A86">
        <w:rPr>
          <w:i/>
        </w:rPr>
        <w:t xml:space="preserve"> Standard Practice for Sampling, Sample Preparation, Packaging, and Marking of Lime and Limestone Products</w:t>
      </w:r>
      <w:r w:rsidR="004979AE" w:rsidRPr="00097A86">
        <w:t>.</w:t>
      </w:r>
    </w:p>
    <w:p w14:paraId="504B60E4" w14:textId="77777777" w:rsidR="003F0D4E" w:rsidRPr="00097A86" w:rsidRDefault="003F0D4E" w:rsidP="00D22D3F">
      <w:pPr>
        <w:pStyle w:val="ActHead3"/>
        <w:pageBreakBefore/>
      </w:pPr>
      <w:bookmarkStart w:id="425" w:name="_Toc13233857"/>
      <w:r w:rsidRPr="00097A86">
        <w:rPr>
          <w:rStyle w:val="CharDivNo"/>
        </w:rPr>
        <w:lastRenderedPageBreak/>
        <w:t>Division</w:t>
      </w:r>
      <w:r w:rsidR="00097A86">
        <w:rPr>
          <w:rStyle w:val="CharDivNo"/>
        </w:rPr>
        <w:t> </w:t>
      </w:r>
      <w:r w:rsidRPr="00097A86">
        <w:rPr>
          <w:rStyle w:val="CharDivNo"/>
        </w:rPr>
        <w:t>4.2.5</w:t>
      </w:r>
      <w:r w:rsidR="00D22D3F" w:rsidRPr="00097A86">
        <w:t>—</w:t>
      </w:r>
      <w:r w:rsidRPr="00097A86">
        <w:rPr>
          <w:rStyle w:val="CharDivText"/>
        </w:rPr>
        <w:t>Measurement of quantity of carbonates consumed and products derived from carbonates</w:t>
      </w:r>
      <w:bookmarkEnd w:id="425"/>
    </w:p>
    <w:p w14:paraId="76D0E69D" w14:textId="77777777" w:rsidR="003F0D4E" w:rsidRPr="00097A86" w:rsidRDefault="003F0D4E" w:rsidP="00D22D3F">
      <w:pPr>
        <w:pStyle w:val="ActHead5"/>
      </w:pPr>
      <w:bookmarkStart w:id="426" w:name="_Toc13233858"/>
      <w:r w:rsidRPr="00097A86">
        <w:rPr>
          <w:rStyle w:val="CharSectno"/>
        </w:rPr>
        <w:t>4.34</w:t>
      </w:r>
      <w:r w:rsidR="00D22D3F" w:rsidRPr="00097A86">
        <w:t xml:space="preserve">  </w:t>
      </w:r>
      <w:r w:rsidRPr="00097A86">
        <w:t>Purpose of Division</w:t>
      </w:r>
      <w:bookmarkEnd w:id="426"/>
    </w:p>
    <w:p w14:paraId="472C026E" w14:textId="77777777" w:rsidR="003F0D4E" w:rsidRPr="00097A86" w:rsidRDefault="003F0D4E" w:rsidP="00D22D3F">
      <w:pPr>
        <w:pStyle w:val="subsection"/>
      </w:pPr>
      <w:r w:rsidRPr="00097A86">
        <w:tab/>
        <w:t>(1)</w:t>
      </w:r>
      <w:r w:rsidRPr="00097A86">
        <w:tab/>
        <w:t xml:space="preserve">This Division applies to the operation of a facility (the </w:t>
      </w:r>
      <w:r w:rsidRPr="00097A86">
        <w:rPr>
          <w:b/>
          <w:i/>
        </w:rPr>
        <w:t>activity</w:t>
      </w:r>
      <w:r w:rsidRPr="00097A86">
        <w:t>) that is constituted by:</w:t>
      </w:r>
    </w:p>
    <w:p w14:paraId="7E66174A" w14:textId="77777777" w:rsidR="003F0D4E" w:rsidRPr="00097A86" w:rsidRDefault="003F0D4E" w:rsidP="00D22D3F">
      <w:pPr>
        <w:pStyle w:val="paragraph"/>
      </w:pPr>
      <w:r w:rsidRPr="00097A86">
        <w:tab/>
        <w:t>(a)</w:t>
      </w:r>
      <w:r w:rsidRPr="00097A86">
        <w:tab/>
        <w:t>the production of cement clinker; or</w:t>
      </w:r>
    </w:p>
    <w:p w14:paraId="2D987037" w14:textId="77777777" w:rsidR="003F0D4E" w:rsidRPr="00097A86" w:rsidRDefault="003F0D4E" w:rsidP="00D22D3F">
      <w:pPr>
        <w:pStyle w:val="paragraph"/>
      </w:pPr>
      <w:r w:rsidRPr="00097A86">
        <w:tab/>
        <w:t>(b)</w:t>
      </w:r>
      <w:r w:rsidRPr="00097A86">
        <w:tab/>
        <w:t>the production of lime; or</w:t>
      </w:r>
    </w:p>
    <w:p w14:paraId="4C15AB0C" w14:textId="77777777" w:rsidR="003F0D4E" w:rsidRPr="00097A86" w:rsidRDefault="003F0D4E" w:rsidP="00D22D3F">
      <w:pPr>
        <w:pStyle w:val="paragraph"/>
      </w:pPr>
      <w:r w:rsidRPr="00097A86">
        <w:tab/>
        <w:t>(c)</w:t>
      </w:r>
      <w:r w:rsidRPr="00097A86">
        <w:tab/>
        <w:t>the calcination of carbonates in an industrial process; or</w:t>
      </w:r>
    </w:p>
    <w:p w14:paraId="764FC69E" w14:textId="77777777" w:rsidR="003F0D4E" w:rsidRPr="00097A86" w:rsidRDefault="003F0D4E" w:rsidP="00D22D3F">
      <w:pPr>
        <w:pStyle w:val="paragraph"/>
      </w:pPr>
      <w:r w:rsidRPr="00097A86">
        <w:tab/>
        <w:t>(d)</w:t>
      </w:r>
      <w:r w:rsidRPr="00097A86">
        <w:tab/>
        <w:t>the use and production of soda ash.</w:t>
      </w:r>
    </w:p>
    <w:p w14:paraId="6D83A4BD" w14:textId="77777777" w:rsidR="003F0D4E" w:rsidRPr="00097A86" w:rsidRDefault="003F0D4E" w:rsidP="00D22D3F">
      <w:pPr>
        <w:pStyle w:val="subsection"/>
      </w:pPr>
      <w:r w:rsidRPr="00097A86">
        <w:tab/>
        <w:t>(2)</w:t>
      </w:r>
      <w:r w:rsidRPr="00097A86">
        <w:tab/>
        <w:t>This Division sets out how the quantities of carbonates consumed from the operation of the activity, and the quantities of products derived from carbonates produced from the operation of the activity, are to be estimated for the following:</w:t>
      </w:r>
    </w:p>
    <w:p w14:paraId="6E53E4E9" w14:textId="77777777" w:rsidR="003F0D4E" w:rsidRPr="00097A86" w:rsidRDefault="008E6771" w:rsidP="008E6771">
      <w:pPr>
        <w:pStyle w:val="paragraph"/>
      </w:pPr>
      <w:r w:rsidRPr="00097A86">
        <w:tab/>
      </w:r>
      <w:r w:rsidR="003F0D4E" w:rsidRPr="00097A86">
        <w:t>(a)</w:t>
      </w:r>
      <w:r w:rsidR="003F0D4E" w:rsidRPr="00097A86">
        <w:tab/>
        <w:t>Ai and Ackd in section</w:t>
      </w:r>
      <w:r w:rsidR="00097A86">
        <w:t> </w:t>
      </w:r>
      <w:r w:rsidR="003F0D4E" w:rsidRPr="00097A86">
        <w:t>4.4;</w:t>
      </w:r>
    </w:p>
    <w:p w14:paraId="2381C165" w14:textId="77777777" w:rsidR="003F0D4E" w:rsidRPr="00097A86" w:rsidRDefault="008E6771" w:rsidP="008E6771">
      <w:pPr>
        <w:pStyle w:val="paragraph"/>
      </w:pPr>
      <w:r w:rsidRPr="00097A86">
        <w:tab/>
      </w:r>
      <w:r w:rsidR="003F0D4E" w:rsidRPr="00097A86">
        <w:t>(b)</w:t>
      </w:r>
      <w:r w:rsidR="003F0D4E" w:rsidRPr="00097A86">
        <w:tab/>
        <w:t>Qi and Qtoc in section</w:t>
      </w:r>
      <w:r w:rsidR="00097A86">
        <w:t> </w:t>
      </w:r>
      <w:r w:rsidR="003F0D4E" w:rsidRPr="00097A86">
        <w:t>4.8;</w:t>
      </w:r>
    </w:p>
    <w:p w14:paraId="43E5182F" w14:textId="77777777" w:rsidR="003F0D4E" w:rsidRPr="00097A86" w:rsidRDefault="008E6771" w:rsidP="008E6771">
      <w:pPr>
        <w:pStyle w:val="paragraph"/>
      </w:pPr>
      <w:r w:rsidRPr="00097A86">
        <w:tab/>
      </w:r>
      <w:r w:rsidR="003F0D4E" w:rsidRPr="00097A86">
        <w:t>(c)</w:t>
      </w:r>
      <w:r w:rsidR="003F0D4E" w:rsidRPr="00097A86">
        <w:tab/>
        <w:t>Ai in section</w:t>
      </w:r>
      <w:r w:rsidR="00097A86">
        <w:t> </w:t>
      </w:r>
      <w:r w:rsidR="003F0D4E" w:rsidRPr="00097A86">
        <w:t>4.13;</w:t>
      </w:r>
    </w:p>
    <w:p w14:paraId="46DD8A68" w14:textId="77777777" w:rsidR="003F0D4E" w:rsidRPr="00097A86" w:rsidRDefault="008E6771" w:rsidP="008E6771">
      <w:pPr>
        <w:pStyle w:val="paragraph"/>
      </w:pPr>
      <w:r w:rsidRPr="00097A86">
        <w:tab/>
      </w:r>
      <w:r w:rsidR="003F0D4E" w:rsidRPr="00097A86">
        <w:t>(d)</w:t>
      </w:r>
      <w:r w:rsidR="003F0D4E" w:rsidRPr="00097A86">
        <w:tab/>
        <w:t>Qi and Alkd in section</w:t>
      </w:r>
      <w:r w:rsidR="00097A86">
        <w:t> </w:t>
      </w:r>
      <w:r w:rsidR="003F0D4E" w:rsidRPr="00097A86">
        <w:t>4.17;</w:t>
      </w:r>
    </w:p>
    <w:p w14:paraId="3C138EA0" w14:textId="77777777" w:rsidR="00977594" w:rsidRPr="00097A86" w:rsidRDefault="008E6771" w:rsidP="008E6771">
      <w:pPr>
        <w:pStyle w:val="paragraph"/>
      </w:pPr>
      <w:r w:rsidRPr="00097A86">
        <w:tab/>
      </w:r>
      <w:r w:rsidR="00977594" w:rsidRPr="00097A86">
        <w:t>(e)</w:t>
      </w:r>
      <w:r w:rsidR="00977594" w:rsidRPr="00097A86">
        <w:tab/>
        <w:t>Qj in sections</w:t>
      </w:r>
      <w:r w:rsidR="00097A86">
        <w:t> </w:t>
      </w:r>
      <w:r w:rsidR="00977594" w:rsidRPr="00097A86">
        <w:t>4.22, 4.22A, 4.23, 4.29, 4.55, 4.66, 4.71 and 4.94;</w:t>
      </w:r>
    </w:p>
    <w:p w14:paraId="5553579B" w14:textId="77777777" w:rsidR="00977594" w:rsidRPr="00097A86" w:rsidRDefault="008E6771" w:rsidP="008E6771">
      <w:pPr>
        <w:pStyle w:val="paragraph"/>
      </w:pPr>
      <w:r w:rsidRPr="00097A86">
        <w:tab/>
      </w:r>
      <w:r w:rsidR="00977594" w:rsidRPr="00097A86">
        <w:t>(f)</w:t>
      </w:r>
      <w:r w:rsidR="00977594" w:rsidRPr="00097A86">
        <w:tab/>
        <w:t>Q in section</w:t>
      </w:r>
      <w:r w:rsidR="00097A86">
        <w:t> </w:t>
      </w:r>
      <w:r w:rsidR="00977594" w:rsidRPr="00097A86">
        <w:t>4.23A;</w:t>
      </w:r>
    </w:p>
    <w:p w14:paraId="7954BA15" w14:textId="77777777" w:rsidR="00977594" w:rsidRPr="00097A86" w:rsidRDefault="008E6771" w:rsidP="008E6771">
      <w:pPr>
        <w:pStyle w:val="paragraph"/>
      </w:pPr>
      <w:r w:rsidRPr="00097A86">
        <w:tab/>
      </w:r>
      <w:r w:rsidR="00977594" w:rsidRPr="00097A86">
        <w:t>(g)</w:t>
      </w:r>
      <w:r w:rsidR="00977594" w:rsidRPr="00097A86">
        <w:tab/>
        <w:t>Lj in sections</w:t>
      </w:r>
      <w:r w:rsidR="00097A86">
        <w:t> </w:t>
      </w:r>
      <w:r w:rsidR="00977594" w:rsidRPr="00097A86">
        <w:t>4.31 and 4.32.</w:t>
      </w:r>
    </w:p>
    <w:p w14:paraId="4273C398" w14:textId="77777777" w:rsidR="003F0D4E" w:rsidRPr="00097A86" w:rsidRDefault="003F0D4E" w:rsidP="00D22D3F">
      <w:pPr>
        <w:pStyle w:val="ActHead5"/>
      </w:pPr>
      <w:bookmarkStart w:id="427" w:name="_Toc13233859"/>
      <w:r w:rsidRPr="00097A86">
        <w:rPr>
          <w:rStyle w:val="CharSectno"/>
        </w:rPr>
        <w:t>4.35</w:t>
      </w:r>
      <w:r w:rsidR="00D22D3F" w:rsidRPr="00097A86">
        <w:t xml:space="preserve">  </w:t>
      </w:r>
      <w:r w:rsidRPr="00097A86">
        <w:t>Criteria for measurement</w:t>
      </w:r>
      <w:bookmarkEnd w:id="427"/>
    </w:p>
    <w:p w14:paraId="6E2383BE" w14:textId="77777777" w:rsidR="003F0D4E" w:rsidRPr="00097A86" w:rsidRDefault="003F0D4E" w:rsidP="00D22D3F">
      <w:pPr>
        <w:pStyle w:val="subsection"/>
      </w:pPr>
      <w:r w:rsidRPr="00097A86">
        <w:tab/>
      </w:r>
      <w:r w:rsidR="00A55FF1" w:rsidRPr="00097A86">
        <w:t>(1)</w:t>
      </w:r>
      <w:r w:rsidR="00A55FF1" w:rsidRPr="00097A86">
        <w:tab/>
        <w:t>Quantities of</w:t>
      </w:r>
      <w:r w:rsidRPr="00097A86">
        <w:t xml:space="preserve"> carbonates consumed from the operation of the activity, or quantities of products derived from carbonates produced from the operation of the activity, must be estimated </w:t>
      </w:r>
      <w:r w:rsidR="00A55FF1" w:rsidRPr="00097A86">
        <w:t>in accordance with this section.</w:t>
      </w:r>
    </w:p>
    <w:p w14:paraId="638214F2" w14:textId="77777777" w:rsidR="00A55FF1" w:rsidRPr="00097A86" w:rsidRDefault="00A55FF1" w:rsidP="00D22D3F">
      <w:pPr>
        <w:pStyle w:val="SubsectionHead"/>
      </w:pPr>
      <w:r w:rsidRPr="00097A86">
        <w:t>Acquisition  involves commercial transaction</w:t>
      </w:r>
    </w:p>
    <w:p w14:paraId="106A6ABF" w14:textId="77777777" w:rsidR="00A55FF1" w:rsidRPr="00097A86" w:rsidRDefault="00A55FF1" w:rsidP="00D22D3F">
      <w:pPr>
        <w:pStyle w:val="subsection"/>
      </w:pPr>
      <w:r w:rsidRPr="00097A86">
        <w:tab/>
        <w:t>(2)</w:t>
      </w:r>
      <w:r w:rsidRPr="00097A86">
        <w:tab/>
        <w:t>If the acquisition of the carbonates, or the dispatch of the products derived from carbonates, involves a commercial transaction, the quantity of the carbonates or products must be estimated using one of the following criteria:</w:t>
      </w:r>
    </w:p>
    <w:p w14:paraId="5D8DEB44" w14:textId="77777777" w:rsidR="00A55FF1" w:rsidRPr="00097A86" w:rsidRDefault="00A55FF1" w:rsidP="00D22D3F">
      <w:pPr>
        <w:pStyle w:val="paragraph"/>
      </w:pPr>
      <w:r w:rsidRPr="00097A86">
        <w:tab/>
        <w:t>(a)</w:t>
      </w:r>
      <w:r w:rsidRPr="00097A86">
        <w:tab/>
        <w:t>the quantity of the carbonates acquired or products dispatched for the facility during the year as evidenced by invoices issued by the vendor of the carbonates or products (</w:t>
      </w:r>
      <w:r w:rsidRPr="00097A86">
        <w:rPr>
          <w:b/>
          <w:bCs/>
          <w:i/>
          <w:iCs/>
        </w:rPr>
        <w:t>criterion A</w:t>
      </w:r>
      <w:r w:rsidRPr="00097A86">
        <w:t>);</w:t>
      </w:r>
    </w:p>
    <w:p w14:paraId="28876D4A" w14:textId="77777777" w:rsidR="00A55FF1" w:rsidRPr="00097A86" w:rsidRDefault="00A55FF1" w:rsidP="00D22D3F">
      <w:pPr>
        <w:pStyle w:val="paragraph"/>
      </w:pPr>
      <w:r w:rsidRPr="00097A86">
        <w:tab/>
        <w:t>(b)</w:t>
      </w:r>
      <w:r w:rsidRPr="00097A86">
        <w:tab/>
        <w:t>as provided in section</w:t>
      </w:r>
      <w:r w:rsidR="00097A86">
        <w:t> </w:t>
      </w:r>
      <w:r w:rsidRPr="00097A86">
        <w:t>4.36 (</w:t>
      </w:r>
      <w:r w:rsidRPr="00097A86">
        <w:rPr>
          <w:b/>
          <w:bCs/>
          <w:i/>
          <w:iCs/>
        </w:rPr>
        <w:t>criterion AA</w:t>
      </w:r>
      <w:r w:rsidRPr="00097A86">
        <w:t>);</w:t>
      </w:r>
    </w:p>
    <w:p w14:paraId="6E7884B3" w14:textId="77777777" w:rsidR="00A55FF1" w:rsidRPr="00097A86" w:rsidRDefault="00A55FF1" w:rsidP="00D22D3F">
      <w:pPr>
        <w:pStyle w:val="paragraph"/>
      </w:pPr>
      <w:r w:rsidRPr="00097A86">
        <w:tab/>
        <w:t>(c)</w:t>
      </w:r>
      <w:r w:rsidRPr="00097A86">
        <w:tab/>
        <w:t>as provided in section</w:t>
      </w:r>
      <w:r w:rsidR="00097A86">
        <w:t> </w:t>
      </w:r>
      <w:r w:rsidRPr="00097A86">
        <w:t>4.37 (</w:t>
      </w:r>
      <w:r w:rsidRPr="00097A86">
        <w:rPr>
          <w:b/>
          <w:bCs/>
          <w:i/>
          <w:iCs/>
        </w:rPr>
        <w:t>criterion AAA</w:t>
      </w:r>
      <w:r w:rsidRPr="00097A86">
        <w:t>).</w:t>
      </w:r>
    </w:p>
    <w:p w14:paraId="2087B88C" w14:textId="77777777" w:rsidR="00A55FF1" w:rsidRPr="00097A86" w:rsidRDefault="00A55FF1" w:rsidP="00D22D3F">
      <w:pPr>
        <w:pStyle w:val="subsection"/>
      </w:pPr>
      <w:r w:rsidRPr="00097A86">
        <w:tab/>
        <w:t>(3)</w:t>
      </w:r>
      <w:r w:rsidRPr="00097A86">
        <w:tab/>
        <w:t>If, during a year, criterion AA, or criterion AAA using paragraph</w:t>
      </w:r>
      <w:r w:rsidR="00097A86">
        <w:t> </w:t>
      </w:r>
      <w:r w:rsidRPr="00097A86">
        <w:t>4.37(2)(a), is used to estimate the quantity of carbonates acquired or products dispatched, then, in each year following that year, only criterion AA, or criterion AAA using paragraph</w:t>
      </w:r>
      <w:r w:rsidR="00097A86">
        <w:t> </w:t>
      </w:r>
      <w:r w:rsidR="008E6771" w:rsidRPr="00097A86">
        <w:t>4.37</w:t>
      </w:r>
      <w:r w:rsidRPr="00097A86">
        <w:t>(2)(a), (respectively) is to be used.</w:t>
      </w:r>
    </w:p>
    <w:p w14:paraId="11BF8D88" w14:textId="77777777" w:rsidR="00A55FF1" w:rsidRPr="00097A86" w:rsidRDefault="00A55FF1" w:rsidP="00D22D3F">
      <w:pPr>
        <w:pStyle w:val="SubsectionHead"/>
      </w:pPr>
      <w:r w:rsidRPr="00097A86">
        <w:lastRenderedPageBreak/>
        <w:t>Acquisition does not involve commercial transaction</w:t>
      </w:r>
    </w:p>
    <w:p w14:paraId="7CA5567F" w14:textId="77777777" w:rsidR="00A55FF1" w:rsidRPr="00097A86" w:rsidRDefault="00A55FF1" w:rsidP="00D22D3F">
      <w:pPr>
        <w:pStyle w:val="subsection"/>
      </w:pPr>
      <w:r w:rsidRPr="00097A86">
        <w:tab/>
        <w:t>(4)</w:t>
      </w:r>
      <w:r w:rsidRPr="00097A86">
        <w:tab/>
        <w:t>If the acquisition of the carbonates or the dispatch of the products does not involve a commercial transaction, the quantity the carbonates or products must be estimated using one of the following criteria:</w:t>
      </w:r>
    </w:p>
    <w:p w14:paraId="6DF439E6" w14:textId="77777777" w:rsidR="00A55FF1" w:rsidRPr="00097A86" w:rsidRDefault="00A55FF1" w:rsidP="00D22D3F">
      <w:pPr>
        <w:pStyle w:val="paragraph"/>
      </w:pPr>
      <w:r w:rsidRPr="00097A86">
        <w:tab/>
        <w:t>(a)</w:t>
      </w:r>
      <w:r w:rsidRPr="00097A86">
        <w:tab/>
        <w:t>as provided in paragraph</w:t>
      </w:r>
      <w:r w:rsidR="00097A86">
        <w:t> </w:t>
      </w:r>
      <w:r w:rsidRPr="00097A86">
        <w:t>4.37(2)(a) (</w:t>
      </w:r>
      <w:r w:rsidRPr="00097A86">
        <w:rPr>
          <w:b/>
          <w:bCs/>
          <w:i/>
          <w:iCs/>
        </w:rPr>
        <w:t>criterion AAA</w:t>
      </w:r>
      <w:r w:rsidRPr="00097A86">
        <w:t>);</w:t>
      </w:r>
    </w:p>
    <w:p w14:paraId="4D5E1ED2" w14:textId="77777777" w:rsidR="00A55FF1" w:rsidRPr="00097A86" w:rsidRDefault="00A55FF1" w:rsidP="00D22D3F">
      <w:pPr>
        <w:pStyle w:val="paragraph"/>
      </w:pPr>
      <w:r w:rsidRPr="00097A86">
        <w:tab/>
        <w:t>(b)</w:t>
      </w:r>
      <w:r w:rsidRPr="00097A86">
        <w:tab/>
        <w:t>as provided in section</w:t>
      </w:r>
      <w:r w:rsidR="00097A86">
        <w:t> </w:t>
      </w:r>
      <w:r w:rsidRPr="00097A86">
        <w:t>4.38 (</w:t>
      </w:r>
      <w:r w:rsidRPr="00097A86">
        <w:rPr>
          <w:b/>
          <w:i/>
        </w:rPr>
        <w:t>criterion BBB</w:t>
      </w:r>
      <w:r w:rsidRPr="00097A86">
        <w:t>).</w:t>
      </w:r>
    </w:p>
    <w:p w14:paraId="2ED13848" w14:textId="77777777" w:rsidR="003F0D4E" w:rsidRPr="00097A86" w:rsidRDefault="003F0D4E" w:rsidP="00D22D3F">
      <w:pPr>
        <w:pStyle w:val="ActHead5"/>
      </w:pPr>
      <w:bookmarkStart w:id="428" w:name="_Toc13233860"/>
      <w:r w:rsidRPr="00097A86">
        <w:rPr>
          <w:rStyle w:val="CharSectno"/>
        </w:rPr>
        <w:t>4.36</w:t>
      </w:r>
      <w:r w:rsidR="00D22D3F" w:rsidRPr="00097A86">
        <w:t xml:space="preserve">  </w:t>
      </w:r>
      <w:r w:rsidRPr="00097A86">
        <w:t>Indirect measurement at point of consumption or production</w:t>
      </w:r>
      <w:r w:rsidR="00D22D3F" w:rsidRPr="00097A86">
        <w:t>—</w:t>
      </w:r>
      <w:r w:rsidRPr="00097A86">
        <w:t>criterion AA</w:t>
      </w:r>
      <w:bookmarkEnd w:id="428"/>
    </w:p>
    <w:p w14:paraId="2B68DB67" w14:textId="77777777" w:rsidR="003F0D4E" w:rsidRPr="00097A86" w:rsidRDefault="003F0D4E" w:rsidP="00D22D3F">
      <w:pPr>
        <w:pStyle w:val="subsection"/>
      </w:pPr>
      <w:r w:rsidRPr="00097A86">
        <w:tab/>
        <w:t>(1)</w:t>
      </w:r>
      <w:r w:rsidRPr="00097A86">
        <w:tab/>
        <w:t>For paragraph</w:t>
      </w:r>
      <w:r w:rsidR="00097A86">
        <w:t> </w:t>
      </w:r>
      <w:r w:rsidRPr="00097A86">
        <w:t>4.35(b), criterion AA is the amount of carbonates consumed from the operation of the activity, or the amount of products derived from carbonates produced from the operation of the activity, during the year based on amounts delivered or dispatched during the year:</w:t>
      </w:r>
    </w:p>
    <w:p w14:paraId="70B5CF90" w14:textId="77777777" w:rsidR="003F0D4E" w:rsidRPr="00097A86" w:rsidRDefault="003F0D4E" w:rsidP="00D22D3F">
      <w:pPr>
        <w:pStyle w:val="paragraph"/>
      </w:pPr>
      <w:r w:rsidRPr="00097A86">
        <w:tab/>
        <w:t>(a)</w:t>
      </w:r>
      <w:r w:rsidRPr="00097A86">
        <w:tab/>
        <w:t>as evidenced by invoices; and</w:t>
      </w:r>
    </w:p>
    <w:p w14:paraId="09E8BCA7" w14:textId="77777777" w:rsidR="003F0D4E" w:rsidRPr="00097A86" w:rsidRDefault="003F0D4E" w:rsidP="00D22D3F">
      <w:pPr>
        <w:pStyle w:val="paragraph"/>
      </w:pPr>
      <w:r w:rsidRPr="00097A86">
        <w:tab/>
        <w:t>(b)</w:t>
      </w:r>
      <w:r w:rsidRPr="00097A86">
        <w:tab/>
        <w:t>as adjusted for the estimated change in the quantity of the stockpiles of carbonates or the quantity of the stockpiles of products derived from carbonates during the year.</w:t>
      </w:r>
    </w:p>
    <w:p w14:paraId="409A1787" w14:textId="77777777" w:rsidR="003F0D4E" w:rsidRPr="00097A86" w:rsidRDefault="003F0D4E" w:rsidP="00D22D3F">
      <w:pPr>
        <w:pStyle w:val="subsection"/>
      </w:pPr>
      <w:r w:rsidRPr="00097A86">
        <w:tab/>
        <w:t>(2)</w:t>
      </w:r>
      <w:r w:rsidRPr="00097A86">
        <w:tab/>
        <w:t>The volume of carbonates, or products derived from carbonates, in the stockpile for the activity must be measured in accordance with industry practice.</w:t>
      </w:r>
    </w:p>
    <w:p w14:paraId="72856D1B" w14:textId="77777777" w:rsidR="003F0D4E" w:rsidRPr="00097A86" w:rsidRDefault="003F0D4E" w:rsidP="00D22D3F">
      <w:pPr>
        <w:pStyle w:val="ActHead5"/>
      </w:pPr>
      <w:bookmarkStart w:id="429" w:name="_Toc13233861"/>
      <w:r w:rsidRPr="00097A86">
        <w:rPr>
          <w:rStyle w:val="CharSectno"/>
        </w:rPr>
        <w:t>4.37</w:t>
      </w:r>
      <w:r w:rsidR="00D22D3F" w:rsidRPr="00097A86">
        <w:t xml:space="preserve">  </w:t>
      </w:r>
      <w:r w:rsidRPr="00097A86">
        <w:t>Direct measurement at point of consumption or production</w:t>
      </w:r>
      <w:r w:rsidR="00D22D3F" w:rsidRPr="00097A86">
        <w:t>—</w:t>
      </w:r>
      <w:r w:rsidRPr="00097A86">
        <w:t>criterion AAA</w:t>
      </w:r>
      <w:bookmarkEnd w:id="429"/>
    </w:p>
    <w:p w14:paraId="03B7A790" w14:textId="77777777" w:rsidR="003F0D4E" w:rsidRPr="00097A86" w:rsidRDefault="003F0D4E" w:rsidP="00D22D3F">
      <w:pPr>
        <w:pStyle w:val="subsection"/>
      </w:pPr>
      <w:r w:rsidRPr="00097A86">
        <w:tab/>
        <w:t>(1)</w:t>
      </w:r>
      <w:r w:rsidRPr="00097A86">
        <w:tab/>
        <w:t>For paragraph</w:t>
      </w:r>
      <w:r w:rsidR="00097A86">
        <w:t> </w:t>
      </w:r>
      <w:r w:rsidR="008A729A" w:rsidRPr="00097A86">
        <w:t>4.35</w:t>
      </w:r>
      <w:r w:rsidRPr="00097A86">
        <w:t>(c), criterion AAA is the direct measurement during the year of:</w:t>
      </w:r>
    </w:p>
    <w:p w14:paraId="37A3F171" w14:textId="77777777" w:rsidR="003F0D4E" w:rsidRPr="00097A86" w:rsidRDefault="003F0D4E" w:rsidP="00D22D3F">
      <w:pPr>
        <w:pStyle w:val="paragraph"/>
      </w:pPr>
      <w:r w:rsidRPr="00097A86">
        <w:tab/>
        <w:t>(a)</w:t>
      </w:r>
      <w:r w:rsidRPr="00097A86">
        <w:tab/>
        <w:t>the quantities of carbonates consumed from the operation of the activity; or</w:t>
      </w:r>
    </w:p>
    <w:p w14:paraId="27724362" w14:textId="77777777" w:rsidR="003F0D4E" w:rsidRPr="00097A86" w:rsidRDefault="003F0D4E" w:rsidP="00D22D3F">
      <w:pPr>
        <w:pStyle w:val="paragraph"/>
      </w:pPr>
      <w:r w:rsidRPr="00097A86">
        <w:tab/>
        <w:t>(b)</w:t>
      </w:r>
      <w:r w:rsidRPr="00097A86">
        <w:tab/>
        <w:t>the quantities of products derived from carbonates produced from the operation of the activity.</w:t>
      </w:r>
    </w:p>
    <w:p w14:paraId="658FDD71" w14:textId="77777777" w:rsidR="003F0D4E" w:rsidRPr="00097A86" w:rsidRDefault="003F0D4E" w:rsidP="00D22D3F">
      <w:pPr>
        <w:pStyle w:val="subsection"/>
      </w:pPr>
      <w:r w:rsidRPr="00097A86">
        <w:tab/>
        <w:t>(2)</w:t>
      </w:r>
      <w:r w:rsidRPr="00097A86">
        <w:tab/>
        <w:t>The measurement must be:</w:t>
      </w:r>
    </w:p>
    <w:p w14:paraId="5B2F25E5" w14:textId="77777777" w:rsidR="003F0D4E" w:rsidRPr="00097A86" w:rsidRDefault="003F0D4E" w:rsidP="00D22D3F">
      <w:pPr>
        <w:pStyle w:val="paragraph"/>
      </w:pPr>
      <w:r w:rsidRPr="00097A86">
        <w:tab/>
        <w:t>(a)</w:t>
      </w:r>
      <w:r w:rsidRPr="00097A86">
        <w:tab/>
        <w:t>carried out using measuring equipment calibrated to a measurement requirement; or</w:t>
      </w:r>
    </w:p>
    <w:p w14:paraId="3ACDA6F8" w14:textId="77777777" w:rsidR="003F0D4E" w:rsidRPr="00097A86" w:rsidRDefault="003F0D4E" w:rsidP="00D22D3F">
      <w:pPr>
        <w:pStyle w:val="paragraph"/>
      </w:pPr>
      <w:r w:rsidRPr="00097A86">
        <w:tab/>
        <w:t>(b)</w:t>
      </w:r>
      <w:r w:rsidRPr="00097A86">
        <w:tab/>
        <w:t>for measurement of the quantities of carbonates consumed from the operation of the activity</w:t>
      </w:r>
      <w:r w:rsidR="00D22D3F" w:rsidRPr="00097A86">
        <w:t>—</w:t>
      </w:r>
      <w:r w:rsidRPr="00097A86">
        <w:t>carried out at the point of sale using measuring equipment calibrated to a measurement requirement.</w:t>
      </w:r>
    </w:p>
    <w:p w14:paraId="7E8B5DB1" w14:textId="77777777" w:rsidR="003F0D4E" w:rsidRPr="00097A86" w:rsidRDefault="003F0D4E" w:rsidP="00D22D3F">
      <w:pPr>
        <w:pStyle w:val="subsection"/>
      </w:pPr>
      <w:r w:rsidRPr="00097A86">
        <w:tab/>
        <w:t>(3)</w:t>
      </w:r>
      <w:r w:rsidRPr="00097A86">
        <w:tab/>
      </w:r>
      <w:r w:rsidR="00097A86">
        <w:t>Paragraph (</w:t>
      </w:r>
      <w:r w:rsidRPr="00097A86">
        <w:t>2)</w:t>
      </w:r>
      <w:r w:rsidR="008A729A" w:rsidRPr="00097A86">
        <w:t>(</w:t>
      </w:r>
      <w:r w:rsidRPr="00097A86">
        <w:t>b) only applies if:</w:t>
      </w:r>
    </w:p>
    <w:p w14:paraId="43965B31" w14:textId="77777777" w:rsidR="003F0D4E" w:rsidRPr="00097A86" w:rsidRDefault="003F0D4E" w:rsidP="00D22D3F">
      <w:pPr>
        <w:pStyle w:val="paragraph"/>
      </w:pPr>
      <w:r w:rsidRPr="00097A86">
        <w:tab/>
        <w:t>(a)</w:t>
      </w:r>
      <w:r w:rsidRPr="00097A86">
        <w:tab/>
        <w:t>the change in the stockpile of the carbonates for the activity during the year is less than 1% of total consumption of the carbonates from the operation of the activity on average during the year; and</w:t>
      </w:r>
    </w:p>
    <w:p w14:paraId="7A35456F" w14:textId="77777777" w:rsidR="003F0D4E" w:rsidRPr="00097A86" w:rsidRDefault="003F0D4E" w:rsidP="00D22D3F">
      <w:pPr>
        <w:pStyle w:val="paragraph"/>
      </w:pPr>
      <w:r w:rsidRPr="00097A86">
        <w:tab/>
        <w:t>(b)</w:t>
      </w:r>
      <w:r w:rsidRPr="00097A86">
        <w:tab/>
        <w:t>the stockpile of the carbonates for the activity at the beginning of the year is less than 5% of total consumption of the carbonates from the operation of the activity during the year.</w:t>
      </w:r>
    </w:p>
    <w:p w14:paraId="68B59CF9" w14:textId="77777777" w:rsidR="003F0D4E" w:rsidRPr="00097A86" w:rsidRDefault="003F0D4E" w:rsidP="00D22D3F">
      <w:pPr>
        <w:pStyle w:val="ActHead5"/>
      </w:pPr>
      <w:bookmarkStart w:id="430" w:name="_Toc13233862"/>
      <w:r w:rsidRPr="00097A86">
        <w:rPr>
          <w:rStyle w:val="CharSectno"/>
        </w:rPr>
        <w:lastRenderedPageBreak/>
        <w:t>4.38</w:t>
      </w:r>
      <w:r w:rsidR="00D22D3F" w:rsidRPr="00097A86">
        <w:t xml:space="preserve">  </w:t>
      </w:r>
      <w:r w:rsidRPr="00097A86">
        <w:t>Acquisition or use or disposal without commercial transaction</w:t>
      </w:r>
      <w:r w:rsidR="00D22D3F" w:rsidRPr="00097A86">
        <w:t>—</w:t>
      </w:r>
      <w:r w:rsidRPr="00097A86">
        <w:t>criterion BBB</w:t>
      </w:r>
      <w:bookmarkEnd w:id="430"/>
    </w:p>
    <w:p w14:paraId="1A53DACB" w14:textId="77777777" w:rsidR="003F0D4E" w:rsidRPr="00097A86" w:rsidRDefault="003F0D4E" w:rsidP="00D22D3F">
      <w:pPr>
        <w:pStyle w:val="subsection"/>
      </w:pPr>
      <w:r w:rsidRPr="00097A86">
        <w:tab/>
      </w:r>
      <w:r w:rsidRPr="00097A86">
        <w:tab/>
        <w:t>For paragraph</w:t>
      </w:r>
      <w:r w:rsidR="00097A86">
        <w:t> </w:t>
      </w:r>
      <w:r w:rsidR="008A729A" w:rsidRPr="00097A86">
        <w:t>4.35</w:t>
      </w:r>
      <w:r w:rsidRPr="00097A86">
        <w:t>(d), criterion BBB is the estimation of the consumption of carbonates, or the products derived from carbonates, during the year in accordance with industry practice if</w:t>
      </w:r>
      <w:r w:rsidR="00A55FF1" w:rsidRPr="00097A86">
        <w:t xml:space="preserve"> the equipment used to measure consumption of the carbonates, or the products derived from carbonates, is not calibrated to a measurement requirement.</w:t>
      </w:r>
    </w:p>
    <w:p w14:paraId="1DFD6B86" w14:textId="77777777" w:rsidR="003F0D4E" w:rsidRPr="00097A86" w:rsidRDefault="003F0D4E" w:rsidP="00D22D3F">
      <w:pPr>
        <w:pStyle w:val="ActHead5"/>
      </w:pPr>
      <w:bookmarkStart w:id="431" w:name="_Toc13233863"/>
      <w:r w:rsidRPr="00097A86">
        <w:rPr>
          <w:rStyle w:val="CharSectno"/>
        </w:rPr>
        <w:t>4.39</w:t>
      </w:r>
      <w:r w:rsidR="00D22D3F" w:rsidRPr="00097A86">
        <w:t xml:space="preserve">  </w:t>
      </w:r>
      <w:r w:rsidRPr="00097A86">
        <w:t>Units of measurement</w:t>
      </w:r>
      <w:bookmarkEnd w:id="431"/>
    </w:p>
    <w:p w14:paraId="1E12BBFD" w14:textId="77777777" w:rsidR="003F0D4E" w:rsidRPr="00097A86" w:rsidRDefault="003F0D4E" w:rsidP="00D22D3F">
      <w:pPr>
        <w:pStyle w:val="subsection"/>
      </w:pPr>
      <w:r w:rsidRPr="00097A86">
        <w:tab/>
      </w:r>
      <w:r w:rsidRPr="00097A86">
        <w:tab/>
        <w:t>Measurements of carbonates and products derived from carbonates must be converted to units of tonnes.</w:t>
      </w:r>
    </w:p>
    <w:p w14:paraId="4FC29740" w14:textId="77777777" w:rsidR="003F0D4E" w:rsidRPr="00097A86" w:rsidRDefault="003F0D4E" w:rsidP="00D22D3F">
      <w:pPr>
        <w:pStyle w:val="ActHead2"/>
        <w:pageBreakBefore/>
      </w:pPr>
      <w:bookmarkStart w:id="432" w:name="_Toc13233864"/>
      <w:r w:rsidRPr="00097A86">
        <w:rPr>
          <w:rStyle w:val="CharPartNo"/>
        </w:rPr>
        <w:lastRenderedPageBreak/>
        <w:t>Part</w:t>
      </w:r>
      <w:r w:rsidR="00097A86">
        <w:rPr>
          <w:rStyle w:val="CharPartNo"/>
        </w:rPr>
        <w:t> </w:t>
      </w:r>
      <w:r w:rsidRPr="00097A86">
        <w:rPr>
          <w:rStyle w:val="CharPartNo"/>
        </w:rPr>
        <w:t>4.3</w:t>
      </w:r>
      <w:r w:rsidR="00D22D3F" w:rsidRPr="00097A86">
        <w:t>—</w:t>
      </w:r>
      <w:r w:rsidRPr="00097A86">
        <w:rPr>
          <w:rStyle w:val="CharPartText"/>
        </w:rPr>
        <w:t>Industrial processes</w:t>
      </w:r>
      <w:r w:rsidR="00D22D3F" w:rsidRPr="00097A86">
        <w:rPr>
          <w:rStyle w:val="CharPartText"/>
        </w:rPr>
        <w:t>—</w:t>
      </w:r>
      <w:r w:rsidRPr="00097A86">
        <w:rPr>
          <w:rStyle w:val="CharPartText"/>
        </w:rPr>
        <w:t>chemical industry</w:t>
      </w:r>
      <w:bookmarkEnd w:id="432"/>
    </w:p>
    <w:p w14:paraId="773150E2" w14:textId="77777777" w:rsidR="003F0D4E" w:rsidRPr="00097A86" w:rsidRDefault="003F0D4E" w:rsidP="00D22D3F">
      <w:pPr>
        <w:pStyle w:val="ActHead3"/>
      </w:pPr>
      <w:bookmarkStart w:id="433" w:name="_Toc13233865"/>
      <w:r w:rsidRPr="00097A86">
        <w:rPr>
          <w:rStyle w:val="CharDivNo"/>
        </w:rPr>
        <w:t>Division</w:t>
      </w:r>
      <w:r w:rsidR="00097A86">
        <w:rPr>
          <w:rStyle w:val="CharDivNo"/>
        </w:rPr>
        <w:t> </w:t>
      </w:r>
      <w:r w:rsidRPr="00097A86">
        <w:rPr>
          <w:rStyle w:val="CharDivNo"/>
        </w:rPr>
        <w:t>4.3.1</w:t>
      </w:r>
      <w:r w:rsidR="00D22D3F" w:rsidRPr="00097A86">
        <w:t>—</w:t>
      </w:r>
      <w:r w:rsidRPr="00097A86">
        <w:rPr>
          <w:rStyle w:val="CharDivText"/>
        </w:rPr>
        <w:t>Ammonia production</w:t>
      </w:r>
      <w:bookmarkEnd w:id="433"/>
    </w:p>
    <w:p w14:paraId="39F8D7C0" w14:textId="77777777" w:rsidR="003F0D4E" w:rsidRPr="00097A86" w:rsidRDefault="003F0D4E" w:rsidP="00D22D3F">
      <w:pPr>
        <w:pStyle w:val="ActHead5"/>
      </w:pPr>
      <w:bookmarkStart w:id="434" w:name="_Toc13233866"/>
      <w:r w:rsidRPr="00097A86">
        <w:rPr>
          <w:rStyle w:val="CharSectno"/>
        </w:rPr>
        <w:t>4.40</w:t>
      </w:r>
      <w:r w:rsidR="00D22D3F" w:rsidRPr="00097A86">
        <w:t xml:space="preserve">  </w:t>
      </w:r>
      <w:r w:rsidRPr="00097A86">
        <w:t>Application</w:t>
      </w:r>
      <w:bookmarkEnd w:id="434"/>
    </w:p>
    <w:p w14:paraId="1A79BF16" w14:textId="77777777" w:rsidR="003F0D4E" w:rsidRPr="00097A86" w:rsidRDefault="003F0D4E" w:rsidP="00D22D3F">
      <w:pPr>
        <w:pStyle w:val="subsection"/>
      </w:pPr>
      <w:r w:rsidRPr="00097A86">
        <w:tab/>
      </w:r>
      <w:r w:rsidRPr="00097A86">
        <w:tab/>
        <w:t>This Division applies to chemical industry ammonia production.</w:t>
      </w:r>
    </w:p>
    <w:p w14:paraId="4BA47CC4" w14:textId="77777777" w:rsidR="003F0D4E" w:rsidRPr="00097A86" w:rsidRDefault="003F0D4E" w:rsidP="00D22D3F">
      <w:pPr>
        <w:pStyle w:val="ActHead5"/>
      </w:pPr>
      <w:bookmarkStart w:id="435" w:name="_Toc13233867"/>
      <w:r w:rsidRPr="00097A86">
        <w:rPr>
          <w:rStyle w:val="CharSectno"/>
        </w:rPr>
        <w:t>4.41</w:t>
      </w:r>
      <w:r w:rsidR="00D22D3F" w:rsidRPr="00097A86">
        <w:t xml:space="preserve">  </w:t>
      </w:r>
      <w:r w:rsidRPr="00097A86">
        <w:t>Available methods</w:t>
      </w:r>
      <w:bookmarkEnd w:id="435"/>
    </w:p>
    <w:p w14:paraId="005359E0"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released during a year from the operation of a facility that is constituted by the production of ammonia:</w:t>
      </w:r>
    </w:p>
    <w:p w14:paraId="18ABA4B8" w14:textId="77777777" w:rsidR="003F0D4E" w:rsidRPr="00097A86" w:rsidRDefault="003F0D4E" w:rsidP="00D22D3F">
      <w:pPr>
        <w:pStyle w:val="paragraph"/>
      </w:pPr>
      <w:r w:rsidRPr="00097A86">
        <w:tab/>
        <w:t>(a)</w:t>
      </w:r>
      <w:r w:rsidRPr="00097A86">
        <w:tab/>
        <w:t>method 1 under section</w:t>
      </w:r>
      <w:r w:rsidR="00097A86">
        <w:t> </w:t>
      </w:r>
      <w:r w:rsidRPr="00097A86">
        <w:t>4.42;</w:t>
      </w:r>
    </w:p>
    <w:p w14:paraId="0BDADF1F" w14:textId="77777777" w:rsidR="003F0D4E" w:rsidRPr="00097A86" w:rsidRDefault="003F0D4E" w:rsidP="00D22D3F">
      <w:pPr>
        <w:pStyle w:val="paragraph"/>
      </w:pPr>
      <w:r w:rsidRPr="00097A86">
        <w:tab/>
        <w:t>(b)</w:t>
      </w:r>
      <w:r w:rsidRPr="00097A86">
        <w:tab/>
        <w:t>method 2 under section</w:t>
      </w:r>
      <w:r w:rsidR="00097A86">
        <w:t> </w:t>
      </w:r>
      <w:r w:rsidRPr="00097A86">
        <w:t>4.43;</w:t>
      </w:r>
    </w:p>
    <w:p w14:paraId="66AE538D" w14:textId="77777777" w:rsidR="003F0D4E" w:rsidRPr="00097A86" w:rsidRDefault="003F0D4E" w:rsidP="00D22D3F">
      <w:pPr>
        <w:pStyle w:val="paragraph"/>
      </w:pPr>
      <w:r w:rsidRPr="00097A86">
        <w:tab/>
        <w:t>(c)</w:t>
      </w:r>
      <w:r w:rsidRPr="00097A86">
        <w:tab/>
        <w:t>method 3 under section</w:t>
      </w:r>
      <w:r w:rsidR="00097A86">
        <w:t> </w:t>
      </w:r>
      <w:r w:rsidRPr="00097A86">
        <w:t>4.44;</w:t>
      </w:r>
    </w:p>
    <w:p w14:paraId="48C82976" w14:textId="77777777" w:rsidR="003F0D4E" w:rsidRPr="00097A86" w:rsidRDefault="003F0D4E" w:rsidP="00D22D3F">
      <w:pPr>
        <w:pStyle w:val="paragraph"/>
      </w:pPr>
      <w:r w:rsidRPr="00097A86">
        <w:tab/>
        <w:t>(d)</w:t>
      </w:r>
      <w:r w:rsidRPr="00097A86">
        <w:tab/>
        <w:t>method 4 under Part</w:t>
      </w:r>
      <w:r w:rsidR="00097A86">
        <w:t> </w:t>
      </w:r>
      <w:r w:rsidRPr="00097A86">
        <w:t>1.3.</w:t>
      </w:r>
    </w:p>
    <w:p w14:paraId="41EB6CBB" w14:textId="77777777" w:rsidR="003F0D4E" w:rsidRPr="00097A86" w:rsidRDefault="003F0D4E" w:rsidP="00D22D3F">
      <w:pPr>
        <w:pStyle w:val="subsection"/>
      </w:pPr>
      <w:r w:rsidRPr="00097A86">
        <w:tab/>
        <w:t>(2)</w:t>
      </w:r>
      <w:r w:rsidRPr="00097A86">
        <w:tab/>
        <w:t xml:space="preserve">However, for </w:t>
      </w:r>
      <w:r w:rsidR="005D1E04" w:rsidRPr="00097A86">
        <w:t>incidental emissions</w:t>
      </w:r>
      <w:r w:rsidRPr="00097A86">
        <w:t xml:space="preserve"> another method may be used that is consistent with the principles in section</w:t>
      </w:r>
      <w:r w:rsidR="00097A86">
        <w:t> </w:t>
      </w:r>
      <w:r w:rsidRPr="00097A86">
        <w:t>1.13.</w:t>
      </w:r>
    </w:p>
    <w:p w14:paraId="7FB72C1A" w14:textId="77777777" w:rsidR="003F0D4E" w:rsidRPr="00097A86" w:rsidRDefault="003F0D4E" w:rsidP="00D22D3F">
      <w:pPr>
        <w:pStyle w:val="ActHead5"/>
      </w:pPr>
      <w:bookmarkStart w:id="436" w:name="_Toc13233868"/>
      <w:r w:rsidRPr="00097A86">
        <w:rPr>
          <w:rStyle w:val="CharSectno"/>
        </w:rPr>
        <w:t>4.42</w:t>
      </w:r>
      <w:r w:rsidR="00D22D3F" w:rsidRPr="00097A86">
        <w:t xml:space="preserve">  </w:t>
      </w:r>
      <w:r w:rsidRPr="00097A86">
        <w:t>Method 1</w:t>
      </w:r>
      <w:r w:rsidR="00D22D3F" w:rsidRPr="00097A86">
        <w:t>—</w:t>
      </w:r>
      <w:r w:rsidRPr="00097A86">
        <w:t>ammonia production</w:t>
      </w:r>
      <w:bookmarkEnd w:id="436"/>
    </w:p>
    <w:p w14:paraId="3123F069" w14:textId="77777777" w:rsidR="003F0D4E" w:rsidRPr="00097A86" w:rsidRDefault="003F0D4E" w:rsidP="00D22D3F">
      <w:pPr>
        <w:pStyle w:val="subsection"/>
      </w:pPr>
      <w:r w:rsidRPr="00097A86">
        <w:tab/>
        <w:t>(1)</w:t>
      </w:r>
      <w:r w:rsidRPr="00097A86">
        <w:tab/>
        <w:t>Method 1 is:</w:t>
      </w:r>
    </w:p>
    <w:p w14:paraId="4ACAB580"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9FD724E" wp14:editId="6B170E8C">
            <wp:extent cx="1971675" cy="40957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p w14:paraId="5DA1C2AB" w14:textId="77777777" w:rsidR="003F0D4E" w:rsidRPr="00097A86" w:rsidRDefault="003F0D4E" w:rsidP="00D22D3F">
      <w:pPr>
        <w:pStyle w:val="subsection2"/>
      </w:pPr>
      <w:r w:rsidRPr="00097A86">
        <w:t>where:</w:t>
      </w:r>
    </w:p>
    <w:p w14:paraId="21B60BCA" w14:textId="77777777" w:rsidR="003F0D4E" w:rsidRPr="00097A86" w:rsidRDefault="003F0D4E" w:rsidP="00D22D3F">
      <w:pPr>
        <w:pStyle w:val="Definition"/>
      </w:pPr>
      <w:r w:rsidRPr="00097A86">
        <w:rPr>
          <w:b/>
          <w:i/>
        </w:rPr>
        <w:t>E</w:t>
      </w:r>
      <w:r w:rsidRPr="00097A86">
        <w:rPr>
          <w:rStyle w:val="charSubscript"/>
          <w:b/>
          <w:i/>
        </w:rPr>
        <w:t>ij</w:t>
      </w:r>
      <w:r w:rsidRPr="00097A86">
        <w:rPr>
          <w:b/>
          <w:i/>
        </w:rPr>
        <w:t xml:space="preserve"> </w:t>
      </w:r>
      <w:r w:rsidRPr="00097A86">
        <w:t>is the emissions of carbon dioxide</w:t>
      </w:r>
      <w:r w:rsidRPr="00097A86">
        <w:rPr>
          <w:rStyle w:val="charSubscript"/>
          <w:vertAlign w:val="baseline"/>
        </w:rPr>
        <w:t xml:space="preserve"> </w:t>
      </w:r>
      <w:r w:rsidRPr="00097A86">
        <w:t>released from the production of ammonia during the year measured in CO</w:t>
      </w:r>
      <w:r w:rsidRPr="00097A86">
        <w:rPr>
          <w:vertAlign w:val="subscript"/>
        </w:rPr>
        <w:t>2</w:t>
      </w:r>
      <w:r w:rsidR="00097A86">
        <w:rPr>
          <w:vertAlign w:val="subscript"/>
        </w:rPr>
        <w:noBreakHyphen/>
      </w:r>
      <w:r w:rsidRPr="00097A86">
        <w:t>e tonnes.</w:t>
      </w:r>
    </w:p>
    <w:p w14:paraId="5FEF0CE9"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each type of feedstock or type of fuel (</w:t>
      </w:r>
      <w:r w:rsidRPr="00097A86">
        <w:rPr>
          <w:b/>
          <w:i/>
        </w:rPr>
        <w:t>i</w:t>
      </w:r>
      <w:r w:rsidRPr="00097A86">
        <w:t>) consumed from the production of ammonia during the year, measured in the appropriate unit and estimated using a criterion in Division</w:t>
      </w:r>
      <w:r w:rsidR="00097A86">
        <w:t> </w:t>
      </w:r>
      <w:r w:rsidRPr="00097A86">
        <w:t>2.3.6.</w:t>
      </w:r>
    </w:p>
    <w:p w14:paraId="70CF4040" w14:textId="77777777" w:rsidR="00A55FF1" w:rsidRPr="00097A86" w:rsidRDefault="00A55FF1"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for fuel type </w:t>
      </w:r>
      <w:r w:rsidRPr="00097A86">
        <w:rPr>
          <w:b/>
          <w:i/>
        </w:rPr>
        <w:t xml:space="preserve">(i) </w:t>
      </w:r>
      <w:r w:rsidRPr="00097A86">
        <w:t>used as a feedstock in the production of ammonia during the year, estimated under section</w:t>
      </w:r>
      <w:r w:rsidR="00097A86">
        <w:t> </w:t>
      </w:r>
      <w:r w:rsidRPr="00097A86">
        <w:t xml:space="preserve">6.5. </w:t>
      </w:r>
    </w:p>
    <w:p w14:paraId="59E0CFE2"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carbon dioxide emission factor for each type of feedstock or type of fuel (</w:t>
      </w:r>
      <w:r w:rsidRPr="00097A86">
        <w:rPr>
          <w:b/>
          <w:i/>
        </w:rPr>
        <w:t>i</w:t>
      </w:r>
      <w:r w:rsidRPr="00097A86">
        <w:t>) used in the production of ammonia during the year, including the effects of oxidation, measured in kilograms for each gigajoule according to source as mentioned in Part</w:t>
      </w:r>
      <w:r w:rsidR="00097A86">
        <w:t> </w:t>
      </w:r>
      <w:r w:rsidRPr="00097A86">
        <w:t>2 of Schedule</w:t>
      </w:r>
      <w:r w:rsidR="00097A86">
        <w:t> </w:t>
      </w:r>
      <w:r w:rsidRPr="00097A86">
        <w:t>1.</w:t>
      </w:r>
    </w:p>
    <w:p w14:paraId="2093FC07" w14:textId="77777777" w:rsidR="003F0D4E" w:rsidRPr="00097A86" w:rsidRDefault="003F0D4E" w:rsidP="00D22D3F">
      <w:pPr>
        <w:pStyle w:val="Definition"/>
      </w:pPr>
      <w:r w:rsidRPr="00097A86">
        <w:rPr>
          <w:b/>
          <w:i/>
        </w:rPr>
        <w:t xml:space="preserve">R </w:t>
      </w:r>
      <w:r w:rsidRPr="00097A86">
        <w:t xml:space="preserve">is the quantity of carbon dioxide </w:t>
      </w:r>
      <w:r w:rsidR="00A55FF1" w:rsidRPr="00097A86">
        <w:t xml:space="preserve">measured in tonnes </w:t>
      </w:r>
      <w:r w:rsidRPr="00097A86">
        <w:t>derived from the production of ammonia during the year, captured and transferred for use in the operation of another facility, estimated using an applicable criterion in Division</w:t>
      </w:r>
      <w:r w:rsidR="00097A86">
        <w:t> </w:t>
      </w:r>
      <w:r w:rsidRPr="00097A86">
        <w:t>2.3.6 and in accordance with any other requirements of that Division.</w:t>
      </w:r>
    </w:p>
    <w:p w14:paraId="683853BC" w14:textId="77777777" w:rsidR="001329E3" w:rsidRPr="00097A86" w:rsidRDefault="001329E3" w:rsidP="001329E3">
      <w:pPr>
        <w:pStyle w:val="subsection"/>
      </w:pPr>
      <w:r w:rsidRPr="00097A86">
        <w:lastRenderedPageBreak/>
        <w:tab/>
        <w:t>(2)</w:t>
      </w:r>
      <w:r w:rsidRPr="00097A86">
        <w:tab/>
        <w:t xml:space="preserve">For the purposes of calculating </w:t>
      </w:r>
      <w:r w:rsidRPr="00097A86">
        <w:rPr>
          <w:b/>
          <w:i/>
        </w:rPr>
        <w:t xml:space="preserve">R </w:t>
      </w:r>
      <w:r w:rsidRPr="00097A86">
        <w:t xml:space="preserve">in </w:t>
      </w:r>
      <w:r w:rsidR="00097A86">
        <w:t>subsection (</w:t>
      </w:r>
      <w:r w:rsidRPr="00097A86">
        <w:t>1), if:</w:t>
      </w:r>
    </w:p>
    <w:p w14:paraId="53F1402B" w14:textId="77777777" w:rsidR="001329E3" w:rsidRPr="00097A86" w:rsidRDefault="001329E3" w:rsidP="001329E3">
      <w:pPr>
        <w:pStyle w:val="paragraph"/>
      </w:pPr>
      <w:r w:rsidRPr="00097A86">
        <w:tab/>
        <w:t>(a)</w:t>
      </w:r>
      <w:r w:rsidRPr="00097A86">
        <w:tab/>
        <w:t>more than one fuel is consumed in the production of ammonia; and</w:t>
      </w:r>
    </w:p>
    <w:p w14:paraId="69378889" w14:textId="77777777" w:rsidR="001329E3" w:rsidRPr="00097A86" w:rsidRDefault="001329E3" w:rsidP="001329E3">
      <w:pPr>
        <w:pStyle w:val="paragraph"/>
      </w:pPr>
      <w:r w:rsidRPr="00097A86">
        <w:tab/>
        <w:t>(b)</w:t>
      </w:r>
      <w:r w:rsidRPr="00097A86">
        <w:tab/>
        <w:t>the carbon dioxide generated from the production of ammonia is captured and transferred for use in the operation of another facility or captured for permanent storage;</w:t>
      </w:r>
    </w:p>
    <w:p w14:paraId="127DE496" w14:textId="77777777" w:rsidR="001329E3" w:rsidRPr="00097A86" w:rsidRDefault="001329E3" w:rsidP="001329E3">
      <w:pPr>
        <w:pStyle w:val="subsection2"/>
      </w:pPr>
      <w:r w:rsidRPr="00097A86">
        <w:t>the total amount of carbon dioxide that may be deducted in relation to the production of ammonia is to be attributed to each fuel consumed in proportion to the carbon content of the fuel relative to the total carbon content of all fuel consumed in the production of ammonia.</w:t>
      </w:r>
    </w:p>
    <w:p w14:paraId="02B708CA" w14:textId="77777777" w:rsidR="002E39CE" w:rsidRPr="00097A86" w:rsidRDefault="002E39CE" w:rsidP="00D22D3F">
      <w:pPr>
        <w:pStyle w:val="ActHead5"/>
      </w:pPr>
      <w:bookmarkStart w:id="437" w:name="_Toc13233869"/>
      <w:r w:rsidRPr="00097A86">
        <w:rPr>
          <w:rStyle w:val="CharSectno"/>
        </w:rPr>
        <w:t>4.43</w:t>
      </w:r>
      <w:r w:rsidR="00D22D3F" w:rsidRPr="00097A86">
        <w:t xml:space="preserve">  </w:t>
      </w:r>
      <w:r w:rsidRPr="00097A86">
        <w:t>Method 2</w:t>
      </w:r>
      <w:r w:rsidR="00D22D3F" w:rsidRPr="00097A86">
        <w:t>—</w:t>
      </w:r>
      <w:r w:rsidRPr="00097A86">
        <w:t>ammonia production</w:t>
      </w:r>
      <w:bookmarkEnd w:id="437"/>
    </w:p>
    <w:p w14:paraId="42D8ECFF" w14:textId="77777777" w:rsidR="002E39CE" w:rsidRPr="00097A86" w:rsidRDefault="002E39CE" w:rsidP="00D22D3F">
      <w:pPr>
        <w:pStyle w:val="subsection"/>
      </w:pPr>
      <w:r w:rsidRPr="00097A86">
        <w:tab/>
        <w:t>(1)</w:t>
      </w:r>
      <w:r w:rsidRPr="00097A86">
        <w:tab/>
        <w:t>Method 2 is:</w:t>
      </w:r>
    </w:p>
    <w:p w14:paraId="1708D4A6" w14:textId="77777777" w:rsidR="002E39CE" w:rsidRPr="00097A86" w:rsidRDefault="00D22D3F" w:rsidP="00D22D3F">
      <w:pPr>
        <w:pStyle w:val="subsection"/>
        <w:spacing w:before="120" w:after="120"/>
      </w:pPr>
      <w:r w:rsidRPr="00097A86">
        <w:tab/>
      </w:r>
      <w:r w:rsidRPr="00097A86">
        <w:tab/>
      </w:r>
      <w:r w:rsidR="009E1F90">
        <w:rPr>
          <w:noProof/>
        </w:rPr>
        <w:drawing>
          <wp:inline distT="0" distB="0" distL="0" distR="0" wp14:anchorId="6E96067F" wp14:editId="0C8416DF">
            <wp:extent cx="2419350" cy="409575"/>
            <wp:effectExtent l="0" t="0" r="0" b="9525"/>
            <wp:docPr id="14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9350" cy="409575"/>
                    </a:xfrm>
                    <a:prstGeom prst="rect">
                      <a:avLst/>
                    </a:prstGeom>
                    <a:noFill/>
                    <a:ln>
                      <a:noFill/>
                    </a:ln>
                  </pic:spPr>
                </pic:pic>
              </a:graphicData>
            </a:graphic>
          </wp:inline>
        </w:drawing>
      </w:r>
    </w:p>
    <w:p w14:paraId="48D29EE6" w14:textId="77777777" w:rsidR="002E39CE" w:rsidRPr="00097A86" w:rsidRDefault="002E39CE" w:rsidP="00D22D3F">
      <w:pPr>
        <w:pStyle w:val="subsection2"/>
      </w:pPr>
      <w:r w:rsidRPr="00097A86">
        <w:t>where:</w:t>
      </w:r>
    </w:p>
    <w:p w14:paraId="5326B90B" w14:textId="77777777" w:rsidR="002E39CE" w:rsidRPr="00097A86" w:rsidRDefault="002E39CE" w:rsidP="00D22D3F">
      <w:pPr>
        <w:pStyle w:val="Definition"/>
      </w:pPr>
      <w:r w:rsidRPr="00097A86">
        <w:rPr>
          <w:b/>
          <w:i/>
        </w:rPr>
        <w:t>E</w:t>
      </w:r>
      <w:r w:rsidRPr="00097A86">
        <w:rPr>
          <w:rStyle w:val="charSubscript"/>
          <w:b/>
          <w:i/>
        </w:rPr>
        <w:t>ij</w:t>
      </w:r>
      <w:r w:rsidRPr="00097A86">
        <w:rPr>
          <w:b/>
          <w:i/>
        </w:rPr>
        <w:t xml:space="preserve"> </w:t>
      </w:r>
      <w:r w:rsidRPr="00097A86">
        <w:t>is the emissions of carbon dioxide</w:t>
      </w:r>
      <w:r w:rsidRPr="00097A86">
        <w:rPr>
          <w:rStyle w:val="charSubscript"/>
          <w:vertAlign w:val="baseline"/>
        </w:rPr>
        <w:t xml:space="preserve"> </w:t>
      </w:r>
      <w:r w:rsidRPr="00097A86">
        <w:t>released from the production of ammonia during the year measured in CO</w:t>
      </w:r>
      <w:r w:rsidRPr="00097A86">
        <w:rPr>
          <w:vertAlign w:val="subscript"/>
        </w:rPr>
        <w:t>2</w:t>
      </w:r>
      <w:r w:rsidR="00097A86">
        <w:rPr>
          <w:vertAlign w:val="subscript"/>
        </w:rPr>
        <w:noBreakHyphen/>
      </w:r>
      <w:r w:rsidRPr="00097A86">
        <w:t>e tonnes.</w:t>
      </w:r>
    </w:p>
    <w:p w14:paraId="0F95AC85" w14:textId="77777777" w:rsidR="002E39CE" w:rsidRPr="00097A86" w:rsidRDefault="002E39CE" w:rsidP="00D22D3F">
      <w:pPr>
        <w:pStyle w:val="Definition"/>
      </w:pPr>
      <w:r w:rsidRPr="00097A86">
        <w:rPr>
          <w:b/>
          <w:i/>
        </w:rPr>
        <w:t>Q</w:t>
      </w:r>
      <w:r w:rsidRPr="00097A86">
        <w:rPr>
          <w:b/>
          <w:i/>
          <w:vertAlign w:val="subscript"/>
        </w:rPr>
        <w:t>i</w:t>
      </w:r>
      <w:r w:rsidRPr="00097A86">
        <w:rPr>
          <w:b/>
          <w:i/>
        </w:rPr>
        <w:t xml:space="preserve"> </w:t>
      </w:r>
      <w:r w:rsidRPr="00097A86">
        <w:t>is the quantity of each type of feedstock or type of fuel (</w:t>
      </w:r>
      <w:r w:rsidRPr="00097A86">
        <w:rPr>
          <w:b/>
          <w:i/>
        </w:rPr>
        <w:t>i</w:t>
      </w:r>
      <w:r w:rsidRPr="00097A86">
        <w:t>) consumed from the production of ammonia during the year, measured in the appropriate unit and estimated using an applicable criterion in Division</w:t>
      </w:r>
      <w:r w:rsidR="00097A86">
        <w:t> </w:t>
      </w:r>
      <w:r w:rsidRPr="00097A86">
        <w:t>2.3.6.</w:t>
      </w:r>
    </w:p>
    <w:p w14:paraId="7C0835C4" w14:textId="77777777" w:rsidR="002E39CE" w:rsidRPr="00097A86" w:rsidRDefault="002E39CE" w:rsidP="00D22D3F">
      <w:pPr>
        <w:pStyle w:val="Definition"/>
      </w:pPr>
      <w:r w:rsidRPr="00097A86">
        <w:rPr>
          <w:b/>
          <w:bCs/>
          <w:i/>
          <w:iCs/>
        </w:rPr>
        <w:t>EC</w:t>
      </w:r>
      <w:r w:rsidRPr="00097A86">
        <w:rPr>
          <w:rStyle w:val="charsubscript0"/>
          <w:b/>
          <w:bCs/>
          <w:i/>
          <w:iCs/>
          <w:sz w:val="20"/>
        </w:rPr>
        <w:t xml:space="preserve">i </w:t>
      </w:r>
      <w:r w:rsidRPr="00097A86">
        <w:t xml:space="preserve">is the energy content factor for fuel type </w:t>
      </w:r>
      <w:r w:rsidRPr="00097A86">
        <w:rPr>
          <w:b/>
          <w:i/>
        </w:rPr>
        <w:t xml:space="preserve">(i) </w:t>
      </w:r>
      <w:r w:rsidRPr="00097A86">
        <w:t>used as a feedstock in the production of ammonia during the year, estimated under section</w:t>
      </w:r>
      <w:r w:rsidR="00097A86">
        <w:t> </w:t>
      </w:r>
      <w:r w:rsidRPr="00097A86">
        <w:t>6.5.</w:t>
      </w:r>
    </w:p>
    <w:p w14:paraId="62039D08" w14:textId="77777777" w:rsidR="002E39CE" w:rsidRPr="00097A86" w:rsidRDefault="002E39CE" w:rsidP="00D22D3F">
      <w:pPr>
        <w:pStyle w:val="Definition"/>
      </w:pPr>
      <w:r w:rsidRPr="00097A86">
        <w:rPr>
          <w:b/>
          <w:i/>
        </w:rPr>
        <w:t>EF</w:t>
      </w:r>
      <w:r w:rsidRPr="00097A86">
        <w:rPr>
          <w:b/>
          <w:i/>
          <w:vertAlign w:val="subscript"/>
        </w:rPr>
        <w:t>ij</w:t>
      </w:r>
      <w:r w:rsidRPr="00097A86">
        <w:rPr>
          <w:b/>
          <w:i/>
        </w:rPr>
        <w:t xml:space="preserve"> </w:t>
      </w:r>
      <w:r w:rsidRPr="00097A86">
        <w:t>is the carbon dioxide emission factor for each type of feedstock or type of fuel (</w:t>
      </w:r>
      <w:r w:rsidRPr="00097A86">
        <w:rPr>
          <w:b/>
          <w:i/>
        </w:rPr>
        <w:t>i</w:t>
      </w:r>
      <w:r w:rsidRPr="00097A86">
        <w:t xml:space="preserve">) used in the production of ammonia during the year, including the effects of oxidation, measured in kilograms for each gigajoule according to source in accordance with </w:t>
      </w:r>
      <w:r w:rsidR="00097A86">
        <w:t>subsection (</w:t>
      </w:r>
      <w:r w:rsidR="00977594" w:rsidRPr="00097A86">
        <w:t>2).</w:t>
      </w:r>
    </w:p>
    <w:p w14:paraId="3FAC2D6C" w14:textId="77777777" w:rsidR="002E39CE" w:rsidRPr="00097A86" w:rsidRDefault="002E39CE" w:rsidP="00D22D3F">
      <w:pPr>
        <w:pStyle w:val="Definition"/>
      </w:pPr>
      <w:r w:rsidRPr="00097A86">
        <w:rPr>
          <w:b/>
          <w:i/>
        </w:rPr>
        <w:t xml:space="preserve">R </w:t>
      </w:r>
      <w:r w:rsidRPr="00097A86">
        <w:t>is the quantity of carbon dioxide measured in tonnes derived from the production of ammonia during the year, captured and transferred for use in the operation of another facility, estimated using an applicable criterion in Division</w:t>
      </w:r>
      <w:r w:rsidR="00097A86">
        <w:t> </w:t>
      </w:r>
      <w:r w:rsidRPr="00097A86">
        <w:t>2.3.6 and in accordance with any other requirements of that Division.</w:t>
      </w:r>
    </w:p>
    <w:p w14:paraId="4B576931" w14:textId="77777777" w:rsidR="002E39CE" w:rsidRPr="00097A86" w:rsidRDefault="002E39CE" w:rsidP="00D22D3F">
      <w:pPr>
        <w:pStyle w:val="Definition"/>
      </w:pPr>
      <w:r w:rsidRPr="00097A86">
        <w:rPr>
          <w:b/>
          <w:i/>
        </w:rPr>
        <w:t xml:space="preserve">γ </w:t>
      </w:r>
      <w:r w:rsidRPr="00097A86">
        <w:t>is the factor 1.861 × 10</w:t>
      </w:r>
      <w:r w:rsidR="00097A86">
        <w:rPr>
          <w:vertAlign w:val="superscript"/>
        </w:rPr>
        <w:noBreakHyphen/>
      </w:r>
      <w:r w:rsidRPr="00097A86">
        <w:rPr>
          <w:vertAlign w:val="superscript"/>
        </w:rPr>
        <w:t xml:space="preserve">3 </w:t>
      </w:r>
      <w:r w:rsidRPr="00097A86">
        <w:t>for converting a quantity of carbon dioxide from cubic metres at standard conditions of pressure and temperature to CO</w:t>
      </w:r>
      <w:r w:rsidRPr="00097A86">
        <w:rPr>
          <w:vertAlign w:val="subscript"/>
        </w:rPr>
        <w:t>2</w:t>
      </w:r>
      <w:r w:rsidR="00097A86">
        <w:noBreakHyphen/>
      </w:r>
      <w:r w:rsidRPr="00097A86">
        <w:t>e tonnes.</w:t>
      </w:r>
    </w:p>
    <w:p w14:paraId="736B5849" w14:textId="77777777" w:rsidR="002E39CE" w:rsidRPr="00097A86" w:rsidRDefault="002E39CE" w:rsidP="00D22D3F">
      <w:pPr>
        <w:pStyle w:val="Definition"/>
      </w:pPr>
      <w:r w:rsidRPr="00097A86">
        <w:rPr>
          <w:b/>
          <w:i/>
        </w:rPr>
        <w:t>RCCS</w:t>
      </w:r>
      <w:r w:rsidRPr="00097A86">
        <w:rPr>
          <w:b/>
          <w:i/>
          <w:vertAlign w:val="subscript"/>
        </w:rPr>
        <w:t>CO</w:t>
      </w:r>
      <w:r w:rsidRPr="00097A86">
        <w:rPr>
          <w:b/>
          <w:i/>
          <w:position w:val="-4"/>
          <w:vertAlign w:val="subscript"/>
        </w:rPr>
        <w:t>2</w:t>
      </w:r>
      <w:r w:rsidRPr="00097A86">
        <w:rPr>
          <w:b/>
          <w:i/>
          <w:vertAlign w:val="subscript"/>
        </w:rPr>
        <w:t xml:space="preserve"> </w:t>
      </w:r>
      <w:r w:rsidRPr="00097A86">
        <w:t>is carbon dioxide captured for permanent storage measured in cubic metres in accordance with Division</w:t>
      </w:r>
      <w:r w:rsidR="00097A86">
        <w:t> </w:t>
      </w:r>
      <w:r w:rsidRPr="00097A86">
        <w:t>1.2.3.</w:t>
      </w:r>
    </w:p>
    <w:p w14:paraId="7826E067" w14:textId="77777777" w:rsidR="002E39CE" w:rsidRPr="00097A86" w:rsidRDefault="002E39CE" w:rsidP="00D22D3F">
      <w:pPr>
        <w:pStyle w:val="subsection"/>
      </w:pPr>
      <w:r w:rsidRPr="00097A86">
        <w:tab/>
        <w:t>(2)</w:t>
      </w:r>
      <w:r w:rsidRPr="00097A86">
        <w:tab/>
        <w:t>The method for estimating emission factors for gaseous fuels in Division</w:t>
      </w:r>
      <w:r w:rsidR="00097A86">
        <w:t> </w:t>
      </w:r>
      <w:r w:rsidRPr="00097A86">
        <w:t xml:space="preserve">2.3.3 applies for working out the factor </w:t>
      </w:r>
      <w:r w:rsidRPr="00097A86">
        <w:rPr>
          <w:b/>
          <w:i/>
        </w:rPr>
        <w:t>EF</w:t>
      </w:r>
      <w:r w:rsidRPr="00097A86">
        <w:rPr>
          <w:rStyle w:val="charSubscript"/>
          <w:b/>
          <w:i/>
          <w:sz w:val="22"/>
        </w:rPr>
        <w:t>ij</w:t>
      </w:r>
      <w:r w:rsidRPr="00097A86">
        <w:t>.</w:t>
      </w:r>
    </w:p>
    <w:p w14:paraId="067BC13D" w14:textId="77777777" w:rsidR="004A1191" w:rsidRPr="00097A86" w:rsidRDefault="004A1191" w:rsidP="004A1191">
      <w:pPr>
        <w:pStyle w:val="subsection"/>
      </w:pPr>
      <w:r w:rsidRPr="00097A86">
        <w:tab/>
        <w:t>(3)</w:t>
      </w:r>
      <w:r w:rsidRPr="00097A86">
        <w:tab/>
        <w:t xml:space="preserve">For the purposes of calculating </w:t>
      </w:r>
      <w:r w:rsidRPr="00097A86">
        <w:rPr>
          <w:b/>
          <w:i/>
        </w:rPr>
        <w:t xml:space="preserve">R </w:t>
      </w:r>
      <w:r w:rsidRPr="00097A86">
        <w:t xml:space="preserve">in </w:t>
      </w:r>
      <w:r w:rsidR="00097A86">
        <w:t>subsection (</w:t>
      </w:r>
      <w:r w:rsidRPr="00097A86">
        <w:t>1), if:</w:t>
      </w:r>
    </w:p>
    <w:p w14:paraId="54B0F157" w14:textId="77777777" w:rsidR="004A1191" w:rsidRPr="00097A86" w:rsidRDefault="004A1191" w:rsidP="004A1191">
      <w:pPr>
        <w:pStyle w:val="paragraph"/>
      </w:pPr>
      <w:r w:rsidRPr="00097A86">
        <w:tab/>
        <w:t>(a)</w:t>
      </w:r>
      <w:r w:rsidRPr="00097A86">
        <w:tab/>
        <w:t>more than one fuel is consumed in the production of ammonia; and</w:t>
      </w:r>
    </w:p>
    <w:p w14:paraId="23276894" w14:textId="77777777" w:rsidR="004A1191" w:rsidRPr="00097A86" w:rsidRDefault="004A1191" w:rsidP="004A1191">
      <w:pPr>
        <w:pStyle w:val="paragraph"/>
      </w:pPr>
      <w:r w:rsidRPr="00097A86">
        <w:lastRenderedPageBreak/>
        <w:tab/>
        <w:t>(b)</w:t>
      </w:r>
      <w:r w:rsidRPr="00097A86">
        <w:tab/>
        <w:t>the carbon dioxide generated from the production of ammonia is captured and transferred for use in the operation of another facility or captured for permanent storage;</w:t>
      </w:r>
    </w:p>
    <w:p w14:paraId="39E3C4AA" w14:textId="77777777" w:rsidR="004A1191" w:rsidRPr="00097A86" w:rsidRDefault="004A1191" w:rsidP="004A1191">
      <w:pPr>
        <w:pStyle w:val="subsection2"/>
      </w:pPr>
      <w:r w:rsidRPr="00097A86">
        <w:t>the total amount of carbon dioxide that may be deducted in relation to the production of ammonia is to be attributed to each fuel consumed in proportion to the carbon content of the fuel relative to the total carbon content of all fuel consumed in the production of ammonia.</w:t>
      </w:r>
    </w:p>
    <w:p w14:paraId="71FC91DC" w14:textId="77777777" w:rsidR="002E39CE" w:rsidRPr="00097A86" w:rsidRDefault="002E39CE" w:rsidP="00D22D3F">
      <w:pPr>
        <w:pStyle w:val="ActHead5"/>
      </w:pPr>
      <w:bookmarkStart w:id="438" w:name="_Toc13233870"/>
      <w:r w:rsidRPr="00097A86">
        <w:rPr>
          <w:rStyle w:val="CharSectno"/>
        </w:rPr>
        <w:t>4.44</w:t>
      </w:r>
      <w:r w:rsidR="00D22D3F" w:rsidRPr="00097A86">
        <w:t xml:space="preserve">  </w:t>
      </w:r>
      <w:r w:rsidRPr="00097A86">
        <w:t>Method 3</w:t>
      </w:r>
      <w:r w:rsidR="00D22D3F" w:rsidRPr="00097A86">
        <w:t>—</w:t>
      </w:r>
      <w:r w:rsidRPr="00097A86">
        <w:t>ammonia production</w:t>
      </w:r>
      <w:bookmarkEnd w:id="438"/>
    </w:p>
    <w:p w14:paraId="0174988A" w14:textId="77777777" w:rsidR="002E39CE" w:rsidRPr="00097A86" w:rsidRDefault="002E39CE" w:rsidP="00D22D3F">
      <w:pPr>
        <w:pStyle w:val="subsection"/>
      </w:pPr>
      <w:r w:rsidRPr="00097A86">
        <w:tab/>
        <w:t>(1)</w:t>
      </w:r>
      <w:r w:rsidRPr="00097A86">
        <w:tab/>
        <w:t>Method 3 is the same as method 2 under section</w:t>
      </w:r>
      <w:r w:rsidR="00097A86">
        <w:t> </w:t>
      </w:r>
      <w:r w:rsidRPr="00097A86">
        <w:t>4.43.</w:t>
      </w:r>
    </w:p>
    <w:p w14:paraId="710CA419" w14:textId="77777777" w:rsidR="002E39CE" w:rsidRPr="00097A86" w:rsidRDefault="002E39CE" w:rsidP="00D22D3F">
      <w:pPr>
        <w:pStyle w:val="subsection"/>
      </w:pPr>
      <w:r w:rsidRPr="00097A86">
        <w:tab/>
        <w:t>(2)</w:t>
      </w:r>
      <w:r w:rsidRPr="00097A86">
        <w:tab/>
        <w:t>In applying method 2 as method 3, the method for estimating emission factors for gaseous fuels in Division</w:t>
      </w:r>
      <w:r w:rsidR="00097A86">
        <w:t> </w:t>
      </w:r>
      <w:r w:rsidRPr="00097A86">
        <w:t xml:space="preserve">2.3.4 applies for working out the factor </w:t>
      </w:r>
      <w:r w:rsidRPr="00097A86">
        <w:rPr>
          <w:b/>
          <w:i/>
        </w:rPr>
        <w:t>EF</w:t>
      </w:r>
      <w:r w:rsidRPr="00097A86">
        <w:rPr>
          <w:rStyle w:val="charSubscript"/>
          <w:b/>
          <w:i/>
          <w:sz w:val="22"/>
        </w:rPr>
        <w:t>ij</w:t>
      </w:r>
      <w:r w:rsidRPr="00097A86">
        <w:t>.</w:t>
      </w:r>
    </w:p>
    <w:p w14:paraId="0D00353E" w14:textId="77777777" w:rsidR="003F0D4E" w:rsidRPr="00097A86" w:rsidRDefault="003F0D4E" w:rsidP="00D22D3F">
      <w:pPr>
        <w:pStyle w:val="ActHead3"/>
        <w:pageBreakBefore/>
      </w:pPr>
      <w:bookmarkStart w:id="439" w:name="_Toc13233871"/>
      <w:r w:rsidRPr="00097A86">
        <w:rPr>
          <w:rStyle w:val="CharDivNo"/>
        </w:rPr>
        <w:lastRenderedPageBreak/>
        <w:t>Division</w:t>
      </w:r>
      <w:r w:rsidR="00097A86">
        <w:rPr>
          <w:rStyle w:val="CharDivNo"/>
        </w:rPr>
        <w:t> </w:t>
      </w:r>
      <w:r w:rsidRPr="00097A86">
        <w:rPr>
          <w:rStyle w:val="CharDivNo"/>
        </w:rPr>
        <w:t>4.3.2</w:t>
      </w:r>
      <w:r w:rsidR="00D22D3F" w:rsidRPr="00097A86">
        <w:t>—</w:t>
      </w:r>
      <w:r w:rsidRPr="00097A86">
        <w:rPr>
          <w:rStyle w:val="CharDivText"/>
        </w:rPr>
        <w:t>Nitric acid production</w:t>
      </w:r>
      <w:bookmarkEnd w:id="439"/>
    </w:p>
    <w:p w14:paraId="5C074897" w14:textId="77777777" w:rsidR="003F0D4E" w:rsidRPr="00097A86" w:rsidRDefault="003F0D4E" w:rsidP="00D22D3F">
      <w:pPr>
        <w:pStyle w:val="ActHead5"/>
      </w:pPr>
      <w:bookmarkStart w:id="440" w:name="_Toc13233872"/>
      <w:r w:rsidRPr="00097A86">
        <w:rPr>
          <w:rStyle w:val="CharSectno"/>
        </w:rPr>
        <w:t>4.45</w:t>
      </w:r>
      <w:r w:rsidR="00D22D3F" w:rsidRPr="00097A86">
        <w:t xml:space="preserve">  </w:t>
      </w:r>
      <w:r w:rsidRPr="00097A86">
        <w:t>Application</w:t>
      </w:r>
      <w:bookmarkEnd w:id="440"/>
    </w:p>
    <w:p w14:paraId="1E78A41F" w14:textId="77777777" w:rsidR="003F0D4E" w:rsidRPr="00097A86" w:rsidRDefault="003F0D4E" w:rsidP="00D22D3F">
      <w:pPr>
        <w:pStyle w:val="subsection"/>
      </w:pPr>
      <w:r w:rsidRPr="00097A86">
        <w:tab/>
      </w:r>
      <w:r w:rsidRPr="00097A86">
        <w:tab/>
        <w:t>This Division applies to chemical industry nitric acid production.</w:t>
      </w:r>
    </w:p>
    <w:p w14:paraId="153CF5E2" w14:textId="77777777" w:rsidR="003F0D4E" w:rsidRPr="00097A86" w:rsidRDefault="003F0D4E" w:rsidP="00D22D3F">
      <w:pPr>
        <w:pStyle w:val="ActHead5"/>
      </w:pPr>
      <w:bookmarkStart w:id="441" w:name="_Toc13233873"/>
      <w:r w:rsidRPr="00097A86">
        <w:rPr>
          <w:rStyle w:val="CharSectno"/>
        </w:rPr>
        <w:t>4.46</w:t>
      </w:r>
      <w:r w:rsidR="00D22D3F" w:rsidRPr="00097A86">
        <w:t xml:space="preserve">  </w:t>
      </w:r>
      <w:r w:rsidRPr="00097A86">
        <w:t>Available methods</w:t>
      </w:r>
      <w:bookmarkEnd w:id="441"/>
    </w:p>
    <w:p w14:paraId="5EB1908D" w14:textId="77777777" w:rsidR="003F0D4E" w:rsidRPr="00097A86" w:rsidRDefault="003F0D4E" w:rsidP="00D22D3F">
      <w:pPr>
        <w:pStyle w:val="subsection"/>
      </w:pPr>
      <w:r w:rsidRPr="00097A86">
        <w:tab/>
        <w:t>(1)</w:t>
      </w:r>
      <w:r w:rsidRPr="00097A86">
        <w:tab/>
        <w:t>Subject to section</w:t>
      </w:r>
      <w:r w:rsidR="00097A86">
        <w:t> </w:t>
      </w:r>
      <w:r w:rsidRPr="00097A86">
        <w:t>1.18 and this section, one of the following methods must be used for estimating emissions during a year from the operation of a facility that is constituted by the production of nitric acid at a plant:</w:t>
      </w:r>
    </w:p>
    <w:p w14:paraId="5D036CEE" w14:textId="77777777" w:rsidR="003F0D4E" w:rsidRPr="00097A86" w:rsidRDefault="003F0D4E" w:rsidP="00D22D3F">
      <w:pPr>
        <w:pStyle w:val="paragraph"/>
      </w:pPr>
      <w:r w:rsidRPr="00097A86">
        <w:tab/>
        <w:t>(a)</w:t>
      </w:r>
      <w:r w:rsidRPr="00097A86">
        <w:tab/>
        <w:t>method 1 under section</w:t>
      </w:r>
      <w:r w:rsidR="00097A86">
        <w:t> </w:t>
      </w:r>
      <w:r w:rsidRPr="00097A86">
        <w:t>4.47;</w:t>
      </w:r>
    </w:p>
    <w:p w14:paraId="6776BC07" w14:textId="77777777" w:rsidR="003F0D4E" w:rsidRPr="00097A86" w:rsidRDefault="003F0D4E" w:rsidP="00D22D3F">
      <w:pPr>
        <w:pStyle w:val="paragraph"/>
      </w:pPr>
      <w:r w:rsidRPr="00097A86">
        <w:tab/>
        <w:t>(b)</w:t>
      </w:r>
      <w:r w:rsidRPr="00097A86">
        <w:tab/>
        <w:t>method 2 under section</w:t>
      </w:r>
      <w:r w:rsidR="00097A86">
        <w:t> </w:t>
      </w:r>
      <w:r w:rsidRPr="00097A86">
        <w:t>4.48;</w:t>
      </w:r>
    </w:p>
    <w:p w14:paraId="51184304" w14:textId="77777777" w:rsidR="003F0D4E" w:rsidRPr="00097A86" w:rsidRDefault="003F0D4E" w:rsidP="00D22D3F">
      <w:pPr>
        <w:pStyle w:val="paragraph"/>
      </w:pPr>
      <w:r w:rsidRPr="00097A86">
        <w:tab/>
        <w:t>(c)</w:t>
      </w:r>
      <w:r w:rsidRPr="00097A86">
        <w:tab/>
        <w:t>method 4 under Part</w:t>
      </w:r>
      <w:r w:rsidR="00097A86">
        <w:t> </w:t>
      </w:r>
      <w:r w:rsidRPr="00097A86">
        <w:t>1.3.</w:t>
      </w:r>
    </w:p>
    <w:p w14:paraId="2ACFCE91" w14:textId="77777777" w:rsidR="003F0D4E" w:rsidRPr="00097A86" w:rsidRDefault="00D22D3F" w:rsidP="00D22D3F">
      <w:pPr>
        <w:pStyle w:val="notetext"/>
      </w:pPr>
      <w:r w:rsidRPr="00097A86">
        <w:t>Note:</w:t>
      </w:r>
      <w:r w:rsidRPr="00097A86">
        <w:tab/>
      </w:r>
      <w:r w:rsidR="003F0D4E" w:rsidRPr="00097A86">
        <w:t>There is no method 3 for this Division.</w:t>
      </w:r>
    </w:p>
    <w:p w14:paraId="0134498D" w14:textId="77777777" w:rsidR="003F0D4E" w:rsidRPr="00097A86" w:rsidRDefault="003F0D4E" w:rsidP="00D22D3F">
      <w:pPr>
        <w:pStyle w:val="subsection"/>
      </w:pPr>
      <w:r w:rsidRPr="00097A86">
        <w:tab/>
        <w:t>(2)</w:t>
      </w:r>
      <w:r w:rsidRPr="00097A86">
        <w:tab/>
        <w:t xml:space="preserve">However, for </w:t>
      </w:r>
      <w:r w:rsidR="005D1E04" w:rsidRPr="00097A86">
        <w:t>incidental emissions</w:t>
      </w:r>
      <w:r w:rsidRPr="00097A86">
        <w:t xml:space="preserve"> another method may be used that is consistent with the principles in section</w:t>
      </w:r>
      <w:r w:rsidR="00097A86">
        <w:t> </w:t>
      </w:r>
      <w:r w:rsidRPr="00097A86">
        <w:t>1.13.</w:t>
      </w:r>
    </w:p>
    <w:p w14:paraId="4DF65487" w14:textId="77777777" w:rsidR="003F0D4E" w:rsidRPr="00097A86" w:rsidRDefault="003F0D4E" w:rsidP="00D22D3F">
      <w:pPr>
        <w:pStyle w:val="subsection"/>
      </w:pPr>
      <w:r w:rsidRPr="00097A86">
        <w:tab/>
        <w:t>(3)</w:t>
      </w:r>
      <w:r w:rsidRPr="00097A86">
        <w:tab/>
        <w:t>Method 1 must not be used if the plant has used measures to reduce nitrous oxide emissions.</w:t>
      </w:r>
    </w:p>
    <w:p w14:paraId="7E15A29F" w14:textId="77777777" w:rsidR="003F0D4E" w:rsidRPr="00097A86" w:rsidRDefault="003F0D4E" w:rsidP="00D22D3F">
      <w:pPr>
        <w:pStyle w:val="ActHead5"/>
      </w:pPr>
      <w:bookmarkStart w:id="442" w:name="_Toc13233874"/>
      <w:r w:rsidRPr="00097A86">
        <w:rPr>
          <w:rStyle w:val="CharSectno"/>
        </w:rPr>
        <w:t>4.47</w:t>
      </w:r>
      <w:r w:rsidR="00D22D3F" w:rsidRPr="00097A86">
        <w:t xml:space="preserve">  </w:t>
      </w:r>
      <w:r w:rsidRPr="00097A86">
        <w:t>Method 1</w:t>
      </w:r>
      <w:r w:rsidR="00D22D3F" w:rsidRPr="00097A86">
        <w:t>—</w:t>
      </w:r>
      <w:r w:rsidRPr="00097A86">
        <w:t>nitric acid production</w:t>
      </w:r>
      <w:bookmarkEnd w:id="442"/>
    </w:p>
    <w:p w14:paraId="1F0CA26D" w14:textId="77777777" w:rsidR="003F0D4E" w:rsidRPr="00097A86" w:rsidRDefault="003F0D4E" w:rsidP="00D22D3F">
      <w:pPr>
        <w:pStyle w:val="subsection"/>
      </w:pPr>
      <w:r w:rsidRPr="00097A86">
        <w:tab/>
        <w:t>(1)</w:t>
      </w:r>
      <w:r w:rsidRPr="00097A86">
        <w:tab/>
        <w:t>Method 1 is:</w:t>
      </w:r>
    </w:p>
    <w:p w14:paraId="42C00265"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426E2FAB" wp14:editId="182797FA">
            <wp:extent cx="1228725" cy="20002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a:ln>
                      <a:noFill/>
                    </a:ln>
                  </pic:spPr>
                </pic:pic>
              </a:graphicData>
            </a:graphic>
          </wp:inline>
        </w:drawing>
      </w:r>
    </w:p>
    <w:p w14:paraId="5B28AB84" w14:textId="77777777" w:rsidR="003F0D4E" w:rsidRPr="00097A86" w:rsidRDefault="003F0D4E" w:rsidP="00D22D3F">
      <w:pPr>
        <w:pStyle w:val="subsection2"/>
      </w:pPr>
      <w:r w:rsidRPr="00097A86">
        <w:t>where:</w:t>
      </w:r>
    </w:p>
    <w:p w14:paraId="4248C417" w14:textId="77777777" w:rsidR="003F0D4E" w:rsidRPr="00097A86" w:rsidRDefault="003F0D4E" w:rsidP="00D22D3F">
      <w:pPr>
        <w:pStyle w:val="Definition"/>
      </w:pPr>
      <w:r w:rsidRPr="00097A86">
        <w:rPr>
          <w:b/>
          <w:i/>
        </w:rPr>
        <w:t>E</w:t>
      </w:r>
      <w:r w:rsidRPr="00097A86">
        <w:rPr>
          <w:rStyle w:val="charSubscript"/>
          <w:b/>
          <w:i/>
          <w:sz w:val="16"/>
          <w:szCs w:val="16"/>
        </w:rPr>
        <w:t>ijk</w:t>
      </w:r>
      <w:r w:rsidRPr="00097A86">
        <w:rPr>
          <w:b/>
          <w:i/>
        </w:rPr>
        <w:t xml:space="preserve"> </w:t>
      </w:r>
      <w:r w:rsidRPr="00097A86">
        <w:t>is the emissions of nitrous oxide released during the year from the production of nitric acid at plant type (</w:t>
      </w:r>
      <w:r w:rsidRPr="00097A86">
        <w:rPr>
          <w:b/>
          <w:i/>
        </w:rPr>
        <w:t>k</w:t>
      </w:r>
      <w:r w:rsidRPr="00097A86">
        <w:t>) measured in CO</w:t>
      </w:r>
      <w:r w:rsidRPr="00097A86">
        <w:rPr>
          <w:rStyle w:val="charSubscript"/>
          <w:iCs/>
        </w:rPr>
        <w:t>2</w:t>
      </w:r>
      <w:r w:rsidR="00097A86">
        <w:noBreakHyphen/>
      </w:r>
      <w:r w:rsidRPr="00097A86">
        <w:t>e tonnes.</w:t>
      </w:r>
    </w:p>
    <w:p w14:paraId="7C9777B9" w14:textId="77777777" w:rsidR="003F0D4E" w:rsidRPr="00097A86" w:rsidRDefault="003F0D4E" w:rsidP="00D22D3F">
      <w:pPr>
        <w:pStyle w:val="Definition"/>
      </w:pPr>
      <w:r w:rsidRPr="00097A86">
        <w:rPr>
          <w:b/>
          <w:i/>
        </w:rPr>
        <w:t>EF</w:t>
      </w:r>
      <w:r w:rsidRPr="00097A86">
        <w:rPr>
          <w:rStyle w:val="charSubscript"/>
          <w:b/>
          <w:i/>
        </w:rPr>
        <w:t>ijk</w:t>
      </w:r>
      <w:r w:rsidRPr="00097A86">
        <w:rPr>
          <w:b/>
          <w:i/>
        </w:rPr>
        <w:t xml:space="preserve"> </w:t>
      </w:r>
      <w:r w:rsidRPr="00097A86">
        <w:t>is the emission factor of nitrous oxide for each tonne of nitric acid produced during the year from plant type (</w:t>
      </w:r>
      <w:r w:rsidRPr="00097A86">
        <w:rPr>
          <w:b/>
          <w:i/>
        </w:rPr>
        <w:t>k</w:t>
      </w:r>
      <w:r w:rsidRPr="00097A86">
        <w:t>).</w:t>
      </w:r>
    </w:p>
    <w:p w14:paraId="59D8FE73" w14:textId="77777777" w:rsidR="003F0D4E" w:rsidRPr="00097A86" w:rsidRDefault="003F0D4E" w:rsidP="00D22D3F">
      <w:pPr>
        <w:pStyle w:val="Definition"/>
      </w:pPr>
      <w:r w:rsidRPr="00097A86">
        <w:rPr>
          <w:b/>
          <w:i/>
        </w:rPr>
        <w:t>A</w:t>
      </w:r>
      <w:r w:rsidRPr="00097A86">
        <w:rPr>
          <w:rStyle w:val="charSubscript"/>
          <w:b/>
          <w:i/>
        </w:rPr>
        <w:t>ik</w:t>
      </w:r>
      <w:r w:rsidRPr="00097A86">
        <w:rPr>
          <w:b/>
          <w:i/>
        </w:rPr>
        <w:t xml:space="preserve"> </w:t>
      </w:r>
      <w:r w:rsidRPr="00097A86">
        <w:t>is the quantity, measured in tonnes, of nitric acid produced during the year from plant type (</w:t>
      </w:r>
      <w:r w:rsidRPr="00097A86">
        <w:rPr>
          <w:b/>
          <w:i/>
        </w:rPr>
        <w:t>k</w:t>
      </w:r>
      <w:r w:rsidRPr="00097A86">
        <w:t>).</w:t>
      </w:r>
    </w:p>
    <w:p w14:paraId="74A6608F" w14:textId="77777777" w:rsidR="003F0D4E" w:rsidRPr="00097A86" w:rsidRDefault="003F0D4E" w:rsidP="00D22D3F">
      <w:pPr>
        <w:pStyle w:val="subsection"/>
      </w:pPr>
      <w:r w:rsidRPr="00097A86">
        <w:tab/>
        <w:t>(2)</w:t>
      </w:r>
      <w:r w:rsidRPr="00097A86">
        <w:tab/>
        <w:t xml:space="preserve">For </w:t>
      </w:r>
      <w:r w:rsidRPr="00097A86">
        <w:rPr>
          <w:b/>
          <w:i/>
        </w:rPr>
        <w:t>EF</w:t>
      </w:r>
      <w:r w:rsidRPr="00097A86">
        <w:rPr>
          <w:rStyle w:val="charSubscript"/>
          <w:b/>
          <w:i/>
          <w:sz w:val="22"/>
        </w:rPr>
        <w:t>ijk</w:t>
      </w:r>
      <w:r w:rsidRPr="00097A86">
        <w:t xml:space="preserve"> in </w:t>
      </w:r>
      <w:r w:rsidR="00097A86">
        <w:t>subsection (</w:t>
      </w:r>
      <w:r w:rsidRPr="00097A86">
        <w:t>1), column 3 of an item in the following table specifies the emission factor of nitrous oxide for each tonne of nitric acid produced from a plant type (</w:t>
      </w:r>
      <w:r w:rsidRPr="00097A86">
        <w:rPr>
          <w:b/>
          <w:i/>
        </w:rPr>
        <w:t>k</w:t>
      </w:r>
      <w:r w:rsidRPr="00097A86">
        <w:rPr>
          <w:i/>
        </w:rPr>
        <w:t>)</w:t>
      </w:r>
      <w:r w:rsidRPr="00097A86">
        <w:t xml:space="preserve"> specified in column 2 of that item.</w:t>
      </w:r>
    </w:p>
    <w:p w14:paraId="2DD34589"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5"/>
        <w:gridCol w:w="3754"/>
        <w:gridCol w:w="3754"/>
      </w:tblGrid>
      <w:tr w:rsidR="003F0D4E" w:rsidRPr="00097A86" w14:paraId="14680E1B" w14:textId="77777777" w:rsidTr="00C20CC2">
        <w:trPr>
          <w:tblHeader/>
        </w:trPr>
        <w:tc>
          <w:tcPr>
            <w:tcW w:w="484" w:type="pct"/>
            <w:tcBorders>
              <w:top w:val="single" w:sz="12" w:space="0" w:color="auto"/>
              <w:bottom w:val="single" w:sz="12" w:space="0" w:color="auto"/>
            </w:tcBorders>
            <w:shd w:val="clear" w:color="auto" w:fill="auto"/>
          </w:tcPr>
          <w:p w14:paraId="1D1F6EB7" w14:textId="77777777" w:rsidR="003F0D4E" w:rsidRPr="00097A86" w:rsidRDefault="003F0D4E" w:rsidP="00D22D3F">
            <w:pPr>
              <w:pStyle w:val="TableHeading"/>
            </w:pPr>
            <w:r w:rsidRPr="00097A86">
              <w:t>Item</w:t>
            </w:r>
          </w:p>
        </w:tc>
        <w:tc>
          <w:tcPr>
            <w:tcW w:w="2258" w:type="pct"/>
            <w:tcBorders>
              <w:top w:val="single" w:sz="12" w:space="0" w:color="auto"/>
              <w:bottom w:val="single" w:sz="12" w:space="0" w:color="auto"/>
            </w:tcBorders>
            <w:shd w:val="clear" w:color="auto" w:fill="auto"/>
          </w:tcPr>
          <w:p w14:paraId="59E72311" w14:textId="77777777" w:rsidR="003F0D4E" w:rsidRPr="00097A86" w:rsidRDefault="003F0D4E" w:rsidP="00D22D3F">
            <w:pPr>
              <w:pStyle w:val="TableHeading"/>
            </w:pPr>
            <w:r w:rsidRPr="00097A86">
              <w:t>Plant type (</w:t>
            </w:r>
            <w:r w:rsidRPr="00097A86">
              <w:rPr>
                <w:i/>
              </w:rPr>
              <w:t>k</w:t>
            </w:r>
            <w:r w:rsidRPr="00097A86">
              <w:t>)</w:t>
            </w:r>
          </w:p>
        </w:tc>
        <w:tc>
          <w:tcPr>
            <w:tcW w:w="2258" w:type="pct"/>
            <w:tcBorders>
              <w:top w:val="single" w:sz="12" w:space="0" w:color="auto"/>
              <w:bottom w:val="single" w:sz="12" w:space="0" w:color="auto"/>
            </w:tcBorders>
            <w:shd w:val="clear" w:color="auto" w:fill="auto"/>
          </w:tcPr>
          <w:p w14:paraId="1339330C" w14:textId="77777777" w:rsidR="003F0D4E" w:rsidRPr="00097A86" w:rsidRDefault="003F0D4E" w:rsidP="00D22D3F">
            <w:pPr>
              <w:pStyle w:val="TableHeading"/>
            </w:pPr>
            <w:r w:rsidRPr="00097A86">
              <w:t>Emission factor of nitrous oxide</w:t>
            </w:r>
            <w:r w:rsidRPr="00097A86">
              <w:br/>
              <w:t>(tonnes CO</w:t>
            </w:r>
            <w:r w:rsidRPr="00097A86">
              <w:rPr>
                <w:vertAlign w:val="subscript"/>
              </w:rPr>
              <w:t>2</w:t>
            </w:r>
            <w:r w:rsidR="00097A86">
              <w:noBreakHyphen/>
            </w:r>
            <w:r w:rsidRPr="00097A86">
              <w:t xml:space="preserve">e per tonne of nitric acid production) </w:t>
            </w:r>
          </w:p>
        </w:tc>
      </w:tr>
      <w:tr w:rsidR="003F0D4E" w:rsidRPr="00097A86" w14:paraId="7CB957F0" w14:textId="77777777" w:rsidTr="00C20CC2">
        <w:tc>
          <w:tcPr>
            <w:tcW w:w="484" w:type="pct"/>
            <w:tcBorders>
              <w:top w:val="single" w:sz="12" w:space="0" w:color="auto"/>
            </w:tcBorders>
            <w:shd w:val="clear" w:color="auto" w:fill="auto"/>
          </w:tcPr>
          <w:p w14:paraId="76F1E4DE" w14:textId="77777777" w:rsidR="003F0D4E" w:rsidRPr="00097A86" w:rsidRDefault="003F0D4E" w:rsidP="00D22D3F">
            <w:pPr>
              <w:pStyle w:val="Tabletext"/>
            </w:pPr>
            <w:r w:rsidRPr="00097A86">
              <w:t>1</w:t>
            </w:r>
          </w:p>
        </w:tc>
        <w:tc>
          <w:tcPr>
            <w:tcW w:w="2258" w:type="pct"/>
            <w:tcBorders>
              <w:top w:val="single" w:sz="12" w:space="0" w:color="auto"/>
            </w:tcBorders>
            <w:shd w:val="clear" w:color="auto" w:fill="auto"/>
          </w:tcPr>
          <w:p w14:paraId="38E6084B" w14:textId="77777777" w:rsidR="003F0D4E" w:rsidRPr="00097A86" w:rsidRDefault="003F0D4E" w:rsidP="00D22D3F">
            <w:pPr>
              <w:pStyle w:val="Tabletext"/>
            </w:pPr>
            <w:r w:rsidRPr="00097A86">
              <w:t>Atmospheric pressure plants</w:t>
            </w:r>
          </w:p>
        </w:tc>
        <w:tc>
          <w:tcPr>
            <w:tcW w:w="2258" w:type="pct"/>
            <w:tcBorders>
              <w:top w:val="single" w:sz="12" w:space="0" w:color="auto"/>
            </w:tcBorders>
            <w:shd w:val="clear" w:color="auto" w:fill="auto"/>
          </w:tcPr>
          <w:p w14:paraId="6BD8F198" w14:textId="77777777" w:rsidR="003F0D4E" w:rsidRPr="00097A86" w:rsidRDefault="00B25EE5" w:rsidP="00D22D3F">
            <w:pPr>
              <w:pStyle w:val="Tabletext"/>
            </w:pPr>
            <w:r w:rsidRPr="00097A86">
              <w:t>1.49</w:t>
            </w:r>
          </w:p>
        </w:tc>
      </w:tr>
      <w:tr w:rsidR="003F0D4E" w:rsidRPr="00097A86" w14:paraId="14832375" w14:textId="77777777" w:rsidTr="00C20CC2">
        <w:tc>
          <w:tcPr>
            <w:tcW w:w="484" w:type="pct"/>
            <w:tcBorders>
              <w:bottom w:val="single" w:sz="4" w:space="0" w:color="auto"/>
            </w:tcBorders>
            <w:shd w:val="clear" w:color="auto" w:fill="auto"/>
          </w:tcPr>
          <w:p w14:paraId="6D6F9EFA" w14:textId="77777777" w:rsidR="003F0D4E" w:rsidRPr="00097A86" w:rsidRDefault="003F0D4E" w:rsidP="00D22D3F">
            <w:pPr>
              <w:pStyle w:val="Tabletext"/>
            </w:pPr>
            <w:r w:rsidRPr="00097A86">
              <w:t>2</w:t>
            </w:r>
          </w:p>
        </w:tc>
        <w:tc>
          <w:tcPr>
            <w:tcW w:w="2258" w:type="pct"/>
            <w:tcBorders>
              <w:bottom w:val="single" w:sz="4" w:space="0" w:color="auto"/>
            </w:tcBorders>
            <w:shd w:val="clear" w:color="auto" w:fill="auto"/>
          </w:tcPr>
          <w:p w14:paraId="6E32C258" w14:textId="77777777" w:rsidR="003F0D4E" w:rsidRPr="00097A86" w:rsidRDefault="003F0D4E" w:rsidP="00D22D3F">
            <w:pPr>
              <w:pStyle w:val="Tabletext"/>
            </w:pPr>
            <w:r w:rsidRPr="00097A86">
              <w:t>Medium pressure combustion plant</w:t>
            </w:r>
          </w:p>
        </w:tc>
        <w:tc>
          <w:tcPr>
            <w:tcW w:w="2258" w:type="pct"/>
            <w:tcBorders>
              <w:bottom w:val="single" w:sz="4" w:space="0" w:color="auto"/>
            </w:tcBorders>
            <w:shd w:val="clear" w:color="auto" w:fill="auto"/>
          </w:tcPr>
          <w:p w14:paraId="2C56AEF8" w14:textId="77777777" w:rsidR="003F0D4E" w:rsidRPr="00097A86" w:rsidRDefault="00B25EE5" w:rsidP="00D22D3F">
            <w:pPr>
              <w:pStyle w:val="Tabletext"/>
            </w:pPr>
            <w:r w:rsidRPr="00097A86">
              <w:t>2.09</w:t>
            </w:r>
          </w:p>
        </w:tc>
      </w:tr>
      <w:tr w:rsidR="003F0D4E" w:rsidRPr="00097A86" w14:paraId="04A96120" w14:textId="77777777" w:rsidTr="00C20CC2">
        <w:tc>
          <w:tcPr>
            <w:tcW w:w="484" w:type="pct"/>
            <w:tcBorders>
              <w:bottom w:val="single" w:sz="12" w:space="0" w:color="auto"/>
            </w:tcBorders>
            <w:shd w:val="clear" w:color="auto" w:fill="auto"/>
          </w:tcPr>
          <w:p w14:paraId="05F3FE4C" w14:textId="77777777" w:rsidR="003F0D4E" w:rsidRPr="00097A86" w:rsidRDefault="003F0D4E" w:rsidP="00D22D3F">
            <w:pPr>
              <w:pStyle w:val="Tabletext"/>
            </w:pPr>
            <w:r w:rsidRPr="00097A86">
              <w:t>3</w:t>
            </w:r>
          </w:p>
        </w:tc>
        <w:tc>
          <w:tcPr>
            <w:tcW w:w="2258" w:type="pct"/>
            <w:tcBorders>
              <w:bottom w:val="single" w:sz="12" w:space="0" w:color="auto"/>
            </w:tcBorders>
            <w:shd w:val="clear" w:color="auto" w:fill="auto"/>
          </w:tcPr>
          <w:p w14:paraId="7C6F6553" w14:textId="77777777" w:rsidR="003F0D4E" w:rsidRPr="00097A86" w:rsidRDefault="003F0D4E" w:rsidP="00D22D3F">
            <w:pPr>
              <w:pStyle w:val="Tabletext"/>
            </w:pPr>
            <w:r w:rsidRPr="00097A86">
              <w:t>High pressure plant</w:t>
            </w:r>
          </w:p>
        </w:tc>
        <w:tc>
          <w:tcPr>
            <w:tcW w:w="2258" w:type="pct"/>
            <w:tcBorders>
              <w:bottom w:val="single" w:sz="12" w:space="0" w:color="auto"/>
            </w:tcBorders>
            <w:shd w:val="clear" w:color="auto" w:fill="auto"/>
          </w:tcPr>
          <w:p w14:paraId="588F1870" w14:textId="77777777" w:rsidR="003F0D4E" w:rsidRPr="00097A86" w:rsidRDefault="00B25EE5" w:rsidP="00D22D3F">
            <w:pPr>
              <w:pStyle w:val="Tabletext"/>
            </w:pPr>
            <w:r w:rsidRPr="00097A86">
              <w:t>2.68</w:t>
            </w:r>
          </w:p>
        </w:tc>
      </w:tr>
    </w:tbl>
    <w:p w14:paraId="70FFB355" w14:textId="77777777" w:rsidR="003F0D4E" w:rsidRPr="00097A86" w:rsidRDefault="00D22D3F" w:rsidP="00D22D3F">
      <w:pPr>
        <w:pStyle w:val="notetext"/>
      </w:pPr>
      <w:r w:rsidRPr="00097A86">
        <w:lastRenderedPageBreak/>
        <w:t>Note:</w:t>
      </w:r>
      <w:r w:rsidRPr="00097A86">
        <w:tab/>
      </w:r>
      <w:r w:rsidR="003F0D4E" w:rsidRPr="00097A86">
        <w:t>The emission factors specified in this table apply only to method 1 and the operation of a facility that is constituted by a plant that has not used measures to reduce nitrous oxide emissions.</w:t>
      </w:r>
    </w:p>
    <w:p w14:paraId="1C8FB240" w14:textId="77777777" w:rsidR="003F0D4E" w:rsidRPr="00097A86" w:rsidRDefault="003F0D4E" w:rsidP="00D22D3F">
      <w:pPr>
        <w:pStyle w:val="ActHead5"/>
      </w:pPr>
      <w:bookmarkStart w:id="443" w:name="_Toc13233875"/>
      <w:r w:rsidRPr="00097A86">
        <w:rPr>
          <w:rStyle w:val="CharSectno"/>
        </w:rPr>
        <w:t>4.48</w:t>
      </w:r>
      <w:r w:rsidR="00D22D3F" w:rsidRPr="00097A86">
        <w:t xml:space="preserve">  </w:t>
      </w:r>
      <w:r w:rsidRPr="00097A86">
        <w:t>Method 2</w:t>
      </w:r>
      <w:r w:rsidR="00D22D3F" w:rsidRPr="00097A86">
        <w:t>—</w:t>
      </w:r>
      <w:r w:rsidRPr="00097A86">
        <w:t>nitric acid production</w:t>
      </w:r>
      <w:bookmarkEnd w:id="443"/>
    </w:p>
    <w:p w14:paraId="4FB60A28" w14:textId="77777777" w:rsidR="003F0D4E" w:rsidRPr="00097A86" w:rsidRDefault="003F0D4E" w:rsidP="00D22D3F">
      <w:pPr>
        <w:pStyle w:val="subsection"/>
      </w:pPr>
      <w:r w:rsidRPr="00097A86">
        <w:tab/>
        <w:t>(1)</w:t>
      </w:r>
      <w:r w:rsidRPr="00097A86">
        <w:tab/>
        <w:t>Subject to this section, method 2 is the same as method 1 under section</w:t>
      </w:r>
      <w:r w:rsidR="00097A86">
        <w:t> </w:t>
      </w:r>
      <w:r w:rsidRPr="00097A86">
        <w:t>4.47.</w:t>
      </w:r>
    </w:p>
    <w:p w14:paraId="15B07042"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4.47, to work out the factor </w:t>
      </w:r>
      <w:r w:rsidRPr="00097A86">
        <w:rPr>
          <w:b/>
          <w:i/>
        </w:rPr>
        <w:t>EF</w:t>
      </w:r>
      <w:r w:rsidRPr="00097A86">
        <w:rPr>
          <w:b/>
          <w:i/>
          <w:vertAlign w:val="subscript"/>
        </w:rPr>
        <w:t>ijk</w:t>
      </w:r>
      <w:r w:rsidRPr="00097A86">
        <w:t>:</w:t>
      </w:r>
    </w:p>
    <w:p w14:paraId="2CCF51A5" w14:textId="77777777" w:rsidR="003F0D4E" w:rsidRPr="00097A86" w:rsidRDefault="003F0D4E" w:rsidP="00D22D3F">
      <w:pPr>
        <w:pStyle w:val="paragraph"/>
      </w:pPr>
      <w:r w:rsidRPr="00097A86">
        <w:tab/>
        <w:t>(a)</w:t>
      </w:r>
      <w:r w:rsidRPr="00097A86">
        <w:tab/>
        <w:t>periodic emissions monitoring must be used and conducted in accordance with Part</w:t>
      </w:r>
      <w:r w:rsidR="00097A86">
        <w:t> </w:t>
      </w:r>
      <w:r w:rsidRPr="00097A86">
        <w:t>1.3; and</w:t>
      </w:r>
    </w:p>
    <w:p w14:paraId="287BED3A" w14:textId="77777777" w:rsidR="003F0D4E" w:rsidRPr="00097A86" w:rsidRDefault="003F0D4E" w:rsidP="00D22D3F">
      <w:pPr>
        <w:pStyle w:val="paragraph"/>
      </w:pPr>
      <w:r w:rsidRPr="00097A86">
        <w:tab/>
        <w:t>(b)</w:t>
      </w:r>
      <w:r w:rsidRPr="00097A86">
        <w:tab/>
        <w:t>the emission factor must be measured as nitrous oxide in CO</w:t>
      </w:r>
      <w:r w:rsidRPr="00097A86">
        <w:rPr>
          <w:vertAlign w:val="subscript"/>
        </w:rPr>
        <w:t>2</w:t>
      </w:r>
      <w:r w:rsidR="00097A86">
        <w:noBreakHyphen/>
      </w:r>
      <w:r w:rsidRPr="00097A86">
        <w:t>e tonnes for each tonne of nitric acid produced during the year from the plant.</w:t>
      </w:r>
    </w:p>
    <w:p w14:paraId="35488C15" w14:textId="77777777" w:rsidR="003F0D4E" w:rsidRPr="00097A86" w:rsidRDefault="003F0D4E" w:rsidP="00D22D3F">
      <w:pPr>
        <w:pStyle w:val="subsection"/>
      </w:pPr>
      <w:r w:rsidRPr="00097A86">
        <w:tab/>
        <w:t>(3)</w:t>
      </w:r>
      <w:r w:rsidRPr="00097A86">
        <w:tab/>
        <w:t>For method 2, all data on nitrous oxide concentrations, volumetric flow rates and nitric acid production for each sampling period must be used to estimate the flow</w:t>
      </w:r>
      <w:r w:rsidR="00097A86">
        <w:noBreakHyphen/>
      </w:r>
      <w:r w:rsidRPr="00097A86">
        <w:t>weighted average emission rate of nitrous oxide for each unit of nitric acid produced from the plant.</w:t>
      </w:r>
    </w:p>
    <w:p w14:paraId="3B32DC71" w14:textId="77777777" w:rsidR="003F0D4E" w:rsidRPr="00097A86" w:rsidRDefault="003F0D4E" w:rsidP="00D22D3F">
      <w:pPr>
        <w:pStyle w:val="ActHead3"/>
        <w:pageBreakBefore/>
      </w:pPr>
      <w:bookmarkStart w:id="444" w:name="_Toc13233876"/>
      <w:r w:rsidRPr="00097A86">
        <w:rPr>
          <w:rStyle w:val="CharDivNo"/>
        </w:rPr>
        <w:lastRenderedPageBreak/>
        <w:t>Division</w:t>
      </w:r>
      <w:r w:rsidR="00097A86">
        <w:rPr>
          <w:rStyle w:val="CharDivNo"/>
        </w:rPr>
        <w:t> </w:t>
      </w:r>
      <w:r w:rsidRPr="00097A86">
        <w:rPr>
          <w:rStyle w:val="CharDivNo"/>
        </w:rPr>
        <w:t>4.3.3</w:t>
      </w:r>
      <w:r w:rsidR="00D22D3F" w:rsidRPr="00097A86">
        <w:t>—</w:t>
      </w:r>
      <w:r w:rsidRPr="00097A86">
        <w:rPr>
          <w:rStyle w:val="CharDivText"/>
        </w:rPr>
        <w:t>Adipic acid production</w:t>
      </w:r>
      <w:bookmarkEnd w:id="444"/>
    </w:p>
    <w:p w14:paraId="293FBA96" w14:textId="77777777" w:rsidR="003F0D4E" w:rsidRPr="00097A86" w:rsidRDefault="003F0D4E" w:rsidP="00D22D3F">
      <w:pPr>
        <w:pStyle w:val="ActHead5"/>
      </w:pPr>
      <w:bookmarkStart w:id="445" w:name="_Toc13233877"/>
      <w:r w:rsidRPr="00097A86">
        <w:rPr>
          <w:rStyle w:val="CharSectno"/>
        </w:rPr>
        <w:t>4.49</w:t>
      </w:r>
      <w:r w:rsidR="00D22D3F" w:rsidRPr="00097A86">
        <w:t xml:space="preserve">  </w:t>
      </w:r>
      <w:r w:rsidRPr="00097A86">
        <w:t>Application</w:t>
      </w:r>
      <w:bookmarkEnd w:id="445"/>
    </w:p>
    <w:p w14:paraId="0CE5D6AD" w14:textId="77777777" w:rsidR="003F0D4E" w:rsidRPr="00097A86" w:rsidRDefault="003F0D4E" w:rsidP="00D22D3F">
      <w:pPr>
        <w:pStyle w:val="subsection"/>
      </w:pPr>
      <w:r w:rsidRPr="00097A86">
        <w:tab/>
      </w:r>
      <w:r w:rsidRPr="00097A86">
        <w:tab/>
        <w:t>This Division applies to chemical industry adipic acid production.</w:t>
      </w:r>
    </w:p>
    <w:p w14:paraId="68695794" w14:textId="77777777" w:rsidR="003F0D4E" w:rsidRPr="00097A86" w:rsidRDefault="003F0D4E" w:rsidP="00D22D3F">
      <w:pPr>
        <w:pStyle w:val="ActHead5"/>
      </w:pPr>
      <w:bookmarkStart w:id="446" w:name="_Toc13233878"/>
      <w:r w:rsidRPr="00097A86">
        <w:rPr>
          <w:rStyle w:val="CharSectno"/>
        </w:rPr>
        <w:t>4.50</w:t>
      </w:r>
      <w:r w:rsidR="00D22D3F" w:rsidRPr="00097A86">
        <w:t xml:space="preserve">  </w:t>
      </w:r>
      <w:r w:rsidRPr="00097A86">
        <w:t>Available methods</w:t>
      </w:r>
      <w:bookmarkEnd w:id="446"/>
    </w:p>
    <w:p w14:paraId="2C51B377" w14:textId="77777777" w:rsidR="003F0D4E" w:rsidRPr="00097A86" w:rsidRDefault="003F0D4E" w:rsidP="00D22D3F">
      <w:pPr>
        <w:pStyle w:val="subsection"/>
      </w:pPr>
      <w:r w:rsidRPr="00097A86">
        <w:tab/>
        <w:t>(1)</w:t>
      </w:r>
      <w:r w:rsidRPr="00097A86">
        <w:tab/>
        <w:t>Subject to section</w:t>
      </w:r>
      <w:r w:rsidR="00097A86">
        <w:t> </w:t>
      </w:r>
      <w:r w:rsidRPr="00097A86">
        <w:t>1.18, one of the methods for measuring emissions released in the production of adipic acid set out in section</w:t>
      </w:r>
      <w:r w:rsidR="00097A86">
        <w:t> </w:t>
      </w:r>
      <w:r w:rsidRPr="00097A86">
        <w:t>3.4 of the 2006 IPCC Guidelines must be used for estimating emissions during a year from the operation of a facility that is constituted by the production of adipic acid.</w:t>
      </w:r>
    </w:p>
    <w:p w14:paraId="555EA8E2" w14:textId="77777777" w:rsidR="003F0D4E" w:rsidRPr="00097A86" w:rsidRDefault="003F0D4E" w:rsidP="00D22D3F">
      <w:pPr>
        <w:pStyle w:val="subsection"/>
      </w:pPr>
      <w:r w:rsidRPr="00097A86">
        <w:tab/>
        <w:t>(2)</w:t>
      </w:r>
      <w:r w:rsidRPr="00097A86">
        <w:tab/>
        <w:t xml:space="preserve">For </w:t>
      </w:r>
      <w:r w:rsidR="005D1E04" w:rsidRPr="00097A86">
        <w:t>incidental emissions</w:t>
      </w:r>
      <w:r w:rsidRPr="00097A86">
        <w:t xml:space="preserve"> another method may be used that is consistent with the principles in section</w:t>
      </w:r>
      <w:r w:rsidR="00097A86">
        <w:t> </w:t>
      </w:r>
      <w:r w:rsidRPr="00097A86">
        <w:t>1.13.</w:t>
      </w:r>
    </w:p>
    <w:p w14:paraId="2B81B8F9" w14:textId="77777777" w:rsidR="003F0D4E" w:rsidRPr="00097A86" w:rsidRDefault="003F0D4E" w:rsidP="00D22D3F">
      <w:pPr>
        <w:pStyle w:val="ActHead3"/>
        <w:pageBreakBefore/>
      </w:pPr>
      <w:bookmarkStart w:id="447" w:name="_Toc13233879"/>
      <w:r w:rsidRPr="00097A86">
        <w:rPr>
          <w:rStyle w:val="CharDivNo"/>
        </w:rPr>
        <w:lastRenderedPageBreak/>
        <w:t>Division</w:t>
      </w:r>
      <w:r w:rsidR="00097A86">
        <w:rPr>
          <w:rStyle w:val="CharDivNo"/>
        </w:rPr>
        <w:t> </w:t>
      </w:r>
      <w:r w:rsidRPr="00097A86">
        <w:rPr>
          <w:rStyle w:val="CharDivNo"/>
        </w:rPr>
        <w:t>4.3.4</w:t>
      </w:r>
      <w:r w:rsidR="00D22D3F" w:rsidRPr="00097A86">
        <w:t>—</w:t>
      </w:r>
      <w:r w:rsidRPr="00097A86">
        <w:rPr>
          <w:rStyle w:val="CharDivText"/>
        </w:rPr>
        <w:t>Carbide production</w:t>
      </w:r>
      <w:bookmarkEnd w:id="447"/>
    </w:p>
    <w:p w14:paraId="2AA1FE40" w14:textId="77777777" w:rsidR="003F0D4E" w:rsidRPr="00097A86" w:rsidRDefault="003F0D4E" w:rsidP="00D22D3F">
      <w:pPr>
        <w:pStyle w:val="ActHead5"/>
      </w:pPr>
      <w:bookmarkStart w:id="448" w:name="_Toc13233880"/>
      <w:r w:rsidRPr="00097A86">
        <w:rPr>
          <w:rStyle w:val="CharSectno"/>
        </w:rPr>
        <w:t>4.51</w:t>
      </w:r>
      <w:r w:rsidR="00D22D3F" w:rsidRPr="00097A86">
        <w:t xml:space="preserve">  </w:t>
      </w:r>
      <w:r w:rsidRPr="00097A86">
        <w:t>Application</w:t>
      </w:r>
      <w:bookmarkEnd w:id="448"/>
    </w:p>
    <w:p w14:paraId="23A3B644" w14:textId="77777777" w:rsidR="003F0D4E" w:rsidRPr="00097A86" w:rsidRDefault="003F0D4E" w:rsidP="00D22D3F">
      <w:pPr>
        <w:pStyle w:val="subsection"/>
      </w:pPr>
      <w:r w:rsidRPr="00097A86">
        <w:tab/>
      </w:r>
      <w:r w:rsidRPr="00097A86">
        <w:tab/>
        <w:t>This Division applies to chemical industry carbide production.</w:t>
      </w:r>
    </w:p>
    <w:p w14:paraId="5A942073" w14:textId="77777777" w:rsidR="003F0D4E" w:rsidRPr="00097A86" w:rsidRDefault="003F0D4E" w:rsidP="00D22D3F">
      <w:pPr>
        <w:pStyle w:val="ActHead5"/>
      </w:pPr>
      <w:bookmarkStart w:id="449" w:name="_Toc13233881"/>
      <w:r w:rsidRPr="00097A86">
        <w:rPr>
          <w:rStyle w:val="CharSectno"/>
        </w:rPr>
        <w:t>4.52</w:t>
      </w:r>
      <w:r w:rsidR="00D22D3F" w:rsidRPr="00097A86">
        <w:t xml:space="preserve">  </w:t>
      </w:r>
      <w:r w:rsidRPr="00097A86">
        <w:t>Available methods</w:t>
      </w:r>
      <w:bookmarkEnd w:id="449"/>
    </w:p>
    <w:p w14:paraId="7FADBC22" w14:textId="77777777" w:rsidR="003F0D4E" w:rsidRPr="00097A86" w:rsidRDefault="003F0D4E" w:rsidP="00D22D3F">
      <w:pPr>
        <w:pStyle w:val="subsection"/>
      </w:pPr>
      <w:r w:rsidRPr="00097A86">
        <w:tab/>
        <w:t>(1)</w:t>
      </w:r>
      <w:r w:rsidRPr="00097A86">
        <w:tab/>
        <w:t>Subject to section</w:t>
      </w:r>
      <w:r w:rsidR="00097A86">
        <w:t> </w:t>
      </w:r>
      <w:r w:rsidRPr="00097A86">
        <w:t>1.18, one of the methods for measuring emissions from carbide production set out in section</w:t>
      </w:r>
      <w:r w:rsidR="00097A86">
        <w:t> </w:t>
      </w:r>
      <w:r w:rsidRPr="00097A86">
        <w:t>3.6 of the 2006 IPCC Guidelines must be used for estimating emissions during a year from the operation of a facility that is constituted by carbide production.</w:t>
      </w:r>
    </w:p>
    <w:p w14:paraId="471754D2" w14:textId="77777777" w:rsidR="003F0D4E" w:rsidRPr="00097A86" w:rsidRDefault="003F0D4E" w:rsidP="00D22D3F">
      <w:pPr>
        <w:pStyle w:val="subsection"/>
      </w:pPr>
      <w:r w:rsidRPr="00097A86">
        <w:tab/>
        <w:t>(2)</w:t>
      </w:r>
      <w:r w:rsidRPr="00097A86">
        <w:tab/>
        <w:t xml:space="preserve">For </w:t>
      </w:r>
      <w:r w:rsidR="005D1E04" w:rsidRPr="00097A86">
        <w:t>incidental emissions</w:t>
      </w:r>
      <w:r w:rsidRPr="00097A86">
        <w:t xml:space="preserve"> another method may be used that is consistent with the principles in section</w:t>
      </w:r>
      <w:r w:rsidR="00097A86">
        <w:t> </w:t>
      </w:r>
      <w:r w:rsidRPr="00097A86">
        <w:t>1.13.</w:t>
      </w:r>
    </w:p>
    <w:p w14:paraId="651DC87D" w14:textId="77777777" w:rsidR="004979AE" w:rsidRPr="00097A86" w:rsidRDefault="004979AE" w:rsidP="00D22D3F">
      <w:pPr>
        <w:pStyle w:val="ActHead3"/>
        <w:pageBreakBefore/>
      </w:pPr>
      <w:bookmarkStart w:id="450" w:name="_Toc13233882"/>
      <w:r w:rsidRPr="00097A86">
        <w:rPr>
          <w:rStyle w:val="CharDivNo"/>
        </w:rPr>
        <w:lastRenderedPageBreak/>
        <w:t>Division</w:t>
      </w:r>
      <w:r w:rsidR="00097A86">
        <w:rPr>
          <w:rStyle w:val="CharDivNo"/>
        </w:rPr>
        <w:t> </w:t>
      </w:r>
      <w:r w:rsidRPr="00097A86">
        <w:rPr>
          <w:rStyle w:val="CharDivNo"/>
        </w:rPr>
        <w:t>4.3.5</w:t>
      </w:r>
      <w:r w:rsidR="00D22D3F" w:rsidRPr="00097A86">
        <w:t>—</w:t>
      </w:r>
      <w:r w:rsidRPr="00097A86">
        <w:rPr>
          <w:rStyle w:val="CharDivText"/>
        </w:rPr>
        <w:t>Chemical or mineral production, other than carbide production, using a carbon reductant or carbon anode</w:t>
      </w:r>
      <w:bookmarkEnd w:id="450"/>
    </w:p>
    <w:p w14:paraId="42A15933" w14:textId="77777777" w:rsidR="004979AE" w:rsidRPr="00097A86" w:rsidRDefault="004979AE" w:rsidP="00D22D3F">
      <w:pPr>
        <w:pStyle w:val="ActHead5"/>
      </w:pPr>
      <w:bookmarkStart w:id="451" w:name="_Toc13233883"/>
      <w:r w:rsidRPr="00097A86">
        <w:rPr>
          <w:rStyle w:val="CharSectno"/>
        </w:rPr>
        <w:t>4.53</w:t>
      </w:r>
      <w:r w:rsidR="00D22D3F" w:rsidRPr="00097A86">
        <w:t xml:space="preserve">  </w:t>
      </w:r>
      <w:r w:rsidRPr="00097A86">
        <w:t>Application</w:t>
      </w:r>
      <w:bookmarkEnd w:id="451"/>
    </w:p>
    <w:p w14:paraId="42E7C1AF" w14:textId="77777777" w:rsidR="004979AE" w:rsidRPr="00097A86" w:rsidRDefault="004979AE" w:rsidP="00D22D3F">
      <w:pPr>
        <w:pStyle w:val="subsection"/>
      </w:pPr>
      <w:r w:rsidRPr="00097A86">
        <w:tab/>
      </w:r>
      <w:r w:rsidRPr="00097A86">
        <w:tab/>
        <w:t>This Division applies to emissions of carbon dioxide from activities producing a chemical or mineral product (other than carbide production), using a carbon reductant or carbon anode, including the following products:</w:t>
      </w:r>
    </w:p>
    <w:p w14:paraId="4FFE2D57" w14:textId="77777777" w:rsidR="004979AE" w:rsidRPr="00097A86" w:rsidRDefault="004979AE" w:rsidP="00D22D3F">
      <w:pPr>
        <w:pStyle w:val="paragraph"/>
      </w:pPr>
      <w:r w:rsidRPr="00097A86">
        <w:tab/>
        <w:t>(a)</w:t>
      </w:r>
      <w:r w:rsidRPr="00097A86">
        <w:tab/>
        <w:t>fused alumina;</w:t>
      </w:r>
    </w:p>
    <w:p w14:paraId="651E497B" w14:textId="77777777" w:rsidR="004979AE" w:rsidRPr="00097A86" w:rsidRDefault="004979AE" w:rsidP="00D22D3F">
      <w:pPr>
        <w:pStyle w:val="paragraph"/>
      </w:pPr>
      <w:r w:rsidRPr="00097A86">
        <w:tab/>
        <w:t>(b)</w:t>
      </w:r>
      <w:r w:rsidRPr="00097A86">
        <w:tab/>
        <w:t>fused magnesia;</w:t>
      </w:r>
    </w:p>
    <w:p w14:paraId="55F5DC95" w14:textId="77777777" w:rsidR="004979AE" w:rsidRPr="00097A86" w:rsidRDefault="004979AE" w:rsidP="00D22D3F">
      <w:pPr>
        <w:pStyle w:val="paragraph"/>
      </w:pPr>
      <w:r w:rsidRPr="00097A86">
        <w:tab/>
        <w:t>(c)</w:t>
      </w:r>
      <w:r w:rsidRPr="00097A86">
        <w:tab/>
        <w:t>fused zirconia;</w:t>
      </w:r>
    </w:p>
    <w:p w14:paraId="541C255B" w14:textId="77777777" w:rsidR="004979AE" w:rsidRPr="00097A86" w:rsidRDefault="004979AE" w:rsidP="00D22D3F">
      <w:pPr>
        <w:pStyle w:val="paragraph"/>
      </w:pPr>
      <w:r w:rsidRPr="00097A86">
        <w:tab/>
        <w:t>(d)</w:t>
      </w:r>
      <w:r w:rsidRPr="00097A86">
        <w:tab/>
        <w:t>glass;</w:t>
      </w:r>
    </w:p>
    <w:p w14:paraId="56D1FD1B" w14:textId="77777777" w:rsidR="004979AE" w:rsidRPr="00097A86" w:rsidRDefault="004979AE" w:rsidP="00D22D3F">
      <w:pPr>
        <w:pStyle w:val="paragraph"/>
      </w:pPr>
      <w:r w:rsidRPr="00097A86">
        <w:tab/>
        <w:t>(e)</w:t>
      </w:r>
      <w:r w:rsidRPr="00097A86">
        <w:tab/>
        <w:t>synthetic rutile;</w:t>
      </w:r>
    </w:p>
    <w:p w14:paraId="50E7E7F9" w14:textId="77777777" w:rsidR="004979AE" w:rsidRPr="00097A86" w:rsidRDefault="004979AE" w:rsidP="00D22D3F">
      <w:pPr>
        <w:pStyle w:val="paragraph"/>
      </w:pPr>
      <w:r w:rsidRPr="00097A86">
        <w:tab/>
        <w:t>(f)</w:t>
      </w:r>
      <w:r w:rsidRPr="00097A86">
        <w:tab/>
        <w:t>titanium dioxide.</w:t>
      </w:r>
    </w:p>
    <w:p w14:paraId="6BBB1C43" w14:textId="77777777" w:rsidR="004979AE" w:rsidRPr="00097A86" w:rsidRDefault="00D22D3F" w:rsidP="00D22D3F">
      <w:pPr>
        <w:pStyle w:val="notetext"/>
      </w:pPr>
      <w:r w:rsidRPr="00097A86">
        <w:t>Note:</w:t>
      </w:r>
      <w:r w:rsidRPr="00097A86">
        <w:tab/>
      </w:r>
      <w:r w:rsidR="004979AE" w:rsidRPr="00097A86">
        <w:t>Magnesia produced in a process that does not use an electric arc furnace must be reported under Division</w:t>
      </w:r>
      <w:r w:rsidR="00097A86">
        <w:t> </w:t>
      </w:r>
      <w:r w:rsidR="004979AE" w:rsidRPr="00097A86">
        <w:t>4.2.3.</w:t>
      </w:r>
    </w:p>
    <w:p w14:paraId="04382A42" w14:textId="77777777" w:rsidR="003F0D4E" w:rsidRPr="00097A86" w:rsidRDefault="003F0D4E" w:rsidP="00D22D3F">
      <w:pPr>
        <w:pStyle w:val="ActHead5"/>
      </w:pPr>
      <w:bookmarkStart w:id="452" w:name="_Toc13233884"/>
      <w:r w:rsidRPr="00097A86">
        <w:rPr>
          <w:rStyle w:val="CharSectno"/>
        </w:rPr>
        <w:t>4.54</w:t>
      </w:r>
      <w:r w:rsidR="00D22D3F" w:rsidRPr="00097A86">
        <w:t xml:space="preserve">  </w:t>
      </w:r>
      <w:r w:rsidRPr="00097A86">
        <w:t>Available methods</w:t>
      </w:r>
      <w:bookmarkEnd w:id="452"/>
    </w:p>
    <w:p w14:paraId="79B9D973" w14:textId="77777777" w:rsidR="003F0D4E" w:rsidRPr="00097A86" w:rsidRDefault="003F0D4E" w:rsidP="00D22D3F">
      <w:pPr>
        <w:pStyle w:val="subsection"/>
      </w:pPr>
      <w:r w:rsidRPr="00097A86">
        <w:tab/>
        <w:t>(1)</w:t>
      </w:r>
      <w:r w:rsidRPr="00097A86">
        <w:tab/>
        <w:t>Subject to section</w:t>
      </w:r>
      <w:r w:rsidR="00097A86">
        <w:t> </w:t>
      </w:r>
      <w:r w:rsidRPr="00097A86">
        <w:t xml:space="preserve">1.18, one of the following methods must be used for estimating emissions released during a year from the operation of a facility that is constituted by the production of </w:t>
      </w:r>
      <w:r w:rsidR="00A55FF1" w:rsidRPr="00097A86">
        <w:t>a chemical or mineral product:</w:t>
      </w:r>
    </w:p>
    <w:p w14:paraId="69D808CF" w14:textId="77777777" w:rsidR="003F0D4E" w:rsidRPr="00097A86" w:rsidRDefault="003F0D4E" w:rsidP="00D22D3F">
      <w:pPr>
        <w:pStyle w:val="paragraph"/>
      </w:pPr>
      <w:r w:rsidRPr="00097A86">
        <w:tab/>
        <w:t>(a)</w:t>
      </w:r>
      <w:r w:rsidRPr="00097A86">
        <w:tab/>
        <w:t>method 1 under section</w:t>
      </w:r>
      <w:r w:rsidR="00097A86">
        <w:t> </w:t>
      </w:r>
      <w:r w:rsidRPr="00097A86">
        <w:t>4.55;</w:t>
      </w:r>
    </w:p>
    <w:p w14:paraId="1FD6ED1B" w14:textId="77777777" w:rsidR="003F0D4E" w:rsidRPr="00097A86" w:rsidRDefault="003F0D4E" w:rsidP="00D22D3F">
      <w:pPr>
        <w:pStyle w:val="paragraph"/>
      </w:pPr>
      <w:r w:rsidRPr="00097A86">
        <w:tab/>
        <w:t>(b)</w:t>
      </w:r>
      <w:r w:rsidRPr="00097A86">
        <w:tab/>
        <w:t>method 2 under section</w:t>
      </w:r>
      <w:r w:rsidR="00097A86">
        <w:t> </w:t>
      </w:r>
      <w:r w:rsidRPr="00097A86">
        <w:t>4.56;</w:t>
      </w:r>
    </w:p>
    <w:p w14:paraId="1352DA9C" w14:textId="77777777" w:rsidR="003F0D4E" w:rsidRPr="00097A86" w:rsidRDefault="003F0D4E" w:rsidP="00D22D3F">
      <w:pPr>
        <w:pStyle w:val="paragraph"/>
      </w:pPr>
      <w:r w:rsidRPr="00097A86">
        <w:tab/>
        <w:t>(c)</w:t>
      </w:r>
      <w:r w:rsidRPr="00097A86">
        <w:tab/>
        <w:t>method 3 under section</w:t>
      </w:r>
      <w:r w:rsidR="00097A86">
        <w:t> </w:t>
      </w:r>
      <w:r w:rsidRPr="00097A86">
        <w:t>4.57;</w:t>
      </w:r>
    </w:p>
    <w:p w14:paraId="6C99562E" w14:textId="77777777" w:rsidR="003F0D4E" w:rsidRPr="00097A86" w:rsidRDefault="003F0D4E" w:rsidP="00D22D3F">
      <w:pPr>
        <w:pStyle w:val="paragraph"/>
      </w:pPr>
      <w:r w:rsidRPr="00097A86">
        <w:tab/>
        <w:t>(d)</w:t>
      </w:r>
      <w:r w:rsidRPr="00097A86">
        <w:tab/>
        <w:t>method 4 under Part</w:t>
      </w:r>
      <w:r w:rsidR="00097A86">
        <w:t> </w:t>
      </w:r>
      <w:r w:rsidRPr="00097A86">
        <w:t>1.3.</w:t>
      </w:r>
    </w:p>
    <w:p w14:paraId="518C15CD" w14:textId="77777777" w:rsidR="003F0D4E" w:rsidRPr="00097A86" w:rsidRDefault="003F0D4E" w:rsidP="00D22D3F">
      <w:pPr>
        <w:pStyle w:val="subsection"/>
      </w:pPr>
      <w:r w:rsidRPr="00097A86">
        <w:tab/>
        <w:t>(2)</w:t>
      </w:r>
      <w:r w:rsidRPr="00097A86">
        <w:tab/>
        <w:t xml:space="preserve">However, for </w:t>
      </w:r>
      <w:r w:rsidR="005D1E04" w:rsidRPr="00097A86">
        <w:t>incidental emissions</w:t>
      </w:r>
      <w:r w:rsidRPr="00097A86">
        <w:t xml:space="preserve"> another method may be used that is consistent with the principles in section</w:t>
      </w:r>
      <w:r w:rsidR="00097A86">
        <w:t> </w:t>
      </w:r>
      <w:r w:rsidRPr="00097A86">
        <w:t>1.13.</w:t>
      </w:r>
    </w:p>
    <w:p w14:paraId="062D3351" w14:textId="77777777" w:rsidR="00B304D4" w:rsidRPr="00097A86" w:rsidRDefault="00B304D4" w:rsidP="00D22D3F">
      <w:pPr>
        <w:pStyle w:val="ActHead5"/>
      </w:pPr>
      <w:bookmarkStart w:id="453" w:name="_Toc13233885"/>
      <w:r w:rsidRPr="00097A86">
        <w:rPr>
          <w:rStyle w:val="CharSectno"/>
        </w:rPr>
        <w:t>4.55</w:t>
      </w:r>
      <w:r w:rsidR="00D22D3F" w:rsidRPr="00097A86">
        <w:t xml:space="preserve">  </w:t>
      </w:r>
      <w:r w:rsidRPr="00097A86">
        <w:t>Method 1</w:t>
      </w:r>
      <w:r w:rsidR="00D22D3F" w:rsidRPr="00097A86">
        <w:t>—</w:t>
      </w:r>
      <w:r w:rsidRPr="00097A86">
        <w:t>chemical or mineral production, other than carbide production, using a carbon reductant or carbon anode</w:t>
      </w:r>
      <w:bookmarkEnd w:id="453"/>
    </w:p>
    <w:p w14:paraId="0F1655BD" w14:textId="77777777" w:rsidR="00B304D4" w:rsidRPr="00097A86" w:rsidRDefault="00B304D4" w:rsidP="00D22D3F">
      <w:pPr>
        <w:pStyle w:val="subsection"/>
      </w:pPr>
      <w:r w:rsidRPr="00097A86">
        <w:tab/>
      </w:r>
      <w:r w:rsidRPr="00097A86">
        <w:tab/>
        <w:t>Method 1 is:</w:t>
      </w:r>
    </w:p>
    <w:tbl>
      <w:tblPr>
        <w:tblW w:w="5000" w:type="pct"/>
        <w:tblLook w:val="04A0" w:firstRow="1" w:lastRow="0" w:firstColumn="1" w:lastColumn="0" w:noHBand="0" w:noVBand="1"/>
      </w:tblPr>
      <w:tblGrid>
        <w:gridCol w:w="969"/>
        <w:gridCol w:w="7344"/>
      </w:tblGrid>
      <w:tr w:rsidR="008B618A" w:rsidRPr="00097A86" w14:paraId="4680D2C9" w14:textId="77777777" w:rsidTr="00C20CC2">
        <w:trPr>
          <w:cantSplit/>
          <w:trHeight w:val="80"/>
        </w:trPr>
        <w:tc>
          <w:tcPr>
            <w:tcW w:w="583" w:type="pct"/>
            <w:hideMark/>
          </w:tcPr>
          <w:p w14:paraId="66E3E6AF" w14:textId="77777777" w:rsidR="008B618A" w:rsidRPr="00097A86" w:rsidRDefault="008B618A" w:rsidP="00617697">
            <w:pPr>
              <w:spacing w:before="60" w:after="60"/>
            </w:pPr>
            <w:r w:rsidRPr="00097A86">
              <w:t>Step 1</w:t>
            </w:r>
          </w:p>
        </w:tc>
        <w:tc>
          <w:tcPr>
            <w:tcW w:w="4417" w:type="pct"/>
            <w:hideMark/>
          </w:tcPr>
          <w:p w14:paraId="5015BC29" w14:textId="77777777" w:rsidR="008B618A" w:rsidRPr="00097A86" w:rsidRDefault="008B618A" w:rsidP="00617697">
            <w:pPr>
              <w:pStyle w:val="TableText0"/>
            </w:pPr>
            <w:r w:rsidRPr="00097A86">
              <w:t>Work out the carbon content in fuel types</w:t>
            </w:r>
            <w:r w:rsidRPr="00097A86">
              <w:rPr>
                <w:b/>
                <w:i/>
              </w:rPr>
              <w:t xml:space="preserve"> </w:t>
            </w:r>
            <w:r w:rsidRPr="00097A86">
              <w:t>(</w:t>
            </w:r>
            <w:r w:rsidRPr="00097A86">
              <w:rPr>
                <w:b/>
                <w:i/>
              </w:rPr>
              <w:t>i</w:t>
            </w:r>
            <w:r w:rsidRPr="00097A86">
              <w:t>) or carbonaceous input material delivered for the activity during the year, measured in tonnes of carbon, as follows:</w:t>
            </w:r>
          </w:p>
          <w:p w14:paraId="6CE06302" w14:textId="77777777" w:rsidR="008B618A" w:rsidRPr="00097A86" w:rsidRDefault="009E1F90" w:rsidP="00BA13B0">
            <w:pPr>
              <w:pStyle w:val="Formula"/>
              <w:spacing w:before="120" w:after="120"/>
              <w:ind w:left="13"/>
            </w:pPr>
            <w:r>
              <w:rPr>
                <w:noProof/>
                <w:position w:val="-10"/>
              </w:rPr>
              <w:drawing>
                <wp:inline distT="0" distB="0" distL="0" distR="0" wp14:anchorId="41FE1807" wp14:editId="4BECA5F3">
                  <wp:extent cx="885825" cy="219075"/>
                  <wp:effectExtent l="0" t="0" r="9525" b="9525"/>
                  <wp:docPr id="14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p w14:paraId="77433610" w14:textId="77777777" w:rsidR="008B618A" w:rsidRPr="00097A86" w:rsidRDefault="008B618A" w:rsidP="00617697">
            <w:pPr>
              <w:pStyle w:val="TableText0"/>
              <w:rPr>
                <w:sz w:val="24"/>
              </w:rPr>
            </w:pPr>
            <w:r w:rsidRPr="00097A86">
              <w:rPr>
                <w:sz w:val="24"/>
              </w:rPr>
              <w:t>where:</w:t>
            </w:r>
          </w:p>
          <w:p w14:paraId="687E0B35" w14:textId="77777777" w:rsidR="008B618A" w:rsidRPr="00097A86" w:rsidRDefault="008B618A" w:rsidP="00617697">
            <w:pPr>
              <w:pStyle w:val="TableText0"/>
            </w:pPr>
            <w:r w:rsidRPr="00097A86">
              <w:rPr>
                <w:rFonts w:ascii="Symbol" w:hAnsi="Symbol"/>
                <w:b/>
                <w:i/>
              </w:rPr>
              <w:t></w:t>
            </w:r>
            <w:r w:rsidRPr="00097A86">
              <w:rPr>
                <w:b/>
                <w:i/>
                <w:vertAlign w:val="subscript"/>
              </w:rPr>
              <w:t>i</w:t>
            </w:r>
            <w:r w:rsidRPr="00097A86">
              <w:rPr>
                <w:i/>
              </w:rPr>
              <w:t xml:space="preserve"> </w:t>
            </w:r>
            <w:r w:rsidRPr="00097A86">
              <w:t>means the sum of the carbon content values obtained for all fuel types (</w:t>
            </w:r>
            <w:r w:rsidRPr="00097A86">
              <w:rPr>
                <w:b/>
                <w:i/>
              </w:rPr>
              <w:t>i</w:t>
            </w:r>
            <w:r w:rsidRPr="00097A86">
              <w:t>) or carbonaceous input material.</w:t>
            </w:r>
          </w:p>
        </w:tc>
      </w:tr>
      <w:tr w:rsidR="008B618A" w:rsidRPr="00097A86" w14:paraId="10AA8B19" w14:textId="77777777" w:rsidTr="00C20CC2">
        <w:trPr>
          <w:cantSplit/>
          <w:trHeight w:val="80"/>
        </w:trPr>
        <w:tc>
          <w:tcPr>
            <w:tcW w:w="583" w:type="pct"/>
            <w:vAlign w:val="center"/>
            <w:hideMark/>
          </w:tcPr>
          <w:p w14:paraId="57233D63" w14:textId="77777777" w:rsidR="008B618A" w:rsidRPr="00097A86" w:rsidRDefault="008B618A" w:rsidP="00617697"/>
        </w:tc>
        <w:tc>
          <w:tcPr>
            <w:tcW w:w="4417" w:type="pct"/>
            <w:hideMark/>
          </w:tcPr>
          <w:p w14:paraId="7DF6ED08" w14:textId="77777777" w:rsidR="008B618A" w:rsidRPr="00097A86" w:rsidRDefault="008B618A" w:rsidP="00617697">
            <w:pPr>
              <w:pStyle w:val="TableText0"/>
              <w:rPr>
                <w:b/>
                <w:i/>
              </w:rPr>
            </w:pPr>
            <w:r w:rsidRPr="00097A86">
              <w:rPr>
                <w:b/>
                <w:i/>
              </w:rPr>
              <w:t>CCF</w:t>
            </w:r>
            <w:r w:rsidRPr="00097A86">
              <w:rPr>
                <w:b/>
                <w:i/>
                <w:vertAlign w:val="subscript"/>
              </w:rPr>
              <w:t>i</w:t>
            </w:r>
            <w:r w:rsidRPr="00097A86">
              <w:rPr>
                <w:i/>
              </w:rPr>
              <w:t xml:space="preserve"> </w:t>
            </w:r>
            <w:r w:rsidRPr="00097A86">
              <w:t>is the carbon content factor mentioned in Schedule</w:t>
            </w:r>
            <w:r w:rsidR="00097A86">
              <w:t> </w:t>
            </w:r>
            <w:r w:rsidRPr="00097A86">
              <w:t>3, measured in tonnes of carbon, for each appropriate unit of fuel type (</w:t>
            </w:r>
            <w:r w:rsidRPr="00097A86">
              <w:rPr>
                <w:b/>
                <w:i/>
              </w:rPr>
              <w:t>i</w:t>
            </w:r>
            <w:r w:rsidRPr="00097A86">
              <w:t>) or carbonaceous input material consumed during the year from the operation of the activity.</w:t>
            </w:r>
          </w:p>
          <w:p w14:paraId="04F04598" w14:textId="77777777" w:rsidR="008B618A" w:rsidRPr="00097A86" w:rsidRDefault="008B618A" w:rsidP="00617697">
            <w:pPr>
              <w:pStyle w:val="TableText0"/>
            </w:pPr>
            <w:r w:rsidRPr="00097A86">
              <w:rPr>
                <w:b/>
                <w:i/>
              </w:rPr>
              <w:t>Q</w:t>
            </w:r>
            <w:r w:rsidRPr="00097A86">
              <w:rPr>
                <w:b/>
                <w:i/>
                <w:vertAlign w:val="subscript"/>
              </w:rPr>
              <w:t>i</w:t>
            </w:r>
            <w:r w:rsidRPr="00097A86">
              <w:rPr>
                <w:i/>
              </w:rPr>
              <w:t xml:space="preserve"> </w:t>
            </w:r>
            <w:r w:rsidRPr="00097A86">
              <w:t>is the quantity of fuel type (</w:t>
            </w:r>
            <w:r w:rsidRPr="00097A86">
              <w:rPr>
                <w:b/>
                <w:i/>
              </w:rPr>
              <w:t>i</w:t>
            </w:r>
            <w:r w:rsidRPr="00097A86">
              <w:t>) or carbonaceous input material delivered for the activity during the year, measured in an appropriate unit and estimated in accordance with criterion A in Divisions</w:t>
            </w:r>
            <w:r w:rsidR="00097A86">
              <w:t> </w:t>
            </w:r>
            <w:r w:rsidRPr="00097A86">
              <w:t>2.2.5, 2.3.6, 2.4.6 and 4.2.5.</w:t>
            </w:r>
          </w:p>
        </w:tc>
      </w:tr>
      <w:tr w:rsidR="008B618A" w:rsidRPr="00097A86" w14:paraId="24011DF0" w14:textId="77777777" w:rsidTr="00C20CC2">
        <w:trPr>
          <w:cantSplit/>
        </w:trPr>
        <w:tc>
          <w:tcPr>
            <w:tcW w:w="583" w:type="pct"/>
            <w:vMerge w:val="restart"/>
            <w:hideMark/>
          </w:tcPr>
          <w:p w14:paraId="79A6FE5E" w14:textId="77777777" w:rsidR="008B618A" w:rsidRPr="00097A86" w:rsidRDefault="008B618A" w:rsidP="00617697">
            <w:pPr>
              <w:spacing w:before="60" w:after="60"/>
            </w:pPr>
            <w:r w:rsidRPr="00097A86">
              <w:t>Step 2</w:t>
            </w:r>
          </w:p>
        </w:tc>
        <w:tc>
          <w:tcPr>
            <w:tcW w:w="4417" w:type="pct"/>
            <w:hideMark/>
          </w:tcPr>
          <w:p w14:paraId="16795682" w14:textId="77777777" w:rsidR="008B618A" w:rsidRPr="00097A86" w:rsidRDefault="008B618A" w:rsidP="00617697">
            <w:pPr>
              <w:pStyle w:val="TableText0"/>
            </w:pPr>
            <w:r w:rsidRPr="00097A86">
              <w:t>Work out the carbon content in products (</w:t>
            </w:r>
            <w:r w:rsidRPr="00097A86">
              <w:rPr>
                <w:b/>
                <w:i/>
              </w:rPr>
              <w:t>p</w:t>
            </w:r>
            <w:r w:rsidRPr="00097A86">
              <w:t>) leaving the activity during the year, measured in tonnes of carbon, as follows:</w:t>
            </w:r>
          </w:p>
          <w:p w14:paraId="47F88488" w14:textId="77777777" w:rsidR="008B618A" w:rsidRPr="00097A86" w:rsidRDefault="009E1F90" w:rsidP="00BA13B0">
            <w:pPr>
              <w:pStyle w:val="Formula"/>
              <w:spacing w:before="120" w:after="120"/>
              <w:ind w:left="13"/>
            </w:pPr>
            <w:r>
              <w:rPr>
                <w:noProof/>
                <w:position w:val="-14"/>
              </w:rPr>
              <w:drawing>
                <wp:inline distT="0" distB="0" distL="0" distR="0" wp14:anchorId="50A73A36" wp14:editId="3A7108C7">
                  <wp:extent cx="885825" cy="238125"/>
                  <wp:effectExtent l="0" t="0" r="9525" b="9525"/>
                  <wp:docPr id="1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tc>
      </w:tr>
      <w:tr w:rsidR="008B618A" w:rsidRPr="00097A86" w14:paraId="449BDB9C" w14:textId="77777777" w:rsidTr="00C20CC2">
        <w:trPr>
          <w:cantSplit/>
        </w:trPr>
        <w:tc>
          <w:tcPr>
            <w:tcW w:w="583" w:type="pct"/>
            <w:vMerge/>
            <w:vAlign w:val="center"/>
            <w:hideMark/>
          </w:tcPr>
          <w:p w14:paraId="59E6536E" w14:textId="77777777" w:rsidR="008B618A" w:rsidRPr="00097A86" w:rsidRDefault="008B618A" w:rsidP="00617697"/>
        </w:tc>
        <w:tc>
          <w:tcPr>
            <w:tcW w:w="4417" w:type="pct"/>
            <w:hideMark/>
          </w:tcPr>
          <w:p w14:paraId="741B9B98" w14:textId="77777777" w:rsidR="008B618A" w:rsidRPr="00097A86" w:rsidRDefault="008B618A" w:rsidP="00617697">
            <w:pPr>
              <w:pStyle w:val="TableText0"/>
            </w:pPr>
            <w:r w:rsidRPr="00097A86">
              <w:t>where:</w:t>
            </w:r>
          </w:p>
          <w:p w14:paraId="622D00FD" w14:textId="77777777" w:rsidR="008B618A" w:rsidRPr="00097A86" w:rsidRDefault="008B618A" w:rsidP="00617697">
            <w:pPr>
              <w:pStyle w:val="TableText0"/>
              <w:spacing w:line="240" w:lineRule="auto"/>
            </w:pPr>
            <w:r w:rsidRPr="00097A86">
              <w:rPr>
                <w:rFonts w:ascii="Symbol" w:hAnsi="Symbol"/>
                <w:b/>
                <w:i/>
              </w:rPr>
              <w:t></w:t>
            </w:r>
            <w:r w:rsidRPr="00097A86">
              <w:rPr>
                <w:b/>
                <w:i/>
                <w:vertAlign w:val="subscript"/>
              </w:rPr>
              <w:t>p</w:t>
            </w:r>
            <w:r w:rsidRPr="00097A86">
              <w:rPr>
                <w:i/>
              </w:rPr>
              <w:t xml:space="preserve"> </w:t>
            </w:r>
            <w:r w:rsidRPr="00097A86">
              <w:t xml:space="preserve">means the sum of the </w:t>
            </w:r>
            <w:r w:rsidRPr="00097A86">
              <w:rPr>
                <w:szCs w:val="22"/>
              </w:rPr>
              <w:t>carbon</w:t>
            </w:r>
            <w:r w:rsidRPr="00097A86">
              <w:t xml:space="preserve"> content values obtained for all product types (</w:t>
            </w:r>
            <w:r w:rsidRPr="00097A86">
              <w:rPr>
                <w:b/>
                <w:i/>
              </w:rPr>
              <w:t>p</w:t>
            </w:r>
            <w:r w:rsidRPr="00097A86">
              <w:t>).</w:t>
            </w:r>
          </w:p>
          <w:p w14:paraId="738BE3F7" w14:textId="77777777" w:rsidR="008B618A" w:rsidRPr="00097A86" w:rsidRDefault="008B618A" w:rsidP="00617697">
            <w:pPr>
              <w:pStyle w:val="TableText0"/>
              <w:spacing w:line="240" w:lineRule="auto"/>
              <w:rPr>
                <w:iCs/>
              </w:rPr>
            </w:pPr>
            <w:r w:rsidRPr="00097A86">
              <w:rPr>
                <w:b/>
                <w:i/>
                <w:iCs/>
              </w:rPr>
              <w:t>CCF</w:t>
            </w:r>
            <w:r w:rsidRPr="00097A86">
              <w:rPr>
                <w:b/>
                <w:i/>
                <w:iCs/>
                <w:vertAlign w:val="subscript"/>
              </w:rPr>
              <w:t>p</w:t>
            </w:r>
            <w:r w:rsidRPr="00097A86">
              <w:rPr>
                <w:iCs/>
              </w:rPr>
              <w:t xml:space="preserve"> is the carbon content factor, measured in tonnes of carbon, for each tonne of product type</w:t>
            </w:r>
            <w:r w:rsidRPr="00097A86">
              <w:rPr>
                <w:b/>
                <w:i/>
                <w:iCs/>
              </w:rPr>
              <w:t xml:space="preserve"> </w:t>
            </w:r>
            <w:r w:rsidRPr="00097A86">
              <w:rPr>
                <w:iCs/>
              </w:rPr>
              <w:t>(</w:t>
            </w:r>
            <w:r w:rsidRPr="00097A86">
              <w:rPr>
                <w:b/>
                <w:i/>
                <w:iCs/>
              </w:rPr>
              <w:t>p</w:t>
            </w:r>
            <w:r w:rsidRPr="00097A86">
              <w:rPr>
                <w:iCs/>
              </w:rPr>
              <w:t>) produced during the year.</w:t>
            </w:r>
          </w:p>
          <w:p w14:paraId="58B576CF" w14:textId="77777777" w:rsidR="008B618A" w:rsidRPr="00097A86" w:rsidRDefault="008B618A" w:rsidP="00617697">
            <w:pPr>
              <w:pStyle w:val="TableText0"/>
              <w:spacing w:line="240" w:lineRule="auto"/>
            </w:pPr>
            <w:r w:rsidRPr="00097A86">
              <w:rPr>
                <w:b/>
                <w:i/>
              </w:rPr>
              <w:t>A</w:t>
            </w:r>
            <w:r w:rsidRPr="00097A86">
              <w:rPr>
                <w:b/>
                <w:i/>
                <w:vertAlign w:val="subscript"/>
              </w:rPr>
              <w:t>p</w:t>
            </w:r>
            <w:r w:rsidRPr="00097A86">
              <w:rPr>
                <w:i/>
              </w:rPr>
              <w:t xml:space="preserve"> </w:t>
            </w:r>
            <w:r w:rsidRPr="00097A86">
              <w:t xml:space="preserve">is the </w:t>
            </w:r>
            <w:r w:rsidRPr="00097A86">
              <w:rPr>
                <w:szCs w:val="22"/>
              </w:rPr>
              <w:t>quantity</w:t>
            </w:r>
            <w:r w:rsidRPr="00097A86">
              <w:t xml:space="preserve"> of product types (</w:t>
            </w:r>
            <w:r w:rsidRPr="00097A86">
              <w:rPr>
                <w:b/>
                <w:i/>
              </w:rPr>
              <w:t>p</w:t>
            </w:r>
            <w:r w:rsidRPr="00097A86">
              <w:t>) produced leaving the activity during the year, measured in tonnes.</w:t>
            </w:r>
          </w:p>
        </w:tc>
      </w:tr>
      <w:tr w:rsidR="008B618A" w:rsidRPr="00097A86" w14:paraId="731FE869" w14:textId="77777777" w:rsidTr="00C20CC2">
        <w:trPr>
          <w:cantSplit/>
        </w:trPr>
        <w:tc>
          <w:tcPr>
            <w:tcW w:w="583" w:type="pct"/>
            <w:vMerge w:val="restart"/>
            <w:hideMark/>
          </w:tcPr>
          <w:p w14:paraId="2A44C58B" w14:textId="77777777" w:rsidR="008B618A" w:rsidRPr="00097A86" w:rsidRDefault="008B618A" w:rsidP="00617697">
            <w:pPr>
              <w:spacing w:before="60" w:after="60"/>
            </w:pPr>
            <w:r w:rsidRPr="00097A86">
              <w:t>Step 3</w:t>
            </w:r>
          </w:p>
        </w:tc>
        <w:tc>
          <w:tcPr>
            <w:tcW w:w="4417" w:type="pct"/>
            <w:hideMark/>
          </w:tcPr>
          <w:p w14:paraId="2B5B1F1E" w14:textId="77777777" w:rsidR="008B618A" w:rsidRPr="00097A86" w:rsidRDefault="008B618A" w:rsidP="00617697">
            <w:pPr>
              <w:pStyle w:val="TableText0"/>
              <w:rPr>
                <w:iCs/>
              </w:rPr>
            </w:pPr>
            <w:r w:rsidRPr="00097A86">
              <w:rPr>
                <w:iCs/>
              </w:rPr>
              <w:t xml:space="preserve">Work out </w:t>
            </w:r>
            <w:r w:rsidRPr="00097A86">
              <w:t xml:space="preserve">the carbon content in </w:t>
            </w:r>
            <w:r w:rsidRPr="00097A86">
              <w:rPr>
                <w:iCs/>
              </w:rPr>
              <w:t>waste by</w:t>
            </w:r>
            <w:r w:rsidR="00097A86">
              <w:rPr>
                <w:iCs/>
              </w:rPr>
              <w:noBreakHyphen/>
            </w:r>
            <w:r w:rsidRPr="00097A86">
              <w:rPr>
                <w:iCs/>
              </w:rPr>
              <w:t xml:space="preserve">product types </w:t>
            </w:r>
            <w:r w:rsidRPr="00097A86">
              <w:rPr>
                <w:b/>
                <w:i/>
              </w:rPr>
              <w:t xml:space="preserve">(r) </w:t>
            </w:r>
            <w:r w:rsidRPr="00097A86">
              <w:t>leaving the activity,</w:t>
            </w:r>
            <w:r w:rsidRPr="00097A86">
              <w:rPr>
                <w:iCs/>
              </w:rPr>
              <w:t xml:space="preserve"> other than as an emission of greenhouse gas, during the year, </w:t>
            </w:r>
            <w:r w:rsidRPr="00097A86">
              <w:t xml:space="preserve">measured in tonnes of carbon, </w:t>
            </w:r>
            <w:r w:rsidRPr="00097A86">
              <w:rPr>
                <w:iCs/>
              </w:rPr>
              <w:t>as follows:</w:t>
            </w:r>
          </w:p>
          <w:p w14:paraId="61C58F86" w14:textId="77777777" w:rsidR="008B618A" w:rsidRPr="00097A86" w:rsidRDefault="009E1F90" w:rsidP="00BA13B0">
            <w:pPr>
              <w:pStyle w:val="Formula"/>
              <w:spacing w:before="120" w:after="120"/>
              <w:ind w:left="13"/>
            </w:pPr>
            <w:r>
              <w:rPr>
                <w:noProof/>
                <w:position w:val="-10"/>
              </w:rPr>
              <w:drawing>
                <wp:inline distT="0" distB="0" distL="0" distR="0" wp14:anchorId="1D6A87FF" wp14:editId="1AF002FA">
                  <wp:extent cx="847725" cy="219075"/>
                  <wp:effectExtent l="0" t="0" r="9525" b="9525"/>
                  <wp:docPr id="12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p>
        </w:tc>
      </w:tr>
      <w:tr w:rsidR="008B618A" w:rsidRPr="00097A86" w14:paraId="1A922903" w14:textId="77777777" w:rsidTr="00C20CC2">
        <w:trPr>
          <w:cantSplit/>
        </w:trPr>
        <w:tc>
          <w:tcPr>
            <w:tcW w:w="583" w:type="pct"/>
            <w:vMerge/>
            <w:hideMark/>
          </w:tcPr>
          <w:p w14:paraId="2A23F118" w14:textId="77777777" w:rsidR="008B618A" w:rsidRPr="00097A86" w:rsidRDefault="008B618A" w:rsidP="00617697">
            <w:pPr>
              <w:spacing w:before="60" w:after="60"/>
            </w:pPr>
          </w:p>
        </w:tc>
        <w:tc>
          <w:tcPr>
            <w:tcW w:w="4417" w:type="pct"/>
            <w:hideMark/>
          </w:tcPr>
          <w:p w14:paraId="3FE4DD64" w14:textId="77777777" w:rsidR="008B618A" w:rsidRPr="00097A86" w:rsidRDefault="008B618A" w:rsidP="00617697">
            <w:pPr>
              <w:pStyle w:val="TableText0"/>
            </w:pPr>
            <w:r w:rsidRPr="00097A86">
              <w:t>where:</w:t>
            </w:r>
          </w:p>
          <w:p w14:paraId="4A0E1D98" w14:textId="77777777" w:rsidR="008B618A" w:rsidRPr="00097A86" w:rsidRDefault="008B618A" w:rsidP="00617697">
            <w:pPr>
              <w:pStyle w:val="TableText0"/>
            </w:pPr>
            <w:r w:rsidRPr="00097A86">
              <w:rPr>
                <w:rFonts w:ascii="Symbol" w:hAnsi="Symbol"/>
                <w:b/>
                <w:i/>
              </w:rPr>
              <w:t></w:t>
            </w:r>
            <w:r w:rsidRPr="00097A86">
              <w:rPr>
                <w:b/>
                <w:i/>
                <w:vertAlign w:val="subscript"/>
              </w:rPr>
              <w:t>r</w:t>
            </w:r>
            <w:r w:rsidRPr="00097A86">
              <w:rPr>
                <w:i/>
              </w:rPr>
              <w:t xml:space="preserve"> </w:t>
            </w:r>
            <w:r w:rsidRPr="00097A86">
              <w:t>means the sum of the carbon content values obtained for all waste by</w:t>
            </w:r>
            <w:r w:rsidR="00097A86">
              <w:noBreakHyphen/>
            </w:r>
            <w:r w:rsidRPr="00097A86">
              <w:t>product types (</w:t>
            </w:r>
            <w:r w:rsidRPr="00097A86">
              <w:rPr>
                <w:b/>
                <w:i/>
              </w:rPr>
              <w:t>r</w:t>
            </w:r>
            <w:r w:rsidRPr="00097A86">
              <w:t>).</w:t>
            </w:r>
          </w:p>
        </w:tc>
      </w:tr>
      <w:tr w:rsidR="008B618A" w:rsidRPr="00097A86" w14:paraId="752BC6A5" w14:textId="77777777" w:rsidTr="00C20CC2">
        <w:trPr>
          <w:cantSplit/>
        </w:trPr>
        <w:tc>
          <w:tcPr>
            <w:tcW w:w="583" w:type="pct"/>
            <w:vMerge/>
            <w:vAlign w:val="center"/>
            <w:hideMark/>
          </w:tcPr>
          <w:p w14:paraId="743C14EE" w14:textId="77777777" w:rsidR="008B618A" w:rsidRPr="00097A86" w:rsidRDefault="008B618A" w:rsidP="00617697"/>
        </w:tc>
        <w:tc>
          <w:tcPr>
            <w:tcW w:w="4417" w:type="pct"/>
            <w:hideMark/>
          </w:tcPr>
          <w:p w14:paraId="3FFBDB2F" w14:textId="77777777" w:rsidR="008B618A" w:rsidRPr="00097A86" w:rsidRDefault="008B618A" w:rsidP="00617697">
            <w:pPr>
              <w:pStyle w:val="TableText0"/>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3C146321" w14:textId="77777777" w:rsidR="008B618A" w:rsidRPr="00097A86" w:rsidRDefault="008B618A" w:rsidP="00617697">
            <w:pPr>
              <w:pStyle w:val="TableText0"/>
            </w:pPr>
            <w:r w:rsidRPr="00097A86">
              <w:rPr>
                <w:b/>
                <w:i/>
              </w:rPr>
              <w:t>Y</w:t>
            </w:r>
            <w:r w:rsidRPr="00097A86">
              <w:rPr>
                <w:b/>
                <w:i/>
                <w:vertAlign w:val="subscript"/>
              </w:rPr>
              <w:t>r</w:t>
            </w:r>
            <w:r w:rsidRPr="00097A86">
              <w:rPr>
                <w:i/>
              </w:rPr>
              <w:t xml:space="preserve">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8B618A" w:rsidRPr="00097A86" w14:paraId="4942FB7C" w14:textId="77777777" w:rsidTr="00C20CC2">
        <w:trPr>
          <w:cantSplit/>
        </w:trPr>
        <w:tc>
          <w:tcPr>
            <w:tcW w:w="583" w:type="pct"/>
            <w:vMerge w:val="restart"/>
            <w:hideMark/>
          </w:tcPr>
          <w:p w14:paraId="2B70AA18" w14:textId="77777777" w:rsidR="008B618A" w:rsidRPr="00097A86" w:rsidRDefault="008B618A" w:rsidP="00617697">
            <w:pPr>
              <w:spacing w:before="60" w:after="60"/>
            </w:pPr>
            <w:r w:rsidRPr="00097A86">
              <w:t>Step 4</w:t>
            </w:r>
          </w:p>
        </w:tc>
        <w:tc>
          <w:tcPr>
            <w:tcW w:w="4417" w:type="pct"/>
            <w:hideMark/>
          </w:tcPr>
          <w:p w14:paraId="1C3A21D4" w14:textId="77777777" w:rsidR="008B618A" w:rsidRPr="00097A86" w:rsidRDefault="008B618A" w:rsidP="00617697">
            <w:pPr>
              <w:pStyle w:val="TableText0"/>
              <w:rPr>
                <w:iCs/>
              </w:rPr>
            </w:pPr>
            <w:r w:rsidRPr="00097A86">
              <w:t xml:space="preserve">Work out the carbon content in the amount of the change in </w:t>
            </w:r>
            <w:r w:rsidRPr="00097A86">
              <w:rPr>
                <w:iCs/>
              </w:rPr>
              <w:t>stocks of inputs, products and waste by</w:t>
            </w:r>
            <w:r w:rsidR="00097A86">
              <w:rPr>
                <w:iCs/>
              </w:rPr>
              <w:noBreakHyphen/>
            </w:r>
            <w:r w:rsidRPr="00097A86">
              <w:rPr>
                <w:iCs/>
              </w:rPr>
              <w:t>products held within the boundary of the activity during the year, measured in tonnes of carbon, as follows:</w:t>
            </w:r>
          </w:p>
          <w:p w14:paraId="7D3083F3" w14:textId="77777777" w:rsidR="008B618A" w:rsidRPr="00097A86" w:rsidRDefault="009E1F90" w:rsidP="00BA13B0">
            <w:pPr>
              <w:pStyle w:val="Formula"/>
              <w:spacing w:before="120" w:after="120"/>
              <w:ind w:left="13"/>
            </w:pPr>
            <w:r>
              <w:rPr>
                <w:noProof/>
                <w:position w:val="-14"/>
              </w:rPr>
              <w:drawing>
                <wp:inline distT="0" distB="0" distL="0" distR="0" wp14:anchorId="04AEF349" wp14:editId="46B7EF6A">
                  <wp:extent cx="3209925" cy="238125"/>
                  <wp:effectExtent l="0" t="0" r="9525" b="9525"/>
                  <wp:docPr id="12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209925" cy="238125"/>
                          </a:xfrm>
                          <a:prstGeom prst="rect">
                            <a:avLst/>
                          </a:prstGeom>
                          <a:noFill/>
                          <a:ln>
                            <a:noFill/>
                          </a:ln>
                        </pic:spPr>
                      </pic:pic>
                    </a:graphicData>
                  </a:graphic>
                </wp:inline>
              </w:drawing>
            </w:r>
          </w:p>
        </w:tc>
      </w:tr>
      <w:tr w:rsidR="008B618A" w:rsidRPr="00097A86" w14:paraId="5F635F45" w14:textId="77777777" w:rsidTr="00C20CC2">
        <w:trPr>
          <w:cantSplit/>
        </w:trPr>
        <w:tc>
          <w:tcPr>
            <w:tcW w:w="583" w:type="pct"/>
            <w:vMerge/>
            <w:hideMark/>
          </w:tcPr>
          <w:p w14:paraId="29B6A7C7" w14:textId="77777777" w:rsidR="008B618A" w:rsidRPr="00097A86" w:rsidRDefault="008B618A" w:rsidP="00617697">
            <w:pPr>
              <w:spacing w:before="60" w:after="60"/>
            </w:pPr>
          </w:p>
        </w:tc>
        <w:tc>
          <w:tcPr>
            <w:tcW w:w="4417" w:type="pct"/>
            <w:hideMark/>
          </w:tcPr>
          <w:p w14:paraId="5F4F4E10" w14:textId="77777777" w:rsidR="008B618A" w:rsidRPr="00097A86" w:rsidRDefault="008B618A" w:rsidP="00617697">
            <w:pPr>
              <w:pStyle w:val="TableText0"/>
            </w:pPr>
            <w:r w:rsidRPr="00097A86">
              <w:t>where:</w:t>
            </w:r>
          </w:p>
          <w:p w14:paraId="0072B4AD" w14:textId="77777777" w:rsidR="008B618A" w:rsidRPr="00097A86" w:rsidRDefault="008B618A"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4B8A03CC" w14:textId="77777777" w:rsidR="008B618A" w:rsidRPr="00097A86" w:rsidRDefault="008B618A" w:rsidP="00617697">
            <w:pPr>
              <w:pStyle w:val="TableText0"/>
              <w:rPr>
                <w:iCs/>
              </w:rPr>
            </w:pPr>
            <w:r w:rsidRPr="00097A86">
              <w:rPr>
                <w:b/>
                <w:i/>
              </w:rPr>
              <w:t>CCF</w:t>
            </w:r>
            <w:r w:rsidRPr="00097A86">
              <w:rPr>
                <w:b/>
                <w:i/>
                <w:vertAlign w:val="subscript"/>
              </w:rPr>
              <w:t>i</w:t>
            </w:r>
            <w:r w:rsidRPr="00097A86">
              <w:rPr>
                <w:i/>
              </w:rPr>
              <w:t xml:space="preserve"> </w:t>
            </w:r>
            <w:r w:rsidRPr="00097A86">
              <w:t>has the same meaning as in step 1.</w:t>
            </w:r>
          </w:p>
          <w:p w14:paraId="08C096BC" w14:textId="77777777" w:rsidR="008B618A" w:rsidRPr="00097A86" w:rsidRDefault="008B618A"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8B618A" w:rsidRPr="00097A86" w14:paraId="533A83C3" w14:textId="77777777" w:rsidTr="00C20CC2">
        <w:trPr>
          <w:cantSplit/>
        </w:trPr>
        <w:tc>
          <w:tcPr>
            <w:tcW w:w="583" w:type="pct"/>
            <w:vMerge/>
            <w:vAlign w:val="center"/>
            <w:hideMark/>
          </w:tcPr>
          <w:p w14:paraId="024AC405" w14:textId="77777777" w:rsidR="008B618A" w:rsidRPr="00097A86" w:rsidRDefault="008B618A" w:rsidP="00617697"/>
        </w:tc>
        <w:tc>
          <w:tcPr>
            <w:tcW w:w="4417" w:type="pct"/>
            <w:hideMark/>
          </w:tcPr>
          <w:p w14:paraId="094EA127" w14:textId="77777777" w:rsidR="008B618A" w:rsidRPr="00097A86" w:rsidRDefault="008B618A" w:rsidP="00617697">
            <w:pPr>
              <w:pStyle w:val="TableText0"/>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28890487" w14:textId="77777777" w:rsidR="008B618A" w:rsidRPr="00097A86" w:rsidRDefault="008B618A" w:rsidP="00617697">
            <w:pPr>
              <w:pStyle w:val="TableText0"/>
              <w:rPr>
                <w:b/>
                <w:i/>
                <w:iCs/>
              </w:rPr>
            </w:pPr>
            <w:r w:rsidRPr="00097A86">
              <w:rPr>
                <w:b/>
                <w:i/>
              </w:rPr>
              <w:t>CCF</w:t>
            </w:r>
            <w:r w:rsidRPr="00097A86">
              <w:rPr>
                <w:b/>
                <w:i/>
                <w:vertAlign w:val="subscript"/>
              </w:rPr>
              <w:t>p</w:t>
            </w:r>
            <w:r w:rsidRPr="00097A86">
              <w:rPr>
                <w:i/>
              </w:rPr>
              <w:t xml:space="preserve"> </w:t>
            </w:r>
            <w:r w:rsidRPr="00097A86">
              <w:t>has the same meaning as in step 2.</w:t>
            </w:r>
          </w:p>
          <w:p w14:paraId="2B7F71B9" w14:textId="77777777" w:rsidR="008B618A" w:rsidRPr="00097A86" w:rsidRDefault="008B618A" w:rsidP="00617697">
            <w:pPr>
              <w:pStyle w:val="TableText0"/>
              <w:spacing w:line="240" w:lineRule="auto"/>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8B618A" w:rsidRPr="00097A86" w14:paraId="4B304EE8" w14:textId="77777777" w:rsidTr="00C20CC2">
        <w:trPr>
          <w:cantSplit/>
        </w:trPr>
        <w:tc>
          <w:tcPr>
            <w:tcW w:w="583" w:type="pct"/>
          </w:tcPr>
          <w:p w14:paraId="06DD9EDB" w14:textId="77777777" w:rsidR="008B618A" w:rsidRPr="00097A86" w:rsidRDefault="008B618A" w:rsidP="00617697">
            <w:pPr>
              <w:spacing w:before="60" w:after="60"/>
            </w:pPr>
          </w:p>
        </w:tc>
        <w:tc>
          <w:tcPr>
            <w:tcW w:w="4417" w:type="pct"/>
            <w:hideMark/>
          </w:tcPr>
          <w:p w14:paraId="7F23EC9B" w14:textId="77777777" w:rsidR="008B618A" w:rsidRPr="00097A86" w:rsidRDefault="008B618A" w:rsidP="00617697">
            <w:pPr>
              <w:pStyle w:val="TableText0"/>
              <w:rPr>
                <w:b/>
                <w:i/>
              </w:rPr>
            </w:pPr>
            <w:r w:rsidRPr="00097A86">
              <w:rPr>
                <w:rFonts w:ascii="Symbol" w:hAnsi="Symbol"/>
                <w:b/>
                <w:i/>
              </w:rPr>
              <w:t></w:t>
            </w:r>
            <w:r w:rsidRPr="00097A86">
              <w:rPr>
                <w:b/>
                <w:i/>
                <w:vertAlign w:val="subscript"/>
              </w:rPr>
              <w:t>r</w:t>
            </w:r>
            <w:r w:rsidRPr="00097A86">
              <w:rPr>
                <w:i/>
              </w:rPr>
              <w:t xml:space="preserve"> </w:t>
            </w:r>
            <w:r w:rsidRPr="00097A86">
              <w:t>has the same meaning as in step 3.</w:t>
            </w:r>
          </w:p>
          <w:p w14:paraId="2038E73A" w14:textId="77777777" w:rsidR="008B618A" w:rsidRPr="00097A86" w:rsidRDefault="008B618A" w:rsidP="00617697">
            <w:pPr>
              <w:pStyle w:val="TableText0"/>
              <w:rPr>
                <w:b/>
                <w:i/>
                <w:iCs/>
              </w:rPr>
            </w:pPr>
            <w:r w:rsidRPr="00097A86">
              <w:rPr>
                <w:b/>
                <w:i/>
              </w:rPr>
              <w:t>CCF</w:t>
            </w:r>
            <w:r w:rsidRPr="00097A86">
              <w:rPr>
                <w:b/>
                <w:i/>
                <w:vertAlign w:val="subscript"/>
              </w:rPr>
              <w:t>r</w:t>
            </w:r>
            <w:r w:rsidRPr="00097A86">
              <w:rPr>
                <w:i/>
              </w:rPr>
              <w:t xml:space="preserve"> </w:t>
            </w:r>
            <w:r w:rsidRPr="00097A86">
              <w:t>has the same meaning as in step 3.</w:t>
            </w:r>
          </w:p>
          <w:p w14:paraId="420B6BB8" w14:textId="77777777" w:rsidR="008B618A" w:rsidRPr="00097A86" w:rsidRDefault="008B618A" w:rsidP="00617697">
            <w:pPr>
              <w:pStyle w:val="TableText0"/>
              <w:spacing w:line="240" w:lineRule="auto"/>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change in </w:t>
            </w:r>
            <w:r w:rsidRPr="00097A86">
              <w:rPr>
                <w:szCs w:val="22"/>
              </w:rPr>
              <w:t>stocks</w:t>
            </w:r>
            <w:r w:rsidRPr="00097A86">
              <w:rPr>
                <w:iCs/>
              </w:rPr>
              <w:t xml:space="preserve">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8B618A" w:rsidRPr="00097A86" w14:paraId="21B64CDF" w14:textId="77777777" w:rsidTr="00C20CC2">
        <w:trPr>
          <w:cantSplit/>
        </w:trPr>
        <w:tc>
          <w:tcPr>
            <w:tcW w:w="583" w:type="pct"/>
            <w:hideMark/>
          </w:tcPr>
          <w:p w14:paraId="174FE4B0" w14:textId="77777777" w:rsidR="008B618A" w:rsidRPr="00097A86" w:rsidRDefault="008B618A" w:rsidP="00617697">
            <w:pPr>
              <w:spacing w:before="60" w:after="60"/>
            </w:pPr>
            <w:r w:rsidRPr="00097A86">
              <w:t>Step 5</w:t>
            </w:r>
          </w:p>
        </w:tc>
        <w:tc>
          <w:tcPr>
            <w:tcW w:w="4417" w:type="pct"/>
            <w:hideMark/>
          </w:tcPr>
          <w:p w14:paraId="6F04F592" w14:textId="77777777" w:rsidR="008B618A" w:rsidRPr="00097A86" w:rsidRDefault="008B618A" w:rsidP="00617697">
            <w:pPr>
              <w:pStyle w:val="TableText0"/>
            </w:pPr>
            <w:r w:rsidRPr="00097A86">
              <w:t xml:space="preserve">Work out the emissions of carbon dioxide released from the operation of the activity during the year, measured in </w:t>
            </w:r>
            <w:r w:rsidRPr="00097A86">
              <w:rPr>
                <w:szCs w:val="22"/>
              </w:rPr>
              <w:t>CO</w:t>
            </w:r>
            <w:r w:rsidRPr="00097A86">
              <w:rPr>
                <w:szCs w:val="22"/>
                <w:vertAlign w:val="subscript"/>
              </w:rPr>
              <w:t>2</w:t>
            </w:r>
            <w:r w:rsidR="00097A86">
              <w:rPr>
                <w:szCs w:val="22"/>
              </w:rPr>
              <w:noBreakHyphen/>
            </w:r>
            <w:r w:rsidRPr="00097A86">
              <w:rPr>
                <w:szCs w:val="22"/>
              </w:rPr>
              <w:t>e</w:t>
            </w:r>
            <w:r w:rsidRPr="00097A86">
              <w:t xml:space="preserve"> tonnes, as follows:</w:t>
            </w:r>
          </w:p>
          <w:p w14:paraId="2C4DE6BD" w14:textId="77777777" w:rsidR="008B618A" w:rsidRPr="00097A86" w:rsidRDefault="008B618A"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4399AE83" w14:textId="77777777" w:rsidR="008B618A" w:rsidRPr="00097A86" w:rsidRDefault="008B618A"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p w14:paraId="79C8A6DC" w14:textId="77777777" w:rsidR="008B618A" w:rsidRPr="00097A86" w:rsidRDefault="008B618A" w:rsidP="00617697">
            <w:pPr>
              <w:pStyle w:val="TableP1a"/>
            </w:pPr>
            <w:r w:rsidRPr="00097A86">
              <w:tab/>
              <w:t>(c)</w:t>
            </w:r>
            <w:r w:rsidRPr="00097A86">
              <w:tab/>
              <w:t>multiply amount B by 3.664 to work out the amount of emissions released from the operation of the activity during the year.</w:t>
            </w:r>
          </w:p>
        </w:tc>
      </w:tr>
    </w:tbl>
    <w:p w14:paraId="69AFBFBB" w14:textId="77777777" w:rsidR="00B304D4" w:rsidRPr="00097A86" w:rsidRDefault="00B304D4" w:rsidP="00D22D3F">
      <w:pPr>
        <w:pStyle w:val="ActHead5"/>
      </w:pPr>
      <w:bookmarkStart w:id="454" w:name="_Toc13233886"/>
      <w:r w:rsidRPr="00097A86">
        <w:rPr>
          <w:rStyle w:val="CharSectno"/>
        </w:rPr>
        <w:t>4.56</w:t>
      </w:r>
      <w:r w:rsidR="00D22D3F" w:rsidRPr="00097A86">
        <w:t xml:space="preserve">  </w:t>
      </w:r>
      <w:r w:rsidRPr="00097A86">
        <w:t>Method 2</w:t>
      </w:r>
      <w:r w:rsidR="00D22D3F" w:rsidRPr="00097A86">
        <w:t>—</w:t>
      </w:r>
      <w:r w:rsidRPr="00097A86">
        <w:t>chemical or mineral production, other than carbide production, using a carbon reductant or carbon anode</w:t>
      </w:r>
      <w:bookmarkEnd w:id="454"/>
    </w:p>
    <w:p w14:paraId="165B5608" w14:textId="77777777" w:rsidR="00B304D4" w:rsidRPr="00097A86" w:rsidRDefault="00B304D4" w:rsidP="00D22D3F">
      <w:pPr>
        <w:pStyle w:val="subsection"/>
      </w:pPr>
      <w:r w:rsidRPr="00097A86">
        <w:tab/>
        <w:t>(1)</w:t>
      </w:r>
      <w:r w:rsidRPr="00097A86">
        <w:tab/>
        <w:t>Subject to this section, method 2 is the same as method 1 under section</w:t>
      </w:r>
      <w:r w:rsidR="00097A86">
        <w:t> </w:t>
      </w:r>
      <w:r w:rsidRPr="00097A86">
        <w:t>4.55.</w:t>
      </w:r>
    </w:p>
    <w:p w14:paraId="4900365D" w14:textId="77777777" w:rsidR="00B304D4" w:rsidRPr="00097A86" w:rsidRDefault="00B304D4" w:rsidP="00575D6E">
      <w:pPr>
        <w:pStyle w:val="subsection"/>
        <w:spacing w:after="60"/>
      </w:pPr>
      <w:r w:rsidRPr="00097A86">
        <w:tab/>
        <w:t>(2)</w:t>
      </w:r>
      <w:r w:rsidRPr="00097A86">
        <w:tab/>
        <w:t>In applying method 1 as method 2, step 4 in section</w:t>
      </w:r>
      <w:r w:rsidR="00097A86">
        <w:t> </w:t>
      </w:r>
      <w:r w:rsidRPr="00097A86">
        <w:t>4.55 is to be omitted and the following step 4 substituted.</w:t>
      </w:r>
    </w:p>
    <w:tbl>
      <w:tblPr>
        <w:tblW w:w="5000" w:type="pct"/>
        <w:tblLook w:val="04A0" w:firstRow="1" w:lastRow="0" w:firstColumn="1" w:lastColumn="0" w:noHBand="0" w:noVBand="1"/>
      </w:tblPr>
      <w:tblGrid>
        <w:gridCol w:w="969"/>
        <w:gridCol w:w="7344"/>
      </w:tblGrid>
      <w:tr w:rsidR="00575D6E" w:rsidRPr="00097A86" w14:paraId="6C1F5943" w14:textId="77777777" w:rsidTr="00C20CC2">
        <w:trPr>
          <w:cantSplit/>
          <w:trHeight w:val="74"/>
        </w:trPr>
        <w:tc>
          <w:tcPr>
            <w:tcW w:w="583" w:type="pct"/>
            <w:vMerge w:val="restart"/>
            <w:hideMark/>
          </w:tcPr>
          <w:p w14:paraId="2832763D" w14:textId="77777777" w:rsidR="00575D6E" w:rsidRPr="00097A86" w:rsidRDefault="00575D6E" w:rsidP="00617697">
            <w:pPr>
              <w:spacing w:before="60" w:after="60"/>
            </w:pPr>
            <w:r w:rsidRPr="00097A86">
              <w:t>Step 4</w:t>
            </w:r>
          </w:p>
        </w:tc>
        <w:tc>
          <w:tcPr>
            <w:tcW w:w="4417" w:type="pct"/>
            <w:hideMark/>
          </w:tcPr>
          <w:p w14:paraId="32EEBD94" w14:textId="77777777" w:rsidR="00575D6E" w:rsidRPr="00097A86" w:rsidRDefault="00575D6E" w:rsidP="00617697">
            <w:pPr>
              <w:pStyle w:val="TableText0"/>
              <w:rPr>
                <w:iCs/>
              </w:rPr>
            </w:pPr>
            <w:r w:rsidRPr="00097A86">
              <w:t xml:space="preserve">Work out the carbon content in the amount of the change in </w:t>
            </w:r>
            <w:r w:rsidRPr="00097A86">
              <w:rPr>
                <w:iCs/>
              </w:rPr>
              <w:t>stocks of inputs, products and waste by</w:t>
            </w:r>
            <w:r w:rsidR="00097A86">
              <w:rPr>
                <w:b/>
                <w:iCs/>
              </w:rPr>
              <w:noBreakHyphen/>
            </w:r>
            <w:r w:rsidRPr="00097A86">
              <w:rPr>
                <w:iCs/>
              </w:rPr>
              <w:t>products held within the boundary of the activity during the year, measured in tonnes of carbon, as follows:</w:t>
            </w:r>
          </w:p>
          <w:p w14:paraId="0BEBB22F" w14:textId="77777777" w:rsidR="00575D6E" w:rsidRPr="00097A86" w:rsidRDefault="009E1F90" w:rsidP="00BA13B0">
            <w:pPr>
              <w:pStyle w:val="Formula"/>
              <w:spacing w:before="120" w:after="120"/>
              <w:ind w:left="13"/>
            </w:pPr>
            <w:r>
              <w:rPr>
                <w:noProof/>
                <w:position w:val="-14"/>
              </w:rPr>
              <w:drawing>
                <wp:inline distT="0" distB="0" distL="0" distR="0" wp14:anchorId="1968A2AE" wp14:editId="5E35B9A3">
                  <wp:extent cx="4095750" cy="219075"/>
                  <wp:effectExtent l="0" t="0" r="0" b="9525"/>
                  <wp:docPr id="12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95750" cy="219075"/>
                          </a:xfrm>
                          <a:prstGeom prst="rect">
                            <a:avLst/>
                          </a:prstGeom>
                          <a:noFill/>
                          <a:ln>
                            <a:noFill/>
                          </a:ln>
                        </pic:spPr>
                      </pic:pic>
                    </a:graphicData>
                  </a:graphic>
                </wp:inline>
              </w:drawing>
            </w:r>
          </w:p>
        </w:tc>
      </w:tr>
      <w:tr w:rsidR="00575D6E" w:rsidRPr="00097A86" w14:paraId="6629DEA6" w14:textId="77777777" w:rsidTr="00C20CC2">
        <w:trPr>
          <w:cantSplit/>
          <w:trHeight w:val="74"/>
        </w:trPr>
        <w:tc>
          <w:tcPr>
            <w:tcW w:w="583" w:type="pct"/>
            <w:vMerge/>
            <w:hideMark/>
          </w:tcPr>
          <w:p w14:paraId="09B05548" w14:textId="77777777" w:rsidR="00575D6E" w:rsidRPr="00097A86" w:rsidRDefault="00575D6E" w:rsidP="00617697">
            <w:pPr>
              <w:spacing w:before="60" w:after="60"/>
              <w:rPr>
                <w:i/>
              </w:rPr>
            </w:pPr>
          </w:p>
        </w:tc>
        <w:tc>
          <w:tcPr>
            <w:tcW w:w="4417" w:type="pct"/>
            <w:hideMark/>
          </w:tcPr>
          <w:p w14:paraId="4CC45B09" w14:textId="77777777" w:rsidR="00575D6E" w:rsidRPr="00097A86" w:rsidRDefault="00575D6E" w:rsidP="00617697">
            <w:pPr>
              <w:pStyle w:val="TableText0"/>
            </w:pPr>
            <w:r w:rsidRPr="00097A86">
              <w:t>where:</w:t>
            </w:r>
          </w:p>
          <w:p w14:paraId="23E544BC" w14:textId="77777777" w:rsidR="00575D6E" w:rsidRPr="00097A86" w:rsidRDefault="00575D6E"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2D8A9952" w14:textId="77777777" w:rsidR="00575D6E" w:rsidRPr="00097A86" w:rsidRDefault="00575D6E" w:rsidP="00617697">
            <w:pPr>
              <w:pStyle w:val="TableText0"/>
              <w:rPr>
                <w:iCs/>
              </w:rPr>
            </w:pPr>
            <w:r w:rsidRPr="00097A86">
              <w:rPr>
                <w:b/>
                <w:i/>
              </w:rPr>
              <w:t>CCF</w:t>
            </w:r>
            <w:r w:rsidRPr="00097A86">
              <w:rPr>
                <w:b/>
                <w:i/>
                <w:vertAlign w:val="subscript"/>
              </w:rPr>
              <w:t>i</w:t>
            </w:r>
            <w:r w:rsidRPr="00097A86">
              <w:rPr>
                <w:i/>
              </w:rPr>
              <w:t xml:space="preserve"> </w:t>
            </w:r>
            <w:r w:rsidRPr="00097A86">
              <w:t>has the same meaning as in step 1.</w:t>
            </w:r>
          </w:p>
          <w:p w14:paraId="39289B08" w14:textId="77777777" w:rsidR="00575D6E" w:rsidRPr="00097A86" w:rsidRDefault="00575D6E"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65D05D3E" w14:textId="77777777" w:rsidR="00575D6E" w:rsidRPr="00097A86" w:rsidRDefault="00575D6E" w:rsidP="00617697">
            <w:pPr>
              <w:pStyle w:val="TableText0"/>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0595FD7A" w14:textId="77777777" w:rsidR="00575D6E" w:rsidRPr="00097A86" w:rsidRDefault="00575D6E" w:rsidP="00617697">
            <w:pPr>
              <w:pStyle w:val="TableText0"/>
              <w:rPr>
                <w:b/>
                <w:i/>
                <w:iCs/>
              </w:rPr>
            </w:pPr>
            <w:r w:rsidRPr="00097A86">
              <w:rPr>
                <w:b/>
                <w:i/>
              </w:rPr>
              <w:t>CCF</w:t>
            </w:r>
            <w:r w:rsidRPr="00097A86">
              <w:rPr>
                <w:b/>
                <w:i/>
                <w:vertAlign w:val="subscript"/>
              </w:rPr>
              <w:t>p</w:t>
            </w:r>
            <w:r w:rsidRPr="00097A86">
              <w:rPr>
                <w:i/>
              </w:rPr>
              <w:t xml:space="preserve"> </w:t>
            </w:r>
            <w:r w:rsidRPr="00097A86">
              <w:t>has the same meaning as in step 2.</w:t>
            </w:r>
          </w:p>
        </w:tc>
      </w:tr>
      <w:tr w:rsidR="00575D6E" w:rsidRPr="00097A86" w14:paraId="25706309" w14:textId="77777777" w:rsidTr="00C20CC2">
        <w:trPr>
          <w:cantSplit/>
        </w:trPr>
        <w:tc>
          <w:tcPr>
            <w:tcW w:w="583" w:type="pct"/>
            <w:vMerge/>
            <w:vAlign w:val="center"/>
            <w:hideMark/>
          </w:tcPr>
          <w:p w14:paraId="6F4F8262" w14:textId="77777777" w:rsidR="00575D6E" w:rsidRPr="00097A86" w:rsidRDefault="00575D6E" w:rsidP="00617697">
            <w:pPr>
              <w:rPr>
                <w:i/>
              </w:rPr>
            </w:pPr>
          </w:p>
        </w:tc>
        <w:tc>
          <w:tcPr>
            <w:tcW w:w="4417" w:type="pct"/>
            <w:hideMark/>
          </w:tcPr>
          <w:p w14:paraId="5849E203" w14:textId="77777777" w:rsidR="00575D6E" w:rsidRPr="00097A86" w:rsidRDefault="00575D6E" w:rsidP="00617697">
            <w:pPr>
              <w:pStyle w:val="TableText0"/>
              <w:spacing w:line="240" w:lineRule="auto"/>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575D6E" w:rsidRPr="00097A86" w14:paraId="369659D1" w14:textId="77777777" w:rsidTr="00C20CC2">
        <w:trPr>
          <w:cantSplit/>
        </w:trPr>
        <w:tc>
          <w:tcPr>
            <w:tcW w:w="583" w:type="pct"/>
          </w:tcPr>
          <w:p w14:paraId="639410DB" w14:textId="77777777" w:rsidR="00575D6E" w:rsidRPr="00097A86" w:rsidRDefault="00575D6E" w:rsidP="00617697">
            <w:pPr>
              <w:spacing w:before="60" w:after="60"/>
              <w:rPr>
                <w:i/>
              </w:rPr>
            </w:pPr>
          </w:p>
        </w:tc>
        <w:tc>
          <w:tcPr>
            <w:tcW w:w="4417" w:type="pct"/>
            <w:hideMark/>
          </w:tcPr>
          <w:p w14:paraId="4257916D" w14:textId="77777777" w:rsidR="00575D6E" w:rsidRPr="00097A86" w:rsidRDefault="00575D6E" w:rsidP="00617697">
            <w:pPr>
              <w:pStyle w:val="TableText0"/>
              <w:rPr>
                <w:b/>
                <w:i/>
              </w:rPr>
            </w:pPr>
            <w:r w:rsidRPr="00097A86">
              <w:rPr>
                <w:rFonts w:ascii="Symbol" w:hAnsi="Symbol"/>
                <w:b/>
                <w:i/>
              </w:rPr>
              <w:t></w:t>
            </w:r>
            <w:r w:rsidRPr="00097A86">
              <w:rPr>
                <w:b/>
                <w:i/>
                <w:vertAlign w:val="subscript"/>
              </w:rPr>
              <w:t>r</w:t>
            </w:r>
            <w:r w:rsidRPr="00097A86">
              <w:rPr>
                <w:i/>
              </w:rPr>
              <w:t xml:space="preserve"> </w:t>
            </w:r>
            <w:r w:rsidRPr="00097A86">
              <w:t>has the same meaning as in step 3.</w:t>
            </w:r>
          </w:p>
          <w:p w14:paraId="3472E3B5" w14:textId="77777777" w:rsidR="00575D6E" w:rsidRPr="00097A86" w:rsidRDefault="00575D6E" w:rsidP="00617697">
            <w:pPr>
              <w:pStyle w:val="TableText0"/>
              <w:rPr>
                <w:b/>
                <w:i/>
                <w:iCs/>
              </w:rPr>
            </w:pPr>
            <w:r w:rsidRPr="00097A86">
              <w:rPr>
                <w:b/>
                <w:i/>
              </w:rPr>
              <w:t>CCF</w:t>
            </w:r>
            <w:r w:rsidRPr="00097A86">
              <w:rPr>
                <w:b/>
                <w:i/>
                <w:vertAlign w:val="subscript"/>
              </w:rPr>
              <w:t>r</w:t>
            </w:r>
            <w:r w:rsidRPr="00097A86">
              <w:rPr>
                <w:i/>
              </w:rPr>
              <w:t xml:space="preserve"> </w:t>
            </w:r>
            <w:r w:rsidRPr="00097A86">
              <w:t>has the same meaning as in step 3.</w:t>
            </w:r>
          </w:p>
        </w:tc>
      </w:tr>
      <w:tr w:rsidR="00575D6E" w:rsidRPr="00097A86" w14:paraId="71BCF0ED" w14:textId="77777777" w:rsidTr="00C20CC2">
        <w:trPr>
          <w:cantSplit/>
        </w:trPr>
        <w:tc>
          <w:tcPr>
            <w:tcW w:w="583" w:type="pct"/>
          </w:tcPr>
          <w:p w14:paraId="41007035" w14:textId="77777777" w:rsidR="00575D6E" w:rsidRPr="00097A86" w:rsidRDefault="00575D6E" w:rsidP="00617697">
            <w:pPr>
              <w:spacing w:before="60" w:after="60"/>
              <w:rPr>
                <w:i/>
              </w:rPr>
            </w:pPr>
          </w:p>
        </w:tc>
        <w:tc>
          <w:tcPr>
            <w:tcW w:w="4417" w:type="pct"/>
            <w:hideMark/>
          </w:tcPr>
          <w:p w14:paraId="48DD6D75" w14:textId="77777777" w:rsidR="00575D6E" w:rsidRPr="00097A86" w:rsidRDefault="00575D6E" w:rsidP="00617697">
            <w:pPr>
              <w:pStyle w:val="TableText0"/>
              <w:spacing w:line="240" w:lineRule="auto"/>
              <w:rPr>
                <w:rFonts w:ascii="Symbol" w:hAnsi="Symbol"/>
                <w:b/>
                <w:i/>
              </w:rPr>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w:t>
            </w:r>
            <w:r w:rsidRPr="00097A86">
              <w:rPr>
                <w:szCs w:val="22"/>
              </w:rPr>
              <w:t>change</w:t>
            </w:r>
            <w:r w:rsidRPr="00097A86">
              <w:rPr>
                <w:iCs/>
              </w:rPr>
              <w:t xml:space="preserve"> in stocks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F43FC0" w:rsidRPr="00097A86" w14:paraId="32563815" w14:textId="77777777" w:rsidTr="00C20CC2">
        <w:trPr>
          <w:cantSplit/>
          <w:trHeight w:val="610"/>
        </w:trPr>
        <w:tc>
          <w:tcPr>
            <w:tcW w:w="583" w:type="pct"/>
          </w:tcPr>
          <w:p w14:paraId="7873A29D" w14:textId="77777777" w:rsidR="00F43FC0" w:rsidRPr="00097A86" w:rsidRDefault="00F43FC0" w:rsidP="00557E5E">
            <w:pPr>
              <w:spacing w:before="60" w:after="60"/>
              <w:rPr>
                <w:i/>
              </w:rPr>
            </w:pPr>
          </w:p>
        </w:tc>
        <w:tc>
          <w:tcPr>
            <w:tcW w:w="4417" w:type="pct"/>
            <w:hideMark/>
          </w:tcPr>
          <w:p w14:paraId="07325E3E" w14:textId="77777777" w:rsidR="00F43FC0" w:rsidRPr="00097A86" w:rsidRDefault="00F43FC0" w:rsidP="00557E5E">
            <w:pPr>
              <w:pStyle w:val="TableText0"/>
              <w:rPr>
                <w:rFonts w:ascii="Symbol" w:hAnsi="Symbol"/>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4E1F868B" wp14:editId="2A7964A7">
                      <wp:extent cx="257175" cy="352424"/>
                      <wp:effectExtent l="0" t="0" r="9525"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212"/>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088F" w14:textId="77777777" w:rsidR="00497E3C" w:rsidRDefault="00497E3C" w:rsidP="00F43FC0">
                                    <w:r>
                                      <w:rPr>
                                        <w:color w:val="000000"/>
                                        <w:position w:val="-12"/>
                                        <w:sz w:val="16"/>
                                        <w:szCs w:val="16"/>
                                        <w:lang w:val="en-US"/>
                                      </w:rPr>
                                      <w:t>1</w:t>
                                    </w:r>
                                  </w:p>
                                </w:txbxContent>
                              </wps:txbx>
                              <wps:bodyPr rot="0" vert="horz" wrap="none" lIns="0" tIns="0" rIns="0" bIns="0" anchor="t" anchorCtr="0" upright="1">
                                <a:noAutofit/>
                              </wps:bodyPr>
                            </wps:wsp>
                            <wps:wsp>
                              <wps:cNvPr id="77" name="Line 213"/>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214"/>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894B" w14:textId="77777777" w:rsidR="00497E3C" w:rsidRDefault="00497E3C" w:rsidP="00F43FC0">
                                    <w:pPr>
                                      <w:spacing w:line="240" w:lineRule="auto"/>
                                      <w:rPr>
                                        <w:position w:val="-12"/>
                                        <w:sz w:val="16"/>
                                        <w:szCs w:val="16"/>
                                      </w:rPr>
                                    </w:pPr>
                                    <w:r>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4E1F868B" id="Canvas 82" o:spid="_x0000_s1046" editas="canvas" style="width:20.25pt;height:27.75pt;mso-position-horizontal-relative:char;mso-position-vertical-relative:line" coordsize="257175,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dChgMAAMYMAAAOAAAAZHJzL2Uyb0RvYy54bWzsV92OozYUvq/Ud7B8z4AJEEDDrGaTSVVp&#10;2o52tw/ggAlWwUa2J2Ra9d17bGCSzCjqaLdd7cVyQQ7+OT4/33eOc/3u0LVoz5TmUhSYXAUYMVHK&#10;iotdgX//tPFSjLShoqKtFKzAT0zjdzc//nA99DkLZSPbiikESoTOh77AjTF97vu6bFhH9ZXsmYDJ&#10;WqqOGvhUO79SdADtXeuHQZD4g1RVr2TJtIbR9TiJb5z+umal+a2uNTOoLTDYZtxbuffWvv2ba5rv&#10;FO0bXk5m0M+woqNcwKHPqtbUUPSo+CtVHS+V1LI2V6XsfFnXvGTOB/CGBC+8WVGxp9o5U0J0ZgNB&#10;+g/1bnfWbiE3vG0hGj5oz+2Y/R0gPwwGhx6yo/vnPOkvO/9jQ3vm3NJ5+ev+QSFeFTiOMRK0A5B8&#10;gLRRsWsZCkloU2TPh4Uf+wdljdX9vSz/0EjIVQPr2K1ScmgYrcAuYteDEycb7IeGrWg7/CIr0E8f&#10;jXTZOtSqswohD+hQ4HSRhgCSJ9ASkGQCBzsYVMJkTKIFWFjaWZKkkZv2aT7r6JU2PzHZISsUWIEP&#10;7gy6v9fG2kTzeclZwGneirMBWDiOwMmw1c5ZGxya/sqC7C69SyMvCpM7LwrWa+92s4q8ZEOW8Xqx&#10;Xq3W5G97LonyhlcVEzavM7JJ9LbETRwbMfmMbS1bXll11iStdttVq9CeArM27nGRh5njMv/cDBcE&#10;8OWFSySMgvdh5m2SdOlFmyj2smWQegHJ3mdJEGXRenPu0j0X7MtdQkOBsziMXZZOjH7hW+Ce177R&#10;vOMGalfLO0DO8yKaWyDeiQpSTnNDeTvKJ6Gw5h9DAemeE+1ga5E6It4ctgfHjHTmwFZWT4BjJQFg&#10;AFSouyA0Uv2J0QA1rMACiixG7c8CmGDL3SyoWdjOAhUlbCywwWgUV2Ysi4+94rsG9BIXGCFvgS01&#10;dxC2TBptmDgGReErVYflcq4OLvshWcxBgcKwEg9qKhNvIjpZAMJGoi+yIImtqpFllulhEJNgonoC&#10;nB/Je4HnLSTTBeotPLeQI8FnA07JxwlXlzD2jVaOY3e5VBAus2DEm82BRd9XBBzcXF63o+gEdf93&#10;O5oQmiQLAOs5QsMsPDajZbT8F5B+b0bQs04q8NjERszNzJ/66/dmNN06LjWjbGbAt9mMwGx3V3YN&#10;drrY29v46berJce/Hzf/AAAA//8DAFBLAwQUAAYACAAAACEAoejN0twAAAADAQAADwAAAGRycy9k&#10;b3ducmV2LnhtbEyPTUvDQBCG74L/YRnBS7G7fqRozKYUQfCgxVbBHqfZMQlmZ0N228Z/79SLXgaG&#10;9+WZZ4r56Du1pyG2gS1cTg0o4iq4lmsL72+PF7egYkJ22AUmC98UYV6enhSYu3DgFe3XqVYC4Zij&#10;hSalPtc6Vg15jNPQE0v2GQaPSdah1m7Ag8B9p6+MmWmPLcuFBnt6aKj6Wu+8UO4mi8nyg59eluNz&#10;NVttzPXm1Vh7fjYu7kElGtNfGY76og6lOG3Djl1UnQV5JP1OyW5MBmprIcsy0GWh/7uXPwAAAP//&#10;AwBQSwECLQAUAAYACAAAACEAtoM4kv4AAADhAQAAEwAAAAAAAAAAAAAAAAAAAAAAW0NvbnRlbnRf&#10;VHlwZXNdLnhtbFBLAQItABQABgAIAAAAIQA4/SH/1gAAAJQBAAALAAAAAAAAAAAAAAAAAC8BAABf&#10;cmVscy8ucmVsc1BLAQItABQABgAIAAAAIQD97sdChgMAAMYMAAAOAAAAAAAAAAAAAAAAAC4CAABk&#10;cnMvZTJvRG9jLnhtbFBLAQItABQABgAIAAAAIQCh6M3S3AAAAAMBAAAPAAAAAAAAAAAAAAAAAOAF&#10;AABkcnMvZG93bnJldi54bWxQSwUGAAAAAAQABADzAAAA6QYAAAAA&#10;">
                      <v:shape id="_x0000_s1047" type="#_x0000_t75" style="position:absolute;width:257175;height:351790;visibility:visible;mso-wrap-style:square">
                        <v:fill o:detectmouseclick="t"/>
                        <v:path o:connecttype="none"/>
                      </v:shape>
                      <v:rect id="Rectangle 212" o:spid="_x0000_s1048"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inset="0,0,0,0">
                          <w:txbxContent>
                            <w:p w14:paraId="1830088F" w14:textId="77777777" w:rsidR="00497E3C" w:rsidRDefault="00497E3C" w:rsidP="00F43FC0">
                              <w:r>
                                <w:rPr>
                                  <w:color w:val="000000"/>
                                  <w:position w:val="-12"/>
                                  <w:sz w:val="16"/>
                                  <w:szCs w:val="16"/>
                                  <w:lang w:val="en-US"/>
                                </w:rPr>
                                <w:t>1</w:t>
                              </w:r>
                            </w:p>
                          </w:txbxContent>
                        </v:textbox>
                      </v:rect>
                      <v:line id="Line 213" o:spid="_x0000_s1049"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2eXMMAAADbAAAADwAAAGRycy9kb3ducmV2LnhtbESPQWvCQBSE70L/w/IKvemmHhpJXUWk&#10;0ng0ycXbM/tMQrNvw+5Wo7/eFQo9DjPzDbNcj6YXF3K+s6zgfZaAIK6t7rhRUJW76QKED8gae8uk&#10;4EYe1quXyRIzba98oEsRGhEh7DNU0IYwZFL6uiWDfmYH4uidrTMYonSN1A6vEW56OU+SD2mw47jQ&#10;4kDbluqf4tcouOflV3XMvw+n6n4s97bwLj0vlHp7HTefIAKN4T/81861gjSF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dnlzDAAAA2wAAAA8AAAAAAAAAAAAA&#10;AAAAoQIAAGRycy9kb3ducmV2LnhtbFBLBQYAAAAABAAEAPkAAACRAwAAAAA=&#10;" strokeweight="28e-5mm"/>
                      <v:rect id="Rectangle 214" o:spid="_x0000_s1050"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exMAA&#10;AADbAAAADwAAAGRycy9kb3ducmV2LnhtbERPzWoCMRC+F3yHMEJvNbsitq5GUUEsggetDzBsxs3q&#10;ZrImUbdv3xyEHj++/9mis414kA+1YwX5IANBXDpdc6Xg9LP5+AIRIrLGxjEp+KUAi3nvbYaFdk8+&#10;0OMYK5FCOBSowMTYFlKG0pDFMHAtceLOzluMCfpKao/PFG4bOcyysbRYc2ow2NLaUHk93q0CWm0P&#10;k8symL30ecj3u/FktL0p9d7vllMQkbr4L365v7WCzzQ2fU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4exMAAAADbAAAADwAAAAAAAAAAAAAAAACYAgAAZHJzL2Rvd25y&#10;ZXYueG1sUEsFBgAAAAAEAAQA9QAAAIUDAAAAAA==&#10;" filled="f" stroked="f">
                        <v:textbox inset="0,0,0,0">
                          <w:txbxContent>
                            <w:p w14:paraId="7349894B" w14:textId="77777777" w:rsidR="00497E3C" w:rsidRDefault="00497E3C" w:rsidP="00F43FC0">
                              <w:pPr>
                                <w:spacing w:line="240" w:lineRule="auto"/>
                                <w:rPr>
                                  <w:position w:val="-12"/>
                                  <w:sz w:val="16"/>
                                  <w:szCs w:val="16"/>
                                </w:rPr>
                              </w:pPr>
                              <w:r>
                                <w:rPr>
                                  <w:color w:val="000000"/>
                                  <w:position w:val="-12"/>
                                  <w:sz w:val="16"/>
                                  <w:szCs w:val="16"/>
                                  <w:lang w:val="en-US"/>
                                </w:rPr>
                                <w:t>3.664</w:t>
                              </w:r>
                            </w:p>
                          </w:txbxContent>
                        </v:textbox>
                      </v:rect>
                      <w10:anchorlock/>
                    </v:group>
                  </w:pict>
                </mc:Fallback>
              </mc:AlternateContent>
            </w:r>
            <w:r w:rsidRPr="00097A86">
              <w:t>for converting the mass of carbon dioxide to a mass of carbon.</w:t>
            </w:r>
          </w:p>
        </w:tc>
      </w:tr>
      <w:tr w:rsidR="00575D6E" w:rsidRPr="00097A86" w14:paraId="51852997" w14:textId="77777777" w:rsidTr="00C20CC2">
        <w:trPr>
          <w:cantSplit/>
        </w:trPr>
        <w:tc>
          <w:tcPr>
            <w:tcW w:w="583" w:type="pct"/>
          </w:tcPr>
          <w:p w14:paraId="30B24304" w14:textId="77777777" w:rsidR="00575D6E" w:rsidRPr="00097A86" w:rsidRDefault="00575D6E" w:rsidP="00617697">
            <w:pPr>
              <w:spacing w:before="60" w:after="60"/>
              <w:rPr>
                <w:i/>
              </w:rPr>
            </w:pPr>
          </w:p>
        </w:tc>
        <w:tc>
          <w:tcPr>
            <w:tcW w:w="4417" w:type="pct"/>
            <w:hideMark/>
          </w:tcPr>
          <w:p w14:paraId="41C1AB92" w14:textId="77777777" w:rsidR="00575D6E" w:rsidRPr="00097A86" w:rsidRDefault="00575D6E" w:rsidP="00617697">
            <w:pPr>
              <w:pStyle w:val="TableText0"/>
              <w:rPr>
                <w:iCs/>
                <w:szCs w:val="22"/>
              </w:rPr>
            </w:pPr>
            <w:r w:rsidRPr="00097A86">
              <w:rPr>
                <w:b/>
                <w:i/>
                <w:szCs w:val="22"/>
              </w:rPr>
              <w:t xml:space="preserve">γ </w:t>
            </w:r>
            <w:r w:rsidRPr="00097A86">
              <w:rPr>
                <w:szCs w:val="22"/>
              </w:rPr>
              <w:t>is the factor 1.861 ×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p w14:paraId="3DDFE5F1" w14:textId="77777777" w:rsidR="00575D6E" w:rsidRPr="00097A86" w:rsidRDefault="00575D6E" w:rsidP="00617697">
            <w:pPr>
              <w:pStyle w:val="TableText0"/>
              <w:spacing w:line="240" w:lineRule="auto"/>
              <w:rPr>
                <w:rFonts w:ascii="Symbol" w:hAnsi="Symbol"/>
                <w:b/>
                <w:i/>
                <w:szCs w:val="22"/>
              </w:rPr>
            </w:pPr>
            <w:r w:rsidRPr="00097A86">
              <w:rPr>
                <w:b/>
                <w:i/>
                <w:szCs w:val="22"/>
              </w:rPr>
              <w:t>RCCS</w:t>
            </w:r>
            <w:r w:rsidRPr="00097A86">
              <w:rPr>
                <w:b/>
                <w:i/>
                <w:vertAlign w:val="subscript"/>
              </w:rPr>
              <w:t>CO</w:t>
            </w:r>
            <w:r w:rsidRPr="00097A86">
              <w:rPr>
                <w:b/>
                <w:i/>
                <w:position w:val="-4"/>
                <w:vertAlign w:val="subscript"/>
              </w:rPr>
              <w:t>2</w:t>
            </w:r>
            <w:r w:rsidRPr="00097A86">
              <w:rPr>
                <w:szCs w:val="22"/>
              </w:rPr>
              <w:t xml:space="preserve"> is carbon dioxide captured for permanent storage, measured in cubic metres in accordance with Division</w:t>
            </w:r>
            <w:r w:rsidR="00097A86">
              <w:rPr>
                <w:szCs w:val="22"/>
              </w:rPr>
              <w:t> </w:t>
            </w:r>
            <w:r w:rsidRPr="00097A86">
              <w:rPr>
                <w:szCs w:val="22"/>
              </w:rPr>
              <w:t>1.2.3.</w:t>
            </w:r>
          </w:p>
        </w:tc>
      </w:tr>
    </w:tbl>
    <w:p w14:paraId="7C9953ED" w14:textId="77777777" w:rsidR="00B304D4" w:rsidRPr="00097A86" w:rsidRDefault="00B304D4" w:rsidP="00D22D3F">
      <w:pPr>
        <w:pStyle w:val="subsection"/>
      </w:pPr>
      <w:r w:rsidRPr="00097A86">
        <w:tab/>
        <w:t>(3)</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2135B5A4" w14:textId="77777777" w:rsidR="00B304D4" w:rsidRPr="00097A86" w:rsidRDefault="00B304D4" w:rsidP="00D22D3F">
      <w:pPr>
        <w:pStyle w:val="subsection"/>
      </w:pPr>
      <w:r w:rsidRPr="00097A86">
        <w:tab/>
        <w:t>(4)</w:t>
      </w:r>
      <w:r w:rsidRPr="00097A86">
        <w:tab/>
        <w:t>The sampling and analysis is to be carried out using the sampling and analysis provided for in Divisions</w:t>
      </w:r>
      <w:r w:rsidR="00097A86">
        <w:t> </w:t>
      </w:r>
      <w:r w:rsidRPr="00097A86">
        <w:t>2.2.3, 2.3.3 and 2.4.3 that apply to the combustion of solid, gaseous and liquid fuels.</w:t>
      </w:r>
    </w:p>
    <w:p w14:paraId="248628E0" w14:textId="77777777" w:rsidR="00B304D4" w:rsidRPr="00097A86" w:rsidRDefault="00B304D4" w:rsidP="00D22D3F">
      <w:pPr>
        <w:pStyle w:val="ActHead5"/>
      </w:pPr>
      <w:bookmarkStart w:id="455" w:name="_Toc13233887"/>
      <w:r w:rsidRPr="00097A86">
        <w:rPr>
          <w:rStyle w:val="CharSectno"/>
        </w:rPr>
        <w:t>4.57</w:t>
      </w:r>
      <w:r w:rsidR="00D22D3F" w:rsidRPr="00097A86">
        <w:t xml:space="preserve">  </w:t>
      </w:r>
      <w:r w:rsidRPr="00097A86">
        <w:t>Method 3</w:t>
      </w:r>
      <w:r w:rsidR="00D22D3F" w:rsidRPr="00097A86">
        <w:t>—</w:t>
      </w:r>
      <w:r w:rsidRPr="00097A86">
        <w:t>chemical or mineral production, other than carbide production, using a carbon reductant or carbon anode</w:t>
      </w:r>
      <w:bookmarkEnd w:id="455"/>
    </w:p>
    <w:p w14:paraId="49DADA1D" w14:textId="77777777" w:rsidR="00B304D4" w:rsidRPr="00097A86" w:rsidRDefault="00B304D4" w:rsidP="00D22D3F">
      <w:pPr>
        <w:pStyle w:val="subsection"/>
      </w:pPr>
      <w:r w:rsidRPr="00097A86">
        <w:tab/>
        <w:t>(1)</w:t>
      </w:r>
      <w:r w:rsidRPr="00097A86">
        <w:tab/>
        <w:t>Subject to this section, method 3 is the same as method 2 under section</w:t>
      </w:r>
      <w:r w:rsidR="00097A86">
        <w:t> </w:t>
      </w:r>
      <w:r w:rsidRPr="00097A86">
        <w:t>4.56.</w:t>
      </w:r>
    </w:p>
    <w:p w14:paraId="6BEE61F9" w14:textId="77777777" w:rsidR="00B304D4" w:rsidRPr="00097A86" w:rsidRDefault="00B304D4" w:rsidP="00D22D3F">
      <w:pPr>
        <w:pStyle w:val="subsection"/>
      </w:pPr>
      <w:r w:rsidRPr="00097A86">
        <w:tab/>
        <w:t>(2)</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33318CB0" w14:textId="77777777" w:rsidR="00B304D4" w:rsidRPr="00097A86" w:rsidRDefault="00B304D4" w:rsidP="00D22D3F">
      <w:pPr>
        <w:pStyle w:val="subsection"/>
      </w:pPr>
      <w:r w:rsidRPr="00097A86">
        <w:tab/>
        <w:t>(3)</w:t>
      </w:r>
      <w:r w:rsidRPr="00097A86">
        <w:tab/>
        <w:t>The sampling and analysis is to be carried out using the methods set out in Divisions</w:t>
      </w:r>
      <w:r w:rsidR="00097A86">
        <w:t> </w:t>
      </w:r>
      <w:r w:rsidRPr="00097A86">
        <w:t>2.2.4, 2.3.4 and 2.4.4 that apply to the combustion of solid, gaseous and liquid fuels.</w:t>
      </w:r>
    </w:p>
    <w:p w14:paraId="0EEEFFE7" w14:textId="77777777" w:rsidR="00977594" w:rsidRPr="00097A86" w:rsidRDefault="00977594" w:rsidP="00D22D3F">
      <w:pPr>
        <w:pStyle w:val="ActHead3"/>
        <w:pageBreakBefore/>
      </w:pPr>
      <w:bookmarkStart w:id="456" w:name="_Toc13233888"/>
      <w:r w:rsidRPr="00097A86">
        <w:rPr>
          <w:rStyle w:val="CharDivNo"/>
        </w:rPr>
        <w:lastRenderedPageBreak/>
        <w:t>Division</w:t>
      </w:r>
      <w:r w:rsidR="00097A86">
        <w:rPr>
          <w:rStyle w:val="CharDivNo"/>
        </w:rPr>
        <w:t> </w:t>
      </w:r>
      <w:r w:rsidRPr="00097A86">
        <w:rPr>
          <w:rStyle w:val="CharDivNo"/>
        </w:rPr>
        <w:t>4.3.6</w:t>
      </w:r>
      <w:r w:rsidR="00D22D3F" w:rsidRPr="00097A86">
        <w:t>—</w:t>
      </w:r>
      <w:r w:rsidRPr="00097A86">
        <w:rPr>
          <w:rStyle w:val="CharDivText"/>
        </w:rPr>
        <w:t>Sodium cyanide production</w:t>
      </w:r>
      <w:bookmarkEnd w:id="456"/>
    </w:p>
    <w:p w14:paraId="01DBEABB" w14:textId="77777777" w:rsidR="00977594" w:rsidRPr="00097A86" w:rsidRDefault="00977594" w:rsidP="00D22D3F">
      <w:pPr>
        <w:pStyle w:val="ActHead5"/>
      </w:pPr>
      <w:bookmarkStart w:id="457" w:name="_Toc13233889"/>
      <w:r w:rsidRPr="00097A86">
        <w:rPr>
          <w:rStyle w:val="CharSectno"/>
        </w:rPr>
        <w:t>4.58</w:t>
      </w:r>
      <w:r w:rsidR="00D22D3F" w:rsidRPr="00097A86">
        <w:t xml:space="preserve">  </w:t>
      </w:r>
      <w:r w:rsidRPr="00097A86">
        <w:t>Application</w:t>
      </w:r>
      <w:bookmarkEnd w:id="457"/>
    </w:p>
    <w:p w14:paraId="6CC8C90B" w14:textId="77777777" w:rsidR="00977594" w:rsidRPr="00097A86" w:rsidRDefault="00977594" w:rsidP="00D22D3F">
      <w:pPr>
        <w:pStyle w:val="subsection"/>
      </w:pPr>
      <w:r w:rsidRPr="00097A86">
        <w:tab/>
      </w:r>
      <w:r w:rsidRPr="00097A86">
        <w:tab/>
        <w:t>This Division applies to emissions of carbon dioxide or nitrous oxide from activities producing sodium cyanide.</w:t>
      </w:r>
    </w:p>
    <w:p w14:paraId="6DD5A547" w14:textId="77777777" w:rsidR="00977594" w:rsidRPr="00097A86" w:rsidRDefault="00977594" w:rsidP="00D22D3F">
      <w:pPr>
        <w:pStyle w:val="ActHead5"/>
      </w:pPr>
      <w:bookmarkStart w:id="458" w:name="_Toc13233890"/>
      <w:r w:rsidRPr="00097A86">
        <w:rPr>
          <w:rStyle w:val="CharSectno"/>
        </w:rPr>
        <w:t>4.59</w:t>
      </w:r>
      <w:r w:rsidR="00D22D3F" w:rsidRPr="00097A86">
        <w:t xml:space="preserve">  </w:t>
      </w:r>
      <w:r w:rsidRPr="00097A86">
        <w:t>Available methods</w:t>
      </w:r>
      <w:bookmarkEnd w:id="458"/>
    </w:p>
    <w:p w14:paraId="3832967F" w14:textId="77777777" w:rsidR="00977594" w:rsidRPr="00097A86" w:rsidRDefault="00977594" w:rsidP="00D22D3F">
      <w:pPr>
        <w:pStyle w:val="subsection"/>
      </w:pPr>
      <w:r w:rsidRPr="00097A86">
        <w:tab/>
        <w:t>(1)</w:t>
      </w:r>
      <w:r w:rsidRPr="00097A86">
        <w:tab/>
        <w:t>Subject to section</w:t>
      </w:r>
      <w:r w:rsidR="00097A86">
        <w:t> </w:t>
      </w:r>
      <w:r w:rsidRPr="00097A86">
        <w:t>1.18, one of the following methods must be used for estimating emissions released during a reporting year from the operation of a facility that is constituted by the production of sodium cyanide:</w:t>
      </w:r>
    </w:p>
    <w:p w14:paraId="07C449CD" w14:textId="77777777" w:rsidR="00977594" w:rsidRPr="00097A86" w:rsidRDefault="00977594" w:rsidP="00D22D3F">
      <w:pPr>
        <w:pStyle w:val="paragraph"/>
      </w:pPr>
      <w:r w:rsidRPr="00097A86">
        <w:tab/>
        <w:t>(a)</w:t>
      </w:r>
      <w:r w:rsidRPr="00097A86">
        <w:tab/>
        <w:t>method 1 under section</w:t>
      </w:r>
      <w:r w:rsidR="00097A86">
        <w:t> </w:t>
      </w:r>
      <w:r w:rsidRPr="00097A86">
        <w:t>4.55;</w:t>
      </w:r>
    </w:p>
    <w:p w14:paraId="104FF1C7" w14:textId="77777777" w:rsidR="00977594" w:rsidRPr="00097A86" w:rsidRDefault="00977594" w:rsidP="00D22D3F">
      <w:pPr>
        <w:pStyle w:val="paragraph"/>
      </w:pPr>
      <w:r w:rsidRPr="00097A86">
        <w:tab/>
        <w:t>(b)</w:t>
      </w:r>
      <w:r w:rsidRPr="00097A86">
        <w:tab/>
        <w:t>method 2 under section</w:t>
      </w:r>
      <w:r w:rsidR="00097A86">
        <w:t> </w:t>
      </w:r>
      <w:r w:rsidRPr="00097A86">
        <w:t>4.56;</w:t>
      </w:r>
    </w:p>
    <w:p w14:paraId="65FB0A86" w14:textId="77777777" w:rsidR="00977594" w:rsidRPr="00097A86" w:rsidRDefault="00977594" w:rsidP="00D22D3F">
      <w:pPr>
        <w:pStyle w:val="paragraph"/>
      </w:pPr>
      <w:r w:rsidRPr="00097A86">
        <w:tab/>
        <w:t>(c)</w:t>
      </w:r>
      <w:r w:rsidRPr="00097A86">
        <w:tab/>
        <w:t>method 3 under section</w:t>
      </w:r>
      <w:r w:rsidR="00097A86">
        <w:t> </w:t>
      </w:r>
      <w:r w:rsidRPr="00097A86">
        <w:t>4.57;</w:t>
      </w:r>
    </w:p>
    <w:p w14:paraId="6ACFAF76" w14:textId="77777777" w:rsidR="00977594" w:rsidRPr="00097A86" w:rsidRDefault="00977594" w:rsidP="00D22D3F">
      <w:pPr>
        <w:pStyle w:val="paragraph"/>
      </w:pPr>
      <w:r w:rsidRPr="00097A86">
        <w:tab/>
        <w:t>(d)</w:t>
      </w:r>
      <w:r w:rsidRPr="00097A86">
        <w:tab/>
        <w:t>method 4 under Part</w:t>
      </w:r>
      <w:r w:rsidR="00097A86">
        <w:t> </w:t>
      </w:r>
      <w:r w:rsidRPr="00097A86">
        <w:t>1.3.</w:t>
      </w:r>
    </w:p>
    <w:p w14:paraId="3C8B3A94" w14:textId="77777777" w:rsidR="00977594" w:rsidRPr="00097A86" w:rsidRDefault="00977594" w:rsidP="00D22D3F">
      <w:pPr>
        <w:pStyle w:val="subsection"/>
      </w:pPr>
      <w:r w:rsidRPr="00097A86">
        <w:tab/>
        <w:t>(2)</w:t>
      </w:r>
      <w:r w:rsidRPr="00097A86">
        <w:tab/>
        <w:t>For estimating incidental emissions released during a reporting year from the operation of a facility that is constituted by the production of sodium cyanide, another method may be used that is consistent with the principles mentioned in section</w:t>
      </w:r>
      <w:r w:rsidR="00097A86">
        <w:t> </w:t>
      </w:r>
      <w:r w:rsidRPr="00097A86">
        <w:t>1.13.</w:t>
      </w:r>
    </w:p>
    <w:p w14:paraId="44530B38" w14:textId="77777777" w:rsidR="003F0D4E" w:rsidRPr="00097A86" w:rsidRDefault="003F0D4E" w:rsidP="00D22D3F">
      <w:pPr>
        <w:pStyle w:val="ActHead2"/>
        <w:pageBreakBefore/>
      </w:pPr>
      <w:bookmarkStart w:id="459" w:name="_Toc13233891"/>
      <w:r w:rsidRPr="00097A86">
        <w:rPr>
          <w:rStyle w:val="CharPartNo"/>
        </w:rPr>
        <w:lastRenderedPageBreak/>
        <w:t>Part</w:t>
      </w:r>
      <w:r w:rsidR="00097A86">
        <w:rPr>
          <w:rStyle w:val="CharPartNo"/>
        </w:rPr>
        <w:t> </w:t>
      </w:r>
      <w:r w:rsidRPr="00097A86">
        <w:rPr>
          <w:rStyle w:val="CharPartNo"/>
        </w:rPr>
        <w:t>4.4</w:t>
      </w:r>
      <w:r w:rsidR="00D22D3F" w:rsidRPr="00097A86">
        <w:t>—</w:t>
      </w:r>
      <w:r w:rsidRPr="00097A86">
        <w:rPr>
          <w:rStyle w:val="CharPartText"/>
        </w:rPr>
        <w:t>Industrial processes</w:t>
      </w:r>
      <w:r w:rsidR="00D22D3F" w:rsidRPr="00097A86">
        <w:rPr>
          <w:rStyle w:val="CharPartText"/>
        </w:rPr>
        <w:t>—</w:t>
      </w:r>
      <w:r w:rsidRPr="00097A86">
        <w:rPr>
          <w:rStyle w:val="CharPartText"/>
        </w:rPr>
        <w:t>metal industry</w:t>
      </w:r>
      <w:bookmarkEnd w:id="459"/>
    </w:p>
    <w:p w14:paraId="40E239D0" w14:textId="77777777" w:rsidR="008D5B11" w:rsidRPr="00097A86" w:rsidRDefault="008D5B11" w:rsidP="00D22D3F">
      <w:pPr>
        <w:pStyle w:val="ActHead3"/>
      </w:pPr>
      <w:bookmarkStart w:id="460" w:name="_Toc13233892"/>
      <w:r w:rsidRPr="00097A86">
        <w:rPr>
          <w:rStyle w:val="CharDivNo"/>
        </w:rPr>
        <w:t>Division</w:t>
      </w:r>
      <w:r w:rsidR="00097A86">
        <w:rPr>
          <w:rStyle w:val="CharDivNo"/>
        </w:rPr>
        <w:t> </w:t>
      </w:r>
      <w:r w:rsidRPr="00097A86">
        <w:rPr>
          <w:rStyle w:val="CharDivNo"/>
        </w:rPr>
        <w:t>4.4.1</w:t>
      </w:r>
      <w:r w:rsidR="00D22D3F" w:rsidRPr="00097A86">
        <w:t>—</w:t>
      </w:r>
      <w:r w:rsidRPr="00097A86">
        <w:rPr>
          <w:rStyle w:val="CharDivText"/>
        </w:rPr>
        <w:t>Iron, steel or other metal production using an integrated metalworks</w:t>
      </w:r>
      <w:bookmarkEnd w:id="460"/>
    </w:p>
    <w:p w14:paraId="41D0AB91" w14:textId="77777777" w:rsidR="00B304D4" w:rsidRPr="00097A86" w:rsidRDefault="00B304D4" w:rsidP="00D22D3F">
      <w:pPr>
        <w:pStyle w:val="ActHead5"/>
      </w:pPr>
      <w:bookmarkStart w:id="461" w:name="_Toc13233893"/>
      <w:r w:rsidRPr="00097A86">
        <w:rPr>
          <w:rStyle w:val="CharSectno"/>
        </w:rPr>
        <w:t>4.63</w:t>
      </w:r>
      <w:r w:rsidR="00D22D3F" w:rsidRPr="00097A86">
        <w:t xml:space="preserve">  </w:t>
      </w:r>
      <w:r w:rsidRPr="00097A86">
        <w:t>Application</w:t>
      </w:r>
      <w:bookmarkEnd w:id="461"/>
    </w:p>
    <w:p w14:paraId="7D52ACB1" w14:textId="77777777" w:rsidR="00B304D4" w:rsidRPr="00097A86" w:rsidRDefault="00B304D4" w:rsidP="00D22D3F">
      <w:pPr>
        <w:pStyle w:val="subsection"/>
      </w:pPr>
      <w:r w:rsidRPr="00097A86">
        <w:tab/>
      </w:r>
      <w:r w:rsidRPr="00097A86">
        <w:tab/>
        <w:t>This Division applies to emissions from production of the following:</w:t>
      </w:r>
    </w:p>
    <w:p w14:paraId="67B80C64" w14:textId="77777777" w:rsidR="00B304D4" w:rsidRPr="00097A86" w:rsidRDefault="00B304D4" w:rsidP="00D22D3F">
      <w:pPr>
        <w:pStyle w:val="paragraph"/>
      </w:pPr>
      <w:r w:rsidRPr="00097A86">
        <w:tab/>
        <w:t>(a)</w:t>
      </w:r>
      <w:r w:rsidRPr="00097A86">
        <w:tab/>
        <w:t>iron;</w:t>
      </w:r>
    </w:p>
    <w:p w14:paraId="1AC04F8B" w14:textId="77777777" w:rsidR="00B304D4" w:rsidRPr="00097A86" w:rsidRDefault="00B304D4" w:rsidP="00D22D3F">
      <w:pPr>
        <w:pStyle w:val="paragraph"/>
      </w:pPr>
      <w:r w:rsidRPr="00097A86">
        <w:tab/>
        <w:t>(b)</w:t>
      </w:r>
      <w:r w:rsidRPr="00097A86">
        <w:tab/>
        <w:t>steel;</w:t>
      </w:r>
    </w:p>
    <w:p w14:paraId="5EB83A98" w14:textId="77777777" w:rsidR="00B304D4" w:rsidRPr="00097A86" w:rsidRDefault="00B304D4" w:rsidP="00D22D3F">
      <w:pPr>
        <w:pStyle w:val="paragraph"/>
      </w:pPr>
      <w:r w:rsidRPr="00097A86">
        <w:tab/>
        <w:t>(c)</w:t>
      </w:r>
      <w:r w:rsidRPr="00097A86">
        <w:tab/>
        <w:t>any metals produced using integrated metalworks.</w:t>
      </w:r>
    </w:p>
    <w:p w14:paraId="5CACD4C6" w14:textId="77777777" w:rsidR="003F0D4E" w:rsidRPr="00097A86" w:rsidRDefault="003F0D4E" w:rsidP="00D22D3F">
      <w:pPr>
        <w:pStyle w:val="ActHead5"/>
      </w:pPr>
      <w:bookmarkStart w:id="462" w:name="_Toc13233894"/>
      <w:r w:rsidRPr="00097A86">
        <w:rPr>
          <w:rStyle w:val="CharSectno"/>
        </w:rPr>
        <w:t>4.64</w:t>
      </w:r>
      <w:r w:rsidR="00D22D3F" w:rsidRPr="00097A86">
        <w:t xml:space="preserve">  </w:t>
      </w:r>
      <w:r w:rsidRPr="00097A86">
        <w:t>Purpose of Division</w:t>
      </w:r>
      <w:bookmarkEnd w:id="462"/>
    </w:p>
    <w:p w14:paraId="6D6B9DEC" w14:textId="77777777" w:rsidR="008D5B11" w:rsidRPr="00097A86" w:rsidRDefault="008D5B11" w:rsidP="00D22D3F">
      <w:pPr>
        <w:pStyle w:val="subsection"/>
      </w:pPr>
      <w:r w:rsidRPr="00097A86">
        <w:tab/>
        <w:t>(1)</w:t>
      </w:r>
      <w:r w:rsidRPr="00097A86">
        <w:tab/>
        <w:t>This Division applies to determining emissions released during a year from the operation of a facility that is constituted by an activity that produces a metal, for example, an integrated metalworks.</w:t>
      </w:r>
    </w:p>
    <w:p w14:paraId="54965973" w14:textId="77777777" w:rsidR="008D5B11" w:rsidRPr="00097A86" w:rsidRDefault="008D5B11" w:rsidP="00D22D3F">
      <w:pPr>
        <w:pStyle w:val="subsection"/>
      </w:pPr>
      <w:r w:rsidRPr="00097A86">
        <w:tab/>
        <w:t>(2)</w:t>
      </w:r>
      <w:r w:rsidRPr="00097A86">
        <w:tab/>
        <w:t xml:space="preserve">An </w:t>
      </w:r>
      <w:r w:rsidRPr="00097A86">
        <w:rPr>
          <w:b/>
          <w:i/>
        </w:rPr>
        <w:t>integrated metalworks</w:t>
      </w:r>
      <w:r w:rsidRPr="00097A86">
        <w:t xml:space="preserve"> means a metalworks that produces coke and a metal (for example, iron or steel).</w:t>
      </w:r>
    </w:p>
    <w:p w14:paraId="26F26E37" w14:textId="77777777" w:rsidR="003F0D4E" w:rsidRPr="00097A86" w:rsidRDefault="003F0D4E" w:rsidP="00D22D3F">
      <w:pPr>
        <w:pStyle w:val="subsection"/>
      </w:pPr>
      <w:r w:rsidRPr="00097A86">
        <w:tab/>
        <w:t>(3)</w:t>
      </w:r>
      <w:r w:rsidRPr="00097A86">
        <w:tab/>
        <w:t xml:space="preserve">The emissions from the activity are to be worked out as a total of emissions released from the production of </w:t>
      </w:r>
      <w:r w:rsidR="008D5B11" w:rsidRPr="00097A86">
        <w:t>a metal</w:t>
      </w:r>
      <w:r w:rsidRPr="00097A86">
        <w:t xml:space="preserve"> and from all other emissions released from the operation of the activity (including the production of coke if the activity is an integrated </w:t>
      </w:r>
      <w:r w:rsidR="008D5B11" w:rsidRPr="00097A86">
        <w:t>metalworks).</w:t>
      </w:r>
    </w:p>
    <w:p w14:paraId="3D7AFADD" w14:textId="77777777" w:rsidR="00272544" w:rsidRPr="00097A86" w:rsidRDefault="00272544" w:rsidP="00D22D3F">
      <w:pPr>
        <w:pStyle w:val="subsection"/>
      </w:pPr>
      <w:r w:rsidRPr="00097A86">
        <w:tab/>
        <w:t>(4)</w:t>
      </w:r>
      <w:r w:rsidRPr="00097A86">
        <w:tab/>
        <w:t>However, the amount of emissions to be determined for this source is only the amount of emissions from the use of coke as a carbon reductant in the metal production estimated in accordance with section</w:t>
      </w:r>
      <w:r w:rsidR="00097A86">
        <w:t> </w:t>
      </w:r>
      <w:r w:rsidRPr="00097A86">
        <w:t>2.69.</w:t>
      </w:r>
    </w:p>
    <w:p w14:paraId="31F6C3AE" w14:textId="77777777" w:rsidR="00272544" w:rsidRPr="00097A86" w:rsidRDefault="00D22D3F" w:rsidP="00D22D3F">
      <w:pPr>
        <w:pStyle w:val="notetext"/>
      </w:pPr>
      <w:r w:rsidRPr="00097A86">
        <w:t>Note:</w:t>
      </w:r>
      <w:r w:rsidRPr="00097A86">
        <w:tab/>
      </w:r>
      <w:r w:rsidR="00272544" w:rsidRPr="00097A86">
        <w:t>The amount of emissions to be determined for other activities is as provided for in other provisions of this Determination.</w:t>
      </w:r>
    </w:p>
    <w:p w14:paraId="62BDCA6B" w14:textId="77777777" w:rsidR="008D5B11" w:rsidRPr="00097A86" w:rsidRDefault="008D5B11" w:rsidP="00D22D3F">
      <w:pPr>
        <w:pStyle w:val="ActHead5"/>
      </w:pPr>
      <w:bookmarkStart w:id="463" w:name="_Toc13233895"/>
      <w:r w:rsidRPr="00097A86">
        <w:rPr>
          <w:rStyle w:val="CharSectno"/>
        </w:rPr>
        <w:t>4.65</w:t>
      </w:r>
      <w:r w:rsidR="00D22D3F" w:rsidRPr="00097A86">
        <w:t xml:space="preserve">  </w:t>
      </w:r>
      <w:r w:rsidRPr="00097A86">
        <w:t>Available methods for production of a metal from an integrated metalworks</w:t>
      </w:r>
      <w:bookmarkEnd w:id="463"/>
    </w:p>
    <w:p w14:paraId="260B4D67"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released from the activity during a year:</w:t>
      </w:r>
    </w:p>
    <w:p w14:paraId="1AA53CCA" w14:textId="77777777" w:rsidR="003F0D4E" w:rsidRPr="00097A86" w:rsidRDefault="003F0D4E" w:rsidP="00D22D3F">
      <w:pPr>
        <w:pStyle w:val="paragraph"/>
      </w:pPr>
      <w:r w:rsidRPr="00097A86">
        <w:tab/>
        <w:t>(a)</w:t>
      </w:r>
      <w:r w:rsidRPr="00097A86">
        <w:tab/>
        <w:t>method 1 under section</w:t>
      </w:r>
      <w:r w:rsidR="00097A86">
        <w:t> </w:t>
      </w:r>
      <w:r w:rsidRPr="00097A86">
        <w:t>4.66;</w:t>
      </w:r>
    </w:p>
    <w:p w14:paraId="5019D917" w14:textId="77777777" w:rsidR="003F0D4E" w:rsidRPr="00097A86" w:rsidRDefault="003F0D4E" w:rsidP="00D22D3F">
      <w:pPr>
        <w:pStyle w:val="paragraph"/>
      </w:pPr>
      <w:r w:rsidRPr="00097A86">
        <w:tab/>
        <w:t>(b)</w:t>
      </w:r>
      <w:r w:rsidRPr="00097A86">
        <w:tab/>
        <w:t>method 2 under section</w:t>
      </w:r>
      <w:r w:rsidR="00097A86">
        <w:t> </w:t>
      </w:r>
      <w:r w:rsidRPr="00097A86">
        <w:t>4.67;</w:t>
      </w:r>
    </w:p>
    <w:p w14:paraId="0AAA1AAE" w14:textId="77777777" w:rsidR="003F0D4E" w:rsidRPr="00097A86" w:rsidRDefault="003F0D4E" w:rsidP="00D22D3F">
      <w:pPr>
        <w:pStyle w:val="paragraph"/>
      </w:pPr>
      <w:r w:rsidRPr="00097A86">
        <w:tab/>
        <w:t>(c)</w:t>
      </w:r>
      <w:r w:rsidRPr="00097A86">
        <w:tab/>
        <w:t>method 3 under section</w:t>
      </w:r>
      <w:r w:rsidR="00097A86">
        <w:t> </w:t>
      </w:r>
      <w:r w:rsidRPr="00097A86">
        <w:t>4.68;</w:t>
      </w:r>
    </w:p>
    <w:p w14:paraId="3ACE3817" w14:textId="77777777" w:rsidR="003F0D4E" w:rsidRPr="00097A86" w:rsidRDefault="003F0D4E" w:rsidP="00D22D3F">
      <w:pPr>
        <w:pStyle w:val="paragraph"/>
      </w:pPr>
      <w:r w:rsidRPr="00097A86">
        <w:tab/>
        <w:t>(d)</w:t>
      </w:r>
      <w:r w:rsidRPr="00097A86">
        <w:tab/>
        <w:t>method 4 under Part</w:t>
      </w:r>
      <w:r w:rsidR="00097A86">
        <w:t> </w:t>
      </w:r>
      <w:r w:rsidRPr="00097A86">
        <w:t>1.3.</w:t>
      </w:r>
    </w:p>
    <w:p w14:paraId="144A8AA6" w14:textId="77777777" w:rsidR="003F0D4E" w:rsidRPr="00097A86" w:rsidRDefault="003F0D4E" w:rsidP="00D22D3F">
      <w:pPr>
        <w:pStyle w:val="subsection"/>
      </w:pPr>
      <w:r w:rsidRPr="00097A86">
        <w:tab/>
        <w:t>(2)</w:t>
      </w:r>
      <w:r w:rsidRPr="00097A86">
        <w:tab/>
        <w:t xml:space="preserve">However, for </w:t>
      </w:r>
      <w:r w:rsidR="005D1E04" w:rsidRPr="00097A86">
        <w:t>incidental emissions</w:t>
      </w:r>
      <w:r w:rsidRPr="00097A86">
        <w:t xml:space="preserve"> another method may be used that is consistent with the principles in section</w:t>
      </w:r>
      <w:r w:rsidR="00097A86">
        <w:t> </w:t>
      </w:r>
      <w:r w:rsidRPr="00097A86">
        <w:t>1.13.</w:t>
      </w:r>
    </w:p>
    <w:p w14:paraId="0AB5AFF1" w14:textId="77777777" w:rsidR="008D5B11" w:rsidRPr="00097A86" w:rsidRDefault="008D5B11" w:rsidP="00D22D3F">
      <w:pPr>
        <w:pStyle w:val="ActHead5"/>
      </w:pPr>
      <w:bookmarkStart w:id="464" w:name="_Toc13233896"/>
      <w:r w:rsidRPr="00097A86">
        <w:rPr>
          <w:rStyle w:val="CharSectno"/>
        </w:rPr>
        <w:lastRenderedPageBreak/>
        <w:t>4.66</w:t>
      </w:r>
      <w:r w:rsidR="00D22D3F" w:rsidRPr="00097A86">
        <w:t xml:space="preserve">  </w:t>
      </w:r>
      <w:r w:rsidRPr="00097A86">
        <w:t>Method 1</w:t>
      </w:r>
      <w:r w:rsidR="00D22D3F" w:rsidRPr="00097A86">
        <w:t>—</w:t>
      </w:r>
      <w:r w:rsidRPr="00097A86">
        <w:t>production of a metal from an integrated metalworks</w:t>
      </w:r>
      <w:bookmarkEnd w:id="464"/>
    </w:p>
    <w:p w14:paraId="772B556A" w14:textId="77777777" w:rsidR="003F0D4E" w:rsidRPr="00097A86" w:rsidRDefault="003F0D4E" w:rsidP="00D22D3F">
      <w:pPr>
        <w:pStyle w:val="subsection"/>
      </w:pPr>
      <w:r w:rsidRPr="00097A86">
        <w:tab/>
      </w:r>
      <w:r w:rsidRPr="00097A86">
        <w:tab/>
        <w:t>Method 1, based on a carbon mass balance approach, is:</w:t>
      </w:r>
    </w:p>
    <w:tbl>
      <w:tblPr>
        <w:tblW w:w="5000" w:type="pct"/>
        <w:tblLook w:val="0000" w:firstRow="0" w:lastRow="0" w:firstColumn="0" w:lastColumn="0" w:noHBand="0" w:noVBand="0"/>
      </w:tblPr>
      <w:tblGrid>
        <w:gridCol w:w="969"/>
        <w:gridCol w:w="7344"/>
      </w:tblGrid>
      <w:tr w:rsidR="00EC147B" w:rsidRPr="00097A86" w14:paraId="6E222659" w14:textId="77777777" w:rsidTr="00C20CC2">
        <w:trPr>
          <w:cantSplit/>
          <w:trHeight w:val="80"/>
        </w:trPr>
        <w:tc>
          <w:tcPr>
            <w:tcW w:w="583" w:type="pct"/>
          </w:tcPr>
          <w:p w14:paraId="5478AB6F" w14:textId="77777777" w:rsidR="00EC147B" w:rsidRPr="00097A86" w:rsidRDefault="00EC147B" w:rsidP="00617697">
            <w:pPr>
              <w:spacing w:before="60" w:after="60"/>
              <w:rPr>
                <w:highlight w:val="yellow"/>
              </w:rPr>
            </w:pPr>
            <w:r w:rsidRPr="00097A86">
              <w:t>Step 1</w:t>
            </w:r>
          </w:p>
        </w:tc>
        <w:tc>
          <w:tcPr>
            <w:tcW w:w="4417" w:type="pct"/>
          </w:tcPr>
          <w:p w14:paraId="345598C4" w14:textId="77777777" w:rsidR="00EC147B" w:rsidRPr="002827A0" w:rsidRDefault="00EC147B" w:rsidP="003E2936">
            <w:pPr>
              <w:pStyle w:val="Tabletext"/>
              <w:rPr>
                <w:sz w:val="22"/>
                <w:szCs w:val="22"/>
              </w:rPr>
            </w:pPr>
            <w:r w:rsidRPr="002827A0">
              <w:rPr>
                <w:sz w:val="22"/>
                <w:szCs w:val="22"/>
              </w:rPr>
              <w:t>Calculate the carbon content in fuel types (</w:t>
            </w:r>
            <w:r w:rsidRPr="002827A0">
              <w:rPr>
                <w:b/>
                <w:i/>
                <w:sz w:val="22"/>
                <w:szCs w:val="22"/>
              </w:rPr>
              <w:t>i</w:t>
            </w:r>
            <w:r w:rsidRPr="002827A0">
              <w:rPr>
                <w:sz w:val="22"/>
                <w:szCs w:val="22"/>
              </w:rPr>
              <w:t>) and carbonaceous input materials (</w:t>
            </w:r>
            <w:r w:rsidRPr="002827A0">
              <w:rPr>
                <w:b/>
                <w:i/>
                <w:sz w:val="22"/>
                <w:szCs w:val="22"/>
              </w:rPr>
              <w:t>i</w:t>
            </w:r>
            <w:r w:rsidRPr="002827A0">
              <w:rPr>
                <w:sz w:val="22"/>
                <w:szCs w:val="22"/>
              </w:rPr>
              <w:t>) delivered for the activity during the year measured in tonnes of carbon as follows:</w:t>
            </w:r>
          </w:p>
          <w:p w14:paraId="52D27011" w14:textId="77777777" w:rsidR="00EC147B" w:rsidRPr="00097A86" w:rsidRDefault="00EC147B" w:rsidP="00617697">
            <w:pPr>
              <w:pStyle w:val="TableText0"/>
              <w:rPr>
                <w:highlight w:val="yellow"/>
              </w:rPr>
            </w:pPr>
            <w:r w:rsidRPr="00097A86">
              <w:rPr>
                <w:position w:val="-14"/>
              </w:rPr>
              <w:object w:dxaOrig="1400" w:dyaOrig="480" w14:anchorId="0E173290">
                <v:shape id="_x0000_i1043" type="#_x0000_t75" style="width:70.5pt;height:24pt" o:ole="">
                  <v:imagedata r:id="rId158" o:title=""/>
                </v:shape>
                <o:OLEObject Type="Embed" ProgID="Equation.DSMT4" ShapeID="_x0000_i1043" DrawAspect="Content" ObjectID="_1624711047" r:id="rId159"/>
              </w:object>
            </w:r>
          </w:p>
        </w:tc>
      </w:tr>
      <w:tr w:rsidR="00EC147B" w:rsidRPr="00097A86" w14:paraId="56908CBC" w14:textId="77777777" w:rsidTr="00C20CC2">
        <w:trPr>
          <w:cantSplit/>
          <w:trHeight w:val="80"/>
        </w:trPr>
        <w:tc>
          <w:tcPr>
            <w:tcW w:w="583" w:type="pct"/>
          </w:tcPr>
          <w:p w14:paraId="2F260CEF" w14:textId="77777777" w:rsidR="00EC147B" w:rsidRPr="00097A86" w:rsidRDefault="00EC147B" w:rsidP="00617697">
            <w:pPr>
              <w:spacing w:before="60" w:after="60"/>
              <w:rPr>
                <w:highlight w:val="yellow"/>
              </w:rPr>
            </w:pPr>
          </w:p>
        </w:tc>
        <w:tc>
          <w:tcPr>
            <w:tcW w:w="4417" w:type="pct"/>
          </w:tcPr>
          <w:p w14:paraId="61CAF62D" w14:textId="77777777" w:rsidR="00EC147B" w:rsidRPr="002827A0" w:rsidRDefault="00EC147B" w:rsidP="003E2936">
            <w:pPr>
              <w:pStyle w:val="Tabletext"/>
              <w:rPr>
                <w:sz w:val="22"/>
                <w:szCs w:val="22"/>
              </w:rPr>
            </w:pPr>
            <w:r w:rsidRPr="002827A0">
              <w:rPr>
                <w:sz w:val="22"/>
                <w:szCs w:val="22"/>
              </w:rPr>
              <w:t>where:</w:t>
            </w:r>
          </w:p>
          <w:p w14:paraId="425315E2" w14:textId="77777777" w:rsidR="00EC147B" w:rsidRPr="002827A0" w:rsidRDefault="00EC147B" w:rsidP="003E2936">
            <w:pPr>
              <w:pStyle w:val="Tabletext"/>
              <w:rPr>
                <w:sz w:val="22"/>
                <w:szCs w:val="22"/>
              </w:rPr>
            </w:pPr>
            <w:r w:rsidRPr="002827A0">
              <w:rPr>
                <w:rFonts w:ascii="Symbol" w:hAnsi="Symbol"/>
                <w:b/>
                <w:i/>
                <w:sz w:val="22"/>
                <w:szCs w:val="22"/>
              </w:rPr>
              <w:t></w:t>
            </w:r>
            <w:r w:rsidRPr="002827A0">
              <w:rPr>
                <w:b/>
                <w:i/>
                <w:sz w:val="22"/>
                <w:szCs w:val="22"/>
                <w:vertAlign w:val="subscript"/>
              </w:rPr>
              <w:t xml:space="preserve">i </w:t>
            </w:r>
            <w:r w:rsidRPr="002827A0">
              <w:rPr>
                <w:sz w:val="22"/>
                <w:szCs w:val="22"/>
              </w:rPr>
              <w:t>means sum the carbon content values obtained for all fuel types (</w:t>
            </w:r>
            <w:r w:rsidRPr="002827A0">
              <w:rPr>
                <w:b/>
                <w:i/>
                <w:sz w:val="22"/>
                <w:szCs w:val="22"/>
              </w:rPr>
              <w:t>i</w:t>
            </w:r>
            <w:r w:rsidRPr="002827A0">
              <w:rPr>
                <w:sz w:val="22"/>
                <w:szCs w:val="22"/>
              </w:rPr>
              <w:t>) and carbonaceous input materials (</w:t>
            </w:r>
            <w:r w:rsidRPr="002827A0">
              <w:rPr>
                <w:b/>
                <w:i/>
                <w:sz w:val="22"/>
                <w:szCs w:val="22"/>
              </w:rPr>
              <w:t>i</w:t>
            </w:r>
            <w:r w:rsidRPr="002827A0">
              <w:rPr>
                <w:sz w:val="22"/>
                <w:szCs w:val="22"/>
              </w:rPr>
              <w:t>).</w:t>
            </w:r>
          </w:p>
          <w:p w14:paraId="087B4A69" w14:textId="77777777" w:rsidR="00EC147B" w:rsidRPr="002827A0" w:rsidRDefault="00EC147B" w:rsidP="003E2936">
            <w:pPr>
              <w:pStyle w:val="Tabletext"/>
              <w:rPr>
                <w:b/>
                <w:i/>
                <w:sz w:val="22"/>
                <w:szCs w:val="22"/>
              </w:rPr>
            </w:pPr>
            <w:r w:rsidRPr="002827A0">
              <w:rPr>
                <w:b/>
                <w:i/>
                <w:sz w:val="22"/>
                <w:szCs w:val="22"/>
              </w:rPr>
              <w:t>CCF</w:t>
            </w:r>
            <w:r w:rsidRPr="002827A0">
              <w:rPr>
                <w:b/>
                <w:i/>
                <w:sz w:val="22"/>
                <w:szCs w:val="22"/>
                <w:vertAlign w:val="subscript"/>
              </w:rPr>
              <w:t xml:space="preserve">i </w:t>
            </w:r>
            <w:r w:rsidRPr="002827A0">
              <w:rPr>
                <w:sz w:val="22"/>
                <w:szCs w:val="22"/>
              </w:rPr>
              <w:t>is the carbon content factor measured in tonnes of carbon for each appropriate unit of fuel type (</w:t>
            </w:r>
            <w:r w:rsidRPr="002827A0">
              <w:rPr>
                <w:b/>
                <w:i/>
                <w:sz w:val="22"/>
                <w:szCs w:val="22"/>
              </w:rPr>
              <w:t>i</w:t>
            </w:r>
            <w:r w:rsidRPr="002827A0">
              <w:rPr>
                <w:sz w:val="22"/>
                <w:szCs w:val="22"/>
              </w:rPr>
              <w:t>) mentioned in Schedule</w:t>
            </w:r>
            <w:r w:rsidR="00097A86" w:rsidRPr="002827A0">
              <w:rPr>
                <w:sz w:val="22"/>
                <w:szCs w:val="22"/>
              </w:rPr>
              <w:t> </w:t>
            </w:r>
            <w:r w:rsidRPr="002827A0">
              <w:rPr>
                <w:sz w:val="22"/>
                <w:szCs w:val="22"/>
              </w:rPr>
              <w:t>3 or carbonaceous input material (</w:t>
            </w:r>
            <w:r w:rsidRPr="002827A0">
              <w:rPr>
                <w:b/>
                <w:i/>
                <w:sz w:val="22"/>
                <w:szCs w:val="22"/>
              </w:rPr>
              <w:t>i</w:t>
            </w:r>
            <w:r w:rsidRPr="002827A0">
              <w:rPr>
                <w:sz w:val="22"/>
                <w:szCs w:val="22"/>
              </w:rPr>
              <w:t>) consumed during the year from the operation of the activity.</w:t>
            </w:r>
          </w:p>
          <w:p w14:paraId="7CE2404F" w14:textId="77777777" w:rsidR="00992BEF" w:rsidRPr="002827A0" w:rsidRDefault="00992BEF" w:rsidP="002827A0">
            <w:pPr>
              <w:pStyle w:val="Tabletext"/>
              <w:rPr>
                <w:sz w:val="22"/>
                <w:szCs w:val="22"/>
              </w:rPr>
            </w:pPr>
            <w:r w:rsidRPr="002827A0">
              <w:rPr>
                <w:b/>
                <w:i/>
                <w:sz w:val="22"/>
                <w:szCs w:val="22"/>
              </w:rPr>
              <w:t xml:space="preserve">Qi </w:t>
            </w:r>
            <w:r w:rsidRPr="002827A0">
              <w:rPr>
                <w:sz w:val="22"/>
                <w:szCs w:val="22"/>
              </w:rPr>
              <w:t>is the quantity of fuel type (i) or carbonaceous input material (i) delivered for the activity during the year measured in an appropriate unit and estimated in accordance with:</w:t>
            </w:r>
          </w:p>
          <w:p w14:paraId="0ECA1050" w14:textId="77777777" w:rsidR="00A409D2" w:rsidRPr="002827A0" w:rsidRDefault="002827A0" w:rsidP="00A409D2">
            <w:pPr>
              <w:pStyle w:val="TableP1a"/>
              <w:rPr>
                <w:szCs w:val="22"/>
              </w:rPr>
            </w:pPr>
            <w:r w:rsidRPr="002827A0">
              <w:rPr>
                <w:szCs w:val="22"/>
              </w:rPr>
              <w:tab/>
            </w:r>
            <w:r w:rsidR="00A409D2" w:rsidRPr="002827A0">
              <w:rPr>
                <w:szCs w:val="22"/>
              </w:rPr>
              <w:t>(a)</w:t>
            </w:r>
            <w:r w:rsidR="00A409D2" w:rsidRPr="002827A0">
              <w:rPr>
                <w:szCs w:val="22"/>
              </w:rPr>
              <w:tab/>
              <w:t>criterion A in Divisions 2.2.5, 2.3.6, 2.4.6 and 4.2.5; or</w:t>
            </w:r>
          </w:p>
          <w:p w14:paraId="78E0790B" w14:textId="77777777" w:rsidR="00EC147B" w:rsidRPr="002827A0" w:rsidRDefault="00A409D2" w:rsidP="002827A0">
            <w:pPr>
              <w:pStyle w:val="TableP1a"/>
              <w:rPr>
                <w:szCs w:val="22"/>
              </w:rPr>
            </w:pPr>
            <w:r w:rsidRPr="002827A0">
              <w:rPr>
                <w:szCs w:val="22"/>
              </w:rPr>
              <w:tab/>
              <w:t>(b)</w:t>
            </w:r>
            <w:r w:rsidRPr="002827A0">
              <w:rPr>
                <w:szCs w:val="22"/>
              </w:rPr>
              <w:tab/>
              <w:t>if the quantity of fuel or carbonaceous input material is not acquired as part of a commercial transaction—industry practice, consistent with the principles in section 1.13.</w:t>
            </w:r>
          </w:p>
        </w:tc>
      </w:tr>
      <w:tr w:rsidR="00EC147B" w:rsidRPr="00097A86" w14:paraId="4A0AE187" w14:textId="77777777" w:rsidTr="00C20CC2">
        <w:trPr>
          <w:cantSplit/>
        </w:trPr>
        <w:tc>
          <w:tcPr>
            <w:tcW w:w="583" w:type="pct"/>
            <w:vMerge w:val="restart"/>
          </w:tcPr>
          <w:p w14:paraId="0273FE50" w14:textId="77777777" w:rsidR="00EC147B" w:rsidRPr="00097A86" w:rsidRDefault="00EC147B" w:rsidP="00617697">
            <w:pPr>
              <w:spacing w:before="60" w:after="60"/>
            </w:pPr>
            <w:r w:rsidRPr="00097A86">
              <w:t>Step 2</w:t>
            </w:r>
          </w:p>
        </w:tc>
        <w:tc>
          <w:tcPr>
            <w:tcW w:w="4417" w:type="pct"/>
          </w:tcPr>
          <w:p w14:paraId="36EFF9C3" w14:textId="77777777" w:rsidR="00EC147B" w:rsidRPr="00097A86" w:rsidRDefault="00EC147B" w:rsidP="00617697">
            <w:pPr>
              <w:pStyle w:val="TableText0"/>
            </w:pPr>
            <w:r w:rsidRPr="00097A86">
              <w:t>Calculate the carbon content in products (</w:t>
            </w:r>
            <w:r w:rsidRPr="00097A86">
              <w:rPr>
                <w:b/>
                <w:i/>
              </w:rPr>
              <w:t>p</w:t>
            </w:r>
            <w:r w:rsidRPr="00097A86">
              <w:t>) leaving the activity during the year measured in tonnes of carbon as follows:</w:t>
            </w:r>
          </w:p>
          <w:p w14:paraId="2F4D783F" w14:textId="77777777" w:rsidR="00EC147B" w:rsidRPr="00097A86" w:rsidRDefault="00EC147B" w:rsidP="00BA13B0">
            <w:pPr>
              <w:pStyle w:val="Formula"/>
              <w:ind w:left="0"/>
            </w:pPr>
            <w:r w:rsidRPr="00097A86">
              <w:rPr>
                <w:noProof/>
              </w:rPr>
              <w:drawing>
                <wp:inline distT="0" distB="0" distL="0" distR="0" wp14:anchorId="2AFB7443" wp14:editId="0BA7FFCA">
                  <wp:extent cx="98107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p>
        </w:tc>
      </w:tr>
      <w:tr w:rsidR="00EC147B" w:rsidRPr="00097A86" w14:paraId="107049F1" w14:textId="77777777" w:rsidTr="00C20CC2">
        <w:trPr>
          <w:cantSplit/>
        </w:trPr>
        <w:tc>
          <w:tcPr>
            <w:tcW w:w="583" w:type="pct"/>
            <w:vMerge/>
          </w:tcPr>
          <w:p w14:paraId="1E7ACD50" w14:textId="77777777" w:rsidR="00EC147B" w:rsidRPr="00097A86" w:rsidRDefault="00EC147B" w:rsidP="00617697">
            <w:pPr>
              <w:spacing w:before="60" w:after="60"/>
            </w:pPr>
          </w:p>
        </w:tc>
        <w:tc>
          <w:tcPr>
            <w:tcW w:w="4417" w:type="pct"/>
          </w:tcPr>
          <w:p w14:paraId="682344A9" w14:textId="77777777" w:rsidR="00EC147B" w:rsidRPr="00097A86" w:rsidRDefault="00EC147B" w:rsidP="00617697">
            <w:pPr>
              <w:pStyle w:val="TableText0"/>
            </w:pPr>
            <w:r w:rsidRPr="00097A86">
              <w:t>where:</w:t>
            </w:r>
          </w:p>
          <w:p w14:paraId="2C0DF5FD" w14:textId="77777777" w:rsidR="00EC147B" w:rsidRPr="00097A86" w:rsidRDefault="00EC147B" w:rsidP="00617697">
            <w:pPr>
              <w:pStyle w:val="TableText0"/>
            </w:pPr>
            <w:r w:rsidRPr="00097A86">
              <w:rPr>
                <w:rFonts w:ascii="Symbol" w:hAnsi="Symbol"/>
                <w:b/>
                <w:i/>
              </w:rPr>
              <w:t></w:t>
            </w:r>
            <w:r w:rsidRPr="00097A86">
              <w:rPr>
                <w:b/>
                <w:i/>
                <w:vertAlign w:val="subscript"/>
              </w:rPr>
              <w:t xml:space="preserve">p </w:t>
            </w:r>
            <w:r w:rsidRPr="00097A86">
              <w:t>means sum the carbon content values obtained for all product types (</w:t>
            </w:r>
            <w:r w:rsidRPr="00097A86">
              <w:rPr>
                <w:b/>
                <w:i/>
              </w:rPr>
              <w:t>p</w:t>
            </w:r>
            <w:r w:rsidRPr="00097A86">
              <w:t>).</w:t>
            </w:r>
          </w:p>
          <w:p w14:paraId="2EA2C8A6" w14:textId="77777777" w:rsidR="00EC147B" w:rsidRPr="00097A86" w:rsidRDefault="00EC147B" w:rsidP="00617697">
            <w:pPr>
              <w:pStyle w:val="TableText0"/>
              <w:rPr>
                <w:iCs/>
              </w:rPr>
            </w:pPr>
            <w:r w:rsidRPr="00097A86">
              <w:rPr>
                <w:b/>
                <w:i/>
                <w:iCs/>
              </w:rPr>
              <w:t>CCF</w:t>
            </w:r>
            <w:r w:rsidRPr="00097A86">
              <w:rPr>
                <w:b/>
                <w:i/>
                <w:iCs/>
                <w:vertAlign w:val="subscript"/>
              </w:rPr>
              <w:t>p</w:t>
            </w:r>
            <w:r w:rsidRPr="00097A86">
              <w:rPr>
                <w:iCs/>
              </w:rPr>
              <w:t xml:space="preserve"> is the carbon content factor measured in tonnes of carbon for each tonne of product type</w:t>
            </w:r>
            <w:r w:rsidRPr="00097A86">
              <w:rPr>
                <w:b/>
                <w:i/>
                <w:iCs/>
              </w:rPr>
              <w:t xml:space="preserve"> </w:t>
            </w:r>
            <w:r w:rsidRPr="00097A86">
              <w:rPr>
                <w:iCs/>
              </w:rPr>
              <w:t>(</w:t>
            </w:r>
            <w:r w:rsidRPr="00097A86">
              <w:rPr>
                <w:b/>
                <w:i/>
                <w:iCs/>
              </w:rPr>
              <w:t>p</w:t>
            </w:r>
            <w:r w:rsidRPr="00097A86">
              <w:rPr>
                <w:iCs/>
              </w:rPr>
              <w:t>) produced during the year.</w:t>
            </w:r>
          </w:p>
          <w:p w14:paraId="35F844B3" w14:textId="77777777" w:rsidR="00EC147B" w:rsidRPr="00097A86" w:rsidRDefault="00EC147B" w:rsidP="00617697">
            <w:pPr>
              <w:pStyle w:val="TableText0"/>
            </w:pPr>
            <w:r w:rsidRPr="00097A86">
              <w:rPr>
                <w:b/>
                <w:i/>
              </w:rPr>
              <w:t>A</w:t>
            </w:r>
            <w:r w:rsidRPr="00097A86">
              <w:rPr>
                <w:b/>
                <w:i/>
                <w:vertAlign w:val="subscript"/>
              </w:rPr>
              <w:t xml:space="preserve">p </w:t>
            </w:r>
            <w:r w:rsidRPr="00097A86">
              <w:t>is the quantity of product types (</w:t>
            </w:r>
            <w:r w:rsidRPr="00097A86">
              <w:rPr>
                <w:b/>
                <w:i/>
              </w:rPr>
              <w:t>p</w:t>
            </w:r>
            <w:r w:rsidRPr="00097A86">
              <w:t>) produced leaving the activity during the year measured in tonnes.</w:t>
            </w:r>
          </w:p>
        </w:tc>
      </w:tr>
      <w:tr w:rsidR="00EC147B" w:rsidRPr="00097A86" w14:paraId="318B4708" w14:textId="77777777" w:rsidTr="00C20CC2">
        <w:trPr>
          <w:cantSplit/>
        </w:trPr>
        <w:tc>
          <w:tcPr>
            <w:tcW w:w="583" w:type="pct"/>
            <w:vMerge w:val="restart"/>
          </w:tcPr>
          <w:p w14:paraId="3ED15DE5" w14:textId="77777777" w:rsidR="00EC147B" w:rsidRPr="00097A86" w:rsidRDefault="00EC147B" w:rsidP="00617697">
            <w:pPr>
              <w:spacing w:before="60" w:after="60"/>
            </w:pPr>
            <w:r w:rsidRPr="00097A86">
              <w:t>Step 3</w:t>
            </w:r>
          </w:p>
        </w:tc>
        <w:tc>
          <w:tcPr>
            <w:tcW w:w="4417" w:type="pct"/>
          </w:tcPr>
          <w:p w14:paraId="010BEEA4" w14:textId="77777777" w:rsidR="00EC147B" w:rsidRPr="00097A86" w:rsidRDefault="00EC147B" w:rsidP="00617697">
            <w:pPr>
              <w:pStyle w:val="TableText0"/>
              <w:rPr>
                <w:iCs/>
              </w:rPr>
            </w:pPr>
            <w:r w:rsidRPr="00097A86">
              <w:rPr>
                <w:iCs/>
              </w:rPr>
              <w:t xml:space="preserve">Calculate </w:t>
            </w:r>
            <w:r w:rsidRPr="00097A86">
              <w:t xml:space="preserve">the carbon content in </w:t>
            </w:r>
            <w:r w:rsidRPr="00097A86">
              <w:rPr>
                <w:iCs/>
              </w:rPr>
              <w:t>waste by</w:t>
            </w:r>
            <w:r w:rsidR="00097A86">
              <w:rPr>
                <w:iCs/>
              </w:rPr>
              <w:noBreakHyphen/>
            </w:r>
            <w:r w:rsidRPr="00097A86">
              <w:rPr>
                <w:iCs/>
              </w:rPr>
              <w:t xml:space="preserve">product types </w:t>
            </w:r>
            <w:r w:rsidRPr="00097A86">
              <w:rPr>
                <w:b/>
                <w:i/>
              </w:rPr>
              <w:t xml:space="preserve">(r) </w:t>
            </w:r>
            <w:r w:rsidRPr="00097A86">
              <w:t>leaving the activity,</w:t>
            </w:r>
            <w:r w:rsidRPr="00097A86">
              <w:rPr>
                <w:iCs/>
              </w:rPr>
              <w:t xml:space="preserve"> other than as an emission of greenhouse gas, during the year, </w:t>
            </w:r>
            <w:r w:rsidRPr="00097A86">
              <w:t xml:space="preserve">measured in tonnes of carbon, </w:t>
            </w:r>
            <w:r w:rsidRPr="00097A86">
              <w:rPr>
                <w:iCs/>
              </w:rPr>
              <w:t>as follows:</w:t>
            </w:r>
          </w:p>
          <w:p w14:paraId="41CEB1E4" w14:textId="77777777" w:rsidR="00EC147B" w:rsidRPr="00097A86" w:rsidRDefault="00EC147B" w:rsidP="00BA13B0">
            <w:pPr>
              <w:pStyle w:val="Formula"/>
              <w:ind w:left="13"/>
            </w:pPr>
            <w:r w:rsidRPr="00097A86">
              <w:rPr>
                <w:noProof/>
              </w:rPr>
              <w:drawing>
                <wp:inline distT="0" distB="0" distL="0" distR="0" wp14:anchorId="470CACDE" wp14:editId="4C509B3C">
                  <wp:extent cx="93345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p>
        </w:tc>
      </w:tr>
      <w:tr w:rsidR="00EC147B" w:rsidRPr="00097A86" w14:paraId="663B58C5" w14:textId="77777777" w:rsidTr="00C20CC2">
        <w:trPr>
          <w:cantSplit/>
        </w:trPr>
        <w:tc>
          <w:tcPr>
            <w:tcW w:w="583" w:type="pct"/>
            <w:vMerge/>
          </w:tcPr>
          <w:p w14:paraId="4730BC9F" w14:textId="77777777" w:rsidR="00EC147B" w:rsidRPr="00097A86" w:rsidRDefault="00EC147B" w:rsidP="00617697">
            <w:pPr>
              <w:spacing w:before="60" w:after="60"/>
            </w:pPr>
          </w:p>
        </w:tc>
        <w:tc>
          <w:tcPr>
            <w:tcW w:w="4417" w:type="pct"/>
          </w:tcPr>
          <w:p w14:paraId="33C0FAE0" w14:textId="77777777" w:rsidR="00EC147B" w:rsidRPr="00097A86" w:rsidRDefault="00EC147B" w:rsidP="00617697">
            <w:pPr>
              <w:pStyle w:val="TableText0"/>
            </w:pPr>
            <w:r w:rsidRPr="00097A86">
              <w:t>where:</w:t>
            </w:r>
          </w:p>
          <w:p w14:paraId="0D65386C" w14:textId="77777777" w:rsidR="00EC147B" w:rsidRPr="00097A86" w:rsidRDefault="00EC147B" w:rsidP="00617697">
            <w:pPr>
              <w:pStyle w:val="TableText0"/>
            </w:pPr>
            <w:r w:rsidRPr="00097A86">
              <w:rPr>
                <w:rFonts w:ascii="Symbol" w:hAnsi="Symbol"/>
                <w:b/>
                <w:i/>
              </w:rPr>
              <w:t></w:t>
            </w:r>
            <w:r w:rsidRPr="00097A86">
              <w:rPr>
                <w:b/>
                <w:i/>
                <w:vertAlign w:val="subscript"/>
              </w:rPr>
              <w:t xml:space="preserve">r </w:t>
            </w:r>
            <w:r w:rsidRPr="00097A86">
              <w:t>means sum the carbon content values obtained for all waste by</w:t>
            </w:r>
            <w:r w:rsidR="00097A86">
              <w:noBreakHyphen/>
            </w:r>
            <w:r w:rsidRPr="00097A86">
              <w:t>product types (</w:t>
            </w:r>
            <w:r w:rsidRPr="00097A86">
              <w:rPr>
                <w:b/>
                <w:i/>
              </w:rPr>
              <w:t>r</w:t>
            </w:r>
            <w:r w:rsidRPr="00097A86">
              <w:t>).</w:t>
            </w:r>
          </w:p>
          <w:p w14:paraId="7F3240ED" w14:textId="77777777" w:rsidR="00EC147B" w:rsidRPr="00097A86" w:rsidRDefault="00EC147B" w:rsidP="00617697">
            <w:pPr>
              <w:pStyle w:val="TableText0"/>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45F1BF0E" w14:textId="77777777" w:rsidR="00EC147B" w:rsidRPr="00097A86" w:rsidRDefault="00EC147B" w:rsidP="00617697">
            <w:pPr>
              <w:pStyle w:val="TableText0"/>
            </w:pPr>
            <w:r w:rsidRPr="00097A86">
              <w:rPr>
                <w:b/>
                <w:i/>
              </w:rPr>
              <w:t>Y</w:t>
            </w:r>
            <w:r w:rsidRPr="00097A86">
              <w:rPr>
                <w:b/>
                <w:i/>
                <w:vertAlign w:val="subscript"/>
              </w:rPr>
              <w:t xml:space="preserve">r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EC147B" w:rsidRPr="00097A86" w14:paraId="5E57C835" w14:textId="77777777" w:rsidTr="00C20CC2">
        <w:trPr>
          <w:cantSplit/>
        </w:trPr>
        <w:tc>
          <w:tcPr>
            <w:tcW w:w="583" w:type="pct"/>
            <w:vMerge w:val="restart"/>
          </w:tcPr>
          <w:p w14:paraId="0DC971DC" w14:textId="77777777" w:rsidR="00EC147B" w:rsidRPr="00097A86" w:rsidRDefault="00EC147B" w:rsidP="00617697">
            <w:pPr>
              <w:spacing w:before="60" w:after="60"/>
            </w:pPr>
            <w:r w:rsidRPr="00097A86">
              <w:lastRenderedPageBreak/>
              <w:t>Step 4</w:t>
            </w:r>
          </w:p>
        </w:tc>
        <w:tc>
          <w:tcPr>
            <w:tcW w:w="4417" w:type="pct"/>
          </w:tcPr>
          <w:p w14:paraId="0421B4CE" w14:textId="77777777" w:rsidR="00EC147B" w:rsidRPr="00097A86" w:rsidRDefault="00EC147B" w:rsidP="00617697">
            <w:pPr>
              <w:pStyle w:val="TableText0"/>
              <w:rPr>
                <w:iCs/>
              </w:rPr>
            </w:pPr>
            <w:r w:rsidRPr="00097A86">
              <w:t>Calculate the carbon content in the amount of the change in stocks</w:t>
            </w:r>
            <w:r w:rsidRPr="00097A86">
              <w:rPr>
                <w:iCs/>
              </w:rPr>
              <w:t xml:space="preserve"> of inputs, products and waste by</w:t>
            </w:r>
            <w:r w:rsidR="00097A86">
              <w:rPr>
                <w:iCs/>
              </w:rPr>
              <w:noBreakHyphen/>
            </w:r>
            <w:r w:rsidRPr="00097A86">
              <w:rPr>
                <w:iCs/>
              </w:rPr>
              <w:t>products held within the boundary of the activity during the year in tonnes of carbon as follows:</w:t>
            </w:r>
          </w:p>
          <w:p w14:paraId="1C21F8F0" w14:textId="77777777" w:rsidR="00EC147B" w:rsidRPr="00097A86" w:rsidRDefault="009E1F90" w:rsidP="00BA13B0">
            <w:pPr>
              <w:pStyle w:val="TableText0"/>
              <w:spacing w:before="180" w:after="180"/>
            </w:pPr>
            <w:r>
              <w:rPr>
                <w:noProof/>
                <w:position w:val="-10"/>
                <w:lang w:eastAsia="en-AU"/>
              </w:rPr>
              <w:drawing>
                <wp:inline distT="0" distB="0" distL="0" distR="0" wp14:anchorId="4B603DCA" wp14:editId="462F44ED">
                  <wp:extent cx="3781425" cy="238125"/>
                  <wp:effectExtent l="0" t="0" r="9525" b="9525"/>
                  <wp:docPr id="12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781425" cy="238125"/>
                          </a:xfrm>
                          <a:prstGeom prst="rect">
                            <a:avLst/>
                          </a:prstGeom>
                          <a:noFill/>
                          <a:ln>
                            <a:noFill/>
                          </a:ln>
                        </pic:spPr>
                      </pic:pic>
                    </a:graphicData>
                  </a:graphic>
                </wp:inline>
              </w:drawing>
            </w:r>
          </w:p>
        </w:tc>
      </w:tr>
      <w:tr w:rsidR="00EC147B" w:rsidRPr="00097A86" w14:paraId="6EE46CF0" w14:textId="77777777" w:rsidTr="00C20CC2">
        <w:trPr>
          <w:cantSplit/>
        </w:trPr>
        <w:tc>
          <w:tcPr>
            <w:tcW w:w="583" w:type="pct"/>
            <w:vMerge/>
          </w:tcPr>
          <w:p w14:paraId="68A87BDB" w14:textId="77777777" w:rsidR="00EC147B" w:rsidRPr="00097A86" w:rsidRDefault="00EC147B" w:rsidP="00617697">
            <w:pPr>
              <w:spacing w:before="60" w:after="60"/>
            </w:pPr>
          </w:p>
        </w:tc>
        <w:tc>
          <w:tcPr>
            <w:tcW w:w="4417" w:type="pct"/>
          </w:tcPr>
          <w:p w14:paraId="22A48243" w14:textId="77777777" w:rsidR="00EC147B" w:rsidRPr="00097A86" w:rsidRDefault="00EC147B" w:rsidP="00617697">
            <w:pPr>
              <w:pStyle w:val="TableText0"/>
            </w:pPr>
            <w:r w:rsidRPr="00097A86">
              <w:t>where:</w:t>
            </w:r>
          </w:p>
          <w:p w14:paraId="1C2607ED" w14:textId="77777777" w:rsidR="00EC147B" w:rsidRPr="00097A86" w:rsidRDefault="00EC147B" w:rsidP="00617697">
            <w:pPr>
              <w:pStyle w:val="TableText0"/>
              <w:rPr>
                <w:b/>
                <w:i/>
              </w:rPr>
            </w:pPr>
            <w:r w:rsidRPr="00097A86">
              <w:rPr>
                <w:rFonts w:ascii="Symbol" w:hAnsi="Symbol"/>
                <w:b/>
                <w:i/>
              </w:rPr>
              <w:t></w:t>
            </w:r>
            <w:r w:rsidRPr="00097A86">
              <w:rPr>
                <w:b/>
                <w:i/>
                <w:vertAlign w:val="subscript"/>
              </w:rPr>
              <w:t xml:space="preserve">i </w:t>
            </w:r>
            <w:r w:rsidRPr="00097A86">
              <w:t>has the same meaning as in step 1.</w:t>
            </w:r>
          </w:p>
          <w:p w14:paraId="7A0AE2CA" w14:textId="77777777" w:rsidR="00EC147B" w:rsidRPr="00097A86" w:rsidRDefault="00EC147B" w:rsidP="00617697">
            <w:pPr>
              <w:pStyle w:val="TableText0"/>
              <w:rPr>
                <w:iCs/>
              </w:rPr>
            </w:pPr>
            <w:r w:rsidRPr="00097A86">
              <w:rPr>
                <w:b/>
                <w:i/>
              </w:rPr>
              <w:t>CCF</w:t>
            </w:r>
            <w:r w:rsidRPr="00097A86">
              <w:rPr>
                <w:b/>
                <w:i/>
                <w:vertAlign w:val="subscript"/>
              </w:rPr>
              <w:t xml:space="preserve">i </w:t>
            </w:r>
            <w:r w:rsidRPr="00097A86">
              <w:t>has the same meaning as in step 1.</w:t>
            </w:r>
          </w:p>
          <w:p w14:paraId="0EAB5B78" w14:textId="77777777" w:rsidR="00EC147B" w:rsidRPr="00097A86" w:rsidRDefault="00EC147B" w:rsidP="00617697">
            <w:pPr>
              <w:pStyle w:val="TableText0"/>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w:t>
            </w:r>
            <w:r w:rsidRPr="00097A86">
              <w:t>change in stocks</w:t>
            </w:r>
            <w:r w:rsidRPr="00097A86">
              <w:rPr>
                <w:iCs/>
              </w:rPr>
              <w:t xml:space="preserve">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5EE0B646" w14:textId="77777777" w:rsidR="00EC147B" w:rsidRPr="00097A86" w:rsidRDefault="00EC147B" w:rsidP="00617697">
            <w:pPr>
              <w:pStyle w:val="TableText0"/>
              <w:rPr>
                <w:b/>
                <w:i/>
              </w:rPr>
            </w:pPr>
            <w:r w:rsidRPr="00097A86">
              <w:rPr>
                <w:rFonts w:ascii="Symbol" w:hAnsi="Symbol"/>
                <w:b/>
                <w:i/>
              </w:rPr>
              <w:t></w:t>
            </w:r>
            <w:r w:rsidRPr="00097A86">
              <w:rPr>
                <w:b/>
                <w:i/>
                <w:vertAlign w:val="subscript"/>
              </w:rPr>
              <w:t xml:space="preserve">p </w:t>
            </w:r>
            <w:r w:rsidRPr="00097A86">
              <w:t>has the same meaning as in step 2.</w:t>
            </w:r>
          </w:p>
          <w:p w14:paraId="6DBD97A9" w14:textId="77777777" w:rsidR="00EC147B" w:rsidRPr="00097A86" w:rsidRDefault="00EC147B" w:rsidP="00617697">
            <w:pPr>
              <w:pStyle w:val="TableText0"/>
              <w:rPr>
                <w:b/>
                <w:i/>
                <w:iCs/>
              </w:rPr>
            </w:pPr>
            <w:r w:rsidRPr="00097A86">
              <w:rPr>
                <w:b/>
                <w:i/>
              </w:rPr>
              <w:t>CCF</w:t>
            </w:r>
            <w:r w:rsidRPr="00097A86">
              <w:rPr>
                <w:b/>
                <w:i/>
                <w:vertAlign w:val="subscript"/>
              </w:rPr>
              <w:t xml:space="preserve">p </w:t>
            </w:r>
            <w:r w:rsidRPr="00097A86">
              <w:t>has the same meaning as in step 2.</w:t>
            </w:r>
          </w:p>
          <w:p w14:paraId="1D700E61" w14:textId="77777777" w:rsidR="00EC147B" w:rsidRPr="00097A86" w:rsidRDefault="00EC147B" w:rsidP="00617697">
            <w:pPr>
              <w:pStyle w:val="TableText0"/>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w:t>
            </w:r>
            <w:r w:rsidRPr="00097A86">
              <w:t>change in stocks</w:t>
            </w:r>
            <w:r w:rsidRPr="00097A86">
              <w:rPr>
                <w:iCs/>
                <w:szCs w:val="18"/>
              </w:rPr>
              <w:t xml:space="preserve">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EC147B" w:rsidRPr="00097A86" w14:paraId="5EAC65AD" w14:textId="77777777" w:rsidTr="00C20CC2">
        <w:trPr>
          <w:cantSplit/>
        </w:trPr>
        <w:tc>
          <w:tcPr>
            <w:tcW w:w="583" w:type="pct"/>
          </w:tcPr>
          <w:p w14:paraId="4C341AE3" w14:textId="77777777" w:rsidR="00EC147B" w:rsidRPr="00097A86" w:rsidRDefault="00EC147B" w:rsidP="00617697">
            <w:pPr>
              <w:spacing w:before="60" w:after="60"/>
            </w:pPr>
          </w:p>
        </w:tc>
        <w:tc>
          <w:tcPr>
            <w:tcW w:w="4417" w:type="pct"/>
          </w:tcPr>
          <w:p w14:paraId="05F85F4B" w14:textId="77777777" w:rsidR="00EC147B" w:rsidRPr="00097A86" w:rsidRDefault="00EC147B" w:rsidP="00617697">
            <w:pPr>
              <w:pStyle w:val="TableText0"/>
              <w:rPr>
                <w:b/>
                <w:i/>
              </w:rPr>
            </w:pPr>
            <w:r w:rsidRPr="00097A86">
              <w:rPr>
                <w:rFonts w:ascii="Symbol" w:hAnsi="Symbol"/>
                <w:b/>
                <w:i/>
              </w:rPr>
              <w:t></w:t>
            </w:r>
            <w:r w:rsidRPr="00097A86">
              <w:rPr>
                <w:b/>
                <w:i/>
                <w:vertAlign w:val="subscript"/>
              </w:rPr>
              <w:t xml:space="preserve">r </w:t>
            </w:r>
            <w:r w:rsidRPr="00097A86">
              <w:t>has the same meaning as in step 3.</w:t>
            </w:r>
          </w:p>
          <w:p w14:paraId="246C7825" w14:textId="77777777" w:rsidR="00EC147B" w:rsidRPr="00097A86" w:rsidRDefault="00EC147B" w:rsidP="00617697">
            <w:pPr>
              <w:pStyle w:val="TableText0"/>
              <w:rPr>
                <w:b/>
                <w:i/>
                <w:iCs/>
              </w:rPr>
            </w:pPr>
            <w:r w:rsidRPr="00097A86">
              <w:rPr>
                <w:b/>
                <w:i/>
              </w:rPr>
              <w:t>CCF</w:t>
            </w:r>
            <w:r w:rsidRPr="00097A86">
              <w:rPr>
                <w:b/>
                <w:i/>
                <w:vertAlign w:val="subscript"/>
              </w:rPr>
              <w:t xml:space="preserve">r </w:t>
            </w:r>
            <w:r w:rsidRPr="00097A86">
              <w:t>has the same meaning as in step 3.</w:t>
            </w:r>
          </w:p>
          <w:p w14:paraId="7049EA3F" w14:textId="77777777" w:rsidR="00EC147B" w:rsidRPr="00097A86" w:rsidRDefault="00EC147B" w:rsidP="00617697">
            <w:pPr>
              <w:pStyle w:val="TableText0"/>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w:t>
            </w:r>
            <w:r w:rsidRPr="00097A86">
              <w:t>change in stocks</w:t>
            </w:r>
            <w:r w:rsidRPr="00097A86">
              <w:rPr>
                <w:iCs/>
              </w:rPr>
              <w:t xml:space="preserve">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EC147B" w:rsidRPr="00097A86" w14:paraId="179D99D9" w14:textId="77777777" w:rsidTr="00C20CC2">
        <w:trPr>
          <w:cantSplit/>
        </w:trPr>
        <w:tc>
          <w:tcPr>
            <w:tcW w:w="583" w:type="pct"/>
          </w:tcPr>
          <w:p w14:paraId="16C5822E" w14:textId="77777777" w:rsidR="00EC147B" w:rsidRPr="00097A86" w:rsidRDefault="00EC147B" w:rsidP="00617697">
            <w:pPr>
              <w:spacing w:before="60" w:after="60"/>
            </w:pPr>
            <w:r w:rsidRPr="00097A86">
              <w:t>Step 5</w:t>
            </w:r>
          </w:p>
        </w:tc>
        <w:tc>
          <w:tcPr>
            <w:tcW w:w="4417" w:type="pct"/>
          </w:tcPr>
          <w:p w14:paraId="321FDA81" w14:textId="77777777" w:rsidR="00EC147B" w:rsidRPr="00097A86" w:rsidRDefault="00EC147B" w:rsidP="00617697">
            <w:pPr>
              <w:pStyle w:val="TableText0"/>
            </w:pPr>
            <w:r w:rsidRPr="00097A86">
              <w:t xml:space="preserve">Calculate the emissions of carbon dioxide released from the operation of the activity during the year measured in </w:t>
            </w:r>
            <w:r w:rsidRPr="00097A86">
              <w:rPr>
                <w:szCs w:val="22"/>
              </w:rPr>
              <w:t>CO</w:t>
            </w:r>
            <w:r w:rsidRPr="00097A86">
              <w:rPr>
                <w:szCs w:val="22"/>
                <w:vertAlign w:val="subscript"/>
              </w:rPr>
              <w:t>2</w:t>
            </w:r>
            <w:r w:rsidR="00097A86">
              <w:rPr>
                <w:szCs w:val="22"/>
              </w:rPr>
              <w:noBreakHyphen/>
            </w:r>
            <w:r w:rsidRPr="00097A86">
              <w:rPr>
                <w:szCs w:val="22"/>
              </w:rPr>
              <w:t>e</w:t>
            </w:r>
            <w:r w:rsidRPr="00097A86">
              <w:t xml:space="preserve"> tonnes as follows:</w:t>
            </w:r>
          </w:p>
          <w:p w14:paraId="0B0E5EC2" w14:textId="77777777" w:rsidR="00EC147B" w:rsidRPr="00097A86" w:rsidRDefault="00EC147B"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4155EE6D" w14:textId="77777777" w:rsidR="00EC147B" w:rsidRPr="00097A86" w:rsidRDefault="00EC147B"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p w14:paraId="18A89D0C" w14:textId="77777777" w:rsidR="00EC147B" w:rsidRPr="00097A86" w:rsidRDefault="00EC147B" w:rsidP="00617697">
            <w:pPr>
              <w:pStyle w:val="TableP1a"/>
            </w:pPr>
            <w:r w:rsidRPr="00097A86">
              <w:tab/>
              <w:t>(c)</w:t>
            </w:r>
            <w:r w:rsidRPr="00097A86">
              <w:tab/>
              <w:t>multiply amount B by 3.664 to work out the amount of emissions released from the operation of the activity during a year.</w:t>
            </w:r>
          </w:p>
        </w:tc>
      </w:tr>
    </w:tbl>
    <w:p w14:paraId="1423CE0F" w14:textId="77777777" w:rsidR="008D5B11" w:rsidRPr="00097A86" w:rsidRDefault="008D5B11" w:rsidP="00D22D3F">
      <w:pPr>
        <w:pStyle w:val="ActHead5"/>
      </w:pPr>
      <w:bookmarkStart w:id="465" w:name="_Toc13233897"/>
      <w:r w:rsidRPr="00097A86">
        <w:rPr>
          <w:rStyle w:val="CharSectno"/>
        </w:rPr>
        <w:t>4.67</w:t>
      </w:r>
      <w:r w:rsidR="00D22D3F" w:rsidRPr="00097A86">
        <w:t xml:space="preserve">  </w:t>
      </w:r>
      <w:r w:rsidRPr="00097A86">
        <w:t>Method 2</w:t>
      </w:r>
      <w:r w:rsidR="00D22D3F" w:rsidRPr="00097A86">
        <w:t>—</w:t>
      </w:r>
      <w:r w:rsidRPr="00097A86">
        <w:t>production of a metal from an integrated metalworks</w:t>
      </w:r>
      <w:bookmarkEnd w:id="465"/>
    </w:p>
    <w:p w14:paraId="3CA4E014" w14:textId="77777777" w:rsidR="003F0D4E" w:rsidRPr="00097A86" w:rsidRDefault="003F0D4E" w:rsidP="00D22D3F">
      <w:pPr>
        <w:pStyle w:val="subsection"/>
      </w:pPr>
      <w:r w:rsidRPr="00097A86">
        <w:tab/>
        <w:t>(1)</w:t>
      </w:r>
      <w:r w:rsidRPr="00097A86">
        <w:tab/>
        <w:t>Subject to this section, method 2 is the same as method 1</w:t>
      </w:r>
      <w:r w:rsidR="002E39CE" w:rsidRPr="00097A86">
        <w:t xml:space="preserve"> under section</w:t>
      </w:r>
      <w:r w:rsidR="00097A86">
        <w:t> </w:t>
      </w:r>
      <w:r w:rsidR="002E39CE" w:rsidRPr="00097A86">
        <w:t>4.66</w:t>
      </w:r>
      <w:r w:rsidRPr="00097A86">
        <w:t>.</w:t>
      </w:r>
    </w:p>
    <w:p w14:paraId="1C3535CF" w14:textId="77777777" w:rsidR="002E39CE" w:rsidRPr="00097A86" w:rsidRDefault="002E39CE" w:rsidP="009776A1">
      <w:pPr>
        <w:pStyle w:val="subsection"/>
        <w:spacing w:after="60"/>
      </w:pPr>
      <w:r w:rsidRPr="00097A86">
        <w:tab/>
        <w:t>(1A)</w:t>
      </w:r>
      <w:r w:rsidRPr="00097A86">
        <w:tab/>
        <w:t>In applying method 1 as method 2, step 4 in section</w:t>
      </w:r>
      <w:r w:rsidR="00097A86">
        <w:t> </w:t>
      </w:r>
      <w:r w:rsidRPr="00097A86">
        <w:t>4.66 is to be omitted and the following step 4 substituted.</w:t>
      </w:r>
    </w:p>
    <w:tbl>
      <w:tblPr>
        <w:tblW w:w="5000" w:type="pct"/>
        <w:tblLook w:val="0000" w:firstRow="0" w:lastRow="0" w:firstColumn="0" w:lastColumn="0" w:noHBand="0" w:noVBand="0"/>
      </w:tblPr>
      <w:tblGrid>
        <w:gridCol w:w="969"/>
        <w:gridCol w:w="7344"/>
      </w:tblGrid>
      <w:tr w:rsidR="009776A1" w:rsidRPr="00097A86" w14:paraId="26FCC682" w14:textId="77777777" w:rsidTr="00C20CC2">
        <w:trPr>
          <w:cantSplit/>
          <w:trHeight w:val="74"/>
        </w:trPr>
        <w:tc>
          <w:tcPr>
            <w:tcW w:w="583" w:type="pct"/>
            <w:vMerge w:val="restart"/>
          </w:tcPr>
          <w:p w14:paraId="405E182C" w14:textId="77777777" w:rsidR="009776A1" w:rsidRPr="00097A86" w:rsidRDefault="009776A1" w:rsidP="00617697">
            <w:pPr>
              <w:spacing w:before="60" w:after="60"/>
            </w:pPr>
            <w:r w:rsidRPr="00097A86">
              <w:t>Step 4</w:t>
            </w:r>
          </w:p>
        </w:tc>
        <w:tc>
          <w:tcPr>
            <w:tcW w:w="4417" w:type="pct"/>
          </w:tcPr>
          <w:p w14:paraId="74D21EE2" w14:textId="77777777" w:rsidR="009776A1" w:rsidRPr="00097A86" w:rsidRDefault="009776A1" w:rsidP="00617697">
            <w:pPr>
              <w:pStyle w:val="TableText0"/>
              <w:rPr>
                <w:iCs/>
              </w:rPr>
            </w:pPr>
            <w:r w:rsidRPr="00097A86">
              <w:t>Calculate the carbon content in the amount of the change in stocks</w:t>
            </w:r>
            <w:r w:rsidRPr="00097A86">
              <w:rPr>
                <w:iCs/>
              </w:rPr>
              <w:t xml:space="preserve"> of inputs, products and waste by</w:t>
            </w:r>
            <w:r w:rsidR="00097A86">
              <w:rPr>
                <w:b/>
                <w:iCs/>
              </w:rPr>
              <w:noBreakHyphen/>
            </w:r>
            <w:r w:rsidRPr="00097A86">
              <w:rPr>
                <w:iCs/>
              </w:rPr>
              <w:t>products held within the boundary of the activity during the year in tonnes of carbon as follows:</w:t>
            </w:r>
          </w:p>
          <w:p w14:paraId="3BF7A835" w14:textId="77777777" w:rsidR="009776A1" w:rsidRPr="00097A86" w:rsidRDefault="009E1F90" w:rsidP="00BA13B0">
            <w:pPr>
              <w:pStyle w:val="Formula"/>
              <w:ind w:left="13"/>
              <w:rPr>
                <w:iCs/>
              </w:rPr>
            </w:pPr>
            <w:r>
              <w:rPr>
                <w:noProof/>
                <w:position w:val="-14"/>
              </w:rPr>
              <w:drawing>
                <wp:inline distT="0" distB="0" distL="0" distR="0" wp14:anchorId="1E740A12" wp14:editId="64B32370">
                  <wp:extent cx="4095750" cy="219075"/>
                  <wp:effectExtent l="0" t="0" r="0" b="9525"/>
                  <wp:docPr id="12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95750" cy="219075"/>
                          </a:xfrm>
                          <a:prstGeom prst="rect">
                            <a:avLst/>
                          </a:prstGeom>
                          <a:noFill/>
                          <a:ln>
                            <a:noFill/>
                          </a:ln>
                        </pic:spPr>
                      </pic:pic>
                    </a:graphicData>
                  </a:graphic>
                </wp:inline>
              </w:drawing>
            </w:r>
          </w:p>
        </w:tc>
      </w:tr>
      <w:tr w:rsidR="009776A1" w:rsidRPr="00097A86" w14:paraId="472553D4" w14:textId="77777777" w:rsidTr="00C20CC2">
        <w:trPr>
          <w:cantSplit/>
        </w:trPr>
        <w:tc>
          <w:tcPr>
            <w:tcW w:w="583" w:type="pct"/>
            <w:vMerge/>
          </w:tcPr>
          <w:p w14:paraId="4A58271E" w14:textId="77777777" w:rsidR="009776A1" w:rsidRPr="00097A86" w:rsidRDefault="009776A1" w:rsidP="00617697">
            <w:pPr>
              <w:spacing w:before="60" w:after="60"/>
              <w:rPr>
                <w:i/>
              </w:rPr>
            </w:pPr>
          </w:p>
        </w:tc>
        <w:tc>
          <w:tcPr>
            <w:tcW w:w="4417" w:type="pct"/>
          </w:tcPr>
          <w:p w14:paraId="32E18516" w14:textId="77777777" w:rsidR="009776A1" w:rsidRPr="00097A86" w:rsidRDefault="009776A1" w:rsidP="00617697">
            <w:pPr>
              <w:pStyle w:val="TableText0"/>
            </w:pPr>
            <w:r w:rsidRPr="00097A86">
              <w:t>where:</w:t>
            </w:r>
          </w:p>
          <w:p w14:paraId="10BB7902" w14:textId="77777777" w:rsidR="009776A1" w:rsidRPr="00097A86" w:rsidRDefault="009776A1" w:rsidP="00617697">
            <w:pPr>
              <w:pStyle w:val="TableText0"/>
              <w:rPr>
                <w:b/>
                <w:i/>
              </w:rPr>
            </w:pPr>
            <w:r w:rsidRPr="00097A86">
              <w:rPr>
                <w:rFonts w:ascii="Symbol" w:hAnsi="Symbol"/>
                <w:b/>
                <w:i/>
              </w:rPr>
              <w:t></w:t>
            </w:r>
            <w:r w:rsidRPr="00097A86">
              <w:rPr>
                <w:b/>
                <w:i/>
                <w:vertAlign w:val="subscript"/>
              </w:rPr>
              <w:t xml:space="preserve">i </w:t>
            </w:r>
            <w:r w:rsidRPr="00097A86">
              <w:t>has the same meaning as in step 1.</w:t>
            </w:r>
          </w:p>
          <w:p w14:paraId="031DF74E" w14:textId="77777777" w:rsidR="009776A1" w:rsidRPr="00097A86" w:rsidRDefault="009776A1" w:rsidP="00617697">
            <w:pPr>
              <w:pStyle w:val="TableText0"/>
              <w:rPr>
                <w:iCs/>
              </w:rPr>
            </w:pPr>
            <w:r w:rsidRPr="00097A86">
              <w:rPr>
                <w:b/>
                <w:i/>
              </w:rPr>
              <w:t>CCF</w:t>
            </w:r>
            <w:r w:rsidRPr="00097A86">
              <w:rPr>
                <w:b/>
                <w:i/>
                <w:vertAlign w:val="subscript"/>
              </w:rPr>
              <w:t xml:space="preserve">i </w:t>
            </w:r>
            <w:r w:rsidRPr="00097A86">
              <w:t>has the same meaning as in step 1.</w:t>
            </w:r>
          </w:p>
          <w:p w14:paraId="2FA519F1" w14:textId="77777777" w:rsidR="009776A1" w:rsidRPr="00097A86" w:rsidRDefault="009776A1" w:rsidP="00617697">
            <w:pPr>
              <w:pStyle w:val="TableText0"/>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w:t>
            </w:r>
            <w:r w:rsidRPr="00097A86">
              <w:t>change in stocks</w:t>
            </w:r>
            <w:r w:rsidRPr="00097A86">
              <w:rPr>
                <w:iCs/>
              </w:rPr>
              <w:t xml:space="preserve">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6BE10BA4" w14:textId="77777777" w:rsidR="009776A1" w:rsidRPr="00097A86" w:rsidRDefault="009776A1" w:rsidP="00617697">
            <w:pPr>
              <w:pStyle w:val="TableText0"/>
              <w:rPr>
                <w:b/>
                <w:i/>
              </w:rPr>
            </w:pPr>
            <w:r w:rsidRPr="00097A86">
              <w:rPr>
                <w:rFonts w:ascii="Symbol" w:hAnsi="Symbol"/>
                <w:b/>
                <w:i/>
              </w:rPr>
              <w:t></w:t>
            </w:r>
            <w:r w:rsidRPr="00097A86">
              <w:rPr>
                <w:b/>
                <w:i/>
                <w:vertAlign w:val="subscript"/>
              </w:rPr>
              <w:t xml:space="preserve">p </w:t>
            </w:r>
            <w:r w:rsidRPr="00097A86">
              <w:t>has the same meaning as in step 2.</w:t>
            </w:r>
          </w:p>
          <w:p w14:paraId="3388824C" w14:textId="77777777" w:rsidR="009776A1" w:rsidRPr="00097A86" w:rsidRDefault="009776A1" w:rsidP="00617697">
            <w:pPr>
              <w:pStyle w:val="TableText0"/>
              <w:rPr>
                <w:b/>
                <w:i/>
                <w:iCs/>
              </w:rPr>
            </w:pPr>
            <w:r w:rsidRPr="00097A86">
              <w:rPr>
                <w:b/>
                <w:i/>
              </w:rPr>
              <w:t>CCF</w:t>
            </w:r>
            <w:r w:rsidRPr="00097A86">
              <w:rPr>
                <w:b/>
                <w:i/>
                <w:vertAlign w:val="subscript"/>
              </w:rPr>
              <w:t xml:space="preserve">p </w:t>
            </w:r>
            <w:r w:rsidRPr="00097A86">
              <w:t>has the same meaning as in step 2.</w:t>
            </w:r>
          </w:p>
          <w:p w14:paraId="16FB70DC" w14:textId="77777777" w:rsidR="009776A1" w:rsidRPr="00097A86" w:rsidRDefault="009776A1" w:rsidP="00617697">
            <w:pPr>
              <w:pStyle w:val="TableText0"/>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w:t>
            </w:r>
            <w:r w:rsidRPr="00097A86">
              <w:t>change in stocks</w:t>
            </w:r>
            <w:r w:rsidRPr="00097A86">
              <w:rPr>
                <w:iCs/>
                <w:szCs w:val="18"/>
              </w:rPr>
              <w:t xml:space="preserve">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4FE4FEC7" w14:textId="77777777" w:rsidTr="00C20CC2">
        <w:trPr>
          <w:cantSplit/>
        </w:trPr>
        <w:tc>
          <w:tcPr>
            <w:tcW w:w="583" w:type="pct"/>
          </w:tcPr>
          <w:p w14:paraId="7E0DD6C9" w14:textId="77777777" w:rsidR="009776A1" w:rsidRPr="00097A86" w:rsidRDefault="009776A1" w:rsidP="00617697">
            <w:pPr>
              <w:spacing w:before="60" w:after="60"/>
              <w:rPr>
                <w:i/>
              </w:rPr>
            </w:pPr>
          </w:p>
        </w:tc>
        <w:tc>
          <w:tcPr>
            <w:tcW w:w="4417" w:type="pct"/>
          </w:tcPr>
          <w:p w14:paraId="73F5D700" w14:textId="77777777" w:rsidR="009776A1" w:rsidRPr="00097A86" w:rsidRDefault="009776A1" w:rsidP="00617697">
            <w:pPr>
              <w:pStyle w:val="TableText0"/>
              <w:rPr>
                <w:b/>
                <w:i/>
              </w:rPr>
            </w:pPr>
            <w:r w:rsidRPr="00097A86">
              <w:rPr>
                <w:rFonts w:ascii="Symbol" w:hAnsi="Symbol"/>
                <w:b/>
                <w:i/>
              </w:rPr>
              <w:t></w:t>
            </w:r>
            <w:r w:rsidRPr="00097A86">
              <w:rPr>
                <w:b/>
                <w:i/>
                <w:vertAlign w:val="subscript"/>
              </w:rPr>
              <w:t xml:space="preserve">r </w:t>
            </w:r>
            <w:r w:rsidRPr="00097A86">
              <w:t>has the same meaning as in step 3.</w:t>
            </w:r>
          </w:p>
          <w:p w14:paraId="3946101D" w14:textId="77777777" w:rsidR="009776A1" w:rsidRPr="00097A86" w:rsidRDefault="009776A1" w:rsidP="00617697">
            <w:pPr>
              <w:pStyle w:val="TableText0"/>
              <w:rPr>
                <w:b/>
                <w:i/>
                <w:iCs/>
              </w:rPr>
            </w:pPr>
            <w:r w:rsidRPr="00097A86">
              <w:rPr>
                <w:b/>
                <w:i/>
              </w:rPr>
              <w:t>CCF</w:t>
            </w:r>
            <w:r w:rsidRPr="00097A86">
              <w:rPr>
                <w:b/>
                <w:i/>
                <w:vertAlign w:val="subscript"/>
              </w:rPr>
              <w:t xml:space="preserve">r </w:t>
            </w:r>
            <w:r w:rsidRPr="00097A86">
              <w:t>has the same meaning as in step 3.</w:t>
            </w:r>
          </w:p>
        </w:tc>
      </w:tr>
      <w:tr w:rsidR="009776A1" w:rsidRPr="00097A86" w14:paraId="26523DBF" w14:textId="77777777" w:rsidTr="00C20CC2">
        <w:trPr>
          <w:cantSplit/>
          <w:trHeight w:val="755"/>
        </w:trPr>
        <w:tc>
          <w:tcPr>
            <w:tcW w:w="583" w:type="pct"/>
          </w:tcPr>
          <w:p w14:paraId="1F0EF4C2" w14:textId="77777777" w:rsidR="009776A1" w:rsidRPr="00097A86" w:rsidRDefault="009776A1" w:rsidP="00617697">
            <w:pPr>
              <w:spacing w:before="60" w:after="60"/>
              <w:rPr>
                <w:i/>
              </w:rPr>
            </w:pPr>
          </w:p>
        </w:tc>
        <w:tc>
          <w:tcPr>
            <w:tcW w:w="4417" w:type="pct"/>
          </w:tcPr>
          <w:p w14:paraId="1BD06F80" w14:textId="77777777" w:rsidR="009776A1" w:rsidRPr="00097A86" w:rsidRDefault="009776A1" w:rsidP="00617697">
            <w:pPr>
              <w:pStyle w:val="TableText0"/>
              <w:rPr>
                <w:rFonts w:ascii="Symbol" w:hAnsi="Symbol"/>
                <w:b/>
                <w:i/>
              </w:rPr>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w:t>
            </w:r>
            <w:r w:rsidRPr="00097A86">
              <w:t>change in stocks</w:t>
            </w:r>
            <w:r w:rsidRPr="00097A86">
              <w:rPr>
                <w:iCs/>
              </w:rPr>
              <w:t xml:space="preserve">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F43FC0" w:rsidRPr="00097A86" w14:paraId="331A3C35" w14:textId="77777777" w:rsidTr="00C20CC2">
        <w:tblPrEx>
          <w:tblLook w:val="04A0" w:firstRow="1" w:lastRow="0" w:firstColumn="1" w:lastColumn="0" w:noHBand="0" w:noVBand="1"/>
        </w:tblPrEx>
        <w:trPr>
          <w:cantSplit/>
          <w:trHeight w:val="610"/>
        </w:trPr>
        <w:tc>
          <w:tcPr>
            <w:tcW w:w="583" w:type="pct"/>
          </w:tcPr>
          <w:p w14:paraId="3C177D5D" w14:textId="77777777" w:rsidR="00F43FC0" w:rsidRPr="00097A86" w:rsidRDefault="00F43FC0" w:rsidP="00557E5E">
            <w:pPr>
              <w:spacing w:before="60" w:after="60"/>
              <w:rPr>
                <w:i/>
              </w:rPr>
            </w:pPr>
          </w:p>
        </w:tc>
        <w:tc>
          <w:tcPr>
            <w:tcW w:w="4417" w:type="pct"/>
            <w:hideMark/>
          </w:tcPr>
          <w:p w14:paraId="6C311C5E" w14:textId="77777777" w:rsidR="00F43FC0" w:rsidRPr="00097A86" w:rsidRDefault="00F43FC0" w:rsidP="00557E5E">
            <w:pPr>
              <w:pStyle w:val="TableText0"/>
              <w:rPr>
                <w:rFonts w:ascii="Symbol" w:hAnsi="Symbol"/>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476363CB" wp14:editId="4AF82FFF">
                      <wp:extent cx="257175" cy="352424"/>
                      <wp:effectExtent l="0" t="0" r="9525"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212"/>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C765" w14:textId="77777777" w:rsidR="00497E3C" w:rsidRDefault="00497E3C" w:rsidP="00F43FC0">
                                    <w:r>
                                      <w:rPr>
                                        <w:color w:val="000000"/>
                                        <w:position w:val="-12"/>
                                        <w:sz w:val="16"/>
                                        <w:szCs w:val="16"/>
                                        <w:lang w:val="en-US"/>
                                      </w:rPr>
                                      <w:t>1</w:t>
                                    </w:r>
                                  </w:p>
                                </w:txbxContent>
                              </wps:txbx>
                              <wps:bodyPr rot="0" vert="horz" wrap="none" lIns="0" tIns="0" rIns="0" bIns="0" anchor="t" anchorCtr="0" upright="1">
                                <a:noAutofit/>
                              </wps:bodyPr>
                            </wps:wsp>
                            <wps:wsp>
                              <wps:cNvPr id="38" name="Line 213"/>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14"/>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BDC2" w14:textId="77777777" w:rsidR="00497E3C" w:rsidRDefault="00497E3C" w:rsidP="00F43FC0">
                                    <w:pPr>
                                      <w:spacing w:line="240" w:lineRule="auto"/>
                                      <w:rPr>
                                        <w:position w:val="-12"/>
                                        <w:sz w:val="16"/>
                                        <w:szCs w:val="16"/>
                                      </w:rPr>
                                    </w:pPr>
                                    <w:r>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476363CB" id="Canvas 43" o:spid="_x0000_s1051" editas="canvas" style="width:20.25pt;height:27.75pt;mso-position-horizontal-relative:char;mso-position-vertical-relative:line" coordsize="257175,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heiwMAAMgMAAAOAAAAZHJzL2Uyb0RvYy54bWzsV11vmzAUfZ+0/2D5nYIJIQGVTl3STJO6&#10;rVq3H+CACdbARrYb0k3777s20CSdolX70h6WB2psc33vPefc656/2DU12jKluRQZJmcBRkzksuBi&#10;k+GPH1beHCNtqChoLQXL8D3T+MXF82fnXZuyUFayLphCYETotGszXBnTpr6v84o1VJ/JlglYLKVq&#10;qIFXtfELRTuw3tR+GASx30lVtErmTGuYXfaL+MLZL0uWm3dlqZlBdYbBN+Oeyj3X9ulfnNN0o2hb&#10;8Xxwg/6EFw3lAg59MLWkhqI7xb8z1fBcSS1Lc5bLxpdlyXPmYoBoSPAomgUVW6pdMDlkZ3QQRr/R&#10;7npj/RZyxesasuGD9dTO2b8d4MNgsmsBHd0+4KR/7fzbirbMhaXT/O32RiFeZHgyw0jQBkjyHmCj&#10;YlMzFJLQQmTPh4237Y2yzur2WuafNBJyUcE+dqmU7CpGC/CL2P0QxMEH9kXDp2jdvZEF2Kd3Rjq0&#10;dqVqrEHAAe0yPJ/MQyDJPVgJSDyQg+0MymFxSqLJFKPcrpJ4Hrlln6ajjVZp84rJBtlBhhXE4M6g&#10;22ttrE80HbccJZymtTiagI39DJwMn9o164Nj05ckSK7mV/PIi8L4youC5dK7XC0iL16R2XQ5WS4W&#10;S/LVnkuitOJFwYTFdWQ2iZ4G3KCxnpMP3Nay5oU1Z13SarNe1AptKShr5X4u87Cy3+Yfu+GSALE8&#10;ComEUfAyTLxVPJ950SqaesksmHsBSV4mcRAl0XJ1HNI1F+zXQ0JdhpNpOHUoHTj9KLbA/b6PjaYN&#10;N1C7at4Acx420dQS8UoUADlNDeV1Pz5IhXV/nwqAewTa0dYytWe82a13ThnEcc3SeC2LeyCyksAw&#10;YCoUXhhUUn3GqIMilmEBVRaj+rUAKdh6Nw7UOFiPAypy+DDDBqN+uDB9XbxrFd9UYJe4zAh5CXIp&#10;uePw3odBZFAV/lZ5gE7SlwcHf0gmB5VhIW7UUCeepHQyAYr1Sp8kQTy1pnqZWamHwZQEg9ZjEH2v&#10;3hNCrwFNl6inCN1yDtB0AtrL5MmMU/JuINYpkv2jpWPfXk5VhNMy6DlvMbDs+3uEi8KRcIf9KDpg&#10;3Z/uRwND43gCZD1maJiE+240i2Y/IOn/bgRN66AE912s59yo/KHB/u9Gw7XjZDdyV6x9J/jXuhH4&#10;7W7LrsUOV3t7Hz98d8Vk/w/IxTcAAAD//wMAUEsDBBQABgAIAAAAIQCh6M3S3AAAAAMBAAAPAAAA&#10;ZHJzL2Rvd25yZXYueG1sTI9NS8NAEIbvgv9hGcFLsbt+pGjMphRB8KDFVsEep9kxCWZnQ3bbxn/v&#10;1IteBob35ZlnivnoO7WnIbaBLVxODSjiKriWawvvb48Xt6BiQnbYBSYL3xRhXp6eFJi7cOAV7dep&#10;VgLhmKOFJqU+1zpWDXmM09ATS/YZBo9J1qHWbsCDwH2nr4yZaY8ty4UGe3poqPpa77xQ7iaLyfKD&#10;n16W43M1W23M9ebVWHt+Ni7uQSUa018ZjvqiDqU4bcOOXVSdBXkk/U7JbkwGamshyzLQZaH/u5c/&#10;AAAA//8DAFBLAQItABQABgAIAAAAIQC2gziS/gAAAOEBAAATAAAAAAAAAAAAAAAAAAAAAABbQ29u&#10;dGVudF9UeXBlc10ueG1sUEsBAi0AFAAGAAgAAAAhADj9If/WAAAAlAEAAAsAAAAAAAAAAAAAAAAA&#10;LwEAAF9yZWxzLy5yZWxzUEsBAi0AFAAGAAgAAAAhAI0gaF6LAwAAyAwAAA4AAAAAAAAAAAAAAAAA&#10;LgIAAGRycy9lMm9Eb2MueG1sUEsBAi0AFAAGAAgAAAAhAKHozdLcAAAAAwEAAA8AAAAAAAAAAAAA&#10;AAAA5QUAAGRycy9kb3ducmV2LnhtbFBLBQYAAAAABAAEAPMAAADuBgAAAAA=&#10;">
                      <v:shape id="_x0000_s1052" type="#_x0000_t75" style="position:absolute;width:257175;height:351790;visibility:visible;mso-wrap-style:square">
                        <v:fill o:detectmouseclick="t"/>
                        <v:path o:connecttype="none"/>
                      </v:shape>
                      <v:rect id="Rectangle 212" o:spid="_x0000_s1053"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inset="0,0,0,0">
                          <w:txbxContent>
                            <w:p w14:paraId="0F15C765" w14:textId="77777777" w:rsidR="00497E3C" w:rsidRDefault="00497E3C" w:rsidP="00F43FC0">
                              <w:r>
                                <w:rPr>
                                  <w:color w:val="000000"/>
                                  <w:position w:val="-12"/>
                                  <w:sz w:val="16"/>
                                  <w:szCs w:val="16"/>
                                  <w:lang w:val="en-US"/>
                                </w:rPr>
                                <w:t>1</w:t>
                              </w:r>
                            </w:p>
                          </w:txbxContent>
                        </v:textbox>
                      </v:rect>
                      <v:line id="Line 213" o:spid="_x0000_s1054"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z7sAAAADbAAAADwAAAGRycy9kb3ducmV2LnhtbERPz2vCMBS+D/wfwhN2m6kTVDqjiGxY&#10;j7a9eHtrnm2xeSlJpp1/vTkIHj++36vNYDpxJedbywqmkwQEcWV1y7WCsvj5WILwAVljZ5kU/JOH&#10;zXr0tsJU2xsf6ZqHWsQQ9ikqaELoUyl91ZBBP7E9ceTO1hkMEbpaaoe3GG46+Zkkc2mw5djQYE+7&#10;hqpL/mcU3LPiuzxl++NveT8VB5t7tzgvlXofD9svEIGG8BI/3ZlWMItj45f4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os+7AAAAA2wAAAA8AAAAAAAAAAAAAAAAA&#10;oQIAAGRycy9kb3ducmV2LnhtbFBLBQYAAAAABAAEAPkAAACOAwAAAAA=&#10;" strokeweight="28e-5mm"/>
                      <v:rect id="Rectangle 214" o:spid="_x0000_s1055"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14:paraId="7DF7BDC2" w14:textId="77777777" w:rsidR="00497E3C" w:rsidRDefault="00497E3C" w:rsidP="00F43FC0">
                              <w:pPr>
                                <w:spacing w:line="240" w:lineRule="auto"/>
                                <w:rPr>
                                  <w:position w:val="-12"/>
                                  <w:sz w:val="16"/>
                                  <w:szCs w:val="16"/>
                                </w:rPr>
                              </w:pPr>
                              <w:r>
                                <w:rPr>
                                  <w:color w:val="000000"/>
                                  <w:position w:val="-12"/>
                                  <w:sz w:val="16"/>
                                  <w:szCs w:val="16"/>
                                  <w:lang w:val="en-US"/>
                                </w:rPr>
                                <w:t>3.664</w:t>
                              </w:r>
                            </w:p>
                          </w:txbxContent>
                        </v:textbox>
                      </v:rect>
                      <w10:anchorlock/>
                    </v:group>
                  </w:pict>
                </mc:Fallback>
              </mc:AlternateContent>
            </w:r>
            <w:r w:rsidRPr="00097A86">
              <w:t>for converting the mass of carbon dioxide to a mass of carbon.</w:t>
            </w:r>
          </w:p>
        </w:tc>
      </w:tr>
      <w:tr w:rsidR="009776A1" w:rsidRPr="00097A86" w14:paraId="357E041F" w14:textId="77777777" w:rsidTr="00C20CC2">
        <w:trPr>
          <w:cantSplit/>
        </w:trPr>
        <w:tc>
          <w:tcPr>
            <w:tcW w:w="583" w:type="pct"/>
          </w:tcPr>
          <w:p w14:paraId="1084930D" w14:textId="77777777" w:rsidR="009776A1" w:rsidRPr="00097A86" w:rsidRDefault="009776A1" w:rsidP="00617697">
            <w:pPr>
              <w:spacing w:before="60" w:after="60"/>
              <w:rPr>
                <w:i/>
              </w:rPr>
            </w:pPr>
          </w:p>
        </w:tc>
        <w:tc>
          <w:tcPr>
            <w:tcW w:w="4417" w:type="pct"/>
          </w:tcPr>
          <w:p w14:paraId="490A0C60" w14:textId="77777777" w:rsidR="009776A1" w:rsidRPr="00097A86" w:rsidRDefault="009776A1" w:rsidP="00617697">
            <w:pPr>
              <w:pStyle w:val="TableText0"/>
              <w:rPr>
                <w:iCs/>
                <w:szCs w:val="22"/>
              </w:rPr>
            </w:pPr>
            <w:r w:rsidRPr="00097A86">
              <w:rPr>
                <w:b/>
                <w:i/>
                <w:szCs w:val="22"/>
              </w:rPr>
              <w:t xml:space="preserve">γ </w:t>
            </w:r>
            <w:r w:rsidRPr="00097A86">
              <w:rPr>
                <w:szCs w:val="22"/>
              </w:rPr>
              <w:t>is the factor 1.861 ×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p w14:paraId="218990A0" w14:textId="77777777" w:rsidR="009776A1" w:rsidRPr="00097A86" w:rsidRDefault="009776A1" w:rsidP="00617697">
            <w:pPr>
              <w:pStyle w:val="TableText0"/>
              <w:spacing w:line="240" w:lineRule="auto"/>
              <w:rPr>
                <w:rFonts w:ascii="Symbol" w:hAnsi="Symbol"/>
                <w:b/>
                <w:i/>
                <w:szCs w:val="22"/>
              </w:rPr>
            </w:pPr>
            <w:r w:rsidRPr="00097A86">
              <w:rPr>
                <w:b/>
                <w:i/>
                <w:szCs w:val="22"/>
              </w:rPr>
              <w:t>RCCS</w:t>
            </w:r>
            <w:r w:rsidRPr="00097A86">
              <w:rPr>
                <w:b/>
                <w:i/>
                <w:szCs w:val="22"/>
                <w:vertAlign w:val="subscript"/>
              </w:rPr>
              <w:t>CO</w:t>
            </w:r>
            <w:r w:rsidRPr="00097A86">
              <w:rPr>
                <w:b/>
                <w:i/>
                <w:position w:val="-4"/>
                <w:szCs w:val="22"/>
                <w:vertAlign w:val="subscript"/>
              </w:rPr>
              <w:t>2</w:t>
            </w:r>
            <w:r w:rsidRPr="00097A86">
              <w:rPr>
                <w:szCs w:val="22"/>
              </w:rPr>
              <w:t xml:space="preserve"> is carbon dioxide captured for permanent storage measured in cubic metres in accordance with Division</w:t>
            </w:r>
            <w:r w:rsidR="00097A86">
              <w:rPr>
                <w:szCs w:val="22"/>
              </w:rPr>
              <w:t> </w:t>
            </w:r>
            <w:r w:rsidRPr="00097A86">
              <w:rPr>
                <w:szCs w:val="22"/>
              </w:rPr>
              <w:t>1.2.3.</w:t>
            </w:r>
          </w:p>
        </w:tc>
      </w:tr>
    </w:tbl>
    <w:p w14:paraId="3E70E35E" w14:textId="77777777" w:rsidR="003F0D4E" w:rsidRPr="00097A86" w:rsidRDefault="003F0D4E" w:rsidP="00D22D3F">
      <w:pPr>
        <w:pStyle w:val="subsection"/>
      </w:pPr>
      <w:r w:rsidRPr="00097A86">
        <w:tab/>
        <w:t>(2)</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0BCF5947" w14:textId="77777777" w:rsidR="003F0D4E" w:rsidRPr="00097A86" w:rsidRDefault="003F0D4E" w:rsidP="00D22D3F">
      <w:pPr>
        <w:pStyle w:val="subsection"/>
      </w:pPr>
      <w:r w:rsidRPr="00097A86">
        <w:tab/>
        <w:t>(3)</w:t>
      </w:r>
      <w:r w:rsidRPr="00097A86">
        <w:tab/>
        <w:t>The sampling and analysis is to be carried out using the sampling and analysis provided for in Divisions</w:t>
      </w:r>
      <w:r w:rsidR="00097A86">
        <w:t> </w:t>
      </w:r>
      <w:r w:rsidRPr="00097A86">
        <w:t>2.2.3, 2.3.3 and 2.4.3 that apply to the combustion of solid, liquid or gaseous fuels.</w:t>
      </w:r>
    </w:p>
    <w:p w14:paraId="2CA0C140" w14:textId="77777777" w:rsidR="008D5B11" w:rsidRPr="00097A86" w:rsidRDefault="008D5B11" w:rsidP="00D22D3F">
      <w:pPr>
        <w:pStyle w:val="ActHead5"/>
      </w:pPr>
      <w:bookmarkStart w:id="466" w:name="_Toc13233898"/>
      <w:r w:rsidRPr="00097A86">
        <w:rPr>
          <w:rStyle w:val="CharSectno"/>
        </w:rPr>
        <w:t>4.68</w:t>
      </w:r>
      <w:r w:rsidR="00D22D3F" w:rsidRPr="00097A86">
        <w:t xml:space="preserve">  </w:t>
      </w:r>
      <w:r w:rsidRPr="00097A86">
        <w:t>Method 3</w:t>
      </w:r>
      <w:r w:rsidR="00D22D3F" w:rsidRPr="00097A86">
        <w:t>—</w:t>
      </w:r>
      <w:r w:rsidRPr="00097A86">
        <w:t>production of a metal from an integrated metalworks</w:t>
      </w:r>
      <w:bookmarkEnd w:id="466"/>
    </w:p>
    <w:p w14:paraId="2E228087" w14:textId="77777777" w:rsidR="003F0D4E" w:rsidRPr="00097A86" w:rsidRDefault="003F0D4E" w:rsidP="00D22D3F">
      <w:pPr>
        <w:pStyle w:val="subsection"/>
      </w:pPr>
      <w:r w:rsidRPr="00097A86">
        <w:tab/>
        <w:t>(1)</w:t>
      </w:r>
      <w:r w:rsidRPr="00097A86">
        <w:tab/>
        <w:t xml:space="preserve">Subject to this section, method 3 is the same as </w:t>
      </w:r>
      <w:r w:rsidR="002E39CE" w:rsidRPr="00097A86">
        <w:t>method 2 under section</w:t>
      </w:r>
      <w:r w:rsidR="00097A86">
        <w:t> </w:t>
      </w:r>
      <w:r w:rsidR="002E39CE" w:rsidRPr="00097A86">
        <w:t>4.67</w:t>
      </w:r>
      <w:r w:rsidRPr="00097A86">
        <w:t>.</w:t>
      </w:r>
    </w:p>
    <w:p w14:paraId="7CA9916F" w14:textId="77777777" w:rsidR="003F0D4E" w:rsidRPr="00097A86" w:rsidRDefault="003F0D4E" w:rsidP="00D22D3F">
      <w:pPr>
        <w:pStyle w:val="subsection"/>
      </w:pPr>
      <w:r w:rsidRPr="00097A86">
        <w:tab/>
        <w:t>(2)</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w:t>
      </w:r>
      <w:r w:rsidRPr="00097A86">
        <w:rPr>
          <w:b/>
          <w:i/>
        </w:rPr>
        <w:t xml:space="preserve"> (i) </w:t>
      </w:r>
      <w:r w:rsidRPr="00097A86">
        <w:t>or carbonaceous input material must be carried out to determine its carbon content.</w:t>
      </w:r>
    </w:p>
    <w:p w14:paraId="103D39BA" w14:textId="77777777" w:rsidR="003F0D4E" w:rsidRPr="00097A86" w:rsidRDefault="003F0D4E" w:rsidP="00D22D3F">
      <w:pPr>
        <w:pStyle w:val="subsection"/>
      </w:pPr>
      <w:r w:rsidRPr="00097A86">
        <w:tab/>
        <w:t>(3)</w:t>
      </w:r>
      <w:r w:rsidRPr="00097A86">
        <w:tab/>
        <w:t>The sampling and analysis is to be carried out using the methods set out in Divisions</w:t>
      </w:r>
      <w:r w:rsidR="00097A86">
        <w:t> </w:t>
      </w:r>
      <w:r w:rsidRPr="00097A86">
        <w:t>2.2.4, 2.3.4 and 2.4.4 that apply to the combustion of solid, liquid or gaseous fuels:</w:t>
      </w:r>
    </w:p>
    <w:p w14:paraId="17DC455A" w14:textId="77777777" w:rsidR="009369D1" w:rsidRPr="00097A86" w:rsidRDefault="009369D1" w:rsidP="00D22D3F">
      <w:pPr>
        <w:pStyle w:val="ActHead3"/>
        <w:pageBreakBefore/>
      </w:pPr>
      <w:bookmarkStart w:id="467" w:name="_Toc13233899"/>
      <w:r w:rsidRPr="00097A86">
        <w:rPr>
          <w:rStyle w:val="CharDivNo"/>
        </w:rPr>
        <w:lastRenderedPageBreak/>
        <w:t>Division</w:t>
      </w:r>
      <w:r w:rsidR="00097A86">
        <w:rPr>
          <w:rStyle w:val="CharDivNo"/>
        </w:rPr>
        <w:t> </w:t>
      </w:r>
      <w:r w:rsidRPr="00097A86">
        <w:rPr>
          <w:rStyle w:val="CharDivNo"/>
        </w:rPr>
        <w:t>4.4.2</w:t>
      </w:r>
      <w:r w:rsidR="00D22D3F" w:rsidRPr="00097A86">
        <w:t>—</w:t>
      </w:r>
      <w:r w:rsidRPr="00097A86">
        <w:rPr>
          <w:rStyle w:val="CharDivText"/>
        </w:rPr>
        <w:t>Ferroalloys production</w:t>
      </w:r>
      <w:bookmarkEnd w:id="467"/>
    </w:p>
    <w:p w14:paraId="785D4AAF" w14:textId="77777777" w:rsidR="002E39CE" w:rsidRPr="00097A86" w:rsidRDefault="002E39CE" w:rsidP="00D22D3F">
      <w:pPr>
        <w:pStyle w:val="ActHead5"/>
      </w:pPr>
      <w:bookmarkStart w:id="468" w:name="_Toc13233900"/>
      <w:r w:rsidRPr="00097A86">
        <w:rPr>
          <w:rStyle w:val="CharSectno"/>
        </w:rPr>
        <w:t>4.69</w:t>
      </w:r>
      <w:r w:rsidR="00D22D3F" w:rsidRPr="00097A86">
        <w:t xml:space="preserve">  </w:t>
      </w:r>
      <w:r w:rsidRPr="00097A86">
        <w:t>Application</w:t>
      </w:r>
      <w:bookmarkEnd w:id="468"/>
    </w:p>
    <w:p w14:paraId="2E07163C" w14:textId="77777777" w:rsidR="002E39CE" w:rsidRPr="00097A86" w:rsidRDefault="002E39CE" w:rsidP="00D22D3F">
      <w:pPr>
        <w:pStyle w:val="subsection"/>
      </w:pPr>
      <w:r w:rsidRPr="00097A86">
        <w:tab/>
        <w:t>(1)</w:t>
      </w:r>
      <w:r w:rsidRPr="00097A86">
        <w:tab/>
        <w:t>This Division applies to emissions of carbon dioxide from any of the following:</w:t>
      </w:r>
    </w:p>
    <w:p w14:paraId="60ECBC9C" w14:textId="77777777" w:rsidR="002E39CE" w:rsidRPr="00097A86" w:rsidRDefault="002E39CE" w:rsidP="00D22D3F">
      <w:pPr>
        <w:pStyle w:val="paragraph"/>
      </w:pPr>
      <w:r w:rsidRPr="00097A86">
        <w:tab/>
        <w:t>(a)</w:t>
      </w:r>
      <w:r w:rsidRPr="00097A86">
        <w:tab/>
        <w:t>the consumption of a fossil fuel reductant during the production of:</w:t>
      </w:r>
    </w:p>
    <w:p w14:paraId="750C8B14" w14:textId="77777777" w:rsidR="002E39CE" w:rsidRPr="00097A86" w:rsidRDefault="002E39CE" w:rsidP="00D22D3F">
      <w:pPr>
        <w:pStyle w:val="paragraphsub"/>
      </w:pPr>
      <w:r w:rsidRPr="00097A86">
        <w:tab/>
        <w:t>(i)</w:t>
      </w:r>
      <w:r w:rsidRPr="00097A86">
        <w:tab/>
        <w:t>a ferroalloy; or</w:t>
      </w:r>
    </w:p>
    <w:p w14:paraId="7D40795F" w14:textId="77777777" w:rsidR="002E39CE" w:rsidRPr="00097A86" w:rsidRDefault="002E39CE" w:rsidP="00D22D3F">
      <w:pPr>
        <w:pStyle w:val="paragraphsub"/>
      </w:pPr>
      <w:r w:rsidRPr="00097A86">
        <w:tab/>
        <w:t>(ii)</w:t>
      </w:r>
      <w:r w:rsidRPr="00097A86">
        <w:tab/>
        <w:t>silicomanganese; or</w:t>
      </w:r>
    </w:p>
    <w:p w14:paraId="2D7D1C23" w14:textId="77777777" w:rsidR="002E39CE" w:rsidRPr="00097A86" w:rsidRDefault="002E39CE" w:rsidP="00D22D3F">
      <w:pPr>
        <w:pStyle w:val="paragraphsub"/>
      </w:pPr>
      <w:r w:rsidRPr="00097A86">
        <w:tab/>
        <w:t>(iii)</w:t>
      </w:r>
      <w:r w:rsidRPr="00097A86">
        <w:tab/>
        <w:t>silicon;</w:t>
      </w:r>
    </w:p>
    <w:p w14:paraId="33AD3079" w14:textId="77777777" w:rsidR="002E39CE" w:rsidRPr="00097A86" w:rsidRDefault="002E39CE" w:rsidP="00D22D3F">
      <w:pPr>
        <w:pStyle w:val="paragraph"/>
      </w:pPr>
      <w:r w:rsidRPr="00097A86">
        <w:tab/>
        <w:t>(b)</w:t>
      </w:r>
      <w:r w:rsidRPr="00097A86">
        <w:tab/>
        <w:t>the oxidation of a fossil fuel electrode in the production of:</w:t>
      </w:r>
    </w:p>
    <w:p w14:paraId="16296FEC" w14:textId="77777777" w:rsidR="002E39CE" w:rsidRPr="00097A86" w:rsidRDefault="002E39CE" w:rsidP="00D22D3F">
      <w:pPr>
        <w:pStyle w:val="paragraphsub"/>
      </w:pPr>
      <w:r w:rsidRPr="00097A86">
        <w:tab/>
        <w:t>(i)</w:t>
      </w:r>
      <w:r w:rsidRPr="00097A86">
        <w:tab/>
        <w:t>a ferroalloy; or</w:t>
      </w:r>
    </w:p>
    <w:p w14:paraId="4EB75BAB" w14:textId="77777777" w:rsidR="002E39CE" w:rsidRPr="00097A86" w:rsidRDefault="002E39CE" w:rsidP="00D22D3F">
      <w:pPr>
        <w:pStyle w:val="paragraphsub"/>
      </w:pPr>
      <w:r w:rsidRPr="00097A86">
        <w:tab/>
        <w:t>(ii)</w:t>
      </w:r>
      <w:r w:rsidRPr="00097A86">
        <w:tab/>
        <w:t>silicomanganese; or</w:t>
      </w:r>
    </w:p>
    <w:p w14:paraId="6B448C08" w14:textId="77777777" w:rsidR="002E39CE" w:rsidRPr="00097A86" w:rsidRDefault="002E39CE" w:rsidP="00D22D3F">
      <w:pPr>
        <w:pStyle w:val="paragraphsub"/>
      </w:pPr>
      <w:r w:rsidRPr="00097A86">
        <w:tab/>
        <w:t>(iii)</w:t>
      </w:r>
      <w:r w:rsidRPr="00097A86">
        <w:tab/>
        <w:t>silicon.</w:t>
      </w:r>
    </w:p>
    <w:p w14:paraId="3FBCF1BD" w14:textId="77777777" w:rsidR="002E39CE" w:rsidRPr="00097A86" w:rsidRDefault="002E39CE" w:rsidP="00D22D3F">
      <w:pPr>
        <w:pStyle w:val="subsection"/>
      </w:pPr>
      <w:r w:rsidRPr="00097A86">
        <w:tab/>
        <w:t>(2)</w:t>
      </w:r>
      <w:r w:rsidRPr="00097A86">
        <w:tab/>
        <w:t>In this section:</w:t>
      </w:r>
    </w:p>
    <w:p w14:paraId="4E92A99D" w14:textId="77777777" w:rsidR="002E39CE" w:rsidRPr="00097A86" w:rsidRDefault="002E39CE" w:rsidP="00D22D3F">
      <w:pPr>
        <w:pStyle w:val="Definition"/>
      </w:pPr>
      <w:r w:rsidRPr="00097A86">
        <w:rPr>
          <w:b/>
          <w:i/>
        </w:rPr>
        <w:t xml:space="preserve">ferroalloy </w:t>
      </w:r>
      <w:r w:rsidRPr="00097A86">
        <w:t>means an alloy of 1 or more elements with iron including, but not limited to, any of the following:</w:t>
      </w:r>
    </w:p>
    <w:p w14:paraId="6B81D096" w14:textId="77777777" w:rsidR="002E39CE" w:rsidRPr="00097A86" w:rsidRDefault="002E39CE" w:rsidP="00D22D3F">
      <w:pPr>
        <w:pStyle w:val="paragraph"/>
      </w:pPr>
      <w:r w:rsidRPr="00097A86">
        <w:tab/>
        <w:t>(a)</w:t>
      </w:r>
      <w:r w:rsidRPr="00097A86">
        <w:tab/>
        <w:t>ferrochrome;</w:t>
      </w:r>
    </w:p>
    <w:p w14:paraId="6E2C018D" w14:textId="77777777" w:rsidR="002E39CE" w:rsidRPr="00097A86" w:rsidRDefault="002E39CE" w:rsidP="00D22D3F">
      <w:pPr>
        <w:pStyle w:val="paragraph"/>
      </w:pPr>
      <w:r w:rsidRPr="00097A86">
        <w:tab/>
        <w:t>(b)</w:t>
      </w:r>
      <w:r w:rsidRPr="00097A86">
        <w:tab/>
        <w:t>ferromanganese;</w:t>
      </w:r>
    </w:p>
    <w:p w14:paraId="29447031" w14:textId="77777777" w:rsidR="002E39CE" w:rsidRPr="00097A86" w:rsidRDefault="002E39CE" w:rsidP="00D22D3F">
      <w:pPr>
        <w:pStyle w:val="paragraph"/>
      </w:pPr>
      <w:r w:rsidRPr="00097A86">
        <w:tab/>
        <w:t>(c)</w:t>
      </w:r>
      <w:r w:rsidRPr="00097A86">
        <w:tab/>
        <w:t>ferromolybdenum;</w:t>
      </w:r>
    </w:p>
    <w:p w14:paraId="4190C5EB" w14:textId="77777777" w:rsidR="002E39CE" w:rsidRPr="00097A86" w:rsidRDefault="002E39CE" w:rsidP="00D22D3F">
      <w:pPr>
        <w:pStyle w:val="paragraph"/>
      </w:pPr>
      <w:r w:rsidRPr="00097A86">
        <w:tab/>
        <w:t>(d)</w:t>
      </w:r>
      <w:r w:rsidRPr="00097A86">
        <w:tab/>
        <w:t>ferronickel;</w:t>
      </w:r>
    </w:p>
    <w:p w14:paraId="6A059219" w14:textId="77777777" w:rsidR="002E39CE" w:rsidRPr="00097A86" w:rsidRDefault="002E39CE" w:rsidP="00D22D3F">
      <w:pPr>
        <w:pStyle w:val="paragraph"/>
      </w:pPr>
      <w:r w:rsidRPr="00097A86">
        <w:tab/>
        <w:t>(e)</w:t>
      </w:r>
      <w:r w:rsidRPr="00097A86">
        <w:tab/>
        <w:t>ferrosilicon;</w:t>
      </w:r>
    </w:p>
    <w:p w14:paraId="72C2BF17" w14:textId="77777777" w:rsidR="002E39CE" w:rsidRPr="00097A86" w:rsidRDefault="002E39CE" w:rsidP="00D22D3F">
      <w:pPr>
        <w:pStyle w:val="paragraph"/>
      </w:pPr>
      <w:r w:rsidRPr="00097A86">
        <w:tab/>
        <w:t>(f)</w:t>
      </w:r>
      <w:r w:rsidRPr="00097A86">
        <w:tab/>
        <w:t>ferrotitanium;</w:t>
      </w:r>
    </w:p>
    <w:p w14:paraId="3429D8C8" w14:textId="77777777" w:rsidR="002E39CE" w:rsidRPr="00097A86" w:rsidRDefault="002E39CE" w:rsidP="00D22D3F">
      <w:pPr>
        <w:pStyle w:val="paragraph"/>
      </w:pPr>
      <w:r w:rsidRPr="00097A86">
        <w:tab/>
        <w:t>(g)</w:t>
      </w:r>
      <w:r w:rsidRPr="00097A86">
        <w:tab/>
        <w:t>ferrotungsten;</w:t>
      </w:r>
    </w:p>
    <w:p w14:paraId="446E3B36" w14:textId="77777777" w:rsidR="002E39CE" w:rsidRPr="00097A86" w:rsidRDefault="002E39CE" w:rsidP="00D22D3F">
      <w:pPr>
        <w:pStyle w:val="paragraph"/>
      </w:pPr>
      <w:r w:rsidRPr="00097A86">
        <w:tab/>
        <w:t>(h)</w:t>
      </w:r>
      <w:r w:rsidRPr="00097A86">
        <w:tab/>
        <w:t>ferrovanadium.</w:t>
      </w:r>
    </w:p>
    <w:p w14:paraId="53E25631" w14:textId="77777777" w:rsidR="003F0D4E" w:rsidRPr="00097A86" w:rsidRDefault="003F0D4E" w:rsidP="00D22D3F">
      <w:pPr>
        <w:pStyle w:val="ActHead5"/>
      </w:pPr>
      <w:bookmarkStart w:id="469" w:name="_Toc13233901"/>
      <w:r w:rsidRPr="00097A86">
        <w:rPr>
          <w:rStyle w:val="CharSectno"/>
        </w:rPr>
        <w:t>4.70</w:t>
      </w:r>
      <w:r w:rsidR="00D22D3F" w:rsidRPr="00097A86">
        <w:t xml:space="preserve">  </w:t>
      </w:r>
      <w:r w:rsidRPr="00097A86">
        <w:t>Available methods</w:t>
      </w:r>
      <w:bookmarkEnd w:id="469"/>
    </w:p>
    <w:p w14:paraId="2D116BE5"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carbon dioxide during a year from the operation of a facility that is constituted by the production of</w:t>
      </w:r>
      <w:r w:rsidR="002E39CE" w:rsidRPr="00097A86">
        <w:t xml:space="preserve"> ferroalloy metal, silicomanganese or silicon</w:t>
      </w:r>
      <w:r w:rsidRPr="00097A86">
        <w:t>:</w:t>
      </w:r>
    </w:p>
    <w:p w14:paraId="1064FEB8" w14:textId="77777777" w:rsidR="003F0D4E" w:rsidRPr="00097A86" w:rsidRDefault="003F0D4E" w:rsidP="00D22D3F">
      <w:pPr>
        <w:pStyle w:val="paragraph"/>
      </w:pPr>
      <w:r w:rsidRPr="00097A86">
        <w:tab/>
        <w:t>(a)</w:t>
      </w:r>
      <w:r w:rsidRPr="00097A86">
        <w:tab/>
        <w:t>method 1 under section</w:t>
      </w:r>
      <w:r w:rsidR="00097A86">
        <w:t> </w:t>
      </w:r>
      <w:r w:rsidRPr="00097A86">
        <w:t>4.71;</w:t>
      </w:r>
    </w:p>
    <w:p w14:paraId="0D8C9A1C" w14:textId="77777777" w:rsidR="003F0D4E" w:rsidRPr="00097A86" w:rsidRDefault="003F0D4E" w:rsidP="00D22D3F">
      <w:pPr>
        <w:pStyle w:val="paragraph"/>
      </w:pPr>
      <w:r w:rsidRPr="00097A86">
        <w:tab/>
        <w:t>(b)</w:t>
      </w:r>
      <w:r w:rsidRPr="00097A86">
        <w:tab/>
        <w:t>method 2 under section</w:t>
      </w:r>
      <w:r w:rsidR="00097A86">
        <w:t> </w:t>
      </w:r>
      <w:r w:rsidRPr="00097A86">
        <w:t>4.72;</w:t>
      </w:r>
    </w:p>
    <w:p w14:paraId="6600DFAA" w14:textId="77777777" w:rsidR="003F0D4E" w:rsidRPr="00097A86" w:rsidRDefault="003F0D4E" w:rsidP="00D22D3F">
      <w:pPr>
        <w:pStyle w:val="paragraph"/>
      </w:pPr>
      <w:r w:rsidRPr="00097A86">
        <w:tab/>
        <w:t>(c)</w:t>
      </w:r>
      <w:r w:rsidRPr="00097A86">
        <w:tab/>
        <w:t>method 3 under section</w:t>
      </w:r>
      <w:r w:rsidR="00097A86">
        <w:t> </w:t>
      </w:r>
      <w:r w:rsidRPr="00097A86">
        <w:t>4.73;</w:t>
      </w:r>
    </w:p>
    <w:p w14:paraId="4A915F23" w14:textId="77777777" w:rsidR="003F0D4E" w:rsidRPr="00097A86" w:rsidRDefault="003F0D4E" w:rsidP="00D22D3F">
      <w:pPr>
        <w:pStyle w:val="paragraph"/>
      </w:pPr>
      <w:r w:rsidRPr="00097A86">
        <w:tab/>
        <w:t>(d)</w:t>
      </w:r>
      <w:r w:rsidRPr="00097A86">
        <w:tab/>
        <w:t>method 4 under Part</w:t>
      </w:r>
      <w:r w:rsidR="00097A86">
        <w:t> </w:t>
      </w:r>
      <w:r w:rsidRPr="00097A86">
        <w:t>1.3.</w:t>
      </w:r>
    </w:p>
    <w:p w14:paraId="45FBAE83" w14:textId="77777777" w:rsidR="003F0D4E" w:rsidRPr="00097A86" w:rsidRDefault="003F0D4E" w:rsidP="00D22D3F">
      <w:pPr>
        <w:pStyle w:val="subsection"/>
      </w:pPr>
      <w:r w:rsidRPr="00097A86">
        <w:tab/>
        <w:t>(2)</w:t>
      </w:r>
      <w:r w:rsidRPr="00097A86">
        <w:tab/>
        <w:t xml:space="preserve">However, for </w:t>
      </w:r>
      <w:r w:rsidR="005D1E04" w:rsidRPr="00097A86">
        <w:t>incidental emissions</w:t>
      </w:r>
      <w:r w:rsidRPr="00097A86">
        <w:t xml:space="preserve"> another method may be used that is consistent with the principles in section</w:t>
      </w:r>
      <w:r w:rsidR="00097A86">
        <w:t> </w:t>
      </w:r>
      <w:r w:rsidRPr="00097A86">
        <w:t>1.13.</w:t>
      </w:r>
    </w:p>
    <w:p w14:paraId="6362A789" w14:textId="77777777" w:rsidR="00755FAE" w:rsidRPr="00097A86" w:rsidRDefault="00755FAE" w:rsidP="00D22D3F">
      <w:pPr>
        <w:pStyle w:val="ActHead5"/>
        <w:rPr>
          <w:sz w:val="18"/>
        </w:rPr>
      </w:pPr>
      <w:bookmarkStart w:id="470" w:name="_Toc13233902"/>
      <w:r w:rsidRPr="00097A86">
        <w:rPr>
          <w:rStyle w:val="CharSectno"/>
        </w:rPr>
        <w:t>4.71</w:t>
      </w:r>
      <w:r w:rsidR="00D22D3F" w:rsidRPr="00097A86">
        <w:t xml:space="preserve">  </w:t>
      </w:r>
      <w:r w:rsidRPr="00097A86">
        <w:t>Method 1</w:t>
      </w:r>
      <w:r w:rsidR="00D22D3F" w:rsidRPr="00097A86">
        <w:t>—</w:t>
      </w:r>
      <w:r w:rsidRPr="00097A86">
        <w:t>ferroalloy metal</w:t>
      </w:r>
      <w:bookmarkEnd w:id="470"/>
    </w:p>
    <w:p w14:paraId="5AC22BB4" w14:textId="77777777" w:rsidR="00755FAE" w:rsidRPr="00097A86" w:rsidRDefault="00755FAE" w:rsidP="00D22D3F">
      <w:pPr>
        <w:pStyle w:val="subsection"/>
      </w:pPr>
      <w:r w:rsidRPr="00097A86">
        <w:tab/>
      </w:r>
      <w:r w:rsidRPr="00097A86">
        <w:tab/>
        <w:t>Method 1, based on a carbon mass balance approach, is:</w:t>
      </w:r>
    </w:p>
    <w:tbl>
      <w:tblPr>
        <w:tblW w:w="5000" w:type="pct"/>
        <w:tblLook w:val="04A0" w:firstRow="1" w:lastRow="0" w:firstColumn="1" w:lastColumn="0" w:noHBand="0" w:noVBand="1"/>
      </w:tblPr>
      <w:tblGrid>
        <w:gridCol w:w="969"/>
        <w:gridCol w:w="7344"/>
      </w:tblGrid>
      <w:tr w:rsidR="009776A1" w:rsidRPr="00097A86" w14:paraId="0C108032" w14:textId="77777777" w:rsidTr="00C20CC2">
        <w:trPr>
          <w:cantSplit/>
          <w:trHeight w:val="80"/>
        </w:trPr>
        <w:tc>
          <w:tcPr>
            <w:tcW w:w="583" w:type="pct"/>
            <w:hideMark/>
          </w:tcPr>
          <w:p w14:paraId="661378AC" w14:textId="77777777" w:rsidR="009776A1" w:rsidRPr="00097A86" w:rsidRDefault="009776A1" w:rsidP="00617697">
            <w:pPr>
              <w:keepNext/>
              <w:keepLines/>
              <w:spacing w:before="60" w:after="60"/>
            </w:pPr>
            <w:r w:rsidRPr="00097A86">
              <w:lastRenderedPageBreak/>
              <w:t>Step 1</w:t>
            </w:r>
          </w:p>
        </w:tc>
        <w:tc>
          <w:tcPr>
            <w:tcW w:w="4417" w:type="pct"/>
            <w:hideMark/>
          </w:tcPr>
          <w:p w14:paraId="140947FD" w14:textId="77777777" w:rsidR="009776A1" w:rsidRPr="00097A86" w:rsidRDefault="009776A1" w:rsidP="00617697">
            <w:pPr>
              <w:pStyle w:val="TableText0"/>
              <w:keepNext/>
              <w:keepLines/>
            </w:pPr>
            <w:r w:rsidRPr="00097A86">
              <w:t>Work out the carbon content in fuel types (</w:t>
            </w:r>
            <w:r w:rsidRPr="00097A86">
              <w:rPr>
                <w:b/>
                <w:i/>
              </w:rPr>
              <w:t>i</w:t>
            </w:r>
            <w:r w:rsidRPr="00097A86">
              <w:t>) or carbonaceous input material delivered for the activity during the year, measured in tonnes of carbon, as follows:</w:t>
            </w:r>
          </w:p>
          <w:p w14:paraId="431B5ECC" w14:textId="77777777" w:rsidR="009776A1" w:rsidRPr="00097A86" w:rsidRDefault="009E1F90" w:rsidP="00BA13B0">
            <w:pPr>
              <w:pStyle w:val="Formula"/>
              <w:keepNext/>
              <w:keepLines/>
              <w:spacing w:before="120" w:after="120"/>
              <w:ind w:left="13"/>
            </w:pPr>
            <w:r>
              <w:rPr>
                <w:noProof/>
                <w:position w:val="-10"/>
              </w:rPr>
              <w:drawing>
                <wp:inline distT="0" distB="0" distL="0" distR="0" wp14:anchorId="2E562DE4" wp14:editId="3B2B5F04">
                  <wp:extent cx="876300" cy="209550"/>
                  <wp:effectExtent l="0" t="0" r="0" b="0"/>
                  <wp:docPr id="12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p>
        </w:tc>
      </w:tr>
      <w:tr w:rsidR="009776A1" w:rsidRPr="00097A86" w14:paraId="018CD8A3" w14:textId="77777777" w:rsidTr="00C20CC2">
        <w:trPr>
          <w:cantSplit/>
          <w:trHeight w:val="80"/>
        </w:trPr>
        <w:tc>
          <w:tcPr>
            <w:tcW w:w="583" w:type="pct"/>
            <w:vAlign w:val="center"/>
            <w:hideMark/>
          </w:tcPr>
          <w:p w14:paraId="7012A799" w14:textId="77777777" w:rsidR="009776A1" w:rsidRPr="00097A86" w:rsidRDefault="009776A1" w:rsidP="00617697"/>
        </w:tc>
        <w:tc>
          <w:tcPr>
            <w:tcW w:w="4417" w:type="pct"/>
            <w:hideMark/>
          </w:tcPr>
          <w:p w14:paraId="16B48395" w14:textId="77777777" w:rsidR="009776A1" w:rsidRPr="00097A86" w:rsidRDefault="009776A1" w:rsidP="00617697">
            <w:pPr>
              <w:pStyle w:val="TableText0"/>
            </w:pPr>
            <w:r w:rsidRPr="00097A86">
              <w:t>where:</w:t>
            </w:r>
          </w:p>
          <w:p w14:paraId="2628AD4B" w14:textId="77777777" w:rsidR="009776A1" w:rsidRPr="00097A86" w:rsidRDefault="009776A1" w:rsidP="00617697">
            <w:pPr>
              <w:pStyle w:val="TableText0"/>
              <w:spacing w:line="240" w:lineRule="auto"/>
            </w:pPr>
            <w:r w:rsidRPr="00097A86">
              <w:rPr>
                <w:rFonts w:ascii="Symbol" w:hAnsi="Symbol"/>
                <w:b/>
                <w:i/>
              </w:rPr>
              <w:t></w:t>
            </w:r>
            <w:r w:rsidRPr="00097A86">
              <w:rPr>
                <w:b/>
                <w:i/>
                <w:vertAlign w:val="subscript"/>
              </w:rPr>
              <w:t>i</w:t>
            </w:r>
            <w:r w:rsidRPr="00097A86">
              <w:rPr>
                <w:i/>
              </w:rPr>
              <w:t xml:space="preserve"> </w:t>
            </w:r>
            <w:r w:rsidRPr="00097A86">
              <w:t xml:space="preserve">means the sum of the </w:t>
            </w:r>
            <w:r w:rsidRPr="00097A86">
              <w:rPr>
                <w:szCs w:val="22"/>
              </w:rPr>
              <w:t>carbon</w:t>
            </w:r>
            <w:r w:rsidRPr="00097A86">
              <w:t xml:space="preserve"> content values obtained for all fuel types (</w:t>
            </w:r>
            <w:r w:rsidRPr="00097A86">
              <w:rPr>
                <w:b/>
                <w:i/>
              </w:rPr>
              <w:t>i</w:t>
            </w:r>
            <w:r w:rsidRPr="00097A86">
              <w:t>) or carbonaceous input material.</w:t>
            </w:r>
          </w:p>
        </w:tc>
      </w:tr>
      <w:tr w:rsidR="009776A1" w:rsidRPr="00097A86" w14:paraId="5B531810" w14:textId="77777777" w:rsidTr="00C20CC2">
        <w:trPr>
          <w:cantSplit/>
          <w:trHeight w:val="80"/>
        </w:trPr>
        <w:tc>
          <w:tcPr>
            <w:tcW w:w="583" w:type="pct"/>
            <w:vAlign w:val="center"/>
            <w:hideMark/>
          </w:tcPr>
          <w:p w14:paraId="135F9625" w14:textId="77777777" w:rsidR="009776A1" w:rsidRPr="00097A86" w:rsidRDefault="009776A1" w:rsidP="00617697"/>
        </w:tc>
        <w:tc>
          <w:tcPr>
            <w:tcW w:w="4417" w:type="pct"/>
            <w:hideMark/>
          </w:tcPr>
          <w:p w14:paraId="550FD45F" w14:textId="77777777" w:rsidR="009776A1" w:rsidRPr="00097A86" w:rsidRDefault="009776A1" w:rsidP="00617697">
            <w:pPr>
              <w:pStyle w:val="TableText0"/>
              <w:rPr>
                <w:b/>
                <w:i/>
              </w:rPr>
            </w:pPr>
            <w:r w:rsidRPr="00097A86">
              <w:rPr>
                <w:b/>
                <w:i/>
              </w:rPr>
              <w:t>CCF</w:t>
            </w:r>
            <w:r w:rsidRPr="00097A86">
              <w:rPr>
                <w:b/>
                <w:i/>
                <w:vertAlign w:val="subscript"/>
              </w:rPr>
              <w:t>i</w:t>
            </w:r>
            <w:r w:rsidRPr="00097A86">
              <w:rPr>
                <w:i/>
              </w:rPr>
              <w:t xml:space="preserve"> </w:t>
            </w:r>
            <w:r w:rsidRPr="00097A86">
              <w:t>is the carbon content factor mentioned in Schedule</w:t>
            </w:r>
            <w:r w:rsidR="00097A86">
              <w:t> </w:t>
            </w:r>
            <w:r w:rsidRPr="00097A86">
              <w:t>3, measured in tonnes of carbon, for each appropriate unit of fuel type (</w:t>
            </w:r>
            <w:r w:rsidRPr="00097A86">
              <w:rPr>
                <w:b/>
                <w:i/>
              </w:rPr>
              <w:t>i</w:t>
            </w:r>
            <w:r w:rsidRPr="00097A86">
              <w:t>) or carbonaceous input material consumed during the year from the operation of the activity.</w:t>
            </w:r>
          </w:p>
        </w:tc>
      </w:tr>
      <w:tr w:rsidR="009776A1" w:rsidRPr="00097A86" w14:paraId="16F2E55E" w14:textId="77777777" w:rsidTr="00C20CC2">
        <w:trPr>
          <w:cantSplit/>
          <w:trHeight w:val="80"/>
        </w:trPr>
        <w:tc>
          <w:tcPr>
            <w:tcW w:w="583" w:type="pct"/>
            <w:vAlign w:val="center"/>
            <w:hideMark/>
          </w:tcPr>
          <w:p w14:paraId="1DCF145A" w14:textId="77777777" w:rsidR="009776A1" w:rsidRPr="00097A86" w:rsidRDefault="009776A1" w:rsidP="00617697"/>
        </w:tc>
        <w:tc>
          <w:tcPr>
            <w:tcW w:w="4417" w:type="pct"/>
            <w:hideMark/>
          </w:tcPr>
          <w:p w14:paraId="2C4C81CF" w14:textId="77777777" w:rsidR="009776A1" w:rsidRPr="00097A86" w:rsidRDefault="009776A1" w:rsidP="00617697">
            <w:pPr>
              <w:spacing w:before="60" w:after="60" w:line="240" w:lineRule="exact"/>
            </w:pPr>
            <w:r w:rsidRPr="00097A86">
              <w:rPr>
                <w:b/>
                <w:i/>
              </w:rPr>
              <w:t>Q</w:t>
            </w:r>
            <w:r w:rsidRPr="00097A86">
              <w:rPr>
                <w:b/>
                <w:i/>
                <w:vertAlign w:val="subscript"/>
              </w:rPr>
              <w:t xml:space="preserve">i </w:t>
            </w:r>
            <w:r w:rsidRPr="00097A86">
              <w:t>is the quantity of fuel type (</w:t>
            </w:r>
            <w:r w:rsidRPr="00097A86">
              <w:rPr>
                <w:b/>
                <w:i/>
              </w:rPr>
              <w:t>i</w:t>
            </w:r>
            <w:r w:rsidRPr="00097A86">
              <w:t xml:space="preserve">) or carbonaceous input material delivered for the activity during the year, measured in an appropriate unit and estimated in accordance with: </w:t>
            </w:r>
          </w:p>
          <w:p w14:paraId="0E1CB61F" w14:textId="77777777" w:rsidR="009776A1" w:rsidRPr="00097A86" w:rsidRDefault="009776A1" w:rsidP="00617697">
            <w:pPr>
              <w:pStyle w:val="TableP1a"/>
            </w:pPr>
            <w:r w:rsidRPr="00097A86">
              <w:tab/>
              <w:t>(a)</w:t>
            </w:r>
            <w:r w:rsidRPr="00097A86">
              <w:tab/>
              <w:t>criterion A in Divisions</w:t>
            </w:r>
            <w:r w:rsidR="00097A86">
              <w:t> </w:t>
            </w:r>
            <w:r w:rsidRPr="00097A86">
              <w:t xml:space="preserve">2.2.5, </w:t>
            </w:r>
            <w:r w:rsidR="0002504E" w:rsidRPr="00097A86">
              <w:t>2.3.6, 2.4.6 and 4.2.5</w:t>
            </w:r>
            <w:r w:rsidRPr="00097A86">
              <w:t xml:space="preserve">; or </w:t>
            </w:r>
          </w:p>
          <w:p w14:paraId="7E838785" w14:textId="77777777" w:rsidR="009776A1" w:rsidRPr="00097A86" w:rsidRDefault="009776A1" w:rsidP="00617697">
            <w:pPr>
              <w:pStyle w:val="TableP1a"/>
            </w:pPr>
            <w:r w:rsidRPr="00097A86">
              <w:tab/>
              <w:t>(b)</w:t>
            </w:r>
            <w:r w:rsidRPr="00097A86">
              <w:tab/>
              <w:t>if the quantity of fuel or carbonaceous input material is not acquired as part of a commercial transaction — industry practice, consistent with the principles in section</w:t>
            </w:r>
            <w:r w:rsidR="00097A86">
              <w:t> </w:t>
            </w:r>
            <w:r w:rsidRPr="00097A86">
              <w:t>1.13.</w:t>
            </w:r>
          </w:p>
        </w:tc>
      </w:tr>
      <w:tr w:rsidR="009776A1" w:rsidRPr="00097A86" w14:paraId="19D2992B" w14:textId="77777777" w:rsidTr="00C20CC2">
        <w:trPr>
          <w:cantSplit/>
        </w:trPr>
        <w:tc>
          <w:tcPr>
            <w:tcW w:w="583" w:type="pct"/>
            <w:vMerge w:val="restart"/>
            <w:hideMark/>
          </w:tcPr>
          <w:p w14:paraId="7F55F7EC" w14:textId="77777777" w:rsidR="009776A1" w:rsidRPr="00097A86" w:rsidRDefault="009776A1" w:rsidP="00617697">
            <w:pPr>
              <w:spacing w:before="60" w:after="60"/>
            </w:pPr>
            <w:r w:rsidRPr="00097A86">
              <w:t>Step 2</w:t>
            </w:r>
          </w:p>
        </w:tc>
        <w:tc>
          <w:tcPr>
            <w:tcW w:w="4417" w:type="pct"/>
            <w:hideMark/>
          </w:tcPr>
          <w:p w14:paraId="20152274" w14:textId="77777777" w:rsidR="009776A1" w:rsidRPr="00097A86" w:rsidRDefault="009776A1" w:rsidP="00617697">
            <w:pPr>
              <w:pStyle w:val="TableText0"/>
            </w:pPr>
            <w:r w:rsidRPr="00097A86">
              <w:t>Work out the carbon content in products (</w:t>
            </w:r>
            <w:r w:rsidRPr="00097A86">
              <w:rPr>
                <w:b/>
                <w:i/>
              </w:rPr>
              <w:t>p</w:t>
            </w:r>
            <w:r w:rsidRPr="00097A86">
              <w:t>) leaving the activity during the year, measured in tonnes of carbon, as follows:</w:t>
            </w:r>
          </w:p>
          <w:p w14:paraId="65D79095" w14:textId="77777777" w:rsidR="009776A1" w:rsidRPr="00097A86" w:rsidRDefault="009E1F90" w:rsidP="00BA13B0">
            <w:pPr>
              <w:pStyle w:val="Formula"/>
              <w:keepNext/>
              <w:keepLines/>
              <w:spacing w:before="120" w:after="120"/>
              <w:ind w:left="13"/>
            </w:pPr>
            <w:r>
              <w:rPr>
                <w:noProof/>
                <w:position w:val="-14"/>
              </w:rPr>
              <w:drawing>
                <wp:inline distT="0" distB="0" distL="0" distR="0" wp14:anchorId="09E8F878" wp14:editId="4990C92B">
                  <wp:extent cx="923925" cy="238125"/>
                  <wp:effectExtent l="0" t="0" r="9525" b="9525"/>
                  <wp:docPr id="12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r>
      <w:tr w:rsidR="009776A1" w:rsidRPr="00097A86" w14:paraId="194D92A4" w14:textId="77777777" w:rsidTr="00C20CC2">
        <w:trPr>
          <w:cantSplit/>
        </w:trPr>
        <w:tc>
          <w:tcPr>
            <w:tcW w:w="583" w:type="pct"/>
            <w:vMerge/>
            <w:hideMark/>
          </w:tcPr>
          <w:p w14:paraId="3F4AD5D2" w14:textId="77777777" w:rsidR="009776A1" w:rsidRPr="00097A86" w:rsidRDefault="009776A1" w:rsidP="00617697">
            <w:pPr>
              <w:spacing w:before="60" w:after="60"/>
            </w:pPr>
          </w:p>
        </w:tc>
        <w:tc>
          <w:tcPr>
            <w:tcW w:w="4417" w:type="pct"/>
            <w:hideMark/>
          </w:tcPr>
          <w:p w14:paraId="34F9B2E8" w14:textId="77777777" w:rsidR="009776A1" w:rsidRPr="00097A86" w:rsidRDefault="009776A1" w:rsidP="00617697">
            <w:pPr>
              <w:pStyle w:val="TableText0"/>
            </w:pPr>
            <w:r w:rsidRPr="00097A86">
              <w:t>where:</w:t>
            </w:r>
          </w:p>
          <w:p w14:paraId="6A512B0C" w14:textId="77777777" w:rsidR="009776A1" w:rsidRPr="00097A86" w:rsidRDefault="009776A1" w:rsidP="00617697">
            <w:pPr>
              <w:pStyle w:val="TableText0"/>
              <w:spacing w:line="240" w:lineRule="auto"/>
            </w:pPr>
            <w:r w:rsidRPr="00097A86">
              <w:rPr>
                <w:rFonts w:ascii="Symbol" w:hAnsi="Symbol"/>
                <w:b/>
                <w:i/>
              </w:rPr>
              <w:t></w:t>
            </w:r>
            <w:r w:rsidRPr="00097A86">
              <w:rPr>
                <w:b/>
                <w:i/>
                <w:vertAlign w:val="subscript"/>
              </w:rPr>
              <w:t>p</w:t>
            </w:r>
            <w:r w:rsidRPr="00097A86">
              <w:rPr>
                <w:i/>
              </w:rPr>
              <w:t xml:space="preserve"> </w:t>
            </w:r>
            <w:r w:rsidRPr="00097A86">
              <w:t xml:space="preserve">means the sum of the </w:t>
            </w:r>
            <w:r w:rsidRPr="00097A86">
              <w:rPr>
                <w:szCs w:val="22"/>
              </w:rPr>
              <w:t>carbon</w:t>
            </w:r>
            <w:r w:rsidRPr="00097A86">
              <w:t xml:space="preserve"> content values obtained for all product types (</w:t>
            </w:r>
            <w:r w:rsidRPr="00097A86">
              <w:rPr>
                <w:b/>
                <w:i/>
              </w:rPr>
              <w:t>p</w:t>
            </w:r>
            <w:r w:rsidRPr="00097A86">
              <w:t>).</w:t>
            </w:r>
          </w:p>
          <w:p w14:paraId="46ED511D" w14:textId="77777777" w:rsidR="009776A1" w:rsidRPr="00097A86" w:rsidRDefault="009776A1" w:rsidP="00617697">
            <w:pPr>
              <w:pStyle w:val="TableText0"/>
              <w:spacing w:line="240" w:lineRule="auto"/>
              <w:rPr>
                <w:iCs/>
              </w:rPr>
            </w:pPr>
            <w:r w:rsidRPr="00097A86">
              <w:rPr>
                <w:b/>
                <w:i/>
                <w:iCs/>
              </w:rPr>
              <w:t>CCF</w:t>
            </w:r>
            <w:r w:rsidRPr="00097A86">
              <w:rPr>
                <w:b/>
                <w:i/>
                <w:iCs/>
                <w:vertAlign w:val="subscript"/>
              </w:rPr>
              <w:t>p</w:t>
            </w:r>
            <w:r w:rsidRPr="00097A86">
              <w:rPr>
                <w:iCs/>
              </w:rPr>
              <w:t xml:space="preserve"> is the </w:t>
            </w:r>
            <w:r w:rsidRPr="00097A86">
              <w:rPr>
                <w:szCs w:val="22"/>
              </w:rPr>
              <w:t>carbon</w:t>
            </w:r>
            <w:r w:rsidRPr="00097A86">
              <w:rPr>
                <w:iCs/>
              </w:rPr>
              <w:t xml:space="preserve"> content factor, measured in tonnes of carbon, for each tonne of product type</w:t>
            </w:r>
            <w:r w:rsidRPr="00097A86">
              <w:rPr>
                <w:b/>
                <w:i/>
                <w:iCs/>
              </w:rPr>
              <w:t xml:space="preserve"> </w:t>
            </w:r>
            <w:r w:rsidRPr="00097A86">
              <w:rPr>
                <w:iCs/>
              </w:rPr>
              <w:t>(</w:t>
            </w:r>
            <w:r w:rsidRPr="00097A86">
              <w:rPr>
                <w:b/>
                <w:i/>
                <w:iCs/>
              </w:rPr>
              <w:t>p</w:t>
            </w:r>
            <w:r w:rsidRPr="00097A86">
              <w:rPr>
                <w:iCs/>
              </w:rPr>
              <w:t>) produced during the year.</w:t>
            </w:r>
          </w:p>
        </w:tc>
      </w:tr>
      <w:tr w:rsidR="009776A1" w:rsidRPr="00097A86" w14:paraId="24A71602" w14:textId="77777777" w:rsidTr="00C20CC2">
        <w:trPr>
          <w:cantSplit/>
        </w:trPr>
        <w:tc>
          <w:tcPr>
            <w:tcW w:w="583" w:type="pct"/>
            <w:vMerge/>
            <w:vAlign w:val="center"/>
            <w:hideMark/>
          </w:tcPr>
          <w:p w14:paraId="4FFF4D88" w14:textId="77777777" w:rsidR="009776A1" w:rsidRPr="00097A86" w:rsidRDefault="009776A1" w:rsidP="00617697"/>
        </w:tc>
        <w:tc>
          <w:tcPr>
            <w:tcW w:w="4417" w:type="pct"/>
            <w:hideMark/>
          </w:tcPr>
          <w:p w14:paraId="104E3DD7" w14:textId="77777777" w:rsidR="009776A1" w:rsidRPr="00097A86" w:rsidRDefault="009776A1" w:rsidP="00617697">
            <w:pPr>
              <w:pStyle w:val="TableText0"/>
              <w:spacing w:line="240" w:lineRule="auto"/>
            </w:pPr>
            <w:r w:rsidRPr="00097A86">
              <w:rPr>
                <w:b/>
                <w:i/>
              </w:rPr>
              <w:t>A</w:t>
            </w:r>
            <w:r w:rsidRPr="00097A86">
              <w:rPr>
                <w:b/>
                <w:i/>
                <w:vertAlign w:val="subscript"/>
              </w:rPr>
              <w:t>p</w:t>
            </w:r>
            <w:r w:rsidRPr="00097A86">
              <w:rPr>
                <w:i/>
              </w:rPr>
              <w:t xml:space="preserve"> </w:t>
            </w:r>
            <w:r w:rsidRPr="00097A86">
              <w:t>is the quantity of product types (</w:t>
            </w:r>
            <w:r w:rsidRPr="00097A86">
              <w:rPr>
                <w:b/>
                <w:i/>
              </w:rPr>
              <w:t>p</w:t>
            </w:r>
            <w:r w:rsidRPr="00097A86">
              <w:t>) produced leaving the activity during the year, measured in tonnes.</w:t>
            </w:r>
          </w:p>
        </w:tc>
      </w:tr>
      <w:tr w:rsidR="009776A1" w:rsidRPr="00097A86" w14:paraId="19140B5B" w14:textId="77777777" w:rsidTr="00C20CC2">
        <w:trPr>
          <w:cantSplit/>
        </w:trPr>
        <w:tc>
          <w:tcPr>
            <w:tcW w:w="583" w:type="pct"/>
            <w:vMerge w:val="restart"/>
            <w:hideMark/>
          </w:tcPr>
          <w:p w14:paraId="39040758" w14:textId="77777777" w:rsidR="009776A1" w:rsidRPr="00097A86" w:rsidRDefault="009776A1" w:rsidP="00617697">
            <w:pPr>
              <w:spacing w:before="60" w:after="60"/>
            </w:pPr>
            <w:r w:rsidRPr="00097A86">
              <w:t>Step 3</w:t>
            </w:r>
          </w:p>
        </w:tc>
        <w:tc>
          <w:tcPr>
            <w:tcW w:w="4417" w:type="pct"/>
            <w:hideMark/>
          </w:tcPr>
          <w:p w14:paraId="6A9A92C8" w14:textId="77777777" w:rsidR="009776A1" w:rsidRPr="00097A86" w:rsidRDefault="009776A1" w:rsidP="00617697">
            <w:pPr>
              <w:pStyle w:val="TableText0"/>
              <w:rPr>
                <w:iCs/>
              </w:rPr>
            </w:pPr>
            <w:r w:rsidRPr="00097A86">
              <w:rPr>
                <w:iCs/>
              </w:rPr>
              <w:t xml:space="preserve">Work out </w:t>
            </w:r>
            <w:r w:rsidRPr="00097A86">
              <w:t xml:space="preserve">the carbon content in </w:t>
            </w:r>
            <w:r w:rsidRPr="00097A86">
              <w:rPr>
                <w:iCs/>
              </w:rPr>
              <w:t>waste by</w:t>
            </w:r>
            <w:r w:rsidR="00097A86">
              <w:rPr>
                <w:iCs/>
              </w:rPr>
              <w:noBreakHyphen/>
            </w:r>
            <w:r w:rsidRPr="00097A86">
              <w:rPr>
                <w:iCs/>
              </w:rPr>
              <w:t xml:space="preserve">product types </w:t>
            </w:r>
            <w:r w:rsidRPr="00097A86">
              <w:rPr>
                <w:b/>
                <w:i/>
              </w:rPr>
              <w:t xml:space="preserve">(r) </w:t>
            </w:r>
            <w:r w:rsidRPr="00097A86">
              <w:t>leaving the activity,</w:t>
            </w:r>
            <w:r w:rsidRPr="00097A86">
              <w:rPr>
                <w:iCs/>
              </w:rPr>
              <w:t xml:space="preserve"> other than as an emission of greenhouse gas, during the year, </w:t>
            </w:r>
            <w:r w:rsidRPr="00097A86">
              <w:t xml:space="preserve">measured in tonnes of carbon, </w:t>
            </w:r>
            <w:r w:rsidRPr="00097A86">
              <w:rPr>
                <w:iCs/>
              </w:rPr>
              <w:t>as follows:</w:t>
            </w:r>
          </w:p>
          <w:p w14:paraId="46FDFE5D" w14:textId="77777777" w:rsidR="009776A1" w:rsidRPr="00097A86" w:rsidRDefault="009E1F90" w:rsidP="00BA13B0">
            <w:pPr>
              <w:pStyle w:val="Formula"/>
              <w:keepNext/>
              <w:keepLines/>
              <w:spacing w:before="120" w:after="120"/>
              <w:ind w:left="13"/>
            </w:pPr>
            <w:r>
              <w:rPr>
                <w:noProof/>
                <w:position w:val="-10"/>
              </w:rPr>
              <w:drawing>
                <wp:inline distT="0" distB="0" distL="0" distR="0" wp14:anchorId="52824B97" wp14:editId="6B9AB8F1">
                  <wp:extent cx="885825" cy="209550"/>
                  <wp:effectExtent l="0" t="0" r="9525" b="0"/>
                  <wp:docPr id="12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p>
        </w:tc>
      </w:tr>
      <w:tr w:rsidR="009776A1" w:rsidRPr="00097A86" w14:paraId="21FBC625" w14:textId="77777777" w:rsidTr="00C20CC2">
        <w:trPr>
          <w:cantSplit/>
        </w:trPr>
        <w:tc>
          <w:tcPr>
            <w:tcW w:w="583" w:type="pct"/>
            <w:vMerge/>
            <w:vAlign w:val="center"/>
            <w:hideMark/>
          </w:tcPr>
          <w:p w14:paraId="3104662B" w14:textId="77777777" w:rsidR="009776A1" w:rsidRPr="00097A86" w:rsidRDefault="009776A1" w:rsidP="00617697"/>
        </w:tc>
        <w:tc>
          <w:tcPr>
            <w:tcW w:w="4417" w:type="pct"/>
            <w:hideMark/>
          </w:tcPr>
          <w:p w14:paraId="10D05DBC" w14:textId="77777777" w:rsidR="009776A1" w:rsidRPr="00097A86" w:rsidRDefault="009776A1" w:rsidP="00617697">
            <w:pPr>
              <w:pStyle w:val="TableText0"/>
            </w:pPr>
            <w:r w:rsidRPr="00097A86">
              <w:t>where:</w:t>
            </w:r>
          </w:p>
          <w:p w14:paraId="24A8AE2B" w14:textId="77777777" w:rsidR="009776A1" w:rsidRPr="00097A86" w:rsidRDefault="009776A1" w:rsidP="00617697">
            <w:pPr>
              <w:pStyle w:val="TableText0"/>
            </w:pPr>
            <w:r w:rsidRPr="00097A86">
              <w:rPr>
                <w:rFonts w:ascii="Symbol" w:hAnsi="Symbol"/>
                <w:b/>
                <w:i/>
              </w:rPr>
              <w:t></w:t>
            </w:r>
            <w:r w:rsidRPr="00097A86">
              <w:rPr>
                <w:b/>
                <w:i/>
                <w:vertAlign w:val="subscript"/>
              </w:rPr>
              <w:t>r</w:t>
            </w:r>
            <w:r w:rsidRPr="00097A86">
              <w:rPr>
                <w:i/>
              </w:rPr>
              <w:t xml:space="preserve"> </w:t>
            </w:r>
            <w:r w:rsidRPr="00097A86">
              <w:t>means the sum of the carbon content values obtained for all waste by</w:t>
            </w:r>
            <w:r w:rsidR="00097A86">
              <w:noBreakHyphen/>
            </w:r>
            <w:r w:rsidRPr="00097A86">
              <w:t>product types (</w:t>
            </w:r>
            <w:r w:rsidRPr="00097A86">
              <w:rPr>
                <w:b/>
                <w:i/>
              </w:rPr>
              <w:t>r</w:t>
            </w:r>
            <w:r w:rsidRPr="00097A86">
              <w:t>).</w:t>
            </w:r>
          </w:p>
          <w:p w14:paraId="762E7C49" w14:textId="77777777" w:rsidR="009776A1" w:rsidRPr="00097A86" w:rsidRDefault="009776A1" w:rsidP="00617697">
            <w:pPr>
              <w:pStyle w:val="TableText0"/>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70630676" w14:textId="77777777" w:rsidR="009776A1" w:rsidRPr="00097A86" w:rsidRDefault="009776A1" w:rsidP="00617697">
            <w:pPr>
              <w:pStyle w:val="TableText0"/>
            </w:pPr>
            <w:r w:rsidRPr="00097A86">
              <w:rPr>
                <w:b/>
                <w:i/>
              </w:rPr>
              <w:t>Y</w:t>
            </w:r>
            <w:r w:rsidRPr="00097A86">
              <w:rPr>
                <w:b/>
                <w:i/>
                <w:vertAlign w:val="subscript"/>
              </w:rPr>
              <w:t>r</w:t>
            </w:r>
            <w:r w:rsidRPr="00097A86">
              <w:rPr>
                <w:i/>
              </w:rPr>
              <w:t xml:space="preserve">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9776A1" w:rsidRPr="00097A86" w14:paraId="2730E9C3" w14:textId="77777777" w:rsidTr="00C20CC2">
        <w:trPr>
          <w:cantSplit/>
        </w:trPr>
        <w:tc>
          <w:tcPr>
            <w:tcW w:w="583" w:type="pct"/>
            <w:vMerge w:val="restart"/>
            <w:hideMark/>
          </w:tcPr>
          <w:p w14:paraId="52ED34DC" w14:textId="77777777" w:rsidR="009776A1" w:rsidRPr="00097A86" w:rsidRDefault="009776A1" w:rsidP="00617697">
            <w:pPr>
              <w:spacing w:before="60" w:after="60"/>
            </w:pPr>
            <w:r w:rsidRPr="00097A86">
              <w:lastRenderedPageBreak/>
              <w:t>Step 4</w:t>
            </w:r>
          </w:p>
        </w:tc>
        <w:tc>
          <w:tcPr>
            <w:tcW w:w="4417" w:type="pct"/>
            <w:hideMark/>
          </w:tcPr>
          <w:p w14:paraId="7111B755" w14:textId="77777777" w:rsidR="009776A1" w:rsidRPr="00097A86" w:rsidRDefault="009776A1" w:rsidP="00617697">
            <w:pPr>
              <w:pStyle w:val="TableText0"/>
              <w:rPr>
                <w:iCs/>
              </w:rPr>
            </w:pPr>
            <w:r w:rsidRPr="00097A86">
              <w:t xml:space="preserve">Work out the carbon content in the amount of the change in </w:t>
            </w:r>
            <w:r w:rsidRPr="00097A86">
              <w:rPr>
                <w:iCs/>
              </w:rPr>
              <w:t>stocks of inputs, products and waste by</w:t>
            </w:r>
            <w:r w:rsidR="00097A86">
              <w:rPr>
                <w:iCs/>
              </w:rPr>
              <w:noBreakHyphen/>
            </w:r>
            <w:r w:rsidRPr="00097A86">
              <w:rPr>
                <w:iCs/>
              </w:rPr>
              <w:t>products held within the boundary of the activity during the year, measured in tonnes of carbon, as follows:</w:t>
            </w:r>
          </w:p>
          <w:p w14:paraId="4FB328CC" w14:textId="77777777" w:rsidR="009776A1" w:rsidRPr="00097A86" w:rsidRDefault="009E1F90" w:rsidP="00BA13B0">
            <w:pPr>
              <w:pStyle w:val="Formula"/>
              <w:keepNext/>
              <w:keepLines/>
              <w:spacing w:before="120" w:after="120"/>
              <w:ind w:left="13"/>
            </w:pPr>
            <w:r>
              <w:rPr>
                <w:noProof/>
              </w:rPr>
              <w:drawing>
                <wp:inline distT="0" distB="0" distL="0" distR="0" wp14:anchorId="29B5F4A1" wp14:editId="4476A0BA">
                  <wp:extent cx="3467100" cy="238125"/>
                  <wp:effectExtent l="0" t="0" r="0" b="9525"/>
                  <wp:docPr id="12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467100" cy="238125"/>
                          </a:xfrm>
                          <a:prstGeom prst="rect">
                            <a:avLst/>
                          </a:prstGeom>
                          <a:noFill/>
                          <a:ln>
                            <a:noFill/>
                          </a:ln>
                        </pic:spPr>
                      </pic:pic>
                    </a:graphicData>
                  </a:graphic>
                </wp:inline>
              </w:drawing>
            </w:r>
          </w:p>
        </w:tc>
      </w:tr>
      <w:tr w:rsidR="009776A1" w:rsidRPr="00097A86" w14:paraId="2CCA23BF" w14:textId="77777777" w:rsidTr="00C20CC2">
        <w:trPr>
          <w:cantSplit/>
        </w:trPr>
        <w:tc>
          <w:tcPr>
            <w:tcW w:w="583" w:type="pct"/>
            <w:vMerge/>
            <w:hideMark/>
          </w:tcPr>
          <w:p w14:paraId="1A84948A" w14:textId="77777777" w:rsidR="009776A1" w:rsidRPr="00097A86" w:rsidRDefault="009776A1" w:rsidP="00617697">
            <w:pPr>
              <w:spacing w:before="60" w:after="60"/>
            </w:pPr>
          </w:p>
        </w:tc>
        <w:tc>
          <w:tcPr>
            <w:tcW w:w="4417" w:type="pct"/>
            <w:hideMark/>
          </w:tcPr>
          <w:p w14:paraId="6B433C89" w14:textId="77777777" w:rsidR="009776A1" w:rsidRPr="00097A86" w:rsidRDefault="009776A1" w:rsidP="00617697">
            <w:pPr>
              <w:pStyle w:val="TableText0"/>
            </w:pPr>
            <w:r w:rsidRPr="00097A86">
              <w:t>where:</w:t>
            </w:r>
          </w:p>
          <w:p w14:paraId="0D763BC6" w14:textId="77777777" w:rsidR="009776A1" w:rsidRPr="00097A86" w:rsidRDefault="009776A1"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0BDFD2E8" w14:textId="77777777" w:rsidR="009776A1" w:rsidRPr="00097A86" w:rsidRDefault="009776A1" w:rsidP="00617697">
            <w:pPr>
              <w:pStyle w:val="TableText0"/>
            </w:pPr>
            <w:r w:rsidRPr="00097A86">
              <w:rPr>
                <w:b/>
                <w:i/>
              </w:rPr>
              <w:t>CCF</w:t>
            </w:r>
            <w:r w:rsidRPr="00097A86">
              <w:rPr>
                <w:b/>
                <w:i/>
                <w:vertAlign w:val="subscript"/>
              </w:rPr>
              <w:t>i</w:t>
            </w:r>
            <w:r w:rsidRPr="00097A86">
              <w:rPr>
                <w:i/>
              </w:rPr>
              <w:t xml:space="preserve"> </w:t>
            </w:r>
            <w:r w:rsidRPr="00097A86">
              <w:t>has the same meaning as in step 1.</w:t>
            </w:r>
          </w:p>
          <w:p w14:paraId="24AAB5B2"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440935F8" w14:textId="77777777" w:rsidR="009776A1" w:rsidRPr="00097A86" w:rsidRDefault="009776A1" w:rsidP="00617697">
            <w:pPr>
              <w:pStyle w:val="TableText0"/>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30684FCC" w14:textId="77777777" w:rsidR="009776A1" w:rsidRPr="00097A86" w:rsidRDefault="009776A1" w:rsidP="00617697">
            <w:pPr>
              <w:pStyle w:val="TableText0"/>
              <w:rPr>
                <w:b/>
                <w:i/>
                <w:iCs/>
              </w:rPr>
            </w:pPr>
            <w:r w:rsidRPr="00097A86">
              <w:rPr>
                <w:b/>
                <w:i/>
              </w:rPr>
              <w:t>CCF</w:t>
            </w:r>
            <w:r w:rsidRPr="00097A86">
              <w:rPr>
                <w:b/>
                <w:i/>
                <w:vertAlign w:val="subscript"/>
              </w:rPr>
              <w:t>p</w:t>
            </w:r>
            <w:r w:rsidRPr="00097A86">
              <w:rPr>
                <w:i/>
              </w:rPr>
              <w:t xml:space="preserve"> </w:t>
            </w:r>
            <w:r w:rsidRPr="00097A86">
              <w:t>has the same meaning as in step 2.</w:t>
            </w:r>
          </w:p>
        </w:tc>
      </w:tr>
      <w:tr w:rsidR="009776A1" w:rsidRPr="00097A86" w14:paraId="18EFC9FC" w14:textId="77777777" w:rsidTr="00C20CC2">
        <w:trPr>
          <w:cantSplit/>
        </w:trPr>
        <w:tc>
          <w:tcPr>
            <w:tcW w:w="583" w:type="pct"/>
            <w:vMerge/>
            <w:vAlign w:val="center"/>
            <w:hideMark/>
          </w:tcPr>
          <w:p w14:paraId="61CA19AC" w14:textId="77777777" w:rsidR="009776A1" w:rsidRPr="00097A86" w:rsidRDefault="009776A1" w:rsidP="00617697"/>
        </w:tc>
        <w:tc>
          <w:tcPr>
            <w:tcW w:w="4417" w:type="pct"/>
            <w:hideMark/>
          </w:tcPr>
          <w:p w14:paraId="2147B9AC"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57AABB52" w14:textId="77777777" w:rsidR="009776A1" w:rsidRPr="00097A86" w:rsidRDefault="009776A1" w:rsidP="00617697">
            <w:pPr>
              <w:pStyle w:val="TableText0"/>
            </w:pPr>
            <w:r w:rsidRPr="00097A86">
              <w:rPr>
                <w:rFonts w:ascii="Symbol" w:hAnsi="Symbol"/>
                <w:b/>
                <w:i/>
              </w:rPr>
              <w:t></w:t>
            </w:r>
            <w:r w:rsidRPr="00097A86">
              <w:rPr>
                <w:b/>
                <w:i/>
                <w:vertAlign w:val="subscript"/>
              </w:rPr>
              <w:t>r</w:t>
            </w:r>
            <w:r w:rsidRPr="00097A86">
              <w:rPr>
                <w:i/>
              </w:rPr>
              <w:t xml:space="preserve"> </w:t>
            </w:r>
            <w:r w:rsidRPr="00097A86">
              <w:t>has the same meaning as in step 3.</w:t>
            </w:r>
          </w:p>
          <w:p w14:paraId="4BE12FB3" w14:textId="77777777" w:rsidR="009776A1" w:rsidRPr="00097A86" w:rsidRDefault="009776A1" w:rsidP="00617697">
            <w:pPr>
              <w:pStyle w:val="TableText0"/>
              <w:rPr>
                <w:b/>
                <w:i/>
              </w:rPr>
            </w:pPr>
            <w:r w:rsidRPr="00097A86">
              <w:rPr>
                <w:b/>
                <w:i/>
              </w:rPr>
              <w:t>CCF</w:t>
            </w:r>
            <w:r w:rsidRPr="00097A86">
              <w:rPr>
                <w:b/>
                <w:i/>
                <w:vertAlign w:val="subscript"/>
              </w:rPr>
              <w:t>r</w:t>
            </w:r>
            <w:r w:rsidRPr="00097A86">
              <w:rPr>
                <w:i/>
              </w:rPr>
              <w:t xml:space="preserve"> </w:t>
            </w:r>
            <w:r w:rsidRPr="00097A86">
              <w:t>has the same meaning as in step 3.</w:t>
            </w:r>
          </w:p>
        </w:tc>
      </w:tr>
      <w:tr w:rsidR="009776A1" w:rsidRPr="00097A86" w14:paraId="69F9B64F" w14:textId="77777777" w:rsidTr="00C20CC2">
        <w:trPr>
          <w:cantSplit/>
        </w:trPr>
        <w:tc>
          <w:tcPr>
            <w:tcW w:w="583" w:type="pct"/>
            <w:vAlign w:val="center"/>
            <w:hideMark/>
          </w:tcPr>
          <w:p w14:paraId="422487DD" w14:textId="77777777" w:rsidR="009776A1" w:rsidRPr="00097A86" w:rsidRDefault="009776A1" w:rsidP="00617697"/>
        </w:tc>
        <w:tc>
          <w:tcPr>
            <w:tcW w:w="4417" w:type="pct"/>
            <w:hideMark/>
          </w:tcPr>
          <w:p w14:paraId="0E7CEF6C" w14:textId="77777777" w:rsidR="009776A1" w:rsidRPr="00097A86" w:rsidRDefault="009776A1" w:rsidP="00617697">
            <w:pPr>
              <w:pStyle w:val="TableText0"/>
              <w:spacing w:line="240" w:lineRule="auto"/>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change in stocks </w:t>
            </w:r>
            <w:r w:rsidRPr="00097A86">
              <w:rPr>
                <w:szCs w:val="22"/>
              </w:rPr>
              <w:t>of</w:t>
            </w:r>
            <w:r w:rsidRPr="00097A86">
              <w:rPr>
                <w:iCs/>
              </w:rPr>
              <w:t xml:space="preserve">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55E0EDBF" w14:textId="77777777" w:rsidTr="00C20CC2">
        <w:trPr>
          <w:cantSplit/>
        </w:trPr>
        <w:tc>
          <w:tcPr>
            <w:tcW w:w="583" w:type="pct"/>
          </w:tcPr>
          <w:p w14:paraId="2BD3D7C2" w14:textId="77777777" w:rsidR="009776A1" w:rsidRPr="00097A86" w:rsidRDefault="009776A1" w:rsidP="00617697">
            <w:pPr>
              <w:spacing w:before="60" w:after="60"/>
            </w:pPr>
            <w:r w:rsidRPr="00097A86">
              <w:t>Step 5</w:t>
            </w:r>
          </w:p>
        </w:tc>
        <w:tc>
          <w:tcPr>
            <w:tcW w:w="4417" w:type="pct"/>
            <w:hideMark/>
          </w:tcPr>
          <w:p w14:paraId="7908E5E5" w14:textId="77777777" w:rsidR="009776A1" w:rsidRPr="00097A86" w:rsidRDefault="009776A1" w:rsidP="00617697">
            <w:pPr>
              <w:pStyle w:val="TableText0"/>
            </w:pPr>
            <w:r w:rsidRPr="00097A86">
              <w:t xml:space="preserve">Work out the emissions of carbon dioxide released from the operation of the activity during the year, measured in </w:t>
            </w:r>
            <w:r w:rsidRPr="00097A86">
              <w:rPr>
                <w:szCs w:val="22"/>
              </w:rPr>
              <w:t>CO</w:t>
            </w:r>
            <w:r w:rsidRPr="00097A86">
              <w:rPr>
                <w:szCs w:val="22"/>
                <w:vertAlign w:val="subscript"/>
              </w:rPr>
              <w:t>2</w:t>
            </w:r>
            <w:r w:rsidR="00097A86">
              <w:rPr>
                <w:szCs w:val="22"/>
              </w:rPr>
              <w:noBreakHyphen/>
            </w:r>
            <w:r w:rsidRPr="00097A86">
              <w:rPr>
                <w:szCs w:val="22"/>
              </w:rPr>
              <w:t>e</w:t>
            </w:r>
            <w:r w:rsidRPr="00097A86">
              <w:t xml:space="preserve"> tonnes, as follows:</w:t>
            </w:r>
          </w:p>
          <w:p w14:paraId="656879C6" w14:textId="77777777" w:rsidR="009776A1" w:rsidRPr="00097A86" w:rsidRDefault="009776A1"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74149D3C" w14:textId="77777777" w:rsidR="009776A1" w:rsidRPr="00097A86" w:rsidRDefault="009776A1"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tc>
      </w:tr>
      <w:tr w:rsidR="009776A1" w:rsidRPr="00097A86" w14:paraId="1B219E0D" w14:textId="77777777" w:rsidTr="00C20CC2">
        <w:trPr>
          <w:cantSplit/>
        </w:trPr>
        <w:tc>
          <w:tcPr>
            <w:tcW w:w="583" w:type="pct"/>
          </w:tcPr>
          <w:p w14:paraId="310DA868" w14:textId="77777777" w:rsidR="009776A1" w:rsidRPr="00097A86" w:rsidRDefault="009776A1" w:rsidP="00617697">
            <w:pPr>
              <w:spacing w:before="60" w:after="60"/>
              <w:rPr>
                <w:i/>
              </w:rPr>
            </w:pPr>
          </w:p>
        </w:tc>
        <w:tc>
          <w:tcPr>
            <w:tcW w:w="4417" w:type="pct"/>
            <w:hideMark/>
          </w:tcPr>
          <w:p w14:paraId="74026675" w14:textId="77777777" w:rsidR="009776A1" w:rsidRPr="00097A86" w:rsidRDefault="009776A1" w:rsidP="00617697">
            <w:pPr>
              <w:pStyle w:val="TableP1a"/>
            </w:pPr>
            <w:r w:rsidRPr="00097A86">
              <w:tab/>
              <w:t>(c)</w:t>
            </w:r>
            <w:r w:rsidRPr="00097A86">
              <w:tab/>
              <w:t>multiply amount B by 3.664 to work out the amount of emissions released from the operation of the activity during the year.</w:t>
            </w:r>
          </w:p>
        </w:tc>
      </w:tr>
    </w:tbl>
    <w:p w14:paraId="73B922D3" w14:textId="77777777" w:rsidR="00755FAE" w:rsidRPr="00097A86" w:rsidRDefault="00755FAE" w:rsidP="00D22D3F">
      <w:pPr>
        <w:pStyle w:val="ActHead5"/>
      </w:pPr>
      <w:bookmarkStart w:id="471" w:name="_Toc13233903"/>
      <w:r w:rsidRPr="00097A86">
        <w:rPr>
          <w:rStyle w:val="CharSectno"/>
        </w:rPr>
        <w:t>4.72</w:t>
      </w:r>
      <w:r w:rsidR="00D22D3F" w:rsidRPr="00097A86">
        <w:t xml:space="preserve">  </w:t>
      </w:r>
      <w:r w:rsidRPr="00097A86">
        <w:t>Method 2</w:t>
      </w:r>
      <w:r w:rsidR="00D22D3F" w:rsidRPr="00097A86">
        <w:t>—</w:t>
      </w:r>
      <w:r w:rsidRPr="00097A86">
        <w:t>ferroalloy metal</w:t>
      </w:r>
      <w:bookmarkEnd w:id="471"/>
    </w:p>
    <w:p w14:paraId="2079EB25" w14:textId="77777777" w:rsidR="00755FAE" w:rsidRPr="00097A86" w:rsidRDefault="00755FAE" w:rsidP="00D22D3F">
      <w:pPr>
        <w:pStyle w:val="subsection"/>
      </w:pPr>
      <w:r w:rsidRPr="00097A86">
        <w:tab/>
        <w:t>(1)</w:t>
      </w:r>
      <w:r w:rsidRPr="00097A86">
        <w:tab/>
        <w:t>Subject to this section, method 2 is the same as method 1 under section</w:t>
      </w:r>
      <w:r w:rsidR="00097A86">
        <w:t> </w:t>
      </w:r>
      <w:r w:rsidRPr="00097A86">
        <w:t>4.71.</w:t>
      </w:r>
    </w:p>
    <w:p w14:paraId="003EB2E7" w14:textId="77777777" w:rsidR="00755FAE" w:rsidRPr="00097A86" w:rsidRDefault="00755FAE" w:rsidP="009776A1">
      <w:pPr>
        <w:pStyle w:val="subsection"/>
        <w:spacing w:after="60"/>
      </w:pPr>
      <w:r w:rsidRPr="00097A86">
        <w:tab/>
        <w:t>(2)</w:t>
      </w:r>
      <w:r w:rsidRPr="00097A86">
        <w:tab/>
        <w:t>In applying method 1 as method 2, step 4 in section</w:t>
      </w:r>
      <w:r w:rsidR="00097A86">
        <w:t> </w:t>
      </w:r>
      <w:r w:rsidRPr="00097A86">
        <w:t>4.71 is to be omitted and the following step 4 substituted.</w:t>
      </w:r>
    </w:p>
    <w:tbl>
      <w:tblPr>
        <w:tblW w:w="5000" w:type="pct"/>
        <w:tblLook w:val="04A0" w:firstRow="1" w:lastRow="0" w:firstColumn="1" w:lastColumn="0" w:noHBand="0" w:noVBand="1"/>
      </w:tblPr>
      <w:tblGrid>
        <w:gridCol w:w="969"/>
        <w:gridCol w:w="7344"/>
      </w:tblGrid>
      <w:tr w:rsidR="009776A1" w:rsidRPr="00097A86" w14:paraId="01EFC656" w14:textId="77777777" w:rsidTr="00C20CC2">
        <w:trPr>
          <w:cantSplit/>
          <w:trHeight w:val="74"/>
        </w:trPr>
        <w:tc>
          <w:tcPr>
            <w:tcW w:w="583" w:type="pct"/>
            <w:vMerge w:val="restart"/>
            <w:hideMark/>
          </w:tcPr>
          <w:p w14:paraId="0061EDD6" w14:textId="77777777" w:rsidR="009776A1" w:rsidRPr="00097A86" w:rsidRDefault="009776A1" w:rsidP="00617697">
            <w:pPr>
              <w:spacing w:before="60" w:after="60"/>
            </w:pPr>
            <w:r w:rsidRPr="00097A86">
              <w:t>Step 4</w:t>
            </w:r>
          </w:p>
        </w:tc>
        <w:tc>
          <w:tcPr>
            <w:tcW w:w="4417" w:type="pct"/>
            <w:hideMark/>
          </w:tcPr>
          <w:p w14:paraId="47EDDAC6" w14:textId="77777777" w:rsidR="009776A1" w:rsidRPr="00097A86" w:rsidRDefault="009776A1" w:rsidP="00617697">
            <w:pPr>
              <w:pStyle w:val="TableText0"/>
              <w:rPr>
                <w:iCs/>
              </w:rPr>
            </w:pPr>
            <w:r w:rsidRPr="00097A86">
              <w:t xml:space="preserve">Work out the carbon content in the amount of the change in </w:t>
            </w:r>
            <w:r w:rsidRPr="00097A86">
              <w:rPr>
                <w:iCs/>
              </w:rPr>
              <w:t>stocks of inputs, products and waste by</w:t>
            </w:r>
            <w:r w:rsidR="00097A86">
              <w:rPr>
                <w:b/>
                <w:iCs/>
              </w:rPr>
              <w:noBreakHyphen/>
            </w:r>
            <w:r w:rsidRPr="00097A86">
              <w:rPr>
                <w:iCs/>
              </w:rPr>
              <w:t>products held within the boundary of the activity during the year, measured in tonnes of carbon, as follows:</w:t>
            </w:r>
          </w:p>
          <w:p w14:paraId="0AEEB058" w14:textId="77777777" w:rsidR="009776A1" w:rsidRPr="00097A86" w:rsidRDefault="009E1F90" w:rsidP="00BA13B0">
            <w:pPr>
              <w:pStyle w:val="Formula"/>
              <w:spacing w:before="120" w:after="120"/>
              <w:ind w:left="13"/>
            </w:pPr>
            <w:r>
              <w:rPr>
                <w:noProof/>
                <w:position w:val="-14"/>
              </w:rPr>
              <w:drawing>
                <wp:inline distT="0" distB="0" distL="0" distR="0" wp14:anchorId="1600CA0D" wp14:editId="37541D54">
                  <wp:extent cx="4076700" cy="219075"/>
                  <wp:effectExtent l="0" t="0" r="0" b="9525"/>
                  <wp:docPr id="11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76700" cy="219075"/>
                          </a:xfrm>
                          <a:prstGeom prst="rect">
                            <a:avLst/>
                          </a:prstGeom>
                          <a:noFill/>
                          <a:ln>
                            <a:noFill/>
                          </a:ln>
                        </pic:spPr>
                      </pic:pic>
                    </a:graphicData>
                  </a:graphic>
                </wp:inline>
              </w:drawing>
            </w:r>
          </w:p>
        </w:tc>
      </w:tr>
      <w:tr w:rsidR="009776A1" w:rsidRPr="00097A86" w14:paraId="29CBEB90" w14:textId="77777777" w:rsidTr="00C20CC2">
        <w:trPr>
          <w:cantSplit/>
        </w:trPr>
        <w:tc>
          <w:tcPr>
            <w:tcW w:w="583" w:type="pct"/>
            <w:vMerge/>
            <w:vAlign w:val="center"/>
            <w:hideMark/>
          </w:tcPr>
          <w:p w14:paraId="669884B7" w14:textId="77777777" w:rsidR="009776A1" w:rsidRPr="00097A86" w:rsidRDefault="009776A1" w:rsidP="00617697">
            <w:pPr>
              <w:rPr>
                <w:i/>
              </w:rPr>
            </w:pPr>
          </w:p>
        </w:tc>
        <w:tc>
          <w:tcPr>
            <w:tcW w:w="4417" w:type="pct"/>
            <w:hideMark/>
          </w:tcPr>
          <w:p w14:paraId="04285886" w14:textId="77777777" w:rsidR="009776A1" w:rsidRPr="00097A86" w:rsidRDefault="009776A1" w:rsidP="00617697">
            <w:pPr>
              <w:pStyle w:val="TableText0"/>
            </w:pPr>
            <w:r w:rsidRPr="00097A86">
              <w:t>where:</w:t>
            </w:r>
          </w:p>
          <w:p w14:paraId="1AD8B059" w14:textId="77777777" w:rsidR="009776A1" w:rsidRPr="00097A86" w:rsidRDefault="009776A1"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05F20B7F" w14:textId="77777777" w:rsidR="009776A1" w:rsidRPr="00097A86" w:rsidRDefault="009776A1" w:rsidP="00617697">
            <w:pPr>
              <w:pStyle w:val="TableText0"/>
              <w:rPr>
                <w:iCs/>
              </w:rPr>
            </w:pPr>
            <w:r w:rsidRPr="00097A86">
              <w:rPr>
                <w:b/>
                <w:i/>
              </w:rPr>
              <w:t>CCF</w:t>
            </w:r>
            <w:r w:rsidRPr="00097A86">
              <w:rPr>
                <w:b/>
                <w:i/>
                <w:vertAlign w:val="subscript"/>
              </w:rPr>
              <w:t>i</w:t>
            </w:r>
            <w:r w:rsidRPr="00097A86">
              <w:rPr>
                <w:i/>
              </w:rPr>
              <w:t xml:space="preserve"> </w:t>
            </w:r>
            <w:r w:rsidRPr="00097A86">
              <w:t>has the same meaning as in step 1.</w:t>
            </w:r>
          </w:p>
          <w:p w14:paraId="31AFAD5A"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3B9A2199" w14:textId="77777777" w:rsidR="009776A1" w:rsidRPr="00097A86" w:rsidRDefault="009776A1" w:rsidP="00617697">
            <w:pPr>
              <w:pStyle w:val="TableText0"/>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2307C480" w14:textId="77777777" w:rsidR="009776A1" w:rsidRPr="00097A86" w:rsidRDefault="009776A1" w:rsidP="00617697">
            <w:pPr>
              <w:pStyle w:val="TableText0"/>
              <w:rPr>
                <w:b/>
                <w:i/>
                <w:iCs/>
              </w:rPr>
            </w:pPr>
            <w:r w:rsidRPr="00097A86">
              <w:rPr>
                <w:b/>
                <w:i/>
              </w:rPr>
              <w:t>CCF</w:t>
            </w:r>
            <w:r w:rsidRPr="00097A86">
              <w:rPr>
                <w:b/>
                <w:i/>
                <w:vertAlign w:val="subscript"/>
              </w:rPr>
              <w:t>p</w:t>
            </w:r>
            <w:r w:rsidRPr="00097A86">
              <w:rPr>
                <w:i/>
              </w:rPr>
              <w:t xml:space="preserve"> </w:t>
            </w:r>
            <w:r w:rsidRPr="00097A86">
              <w:t>has the same meaning as in step 2.</w:t>
            </w:r>
          </w:p>
          <w:p w14:paraId="7C0A14C6" w14:textId="77777777" w:rsidR="009776A1" w:rsidRPr="00097A86" w:rsidRDefault="009776A1" w:rsidP="00617697">
            <w:pPr>
              <w:pStyle w:val="TableText0"/>
              <w:spacing w:line="240" w:lineRule="auto"/>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w:t>
            </w:r>
            <w:r w:rsidRPr="00097A86">
              <w:rPr>
                <w:szCs w:val="22"/>
              </w:rPr>
              <w:t>change</w:t>
            </w:r>
            <w:r w:rsidRPr="00097A86">
              <w:rPr>
                <w:iCs/>
                <w:szCs w:val="18"/>
              </w:rPr>
              <w:t xml:space="preserv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04F6575B" w14:textId="77777777" w:rsidTr="00C20CC2">
        <w:trPr>
          <w:cantSplit/>
        </w:trPr>
        <w:tc>
          <w:tcPr>
            <w:tcW w:w="583" w:type="pct"/>
          </w:tcPr>
          <w:p w14:paraId="0F18C211" w14:textId="77777777" w:rsidR="009776A1" w:rsidRPr="00097A86" w:rsidRDefault="009776A1" w:rsidP="00617697">
            <w:pPr>
              <w:spacing w:before="60" w:after="60"/>
              <w:rPr>
                <w:i/>
              </w:rPr>
            </w:pPr>
          </w:p>
        </w:tc>
        <w:tc>
          <w:tcPr>
            <w:tcW w:w="4417" w:type="pct"/>
            <w:hideMark/>
          </w:tcPr>
          <w:p w14:paraId="43D9B5FB" w14:textId="77777777" w:rsidR="009776A1" w:rsidRPr="00097A86" w:rsidRDefault="009776A1" w:rsidP="00617697">
            <w:pPr>
              <w:pStyle w:val="TableText0"/>
              <w:rPr>
                <w:b/>
                <w:i/>
              </w:rPr>
            </w:pPr>
            <w:r w:rsidRPr="00097A86">
              <w:rPr>
                <w:rFonts w:ascii="Symbol" w:hAnsi="Symbol"/>
                <w:b/>
                <w:i/>
              </w:rPr>
              <w:t></w:t>
            </w:r>
            <w:r w:rsidRPr="00097A86">
              <w:rPr>
                <w:b/>
                <w:i/>
                <w:vertAlign w:val="subscript"/>
              </w:rPr>
              <w:t>r</w:t>
            </w:r>
            <w:r w:rsidRPr="00097A86">
              <w:rPr>
                <w:i/>
              </w:rPr>
              <w:t xml:space="preserve"> </w:t>
            </w:r>
            <w:r w:rsidRPr="00097A86">
              <w:t>has the same meaning as in step 3.</w:t>
            </w:r>
          </w:p>
          <w:p w14:paraId="122733AE" w14:textId="77777777" w:rsidR="009776A1" w:rsidRPr="00097A86" w:rsidRDefault="009776A1" w:rsidP="00617697">
            <w:pPr>
              <w:pStyle w:val="TableText0"/>
              <w:rPr>
                <w:b/>
                <w:i/>
                <w:iCs/>
              </w:rPr>
            </w:pPr>
            <w:r w:rsidRPr="00097A86">
              <w:rPr>
                <w:b/>
                <w:i/>
              </w:rPr>
              <w:t>CCF</w:t>
            </w:r>
            <w:r w:rsidRPr="00097A86">
              <w:rPr>
                <w:b/>
                <w:i/>
                <w:vertAlign w:val="subscript"/>
              </w:rPr>
              <w:t>r</w:t>
            </w:r>
            <w:r w:rsidRPr="00097A86">
              <w:rPr>
                <w:i/>
              </w:rPr>
              <w:t xml:space="preserve"> </w:t>
            </w:r>
            <w:r w:rsidRPr="00097A86">
              <w:t>has the same meaning as in step 3.</w:t>
            </w:r>
          </w:p>
        </w:tc>
      </w:tr>
      <w:tr w:rsidR="009776A1" w:rsidRPr="00097A86" w14:paraId="4D32AA58" w14:textId="77777777" w:rsidTr="00C20CC2">
        <w:trPr>
          <w:cantSplit/>
        </w:trPr>
        <w:tc>
          <w:tcPr>
            <w:tcW w:w="583" w:type="pct"/>
          </w:tcPr>
          <w:p w14:paraId="7981F9EC" w14:textId="77777777" w:rsidR="009776A1" w:rsidRPr="00097A86" w:rsidRDefault="009776A1" w:rsidP="00617697">
            <w:pPr>
              <w:spacing w:before="60" w:after="60"/>
              <w:rPr>
                <w:i/>
              </w:rPr>
            </w:pPr>
          </w:p>
        </w:tc>
        <w:tc>
          <w:tcPr>
            <w:tcW w:w="4417" w:type="pct"/>
            <w:hideMark/>
          </w:tcPr>
          <w:p w14:paraId="0A5DD7F6" w14:textId="77777777" w:rsidR="009776A1" w:rsidRPr="00097A86" w:rsidRDefault="009776A1" w:rsidP="00617697">
            <w:pPr>
              <w:pStyle w:val="TableText0"/>
              <w:spacing w:line="240" w:lineRule="auto"/>
              <w:rPr>
                <w:rFonts w:ascii="Symbol" w:hAnsi="Symbol"/>
                <w:b/>
                <w:i/>
              </w:rPr>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change </w:t>
            </w:r>
            <w:r w:rsidRPr="00097A86">
              <w:rPr>
                <w:szCs w:val="22"/>
              </w:rPr>
              <w:t>in</w:t>
            </w:r>
            <w:r w:rsidRPr="00097A86">
              <w:rPr>
                <w:iCs/>
              </w:rPr>
              <w:t xml:space="preserve"> stocks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6F7D12C3" w14:textId="77777777" w:rsidTr="00C20CC2">
        <w:trPr>
          <w:cantSplit/>
          <w:trHeight w:val="610"/>
        </w:trPr>
        <w:tc>
          <w:tcPr>
            <w:tcW w:w="583" w:type="pct"/>
          </w:tcPr>
          <w:p w14:paraId="2BBDD1BB" w14:textId="77777777" w:rsidR="009776A1" w:rsidRPr="00097A86" w:rsidRDefault="009776A1" w:rsidP="00617697">
            <w:pPr>
              <w:spacing w:before="60" w:after="60"/>
              <w:rPr>
                <w:i/>
              </w:rPr>
            </w:pPr>
          </w:p>
        </w:tc>
        <w:tc>
          <w:tcPr>
            <w:tcW w:w="4417" w:type="pct"/>
            <w:hideMark/>
          </w:tcPr>
          <w:p w14:paraId="2C23ABA8" w14:textId="77777777" w:rsidR="009776A1" w:rsidRPr="00097A86" w:rsidRDefault="009776A1" w:rsidP="00617697">
            <w:pPr>
              <w:pStyle w:val="TableText0"/>
              <w:rPr>
                <w:rFonts w:ascii="Symbol" w:hAnsi="Symbol"/>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30F5F9BB" wp14:editId="677A4915">
                      <wp:extent cx="257175" cy="352424"/>
                      <wp:effectExtent l="0" t="0" r="9525"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Rectangle 212"/>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1F95" w14:textId="77777777" w:rsidR="00497E3C" w:rsidRDefault="00497E3C" w:rsidP="009776A1">
                                    <w:r>
                                      <w:rPr>
                                        <w:color w:val="000000"/>
                                        <w:position w:val="-12"/>
                                        <w:sz w:val="16"/>
                                        <w:szCs w:val="16"/>
                                        <w:lang w:val="en-US"/>
                                      </w:rPr>
                                      <w:t>1</w:t>
                                    </w:r>
                                  </w:p>
                                </w:txbxContent>
                              </wps:txbx>
                              <wps:bodyPr rot="0" vert="horz" wrap="none" lIns="0" tIns="0" rIns="0" bIns="0" anchor="t" anchorCtr="0" upright="1">
                                <a:noAutofit/>
                              </wps:bodyPr>
                            </wps:wsp>
                            <wps:wsp>
                              <wps:cNvPr id="60" name="Line 213"/>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14"/>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05D4" w14:textId="77777777" w:rsidR="00497E3C" w:rsidRDefault="00497E3C" w:rsidP="003857D2">
                                    <w:pPr>
                                      <w:spacing w:line="240" w:lineRule="auto"/>
                                      <w:rPr>
                                        <w:position w:val="-12"/>
                                        <w:sz w:val="16"/>
                                        <w:szCs w:val="16"/>
                                      </w:rPr>
                                    </w:pPr>
                                    <w:r>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30F5F9BB" id="Canvas 63" o:spid="_x0000_s1056" editas="canvas" style="width:20.25pt;height:27.75pt;mso-position-horizontal-relative:char;mso-position-vertical-relative:line" coordsize="257175,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PgwMAAMgMAAAOAAAAZHJzL2Uyb0RvYy54bWzsV1uPozYUfq/U/2D5nQETIAENs5pNJlWl&#10;6e6o0/4AB0ywCjayPSHT1f73HhvIZVZRR3vTPiwP5ODL8bl83znO9Zt926AdU5pLkWNyFWDERCFL&#10;LrY5/vuvtbfASBsqStpIwXL8zDR+c/PrL9d9l7FQ1rIpmUKgROis73JcG9Nlvq+LmrVUX8mOCZis&#10;pGqpgU+19UtFe9DeNn4YBInfS1V2ShZMaxhdDZP4xumvKlaY91WlmUFNjsE2497KvTf27d9c02yr&#10;aFfzYjSDfoYVLeUCDj2oWlFD0ZPin6hqeaGklpW5KmTry6riBXM+gDckeOHNkood1c6ZAqIzGQjS&#10;V9S72Vq7hVzzpoFo+KA9s2P2t4f8MBjsO8iO7g550l92/mNNO+bc0lnxbvegEC9zHANUBG0BJH9C&#10;2qjYNgyFJLQpsufDwsfuQVljdXcvi380EnJZwzp2q5Tsa0ZLsIvY9eDEyQb7oWEr2vR/yBL00ycj&#10;Xbb2lWqtQsgD2ud4MVuEAJJn0BKQZAQH2xtUwGRMolmMUWFnSbKI3LRPs0lHp7T5jckWWSHHCnxw&#10;Z9DdvTbWJppNS84CTrNGnA3AwmEEToatds7a4ND0IQ3Su8XdIvKiMLnzomC18m7Xy8hL1mQer2ar&#10;5XJFPtpzSZTVvCyZsHmdkE2i1yVu5NiAyQO2tWx4adVZk7TabpaNQjsKzFq7x0UeZo7L/HMzXBDA&#10;lxcukTAK3oapt04Wcy9aR7GXzoOFF5D0bZoEURqt1ucu3XPBvtwl1Oc4jcPYZenE6Be+Be751Dea&#10;tdxA7Wp4C8g5LKKZBeKdKCHlNDOUN4N8Egpr/jEUkO4p0Q62FqkD4s1+s3fMOJJgI8tnALKSgDBA&#10;KhReEGqp/sWohyKWYwFVFqPmdwFUsPVuEtQkbCaBigI25thgNIhLM9TFp07xbQ16iYuMkLdAl4o7&#10;DFsqDTaMJIOq8J3KA/BxLA8u/SGZnVSGpXhQY514FdPJDCA2MH2WBklsVQ00s1QPg5gEI9cTIP3A&#10;3gtEbyCbLlCvIbrFHAk+G3FKPo3AugSyH7R0HNvLpYpwmQYD3mwOLPq+I+DCCXCn/Sg6Qd237kcj&#10;QpNkBmA9R2iYhsduNI/m/wPSn90ImtZJCR662IC5ifljg/3ZjcZrx8VudCi8P2Y3Arvdbdm12PFq&#10;b+/jp9+umBz/gNz8BwAA//8DAFBLAwQUAAYACAAAACEAoejN0twAAAADAQAADwAAAGRycy9kb3du&#10;cmV2LnhtbEyPTUvDQBCG74L/YRnBS7G7fqRozKYUQfCgxVbBHqfZMQlmZ0N228Z/79SLXgaG9+WZ&#10;Z4r56Du1pyG2gS1cTg0o4iq4lmsL72+PF7egYkJ22AUmC98UYV6enhSYu3DgFe3XqVYC4ZijhSal&#10;Ptc6Vg15jNPQE0v2GQaPSdah1m7Ag8B9p6+MmWmPLcuFBnt6aKj6Wu+8UO4mi8nyg59eluNzNVtt&#10;zPXm1Vh7fjYu7kElGtNfGY76og6lOG3Djl1UnQV5JP1OyW5MBmprIcsy0GWh/7uXPwAAAP//AwBQ&#10;SwECLQAUAAYACAAAACEAtoM4kv4AAADhAQAAEwAAAAAAAAAAAAAAAAAAAAAAW0NvbnRlbnRfVHlw&#10;ZXNdLnhtbFBLAQItABQABgAIAAAAIQA4/SH/1gAAAJQBAAALAAAAAAAAAAAAAAAAAC8BAABfcmVs&#10;cy8ucmVsc1BLAQItABQABgAIAAAAIQD+oAQPgwMAAMgMAAAOAAAAAAAAAAAAAAAAAC4CAABkcnMv&#10;ZTJvRG9jLnhtbFBLAQItABQABgAIAAAAIQCh6M3S3AAAAAMBAAAPAAAAAAAAAAAAAAAAAN0FAABk&#10;cnMvZG93bnJldi54bWxQSwUGAAAAAAQABADzAAAA5gYAAAAA&#10;">
                      <v:shape id="_x0000_s1057" type="#_x0000_t75" style="position:absolute;width:257175;height:351790;visibility:visible;mso-wrap-style:square">
                        <v:fill o:detectmouseclick="t"/>
                        <v:path o:connecttype="none"/>
                      </v:shape>
                      <v:rect id="Rectangle 212" o:spid="_x0000_s1058"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CpMEA&#10;AADbAAAADwAAAGRycy9kb3ducmV2LnhtbERP3WrCMBS+H/gO4QjezbTDyexMixPEIXih2wMcmrOm&#10;szmpSdT69uZisMuP739ZDbYTV/Khdawgn2YgiGunW24UfH9tnt9AhIissXNMCu4UoCpHT0sstLvx&#10;ga7H2IgUwqFABSbGvpAy1IYshqnriRP347zFmKBvpPZ4S+G2ky9ZNpcWW04NBntaG6pPx4tVQB/b&#10;w+J3Fcxe+jzk+918MduelZqMh9U7iEhD/Bf/uT+1gtc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QqTBAAAA2wAAAA8AAAAAAAAAAAAAAAAAmAIAAGRycy9kb3du&#10;cmV2LnhtbFBLBQYAAAAABAAEAPUAAACGAwAAAAA=&#10;" filled="f" stroked="f">
                        <v:textbox inset="0,0,0,0">
                          <w:txbxContent>
                            <w:p w14:paraId="0AEB1F95" w14:textId="77777777" w:rsidR="00497E3C" w:rsidRDefault="00497E3C" w:rsidP="009776A1">
                              <w:r>
                                <w:rPr>
                                  <w:color w:val="000000"/>
                                  <w:position w:val="-12"/>
                                  <w:sz w:val="16"/>
                                  <w:szCs w:val="16"/>
                                  <w:lang w:val="en-US"/>
                                </w:rPr>
                                <w:t>1</w:t>
                              </w:r>
                            </w:p>
                          </w:txbxContent>
                        </v:textbox>
                      </v:rect>
                      <v:line id="Line 213" o:spid="_x0000_s1059"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9cAAAADbAAAADwAAAGRycy9kb3ducmV2LnhtbERPPW/CMBDdK/EfrENiKw4MFKUYhBCI&#10;dCTJwnaNjyQiPke2gZRfXw9IjE/ve7UZTCfu5HxrWcFsmoAgrqxuuVZQFofPJQgfkDV2lknBH3nY&#10;rEcfK0y1ffCJ7nmoRQxhn6KCJoQ+ldJXDRn0U9sTR+5incEQoauldviI4aaT8yRZSIMtx4YGe9o1&#10;VF3zm1HwzIp9ec6Op9/yeS5+bO7d12Wp1GQ8bL9BBBrCW/xyZ1rBIq6P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kPXAAAAA2wAAAA8AAAAAAAAAAAAAAAAA&#10;oQIAAGRycy9kb3ducmV2LnhtbFBLBQYAAAAABAAEAPkAAACOAwAAAAA=&#10;" strokeweight="28e-5mm"/>
                      <v:rect id="Rectangle 214" o:spid="_x0000_s1060"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14:paraId="741B05D4" w14:textId="77777777" w:rsidR="00497E3C" w:rsidRDefault="00497E3C" w:rsidP="003857D2">
                              <w:pPr>
                                <w:spacing w:line="240" w:lineRule="auto"/>
                                <w:rPr>
                                  <w:position w:val="-12"/>
                                  <w:sz w:val="16"/>
                                  <w:szCs w:val="16"/>
                                </w:rPr>
                              </w:pPr>
                              <w:r>
                                <w:rPr>
                                  <w:color w:val="000000"/>
                                  <w:position w:val="-12"/>
                                  <w:sz w:val="16"/>
                                  <w:szCs w:val="16"/>
                                  <w:lang w:val="en-US"/>
                                </w:rPr>
                                <w:t>3.664</w:t>
                              </w:r>
                            </w:p>
                          </w:txbxContent>
                        </v:textbox>
                      </v:rect>
                      <w10:anchorlock/>
                    </v:group>
                  </w:pict>
                </mc:Fallback>
              </mc:AlternateContent>
            </w:r>
            <w:r w:rsidRPr="00097A86">
              <w:t>for converting the mass of carbon dioxide to a mass of carbon.</w:t>
            </w:r>
          </w:p>
        </w:tc>
      </w:tr>
      <w:tr w:rsidR="009776A1" w:rsidRPr="00097A86" w14:paraId="672CD58D" w14:textId="77777777" w:rsidTr="00C20CC2">
        <w:trPr>
          <w:cantSplit/>
        </w:trPr>
        <w:tc>
          <w:tcPr>
            <w:tcW w:w="583" w:type="pct"/>
          </w:tcPr>
          <w:p w14:paraId="2C45AEAA" w14:textId="77777777" w:rsidR="009776A1" w:rsidRPr="00097A86" w:rsidRDefault="009776A1" w:rsidP="00617697">
            <w:pPr>
              <w:spacing w:before="60" w:after="60"/>
              <w:rPr>
                <w:i/>
              </w:rPr>
            </w:pPr>
          </w:p>
        </w:tc>
        <w:tc>
          <w:tcPr>
            <w:tcW w:w="4417" w:type="pct"/>
            <w:hideMark/>
          </w:tcPr>
          <w:p w14:paraId="084A71EC" w14:textId="77777777" w:rsidR="009776A1" w:rsidRPr="00097A86" w:rsidRDefault="009776A1" w:rsidP="00617697">
            <w:pPr>
              <w:pStyle w:val="TableText0"/>
              <w:rPr>
                <w:iCs/>
                <w:szCs w:val="22"/>
              </w:rPr>
            </w:pPr>
            <w:r w:rsidRPr="00097A86">
              <w:rPr>
                <w:b/>
                <w:i/>
                <w:szCs w:val="22"/>
              </w:rPr>
              <w:t xml:space="preserve">γ </w:t>
            </w:r>
            <w:r w:rsidRPr="00097A86">
              <w:rPr>
                <w:szCs w:val="22"/>
              </w:rPr>
              <w:t>is the factor 1.861 ×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p w14:paraId="2B012D1F" w14:textId="77777777" w:rsidR="009776A1" w:rsidRPr="00097A86" w:rsidRDefault="009776A1" w:rsidP="00617697">
            <w:pPr>
              <w:pStyle w:val="TableText0"/>
              <w:spacing w:line="240" w:lineRule="auto"/>
              <w:rPr>
                <w:rFonts w:ascii="Symbol" w:hAnsi="Symbol"/>
                <w:b/>
                <w:i/>
                <w:szCs w:val="22"/>
              </w:rPr>
            </w:pPr>
            <w:r w:rsidRPr="00097A86">
              <w:rPr>
                <w:b/>
                <w:i/>
                <w:szCs w:val="22"/>
              </w:rPr>
              <w:t>RCCS</w:t>
            </w:r>
            <w:r w:rsidRPr="00097A86">
              <w:rPr>
                <w:b/>
                <w:i/>
                <w:vertAlign w:val="subscript"/>
              </w:rPr>
              <w:t>CO</w:t>
            </w:r>
            <w:r w:rsidRPr="00097A86">
              <w:rPr>
                <w:b/>
                <w:i/>
                <w:position w:val="-4"/>
                <w:vertAlign w:val="subscript"/>
              </w:rPr>
              <w:t>2</w:t>
            </w:r>
            <w:r w:rsidRPr="00097A86">
              <w:rPr>
                <w:szCs w:val="22"/>
              </w:rPr>
              <w:t xml:space="preserve"> is carbon dioxide captured for permanent storage, measured in cubic metres in accordance with Division</w:t>
            </w:r>
            <w:r w:rsidR="00097A86">
              <w:rPr>
                <w:szCs w:val="22"/>
              </w:rPr>
              <w:t> </w:t>
            </w:r>
            <w:r w:rsidRPr="00097A86">
              <w:rPr>
                <w:szCs w:val="22"/>
              </w:rPr>
              <w:t>1.2.3.</w:t>
            </w:r>
          </w:p>
        </w:tc>
      </w:tr>
    </w:tbl>
    <w:p w14:paraId="3E097384" w14:textId="77777777" w:rsidR="00755FAE" w:rsidRPr="00097A86" w:rsidRDefault="00755FAE" w:rsidP="00D22D3F">
      <w:pPr>
        <w:pStyle w:val="subsection"/>
      </w:pPr>
      <w:r w:rsidRPr="00097A86">
        <w:tab/>
        <w:t>(3)</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 (</w:t>
      </w:r>
      <w:r w:rsidRPr="00097A86">
        <w:rPr>
          <w:b/>
          <w:i/>
        </w:rPr>
        <w:t>i</w:t>
      </w:r>
      <w:r w:rsidRPr="00097A86">
        <w:t>) or carbonaceous input material must be carried out to determine its carbon content.</w:t>
      </w:r>
    </w:p>
    <w:p w14:paraId="0BA15B02" w14:textId="77777777" w:rsidR="00755FAE" w:rsidRPr="00097A86" w:rsidRDefault="00755FAE" w:rsidP="00D22D3F">
      <w:pPr>
        <w:pStyle w:val="subsection"/>
      </w:pPr>
      <w:r w:rsidRPr="00097A86">
        <w:tab/>
        <w:t>(4)</w:t>
      </w:r>
      <w:r w:rsidRPr="00097A86">
        <w:tab/>
        <w:t>The sampling and analysis is to be carried out using the sampling and analysis provided for in Divisions</w:t>
      </w:r>
      <w:r w:rsidR="00097A86">
        <w:t> </w:t>
      </w:r>
      <w:r w:rsidRPr="00097A86">
        <w:t>2.2.3, 2.3.3 and 2.4.3 that apply to the combustion of solid, gaseous and liquid fuels.</w:t>
      </w:r>
    </w:p>
    <w:p w14:paraId="482D1D37" w14:textId="77777777" w:rsidR="00755FAE" w:rsidRPr="00097A86" w:rsidRDefault="00755FAE" w:rsidP="00D22D3F">
      <w:pPr>
        <w:pStyle w:val="ActHead5"/>
      </w:pPr>
      <w:bookmarkStart w:id="472" w:name="_Toc13233904"/>
      <w:r w:rsidRPr="00097A86">
        <w:rPr>
          <w:rStyle w:val="CharSectno"/>
        </w:rPr>
        <w:t>4.73</w:t>
      </w:r>
      <w:r w:rsidR="00D22D3F" w:rsidRPr="00097A86">
        <w:t xml:space="preserve">  </w:t>
      </w:r>
      <w:r w:rsidRPr="00097A86">
        <w:t>Method 3</w:t>
      </w:r>
      <w:r w:rsidR="00D22D3F" w:rsidRPr="00097A86">
        <w:t>—</w:t>
      </w:r>
      <w:r w:rsidRPr="00097A86">
        <w:t>ferroalloy metal</w:t>
      </w:r>
      <w:bookmarkEnd w:id="472"/>
    </w:p>
    <w:p w14:paraId="05C69762" w14:textId="77777777" w:rsidR="00755FAE" w:rsidRPr="00097A86" w:rsidRDefault="00755FAE" w:rsidP="00D22D3F">
      <w:pPr>
        <w:pStyle w:val="subsection"/>
      </w:pPr>
      <w:r w:rsidRPr="00097A86">
        <w:tab/>
        <w:t>(1)</w:t>
      </w:r>
      <w:r w:rsidRPr="00097A86">
        <w:tab/>
        <w:t>Subject to this section, method 3 is the same as method 2 under section</w:t>
      </w:r>
      <w:r w:rsidR="00097A86">
        <w:t> </w:t>
      </w:r>
      <w:r w:rsidRPr="00097A86">
        <w:t>4.72.</w:t>
      </w:r>
    </w:p>
    <w:p w14:paraId="2EAA3A42" w14:textId="77777777" w:rsidR="00755FAE" w:rsidRPr="00097A86" w:rsidRDefault="00755FAE" w:rsidP="00D22D3F">
      <w:pPr>
        <w:pStyle w:val="subsection"/>
      </w:pPr>
      <w:r w:rsidRPr="00097A86">
        <w:tab/>
        <w:t>(2)</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 (</w:t>
      </w:r>
      <w:r w:rsidRPr="00097A86">
        <w:rPr>
          <w:b/>
          <w:i/>
        </w:rPr>
        <w:t>i</w:t>
      </w:r>
      <w:r w:rsidRPr="00097A86">
        <w:t>) or carbonaceous input material must be carried out to determine its carbon content.</w:t>
      </w:r>
    </w:p>
    <w:p w14:paraId="5389BD88" w14:textId="77777777" w:rsidR="00755FAE" w:rsidRPr="00097A86" w:rsidRDefault="00755FAE" w:rsidP="00D22D3F">
      <w:pPr>
        <w:pStyle w:val="subsection"/>
      </w:pPr>
      <w:r w:rsidRPr="00097A86">
        <w:tab/>
        <w:t>(3)</w:t>
      </w:r>
      <w:r w:rsidRPr="00097A86">
        <w:tab/>
        <w:t>The sampling and analysis is to be carried out using the methods set out in Divisions</w:t>
      </w:r>
      <w:r w:rsidR="00097A86">
        <w:t> </w:t>
      </w:r>
      <w:r w:rsidRPr="00097A86">
        <w:t>2.2.4, 2.3.4 and 2.4.4 that apply to the combustion of solid, gaseous and liquid fuels.</w:t>
      </w:r>
    </w:p>
    <w:p w14:paraId="6638F627" w14:textId="77777777" w:rsidR="009369D1" w:rsidRPr="00097A86" w:rsidRDefault="009369D1" w:rsidP="00D22D3F">
      <w:pPr>
        <w:pStyle w:val="ActHead3"/>
        <w:pageBreakBefore/>
      </w:pPr>
      <w:bookmarkStart w:id="473" w:name="_Toc13233905"/>
      <w:r w:rsidRPr="00097A86">
        <w:rPr>
          <w:rStyle w:val="CharDivNo"/>
        </w:rPr>
        <w:lastRenderedPageBreak/>
        <w:t>Division</w:t>
      </w:r>
      <w:r w:rsidR="00097A86">
        <w:rPr>
          <w:rStyle w:val="CharDivNo"/>
        </w:rPr>
        <w:t> </w:t>
      </w:r>
      <w:r w:rsidRPr="00097A86">
        <w:rPr>
          <w:rStyle w:val="CharDivNo"/>
        </w:rPr>
        <w:t>4.4.3</w:t>
      </w:r>
      <w:r w:rsidR="00D22D3F" w:rsidRPr="00097A86">
        <w:t>—</w:t>
      </w:r>
      <w:r w:rsidRPr="00097A86">
        <w:rPr>
          <w:rStyle w:val="CharDivText"/>
        </w:rPr>
        <w:t>Aluminium production (carbon dioxide emissions)</w:t>
      </w:r>
      <w:bookmarkEnd w:id="473"/>
    </w:p>
    <w:p w14:paraId="324817A7" w14:textId="77777777" w:rsidR="003F0D4E" w:rsidRPr="00097A86" w:rsidRDefault="003F0D4E" w:rsidP="00D22D3F">
      <w:pPr>
        <w:pStyle w:val="ActHead5"/>
      </w:pPr>
      <w:bookmarkStart w:id="474" w:name="_Toc13233906"/>
      <w:r w:rsidRPr="00097A86">
        <w:rPr>
          <w:rStyle w:val="CharSectno"/>
        </w:rPr>
        <w:t>4.74</w:t>
      </w:r>
      <w:r w:rsidR="00D22D3F" w:rsidRPr="00097A86">
        <w:t xml:space="preserve">  </w:t>
      </w:r>
      <w:r w:rsidRPr="00097A86">
        <w:t>Application</w:t>
      </w:r>
      <w:bookmarkEnd w:id="474"/>
    </w:p>
    <w:p w14:paraId="12C02136" w14:textId="77777777" w:rsidR="003F0D4E" w:rsidRPr="00097A86" w:rsidRDefault="003F0D4E" w:rsidP="00D22D3F">
      <w:pPr>
        <w:pStyle w:val="subsection"/>
      </w:pPr>
      <w:r w:rsidRPr="00097A86">
        <w:tab/>
      </w:r>
      <w:r w:rsidRPr="00097A86">
        <w:tab/>
        <w:t>This Division applies to aluminium production.</w:t>
      </w:r>
    </w:p>
    <w:p w14:paraId="6FC6C94A" w14:textId="77777777" w:rsidR="00590D6A" w:rsidRPr="00097A86" w:rsidRDefault="00590D6A" w:rsidP="00D22D3F">
      <w:pPr>
        <w:pStyle w:val="ActHead4"/>
      </w:pPr>
      <w:bookmarkStart w:id="475" w:name="_Toc13233907"/>
      <w:r w:rsidRPr="00097A86">
        <w:rPr>
          <w:rStyle w:val="CharSubdNo"/>
        </w:rPr>
        <w:t>Sudivision 4.4.3.1</w:t>
      </w:r>
      <w:r w:rsidR="00D22D3F" w:rsidRPr="00097A86">
        <w:t>—</w:t>
      </w:r>
      <w:r w:rsidRPr="00097A86">
        <w:rPr>
          <w:rStyle w:val="CharSubdText"/>
        </w:rPr>
        <w:t>Aluminium</w:t>
      </w:r>
      <w:r w:rsidR="00D22D3F" w:rsidRPr="00097A86">
        <w:rPr>
          <w:rStyle w:val="CharSubdText"/>
        </w:rPr>
        <w:t>—</w:t>
      </w:r>
      <w:r w:rsidRPr="00097A86">
        <w:rPr>
          <w:rStyle w:val="CharSubdText"/>
        </w:rPr>
        <w:t>emissions from consumption of carbon anodes in aluminium production</w:t>
      </w:r>
      <w:bookmarkEnd w:id="475"/>
    </w:p>
    <w:p w14:paraId="38251052" w14:textId="77777777" w:rsidR="003F0D4E" w:rsidRPr="00097A86" w:rsidRDefault="003F0D4E" w:rsidP="00D22D3F">
      <w:pPr>
        <w:pStyle w:val="ActHead5"/>
      </w:pPr>
      <w:bookmarkStart w:id="476" w:name="_Toc13233908"/>
      <w:r w:rsidRPr="00097A86">
        <w:rPr>
          <w:rStyle w:val="CharSectno"/>
        </w:rPr>
        <w:t>4.75</w:t>
      </w:r>
      <w:r w:rsidR="00D22D3F" w:rsidRPr="00097A86">
        <w:t xml:space="preserve">  </w:t>
      </w:r>
      <w:r w:rsidRPr="00097A86">
        <w:t>Available methods</w:t>
      </w:r>
      <w:bookmarkEnd w:id="476"/>
    </w:p>
    <w:p w14:paraId="00EFFE1F"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of carbon dioxide released during a year from the operation of a facility that is constituted by the production of aluminium involving the consumption of carbon anodes, one of the following methods must be used:</w:t>
      </w:r>
    </w:p>
    <w:p w14:paraId="11F4A70F" w14:textId="77777777" w:rsidR="003F0D4E" w:rsidRPr="00097A86" w:rsidRDefault="003F0D4E" w:rsidP="00D22D3F">
      <w:pPr>
        <w:pStyle w:val="paragraph"/>
      </w:pPr>
      <w:r w:rsidRPr="00097A86">
        <w:tab/>
        <w:t>(a)</w:t>
      </w:r>
      <w:r w:rsidRPr="00097A86">
        <w:tab/>
        <w:t>method 1 under section</w:t>
      </w:r>
      <w:r w:rsidR="00097A86">
        <w:t> </w:t>
      </w:r>
      <w:r w:rsidRPr="00097A86">
        <w:t>4.76;</w:t>
      </w:r>
    </w:p>
    <w:p w14:paraId="71B99BFA" w14:textId="77777777" w:rsidR="003F0D4E" w:rsidRPr="00097A86" w:rsidRDefault="003F0D4E" w:rsidP="00D22D3F">
      <w:pPr>
        <w:pStyle w:val="paragraph"/>
      </w:pPr>
      <w:r w:rsidRPr="00097A86">
        <w:tab/>
        <w:t>(b)</w:t>
      </w:r>
      <w:r w:rsidRPr="00097A86">
        <w:tab/>
        <w:t>method 2 under section</w:t>
      </w:r>
      <w:r w:rsidR="00097A86">
        <w:t> </w:t>
      </w:r>
      <w:r w:rsidRPr="00097A86">
        <w:t>4.77;</w:t>
      </w:r>
    </w:p>
    <w:p w14:paraId="78A1ADA1" w14:textId="77777777" w:rsidR="003F0D4E" w:rsidRPr="00097A86" w:rsidRDefault="003F0D4E" w:rsidP="00D22D3F">
      <w:pPr>
        <w:pStyle w:val="paragraph"/>
      </w:pPr>
      <w:r w:rsidRPr="00097A86">
        <w:tab/>
        <w:t>(c)</w:t>
      </w:r>
      <w:r w:rsidRPr="00097A86">
        <w:tab/>
        <w:t>method 3 under section</w:t>
      </w:r>
      <w:r w:rsidR="00097A86">
        <w:t> </w:t>
      </w:r>
      <w:r w:rsidRPr="00097A86">
        <w:t>4.78;</w:t>
      </w:r>
    </w:p>
    <w:p w14:paraId="6D8EFFFB" w14:textId="77777777" w:rsidR="003F0D4E" w:rsidRPr="00097A86" w:rsidRDefault="003F0D4E" w:rsidP="00D22D3F">
      <w:pPr>
        <w:pStyle w:val="paragraph"/>
      </w:pPr>
      <w:r w:rsidRPr="00097A86">
        <w:tab/>
        <w:t>(d)</w:t>
      </w:r>
      <w:r w:rsidRPr="00097A86">
        <w:tab/>
        <w:t>method 4 under Part</w:t>
      </w:r>
      <w:r w:rsidR="00097A86">
        <w:t> </w:t>
      </w:r>
      <w:r w:rsidRPr="00097A86">
        <w:t>1.3.</w:t>
      </w:r>
    </w:p>
    <w:p w14:paraId="21FF4230"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589AE49B" w14:textId="77777777" w:rsidR="00055093" w:rsidRPr="00097A86" w:rsidRDefault="00055093" w:rsidP="00D22D3F">
      <w:pPr>
        <w:pStyle w:val="ActHead5"/>
      </w:pPr>
      <w:bookmarkStart w:id="477" w:name="_Toc13233909"/>
      <w:r w:rsidRPr="00097A86">
        <w:rPr>
          <w:rStyle w:val="CharSectno"/>
        </w:rPr>
        <w:t>4.76</w:t>
      </w:r>
      <w:r w:rsidR="00D22D3F" w:rsidRPr="00097A86">
        <w:t xml:space="preserve">  </w:t>
      </w:r>
      <w:r w:rsidRPr="00097A86">
        <w:t>Method 1</w:t>
      </w:r>
      <w:r w:rsidR="00D22D3F" w:rsidRPr="00097A86">
        <w:t>—</w:t>
      </w:r>
      <w:r w:rsidRPr="00097A86">
        <w:t>aluminium (carbon anode consumption)</w:t>
      </w:r>
      <w:bookmarkEnd w:id="477"/>
    </w:p>
    <w:p w14:paraId="4940FEDA" w14:textId="77777777" w:rsidR="003F0D4E" w:rsidRPr="00097A86" w:rsidRDefault="003F0D4E" w:rsidP="00D22D3F">
      <w:pPr>
        <w:pStyle w:val="subsection"/>
      </w:pPr>
      <w:r w:rsidRPr="00097A86">
        <w:tab/>
      </w:r>
      <w:r w:rsidRPr="00097A86">
        <w:tab/>
        <w:t>Method 1 is:</w:t>
      </w:r>
    </w:p>
    <w:p w14:paraId="5D7DC44A" w14:textId="77777777" w:rsidR="003F0D4E" w:rsidRPr="00097A86" w:rsidRDefault="00D22D3F" w:rsidP="00D22D3F">
      <w:pPr>
        <w:pStyle w:val="subsection"/>
        <w:spacing w:before="120" w:after="120"/>
      </w:pPr>
      <w:r w:rsidRPr="00097A86">
        <w:tab/>
      </w:r>
      <w:r w:rsidRPr="00097A86">
        <w:tab/>
      </w:r>
      <w:r w:rsidR="005A1961" w:rsidRPr="00097A86">
        <w:rPr>
          <w:noProof/>
        </w:rPr>
        <w:drawing>
          <wp:inline distT="0" distB="0" distL="0" distR="0" wp14:anchorId="595295C6" wp14:editId="5048C364">
            <wp:extent cx="857250" cy="20002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p>
    <w:p w14:paraId="3CE03595" w14:textId="77777777" w:rsidR="003F0D4E" w:rsidRPr="00097A86" w:rsidRDefault="003F0D4E" w:rsidP="00D22D3F">
      <w:pPr>
        <w:pStyle w:val="subsection2"/>
      </w:pPr>
      <w:r w:rsidRPr="00097A86">
        <w:t>where:</w:t>
      </w:r>
    </w:p>
    <w:p w14:paraId="007461C9" w14:textId="77777777" w:rsidR="003F0D4E" w:rsidRPr="00097A86" w:rsidRDefault="003F0D4E" w:rsidP="00D22D3F">
      <w:pPr>
        <w:pStyle w:val="Definition"/>
      </w:pPr>
      <w:r w:rsidRPr="00097A86">
        <w:rPr>
          <w:b/>
          <w:i/>
        </w:rPr>
        <w:t>E</w:t>
      </w:r>
      <w:r w:rsidRPr="00097A86">
        <w:rPr>
          <w:rStyle w:val="charSubscript"/>
          <w:b/>
          <w:i/>
          <w:sz w:val="16"/>
          <w:szCs w:val="16"/>
        </w:rPr>
        <w:t>ij</w:t>
      </w:r>
      <w:r w:rsidRPr="00097A86">
        <w:rPr>
          <w:b/>
          <w:i/>
        </w:rPr>
        <w:t xml:space="preserve"> </w:t>
      </w:r>
      <w:r w:rsidRPr="00097A86">
        <w:t>is the emissions of carbon dioxide released from aluminium smelting and production involving the consumption of carbon anodes during the year measured in CO</w:t>
      </w:r>
      <w:r w:rsidRPr="00097A86">
        <w:rPr>
          <w:vertAlign w:val="subscript"/>
        </w:rPr>
        <w:t>2</w:t>
      </w:r>
      <w:r w:rsidR="00097A86">
        <w:noBreakHyphen/>
      </w:r>
      <w:r w:rsidRPr="00097A86">
        <w:t>e tonnes.</w:t>
      </w:r>
    </w:p>
    <w:p w14:paraId="0BD80888" w14:textId="77777777" w:rsidR="003F0D4E" w:rsidRPr="00097A86" w:rsidRDefault="003F0D4E" w:rsidP="00D22D3F">
      <w:pPr>
        <w:pStyle w:val="Definition"/>
      </w:pPr>
      <w:r w:rsidRPr="00097A86">
        <w:rPr>
          <w:b/>
          <w:i/>
        </w:rPr>
        <w:t>A</w:t>
      </w:r>
      <w:r w:rsidRPr="00097A86">
        <w:rPr>
          <w:rStyle w:val="charSubscript"/>
          <w:b/>
          <w:i/>
        </w:rPr>
        <w:t>i</w:t>
      </w:r>
      <w:r w:rsidRPr="00097A86">
        <w:rPr>
          <w:b/>
          <w:i/>
        </w:rPr>
        <w:t xml:space="preserve"> </w:t>
      </w:r>
      <w:r w:rsidRPr="00097A86">
        <w:t>is the amount of primary aluminium produced in tonnes during the year.</w:t>
      </w:r>
    </w:p>
    <w:p w14:paraId="79CBF8D5" w14:textId="77777777" w:rsidR="003F0D4E" w:rsidRPr="00097A86" w:rsidRDefault="003F0D4E" w:rsidP="00D22D3F">
      <w:pPr>
        <w:pStyle w:val="Definition"/>
      </w:pPr>
      <w:r w:rsidRPr="00097A86">
        <w:rPr>
          <w:b/>
          <w:i/>
        </w:rPr>
        <w:t>EF</w:t>
      </w:r>
      <w:r w:rsidRPr="00097A86">
        <w:rPr>
          <w:rStyle w:val="charSubscript"/>
          <w:b/>
          <w:i/>
        </w:rPr>
        <w:t>ij</w:t>
      </w:r>
      <w:r w:rsidRPr="00097A86">
        <w:rPr>
          <w:b/>
          <w:i/>
        </w:rPr>
        <w:t xml:space="preserve"> </w:t>
      </w:r>
      <w:r w:rsidRPr="00097A86">
        <w:t>is the carbon dioxide emission factor for carbon anode consumption, measured in CO</w:t>
      </w:r>
      <w:r w:rsidRPr="00097A86">
        <w:rPr>
          <w:rStyle w:val="charSubscript"/>
        </w:rPr>
        <w:t>2</w:t>
      </w:r>
      <w:r w:rsidR="00097A86">
        <w:noBreakHyphen/>
      </w:r>
      <w:r w:rsidRPr="00097A86">
        <w:t>e tonnes for each tonne of aluminium produced during the year, estimated in accordance with the following formula:</w:t>
      </w:r>
    </w:p>
    <w:p w14:paraId="21160E43" w14:textId="77777777" w:rsidR="009369D1" w:rsidRPr="00097A86" w:rsidRDefault="009E1F90" w:rsidP="00D22D3F">
      <w:pPr>
        <w:pStyle w:val="Definition"/>
        <w:spacing w:before="120" w:after="120"/>
      </w:pPr>
      <w:r>
        <w:rPr>
          <w:noProof/>
        </w:rPr>
        <w:drawing>
          <wp:inline distT="0" distB="0" distL="0" distR="0" wp14:anchorId="127CB3D7" wp14:editId="550BF0C8">
            <wp:extent cx="2828925" cy="419100"/>
            <wp:effectExtent l="0" t="0" r="9525" b="0"/>
            <wp:docPr id="1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828925" cy="419100"/>
                    </a:xfrm>
                    <a:prstGeom prst="rect">
                      <a:avLst/>
                    </a:prstGeom>
                    <a:noFill/>
                    <a:ln>
                      <a:noFill/>
                    </a:ln>
                  </pic:spPr>
                </pic:pic>
              </a:graphicData>
            </a:graphic>
          </wp:inline>
        </w:drawing>
      </w:r>
    </w:p>
    <w:p w14:paraId="662DDA68" w14:textId="77777777" w:rsidR="003F0D4E" w:rsidRPr="00097A86" w:rsidRDefault="003F0D4E" w:rsidP="00D22D3F">
      <w:pPr>
        <w:pStyle w:val="subsection2"/>
      </w:pPr>
      <w:r w:rsidRPr="00097A86">
        <w:t>where:</w:t>
      </w:r>
    </w:p>
    <w:p w14:paraId="0820BF38" w14:textId="77777777" w:rsidR="003F0D4E" w:rsidRPr="00097A86" w:rsidRDefault="003F0D4E" w:rsidP="00D22D3F">
      <w:pPr>
        <w:pStyle w:val="Definition"/>
      </w:pPr>
      <w:r w:rsidRPr="00097A86">
        <w:rPr>
          <w:b/>
          <w:i/>
        </w:rPr>
        <w:t xml:space="preserve">NAC </w:t>
      </w:r>
      <w:r w:rsidRPr="00097A86">
        <w:t>is the amount of carbon consumed from a carbon anode consumed in the production of aluminium during the year, worked out at the rate of 0.413 tonnes of carbon anode consumed for each tonne of aluminium produced.</w:t>
      </w:r>
    </w:p>
    <w:p w14:paraId="6B548F59" w14:textId="77777777" w:rsidR="009369D1" w:rsidRPr="00097A86" w:rsidRDefault="009369D1" w:rsidP="00D22D3F">
      <w:pPr>
        <w:pStyle w:val="Definition"/>
      </w:pPr>
      <w:r w:rsidRPr="00097A86">
        <w:rPr>
          <w:b/>
          <w:bCs/>
          <w:i/>
          <w:iCs/>
        </w:rPr>
        <w:lastRenderedPageBreak/>
        <w:t>S</w:t>
      </w:r>
      <w:r w:rsidRPr="00097A86">
        <w:rPr>
          <w:b/>
          <w:bCs/>
          <w:i/>
          <w:iCs/>
          <w:vertAlign w:val="subscript"/>
        </w:rPr>
        <w:t>a</w:t>
      </w:r>
      <w:r w:rsidRPr="00097A86">
        <w:rPr>
          <w:b/>
          <w:i/>
        </w:rPr>
        <w:t xml:space="preserve"> </w:t>
      </w:r>
      <w:r w:rsidRPr="00097A86">
        <w:t>is the mass of sulphur content in carbon anodes that is consumed in the production of aluminium during the year, expressed as a percentage of the mass of the carbon anodes, and is taken to be 2.</w:t>
      </w:r>
    </w:p>
    <w:p w14:paraId="260C3887" w14:textId="77777777" w:rsidR="009369D1" w:rsidRPr="00097A86" w:rsidRDefault="009369D1" w:rsidP="00D22D3F">
      <w:pPr>
        <w:pStyle w:val="Definition"/>
      </w:pPr>
      <w:r w:rsidRPr="00097A86">
        <w:rPr>
          <w:b/>
          <w:bCs/>
          <w:i/>
          <w:iCs/>
        </w:rPr>
        <w:t>Ash</w:t>
      </w:r>
      <w:r w:rsidRPr="00097A86">
        <w:rPr>
          <w:rStyle w:val="charsubscript0"/>
          <w:b/>
          <w:bCs/>
          <w:i/>
          <w:iCs/>
        </w:rPr>
        <w:t>a</w:t>
      </w:r>
      <w:r w:rsidRPr="00097A86">
        <w:rPr>
          <w:b/>
          <w:i/>
        </w:rPr>
        <w:t xml:space="preserve"> </w:t>
      </w:r>
      <w:r w:rsidRPr="00097A86">
        <w:t>is the mass of ash content in carbon anodes that is consumed in the production of aluminium during the year, expressed as a percentage of the mass of the carbon anodes, and is taken to be 0.4.</w:t>
      </w:r>
    </w:p>
    <w:p w14:paraId="3DE15BCC" w14:textId="77777777" w:rsidR="00055093" w:rsidRPr="00097A86" w:rsidRDefault="00055093" w:rsidP="00D22D3F">
      <w:pPr>
        <w:pStyle w:val="ActHead5"/>
      </w:pPr>
      <w:bookmarkStart w:id="478" w:name="_Toc13233910"/>
      <w:r w:rsidRPr="00097A86">
        <w:rPr>
          <w:rStyle w:val="CharSectno"/>
        </w:rPr>
        <w:t>4.77</w:t>
      </w:r>
      <w:r w:rsidR="00D22D3F" w:rsidRPr="00097A86">
        <w:t xml:space="preserve">  </w:t>
      </w:r>
      <w:r w:rsidRPr="00097A86">
        <w:t>Method 2</w:t>
      </w:r>
      <w:r w:rsidR="00D22D3F" w:rsidRPr="00097A86">
        <w:t>—</w:t>
      </w:r>
      <w:r w:rsidRPr="00097A86">
        <w:t>aluminium (carbon anode consumption)</w:t>
      </w:r>
      <w:bookmarkEnd w:id="478"/>
    </w:p>
    <w:p w14:paraId="098B8943" w14:textId="77777777" w:rsidR="003F0D4E" w:rsidRPr="00097A86" w:rsidRDefault="003F0D4E" w:rsidP="00D22D3F">
      <w:pPr>
        <w:pStyle w:val="subsection"/>
      </w:pPr>
      <w:r w:rsidRPr="00097A86">
        <w:tab/>
        <w:t>(1)</w:t>
      </w:r>
      <w:r w:rsidRPr="00097A86">
        <w:tab/>
        <w:t>Subject to this section, method 2 is the same as method 1 under section</w:t>
      </w:r>
      <w:r w:rsidR="00097A86">
        <w:t> </w:t>
      </w:r>
      <w:r w:rsidRPr="00097A86">
        <w:t>4.76.</w:t>
      </w:r>
    </w:p>
    <w:p w14:paraId="491D953F" w14:textId="77777777" w:rsidR="003F0D4E" w:rsidRPr="00097A86" w:rsidRDefault="003F0D4E" w:rsidP="00D22D3F">
      <w:pPr>
        <w:pStyle w:val="subsection"/>
      </w:pPr>
      <w:r w:rsidRPr="00097A86">
        <w:tab/>
        <w:t>(2)</w:t>
      </w:r>
      <w:r w:rsidRPr="00097A86">
        <w:tab/>
        <w:t>In applying method 1 under section</w:t>
      </w:r>
      <w:r w:rsidR="00097A86">
        <w:t> </w:t>
      </w:r>
      <w:r w:rsidRPr="00097A86">
        <w:t>4.76, the method for sampling and analysing the fuel type (</w:t>
      </w:r>
      <w:r w:rsidRPr="00097A86">
        <w:rPr>
          <w:b/>
          <w:i/>
        </w:rPr>
        <w:t>i</w:t>
      </w:r>
      <w:r w:rsidRPr="00097A86">
        <w:t xml:space="preserve">) for the factors </w:t>
      </w:r>
      <w:r w:rsidRPr="00097A86">
        <w:rPr>
          <w:b/>
          <w:i/>
        </w:rPr>
        <w:t>NAC</w:t>
      </w:r>
      <w:r w:rsidRPr="00097A86">
        <w:t xml:space="preserve">, </w:t>
      </w:r>
      <w:r w:rsidRPr="00097A86">
        <w:rPr>
          <w:b/>
          <w:i/>
        </w:rPr>
        <w:t>S</w:t>
      </w:r>
      <w:r w:rsidRPr="00097A86">
        <w:rPr>
          <w:b/>
          <w:i/>
          <w:vertAlign w:val="subscript"/>
        </w:rPr>
        <w:t>a</w:t>
      </w:r>
      <w:r w:rsidRPr="00097A86">
        <w:t xml:space="preserve"> and </w:t>
      </w:r>
      <w:r w:rsidRPr="00097A86">
        <w:rPr>
          <w:b/>
          <w:i/>
        </w:rPr>
        <w:t>Ash</w:t>
      </w:r>
      <w:r w:rsidRPr="00097A86">
        <w:rPr>
          <w:b/>
          <w:i/>
          <w:vertAlign w:val="subscript"/>
        </w:rPr>
        <w:t>a</w:t>
      </w:r>
      <w:r w:rsidRPr="00097A86">
        <w:t xml:space="preserve"> must be determined by sampling and analysing the fuel type for sulphur and ash content, as the case may be, in accordance with:</w:t>
      </w:r>
    </w:p>
    <w:p w14:paraId="0EF37DC9" w14:textId="77777777" w:rsidR="003F0D4E" w:rsidRPr="00097A86" w:rsidRDefault="003F0D4E" w:rsidP="00D22D3F">
      <w:pPr>
        <w:pStyle w:val="paragraph"/>
      </w:pPr>
      <w:r w:rsidRPr="00097A86">
        <w:tab/>
        <w:t>(a)</w:t>
      </w:r>
      <w:r w:rsidRPr="00097A86">
        <w:tab/>
        <w:t>for solid fuels</w:t>
      </w:r>
      <w:r w:rsidR="00D22D3F" w:rsidRPr="00097A86">
        <w:t>—</w:t>
      </w:r>
      <w:r w:rsidRPr="00097A86">
        <w:t>method 2 in Division</w:t>
      </w:r>
      <w:r w:rsidR="00097A86">
        <w:t> </w:t>
      </w:r>
      <w:r w:rsidRPr="00097A86">
        <w:t>2.2.3; and</w:t>
      </w:r>
    </w:p>
    <w:p w14:paraId="2E2D5113" w14:textId="77777777" w:rsidR="003F0D4E" w:rsidRPr="00097A86" w:rsidRDefault="003F0D4E" w:rsidP="00D22D3F">
      <w:pPr>
        <w:pStyle w:val="paragraph"/>
      </w:pPr>
      <w:r w:rsidRPr="00097A86">
        <w:tab/>
        <w:t>(b)</w:t>
      </w:r>
      <w:r w:rsidRPr="00097A86">
        <w:tab/>
        <w:t>for gaseous fuels</w:t>
      </w:r>
      <w:r w:rsidR="00D22D3F" w:rsidRPr="00097A86">
        <w:t>—</w:t>
      </w:r>
      <w:r w:rsidRPr="00097A86">
        <w:t>method 2 in Division</w:t>
      </w:r>
      <w:r w:rsidR="00097A86">
        <w:t> </w:t>
      </w:r>
      <w:r w:rsidRPr="00097A86">
        <w:t>2.3.3; and</w:t>
      </w:r>
    </w:p>
    <w:p w14:paraId="1B8C2391" w14:textId="77777777" w:rsidR="003F0D4E" w:rsidRPr="00097A86" w:rsidRDefault="003F0D4E" w:rsidP="00D22D3F">
      <w:pPr>
        <w:pStyle w:val="paragraph"/>
      </w:pPr>
      <w:r w:rsidRPr="00097A86">
        <w:tab/>
        <w:t>(c)</w:t>
      </w:r>
      <w:r w:rsidRPr="00097A86">
        <w:tab/>
        <w:t>for liquid fuels</w:t>
      </w:r>
      <w:r w:rsidR="00D22D3F" w:rsidRPr="00097A86">
        <w:t>—</w:t>
      </w:r>
      <w:r w:rsidRPr="00097A86">
        <w:t>method 2 in Division</w:t>
      </w:r>
      <w:r w:rsidR="00097A86">
        <w:t> </w:t>
      </w:r>
      <w:r w:rsidRPr="00097A86">
        <w:t>2.4.3.</w:t>
      </w:r>
    </w:p>
    <w:p w14:paraId="6A3D2719" w14:textId="77777777" w:rsidR="009369D1" w:rsidRPr="00097A86" w:rsidRDefault="009369D1" w:rsidP="00D22D3F">
      <w:pPr>
        <w:pStyle w:val="subsection"/>
      </w:pPr>
      <w:r w:rsidRPr="00097A86">
        <w:tab/>
        <w:t>(3)</w:t>
      </w:r>
      <w:r w:rsidRPr="00097A86">
        <w:tab/>
        <w:t>However, in applying method 1 under section</w:t>
      </w:r>
      <w:r w:rsidR="00097A86">
        <w:t> </w:t>
      </w:r>
      <w:r w:rsidRPr="00097A86">
        <w:t xml:space="preserve">4.76, the factor </w:t>
      </w:r>
      <w:r w:rsidRPr="00097A86">
        <w:rPr>
          <w:b/>
          <w:bCs/>
          <w:i/>
          <w:iCs/>
        </w:rPr>
        <w:t>S</w:t>
      </w:r>
      <w:r w:rsidRPr="00097A86">
        <w:rPr>
          <w:b/>
          <w:bCs/>
          <w:i/>
          <w:iCs/>
          <w:vertAlign w:val="subscript"/>
        </w:rPr>
        <w:t xml:space="preserve">a </w:t>
      </w:r>
      <w:r w:rsidRPr="00097A86">
        <w:t>may be the amount for the factor as mentioned in section</w:t>
      </w:r>
      <w:r w:rsidR="00097A86">
        <w:t> </w:t>
      </w:r>
      <w:r w:rsidRPr="00097A86">
        <w:t>4.76.</w:t>
      </w:r>
    </w:p>
    <w:p w14:paraId="4711D77A" w14:textId="77777777" w:rsidR="009369D1" w:rsidRPr="00097A86" w:rsidRDefault="009369D1" w:rsidP="00D22D3F">
      <w:pPr>
        <w:pStyle w:val="subsection"/>
      </w:pPr>
      <w:r w:rsidRPr="00097A86">
        <w:tab/>
        <w:t>(4)</w:t>
      </w:r>
      <w:r w:rsidRPr="00097A86">
        <w:tab/>
        <w:t xml:space="preserve">If the amount for the factor </w:t>
      </w:r>
      <w:r w:rsidRPr="00097A86">
        <w:rPr>
          <w:b/>
          <w:bCs/>
          <w:i/>
          <w:iCs/>
        </w:rPr>
        <w:t>S</w:t>
      </w:r>
      <w:r w:rsidRPr="00097A86">
        <w:rPr>
          <w:b/>
          <w:bCs/>
          <w:i/>
          <w:iCs/>
          <w:vertAlign w:val="subscript"/>
        </w:rPr>
        <w:t xml:space="preserve">a </w:t>
      </w:r>
      <w:r w:rsidRPr="00097A86">
        <w:t>as mentioned in section</w:t>
      </w:r>
      <w:r w:rsidR="00097A86">
        <w:t> </w:t>
      </w:r>
      <w:r w:rsidRPr="00097A86">
        <w:t xml:space="preserve">4.76 is not used, then </w:t>
      </w:r>
      <w:r w:rsidRPr="00097A86">
        <w:rPr>
          <w:b/>
          <w:bCs/>
          <w:i/>
          <w:iCs/>
        </w:rPr>
        <w:t>S</w:t>
      </w:r>
      <w:r w:rsidRPr="00097A86">
        <w:rPr>
          <w:b/>
          <w:bCs/>
          <w:i/>
          <w:iCs/>
          <w:vertAlign w:val="subscript"/>
        </w:rPr>
        <w:t xml:space="preserve">a </w:t>
      </w:r>
      <w:r w:rsidRPr="00097A86">
        <w:t xml:space="preserve">must be determined by sampling and analysing the fuel type </w:t>
      </w:r>
      <w:r w:rsidRPr="00097A86">
        <w:rPr>
          <w:b/>
          <w:i/>
        </w:rPr>
        <w:t>(i)</w:t>
      </w:r>
      <w:r w:rsidRPr="00097A86">
        <w:t xml:space="preserve"> for sulphur content in accordance with </w:t>
      </w:r>
      <w:r w:rsidR="00097A86">
        <w:t>subsection (</w:t>
      </w:r>
      <w:r w:rsidRPr="00097A86">
        <w:t>2).</w:t>
      </w:r>
    </w:p>
    <w:p w14:paraId="128444A8" w14:textId="77777777" w:rsidR="00055093" w:rsidRPr="00097A86" w:rsidRDefault="00055093" w:rsidP="00D22D3F">
      <w:pPr>
        <w:pStyle w:val="ActHead5"/>
      </w:pPr>
      <w:bookmarkStart w:id="479" w:name="_Toc13233911"/>
      <w:r w:rsidRPr="00097A86">
        <w:rPr>
          <w:rStyle w:val="CharSectno"/>
        </w:rPr>
        <w:t>4.78</w:t>
      </w:r>
      <w:r w:rsidR="00D22D3F" w:rsidRPr="00097A86">
        <w:t xml:space="preserve">  </w:t>
      </w:r>
      <w:r w:rsidRPr="00097A86">
        <w:t>Method 3</w:t>
      </w:r>
      <w:r w:rsidR="00D22D3F" w:rsidRPr="00097A86">
        <w:t>—</w:t>
      </w:r>
      <w:r w:rsidRPr="00097A86">
        <w:t>aluminium (carbon anode consumption)</w:t>
      </w:r>
      <w:bookmarkEnd w:id="479"/>
    </w:p>
    <w:p w14:paraId="774A92A1" w14:textId="77777777" w:rsidR="003F0D4E" w:rsidRPr="00097A86" w:rsidRDefault="003F0D4E" w:rsidP="00D22D3F">
      <w:pPr>
        <w:pStyle w:val="subsection"/>
      </w:pPr>
      <w:r w:rsidRPr="00097A86">
        <w:tab/>
        <w:t>(1)</w:t>
      </w:r>
      <w:r w:rsidRPr="00097A86">
        <w:tab/>
        <w:t>Subject to this section, method 3 is the same as method 1 under section</w:t>
      </w:r>
      <w:r w:rsidR="00097A86">
        <w:t> </w:t>
      </w:r>
      <w:r w:rsidRPr="00097A86">
        <w:t>4.76.</w:t>
      </w:r>
    </w:p>
    <w:p w14:paraId="02E83423" w14:textId="77777777" w:rsidR="003F0D4E" w:rsidRPr="00097A86" w:rsidRDefault="003F0D4E" w:rsidP="00D22D3F">
      <w:pPr>
        <w:pStyle w:val="subsection"/>
      </w:pPr>
      <w:r w:rsidRPr="00097A86">
        <w:tab/>
        <w:t>(2)</w:t>
      </w:r>
      <w:r w:rsidRPr="00097A86">
        <w:tab/>
        <w:t>In applying method 1 under section</w:t>
      </w:r>
      <w:r w:rsidR="00097A86">
        <w:t> </w:t>
      </w:r>
      <w:r w:rsidRPr="00097A86">
        <w:t>4.76, the method for sampling and analysing fuel type (</w:t>
      </w:r>
      <w:r w:rsidRPr="00097A86">
        <w:rPr>
          <w:b/>
          <w:i/>
        </w:rPr>
        <w:t>i</w:t>
      </w:r>
      <w:r w:rsidRPr="00097A86">
        <w:t xml:space="preserve">) for the factors </w:t>
      </w:r>
      <w:r w:rsidRPr="00097A86">
        <w:rPr>
          <w:b/>
          <w:i/>
        </w:rPr>
        <w:t>NAC</w:t>
      </w:r>
      <w:r w:rsidRPr="00097A86">
        <w:t xml:space="preserve">, </w:t>
      </w:r>
      <w:r w:rsidRPr="00097A86">
        <w:rPr>
          <w:b/>
          <w:i/>
        </w:rPr>
        <w:t>S</w:t>
      </w:r>
      <w:r w:rsidRPr="00097A86">
        <w:rPr>
          <w:b/>
          <w:i/>
          <w:vertAlign w:val="subscript"/>
        </w:rPr>
        <w:t>a</w:t>
      </w:r>
      <w:r w:rsidRPr="00097A86">
        <w:t xml:space="preserve"> and </w:t>
      </w:r>
      <w:r w:rsidRPr="00097A86">
        <w:rPr>
          <w:b/>
          <w:i/>
        </w:rPr>
        <w:t>Ash</w:t>
      </w:r>
      <w:r w:rsidRPr="00097A86">
        <w:rPr>
          <w:b/>
          <w:i/>
          <w:vertAlign w:val="subscript"/>
        </w:rPr>
        <w:t>a</w:t>
      </w:r>
      <w:r w:rsidRPr="00097A86">
        <w:t xml:space="preserve"> must be determined by sampling and analysing the fuel type for sulphur and ash content, as the case may be, in accordance with:</w:t>
      </w:r>
    </w:p>
    <w:p w14:paraId="2124C9C1" w14:textId="77777777" w:rsidR="003F0D4E" w:rsidRPr="00097A86" w:rsidRDefault="003F0D4E" w:rsidP="00D22D3F">
      <w:pPr>
        <w:pStyle w:val="paragraph"/>
      </w:pPr>
      <w:r w:rsidRPr="00097A86">
        <w:tab/>
        <w:t>(a)</w:t>
      </w:r>
      <w:r w:rsidRPr="00097A86">
        <w:tab/>
        <w:t>for solid fuels</w:t>
      </w:r>
      <w:r w:rsidR="00D22D3F" w:rsidRPr="00097A86">
        <w:t>—</w:t>
      </w:r>
      <w:r w:rsidRPr="00097A86">
        <w:t>method 3 in Division</w:t>
      </w:r>
      <w:r w:rsidR="00097A86">
        <w:t> </w:t>
      </w:r>
      <w:r w:rsidRPr="00097A86">
        <w:t>2.2.4; and</w:t>
      </w:r>
    </w:p>
    <w:p w14:paraId="1B5CBCF2" w14:textId="77777777" w:rsidR="003F0D4E" w:rsidRPr="00097A86" w:rsidRDefault="003F0D4E" w:rsidP="00D22D3F">
      <w:pPr>
        <w:pStyle w:val="paragraph"/>
      </w:pPr>
      <w:r w:rsidRPr="00097A86">
        <w:tab/>
        <w:t>(b)</w:t>
      </w:r>
      <w:r w:rsidRPr="00097A86">
        <w:tab/>
        <w:t>for gaseous fuels</w:t>
      </w:r>
      <w:r w:rsidR="00D22D3F" w:rsidRPr="00097A86">
        <w:t>—</w:t>
      </w:r>
      <w:r w:rsidRPr="00097A86">
        <w:t>method 3 in Division</w:t>
      </w:r>
      <w:r w:rsidR="00097A86">
        <w:t> </w:t>
      </w:r>
      <w:r w:rsidRPr="00097A86">
        <w:t>2.3.4; and</w:t>
      </w:r>
    </w:p>
    <w:p w14:paraId="4FC95380" w14:textId="77777777" w:rsidR="003F0D4E" w:rsidRPr="00097A86" w:rsidRDefault="003F0D4E" w:rsidP="00D22D3F">
      <w:pPr>
        <w:pStyle w:val="paragraph"/>
      </w:pPr>
      <w:r w:rsidRPr="00097A86">
        <w:tab/>
        <w:t>(c)</w:t>
      </w:r>
      <w:r w:rsidRPr="00097A86">
        <w:tab/>
        <w:t>for liquid fuels</w:t>
      </w:r>
      <w:r w:rsidR="00D22D3F" w:rsidRPr="00097A86">
        <w:t>—</w:t>
      </w:r>
      <w:r w:rsidRPr="00097A86">
        <w:t>method 3 in Division</w:t>
      </w:r>
      <w:r w:rsidR="00097A86">
        <w:t> </w:t>
      </w:r>
      <w:r w:rsidRPr="00097A86">
        <w:t>2.4.4.</w:t>
      </w:r>
    </w:p>
    <w:p w14:paraId="79952931" w14:textId="77777777" w:rsidR="003F0D4E" w:rsidRPr="00097A86" w:rsidRDefault="003F0D4E" w:rsidP="00D22D3F">
      <w:pPr>
        <w:pStyle w:val="ActHead4"/>
      </w:pPr>
      <w:bookmarkStart w:id="480" w:name="_Toc13233912"/>
      <w:r w:rsidRPr="00097A86">
        <w:rPr>
          <w:rStyle w:val="CharSubdNo"/>
        </w:rPr>
        <w:t>Subdivision</w:t>
      </w:r>
      <w:r w:rsidR="00097A86">
        <w:rPr>
          <w:rStyle w:val="CharSubdNo"/>
        </w:rPr>
        <w:t> </w:t>
      </w:r>
      <w:r w:rsidRPr="00097A86">
        <w:rPr>
          <w:rStyle w:val="CharSubdNo"/>
        </w:rPr>
        <w:t>4.4.3.2</w:t>
      </w:r>
      <w:r w:rsidR="00D22D3F" w:rsidRPr="00097A86">
        <w:t>—</w:t>
      </w:r>
      <w:r w:rsidRPr="00097A86">
        <w:rPr>
          <w:rStyle w:val="CharSubdText"/>
        </w:rPr>
        <w:t>Aluminium</w:t>
      </w:r>
      <w:r w:rsidR="00D22D3F" w:rsidRPr="00097A86">
        <w:rPr>
          <w:rStyle w:val="CharSubdText"/>
        </w:rPr>
        <w:t>—</w:t>
      </w:r>
      <w:r w:rsidRPr="00097A86">
        <w:rPr>
          <w:rStyle w:val="CharSubdText"/>
        </w:rPr>
        <w:t>emissions from production of baked carbon anodes in aluminium production</w:t>
      </w:r>
      <w:bookmarkEnd w:id="480"/>
    </w:p>
    <w:p w14:paraId="6A5A38E1" w14:textId="77777777" w:rsidR="003F0D4E" w:rsidRPr="00097A86" w:rsidRDefault="003F0D4E" w:rsidP="00D22D3F">
      <w:pPr>
        <w:pStyle w:val="ActHead5"/>
      </w:pPr>
      <w:bookmarkStart w:id="481" w:name="_Toc13233913"/>
      <w:r w:rsidRPr="00097A86">
        <w:rPr>
          <w:rStyle w:val="CharSectno"/>
        </w:rPr>
        <w:t>4.79</w:t>
      </w:r>
      <w:r w:rsidR="00D22D3F" w:rsidRPr="00097A86">
        <w:t xml:space="preserve">  </w:t>
      </w:r>
      <w:r w:rsidRPr="00097A86">
        <w:t>Available methods</w:t>
      </w:r>
      <w:bookmarkEnd w:id="481"/>
    </w:p>
    <w:p w14:paraId="22450826" w14:textId="77777777" w:rsidR="003F0D4E" w:rsidRPr="00097A86" w:rsidRDefault="003F0D4E" w:rsidP="00D22D3F">
      <w:pPr>
        <w:pStyle w:val="subsection"/>
      </w:pPr>
      <w:r w:rsidRPr="00097A86">
        <w:tab/>
        <w:t>(1)</w:t>
      </w:r>
      <w:r w:rsidRPr="00097A86">
        <w:tab/>
        <w:t>Subject to section</w:t>
      </w:r>
      <w:r w:rsidR="00097A86">
        <w:t> </w:t>
      </w:r>
      <w:r w:rsidRPr="00097A86">
        <w:t>1.18, for estimating emissions of carbon dioxide released during a year from the operation of a facility that is constituted by the production of aluminium involving the production of baked carbon anodes, one of the following methods must be used:</w:t>
      </w:r>
    </w:p>
    <w:p w14:paraId="4D566FAC" w14:textId="77777777" w:rsidR="003F0D4E" w:rsidRPr="00097A86" w:rsidRDefault="003F0D4E" w:rsidP="00D22D3F">
      <w:pPr>
        <w:pStyle w:val="paragraph"/>
      </w:pPr>
      <w:r w:rsidRPr="00097A86">
        <w:tab/>
        <w:t>(a)</w:t>
      </w:r>
      <w:r w:rsidRPr="00097A86">
        <w:tab/>
        <w:t>method 1 under section</w:t>
      </w:r>
      <w:r w:rsidR="00097A86">
        <w:t> </w:t>
      </w:r>
      <w:r w:rsidRPr="00097A86">
        <w:t>4.80;</w:t>
      </w:r>
    </w:p>
    <w:p w14:paraId="0806F979" w14:textId="77777777" w:rsidR="003F0D4E" w:rsidRPr="00097A86" w:rsidRDefault="003F0D4E" w:rsidP="00D22D3F">
      <w:pPr>
        <w:pStyle w:val="paragraph"/>
      </w:pPr>
      <w:r w:rsidRPr="00097A86">
        <w:lastRenderedPageBreak/>
        <w:tab/>
        <w:t>(b)</w:t>
      </w:r>
      <w:r w:rsidRPr="00097A86">
        <w:tab/>
        <w:t>method 2 under section</w:t>
      </w:r>
      <w:r w:rsidR="00097A86">
        <w:t> </w:t>
      </w:r>
      <w:r w:rsidRPr="00097A86">
        <w:t>4.81;</w:t>
      </w:r>
    </w:p>
    <w:p w14:paraId="0E9D3E39" w14:textId="77777777" w:rsidR="003F0D4E" w:rsidRPr="00097A86" w:rsidRDefault="003F0D4E" w:rsidP="00D22D3F">
      <w:pPr>
        <w:pStyle w:val="paragraph"/>
      </w:pPr>
      <w:r w:rsidRPr="00097A86">
        <w:tab/>
        <w:t>(c)</w:t>
      </w:r>
      <w:r w:rsidRPr="00097A86">
        <w:tab/>
        <w:t>method 3 under section</w:t>
      </w:r>
      <w:r w:rsidR="00097A86">
        <w:t> </w:t>
      </w:r>
      <w:r w:rsidRPr="00097A86">
        <w:t>4.82;</w:t>
      </w:r>
    </w:p>
    <w:p w14:paraId="4168CB14" w14:textId="77777777" w:rsidR="003F0D4E" w:rsidRPr="00097A86" w:rsidRDefault="003F0D4E" w:rsidP="00D22D3F">
      <w:pPr>
        <w:pStyle w:val="paragraph"/>
      </w:pPr>
      <w:r w:rsidRPr="00097A86">
        <w:tab/>
        <w:t>(d)</w:t>
      </w:r>
      <w:r w:rsidRPr="00097A86">
        <w:tab/>
        <w:t>method 4 under Part</w:t>
      </w:r>
      <w:r w:rsidR="00097A86">
        <w:t> </w:t>
      </w:r>
      <w:r w:rsidRPr="00097A86">
        <w:t>1.3.</w:t>
      </w:r>
    </w:p>
    <w:p w14:paraId="6C4384D8"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754C56B7" w14:textId="77777777" w:rsidR="003F0D4E" w:rsidRPr="00097A86" w:rsidRDefault="003F0D4E" w:rsidP="00D22D3F">
      <w:pPr>
        <w:pStyle w:val="ActHead5"/>
      </w:pPr>
      <w:bookmarkStart w:id="482" w:name="_Toc13233914"/>
      <w:r w:rsidRPr="00097A86">
        <w:rPr>
          <w:rStyle w:val="CharSectno"/>
        </w:rPr>
        <w:t>4.80</w:t>
      </w:r>
      <w:r w:rsidR="00D22D3F" w:rsidRPr="00097A86">
        <w:t xml:space="preserve">  </w:t>
      </w:r>
      <w:r w:rsidRPr="00097A86">
        <w:t>Method 1</w:t>
      </w:r>
      <w:r w:rsidR="00D22D3F" w:rsidRPr="00097A86">
        <w:t>—</w:t>
      </w:r>
      <w:r w:rsidRPr="00097A86">
        <w:t>aluminium (baked carbon anode production)</w:t>
      </w:r>
      <w:bookmarkEnd w:id="482"/>
    </w:p>
    <w:p w14:paraId="0CA79B40" w14:textId="77777777" w:rsidR="003F0D4E" w:rsidRPr="00097A86" w:rsidRDefault="003F0D4E" w:rsidP="00D22D3F">
      <w:pPr>
        <w:pStyle w:val="subsection"/>
      </w:pPr>
      <w:r w:rsidRPr="00097A86">
        <w:tab/>
      </w:r>
      <w:r w:rsidRPr="00097A86">
        <w:tab/>
        <w:t>Method 1 is:</w:t>
      </w:r>
    </w:p>
    <w:p w14:paraId="14FBA7F7" w14:textId="77777777" w:rsidR="003F0D4E" w:rsidRPr="00097A86" w:rsidRDefault="009E1F90" w:rsidP="00F72AD4">
      <w:pPr>
        <w:pStyle w:val="subsection"/>
        <w:spacing w:before="120" w:after="120"/>
        <w:ind w:hanging="567"/>
      </w:pPr>
      <w:r>
        <w:rPr>
          <w:noProof/>
        </w:rPr>
        <w:drawing>
          <wp:inline distT="0" distB="0" distL="0" distR="0" wp14:anchorId="462112E8" wp14:editId="7DDF177C">
            <wp:extent cx="5067300" cy="409575"/>
            <wp:effectExtent l="0" t="0" r="0" b="9525"/>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067300" cy="409575"/>
                    </a:xfrm>
                    <a:prstGeom prst="rect">
                      <a:avLst/>
                    </a:prstGeom>
                    <a:noFill/>
                    <a:ln>
                      <a:noFill/>
                    </a:ln>
                  </pic:spPr>
                </pic:pic>
              </a:graphicData>
            </a:graphic>
          </wp:inline>
        </w:drawing>
      </w:r>
    </w:p>
    <w:p w14:paraId="15676DAC" w14:textId="77777777" w:rsidR="003F0D4E" w:rsidRPr="00097A86" w:rsidRDefault="003F0D4E" w:rsidP="00D22D3F">
      <w:pPr>
        <w:pStyle w:val="subsection2"/>
      </w:pPr>
      <w:r w:rsidRPr="00097A86">
        <w:t>where:</w:t>
      </w:r>
    </w:p>
    <w:p w14:paraId="3BE72924" w14:textId="77777777" w:rsidR="003F0D4E" w:rsidRPr="00097A86" w:rsidRDefault="003F0D4E" w:rsidP="00D22D3F">
      <w:pPr>
        <w:pStyle w:val="Definition"/>
      </w:pPr>
      <w:r w:rsidRPr="00097A86">
        <w:rPr>
          <w:b/>
          <w:i/>
          <w:iCs/>
        </w:rPr>
        <w:t>E</w:t>
      </w:r>
      <w:r w:rsidRPr="00097A86">
        <w:rPr>
          <w:rStyle w:val="charSubscript"/>
          <w:b/>
          <w:i/>
        </w:rPr>
        <w:t>ij</w:t>
      </w:r>
      <w:r w:rsidRPr="00097A86">
        <w:rPr>
          <w:b/>
          <w:i/>
        </w:rPr>
        <w:t xml:space="preserve"> </w:t>
      </w:r>
      <w:r w:rsidRPr="00097A86">
        <w:t>is the emissions of carbon dioxide released from baked carbon anode production for the facility during the year.</w:t>
      </w:r>
    </w:p>
    <w:p w14:paraId="2E2212C3" w14:textId="77777777" w:rsidR="003F0D4E" w:rsidRPr="00097A86" w:rsidRDefault="003F0D4E" w:rsidP="00D22D3F">
      <w:pPr>
        <w:pStyle w:val="Definition"/>
      </w:pPr>
      <w:r w:rsidRPr="00097A86">
        <w:rPr>
          <w:b/>
          <w:i/>
        </w:rPr>
        <w:t xml:space="preserve">GA </w:t>
      </w:r>
      <w:r w:rsidRPr="00097A86">
        <w:t>is the initial weight of green anodes used in the production process of the baked carbon anode.</w:t>
      </w:r>
    </w:p>
    <w:p w14:paraId="6C367DA8" w14:textId="77777777" w:rsidR="003F0D4E" w:rsidRPr="00097A86" w:rsidRDefault="003F0D4E" w:rsidP="00D22D3F">
      <w:pPr>
        <w:pStyle w:val="Definition"/>
      </w:pPr>
      <w:r w:rsidRPr="00097A86">
        <w:rPr>
          <w:b/>
          <w:i/>
        </w:rPr>
        <w:t xml:space="preserve">Hw </w:t>
      </w:r>
      <w:r w:rsidRPr="00097A86">
        <w:t>is the weight of the hydrogen content in green anodes used in the production of the baked carbon anode during the year measured in tonnes.</w:t>
      </w:r>
    </w:p>
    <w:p w14:paraId="017F866E" w14:textId="77777777" w:rsidR="003F0D4E" w:rsidRPr="00097A86" w:rsidRDefault="003F0D4E" w:rsidP="00D22D3F">
      <w:pPr>
        <w:pStyle w:val="Definition"/>
      </w:pPr>
      <w:r w:rsidRPr="00097A86">
        <w:rPr>
          <w:b/>
          <w:i/>
        </w:rPr>
        <w:t xml:space="preserve">BA </w:t>
      </w:r>
      <w:r w:rsidRPr="00097A86">
        <w:t>is the amount of baked carbon anode produced during the year measured in tonnes.</w:t>
      </w:r>
    </w:p>
    <w:p w14:paraId="1454C8C2" w14:textId="77777777" w:rsidR="003F0D4E" w:rsidRPr="00097A86" w:rsidRDefault="003F0D4E" w:rsidP="00D22D3F">
      <w:pPr>
        <w:pStyle w:val="Definition"/>
      </w:pPr>
      <w:r w:rsidRPr="00097A86">
        <w:rPr>
          <w:b/>
          <w:i/>
        </w:rPr>
        <w:t xml:space="preserve">WT </w:t>
      </w:r>
      <w:r w:rsidRPr="00097A86">
        <w:t>is the amount, in tonnes, of waste tar collected in the production of baked carbon anodes during the year.</w:t>
      </w:r>
    </w:p>
    <w:p w14:paraId="13A6870F" w14:textId="77777777" w:rsidR="003F0D4E" w:rsidRPr="00097A86" w:rsidRDefault="003F0D4E" w:rsidP="00D22D3F">
      <w:pPr>
        <w:pStyle w:val="Definition"/>
      </w:pPr>
      <w:r w:rsidRPr="00097A86">
        <w:rPr>
          <w:b/>
          <w:i/>
        </w:rPr>
        <w:t>ΣQ</w:t>
      </w:r>
      <w:r w:rsidRPr="00097A86">
        <w:rPr>
          <w:b/>
          <w:i/>
          <w:vertAlign w:val="subscript"/>
        </w:rPr>
        <w:t>i</w:t>
      </w:r>
      <w:r w:rsidRPr="00097A86">
        <w:rPr>
          <w:b/>
          <w:i/>
        </w:rPr>
        <w:t xml:space="preserve"> </w:t>
      </w:r>
      <w:r w:rsidRPr="00097A86">
        <w:t>is the quantity of fuel type (</w:t>
      </w:r>
      <w:r w:rsidRPr="00097A86">
        <w:rPr>
          <w:b/>
          <w:i/>
        </w:rPr>
        <w:t>i</w:t>
      </w:r>
      <w:r w:rsidRPr="00097A86">
        <w:t>), measured in the appropriate unit, consumed in the production of baked carbon anodes during the year and estimated in accordance with the requirements set out in the following Divisions:</w:t>
      </w:r>
    </w:p>
    <w:p w14:paraId="7697FB7D" w14:textId="77777777" w:rsidR="003F0D4E" w:rsidRPr="00097A86" w:rsidRDefault="008E4F63" w:rsidP="008E4F63">
      <w:pPr>
        <w:pStyle w:val="paragraph"/>
      </w:pPr>
      <w:r w:rsidRPr="00097A86">
        <w:tab/>
      </w:r>
      <w:r w:rsidR="003F0D4E" w:rsidRPr="00097A86">
        <w:t>(a)</w:t>
      </w:r>
      <w:r w:rsidR="003F0D4E" w:rsidRPr="00097A86">
        <w:tab/>
        <w:t>if fuel type (i) is a solid fuel</w:t>
      </w:r>
      <w:r w:rsidR="00D22D3F" w:rsidRPr="00097A86">
        <w:t>—</w:t>
      </w:r>
      <w:r w:rsidR="003F0D4E" w:rsidRPr="00097A86">
        <w:t>Division</w:t>
      </w:r>
      <w:r w:rsidR="00097A86">
        <w:t> </w:t>
      </w:r>
      <w:r w:rsidR="003F0D4E" w:rsidRPr="00097A86">
        <w:t>2.2.5;</w:t>
      </w:r>
    </w:p>
    <w:p w14:paraId="3F97D2F9" w14:textId="77777777" w:rsidR="003F0D4E" w:rsidRPr="00097A86" w:rsidRDefault="008E4F63" w:rsidP="008E4F63">
      <w:pPr>
        <w:pStyle w:val="paragraph"/>
      </w:pPr>
      <w:r w:rsidRPr="00097A86">
        <w:tab/>
      </w:r>
      <w:r w:rsidR="003F0D4E" w:rsidRPr="00097A86">
        <w:t>(b)</w:t>
      </w:r>
      <w:r w:rsidR="003F0D4E" w:rsidRPr="00097A86">
        <w:tab/>
        <w:t>if fuel type (i) is a gaseous fuel</w:t>
      </w:r>
      <w:r w:rsidR="00D22D3F" w:rsidRPr="00097A86">
        <w:t>—</w:t>
      </w:r>
      <w:r w:rsidR="003F0D4E" w:rsidRPr="00097A86">
        <w:t>Division</w:t>
      </w:r>
      <w:r w:rsidR="00097A86">
        <w:t> </w:t>
      </w:r>
      <w:r w:rsidR="003F0D4E" w:rsidRPr="00097A86">
        <w:t>2.3.6;</w:t>
      </w:r>
    </w:p>
    <w:p w14:paraId="3E85738C" w14:textId="77777777" w:rsidR="003F0D4E" w:rsidRPr="00097A86" w:rsidRDefault="008E4F63" w:rsidP="008E4F63">
      <w:pPr>
        <w:pStyle w:val="paragraph"/>
      </w:pPr>
      <w:r w:rsidRPr="00097A86">
        <w:tab/>
      </w:r>
      <w:r w:rsidR="003F0D4E" w:rsidRPr="00097A86">
        <w:t>(c)</w:t>
      </w:r>
      <w:r w:rsidR="003F0D4E" w:rsidRPr="00097A86">
        <w:tab/>
        <w:t>if fuel type (</w:t>
      </w:r>
      <w:r w:rsidR="003F0D4E" w:rsidRPr="00097A86">
        <w:rPr>
          <w:b/>
          <w:i/>
        </w:rPr>
        <w:t>i</w:t>
      </w:r>
      <w:r w:rsidR="003F0D4E" w:rsidRPr="00097A86">
        <w:t>) is a liquid fuel</w:t>
      </w:r>
      <w:r w:rsidR="00D22D3F" w:rsidRPr="00097A86">
        <w:t>—</w:t>
      </w:r>
      <w:r w:rsidR="003F0D4E" w:rsidRPr="00097A86">
        <w:t>Division</w:t>
      </w:r>
      <w:r w:rsidR="00097A86">
        <w:t> </w:t>
      </w:r>
      <w:r w:rsidR="003F0D4E" w:rsidRPr="00097A86">
        <w:t>2.4.6.</w:t>
      </w:r>
    </w:p>
    <w:p w14:paraId="20AE9A94" w14:textId="77777777" w:rsidR="009369D1" w:rsidRPr="00097A86" w:rsidRDefault="009369D1" w:rsidP="00D22D3F">
      <w:pPr>
        <w:pStyle w:val="Definition"/>
      </w:pPr>
      <w:r w:rsidRPr="00097A86">
        <w:rPr>
          <w:b/>
          <w:bCs/>
          <w:i/>
          <w:iCs/>
        </w:rPr>
        <w:t>S</w:t>
      </w:r>
      <w:r w:rsidRPr="00097A86">
        <w:rPr>
          <w:b/>
          <w:bCs/>
          <w:i/>
          <w:iCs/>
          <w:vertAlign w:val="subscript"/>
        </w:rPr>
        <w:t>i</w:t>
      </w:r>
      <w:r w:rsidRPr="00097A86">
        <w:rPr>
          <w:b/>
          <w:i/>
        </w:rPr>
        <w:t xml:space="preserve"> </w:t>
      </w:r>
      <w:r w:rsidRPr="00097A86">
        <w:t>is the mass of sulphur content in baked carbon anodes that is consumed in the production of aluminium during the year, expressed as a percentage of the mass of the baked carbon anodes, and is taken to be 2.</w:t>
      </w:r>
    </w:p>
    <w:p w14:paraId="656CD5A3" w14:textId="77777777" w:rsidR="009369D1" w:rsidRPr="00097A86" w:rsidRDefault="009369D1" w:rsidP="00D22D3F">
      <w:pPr>
        <w:pStyle w:val="Definition"/>
      </w:pPr>
      <w:r w:rsidRPr="00097A86">
        <w:rPr>
          <w:b/>
          <w:bCs/>
          <w:i/>
          <w:iCs/>
        </w:rPr>
        <w:t>Ash</w:t>
      </w:r>
      <w:r w:rsidRPr="00097A86">
        <w:rPr>
          <w:rStyle w:val="charsubscript0"/>
          <w:b/>
          <w:bCs/>
          <w:i/>
          <w:iCs/>
        </w:rPr>
        <w:t>i</w:t>
      </w:r>
      <w:r w:rsidRPr="00097A86">
        <w:rPr>
          <w:b/>
          <w:i/>
        </w:rPr>
        <w:t xml:space="preserve"> </w:t>
      </w:r>
      <w:r w:rsidRPr="00097A86">
        <w:t xml:space="preserve">is the mass of ash content in baked carbon anodes that is consumed in the production of aluminium during the year, expressed as a percentage of the mass of the baked carbon anodes, and is taken to be 0.4. </w:t>
      </w:r>
    </w:p>
    <w:p w14:paraId="1B4CBF0F" w14:textId="77777777" w:rsidR="009369D1" w:rsidRPr="00097A86" w:rsidRDefault="00D22D3F" w:rsidP="00D22D3F">
      <w:pPr>
        <w:pStyle w:val="notetext"/>
      </w:pPr>
      <w:r w:rsidRPr="00097A86">
        <w:t>Note:</w:t>
      </w:r>
      <w:r w:rsidRPr="00097A86">
        <w:tab/>
      </w:r>
      <w:r w:rsidR="009369D1" w:rsidRPr="00097A86">
        <w:t xml:space="preserve">The default value for </w:t>
      </w:r>
      <w:r w:rsidR="009369D1" w:rsidRPr="00097A86">
        <w:rPr>
          <w:b/>
          <w:i/>
        </w:rPr>
        <w:t>H</w:t>
      </w:r>
      <w:r w:rsidR="009369D1" w:rsidRPr="00097A86">
        <w:rPr>
          <w:b/>
          <w:i/>
          <w:vertAlign w:val="subscript"/>
        </w:rPr>
        <w:t>w</w:t>
      </w:r>
      <w:r w:rsidR="009369D1" w:rsidRPr="00097A86">
        <w:t xml:space="preserve"> is 0.5% of </w:t>
      </w:r>
      <w:r w:rsidR="009369D1" w:rsidRPr="00097A86">
        <w:rPr>
          <w:b/>
          <w:i/>
        </w:rPr>
        <w:t>GA</w:t>
      </w:r>
      <w:r w:rsidR="009369D1" w:rsidRPr="00097A86">
        <w:t>.</w:t>
      </w:r>
    </w:p>
    <w:p w14:paraId="6A4A6B0D" w14:textId="77777777" w:rsidR="003F0D4E" w:rsidRPr="00097A86" w:rsidRDefault="003F0D4E" w:rsidP="00D22D3F">
      <w:pPr>
        <w:pStyle w:val="ActHead5"/>
      </w:pPr>
      <w:bookmarkStart w:id="483" w:name="_Toc13233915"/>
      <w:r w:rsidRPr="00097A86">
        <w:rPr>
          <w:rStyle w:val="CharSectno"/>
        </w:rPr>
        <w:t>4.81</w:t>
      </w:r>
      <w:r w:rsidR="00D22D3F" w:rsidRPr="00097A86">
        <w:t xml:space="preserve">  </w:t>
      </w:r>
      <w:r w:rsidRPr="00097A86">
        <w:t>Method 2</w:t>
      </w:r>
      <w:r w:rsidR="00D22D3F" w:rsidRPr="00097A86">
        <w:t>—</w:t>
      </w:r>
      <w:r w:rsidRPr="00097A86">
        <w:t>aluminium (baked carbon anode production)</w:t>
      </w:r>
      <w:bookmarkEnd w:id="483"/>
    </w:p>
    <w:p w14:paraId="43F9D24D" w14:textId="77777777" w:rsidR="003F0D4E" w:rsidRPr="00097A86" w:rsidRDefault="003F0D4E" w:rsidP="00D22D3F">
      <w:pPr>
        <w:pStyle w:val="subsection"/>
      </w:pPr>
      <w:r w:rsidRPr="00097A86">
        <w:tab/>
        <w:t>(1)</w:t>
      </w:r>
      <w:r w:rsidRPr="00097A86">
        <w:tab/>
        <w:t>Subject to this section, method 2 is the same as method 1 under section</w:t>
      </w:r>
      <w:r w:rsidR="00097A86">
        <w:t> </w:t>
      </w:r>
      <w:r w:rsidRPr="00097A86">
        <w:t>4.80.</w:t>
      </w:r>
    </w:p>
    <w:p w14:paraId="6205A21F" w14:textId="77777777" w:rsidR="003F0D4E" w:rsidRPr="00097A86" w:rsidRDefault="003F0D4E" w:rsidP="00D22D3F">
      <w:pPr>
        <w:pStyle w:val="subsection"/>
      </w:pPr>
      <w:r w:rsidRPr="00097A86">
        <w:lastRenderedPageBreak/>
        <w:tab/>
        <w:t>(2)</w:t>
      </w:r>
      <w:r w:rsidRPr="00097A86">
        <w:tab/>
        <w:t>In applying method 1 under section</w:t>
      </w:r>
      <w:r w:rsidR="00097A86">
        <w:t> </w:t>
      </w:r>
      <w:r w:rsidRPr="00097A86">
        <w:t>4.80, the method for sampling and analysing fuel type (</w:t>
      </w:r>
      <w:r w:rsidRPr="00097A86">
        <w:rPr>
          <w:b/>
          <w:i/>
        </w:rPr>
        <w:t>i</w:t>
      </w:r>
      <w:r w:rsidRPr="00097A86">
        <w:t xml:space="preserve">) for the factors </w:t>
      </w:r>
      <w:r w:rsidRPr="00097A86">
        <w:rPr>
          <w:b/>
          <w:i/>
        </w:rPr>
        <w:t>S</w:t>
      </w:r>
      <w:r w:rsidRPr="00097A86">
        <w:rPr>
          <w:b/>
          <w:i/>
          <w:vertAlign w:val="subscript"/>
        </w:rPr>
        <w:t>i</w:t>
      </w:r>
      <w:r w:rsidRPr="00097A86">
        <w:t xml:space="preserve"> and </w:t>
      </w:r>
      <w:r w:rsidRPr="00097A86">
        <w:rPr>
          <w:b/>
          <w:i/>
        </w:rPr>
        <w:t>Ash</w:t>
      </w:r>
      <w:r w:rsidRPr="00097A86">
        <w:rPr>
          <w:b/>
          <w:i/>
          <w:vertAlign w:val="subscript"/>
        </w:rPr>
        <w:t>i</w:t>
      </w:r>
      <w:r w:rsidRPr="00097A86">
        <w:t xml:space="preserve"> must be determined by sampling and analysing the fuel type for sulphur and ash content, as the case may be, in accordance with:</w:t>
      </w:r>
    </w:p>
    <w:p w14:paraId="0D296A6A" w14:textId="77777777" w:rsidR="003F0D4E" w:rsidRPr="00097A86" w:rsidRDefault="003F0D4E" w:rsidP="00D22D3F">
      <w:pPr>
        <w:pStyle w:val="paragraph"/>
      </w:pPr>
      <w:r w:rsidRPr="00097A86">
        <w:tab/>
        <w:t>(a)</w:t>
      </w:r>
      <w:r w:rsidRPr="00097A86">
        <w:tab/>
        <w:t>for solid fuels</w:t>
      </w:r>
      <w:r w:rsidR="00D22D3F" w:rsidRPr="00097A86">
        <w:t>—</w:t>
      </w:r>
      <w:r w:rsidRPr="00097A86">
        <w:t>method 2 in Division</w:t>
      </w:r>
      <w:r w:rsidR="00097A86">
        <w:t> </w:t>
      </w:r>
      <w:r w:rsidRPr="00097A86">
        <w:t>2.2.3; and</w:t>
      </w:r>
    </w:p>
    <w:p w14:paraId="08E40E3F" w14:textId="77777777" w:rsidR="003F0D4E" w:rsidRPr="00097A86" w:rsidRDefault="003F0D4E" w:rsidP="00D22D3F">
      <w:pPr>
        <w:pStyle w:val="paragraph"/>
      </w:pPr>
      <w:r w:rsidRPr="00097A86">
        <w:tab/>
        <w:t>(b)</w:t>
      </w:r>
      <w:r w:rsidRPr="00097A86">
        <w:tab/>
        <w:t>for gaseous fuels</w:t>
      </w:r>
      <w:r w:rsidR="00D22D3F" w:rsidRPr="00097A86">
        <w:t>—</w:t>
      </w:r>
      <w:r w:rsidRPr="00097A86">
        <w:t>method 2 in Division</w:t>
      </w:r>
      <w:r w:rsidR="00097A86">
        <w:t> </w:t>
      </w:r>
      <w:r w:rsidRPr="00097A86">
        <w:t>2.3.3; and</w:t>
      </w:r>
    </w:p>
    <w:p w14:paraId="30034108" w14:textId="77777777" w:rsidR="003F0D4E" w:rsidRPr="00097A86" w:rsidRDefault="003F0D4E" w:rsidP="00D22D3F">
      <w:pPr>
        <w:pStyle w:val="paragraph"/>
      </w:pPr>
      <w:r w:rsidRPr="00097A86">
        <w:tab/>
        <w:t>(c)</w:t>
      </w:r>
      <w:r w:rsidRPr="00097A86">
        <w:tab/>
        <w:t>for liquid fuels</w:t>
      </w:r>
      <w:r w:rsidR="00D22D3F" w:rsidRPr="00097A86">
        <w:t>—</w:t>
      </w:r>
      <w:r w:rsidRPr="00097A86">
        <w:t>method 2 in Division</w:t>
      </w:r>
      <w:r w:rsidR="00097A86">
        <w:t> </w:t>
      </w:r>
      <w:r w:rsidRPr="00097A86">
        <w:t>2.4.3.</w:t>
      </w:r>
    </w:p>
    <w:p w14:paraId="07E2A7F3" w14:textId="77777777" w:rsidR="003F0D4E" w:rsidRPr="00097A86" w:rsidRDefault="003F0D4E" w:rsidP="00D22D3F">
      <w:pPr>
        <w:pStyle w:val="ActHead5"/>
      </w:pPr>
      <w:bookmarkStart w:id="484" w:name="_Toc13233916"/>
      <w:r w:rsidRPr="00097A86">
        <w:rPr>
          <w:rStyle w:val="CharSectno"/>
        </w:rPr>
        <w:t>4.82</w:t>
      </w:r>
      <w:r w:rsidR="00D22D3F" w:rsidRPr="00097A86">
        <w:t xml:space="preserve">  </w:t>
      </w:r>
      <w:r w:rsidRPr="00097A86">
        <w:t>Method 3</w:t>
      </w:r>
      <w:r w:rsidR="00D22D3F" w:rsidRPr="00097A86">
        <w:t>—</w:t>
      </w:r>
      <w:r w:rsidRPr="00097A86">
        <w:t>aluminium (baked carbon anode production)</w:t>
      </w:r>
      <w:bookmarkEnd w:id="484"/>
    </w:p>
    <w:p w14:paraId="1D51D92A" w14:textId="77777777" w:rsidR="003F0D4E" w:rsidRPr="00097A86" w:rsidRDefault="003F0D4E" w:rsidP="00D22D3F">
      <w:pPr>
        <w:pStyle w:val="subsection"/>
      </w:pPr>
      <w:r w:rsidRPr="00097A86">
        <w:tab/>
        <w:t>(1)</w:t>
      </w:r>
      <w:r w:rsidRPr="00097A86">
        <w:tab/>
        <w:t>Subject to this section, method 3 is the same as method 1 under section</w:t>
      </w:r>
      <w:r w:rsidR="00097A86">
        <w:t> </w:t>
      </w:r>
      <w:r w:rsidRPr="00097A86">
        <w:t>4.80.</w:t>
      </w:r>
    </w:p>
    <w:p w14:paraId="6804E976" w14:textId="77777777" w:rsidR="003F0D4E" w:rsidRPr="00097A86" w:rsidRDefault="003F0D4E" w:rsidP="00D22D3F">
      <w:pPr>
        <w:pStyle w:val="subsection"/>
      </w:pPr>
      <w:r w:rsidRPr="00097A86">
        <w:tab/>
        <w:t>(2)</w:t>
      </w:r>
      <w:r w:rsidRPr="00097A86">
        <w:tab/>
        <w:t>In applying method 1 under section</w:t>
      </w:r>
      <w:r w:rsidR="00097A86">
        <w:t> </w:t>
      </w:r>
      <w:r w:rsidRPr="00097A86">
        <w:t>4.80, the method for sampling and analysing the fuel type (</w:t>
      </w:r>
      <w:r w:rsidRPr="00097A86">
        <w:rPr>
          <w:b/>
          <w:i/>
        </w:rPr>
        <w:t>i</w:t>
      </w:r>
      <w:r w:rsidRPr="00097A86">
        <w:t xml:space="preserve">) for the factors </w:t>
      </w:r>
      <w:r w:rsidRPr="00097A86">
        <w:rPr>
          <w:b/>
          <w:i/>
        </w:rPr>
        <w:t>S</w:t>
      </w:r>
      <w:r w:rsidRPr="00097A86">
        <w:rPr>
          <w:b/>
          <w:i/>
          <w:vertAlign w:val="subscript"/>
        </w:rPr>
        <w:t>i</w:t>
      </w:r>
      <w:r w:rsidRPr="00097A86">
        <w:t xml:space="preserve"> and </w:t>
      </w:r>
      <w:r w:rsidRPr="00097A86">
        <w:rPr>
          <w:b/>
          <w:i/>
        </w:rPr>
        <w:t>Ash</w:t>
      </w:r>
      <w:r w:rsidRPr="00097A86">
        <w:rPr>
          <w:b/>
          <w:i/>
          <w:vertAlign w:val="subscript"/>
        </w:rPr>
        <w:t>i</w:t>
      </w:r>
      <w:r w:rsidRPr="00097A86">
        <w:t xml:space="preserve"> must be determined by sampling and analysing the fuel type for sulphur and ash content, as the case may be, in accordance with:</w:t>
      </w:r>
    </w:p>
    <w:p w14:paraId="1F7D3F77" w14:textId="77777777" w:rsidR="003F0D4E" w:rsidRPr="00097A86" w:rsidRDefault="003F0D4E" w:rsidP="00D22D3F">
      <w:pPr>
        <w:pStyle w:val="paragraph"/>
      </w:pPr>
      <w:r w:rsidRPr="00097A86">
        <w:tab/>
        <w:t>(a)</w:t>
      </w:r>
      <w:r w:rsidRPr="00097A86">
        <w:tab/>
        <w:t>for solid fuels</w:t>
      </w:r>
      <w:r w:rsidR="00D22D3F" w:rsidRPr="00097A86">
        <w:t>—</w:t>
      </w:r>
      <w:r w:rsidRPr="00097A86">
        <w:t>method 3 in Division</w:t>
      </w:r>
      <w:r w:rsidR="00097A86">
        <w:t> </w:t>
      </w:r>
      <w:r w:rsidRPr="00097A86">
        <w:t>2.2.4; and</w:t>
      </w:r>
    </w:p>
    <w:p w14:paraId="22F88BC7" w14:textId="77777777" w:rsidR="003F0D4E" w:rsidRPr="00097A86" w:rsidRDefault="003F0D4E" w:rsidP="00D22D3F">
      <w:pPr>
        <w:pStyle w:val="paragraph"/>
      </w:pPr>
      <w:r w:rsidRPr="00097A86">
        <w:tab/>
        <w:t>(b)</w:t>
      </w:r>
      <w:r w:rsidRPr="00097A86">
        <w:tab/>
        <w:t>for gaseous fuels</w:t>
      </w:r>
      <w:r w:rsidR="00D22D3F" w:rsidRPr="00097A86">
        <w:t>—</w:t>
      </w:r>
      <w:r w:rsidRPr="00097A86">
        <w:t>method 3 in Division</w:t>
      </w:r>
      <w:r w:rsidR="00097A86">
        <w:t> </w:t>
      </w:r>
      <w:r w:rsidRPr="00097A86">
        <w:t>2.3.4; and</w:t>
      </w:r>
    </w:p>
    <w:p w14:paraId="34171913" w14:textId="77777777" w:rsidR="003F0D4E" w:rsidRPr="00097A86" w:rsidRDefault="003F0D4E" w:rsidP="00D22D3F">
      <w:pPr>
        <w:pStyle w:val="paragraph"/>
      </w:pPr>
      <w:r w:rsidRPr="00097A86">
        <w:tab/>
        <w:t>(c)</w:t>
      </w:r>
      <w:r w:rsidRPr="00097A86">
        <w:tab/>
        <w:t>for liquid fuels</w:t>
      </w:r>
      <w:r w:rsidR="00D22D3F" w:rsidRPr="00097A86">
        <w:t>—</w:t>
      </w:r>
      <w:r w:rsidRPr="00097A86">
        <w:t>method 3 in Division</w:t>
      </w:r>
      <w:r w:rsidR="00097A86">
        <w:t> </w:t>
      </w:r>
      <w:r w:rsidRPr="00097A86">
        <w:t>2.4.4.</w:t>
      </w:r>
    </w:p>
    <w:p w14:paraId="7529C830" w14:textId="77777777" w:rsidR="009369D1" w:rsidRPr="00097A86" w:rsidRDefault="009369D1" w:rsidP="00D22D3F">
      <w:pPr>
        <w:pStyle w:val="ActHead3"/>
        <w:pageBreakBefore/>
      </w:pPr>
      <w:bookmarkStart w:id="485" w:name="_Toc13233917"/>
      <w:r w:rsidRPr="00097A86">
        <w:rPr>
          <w:rStyle w:val="CharDivNo"/>
        </w:rPr>
        <w:lastRenderedPageBreak/>
        <w:t>Division</w:t>
      </w:r>
      <w:r w:rsidR="00097A86">
        <w:rPr>
          <w:rStyle w:val="CharDivNo"/>
        </w:rPr>
        <w:t> </w:t>
      </w:r>
      <w:r w:rsidRPr="00097A86">
        <w:rPr>
          <w:rStyle w:val="CharDivNo"/>
        </w:rPr>
        <w:t>4.4.4</w:t>
      </w:r>
      <w:r w:rsidR="00D22D3F" w:rsidRPr="00097A86">
        <w:t>—</w:t>
      </w:r>
      <w:r w:rsidRPr="00097A86">
        <w:rPr>
          <w:rStyle w:val="CharDivText"/>
        </w:rPr>
        <w:t>Aluminium production (perfluoronated carbon compound emissions)</w:t>
      </w:r>
      <w:bookmarkEnd w:id="485"/>
    </w:p>
    <w:p w14:paraId="5EF1D4EB" w14:textId="77777777" w:rsidR="003F0D4E" w:rsidRPr="00097A86" w:rsidRDefault="003F0D4E" w:rsidP="00D22D3F">
      <w:pPr>
        <w:pStyle w:val="ActHead5"/>
      </w:pPr>
      <w:bookmarkStart w:id="486" w:name="_Toc13233918"/>
      <w:r w:rsidRPr="00097A86">
        <w:rPr>
          <w:rStyle w:val="CharSectno"/>
        </w:rPr>
        <w:t>4.83</w:t>
      </w:r>
      <w:r w:rsidR="00D22D3F" w:rsidRPr="00097A86">
        <w:t xml:space="preserve">  </w:t>
      </w:r>
      <w:r w:rsidRPr="00097A86">
        <w:t>Application</w:t>
      </w:r>
      <w:bookmarkEnd w:id="486"/>
    </w:p>
    <w:p w14:paraId="7E822265" w14:textId="77777777" w:rsidR="003F0D4E" w:rsidRPr="00097A86" w:rsidRDefault="003F0D4E" w:rsidP="00D22D3F">
      <w:pPr>
        <w:pStyle w:val="subsection"/>
      </w:pPr>
      <w:r w:rsidRPr="00097A86">
        <w:tab/>
      </w:r>
      <w:r w:rsidRPr="00097A86">
        <w:tab/>
        <w:t>This Division applies to aluminium production.</w:t>
      </w:r>
    </w:p>
    <w:p w14:paraId="616E7387" w14:textId="77777777" w:rsidR="003F0D4E" w:rsidRPr="00097A86" w:rsidRDefault="003F0D4E" w:rsidP="00D22D3F">
      <w:pPr>
        <w:pStyle w:val="ActHead4"/>
      </w:pPr>
      <w:bookmarkStart w:id="487" w:name="_Toc13233919"/>
      <w:r w:rsidRPr="00097A86">
        <w:rPr>
          <w:rStyle w:val="CharSubdNo"/>
        </w:rPr>
        <w:t>Subdivision</w:t>
      </w:r>
      <w:r w:rsidR="00097A86">
        <w:rPr>
          <w:rStyle w:val="CharSubdNo"/>
        </w:rPr>
        <w:t> </w:t>
      </w:r>
      <w:r w:rsidRPr="00097A86">
        <w:rPr>
          <w:rStyle w:val="CharSubdNo"/>
        </w:rPr>
        <w:t>4.4.4.1</w:t>
      </w:r>
      <w:r w:rsidR="00D22D3F" w:rsidRPr="00097A86">
        <w:t>—</w:t>
      </w:r>
      <w:r w:rsidRPr="00097A86">
        <w:rPr>
          <w:rStyle w:val="CharSubdText"/>
        </w:rPr>
        <w:t>Aluminium</w:t>
      </w:r>
      <w:r w:rsidR="00D22D3F" w:rsidRPr="00097A86">
        <w:rPr>
          <w:rStyle w:val="CharSubdText"/>
        </w:rPr>
        <w:t>—</w:t>
      </w:r>
      <w:r w:rsidRPr="00097A86">
        <w:rPr>
          <w:rStyle w:val="CharSubdText"/>
        </w:rPr>
        <w:t>emissions of tetrafluoromethane in aluminium production</w:t>
      </w:r>
      <w:bookmarkEnd w:id="487"/>
    </w:p>
    <w:p w14:paraId="6552DF2D" w14:textId="77777777" w:rsidR="003F0D4E" w:rsidRPr="00097A86" w:rsidRDefault="003F0D4E" w:rsidP="00D22D3F">
      <w:pPr>
        <w:pStyle w:val="ActHead5"/>
      </w:pPr>
      <w:bookmarkStart w:id="488" w:name="_Toc13233920"/>
      <w:r w:rsidRPr="00097A86">
        <w:rPr>
          <w:rStyle w:val="CharSectno"/>
        </w:rPr>
        <w:t>4.84</w:t>
      </w:r>
      <w:r w:rsidR="00D22D3F" w:rsidRPr="00097A86">
        <w:t xml:space="preserve">  </w:t>
      </w:r>
      <w:r w:rsidRPr="00097A86">
        <w:t>Available methods</w:t>
      </w:r>
      <w:bookmarkEnd w:id="488"/>
    </w:p>
    <w:p w14:paraId="3748B915"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tetrafluoromethane released during a year from the operation of a facility that is constituted by the production of aluminium:</w:t>
      </w:r>
    </w:p>
    <w:p w14:paraId="7BF13E81" w14:textId="77777777" w:rsidR="003F0D4E" w:rsidRPr="00097A86" w:rsidRDefault="003F0D4E" w:rsidP="00D22D3F">
      <w:pPr>
        <w:pStyle w:val="paragraph"/>
      </w:pPr>
      <w:r w:rsidRPr="00097A86">
        <w:tab/>
        <w:t>(b)</w:t>
      </w:r>
      <w:r w:rsidRPr="00097A86">
        <w:tab/>
        <w:t>method 2 under section</w:t>
      </w:r>
      <w:r w:rsidR="00097A86">
        <w:t> </w:t>
      </w:r>
      <w:r w:rsidRPr="00097A86">
        <w:t>4.86;</w:t>
      </w:r>
    </w:p>
    <w:p w14:paraId="70F7DFEF" w14:textId="77777777" w:rsidR="003F0D4E" w:rsidRPr="00097A86" w:rsidRDefault="003F0D4E" w:rsidP="00D22D3F">
      <w:pPr>
        <w:pStyle w:val="paragraph"/>
      </w:pPr>
      <w:r w:rsidRPr="00097A86">
        <w:tab/>
        <w:t>(c)</w:t>
      </w:r>
      <w:r w:rsidRPr="00097A86">
        <w:tab/>
        <w:t>method 3 under section</w:t>
      </w:r>
      <w:r w:rsidR="00097A86">
        <w:t> </w:t>
      </w:r>
      <w:r w:rsidRPr="00097A86">
        <w:t>4.87.</w:t>
      </w:r>
    </w:p>
    <w:p w14:paraId="7056C470" w14:textId="77777777" w:rsidR="009369D1" w:rsidRPr="00097A86" w:rsidRDefault="00D22D3F" w:rsidP="00D22D3F">
      <w:pPr>
        <w:pStyle w:val="notetext"/>
      </w:pPr>
      <w:r w:rsidRPr="00097A86">
        <w:rPr>
          <w:iCs/>
        </w:rPr>
        <w:t>Note:</w:t>
      </w:r>
      <w:r w:rsidRPr="00097A86">
        <w:rPr>
          <w:iCs/>
        </w:rPr>
        <w:tab/>
      </w:r>
      <w:r w:rsidR="009369D1" w:rsidRPr="00097A86">
        <w:t>There is no method 1 or 4 for this provision.</w:t>
      </w:r>
    </w:p>
    <w:p w14:paraId="4BBAFD30"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5F90080E" w14:textId="77777777" w:rsidR="003F0D4E" w:rsidRPr="00097A86" w:rsidRDefault="003F0D4E" w:rsidP="00D22D3F">
      <w:pPr>
        <w:pStyle w:val="ActHead5"/>
      </w:pPr>
      <w:bookmarkStart w:id="489" w:name="_Toc13233921"/>
      <w:r w:rsidRPr="00097A86">
        <w:rPr>
          <w:rStyle w:val="CharSectno"/>
        </w:rPr>
        <w:t>4.85</w:t>
      </w:r>
      <w:r w:rsidR="00D22D3F" w:rsidRPr="00097A86">
        <w:t xml:space="preserve">  </w:t>
      </w:r>
      <w:r w:rsidRPr="00097A86">
        <w:t>Method 1</w:t>
      </w:r>
      <w:r w:rsidR="00D22D3F" w:rsidRPr="00097A86">
        <w:t>—</w:t>
      </w:r>
      <w:r w:rsidRPr="00097A86">
        <w:t>aluminium (tetrafluoromethane)</w:t>
      </w:r>
      <w:bookmarkEnd w:id="489"/>
    </w:p>
    <w:p w14:paraId="3391F753" w14:textId="77777777" w:rsidR="003F0D4E" w:rsidRPr="00097A86" w:rsidRDefault="003F0D4E" w:rsidP="00D22D3F">
      <w:pPr>
        <w:pStyle w:val="subsection"/>
      </w:pPr>
      <w:r w:rsidRPr="00097A86">
        <w:tab/>
      </w:r>
      <w:r w:rsidRPr="00097A86">
        <w:tab/>
        <w:t>Method 1 is:</w:t>
      </w:r>
    </w:p>
    <w:p w14:paraId="01C9F6C2"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7294DBA4" wp14:editId="53BB1C7C">
            <wp:extent cx="1028700" cy="209550"/>
            <wp:effectExtent l="0" t="0" r="0" b="0"/>
            <wp:docPr id="10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p w14:paraId="3C0C2E85" w14:textId="77777777" w:rsidR="003F0D4E" w:rsidRPr="00097A86" w:rsidRDefault="003F0D4E" w:rsidP="00D22D3F">
      <w:pPr>
        <w:pStyle w:val="subsection2"/>
      </w:pPr>
      <w:r w:rsidRPr="00097A86">
        <w:t>where:</w:t>
      </w:r>
    </w:p>
    <w:p w14:paraId="3A616715"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amount of emissions of tetrafluoromethane released from primary aluminium production during the year measured in CO</w:t>
      </w:r>
      <w:r w:rsidRPr="00097A86">
        <w:rPr>
          <w:vertAlign w:val="subscript"/>
        </w:rPr>
        <w:t>2</w:t>
      </w:r>
      <w:r w:rsidR="00097A86">
        <w:noBreakHyphen/>
      </w:r>
      <w:r w:rsidRPr="00097A86">
        <w:t>e tonnes.</w:t>
      </w:r>
    </w:p>
    <w:p w14:paraId="45BC550A" w14:textId="77777777" w:rsidR="003F0D4E" w:rsidRPr="00097A86" w:rsidRDefault="003F0D4E" w:rsidP="00D22D3F">
      <w:pPr>
        <w:pStyle w:val="Definition"/>
      </w:pPr>
      <w:r w:rsidRPr="00097A86">
        <w:rPr>
          <w:b/>
          <w:i/>
        </w:rPr>
        <w:t>A</w:t>
      </w:r>
      <w:r w:rsidRPr="00097A86">
        <w:rPr>
          <w:b/>
          <w:i/>
          <w:vertAlign w:val="subscript"/>
        </w:rPr>
        <w:t>i</w:t>
      </w:r>
      <w:r w:rsidRPr="00097A86">
        <w:rPr>
          <w:b/>
          <w:i/>
        </w:rPr>
        <w:t xml:space="preserve"> </w:t>
      </w:r>
      <w:r w:rsidRPr="00097A86">
        <w:t>is the amount of primary aluminium production during the year measured in tonnes.</w:t>
      </w:r>
    </w:p>
    <w:p w14:paraId="65173440"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 xml:space="preserve">is </w:t>
      </w:r>
      <w:r w:rsidR="00B25EE5" w:rsidRPr="00097A86">
        <w:t>0.30</w:t>
      </w:r>
      <w:r w:rsidRPr="00097A86">
        <w:t>, which is the emission factor for tetrafluoromethane measured in CO</w:t>
      </w:r>
      <w:r w:rsidRPr="00097A86">
        <w:rPr>
          <w:vertAlign w:val="subscript"/>
        </w:rPr>
        <w:t>2</w:t>
      </w:r>
      <w:r w:rsidR="00097A86">
        <w:noBreakHyphen/>
      </w:r>
      <w:r w:rsidRPr="00097A86">
        <w:t>e tonnes for each tonne of aluminium produced during the year.</w:t>
      </w:r>
    </w:p>
    <w:p w14:paraId="463C705D" w14:textId="77777777" w:rsidR="003F0D4E" w:rsidRPr="00097A86" w:rsidRDefault="003F0D4E" w:rsidP="00D22D3F">
      <w:pPr>
        <w:pStyle w:val="ActHead5"/>
      </w:pPr>
      <w:bookmarkStart w:id="490" w:name="_Toc13233922"/>
      <w:r w:rsidRPr="00097A86">
        <w:rPr>
          <w:rStyle w:val="CharSectno"/>
        </w:rPr>
        <w:t>4.86</w:t>
      </w:r>
      <w:r w:rsidR="00D22D3F" w:rsidRPr="00097A86">
        <w:t xml:space="preserve">  </w:t>
      </w:r>
      <w:r w:rsidRPr="00097A86">
        <w:t>Method 2</w:t>
      </w:r>
      <w:r w:rsidR="00D22D3F" w:rsidRPr="00097A86">
        <w:t>—</w:t>
      </w:r>
      <w:r w:rsidRPr="00097A86">
        <w:t>aluminium (tetrafluoromethane)</w:t>
      </w:r>
      <w:bookmarkEnd w:id="490"/>
    </w:p>
    <w:p w14:paraId="17AF75F5" w14:textId="77777777" w:rsidR="003F0D4E" w:rsidRPr="00097A86" w:rsidRDefault="003F0D4E" w:rsidP="00D22D3F">
      <w:pPr>
        <w:pStyle w:val="subsection"/>
      </w:pPr>
      <w:r w:rsidRPr="00097A86">
        <w:tab/>
      </w:r>
      <w:r w:rsidRPr="00097A86">
        <w:tab/>
        <w:t>Method 2 is the Tier 2 method for estimating perfluorocarbon emissions as set out in the Perfluorocarbon protocol.</w:t>
      </w:r>
    </w:p>
    <w:p w14:paraId="414CE722" w14:textId="77777777" w:rsidR="003F0D4E" w:rsidRPr="00097A86" w:rsidRDefault="003F0D4E" w:rsidP="00D22D3F">
      <w:pPr>
        <w:pStyle w:val="ActHead5"/>
      </w:pPr>
      <w:bookmarkStart w:id="491" w:name="_Toc13233923"/>
      <w:r w:rsidRPr="00097A86">
        <w:rPr>
          <w:rStyle w:val="CharSectno"/>
        </w:rPr>
        <w:t>4.87</w:t>
      </w:r>
      <w:r w:rsidR="00D22D3F" w:rsidRPr="00097A86">
        <w:t xml:space="preserve">  </w:t>
      </w:r>
      <w:r w:rsidRPr="00097A86">
        <w:t>Method 3</w:t>
      </w:r>
      <w:r w:rsidR="00D22D3F" w:rsidRPr="00097A86">
        <w:t>—</w:t>
      </w:r>
      <w:r w:rsidRPr="00097A86">
        <w:t>aluminium (tetrafluoromethane)</w:t>
      </w:r>
      <w:bookmarkEnd w:id="491"/>
    </w:p>
    <w:p w14:paraId="3E4BE6DB" w14:textId="77777777" w:rsidR="003F0D4E" w:rsidRPr="00097A86" w:rsidRDefault="003F0D4E" w:rsidP="00D22D3F">
      <w:pPr>
        <w:pStyle w:val="subsection"/>
      </w:pPr>
      <w:r w:rsidRPr="00097A86">
        <w:tab/>
      </w:r>
      <w:r w:rsidRPr="00097A86">
        <w:tab/>
        <w:t>Method 3 is the Tier 3 method for estimating facility</w:t>
      </w:r>
      <w:r w:rsidR="00097A86">
        <w:noBreakHyphen/>
      </w:r>
      <w:r w:rsidRPr="00097A86">
        <w:t>specific perfluorocarbon emissions as set out in the Perfluorocarbon protocol.</w:t>
      </w:r>
    </w:p>
    <w:p w14:paraId="00E441CB" w14:textId="77777777" w:rsidR="003F0D4E" w:rsidRPr="00097A86" w:rsidRDefault="003F0D4E" w:rsidP="00D22D3F">
      <w:pPr>
        <w:pStyle w:val="ActHead4"/>
      </w:pPr>
      <w:bookmarkStart w:id="492" w:name="_Toc13233924"/>
      <w:r w:rsidRPr="00097A86">
        <w:rPr>
          <w:rStyle w:val="CharSubdNo"/>
        </w:rPr>
        <w:lastRenderedPageBreak/>
        <w:t>Subdivision</w:t>
      </w:r>
      <w:r w:rsidR="00097A86">
        <w:rPr>
          <w:rStyle w:val="CharSubdNo"/>
        </w:rPr>
        <w:t> </w:t>
      </w:r>
      <w:r w:rsidRPr="00097A86">
        <w:rPr>
          <w:rStyle w:val="CharSubdNo"/>
        </w:rPr>
        <w:t>4.4.4.2</w:t>
      </w:r>
      <w:r w:rsidR="00D22D3F" w:rsidRPr="00097A86">
        <w:t>—</w:t>
      </w:r>
      <w:r w:rsidRPr="00097A86">
        <w:rPr>
          <w:rStyle w:val="CharSubdText"/>
        </w:rPr>
        <w:t>Aluminium</w:t>
      </w:r>
      <w:r w:rsidR="00D22D3F" w:rsidRPr="00097A86">
        <w:rPr>
          <w:rStyle w:val="CharSubdText"/>
        </w:rPr>
        <w:t>—</w:t>
      </w:r>
      <w:r w:rsidRPr="00097A86">
        <w:rPr>
          <w:rStyle w:val="CharSubdText"/>
        </w:rPr>
        <w:t>emissions of hexafluoroethane in aluminium production</w:t>
      </w:r>
      <w:bookmarkEnd w:id="492"/>
    </w:p>
    <w:p w14:paraId="4FBCC13E" w14:textId="77777777" w:rsidR="003F0D4E" w:rsidRPr="00097A86" w:rsidRDefault="003F0D4E" w:rsidP="00D22D3F">
      <w:pPr>
        <w:pStyle w:val="ActHead5"/>
      </w:pPr>
      <w:bookmarkStart w:id="493" w:name="_Toc13233925"/>
      <w:r w:rsidRPr="00097A86">
        <w:rPr>
          <w:rStyle w:val="CharSectno"/>
        </w:rPr>
        <w:t>4.88</w:t>
      </w:r>
      <w:r w:rsidR="00D22D3F" w:rsidRPr="00097A86">
        <w:t xml:space="preserve">  </w:t>
      </w:r>
      <w:r w:rsidRPr="00097A86">
        <w:t>Available methods</w:t>
      </w:r>
      <w:bookmarkEnd w:id="493"/>
    </w:p>
    <w:p w14:paraId="174E3FB8" w14:textId="77777777" w:rsidR="003F0D4E" w:rsidRPr="00097A86" w:rsidRDefault="003F0D4E" w:rsidP="00D22D3F">
      <w:pPr>
        <w:pStyle w:val="subsection"/>
      </w:pPr>
      <w:r w:rsidRPr="00097A86">
        <w:tab/>
        <w:t>(1)</w:t>
      </w:r>
      <w:r w:rsidRPr="00097A86">
        <w:tab/>
        <w:t>Subject to section</w:t>
      </w:r>
      <w:r w:rsidR="00097A86">
        <w:t> </w:t>
      </w:r>
      <w:r w:rsidRPr="00097A86">
        <w:t>1.18, one of the following methods must be used for estimating emissions of hexafluoroethane released during a year from the operation of a facility that is constituted by the production of aluminium:</w:t>
      </w:r>
    </w:p>
    <w:p w14:paraId="2FEF2CC4" w14:textId="77777777" w:rsidR="003F0D4E" w:rsidRPr="00097A86" w:rsidRDefault="003F0D4E" w:rsidP="00D22D3F">
      <w:pPr>
        <w:pStyle w:val="paragraph"/>
      </w:pPr>
      <w:r w:rsidRPr="00097A86">
        <w:tab/>
        <w:t>(b)</w:t>
      </w:r>
      <w:r w:rsidRPr="00097A86">
        <w:tab/>
        <w:t>method 2 under section</w:t>
      </w:r>
      <w:r w:rsidR="00097A86">
        <w:t> </w:t>
      </w:r>
      <w:r w:rsidRPr="00097A86">
        <w:t>4.90;</w:t>
      </w:r>
    </w:p>
    <w:p w14:paraId="05953A84" w14:textId="77777777" w:rsidR="003F0D4E" w:rsidRPr="00097A86" w:rsidRDefault="003F0D4E" w:rsidP="00D22D3F">
      <w:pPr>
        <w:pStyle w:val="paragraph"/>
      </w:pPr>
      <w:r w:rsidRPr="00097A86">
        <w:tab/>
        <w:t>(c)</w:t>
      </w:r>
      <w:r w:rsidRPr="00097A86">
        <w:tab/>
        <w:t>method 3 under section</w:t>
      </w:r>
      <w:r w:rsidR="00097A86">
        <w:t> </w:t>
      </w:r>
      <w:r w:rsidRPr="00097A86">
        <w:t>4.91.</w:t>
      </w:r>
    </w:p>
    <w:p w14:paraId="48F28F3A" w14:textId="77777777" w:rsidR="009369D1" w:rsidRPr="00097A86" w:rsidRDefault="00D22D3F" w:rsidP="001E2D34">
      <w:pPr>
        <w:pStyle w:val="notetext"/>
      </w:pPr>
      <w:r w:rsidRPr="00097A86">
        <w:rPr>
          <w:iCs/>
        </w:rPr>
        <w:t>Note:</w:t>
      </w:r>
      <w:r w:rsidRPr="00097A86">
        <w:rPr>
          <w:iCs/>
        </w:rPr>
        <w:tab/>
      </w:r>
      <w:r w:rsidR="009369D1" w:rsidRPr="00097A86">
        <w:t>There is no method 1 or 4 for this provision.</w:t>
      </w:r>
    </w:p>
    <w:p w14:paraId="1C6D8388"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305BBB9E" w14:textId="77777777" w:rsidR="003F0D4E" w:rsidRPr="00097A86" w:rsidRDefault="003F0D4E" w:rsidP="00D22D3F">
      <w:pPr>
        <w:pStyle w:val="ActHead5"/>
      </w:pPr>
      <w:bookmarkStart w:id="494" w:name="_Toc13233926"/>
      <w:r w:rsidRPr="00097A86">
        <w:rPr>
          <w:rStyle w:val="CharSectno"/>
        </w:rPr>
        <w:t>4.89</w:t>
      </w:r>
      <w:r w:rsidR="00D22D3F" w:rsidRPr="00097A86">
        <w:t xml:space="preserve">  </w:t>
      </w:r>
      <w:r w:rsidRPr="00097A86">
        <w:t>Method 1</w:t>
      </w:r>
      <w:r w:rsidR="00D22D3F" w:rsidRPr="00097A86">
        <w:t>—</w:t>
      </w:r>
      <w:r w:rsidRPr="00097A86">
        <w:t>aluminium production (hexafluoroethane)</w:t>
      </w:r>
      <w:bookmarkEnd w:id="494"/>
    </w:p>
    <w:p w14:paraId="4A39739D" w14:textId="77777777" w:rsidR="003F0D4E" w:rsidRPr="00097A86" w:rsidRDefault="003F0D4E" w:rsidP="00D22D3F">
      <w:pPr>
        <w:pStyle w:val="subsection"/>
      </w:pPr>
      <w:r w:rsidRPr="00097A86">
        <w:tab/>
      </w:r>
      <w:r w:rsidRPr="00097A86">
        <w:tab/>
        <w:t>Method 1 is:</w:t>
      </w:r>
    </w:p>
    <w:p w14:paraId="1915385C"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4C40AF44" wp14:editId="6890A4F5">
            <wp:extent cx="1038225" cy="209550"/>
            <wp:effectExtent l="0" t="0" r="9525" b="0"/>
            <wp:docPr id="10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p w14:paraId="5E1FF198" w14:textId="77777777" w:rsidR="003F0D4E" w:rsidRPr="00097A86" w:rsidRDefault="003F0D4E" w:rsidP="00D22D3F">
      <w:pPr>
        <w:pStyle w:val="subsection2"/>
      </w:pPr>
      <w:r w:rsidRPr="00097A86">
        <w:t>where:</w:t>
      </w:r>
    </w:p>
    <w:p w14:paraId="0A843BB3" w14:textId="77777777" w:rsidR="003F0D4E" w:rsidRPr="00097A86" w:rsidRDefault="003F0D4E" w:rsidP="00D22D3F">
      <w:pPr>
        <w:pStyle w:val="Definition"/>
      </w:pPr>
      <w:r w:rsidRPr="00097A86">
        <w:rPr>
          <w:b/>
          <w:i/>
        </w:rPr>
        <w:t>E</w:t>
      </w:r>
      <w:r w:rsidRPr="00097A86">
        <w:rPr>
          <w:b/>
          <w:i/>
          <w:vertAlign w:val="subscript"/>
        </w:rPr>
        <w:t>ij</w:t>
      </w:r>
      <w:r w:rsidRPr="00097A86">
        <w:rPr>
          <w:b/>
          <w:i/>
        </w:rPr>
        <w:t xml:space="preserve"> </w:t>
      </w:r>
      <w:r w:rsidRPr="00097A86">
        <w:t>is the emissions of hexafluoroethane released from primary aluminium production during the year measured in CO</w:t>
      </w:r>
      <w:r w:rsidRPr="00097A86">
        <w:rPr>
          <w:vertAlign w:val="subscript"/>
        </w:rPr>
        <w:t>2</w:t>
      </w:r>
      <w:r w:rsidR="00097A86">
        <w:noBreakHyphen/>
      </w:r>
      <w:r w:rsidRPr="00097A86">
        <w:t>e tonnes.</w:t>
      </w:r>
    </w:p>
    <w:p w14:paraId="0DF2EF96" w14:textId="77777777" w:rsidR="003F0D4E" w:rsidRPr="00097A86" w:rsidRDefault="003F0D4E" w:rsidP="00D22D3F">
      <w:pPr>
        <w:pStyle w:val="Definition"/>
      </w:pPr>
      <w:r w:rsidRPr="00097A86">
        <w:rPr>
          <w:b/>
          <w:i/>
        </w:rPr>
        <w:t>A</w:t>
      </w:r>
      <w:r w:rsidRPr="00097A86">
        <w:rPr>
          <w:b/>
          <w:i/>
          <w:vertAlign w:val="subscript"/>
        </w:rPr>
        <w:t>i</w:t>
      </w:r>
      <w:r w:rsidRPr="00097A86">
        <w:rPr>
          <w:b/>
          <w:i/>
        </w:rPr>
        <w:t xml:space="preserve"> </w:t>
      </w:r>
      <w:r w:rsidRPr="00097A86">
        <w:t>is the amount of primary aluminium production during the year measured in tonnes.</w:t>
      </w:r>
    </w:p>
    <w:p w14:paraId="3BDE11C1" w14:textId="77777777" w:rsidR="003F0D4E" w:rsidRPr="00097A86" w:rsidRDefault="003F0D4E" w:rsidP="00D22D3F">
      <w:pPr>
        <w:pStyle w:val="Definition"/>
      </w:pPr>
      <w:r w:rsidRPr="00097A86">
        <w:rPr>
          <w:b/>
          <w:i/>
        </w:rPr>
        <w:t>EF</w:t>
      </w:r>
      <w:r w:rsidRPr="00097A86">
        <w:rPr>
          <w:b/>
          <w:i/>
          <w:vertAlign w:val="subscript"/>
        </w:rPr>
        <w:t xml:space="preserve">ij </w:t>
      </w:r>
      <w:r w:rsidRPr="00097A86">
        <w:t xml:space="preserve">is </w:t>
      </w:r>
      <w:r w:rsidR="00B25EE5" w:rsidRPr="00097A86">
        <w:t>0.07</w:t>
      </w:r>
      <w:r w:rsidRPr="00097A86">
        <w:t>, which is the emission factor for hexafluoroethane measured in CO</w:t>
      </w:r>
      <w:r w:rsidRPr="00097A86">
        <w:rPr>
          <w:vertAlign w:val="subscript"/>
        </w:rPr>
        <w:t>2</w:t>
      </w:r>
      <w:r w:rsidR="00097A86">
        <w:noBreakHyphen/>
      </w:r>
      <w:r w:rsidRPr="00097A86">
        <w:t>e tonnes for each tonne of aluminium produced during the year.</w:t>
      </w:r>
    </w:p>
    <w:p w14:paraId="515BDECC" w14:textId="77777777" w:rsidR="003F0D4E" w:rsidRPr="00097A86" w:rsidRDefault="003F0D4E" w:rsidP="00D22D3F">
      <w:pPr>
        <w:pStyle w:val="ActHead5"/>
      </w:pPr>
      <w:bookmarkStart w:id="495" w:name="_Toc13233927"/>
      <w:r w:rsidRPr="00097A86">
        <w:rPr>
          <w:rStyle w:val="CharSectno"/>
        </w:rPr>
        <w:t>4.90</w:t>
      </w:r>
      <w:r w:rsidR="00D22D3F" w:rsidRPr="00097A86">
        <w:t xml:space="preserve">  </w:t>
      </w:r>
      <w:r w:rsidRPr="00097A86">
        <w:t>Method 2</w:t>
      </w:r>
      <w:r w:rsidR="00D22D3F" w:rsidRPr="00097A86">
        <w:t>—</w:t>
      </w:r>
      <w:r w:rsidRPr="00097A86">
        <w:t>aluminium production (hexafluoroethane)</w:t>
      </w:r>
      <w:bookmarkEnd w:id="495"/>
    </w:p>
    <w:p w14:paraId="4C7F0F1A" w14:textId="77777777" w:rsidR="003F0D4E" w:rsidRPr="00097A86" w:rsidRDefault="003F0D4E" w:rsidP="00D22D3F">
      <w:pPr>
        <w:pStyle w:val="subsection"/>
      </w:pPr>
      <w:r w:rsidRPr="00097A86">
        <w:tab/>
      </w:r>
      <w:r w:rsidRPr="00097A86">
        <w:tab/>
        <w:t>Method 2 is the Tier 2 method for estimating facility</w:t>
      </w:r>
      <w:r w:rsidR="00097A86">
        <w:noBreakHyphen/>
      </w:r>
      <w:r w:rsidRPr="00097A86">
        <w:t>specific perfluorocarbon emissions as set out in the Perfluorocarbon protocol.</w:t>
      </w:r>
    </w:p>
    <w:p w14:paraId="41732DDD" w14:textId="77777777" w:rsidR="003F0D4E" w:rsidRPr="00097A86" w:rsidRDefault="003F0D4E" w:rsidP="00D22D3F">
      <w:pPr>
        <w:pStyle w:val="ActHead5"/>
      </w:pPr>
      <w:bookmarkStart w:id="496" w:name="_Toc13233928"/>
      <w:r w:rsidRPr="00097A86">
        <w:rPr>
          <w:rStyle w:val="CharSectno"/>
        </w:rPr>
        <w:t>4.91</w:t>
      </w:r>
      <w:r w:rsidR="00D22D3F" w:rsidRPr="00097A86">
        <w:t xml:space="preserve">  </w:t>
      </w:r>
      <w:r w:rsidRPr="00097A86">
        <w:t>Method 3</w:t>
      </w:r>
      <w:r w:rsidR="00D22D3F" w:rsidRPr="00097A86">
        <w:t>—</w:t>
      </w:r>
      <w:r w:rsidRPr="00097A86">
        <w:t>aluminium production (hexafluoroethane)</w:t>
      </w:r>
      <w:bookmarkEnd w:id="496"/>
    </w:p>
    <w:p w14:paraId="7AB353D1" w14:textId="77777777" w:rsidR="003F0D4E" w:rsidRPr="00097A86" w:rsidRDefault="003F0D4E" w:rsidP="00D22D3F">
      <w:pPr>
        <w:pStyle w:val="subsection"/>
      </w:pPr>
      <w:r w:rsidRPr="00097A86">
        <w:tab/>
      </w:r>
      <w:r w:rsidRPr="00097A86">
        <w:tab/>
        <w:t>Method 3 is the Tier 3 method for estimating facility</w:t>
      </w:r>
      <w:r w:rsidR="00097A86">
        <w:noBreakHyphen/>
      </w:r>
      <w:r w:rsidRPr="00097A86">
        <w:t>specific perfluorocarbon emissions as set out in the Perfluorocarbon protocol.</w:t>
      </w:r>
    </w:p>
    <w:p w14:paraId="4CA385A4" w14:textId="77777777" w:rsidR="009369D1" w:rsidRPr="00097A86" w:rsidRDefault="009369D1" w:rsidP="00D22D3F">
      <w:pPr>
        <w:pStyle w:val="ActHead3"/>
        <w:pageBreakBefore/>
      </w:pPr>
      <w:bookmarkStart w:id="497" w:name="_Toc13233929"/>
      <w:r w:rsidRPr="00097A86">
        <w:rPr>
          <w:rStyle w:val="CharDivNo"/>
        </w:rPr>
        <w:lastRenderedPageBreak/>
        <w:t>Division</w:t>
      </w:r>
      <w:r w:rsidR="00097A86">
        <w:rPr>
          <w:rStyle w:val="CharDivNo"/>
        </w:rPr>
        <w:t> </w:t>
      </w:r>
      <w:r w:rsidRPr="00097A86">
        <w:rPr>
          <w:rStyle w:val="CharDivNo"/>
        </w:rPr>
        <w:t>4.4.5</w:t>
      </w:r>
      <w:r w:rsidR="00D22D3F" w:rsidRPr="00097A86">
        <w:t>—</w:t>
      </w:r>
      <w:r w:rsidRPr="00097A86">
        <w:rPr>
          <w:rStyle w:val="CharDivText"/>
        </w:rPr>
        <w:t>Other metals production</w:t>
      </w:r>
      <w:bookmarkEnd w:id="497"/>
    </w:p>
    <w:p w14:paraId="384AC337" w14:textId="77777777" w:rsidR="00055093" w:rsidRPr="00097A86" w:rsidRDefault="00055093" w:rsidP="00D22D3F">
      <w:pPr>
        <w:pStyle w:val="ActHead5"/>
      </w:pPr>
      <w:bookmarkStart w:id="498" w:name="_Toc13233930"/>
      <w:r w:rsidRPr="00097A86">
        <w:rPr>
          <w:rStyle w:val="CharSectno"/>
        </w:rPr>
        <w:t>4.92</w:t>
      </w:r>
      <w:r w:rsidR="00D22D3F" w:rsidRPr="00097A86">
        <w:t xml:space="preserve">  </w:t>
      </w:r>
      <w:r w:rsidRPr="00097A86">
        <w:t>Application</w:t>
      </w:r>
      <w:bookmarkEnd w:id="498"/>
    </w:p>
    <w:p w14:paraId="272FD845" w14:textId="77777777" w:rsidR="00055093" w:rsidRPr="00097A86" w:rsidRDefault="00055093" w:rsidP="00D22D3F">
      <w:pPr>
        <w:pStyle w:val="subsection"/>
      </w:pPr>
      <w:r w:rsidRPr="00097A86">
        <w:tab/>
        <w:t>(1)</w:t>
      </w:r>
      <w:r w:rsidRPr="00097A86">
        <w:tab/>
        <w:t>This Division applies to emissions of carbon dioxide from any of the following:</w:t>
      </w:r>
    </w:p>
    <w:p w14:paraId="718886E3" w14:textId="77777777" w:rsidR="00055093" w:rsidRPr="00097A86" w:rsidRDefault="00055093" w:rsidP="00D22D3F">
      <w:pPr>
        <w:pStyle w:val="paragraph"/>
      </w:pPr>
      <w:r w:rsidRPr="00097A86">
        <w:tab/>
        <w:t>(a)</w:t>
      </w:r>
      <w:r w:rsidRPr="00097A86">
        <w:tab/>
        <w:t>the consumption of a fossil fuel reductant;</w:t>
      </w:r>
    </w:p>
    <w:p w14:paraId="1DAB98AB" w14:textId="77777777" w:rsidR="00055093" w:rsidRPr="00097A86" w:rsidRDefault="00055093" w:rsidP="00D22D3F">
      <w:pPr>
        <w:pStyle w:val="paragraph"/>
      </w:pPr>
      <w:r w:rsidRPr="00097A86">
        <w:tab/>
        <w:t>(b)</w:t>
      </w:r>
      <w:r w:rsidRPr="00097A86">
        <w:tab/>
        <w:t>the oxidation of a fossil fuel electrode.</w:t>
      </w:r>
    </w:p>
    <w:p w14:paraId="5B0CA8AB" w14:textId="77777777" w:rsidR="00055093" w:rsidRPr="00097A86" w:rsidRDefault="00055093" w:rsidP="00D22D3F">
      <w:pPr>
        <w:pStyle w:val="subsection"/>
      </w:pPr>
      <w:r w:rsidRPr="00097A86">
        <w:tab/>
        <w:t>(2)</w:t>
      </w:r>
      <w:r w:rsidRPr="00097A86">
        <w:tab/>
        <w:t>This Division does not apply to the production of any of the following:</w:t>
      </w:r>
    </w:p>
    <w:p w14:paraId="0FAF8C14" w14:textId="77777777" w:rsidR="00055093" w:rsidRPr="00097A86" w:rsidRDefault="00055093" w:rsidP="00D22D3F">
      <w:pPr>
        <w:pStyle w:val="paragraph"/>
      </w:pPr>
      <w:r w:rsidRPr="00097A86">
        <w:tab/>
        <w:t>(a)</w:t>
      </w:r>
      <w:r w:rsidRPr="00097A86">
        <w:tab/>
        <w:t>aluminium;</w:t>
      </w:r>
    </w:p>
    <w:p w14:paraId="5C9D9A94" w14:textId="77777777" w:rsidR="00055093" w:rsidRPr="00097A86" w:rsidRDefault="00055093" w:rsidP="00D22D3F">
      <w:pPr>
        <w:pStyle w:val="paragraph"/>
      </w:pPr>
      <w:r w:rsidRPr="00097A86">
        <w:tab/>
        <w:t>(b)</w:t>
      </w:r>
      <w:r w:rsidRPr="00097A86">
        <w:tab/>
        <w:t>ferroalloys;</w:t>
      </w:r>
    </w:p>
    <w:p w14:paraId="25400C44" w14:textId="77777777" w:rsidR="00055093" w:rsidRPr="00097A86" w:rsidRDefault="00055093" w:rsidP="00D22D3F">
      <w:pPr>
        <w:pStyle w:val="paragraph"/>
      </w:pPr>
      <w:r w:rsidRPr="00097A86">
        <w:tab/>
        <w:t>(c)</w:t>
      </w:r>
      <w:r w:rsidRPr="00097A86">
        <w:tab/>
        <w:t>iron;</w:t>
      </w:r>
    </w:p>
    <w:p w14:paraId="252340C8" w14:textId="77777777" w:rsidR="00055093" w:rsidRPr="00097A86" w:rsidRDefault="00055093" w:rsidP="00D22D3F">
      <w:pPr>
        <w:pStyle w:val="paragraph"/>
      </w:pPr>
      <w:r w:rsidRPr="00097A86">
        <w:tab/>
        <w:t>(d)</w:t>
      </w:r>
      <w:r w:rsidRPr="00097A86">
        <w:tab/>
        <w:t>steel;</w:t>
      </w:r>
    </w:p>
    <w:p w14:paraId="5478F559" w14:textId="77777777" w:rsidR="00055093" w:rsidRPr="00097A86" w:rsidRDefault="00055093" w:rsidP="00D22D3F">
      <w:pPr>
        <w:pStyle w:val="paragraph"/>
      </w:pPr>
      <w:r w:rsidRPr="00097A86">
        <w:tab/>
        <w:t>(e)</w:t>
      </w:r>
      <w:r w:rsidRPr="00097A86">
        <w:tab/>
        <w:t>any other metal produced using an integrated metalworks.</w:t>
      </w:r>
    </w:p>
    <w:p w14:paraId="3F69361E" w14:textId="77777777" w:rsidR="003F0D4E" w:rsidRPr="00097A86" w:rsidRDefault="003F0D4E" w:rsidP="00D22D3F">
      <w:pPr>
        <w:pStyle w:val="ActHead5"/>
      </w:pPr>
      <w:bookmarkStart w:id="499" w:name="_Toc13233931"/>
      <w:r w:rsidRPr="00097A86">
        <w:rPr>
          <w:rStyle w:val="CharSectno"/>
        </w:rPr>
        <w:t>4.93</w:t>
      </w:r>
      <w:r w:rsidR="00D22D3F" w:rsidRPr="00097A86">
        <w:t xml:space="preserve">  </w:t>
      </w:r>
      <w:r w:rsidRPr="00097A86">
        <w:t>Available methods</w:t>
      </w:r>
      <w:bookmarkEnd w:id="499"/>
    </w:p>
    <w:p w14:paraId="424DEE1F" w14:textId="77777777" w:rsidR="003F0D4E" w:rsidRPr="00097A86" w:rsidRDefault="003F0D4E" w:rsidP="00D22D3F">
      <w:pPr>
        <w:pStyle w:val="subsection"/>
      </w:pPr>
      <w:r w:rsidRPr="00097A86">
        <w:tab/>
        <w:t>(1)</w:t>
      </w:r>
      <w:r w:rsidRPr="00097A86">
        <w:tab/>
        <w:t>Subject to section</w:t>
      </w:r>
      <w:r w:rsidR="00097A86">
        <w:t> </w:t>
      </w:r>
      <w:r w:rsidRPr="00097A86">
        <w:t xml:space="preserve">1.18, one of the following methods must be used for estimating emissions of carbon dioxide from the use of carbon reductants during a year from the operation of a facility that is constituted by the production of metals </w:t>
      </w:r>
      <w:r w:rsidR="00272544" w:rsidRPr="00097A86">
        <w:t>to which this Division applies</w:t>
      </w:r>
      <w:r w:rsidRPr="00097A86">
        <w:t>:</w:t>
      </w:r>
    </w:p>
    <w:p w14:paraId="42B4F134" w14:textId="77777777" w:rsidR="003F0D4E" w:rsidRPr="00097A86" w:rsidRDefault="003F0D4E" w:rsidP="00D22D3F">
      <w:pPr>
        <w:pStyle w:val="paragraph"/>
      </w:pPr>
      <w:r w:rsidRPr="00097A86">
        <w:tab/>
        <w:t>(a)</w:t>
      </w:r>
      <w:r w:rsidRPr="00097A86">
        <w:tab/>
        <w:t>method 1 under section</w:t>
      </w:r>
      <w:r w:rsidR="00097A86">
        <w:t> </w:t>
      </w:r>
      <w:r w:rsidRPr="00097A86">
        <w:t>4.94;</w:t>
      </w:r>
    </w:p>
    <w:p w14:paraId="32963ED8" w14:textId="77777777" w:rsidR="003F0D4E" w:rsidRPr="00097A86" w:rsidRDefault="003F0D4E" w:rsidP="00D22D3F">
      <w:pPr>
        <w:pStyle w:val="paragraph"/>
      </w:pPr>
      <w:r w:rsidRPr="00097A86">
        <w:tab/>
        <w:t>(b)</w:t>
      </w:r>
      <w:r w:rsidRPr="00097A86">
        <w:tab/>
        <w:t>method 2 under section</w:t>
      </w:r>
      <w:r w:rsidR="00097A86">
        <w:t> </w:t>
      </w:r>
      <w:r w:rsidRPr="00097A86">
        <w:t>4.95;</w:t>
      </w:r>
    </w:p>
    <w:p w14:paraId="48F5ADF9" w14:textId="77777777" w:rsidR="003F0D4E" w:rsidRPr="00097A86" w:rsidRDefault="003F0D4E" w:rsidP="00D22D3F">
      <w:pPr>
        <w:pStyle w:val="paragraph"/>
      </w:pPr>
      <w:r w:rsidRPr="00097A86">
        <w:tab/>
        <w:t>(c)</w:t>
      </w:r>
      <w:r w:rsidRPr="00097A86">
        <w:tab/>
        <w:t>method 3 under section</w:t>
      </w:r>
      <w:r w:rsidR="00097A86">
        <w:t> </w:t>
      </w:r>
      <w:r w:rsidRPr="00097A86">
        <w:t>4.96;</w:t>
      </w:r>
    </w:p>
    <w:p w14:paraId="14200A91" w14:textId="77777777" w:rsidR="003F0D4E" w:rsidRPr="00097A86" w:rsidRDefault="003F0D4E" w:rsidP="00D22D3F">
      <w:pPr>
        <w:pStyle w:val="paragraph"/>
      </w:pPr>
      <w:r w:rsidRPr="00097A86">
        <w:tab/>
        <w:t>(d)</w:t>
      </w:r>
      <w:r w:rsidRPr="00097A86">
        <w:tab/>
        <w:t>method 4 under Part</w:t>
      </w:r>
      <w:r w:rsidR="00097A86">
        <w:t> </w:t>
      </w:r>
      <w:r w:rsidRPr="00097A86">
        <w:t>1.3.</w:t>
      </w:r>
    </w:p>
    <w:p w14:paraId="2C421FBD"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7FC85EF0" w14:textId="77777777" w:rsidR="00755FAE" w:rsidRPr="00097A86" w:rsidRDefault="00755FAE" w:rsidP="00D22D3F">
      <w:pPr>
        <w:pStyle w:val="ActHead5"/>
        <w:rPr>
          <w:sz w:val="18"/>
        </w:rPr>
      </w:pPr>
      <w:bookmarkStart w:id="500" w:name="_Toc13233932"/>
      <w:r w:rsidRPr="00097A86">
        <w:rPr>
          <w:rStyle w:val="CharSectno"/>
        </w:rPr>
        <w:t>4.94</w:t>
      </w:r>
      <w:r w:rsidR="00D22D3F" w:rsidRPr="00097A86">
        <w:t xml:space="preserve">  </w:t>
      </w:r>
      <w:r w:rsidRPr="00097A86">
        <w:t>Method 1</w:t>
      </w:r>
      <w:r w:rsidR="00D22D3F" w:rsidRPr="00097A86">
        <w:t>—</w:t>
      </w:r>
      <w:r w:rsidRPr="00097A86">
        <w:t>other metals</w:t>
      </w:r>
      <w:bookmarkEnd w:id="500"/>
    </w:p>
    <w:p w14:paraId="44EF0FC1" w14:textId="77777777" w:rsidR="00755FAE" w:rsidRPr="00097A86" w:rsidRDefault="00755FAE" w:rsidP="00D22D3F">
      <w:pPr>
        <w:pStyle w:val="subsection"/>
      </w:pPr>
      <w:r w:rsidRPr="00097A86">
        <w:tab/>
      </w:r>
      <w:r w:rsidRPr="00097A86">
        <w:tab/>
        <w:t>Method 1, based on a carbon mass balance approach, is:</w:t>
      </w:r>
    </w:p>
    <w:tbl>
      <w:tblPr>
        <w:tblW w:w="5000" w:type="pct"/>
        <w:tblLook w:val="04A0" w:firstRow="1" w:lastRow="0" w:firstColumn="1" w:lastColumn="0" w:noHBand="0" w:noVBand="1"/>
      </w:tblPr>
      <w:tblGrid>
        <w:gridCol w:w="939"/>
        <w:gridCol w:w="7374"/>
      </w:tblGrid>
      <w:tr w:rsidR="009776A1" w:rsidRPr="00097A86" w14:paraId="27D1BC76" w14:textId="77777777" w:rsidTr="00C20CC2">
        <w:trPr>
          <w:cantSplit/>
          <w:trHeight w:val="80"/>
        </w:trPr>
        <w:tc>
          <w:tcPr>
            <w:tcW w:w="565" w:type="pct"/>
            <w:vMerge w:val="restart"/>
            <w:hideMark/>
          </w:tcPr>
          <w:p w14:paraId="223C2E9D" w14:textId="77777777" w:rsidR="009776A1" w:rsidRPr="00097A86" w:rsidRDefault="009776A1" w:rsidP="00617697">
            <w:pPr>
              <w:spacing w:before="60" w:after="60"/>
            </w:pPr>
            <w:r w:rsidRPr="00097A86">
              <w:t>Step 1</w:t>
            </w:r>
          </w:p>
        </w:tc>
        <w:tc>
          <w:tcPr>
            <w:tcW w:w="4435" w:type="pct"/>
            <w:hideMark/>
          </w:tcPr>
          <w:p w14:paraId="79D50C28" w14:textId="77777777" w:rsidR="009776A1" w:rsidRPr="00097A86" w:rsidRDefault="009776A1" w:rsidP="00617697">
            <w:pPr>
              <w:pStyle w:val="TableText0"/>
            </w:pPr>
            <w:r w:rsidRPr="00097A86">
              <w:t>Work out the carbon content in fuel types</w:t>
            </w:r>
            <w:r w:rsidRPr="00097A86">
              <w:rPr>
                <w:b/>
                <w:i/>
              </w:rPr>
              <w:t xml:space="preserve"> </w:t>
            </w:r>
            <w:r w:rsidRPr="00097A86">
              <w:t>(</w:t>
            </w:r>
            <w:r w:rsidRPr="00097A86">
              <w:rPr>
                <w:b/>
                <w:i/>
              </w:rPr>
              <w:t>i</w:t>
            </w:r>
            <w:r w:rsidRPr="00097A86">
              <w:t>) or carbonaceous input material delivered for the activity during the year, measured in tonnes of carbon, as follows:</w:t>
            </w:r>
          </w:p>
          <w:p w14:paraId="7D405389" w14:textId="77777777" w:rsidR="009776A1" w:rsidRPr="00097A86" w:rsidRDefault="009E1F90" w:rsidP="00617697">
            <w:pPr>
              <w:pStyle w:val="Formula"/>
              <w:spacing w:before="120" w:after="120"/>
            </w:pPr>
            <w:r>
              <w:rPr>
                <w:noProof/>
                <w:position w:val="-10"/>
              </w:rPr>
              <w:drawing>
                <wp:inline distT="0" distB="0" distL="0" distR="0" wp14:anchorId="1015425E" wp14:editId="1A9FD130">
                  <wp:extent cx="952500" cy="219075"/>
                  <wp:effectExtent l="0" t="0" r="0" b="9525"/>
                  <wp:docPr id="10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tc>
      </w:tr>
      <w:tr w:rsidR="009776A1" w:rsidRPr="00097A86" w14:paraId="4BBFB00D" w14:textId="77777777" w:rsidTr="00C20CC2">
        <w:trPr>
          <w:cantSplit/>
          <w:trHeight w:val="80"/>
        </w:trPr>
        <w:tc>
          <w:tcPr>
            <w:tcW w:w="565" w:type="pct"/>
            <w:vMerge/>
            <w:hideMark/>
          </w:tcPr>
          <w:p w14:paraId="3437C0ED" w14:textId="77777777" w:rsidR="009776A1" w:rsidRPr="00097A86" w:rsidRDefault="009776A1" w:rsidP="00617697">
            <w:pPr>
              <w:spacing w:before="60" w:after="60"/>
              <w:rPr>
                <w:i/>
              </w:rPr>
            </w:pPr>
          </w:p>
        </w:tc>
        <w:tc>
          <w:tcPr>
            <w:tcW w:w="4435" w:type="pct"/>
            <w:hideMark/>
          </w:tcPr>
          <w:p w14:paraId="59F11791" w14:textId="77777777" w:rsidR="009776A1" w:rsidRPr="00097A86" w:rsidRDefault="009776A1" w:rsidP="00617697">
            <w:pPr>
              <w:pStyle w:val="TableText0"/>
            </w:pPr>
            <w:r w:rsidRPr="00097A86">
              <w:t>where:</w:t>
            </w:r>
          </w:p>
          <w:p w14:paraId="1121FCDB" w14:textId="77777777" w:rsidR="009776A1" w:rsidRPr="00097A86" w:rsidRDefault="009776A1" w:rsidP="00617697">
            <w:pPr>
              <w:pStyle w:val="TableText0"/>
              <w:spacing w:line="240" w:lineRule="auto"/>
            </w:pPr>
            <w:r w:rsidRPr="00097A86">
              <w:rPr>
                <w:rFonts w:ascii="Symbol" w:hAnsi="Symbol"/>
                <w:b/>
                <w:i/>
              </w:rPr>
              <w:t></w:t>
            </w:r>
            <w:r w:rsidRPr="00097A86">
              <w:rPr>
                <w:b/>
                <w:i/>
                <w:vertAlign w:val="subscript"/>
              </w:rPr>
              <w:t>i</w:t>
            </w:r>
            <w:r w:rsidRPr="00097A86">
              <w:rPr>
                <w:i/>
              </w:rPr>
              <w:t xml:space="preserve"> </w:t>
            </w:r>
            <w:r w:rsidRPr="00097A86">
              <w:t xml:space="preserve">means the sum of the </w:t>
            </w:r>
            <w:r w:rsidRPr="00097A86">
              <w:rPr>
                <w:szCs w:val="22"/>
              </w:rPr>
              <w:t>carbon</w:t>
            </w:r>
            <w:r w:rsidRPr="00097A86">
              <w:t xml:space="preserve"> content values obtained for all fuel types (</w:t>
            </w:r>
            <w:r w:rsidRPr="00097A86">
              <w:rPr>
                <w:b/>
                <w:i/>
              </w:rPr>
              <w:t>i</w:t>
            </w:r>
            <w:r w:rsidRPr="00097A86">
              <w:t>) or carbonaceous input material.</w:t>
            </w:r>
          </w:p>
          <w:p w14:paraId="5FEE159A" w14:textId="77777777" w:rsidR="009776A1" w:rsidRPr="00097A86" w:rsidRDefault="009776A1" w:rsidP="00617697">
            <w:pPr>
              <w:pStyle w:val="TableText0"/>
              <w:spacing w:line="240" w:lineRule="auto"/>
              <w:rPr>
                <w:b/>
                <w:i/>
              </w:rPr>
            </w:pPr>
            <w:r w:rsidRPr="00097A86">
              <w:rPr>
                <w:b/>
                <w:i/>
              </w:rPr>
              <w:t>CCF</w:t>
            </w:r>
            <w:r w:rsidRPr="00097A86">
              <w:rPr>
                <w:b/>
                <w:i/>
                <w:vertAlign w:val="subscript"/>
              </w:rPr>
              <w:t>i</w:t>
            </w:r>
            <w:r w:rsidRPr="00097A86">
              <w:rPr>
                <w:i/>
              </w:rPr>
              <w:t xml:space="preserve"> </w:t>
            </w:r>
            <w:r w:rsidRPr="00097A86">
              <w:t xml:space="preserve">is the </w:t>
            </w:r>
            <w:r w:rsidRPr="00097A86">
              <w:rPr>
                <w:szCs w:val="22"/>
              </w:rPr>
              <w:t>carbon</w:t>
            </w:r>
            <w:r w:rsidRPr="00097A86">
              <w:t xml:space="preserve"> content factor mentioned in Schedule</w:t>
            </w:r>
            <w:r w:rsidR="00097A86">
              <w:t> </w:t>
            </w:r>
            <w:r w:rsidRPr="00097A86">
              <w:t>3, measured in tonnes of carbon, for each appropriate unit of fuel type (</w:t>
            </w:r>
            <w:r w:rsidRPr="00097A86">
              <w:rPr>
                <w:b/>
                <w:i/>
              </w:rPr>
              <w:t>i</w:t>
            </w:r>
            <w:r w:rsidRPr="00097A86">
              <w:t>) or carbonaceous input material consumed during the year from the operation of the activity.</w:t>
            </w:r>
          </w:p>
        </w:tc>
      </w:tr>
      <w:tr w:rsidR="009776A1" w:rsidRPr="00097A86" w14:paraId="5188CB8C" w14:textId="77777777" w:rsidTr="00C20CC2">
        <w:trPr>
          <w:cantSplit/>
          <w:trHeight w:val="80"/>
        </w:trPr>
        <w:tc>
          <w:tcPr>
            <w:tcW w:w="565" w:type="pct"/>
            <w:vMerge/>
            <w:vAlign w:val="center"/>
            <w:hideMark/>
          </w:tcPr>
          <w:p w14:paraId="13D1CD46" w14:textId="77777777" w:rsidR="009776A1" w:rsidRPr="00097A86" w:rsidRDefault="009776A1" w:rsidP="00617697">
            <w:pPr>
              <w:rPr>
                <w:i/>
              </w:rPr>
            </w:pPr>
          </w:p>
        </w:tc>
        <w:tc>
          <w:tcPr>
            <w:tcW w:w="4435" w:type="pct"/>
            <w:hideMark/>
          </w:tcPr>
          <w:p w14:paraId="72BCB524" w14:textId="77777777" w:rsidR="009776A1" w:rsidRPr="00097A86" w:rsidRDefault="009776A1" w:rsidP="00617697">
            <w:pPr>
              <w:pStyle w:val="TableText0"/>
            </w:pPr>
            <w:r w:rsidRPr="00097A86">
              <w:rPr>
                <w:b/>
                <w:i/>
              </w:rPr>
              <w:t>Q</w:t>
            </w:r>
            <w:r w:rsidRPr="00097A86">
              <w:rPr>
                <w:b/>
                <w:i/>
                <w:sz w:val="24"/>
                <w:vertAlign w:val="subscript"/>
              </w:rPr>
              <w:t>i</w:t>
            </w:r>
            <w:r w:rsidRPr="00097A86">
              <w:rPr>
                <w:b/>
                <w:i/>
              </w:rPr>
              <w:t xml:space="preserve"> </w:t>
            </w:r>
            <w:r w:rsidRPr="00097A86">
              <w:t>is the quantity of fuel type (</w:t>
            </w:r>
            <w:r w:rsidRPr="00097A86">
              <w:rPr>
                <w:b/>
                <w:i/>
              </w:rPr>
              <w:t>i</w:t>
            </w:r>
            <w:r w:rsidRPr="00097A86">
              <w:t>) or carbonaceous input material delivered for the activity during the year, measured in an appropriate unit and estimated in accordance with:</w:t>
            </w:r>
          </w:p>
          <w:p w14:paraId="4C7E278E" w14:textId="77777777" w:rsidR="009776A1" w:rsidRPr="00097A86" w:rsidRDefault="009776A1" w:rsidP="00617697">
            <w:pPr>
              <w:pStyle w:val="TableP1a"/>
            </w:pPr>
            <w:r w:rsidRPr="00097A86">
              <w:tab/>
              <w:t>(a)</w:t>
            </w:r>
            <w:r w:rsidRPr="00097A86">
              <w:tab/>
              <w:t>criterion A in Divisions</w:t>
            </w:r>
            <w:r w:rsidR="00097A86">
              <w:t> </w:t>
            </w:r>
            <w:r w:rsidRPr="00097A86">
              <w:t xml:space="preserve">2.2.5, </w:t>
            </w:r>
            <w:r w:rsidR="0005056D" w:rsidRPr="00097A86">
              <w:t>2.3.6, 2.4.6 and 4.2.5</w:t>
            </w:r>
            <w:r w:rsidRPr="00097A86">
              <w:t>; or</w:t>
            </w:r>
          </w:p>
          <w:p w14:paraId="1EC047A2" w14:textId="77777777" w:rsidR="009776A1" w:rsidRPr="00097A86" w:rsidRDefault="009776A1" w:rsidP="00617697">
            <w:pPr>
              <w:pStyle w:val="TableP1a"/>
            </w:pPr>
            <w:r w:rsidRPr="00097A86">
              <w:tab/>
              <w:t>(b)</w:t>
            </w:r>
            <w:r w:rsidRPr="00097A86">
              <w:tab/>
              <w:t>if the quantity of fuel or carbonaceous input material is not acquired as part of a commercial transaction — industry practice, consistent with the principles in section</w:t>
            </w:r>
            <w:r w:rsidR="00097A86">
              <w:t> </w:t>
            </w:r>
            <w:r w:rsidRPr="00097A86">
              <w:t>1.13.</w:t>
            </w:r>
          </w:p>
        </w:tc>
      </w:tr>
      <w:tr w:rsidR="009776A1" w:rsidRPr="00097A86" w14:paraId="130807FB" w14:textId="77777777" w:rsidTr="00C20CC2">
        <w:trPr>
          <w:cantSplit/>
        </w:trPr>
        <w:tc>
          <w:tcPr>
            <w:tcW w:w="565" w:type="pct"/>
            <w:vMerge w:val="restart"/>
            <w:hideMark/>
          </w:tcPr>
          <w:p w14:paraId="07F58E75" w14:textId="77777777" w:rsidR="009776A1" w:rsidRPr="00097A86" w:rsidRDefault="009776A1" w:rsidP="00617697">
            <w:pPr>
              <w:spacing w:before="60" w:after="60"/>
            </w:pPr>
            <w:r w:rsidRPr="00097A86">
              <w:t>Step 2</w:t>
            </w:r>
          </w:p>
        </w:tc>
        <w:tc>
          <w:tcPr>
            <w:tcW w:w="4435" w:type="pct"/>
            <w:hideMark/>
          </w:tcPr>
          <w:p w14:paraId="7266D4C0" w14:textId="77777777" w:rsidR="009776A1" w:rsidRPr="00097A86" w:rsidRDefault="009776A1" w:rsidP="00617697">
            <w:pPr>
              <w:pStyle w:val="TableText0"/>
            </w:pPr>
            <w:r w:rsidRPr="00097A86">
              <w:t>Work out the carbon content in products (</w:t>
            </w:r>
            <w:r w:rsidRPr="00097A86">
              <w:rPr>
                <w:b/>
                <w:i/>
              </w:rPr>
              <w:t>p</w:t>
            </w:r>
            <w:r w:rsidRPr="00097A86">
              <w:t>) leaving the activity during the year, measured in tonnes of carbon, as follows:</w:t>
            </w:r>
          </w:p>
          <w:p w14:paraId="6DFCB711" w14:textId="77777777" w:rsidR="009776A1" w:rsidRPr="00097A86" w:rsidRDefault="009E1F90" w:rsidP="00617697">
            <w:pPr>
              <w:pStyle w:val="Formula"/>
              <w:spacing w:before="120" w:after="120"/>
            </w:pPr>
            <w:r>
              <w:rPr>
                <w:noProof/>
                <w:position w:val="-14"/>
              </w:rPr>
              <w:drawing>
                <wp:inline distT="0" distB="0" distL="0" distR="0" wp14:anchorId="0028EB65" wp14:editId="3CDB23B6">
                  <wp:extent cx="1123950" cy="238125"/>
                  <wp:effectExtent l="0" t="0" r="0" b="9525"/>
                  <wp:docPr id="99"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tc>
      </w:tr>
      <w:tr w:rsidR="009776A1" w:rsidRPr="00097A86" w14:paraId="500BD4DC" w14:textId="77777777" w:rsidTr="00C20CC2">
        <w:trPr>
          <w:cantSplit/>
        </w:trPr>
        <w:tc>
          <w:tcPr>
            <w:tcW w:w="565" w:type="pct"/>
            <w:vMerge/>
            <w:vAlign w:val="center"/>
            <w:hideMark/>
          </w:tcPr>
          <w:p w14:paraId="3626E4F4" w14:textId="77777777" w:rsidR="009776A1" w:rsidRPr="00097A86" w:rsidRDefault="009776A1" w:rsidP="00617697"/>
        </w:tc>
        <w:tc>
          <w:tcPr>
            <w:tcW w:w="4435" w:type="pct"/>
            <w:hideMark/>
          </w:tcPr>
          <w:p w14:paraId="0D2A2409" w14:textId="77777777" w:rsidR="009776A1" w:rsidRPr="00097A86" w:rsidRDefault="009776A1" w:rsidP="00617697">
            <w:pPr>
              <w:pStyle w:val="TableText0"/>
            </w:pPr>
            <w:r w:rsidRPr="00097A86">
              <w:t>where:</w:t>
            </w:r>
          </w:p>
          <w:p w14:paraId="24B51402" w14:textId="77777777" w:rsidR="009776A1" w:rsidRPr="00097A86" w:rsidRDefault="009776A1" w:rsidP="00617697">
            <w:pPr>
              <w:pStyle w:val="TableText0"/>
              <w:spacing w:line="240" w:lineRule="auto"/>
            </w:pPr>
            <w:r w:rsidRPr="00097A86">
              <w:rPr>
                <w:rFonts w:ascii="Symbol" w:hAnsi="Symbol"/>
                <w:b/>
                <w:i/>
              </w:rPr>
              <w:t></w:t>
            </w:r>
            <w:r w:rsidRPr="00097A86">
              <w:rPr>
                <w:b/>
                <w:i/>
                <w:vertAlign w:val="subscript"/>
              </w:rPr>
              <w:t>p</w:t>
            </w:r>
            <w:r w:rsidRPr="00097A86">
              <w:rPr>
                <w:i/>
              </w:rPr>
              <w:t xml:space="preserve"> </w:t>
            </w:r>
            <w:r w:rsidRPr="00097A86">
              <w:t xml:space="preserve">means the sum of the </w:t>
            </w:r>
            <w:r w:rsidRPr="00097A86">
              <w:rPr>
                <w:szCs w:val="22"/>
              </w:rPr>
              <w:t>carbon</w:t>
            </w:r>
            <w:r w:rsidRPr="00097A86">
              <w:t xml:space="preserve"> content values obtained for all product types (</w:t>
            </w:r>
            <w:r w:rsidRPr="00097A86">
              <w:rPr>
                <w:b/>
                <w:i/>
              </w:rPr>
              <w:t>p</w:t>
            </w:r>
            <w:r w:rsidRPr="00097A86">
              <w:t>).</w:t>
            </w:r>
          </w:p>
          <w:p w14:paraId="51CD670B" w14:textId="77777777" w:rsidR="009776A1" w:rsidRPr="00097A86" w:rsidRDefault="009776A1" w:rsidP="00617697">
            <w:pPr>
              <w:pStyle w:val="TableText0"/>
              <w:spacing w:line="240" w:lineRule="auto"/>
              <w:rPr>
                <w:iCs/>
              </w:rPr>
            </w:pPr>
            <w:r w:rsidRPr="00097A86">
              <w:rPr>
                <w:b/>
                <w:i/>
                <w:iCs/>
              </w:rPr>
              <w:t>CCF</w:t>
            </w:r>
            <w:r w:rsidRPr="00097A86">
              <w:rPr>
                <w:b/>
                <w:i/>
                <w:iCs/>
                <w:vertAlign w:val="subscript"/>
              </w:rPr>
              <w:t>p</w:t>
            </w:r>
            <w:r w:rsidRPr="00097A86">
              <w:rPr>
                <w:iCs/>
              </w:rPr>
              <w:t xml:space="preserve"> is the </w:t>
            </w:r>
            <w:r w:rsidRPr="00097A86">
              <w:rPr>
                <w:szCs w:val="22"/>
              </w:rPr>
              <w:t>carbon</w:t>
            </w:r>
            <w:r w:rsidRPr="00097A86">
              <w:rPr>
                <w:iCs/>
              </w:rPr>
              <w:t xml:space="preserve"> content factor, measured in tonnes of carbon, for each tonne of product type</w:t>
            </w:r>
            <w:r w:rsidRPr="00097A86">
              <w:rPr>
                <w:b/>
                <w:i/>
                <w:iCs/>
              </w:rPr>
              <w:t xml:space="preserve"> </w:t>
            </w:r>
            <w:r w:rsidRPr="00097A86">
              <w:rPr>
                <w:iCs/>
              </w:rPr>
              <w:t>(</w:t>
            </w:r>
            <w:r w:rsidRPr="00097A86">
              <w:rPr>
                <w:b/>
                <w:i/>
                <w:iCs/>
              </w:rPr>
              <w:t>p</w:t>
            </w:r>
            <w:r w:rsidRPr="00097A86">
              <w:rPr>
                <w:iCs/>
              </w:rPr>
              <w:t>) produced during the year.</w:t>
            </w:r>
          </w:p>
          <w:p w14:paraId="4FF6F46D" w14:textId="77777777" w:rsidR="009776A1" w:rsidRPr="00097A86" w:rsidRDefault="009776A1" w:rsidP="00617697">
            <w:pPr>
              <w:pStyle w:val="TableText0"/>
              <w:spacing w:line="240" w:lineRule="auto"/>
            </w:pPr>
            <w:r w:rsidRPr="00097A86">
              <w:rPr>
                <w:b/>
                <w:i/>
              </w:rPr>
              <w:t>A</w:t>
            </w:r>
            <w:r w:rsidRPr="00097A86">
              <w:rPr>
                <w:b/>
                <w:i/>
                <w:vertAlign w:val="subscript"/>
              </w:rPr>
              <w:t>p</w:t>
            </w:r>
            <w:r w:rsidRPr="00097A86">
              <w:rPr>
                <w:i/>
              </w:rPr>
              <w:t xml:space="preserve"> </w:t>
            </w:r>
            <w:r w:rsidRPr="00097A86">
              <w:t xml:space="preserve">is the </w:t>
            </w:r>
            <w:r w:rsidRPr="00097A86">
              <w:rPr>
                <w:szCs w:val="22"/>
              </w:rPr>
              <w:t>quantity</w:t>
            </w:r>
            <w:r w:rsidRPr="00097A86">
              <w:t xml:space="preserve"> of product types (</w:t>
            </w:r>
            <w:r w:rsidRPr="00097A86">
              <w:rPr>
                <w:b/>
                <w:i/>
              </w:rPr>
              <w:t>p</w:t>
            </w:r>
            <w:r w:rsidRPr="00097A86">
              <w:t>) produced leaving the activity during the year, measured in tonnes.</w:t>
            </w:r>
          </w:p>
        </w:tc>
      </w:tr>
      <w:tr w:rsidR="009776A1" w:rsidRPr="00097A86" w14:paraId="5FFDF925" w14:textId="77777777" w:rsidTr="00C20CC2">
        <w:trPr>
          <w:cantSplit/>
        </w:trPr>
        <w:tc>
          <w:tcPr>
            <w:tcW w:w="565" w:type="pct"/>
            <w:vMerge w:val="restart"/>
            <w:hideMark/>
          </w:tcPr>
          <w:p w14:paraId="70F1DEE6" w14:textId="77777777" w:rsidR="009776A1" w:rsidRPr="00097A86" w:rsidRDefault="009776A1" w:rsidP="00617697">
            <w:pPr>
              <w:spacing w:before="60" w:after="60"/>
            </w:pPr>
            <w:r w:rsidRPr="00097A86">
              <w:t>Step 3</w:t>
            </w:r>
          </w:p>
        </w:tc>
        <w:tc>
          <w:tcPr>
            <w:tcW w:w="4435" w:type="pct"/>
            <w:hideMark/>
          </w:tcPr>
          <w:p w14:paraId="0A011BBD" w14:textId="77777777" w:rsidR="009776A1" w:rsidRPr="00097A86" w:rsidRDefault="009776A1" w:rsidP="00617697">
            <w:pPr>
              <w:pStyle w:val="TableText0"/>
              <w:rPr>
                <w:iCs/>
              </w:rPr>
            </w:pPr>
            <w:r w:rsidRPr="00097A86">
              <w:rPr>
                <w:iCs/>
              </w:rPr>
              <w:t xml:space="preserve">Work out </w:t>
            </w:r>
            <w:r w:rsidRPr="00097A86">
              <w:t xml:space="preserve">the carbon content in </w:t>
            </w:r>
            <w:r w:rsidRPr="00097A86">
              <w:rPr>
                <w:iCs/>
              </w:rPr>
              <w:t>waste by</w:t>
            </w:r>
            <w:r w:rsidR="00097A86">
              <w:rPr>
                <w:iCs/>
              </w:rPr>
              <w:noBreakHyphen/>
            </w:r>
            <w:r w:rsidRPr="00097A86">
              <w:rPr>
                <w:iCs/>
              </w:rPr>
              <w:t xml:space="preserve">product types </w:t>
            </w:r>
            <w:r w:rsidRPr="00097A86">
              <w:rPr>
                <w:b/>
                <w:i/>
              </w:rPr>
              <w:t xml:space="preserve">(r) </w:t>
            </w:r>
            <w:r w:rsidRPr="00097A86">
              <w:t>leaving the activity,</w:t>
            </w:r>
            <w:r w:rsidRPr="00097A86">
              <w:rPr>
                <w:iCs/>
              </w:rPr>
              <w:t xml:space="preserve"> other than as an emission of greenhouse gas, during the year, </w:t>
            </w:r>
            <w:r w:rsidRPr="00097A86">
              <w:t xml:space="preserve">measured in tonnes of carbon, </w:t>
            </w:r>
            <w:r w:rsidRPr="00097A86">
              <w:rPr>
                <w:iCs/>
              </w:rPr>
              <w:t>as follows:</w:t>
            </w:r>
          </w:p>
          <w:p w14:paraId="6791D0A3" w14:textId="77777777" w:rsidR="009776A1" w:rsidRPr="00097A86" w:rsidRDefault="009E1F90" w:rsidP="00617697">
            <w:pPr>
              <w:pStyle w:val="Formula"/>
              <w:spacing w:before="120" w:after="120"/>
            </w:pPr>
            <w:r>
              <w:rPr>
                <w:noProof/>
                <w:position w:val="-10"/>
              </w:rPr>
              <w:drawing>
                <wp:inline distT="0" distB="0" distL="0" distR="0" wp14:anchorId="3DF5C26E" wp14:editId="1830B880">
                  <wp:extent cx="952500" cy="219075"/>
                  <wp:effectExtent l="0" t="0" r="0" b="9525"/>
                  <wp:docPr id="8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tc>
      </w:tr>
      <w:tr w:rsidR="009776A1" w:rsidRPr="00097A86" w14:paraId="20B64C06" w14:textId="77777777" w:rsidTr="00C20CC2">
        <w:trPr>
          <w:cantSplit/>
        </w:trPr>
        <w:tc>
          <w:tcPr>
            <w:tcW w:w="565" w:type="pct"/>
            <w:vMerge/>
            <w:hideMark/>
          </w:tcPr>
          <w:p w14:paraId="2D4BEAEA" w14:textId="77777777" w:rsidR="009776A1" w:rsidRPr="00097A86" w:rsidRDefault="009776A1" w:rsidP="00617697">
            <w:pPr>
              <w:spacing w:before="60" w:after="60"/>
            </w:pPr>
          </w:p>
        </w:tc>
        <w:tc>
          <w:tcPr>
            <w:tcW w:w="4435" w:type="pct"/>
            <w:hideMark/>
          </w:tcPr>
          <w:p w14:paraId="547FF11E" w14:textId="77777777" w:rsidR="009776A1" w:rsidRPr="00097A86" w:rsidRDefault="009776A1" w:rsidP="00617697">
            <w:pPr>
              <w:pStyle w:val="TableText0"/>
            </w:pPr>
            <w:r w:rsidRPr="00097A86">
              <w:t>where:</w:t>
            </w:r>
          </w:p>
          <w:p w14:paraId="4B51EB22" w14:textId="77777777" w:rsidR="009776A1" w:rsidRPr="00097A86" w:rsidRDefault="009776A1" w:rsidP="00617697">
            <w:pPr>
              <w:pStyle w:val="TableText0"/>
              <w:spacing w:line="240" w:lineRule="auto"/>
            </w:pPr>
            <w:r w:rsidRPr="00097A86">
              <w:rPr>
                <w:rFonts w:ascii="Symbol" w:hAnsi="Symbol"/>
                <w:b/>
                <w:i/>
              </w:rPr>
              <w:t></w:t>
            </w:r>
            <w:r w:rsidRPr="00097A86">
              <w:rPr>
                <w:b/>
                <w:i/>
                <w:vertAlign w:val="subscript"/>
              </w:rPr>
              <w:t>r</w:t>
            </w:r>
            <w:r w:rsidRPr="00097A86">
              <w:rPr>
                <w:i/>
              </w:rPr>
              <w:t xml:space="preserve"> </w:t>
            </w:r>
            <w:r w:rsidRPr="00097A86">
              <w:t>means the sum of the carbon content values obtained for all waste by</w:t>
            </w:r>
            <w:r w:rsidR="00097A86">
              <w:noBreakHyphen/>
            </w:r>
            <w:r w:rsidRPr="00097A86">
              <w:t>product types (</w:t>
            </w:r>
            <w:r w:rsidRPr="00097A86">
              <w:rPr>
                <w:b/>
                <w:i/>
              </w:rPr>
              <w:t>r</w:t>
            </w:r>
            <w:r w:rsidRPr="00097A86">
              <w:t>).</w:t>
            </w:r>
          </w:p>
        </w:tc>
      </w:tr>
      <w:tr w:rsidR="009776A1" w:rsidRPr="00097A86" w14:paraId="3D1D4251" w14:textId="77777777" w:rsidTr="00C20CC2">
        <w:trPr>
          <w:cantSplit/>
        </w:trPr>
        <w:tc>
          <w:tcPr>
            <w:tcW w:w="565" w:type="pct"/>
            <w:vMerge/>
            <w:vAlign w:val="center"/>
            <w:hideMark/>
          </w:tcPr>
          <w:p w14:paraId="0C8F3F66" w14:textId="77777777" w:rsidR="009776A1" w:rsidRPr="00097A86" w:rsidRDefault="009776A1" w:rsidP="00617697"/>
        </w:tc>
        <w:tc>
          <w:tcPr>
            <w:tcW w:w="4435" w:type="pct"/>
            <w:hideMark/>
          </w:tcPr>
          <w:p w14:paraId="6E7FEEE3" w14:textId="77777777" w:rsidR="009776A1" w:rsidRPr="00097A86" w:rsidRDefault="009776A1" w:rsidP="00617697">
            <w:pPr>
              <w:pStyle w:val="TableText0"/>
              <w:rPr>
                <w:iCs/>
              </w:rPr>
            </w:pPr>
            <w:r w:rsidRPr="00097A86">
              <w:rPr>
                <w:b/>
                <w:i/>
                <w:iCs/>
              </w:rPr>
              <w:t>CCF</w:t>
            </w:r>
            <w:r w:rsidRPr="00097A86">
              <w:rPr>
                <w:b/>
                <w:i/>
                <w:iCs/>
                <w:vertAlign w:val="subscript"/>
              </w:rPr>
              <w:t>r</w:t>
            </w:r>
            <w:r w:rsidRPr="00097A86">
              <w:rPr>
                <w:iCs/>
              </w:rPr>
              <w:t xml:space="preserve"> is the carbon content factor, measured in tonnes of carbon, for each tonne of waste by</w:t>
            </w:r>
            <w:r w:rsidR="00097A86">
              <w:rPr>
                <w:iCs/>
              </w:rPr>
              <w:noBreakHyphen/>
            </w:r>
            <w:r w:rsidRPr="00097A86">
              <w:rPr>
                <w:iCs/>
              </w:rPr>
              <w:t>product types</w:t>
            </w:r>
            <w:r w:rsidRPr="00097A86">
              <w:rPr>
                <w:b/>
                <w:i/>
                <w:iCs/>
              </w:rPr>
              <w:t xml:space="preserve"> </w:t>
            </w:r>
            <w:r w:rsidRPr="00097A86">
              <w:rPr>
                <w:iCs/>
              </w:rPr>
              <w:t>(</w:t>
            </w:r>
            <w:r w:rsidRPr="00097A86">
              <w:rPr>
                <w:b/>
                <w:i/>
                <w:iCs/>
              </w:rPr>
              <w:t>r</w:t>
            </w:r>
            <w:r w:rsidRPr="00097A86">
              <w:rPr>
                <w:iCs/>
              </w:rPr>
              <w:t>).</w:t>
            </w:r>
          </w:p>
          <w:p w14:paraId="3CFC7B91" w14:textId="77777777" w:rsidR="009776A1" w:rsidRPr="00097A86" w:rsidRDefault="009776A1" w:rsidP="00617697">
            <w:pPr>
              <w:pStyle w:val="TableText0"/>
            </w:pPr>
            <w:r w:rsidRPr="00097A86">
              <w:rPr>
                <w:b/>
                <w:i/>
              </w:rPr>
              <w:t>Y</w:t>
            </w:r>
            <w:r w:rsidRPr="00097A86">
              <w:rPr>
                <w:b/>
                <w:i/>
                <w:vertAlign w:val="subscript"/>
              </w:rPr>
              <w:t>r</w:t>
            </w:r>
            <w:r w:rsidRPr="00097A86">
              <w:rPr>
                <w:i/>
              </w:rPr>
              <w:t xml:space="preserve"> </w:t>
            </w:r>
            <w:r w:rsidRPr="00097A86">
              <w:t>is the quantity of waste by</w:t>
            </w:r>
            <w:r w:rsidR="00097A86">
              <w:noBreakHyphen/>
            </w:r>
            <w:r w:rsidRPr="00097A86">
              <w:t>product types (</w:t>
            </w:r>
            <w:r w:rsidRPr="00097A86">
              <w:rPr>
                <w:b/>
                <w:i/>
              </w:rPr>
              <w:t>r</w:t>
            </w:r>
            <w:r w:rsidRPr="00097A86">
              <w:t>) leaving the activity during the year, measured in tonnes.</w:t>
            </w:r>
          </w:p>
        </w:tc>
      </w:tr>
      <w:tr w:rsidR="009776A1" w:rsidRPr="00097A86" w14:paraId="73D5138F" w14:textId="77777777" w:rsidTr="00C20CC2">
        <w:trPr>
          <w:cantSplit/>
        </w:trPr>
        <w:tc>
          <w:tcPr>
            <w:tcW w:w="565" w:type="pct"/>
            <w:hideMark/>
          </w:tcPr>
          <w:p w14:paraId="2685F2B2" w14:textId="77777777" w:rsidR="009776A1" w:rsidRPr="00097A86" w:rsidRDefault="009776A1" w:rsidP="00617697">
            <w:pPr>
              <w:spacing w:before="60" w:after="60"/>
            </w:pPr>
            <w:r w:rsidRPr="00097A86">
              <w:t>Step 4</w:t>
            </w:r>
          </w:p>
        </w:tc>
        <w:tc>
          <w:tcPr>
            <w:tcW w:w="4435" w:type="pct"/>
            <w:hideMark/>
          </w:tcPr>
          <w:p w14:paraId="7BBC6543" w14:textId="77777777" w:rsidR="009776A1" w:rsidRPr="00097A86" w:rsidRDefault="009776A1" w:rsidP="00617697">
            <w:pPr>
              <w:pStyle w:val="TableText0"/>
              <w:keepNext/>
              <w:rPr>
                <w:iCs/>
              </w:rPr>
            </w:pPr>
            <w:r w:rsidRPr="00097A86">
              <w:t xml:space="preserve">Work out the carbon content in the amount of the change in </w:t>
            </w:r>
            <w:r w:rsidRPr="00097A86">
              <w:rPr>
                <w:iCs/>
              </w:rPr>
              <w:t>stocks of inputs, products and waste by</w:t>
            </w:r>
            <w:r w:rsidR="00097A86">
              <w:rPr>
                <w:iCs/>
              </w:rPr>
              <w:noBreakHyphen/>
            </w:r>
            <w:r w:rsidRPr="00097A86">
              <w:rPr>
                <w:iCs/>
              </w:rPr>
              <w:t>products held within the boundary of the activity during the year, measured in tonnes of carbon, as follows:</w:t>
            </w:r>
          </w:p>
          <w:p w14:paraId="0585A9F0" w14:textId="77777777" w:rsidR="009776A1" w:rsidRPr="00097A86" w:rsidRDefault="009E1F90" w:rsidP="00B96225">
            <w:pPr>
              <w:pStyle w:val="Formula"/>
              <w:spacing w:before="120" w:after="120"/>
              <w:ind w:left="580"/>
            </w:pPr>
            <w:r>
              <w:rPr>
                <w:noProof/>
                <w:position w:val="-14"/>
              </w:rPr>
              <w:drawing>
                <wp:inline distT="0" distB="0" distL="0" distR="0" wp14:anchorId="2022C55E" wp14:editId="70FA69D5">
                  <wp:extent cx="3724275" cy="2381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724275" cy="238125"/>
                          </a:xfrm>
                          <a:prstGeom prst="rect">
                            <a:avLst/>
                          </a:prstGeom>
                          <a:noFill/>
                          <a:ln>
                            <a:noFill/>
                          </a:ln>
                        </pic:spPr>
                      </pic:pic>
                    </a:graphicData>
                  </a:graphic>
                </wp:inline>
              </w:drawing>
            </w:r>
          </w:p>
        </w:tc>
      </w:tr>
      <w:tr w:rsidR="009776A1" w:rsidRPr="00097A86" w14:paraId="1DB33A67" w14:textId="77777777" w:rsidTr="00C20CC2">
        <w:trPr>
          <w:cantSplit/>
        </w:trPr>
        <w:tc>
          <w:tcPr>
            <w:tcW w:w="565" w:type="pct"/>
            <w:vAlign w:val="center"/>
            <w:hideMark/>
          </w:tcPr>
          <w:p w14:paraId="505C37B4" w14:textId="77777777" w:rsidR="009776A1" w:rsidRPr="00097A86" w:rsidRDefault="009776A1" w:rsidP="00617697">
            <w:pPr>
              <w:spacing w:before="60" w:after="60"/>
            </w:pPr>
          </w:p>
        </w:tc>
        <w:tc>
          <w:tcPr>
            <w:tcW w:w="4435" w:type="pct"/>
            <w:hideMark/>
          </w:tcPr>
          <w:p w14:paraId="7CD1DDD0" w14:textId="77777777" w:rsidR="009776A1" w:rsidRPr="00097A86" w:rsidRDefault="009776A1" w:rsidP="00617697">
            <w:pPr>
              <w:pStyle w:val="TableText0"/>
            </w:pPr>
            <w:r w:rsidRPr="00097A86">
              <w:t>where:</w:t>
            </w:r>
          </w:p>
          <w:p w14:paraId="1A376435" w14:textId="77777777" w:rsidR="009776A1" w:rsidRPr="00097A86" w:rsidRDefault="009776A1"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5A0C119B" w14:textId="77777777" w:rsidR="009776A1" w:rsidRPr="00097A86" w:rsidRDefault="009776A1" w:rsidP="00617697">
            <w:pPr>
              <w:pStyle w:val="TableText0"/>
            </w:pPr>
            <w:r w:rsidRPr="00097A86">
              <w:rPr>
                <w:b/>
                <w:i/>
              </w:rPr>
              <w:t>CCF</w:t>
            </w:r>
            <w:r w:rsidRPr="00097A86">
              <w:rPr>
                <w:b/>
                <w:i/>
                <w:vertAlign w:val="subscript"/>
              </w:rPr>
              <w:t>i</w:t>
            </w:r>
            <w:r w:rsidRPr="00097A86">
              <w:rPr>
                <w:i/>
              </w:rPr>
              <w:t xml:space="preserve"> </w:t>
            </w:r>
            <w:r w:rsidRPr="00097A86">
              <w:t>has the same meaning as in step 1.</w:t>
            </w:r>
          </w:p>
          <w:p w14:paraId="1C0C44AC"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05C7F643" w14:textId="77777777" w:rsidTr="00C20CC2">
        <w:trPr>
          <w:cantSplit/>
        </w:trPr>
        <w:tc>
          <w:tcPr>
            <w:tcW w:w="565" w:type="pct"/>
            <w:vMerge w:val="restart"/>
            <w:hideMark/>
          </w:tcPr>
          <w:p w14:paraId="7FD43291" w14:textId="77777777" w:rsidR="009776A1" w:rsidRPr="00097A86" w:rsidRDefault="009776A1" w:rsidP="00617697">
            <w:pPr>
              <w:keepNext/>
              <w:spacing w:before="60" w:after="60"/>
            </w:pPr>
          </w:p>
        </w:tc>
        <w:tc>
          <w:tcPr>
            <w:tcW w:w="4435" w:type="pct"/>
            <w:hideMark/>
          </w:tcPr>
          <w:p w14:paraId="0AA4EAE0" w14:textId="77777777" w:rsidR="009776A1" w:rsidRPr="00097A86" w:rsidRDefault="009776A1" w:rsidP="00617697">
            <w:pPr>
              <w:pStyle w:val="TableText0"/>
              <w:spacing w:line="240" w:lineRule="auto"/>
              <w:rPr>
                <w:b/>
                <w:i/>
              </w:rPr>
            </w:pPr>
            <w:r w:rsidRPr="00097A86">
              <w:rPr>
                <w:rFonts w:ascii="Symbol" w:hAnsi="Symbol"/>
                <w:b/>
                <w:i/>
              </w:rPr>
              <w:t></w:t>
            </w:r>
            <w:r w:rsidRPr="00097A86">
              <w:rPr>
                <w:b/>
                <w:i/>
                <w:vertAlign w:val="subscript"/>
              </w:rPr>
              <w:t>p</w:t>
            </w:r>
            <w:r w:rsidRPr="00097A86">
              <w:rPr>
                <w:i/>
              </w:rPr>
              <w:t xml:space="preserve"> </w:t>
            </w:r>
            <w:r w:rsidRPr="00097A86">
              <w:t xml:space="preserve">has the same </w:t>
            </w:r>
            <w:r w:rsidRPr="00097A86">
              <w:rPr>
                <w:szCs w:val="22"/>
              </w:rPr>
              <w:t>meaning</w:t>
            </w:r>
            <w:r w:rsidRPr="00097A86">
              <w:t xml:space="preserve"> as in step 2.</w:t>
            </w:r>
          </w:p>
          <w:p w14:paraId="73D35323" w14:textId="77777777" w:rsidR="009776A1" w:rsidRPr="00097A86" w:rsidRDefault="009776A1" w:rsidP="00617697">
            <w:pPr>
              <w:pStyle w:val="TableText0"/>
              <w:spacing w:line="240" w:lineRule="auto"/>
              <w:rPr>
                <w:b/>
                <w:i/>
                <w:iCs/>
              </w:rPr>
            </w:pPr>
            <w:r w:rsidRPr="00097A86">
              <w:rPr>
                <w:b/>
                <w:i/>
              </w:rPr>
              <w:t>CCF</w:t>
            </w:r>
            <w:r w:rsidRPr="00097A86">
              <w:rPr>
                <w:b/>
                <w:i/>
                <w:vertAlign w:val="subscript"/>
              </w:rPr>
              <w:t>p</w:t>
            </w:r>
            <w:r w:rsidRPr="00097A86">
              <w:rPr>
                <w:i/>
              </w:rPr>
              <w:t xml:space="preserve"> </w:t>
            </w:r>
            <w:r w:rsidRPr="00097A86">
              <w:t>has the same meaning as in step 2.</w:t>
            </w:r>
          </w:p>
          <w:p w14:paraId="0D2955A9" w14:textId="77777777" w:rsidR="009776A1" w:rsidRPr="00097A86" w:rsidRDefault="009776A1" w:rsidP="00617697">
            <w:pPr>
              <w:pStyle w:val="TableText0"/>
              <w:spacing w:line="240" w:lineRule="auto"/>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change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0AF9907E" w14:textId="77777777" w:rsidTr="00C20CC2">
        <w:trPr>
          <w:cantSplit/>
        </w:trPr>
        <w:tc>
          <w:tcPr>
            <w:tcW w:w="565" w:type="pct"/>
            <w:vMerge/>
            <w:vAlign w:val="center"/>
            <w:hideMark/>
          </w:tcPr>
          <w:p w14:paraId="633F0EDA" w14:textId="77777777" w:rsidR="009776A1" w:rsidRPr="00097A86" w:rsidRDefault="009776A1" w:rsidP="00617697"/>
        </w:tc>
        <w:tc>
          <w:tcPr>
            <w:tcW w:w="4435" w:type="pct"/>
            <w:hideMark/>
          </w:tcPr>
          <w:p w14:paraId="0529A8FA" w14:textId="77777777" w:rsidR="009776A1" w:rsidRPr="00097A86" w:rsidRDefault="009776A1" w:rsidP="00617697">
            <w:pPr>
              <w:pStyle w:val="TableText0"/>
              <w:spacing w:line="240" w:lineRule="auto"/>
              <w:rPr>
                <w:b/>
                <w:i/>
              </w:rPr>
            </w:pPr>
            <w:r w:rsidRPr="00097A86">
              <w:rPr>
                <w:rFonts w:ascii="Symbol" w:hAnsi="Symbol"/>
                <w:b/>
                <w:i/>
              </w:rPr>
              <w:t></w:t>
            </w:r>
            <w:r w:rsidRPr="00097A86">
              <w:rPr>
                <w:b/>
                <w:i/>
                <w:vertAlign w:val="subscript"/>
              </w:rPr>
              <w:t>r</w:t>
            </w:r>
            <w:r w:rsidRPr="00097A86">
              <w:rPr>
                <w:i/>
              </w:rPr>
              <w:t xml:space="preserve"> </w:t>
            </w:r>
            <w:r w:rsidRPr="00097A86">
              <w:t>has the same meaning as in step 3.</w:t>
            </w:r>
          </w:p>
          <w:p w14:paraId="2A4421E3" w14:textId="77777777" w:rsidR="009776A1" w:rsidRPr="00097A86" w:rsidRDefault="009776A1" w:rsidP="00617697">
            <w:pPr>
              <w:pStyle w:val="TableText0"/>
              <w:spacing w:line="240" w:lineRule="auto"/>
              <w:rPr>
                <w:b/>
                <w:i/>
                <w:iCs/>
              </w:rPr>
            </w:pPr>
            <w:r w:rsidRPr="00097A86">
              <w:rPr>
                <w:b/>
                <w:i/>
              </w:rPr>
              <w:t>CCF</w:t>
            </w:r>
            <w:r w:rsidRPr="00097A86">
              <w:rPr>
                <w:b/>
                <w:i/>
                <w:vertAlign w:val="subscript"/>
              </w:rPr>
              <w:t>r</w:t>
            </w:r>
            <w:r w:rsidRPr="00097A86">
              <w:rPr>
                <w:i/>
              </w:rPr>
              <w:t xml:space="preserve"> </w:t>
            </w:r>
            <w:r w:rsidRPr="00097A86">
              <w:t xml:space="preserve">has the </w:t>
            </w:r>
            <w:r w:rsidRPr="00097A86">
              <w:rPr>
                <w:szCs w:val="22"/>
              </w:rPr>
              <w:t>same</w:t>
            </w:r>
            <w:r w:rsidRPr="00097A86">
              <w:t xml:space="preserve"> meaning as in step 3.</w:t>
            </w:r>
          </w:p>
          <w:p w14:paraId="12D4DB9B" w14:textId="77777777" w:rsidR="009776A1" w:rsidRPr="00097A86" w:rsidRDefault="009776A1" w:rsidP="00617697">
            <w:pPr>
              <w:pStyle w:val="TableText0"/>
              <w:spacing w:line="240" w:lineRule="auto"/>
            </w:pPr>
            <w:r w:rsidRPr="00097A86">
              <w:rPr>
                <w:b/>
                <w:i/>
                <w:iCs/>
              </w:rPr>
              <w:t>ΔS</w:t>
            </w:r>
            <w:r w:rsidRPr="00097A86">
              <w:rPr>
                <w:b/>
                <w:i/>
                <w:iCs/>
                <w:szCs w:val="18"/>
                <w:vertAlign w:val="subscript"/>
              </w:rPr>
              <w:t>y</w:t>
            </w:r>
            <w:r w:rsidRPr="00097A86">
              <w:rPr>
                <w:b/>
                <w:i/>
                <w:iCs/>
                <w:vertAlign w:val="subscript"/>
              </w:rPr>
              <w:t>r</w:t>
            </w:r>
            <w:r w:rsidRPr="00097A86">
              <w:rPr>
                <w:iCs/>
              </w:rPr>
              <w:t xml:space="preserve"> is the </w:t>
            </w:r>
            <w:r w:rsidRPr="00097A86">
              <w:rPr>
                <w:szCs w:val="22"/>
              </w:rPr>
              <w:t>change</w:t>
            </w:r>
            <w:r w:rsidRPr="00097A86">
              <w:rPr>
                <w:iCs/>
              </w:rPr>
              <w:t xml:space="preserve"> in stocks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54985A63" w14:textId="77777777" w:rsidTr="00C20CC2">
        <w:trPr>
          <w:cantSplit/>
        </w:trPr>
        <w:tc>
          <w:tcPr>
            <w:tcW w:w="565" w:type="pct"/>
          </w:tcPr>
          <w:p w14:paraId="2328FAAE" w14:textId="77777777" w:rsidR="009776A1" w:rsidRPr="00097A86" w:rsidRDefault="009776A1" w:rsidP="00617697">
            <w:pPr>
              <w:spacing w:before="60" w:after="60"/>
            </w:pPr>
            <w:r w:rsidRPr="00097A86">
              <w:t>Step 5</w:t>
            </w:r>
          </w:p>
        </w:tc>
        <w:tc>
          <w:tcPr>
            <w:tcW w:w="4435" w:type="pct"/>
            <w:hideMark/>
          </w:tcPr>
          <w:p w14:paraId="7625B4EF" w14:textId="77777777" w:rsidR="009776A1" w:rsidRPr="00097A86" w:rsidRDefault="009776A1" w:rsidP="00617697">
            <w:pPr>
              <w:pStyle w:val="TableText0"/>
            </w:pPr>
            <w:r w:rsidRPr="00097A86">
              <w:t xml:space="preserve">Work out the emissions of carbon dioxide released from the operation of the activity during the year, measured in </w:t>
            </w:r>
            <w:r w:rsidRPr="00097A86">
              <w:rPr>
                <w:szCs w:val="22"/>
              </w:rPr>
              <w:t>CO</w:t>
            </w:r>
            <w:r w:rsidRPr="00097A86">
              <w:rPr>
                <w:szCs w:val="22"/>
                <w:vertAlign w:val="subscript"/>
              </w:rPr>
              <w:t>2</w:t>
            </w:r>
            <w:r w:rsidR="00097A86">
              <w:rPr>
                <w:szCs w:val="22"/>
              </w:rPr>
              <w:noBreakHyphen/>
            </w:r>
            <w:r w:rsidRPr="00097A86">
              <w:rPr>
                <w:szCs w:val="22"/>
              </w:rPr>
              <w:t>e</w:t>
            </w:r>
            <w:r w:rsidRPr="00097A86">
              <w:t xml:space="preserve"> tonnes, as follows:</w:t>
            </w:r>
          </w:p>
          <w:p w14:paraId="1F9B18DB" w14:textId="77777777" w:rsidR="009776A1" w:rsidRPr="00097A86" w:rsidRDefault="009776A1" w:rsidP="00617697">
            <w:pPr>
              <w:pStyle w:val="TableP1a"/>
            </w:pPr>
            <w:r w:rsidRPr="00097A86">
              <w:tab/>
              <w:t>(a)</w:t>
            </w:r>
            <w:r w:rsidRPr="00097A86">
              <w:tab/>
              <w:t>add the amounts worked out under steps 2, 3 and 4 to work out a new amount (</w:t>
            </w:r>
            <w:r w:rsidRPr="00097A86">
              <w:rPr>
                <w:b/>
                <w:i/>
              </w:rPr>
              <w:t>amount A</w:t>
            </w:r>
            <w:r w:rsidRPr="00097A86">
              <w:t>);</w:t>
            </w:r>
          </w:p>
          <w:p w14:paraId="1C154FEB" w14:textId="77777777" w:rsidR="009776A1" w:rsidRPr="00097A86" w:rsidRDefault="009776A1" w:rsidP="00617697">
            <w:pPr>
              <w:pStyle w:val="TableP1a"/>
            </w:pPr>
            <w:r w:rsidRPr="00097A86">
              <w:tab/>
              <w:t>(b)</w:t>
            </w:r>
            <w:r w:rsidRPr="00097A86">
              <w:tab/>
              <w:t>subtract amount A from the amount worked out under step 1 to work out a new amount (</w:t>
            </w:r>
            <w:r w:rsidRPr="00097A86">
              <w:rPr>
                <w:b/>
                <w:i/>
              </w:rPr>
              <w:t>amount B</w:t>
            </w:r>
            <w:r w:rsidRPr="00097A86">
              <w:t>);</w:t>
            </w:r>
          </w:p>
          <w:p w14:paraId="78A7B359" w14:textId="77777777" w:rsidR="009776A1" w:rsidRPr="00097A86" w:rsidRDefault="009776A1" w:rsidP="00617697">
            <w:pPr>
              <w:pStyle w:val="TableP1a"/>
            </w:pPr>
            <w:r w:rsidRPr="00097A86">
              <w:tab/>
              <w:t>(c)</w:t>
            </w:r>
            <w:r w:rsidRPr="00097A86">
              <w:tab/>
              <w:t>multiply amount B by 3.664 to work out the amount of emissions released from the operation of the activity during the year.</w:t>
            </w:r>
          </w:p>
        </w:tc>
      </w:tr>
    </w:tbl>
    <w:p w14:paraId="73D067F2" w14:textId="77777777" w:rsidR="00755FAE" w:rsidRPr="00097A86" w:rsidRDefault="00755FAE" w:rsidP="00D22D3F">
      <w:pPr>
        <w:pStyle w:val="ActHead5"/>
      </w:pPr>
      <w:bookmarkStart w:id="501" w:name="_Toc13233933"/>
      <w:r w:rsidRPr="00097A86">
        <w:rPr>
          <w:rStyle w:val="CharSectno"/>
        </w:rPr>
        <w:t>4.95</w:t>
      </w:r>
      <w:r w:rsidR="00D22D3F" w:rsidRPr="00097A86">
        <w:t xml:space="preserve">  </w:t>
      </w:r>
      <w:r w:rsidRPr="00097A86">
        <w:t>Method 2</w:t>
      </w:r>
      <w:r w:rsidR="00D22D3F" w:rsidRPr="00097A86">
        <w:t>—</w:t>
      </w:r>
      <w:r w:rsidRPr="00097A86">
        <w:t>other metals</w:t>
      </w:r>
      <w:bookmarkEnd w:id="501"/>
    </w:p>
    <w:p w14:paraId="1D30A2E8" w14:textId="77777777" w:rsidR="00755FAE" w:rsidRPr="00097A86" w:rsidRDefault="00755FAE" w:rsidP="00D22D3F">
      <w:pPr>
        <w:pStyle w:val="subsection"/>
      </w:pPr>
      <w:r w:rsidRPr="00097A86">
        <w:tab/>
        <w:t>(1)</w:t>
      </w:r>
      <w:r w:rsidRPr="00097A86">
        <w:tab/>
        <w:t>Subject to this section, method 2 is the same as method 1 under section</w:t>
      </w:r>
      <w:r w:rsidR="00097A86">
        <w:t> </w:t>
      </w:r>
      <w:r w:rsidRPr="00097A86">
        <w:t>4.94.</w:t>
      </w:r>
    </w:p>
    <w:p w14:paraId="6DE658A6" w14:textId="77777777" w:rsidR="00755FAE" w:rsidRPr="00097A86" w:rsidRDefault="00755FAE" w:rsidP="00D22D3F">
      <w:pPr>
        <w:pStyle w:val="subsection"/>
      </w:pPr>
      <w:r w:rsidRPr="00097A86">
        <w:tab/>
        <w:t>(2)</w:t>
      </w:r>
      <w:r w:rsidRPr="00097A86">
        <w:tab/>
        <w:t>In applying method 1 as method 2, step 4 in section</w:t>
      </w:r>
      <w:r w:rsidR="00097A86">
        <w:t> </w:t>
      </w:r>
      <w:r w:rsidRPr="00097A86">
        <w:t>4.94 is to be omitted and the following step 4 substituted.</w:t>
      </w:r>
    </w:p>
    <w:tbl>
      <w:tblPr>
        <w:tblW w:w="5000" w:type="pct"/>
        <w:tblLook w:val="04A0" w:firstRow="1" w:lastRow="0" w:firstColumn="1" w:lastColumn="0" w:noHBand="0" w:noVBand="1"/>
      </w:tblPr>
      <w:tblGrid>
        <w:gridCol w:w="1001"/>
        <w:gridCol w:w="7312"/>
      </w:tblGrid>
      <w:tr w:rsidR="009776A1" w:rsidRPr="00097A86" w14:paraId="0BDC55D0" w14:textId="77777777" w:rsidTr="00C20CC2">
        <w:trPr>
          <w:cantSplit/>
          <w:trHeight w:val="201"/>
        </w:trPr>
        <w:tc>
          <w:tcPr>
            <w:tcW w:w="602" w:type="pct"/>
            <w:vMerge w:val="restart"/>
            <w:hideMark/>
          </w:tcPr>
          <w:p w14:paraId="38E3C540" w14:textId="77777777" w:rsidR="009776A1" w:rsidRPr="00097A86" w:rsidRDefault="009776A1" w:rsidP="00617697">
            <w:pPr>
              <w:spacing w:before="60" w:after="60"/>
            </w:pPr>
            <w:r w:rsidRPr="00097A86">
              <w:t>Step 4</w:t>
            </w:r>
          </w:p>
        </w:tc>
        <w:tc>
          <w:tcPr>
            <w:tcW w:w="4398" w:type="pct"/>
            <w:hideMark/>
          </w:tcPr>
          <w:p w14:paraId="1513064A" w14:textId="77777777" w:rsidR="009776A1" w:rsidRPr="00097A86" w:rsidRDefault="009776A1" w:rsidP="00617697">
            <w:pPr>
              <w:pStyle w:val="TableText0"/>
              <w:rPr>
                <w:iCs/>
              </w:rPr>
            </w:pPr>
            <w:r w:rsidRPr="00097A86">
              <w:t xml:space="preserve">Work out the carbon content in the amount of the change in </w:t>
            </w:r>
            <w:r w:rsidRPr="00097A86">
              <w:rPr>
                <w:iCs/>
              </w:rPr>
              <w:t>stocks of inputs, products and waste by</w:t>
            </w:r>
            <w:r w:rsidR="00097A86">
              <w:rPr>
                <w:b/>
                <w:iCs/>
              </w:rPr>
              <w:noBreakHyphen/>
            </w:r>
            <w:r w:rsidRPr="00097A86">
              <w:rPr>
                <w:iCs/>
              </w:rPr>
              <w:t>products held within the boundary of the activity during the year, measured in tonnes of carbon, as follows:</w:t>
            </w:r>
          </w:p>
          <w:p w14:paraId="15E4F6CA" w14:textId="77777777" w:rsidR="009776A1" w:rsidRPr="00097A86" w:rsidRDefault="009E1F90" w:rsidP="00617697">
            <w:pPr>
              <w:pStyle w:val="Formula"/>
              <w:spacing w:before="120" w:after="120"/>
              <w:ind w:left="155" w:right="-213"/>
            </w:pPr>
            <w:r>
              <w:rPr>
                <w:noProof/>
                <w:position w:val="-14"/>
              </w:rPr>
              <w:drawing>
                <wp:inline distT="0" distB="0" distL="0" distR="0" wp14:anchorId="51BB038B" wp14:editId="0E83CC62">
                  <wp:extent cx="4105275" cy="219075"/>
                  <wp:effectExtent l="0" t="0" r="9525" b="9525"/>
                  <wp:docPr id="8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105275" cy="219075"/>
                          </a:xfrm>
                          <a:prstGeom prst="rect">
                            <a:avLst/>
                          </a:prstGeom>
                          <a:noFill/>
                          <a:ln>
                            <a:noFill/>
                          </a:ln>
                        </pic:spPr>
                      </pic:pic>
                    </a:graphicData>
                  </a:graphic>
                </wp:inline>
              </w:drawing>
            </w:r>
          </w:p>
        </w:tc>
      </w:tr>
      <w:tr w:rsidR="009776A1" w:rsidRPr="00097A86" w14:paraId="77C8033E" w14:textId="77777777" w:rsidTr="00C20CC2">
        <w:trPr>
          <w:cantSplit/>
          <w:trHeight w:val="74"/>
        </w:trPr>
        <w:tc>
          <w:tcPr>
            <w:tcW w:w="602" w:type="pct"/>
            <w:vMerge/>
            <w:hideMark/>
          </w:tcPr>
          <w:p w14:paraId="1ED4C968" w14:textId="77777777" w:rsidR="009776A1" w:rsidRPr="00097A86" w:rsidRDefault="009776A1" w:rsidP="00617697">
            <w:pPr>
              <w:spacing w:before="60" w:after="60"/>
              <w:rPr>
                <w:i/>
              </w:rPr>
            </w:pPr>
          </w:p>
        </w:tc>
        <w:tc>
          <w:tcPr>
            <w:tcW w:w="4398" w:type="pct"/>
            <w:hideMark/>
          </w:tcPr>
          <w:p w14:paraId="643F6123" w14:textId="77777777" w:rsidR="009776A1" w:rsidRPr="00097A86" w:rsidRDefault="009776A1" w:rsidP="00617697">
            <w:pPr>
              <w:pStyle w:val="TableText0"/>
            </w:pPr>
            <w:r w:rsidRPr="00097A86">
              <w:t>where:</w:t>
            </w:r>
          </w:p>
          <w:p w14:paraId="6E7E6B0E" w14:textId="77777777" w:rsidR="009776A1" w:rsidRPr="00097A86" w:rsidRDefault="009776A1" w:rsidP="00617697">
            <w:pPr>
              <w:pStyle w:val="TableText0"/>
              <w:rPr>
                <w:b/>
                <w:i/>
              </w:rPr>
            </w:pPr>
            <w:r w:rsidRPr="00097A86">
              <w:rPr>
                <w:rFonts w:ascii="Symbol" w:hAnsi="Symbol"/>
                <w:b/>
                <w:i/>
              </w:rPr>
              <w:t></w:t>
            </w:r>
            <w:r w:rsidRPr="00097A86">
              <w:rPr>
                <w:b/>
                <w:i/>
                <w:vertAlign w:val="subscript"/>
              </w:rPr>
              <w:t>i</w:t>
            </w:r>
            <w:r w:rsidRPr="00097A86">
              <w:rPr>
                <w:i/>
              </w:rPr>
              <w:t xml:space="preserve"> </w:t>
            </w:r>
            <w:r w:rsidRPr="00097A86">
              <w:t>has the same meaning as in step 1.</w:t>
            </w:r>
          </w:p>
          <w:p w14:paraId="02DDF525" w14:textId="77777777" w:rsidR="009776A1" w:rsidRPr="00097A86" w:rsidRDefault="009776A1" w:rsidP="00617697">
            <w:pPr>
              <w:pStyle w:val="TableText0"/>
              <w:rPr>
                <w:iCs/>
              </w:rPr>
            </w:pPr>
            <w:r w:rsidRPr="00097A86">
              <w:rPr>
                <w:b/>
                <w:i/>
              </w:rPr>
              <w:t>CCF</w:t>
            </w:r>
            <w:r w:rsidRPr="00097A86">
              <w:rPr>
                <w:b/>
                <w:i/>
                <w:vertAlign w:val="subscript"/>
              </w:rPr>
              <w:t>i</w:t>
            </w:r>
            <w:r w:rsidRPr="00097A86">
              <w:rPr>
                <w:i/>
              </w:rPr>
              <w:t xml:space="preserve"> </w:t>
            </w:r>
            <w:r w:rsidRPr="00097A86">
              <w:t>has the same meaning as in step 1.</w:t>
            </w:r>
          </w:p>
          <w:p w14:paraId="18124610"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q</w:t>
            </w:r>
            <w:r w:rsidRPr="00097A86">
              <w:rPr>
                <w:b/>
                <w:i/>
                <w:iCs/>
                <w:vertAlign w:val="subscript"/>
              </w:rPr>
              <w:t>i</w:t>
            </w:r>
            <w:r w:rsidRPr="00097A86">
              <w:rPr>
                <w:iCs/>
              </w:rPr>
              <w:t xml:space="preserve"> is the change in stocks of fuel type (</w:t>
            </w:r>
            <w:r w:rsidRPr="00097A86">
              <w:rPr>
                <w:b/>
                <w:i/>
                <w:iCs/>
              </w:rPr>
              <w:t>i</w:t>
            </w:r>
            <w:r w:rsidRPr="00097A86">
              <w:rPr>
                <w:iCs/>
              </w:rPr>
              <w:t xml:space="preserve">) for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p w14:paraId="1016A172" w14:textId="77777777" w:rsidR="009776A1" w:rsidRPr="00097A86" w:rsidRDefault="009776A1" w:rsidP="00617697">
            <w:pPr>
              <w:pStyle w:val="TableText0"/>
              <w:rPr>
                <w:b/>
                <w:i/>
              </w:rPr>
            </w:pPr>
            <w:r w:rsidRPr="00097A86">
              <w:rPr>
                <w:rFonts w:ascii="Symbol" w:hAnsi="Symbol"/>
                <w:b/>
                <w:i/>
              </w:rPr>
              <w:t></w:t>
            </w:r>
            <w:r w:rsidRPr="00097A86">
              <w:rPr>
                <w:b/>
                <w:i/>
                <w:vertAlign w:val="subscript"/>
              </w:rPr>
              <w:t>p</w:t>
            </w:r>
            <w:r w:rsidRPr="00097A86">
              <w:rPr>
                <w:i/>
              </w:rPr>
              <w:t xml:space="preserve"> </w:t>
            </w:r>
            <w:r w:rsidRPr="00097A86">
              <w:t>has the same meaning as in step 2.</w:t>
            </w:r>
          </w:p>
          <w:p w14:paraId="4F3C3D6C" w14:textId="77777777" w:rsidR="009776A1" w:rsidRPr="00097A86" w:rsidRDefault="009776A1" w:rsidP="00617697">
            <w:pPr>
              <w:pStyle w:val="TableText0"/>
              <w:spacing w:line="240" w:lineRule="auto"/>
            </w:pPr>
            <w:r w:rsidRPr="00097A86">
              <w:rPr>
                <w:b/>
                <w:i/>
              </w:rPr>
              <w:t>CCF</w:t>
            </w:r>
            <w:r w:rsidRPr="00097A86">
              <w:rPr>
                <w:b/>
                <w:i/>
                <w:vertAlign w:val="subscript"/>
              </w:rPr>
              <w:t>p</w:t>
            </w:r>
            <w:r w:rsidRPr="00097A86">
              <w:rPr>
                <w:i/>
              </w:rPr>
              <w:t xml:space="preserve"> </w:t>
            </w:r>
            <w:r w:rsidRPr="00097A86">
              <w:t>has the same meaning as in step 2.</w:t>
            </w:r>
          </w:p>
          <w:p w14:paraId="550D3C1D" w14:textId="77777777" w:rsidR="009776A1" w:rsidRPr="00097A86" w:rsidRDefault="009776A1" w:rsidP="00617697">
            <w:pPr>
              <w:pStyle w:val="TableText0"/>
              <w:spacing w:line="240" w:lineRule="auto"/>
              <w:rPr>
                <w:iCs/>
              </w:rPr>
            </w:pPr>
            <w:r w:rsidRPr="00097A86">
              <w:rPr>
                <w:b/>
                <w:i/>
                <w:iCs/>
              </w:rPr>
              <w:t>ΔS</w:t>
            </w:r>
            <w:r w:rsidRPr="00097A86">
              <w:rPr>
                <w:b/>
                <w:i/>
                <w:iCs/>
                <w:szCs w:val="18"/>
                <w:vertAlign w:val="subscript"/>
              </w:rPr>
              <w:t>a</w:t>
            </w:r>
            <w:r w:rsidRPr="00097A86">
              <w:rPr>
                <w:b/>
                <w:i/>
                <w:iCs/>
                <w:vertAlign w:val="subscript"/>
              </w:rPr>
              <w:t>p</w:t>
            </w:r>
            <w:r w:rsidRPr="00097A86">
              <w:rPr>
                <w:iCs/>
                <w:szCs w:val="18"/>
              </w:rPr>
              <w:t xml:space="preserve"> is the </w:t>
            </w:r>
            <w:r w:rsidRPr="00097A86">
              <w:rPr>
                <w:szCs w:val="22"/>
              </w:rPr>
              <w:t>change</w:t>
            </w:r>
            <w:r w:rsidRPr="00097A86">
              <w:rPr>
                <w:iCs/>
                <w:szCs w:val="18"/>
              </w:rPr>
              <w:t xml:space="preserve"> in stocks of </w:t>
            </w:r>
            <w:r w:rsidRPr="00097A86">
              <w:rPr>
                <w:iCs/>
              </w:rPr>
              <w:t>product types (</w:t>
            </w:r>
            <w:r w:rsidRPr="00097A86">
              <w:rPr>
                <w:b/>
                <w:i/>
                <w:iCs/>
              </w:rPr>
              <w:t>p)</w:t>
            </w:r>
            <w:r w:rsidRPr="00097A86">
              <w:rPr>
                <w:iCs/>
              </w:rPr>
              <w:t xml:space="preserve"> produced by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9776A1" w:rsidRPr="00097A86" w14:paraId="6B537086" w14:textId="77777777" w:rsidTr="00C20CC2">
        <w:trPr>
          <w:cantSplit/>
        </w:trPr>
        <w:tc>
          <w:tcPr>
            <w:tcW w:w="602" w:type="pct"/>
            <w:vMerge/>
            <w:vAlign w:val="center"/>
            <w:hideMark/>
          </w:tcPr>
          <w:p w14:paraId="4F315224" w14:textId="77777777" w:rsidR="009776A1" w:rsidRPr="00097A86" w:rsidRDefault="009776A1" w:rsidP="00617697">
            <w:pPr>
              <w:rPr>
                <w:i/>
              </w:rPr>
            </w:pPr>
          </w:p>
        </w:tc>
        <w:tc>
          <w:tcPr>
            <w:tcW w:w="4398" w:type="pct"/>
            <w:hideMark/>
          </w:tcPr>
          <w:p w14:paraId="32290938" w14:textId="77777777" w:rsidR="009776A1" w:rsidRPr="00097A86" w:rsidRDefault="009776A1" w:rsidP="00617697">
            <w:pPr>
              <w:pStyle w:val="TableText0"/>
            </w:pPr>
            <w:r w:rsidRPr="00097A86">
              <w:rPr>
                <w:rFonts w:ascii="Symbol" w:hAnsi="Symbol"/>
                <w:b/>
                <w:i/>
              </w:rPr>
              <w:t></w:t>
            </w:r>
            <w:r w:rsidRPr="00097A86">
              <w:rPr>
                <w:b/>
                <w:i/>
                <w:vertAlign w:val="subscript"/>
              </w:rPr>
              <w:t>r</w:t>
            </w:r>
            <w:r w:rsidRPr="00097A86">
              <w:rPr>
                <w:i/>
              </w:rPr>
              <w:t xml:space="preserve"> </w:t>
            </w:r>
            <w:r w:rsidRPr="00097A86">
              <w:t>has the same meaning as in step 3.</w:t>
            </w:r>
          </w:p>
        </w:tc>
      </w:tr>
      <w:tr w:rsidR="009776A1" w:rsidRPr="00097A86" w14:paraId="4BD160F9" w14:textId="77777777" w:rsidTr="00C20CC2">
        <w:trPr>
          <w:cantSplit/>
        </w:trPr>
        <w:tc>
          <w:tcPr>
            <w:tcW w:w="602" w:type="pct"/>
            <w:vAlign w:val="center"/>
            <w:hideMark/>
          </w:tcPr>
          <w:p w14:paraId="7B10B3F2" w14:textId="77777777" w:rsidR="009776A1" w:rsidRPr="00097A86" w:rsidRDefault="009776A1" w:rsidP="00617697">
            <w:pPr>
              <w:rPr>
                <w:i/>
              </w:rPr>
            </w:pPr>
          </w:p>
        </w:tc>
        <w:tc>
          <w:tcPr>
            <w:tcW w:w="4398" w:type="pct"/>
            <w:hideMark/>
          </w:tcPr>
          <w:p w14:paraId="4AD44113" w14:textId="77777777" w:rsidR="009776A1" w:rsidRPr="00097A86" w:rsidRDefault="009776A1" w:rsidP="00617697">
            <w:pPr>
              <w:pStyle w:val="TableText0"/>
              <w:rPr>
                <w:b/>
                <w:i/>
                <w:iCs/>
              </w:rPr>
            </w:pPr>
            <w:r w:rsidRPr="00097A86">
              <w:rPr>
                <w:b/>
                <w:i/>
              </w:rPr>
              <w:t>CCF</w:t>
            </w:r>
            <w:r w:rsidRPr="00097A86">
              <w:rPr>
                <w:b/>
                <w:i/>
                <w:vertAlign w:val="subscript"/>
              </w:rPr>
              <w:t>r</w:t>
            </w:r>
            <w:r w:rsidRPr="00097A86">
              <w:rPr>
                <w:i/>
              </w:rPr>
              <w:t xml:space="preserve"> </w:t>
            </w:r>
            <w:r w:rsidRPr="00097A86">
              <w:t>has the same meaning as in step 3.</w:t>
            </w:r>
          </w:p>
        </w:tc>
      </w:tr>
      <w:tr w:rsidR="009776A1" w:rsidRPr="00097A86" w14:paraId="6FBA48F2" w14:textId="77777777" w:rsidTr="00C20CC2">
        <w:trPr>
          <w:cantSplit/>
        </w:trPr>
        <w:tc>
          <w:tcPr>
            <w:tcW w:w="602" w:type="pct"/>
          </w:tcPr>
          <w:p w14:paraId="3A821FF3" w14:textId="77777777" w:rsidR="009776A1" w:rsidRPr="00097A86" w:rsidRDefault="009776A1" w:rsidP="00617697">
            <w:pPr>
              <w:spacing w:before="60" w:after="60"/>
              <w:rPr>
                <w:i/>
              </w:rPr>
            </w:pPr>
          </w:p>
        </w:tc>
        <w:tc>
          <w:tcPr>
            <w:tcW w:w="4398" w:type="pct"/>
            <w:hideMark/>
          </w:tcPr>
          <w:p w14:paraId="2D1091E8" w14:textId="77777777" w:rsidR="009776A1" w:rsidRPr="00097A86" w:rsidRDefault="009776A1" w:rsidP="00617697">
            <w:pPr>
              <w:pStyle w:val="TableText0"/>
              <w:spacing w:line="240" w:lineRule="auto"/>
              <w:rPr>
                <w:rFonts w:ascii="Symbol" w:hAnsi="Symbol"/>
                <w:b/>
                <w:i/>
              </w:rPr>
            </w:pPr>
            <w:r w:rsidRPr="00097A86">
              <w:rPr>
                <w:b/>
                <w:i/>
                <w:iCs/>
              </w:rPr>
              <w:t>ΔS</w:t>
            </w:r>
            <w:r w:rsidRPr="00097A86">
              <w:rPr>
                <w:b/>
                <w:i/>
                <w:iCs/>
                <w:szCs w:val="18"/>
                <w:vertAlign w:val="subscript"/>
              </w:rPr>
              <w:t>y</w:t>
            </w:r>
            <w:r w:rsidRPr="00097A86">
              <w:rPr>
                <w:b/>
                <w:i/>
                <w:iCs/>
                <w:vertAlign w:val="subscript"/>
              </w:rPr>
              <w:t>r</w:t>
            </w:r>
            <w:r w:rsidRPr="00097A86">
              <w:rPr>
                <w:iCs/>
              </w:rPr>
              <w:t xml:space="preserve"> is </w:t>
            </w:r>
            <w:r w:rsidRPr="00097A86">
              <w:rPr>
                <w:szCs w:val="22"/>
              </w:rPr>
              <w:t>the</w:t>
            </w:r>
            <w:r w:rsidRPr="00097A86">
              <w:rPr>
                <w:iCs/>
              </w:rPr>
              <w:t xml:space="preserve"> change in stocks of waste by</w:t>
            </w:r>
            <w:r w:rsidR="00097A86">
              <w:rPr>
                <w:iCs/>
              </w:rPr>
              <w:noBreakHyphen/>
            </w:r>
            <w:r w:rsidRPr="00097A86">
              <w:rPr>
                <w:iCs/>
              </w:rPr>
              <w:t>product types (</w:t>
            </w:r>
            <w:r w:rsidRPr="00097A86">
              <w:rPr>
                <w:b/>
                <w:i/>
                <w:iCs/>
              </w:rPr>
              <w:t>r</w:t>
            </w:r>
            <w:r w:rsidRPr="00097A86">
              <w:rPr>
                <w:iCs/>
              </w:rPr>
              <w:t xml:space="preserve">) produced from the operation of the activity and held </w:t>
            </w:r>
            <w:r w:rsidRPr="00097A86">
              <w:t xml:space="preserve">within </w:t>
            </w:r>
            <w:r w:rsidRPr="00097A86">
              <w:rPr>
                <w:iCs/>
              </w:rPr>
              <w:t xml:space="preserve">the boundary of </w:t>
            </w:r>
            <w:r w:rsidRPr="00097A86">
              <w:t xml:space="preserve">the activity </w:t>
            </w:r>
            <w:r w:rsidRPr="00097A86">
              <w:rPr>
                <w:iCs/>
              </w:rPr>
              <w:t>during the year, measured in tonnes.</w:t>
            </w:r>
          </w:p>
        </w:tc>
      </w:tr>
      <w:tr w:rsidR="00C8733E" w:rsidRPr="00097A86" w14:paraId="0E6BB533" w14:textId="77777777" w:rsidTr="00C20CC2">
        <w:trPr>
          <w:cantSplit/>
          <w:trHeight w:val="610"/>
        </w:trPr>
        <w:tc>
          <w:tcPr>
            <w:tcW w:w="602" w:type="pct"/>
          </w:tcPr>
          <w:p w14:paraId="588D59AF" w14:textId="77777777" w:rsidR="00C8733E" w:rsidRPr="00097A86" w:rsidRDefault="00C8733E" w:rsidP="00557E5E">
            <w:pPr>
              <w:spacing w:before="60" w:after="60"/>
              <w:rPr>
                <w:i/>
              </w:rPr>
            </w:pPr>
          </w:p>
        </w:tc>
        <w:tc>
          <w:tcPr>
            <w:tcW w:w="4398" w:type="pct"/>
            <w:hideMark/>
          </w:tcPr>
          <w:p w14:paraId="41B66C76" w14:textId="77777777" w:rsidR="00C8733E" w:rsidRPr="00097A86" w:rsidRDefault="00C8733E" w:rsidP="00557E5E">
            <w:pPr>
              <w:pStyle w:val="TableText0"/>
              <w:rPr>
                <w:rFonts w:ascii="Symbol" w:hAnsi="Symbol"/>
                <w:b/>
                <w:i/>
              </w:rPr>
            </w:pPr>
            <w:r w:rsidRPr="00097A86">
              <w:rPr>
                <w:b/>
                <w:i/>
              </w:rPr>
              <w:t>α</w:t>
            </w:r>
            <w:r w:rsidRPr="00097A86">
              <w:t xml:space="preserve"> is the factor </w:t>
            </w:r>
            <w:r w:rsidRPr="00097A86">
              <w:rPr>
                <w:noProof/>
                <w:lang w:eastAsia="en-AU"/>
              </w:rPr>
              <mc:AlternateContent>
                <mc:Choice Requires="wpc">
                  <w:drawing>
                    <wp:inline distT="0" distB="0" distL="0" distR="0" wp14:anchorId="714479C1" wp14:editId="6AFFDD1E">
                      <wp:extent cx="257175" cy="352424"/>
                      <wp:effectExtent l="0" t="0" r="9525"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212"/>
                              <wps:cNvSpPr>
                                <a:spLocks noChangeArrowheads="1"/>
                              </wps:cNvSpPr>
                              <wps:spPr bwMode="auto">
                                <a:xfrm>
                                  <a:off x="83820" y="101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6558" w14:textId="77777777" w:rsidR="00497E3C" w:rsidRDefault="00497E3C" w:rsidP="00C8733E">
                                    <w:r>
                                      <w:rPr>
                                        <w:color w:val="000000"/>
                                        <w:position w:val="-12"/>
                                        <w:sz w:val="16"/>
                                        <w:szCs w:val="16"/>
                                        <w:lang w:val="en-US"/>
                                      </w:rPr>
                                      <w:t>1</w:t>
                                    </w:r>
                                  </w:p>
                                </w:txbxContent>
                              </wps:txbx>
                              <wps:bodyPr rot="0" vert="horz" wrap="none" lIns="0" tIns="0" rIns="0" bIns="0" anchor="t" anchorCtr="0" upright="1">
                                <a:noAutofit/>
                              </wps:bodyPr>
                            </wps:wsp>
                            <wps:wsp>
                              <wps:cNvPr id="9" name="Line 213"/>
                              <wps:cNvCnPr/>
                              <wps:spPr bwMode="auto">
                                <a:xfrm>
                                  <a:off x="13970" y="139065"/>
                                  <a:ext cx="20510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14"/>
                              <wps:cNvSpPr>
                                <a:spLocks noChangeArrowheads="1"/>
                              </wps:cNvSpPr>
                              <wps:spPr bwMode="auto">
                                <a:xfrm>
                                  <a:off x="0" y="166370"/>
                                  <a:ext cx="229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0BB3" w14:textId="77777777" w:rsidR="00497E3C" w:rsidRDefault="00497E3C" w:rsidP="00C8733E">
                                    <w:pPr>
                                      <w:spacing w:line="240" w:lineRule="auto"/>
                                      <w:rPr>
                                        <w:position w:val="-12"/>
                                        <w:sz w:val="16"/>
                                        <w:szCs w:val="16"/>
                                      </w:rPr>
                                    </w:pPr>
                                    <w:r>
                                      <w:rPr>
                                        <w:color w:val="000000"/>
                                        <w:position w:val="-12"/>
                                        <w:sz w:val="16"/>
                                        <w:szCs w:val="16"/>
                                        <w:lang w:val="en-US"/>
                                      </w:rPr>
                                      <w:t>3.664</w:t>
                                    </w:r>
                                  </w:p>
                                </w:txbxContent>
                              </wps:txbx>
                              <wps:bodyPr rot="0" vert="horz" wrap="none" lIns="0" tIns="0" rIns="0" bIns="0" anchor="t" anchorCtr="0" upright="1">
                                <a:noAutofit/>
                              </wps:bodyPr>
                            </wps:wsp>
                          </wpc:wpc>
                        </a:graphicData>
                      </a:graphic>
                    </wp:inline>
                  </w:drawing>
                </mc:Choice>
                <mc:Fallback>
                  <w:pict>
                    <v:group w14:anchorId="714479C1" id="Canvas 11" o:spid="_x0000_s1061" editas="canvas" style="width:20.25pt;height:27.75pt;mso-position-horizontal-relative:char;mso-position-vertical-relative:line" coordsize="257175,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GPhgMAAMYMAAAOAAAAZHJzL2Uyb0RvYy54bWzsV9tu2zgQfS/QfyD4rkiUZdkSohSpHRcF&#10;srtB2/0AWqIsohIpkIzltOi/75CSfEnX2CBZBH2oHmSKpIYzc86ZkS/f7ZoabZnSXIoMk4sAIyZy&#10;WXCxyfDfX1beHCNtqChoLQXL8APT+N3V2zeXXZuyUFayLphCYETotGszXBnTpr6v84o1VF/IlglY&#10;LKVqqIFHtfELRTuw3tR+GASx30lVtErmTGuYXfaL+MrZL0uWm7/KUjOD6gyDb8bdlbuv7d2/uqTp&#10;RtG24vngBn2GFw3lAg7dm1pSQ9G94j+ZaniupJaluchl48uy5DlzMUA0JHgUzYKKLdUumByyMzoI&#10;o//R7npj/RZyxesasuGD9dTO2d8O8GEw2bWAjm73OOmXnf+5oi1zYek0/3N7pxAvMjzDSNAGOPIJ&#10;UKNiUzMUktAiZI+HfZ/bO2V91e2tzL9qJOSign3sWinZVYwW4Bax+yGGoxfsg4ZX0br7QxZgn94b&#10;6cDalaqxBgEGtMvwfDIPgSMPYCUg8cANtjMoh8UpiSZTjHK7SuJ55JZ9mo42WqXNByYbZAcZVhCD&#10;O4Nub7WxPtF03HKSb5rW4mQCNvYzcDK8atesD45M35MguZnfzCMvCuMbLwqWS+96tYi8eEVm0+Vk&#10;uVgsyQ97LonSihcFExbWkdgkehpug8R6Su6prWXNC2vOuqTVZr2oFdpSENbKXS7zsHLY5p+64ZIA&#10;sTwKiYRR8D5MvFU8n3nRKpp6ySyYewFJ3idxECXRcnUa0i0X7OUhoS7DyTScOpSOnH4UW+Cun2Oj&#10;acMNlK6aN8Cc/SaaWiLeiAIgp6mhvO7HR6mw7h9SAXCPQDvaWqb2jDe79c4Jg0SjCNayeAAiKwkM&#10;A6ZC3YVBJdU3jDqoYRkWUGQxqj8KkIItd+NAjYP1OKAihxczbDDqhwvTl8X7VvFNBXaJy4yQ1yCX&#10;kjsOWyn1Pgwig6LwStUhGauDQz8kkzEnUBgW4k4NZeJJQicTYFgv9EkSxFNrqleZVXoYTEkwSD0G&#10;zffiPaPzGsB0eXqKzi3lSPBswil5P/DqHMd+0cpxaC7nCsJ5FfR0sxhY8r0e3wCnf2lHeyW+Qjsa&#10;GBrHEyDrKUPDJDw0o1k0+w+S/m5G0LOOKnDfxHrOjcof+uvvZjR8dZxtRo5rh0bwqzUj8Nt9K7sO&#10;O3zY26/x42dXTA5/P67+AQAA//8DAFBLAwQUAAYACAAAACEAoejN0twAAAADAQAADwAAAGRycy9k&#10;b3ducmV2LnhtbEyPTUvDQBCG74L/YRnBS7G7fqRozKYUQfCgxVbBHqfZMQlmZ0N228Z/79SLXgaG&#10;9+WZZ4r56Du1pyG2gS1cTg0o4iq4lmsL72+PF7egYkJ22AUmC98UYV6enhSYu3DgFe3XqVYC4Zij&#10;hSalPtc6Vg15jNPQE0v2GQaPSdah1m7Ag8B9p6+MmWmPLcuFBnt6aKj6Wu+8UO4mi8nyg59eluNz&#10;NVttzPXm1Vh7fjYu7kElGtNfGY76og6lOG3Djl1UnQV5JP1OyW5MBmprIcsy0GWh/7uXPwAAAP//&#10;AwBQSwECLQAUAAYACAAAACEAtoM4kv4AAADhAQAAEwAAAAAAAAAAAAAAAAAAAAAAW0NvbnRlbnRf&#10;VHlwZXNdLnhtbFBLAQItABQABgAIAAAAIQA4/SH/1gAAAJQBAAALAAAAAAAAAAAAAAAAAC8BAABf&#10;cmVscy8ucmVsc1BLAQItABQABgAIAAAAIQCtwRGPhgMAAMYMAAAOAAAAAAAAAAAAAAAAAC4CAABk&#10;cnMvZTJvRG9jLnhtbFBLAQItABQABgAIAAAAIQCh6M3S3AAAAAMBAAAPAAAAAAAAAAAAAAAAAOAF&#10;AABkcnMvZG93bnJldi54bWxQSwUGAAAAAAQABADzAAAA6QYAAAAA&#10;">
                      <v:shape id="_x0000_s1062" type="#_x0000_t75" style="position:absolute;width:257175;height:351790;visibility:visible;mso-wrap-style:square">
                        <v:fill o:detectmouseclick="t"/>
                        <v:path o:connecttype="none"/>
                      </v:shape>
                      <v:rect id="Rectangle 212" o:spid="_x0000_s1063" style="position:absolute;left:83820;top:10160;width:514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b9sMA&#10;AADaAAAADwAAAGRycy9kb3ducmV2LnhtbESP3WoCMRSE7wu+QzhC72p2i1h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b9sMAAADaAAAADwAAAAAAAAAAAAAAAACYAgAAZHJzL2Rv&#10;d25yZXYueG1sUEsFBgAAAAAEAAQA9QAAAIgDAAAAAA==&#10;" filled="f" stroked="f">
                        <v:textbox inset="0,0,0,0">
                          <w:txbxContent>
                            <w:p w14:paraId="77C66558" w14:textId="77777777" w:rsidR="00497E3C" w:rsidRDefault="00497E3C" w:rsidP="00C8733E">
                              <w:r>
                                <w:rPr>
                                  <w:color w:val="000000"/>
                                  <w:position w:val="-12"/>
                                  <w:sz w:val="16"/>
                                  <w:szCs w:val="16"/>
                                  <w:lang w:val="en-US"/>
                                </w:rPr>
                                <w:t>1</w:t>
                              </w:r>
                            </w:p>
                          </w:txbxContent>
                        </v:textbox>
                      </v:rect>
                      <v:line id="Line 213" o:spid="_x0000_s1064" style="position:absolute;visibility:visible;mso-wrap-style:square" from="13970,139065" to="219075,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R3sMAAADaAAAADwAAAGRycy9kb3ducmV2LnhtbESPzW7CMBCE75V4B2uReisOPfCTYlCF&#10;WhGOJLlw28ZLEjVeR7YLKU+PkZA4jmbmG81qM5hOnMn51rKC6SQBQVxZ3XKtoCy+3xYgfEDW2Fkm&#10;Bf/kYbMevaww1fbCBzrnoRYRwj5FBU0IfSqlrxoy6Ce2J47eyTqDIUpXS+3wEuGmk+9JMpMGW44L&#10;Dfa0baj6zf+MgmtWfJXHbHf4Ka/HYm9z7+anhVKv4+HzA0SgITzDj3amFSzhfiXeA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HUd7DAAAA2gAAAA8AAAAAAAAAAAAA&#10;AAAAoQIAAGRycy9kb3ducmV2LnhtbFBLBQYAAAAABAAEAPkAAACRAwAAAAA=&#10;" strokeweight="28e-5mm"/>
                      <v:rect id="Rectangle 214" o:spid="_x0000_s1065" style="position:absolute;top:166370;width:229235;height:117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3YsQA&#10;AADbAAAADwAAAGRycy9kb3ducmV2LnhtbESPQWsCMRCF74X+hzBCbzW7pYhujWILxSJ4UPsDhs24&#10;Wd1Mtkmq23/fOQjeZnhv3vtmvhx8py4UUxvYQDkuQBHXwbbcGPg+fD5PQaWMbLELTAb+KMFy8fgw&#10;x8qGK+/oss+NkhBOFRpwOfeV1ql25DGNQ08s2jFEj1nW2Ggb8SrhvtMvRTHRHluWBoc9fTiqz/tf&#10;b4De17vZaZXcVscyldvNZPa6/jHmaTSs3kBlGvLdfLv+soIv9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92LEAAAA2wAAAA8AAAAAAAAAAAAAAAAAmAIAAGRycy9k&#10;b3ducmV2LnhtbFBLBQYAAAAABAAEAPUAAACJAwAAAAA=&#10;" filled="f" stroked="f">
                        <v:textbox inset="0,0,0,0">
                          <w:txbxContent>
                            <w:p w14:paraId="349D0BB3" w14:textId="77777777" w:rsidR="00497E3C" w:rsidRDefault="00497E3C" w:rsidP="00C8733E">
                              <w:pPr>
                                <w:spacing w:line="240" w:lineRule="auto"/>
                                <w:rPr>
                                  <w:position w:val="-12"/>
                                  <w:sz w:val="16"/>
                                  <w:szCs w:val="16"/>
                                </w:rPr>
                              </w:pPr>
                              <w:r>
                                <w:rPr>
                                  <w:color w:val="000000"/>
                                  <w:position w:val="-12"/>
                                  <w:sz w:val="16"/>
                                  <w:szCs w:val="16"/>
                                  <w:lang w:val="en-US"/>
                                </w:rPr>
                                <w:t>3.664</w:t>
                              </w:r>
                            </w:p>
                          </w:txbxContent>
                        </v:textbox>
                      </v:rect>
                      <w10:anchorlock/>
                    </v:group>
                  </w:pict>
                </mc:Fallback>
              </mc:AlternateContent>
            </w:r>
            <w:r w:rsidRPr="00097A86">
              <w:t>for converting the mass of carbon dioxide to a mass of carbon.</w:t>
            </w:r>
          </w:p>
        </w:tc>
      </w:tr>
      <w:tr w:rsidR="009776A1" w:rsidRPr="00097A86" w14:paraId="426FA12A" w14:textId="77777777" w:rsidTr="00C20CC2">
        <w:trPr>
          <w:cantSplit/>
        </w:trPr>
        <w:tc>
          <w:tcPr>
            <w:tcW w:w="602" w:type="pct"/>
          </w:tcPr>
          <w:p w14:paraId="55132032" w14:textId="77777777" w:rsidR="009776A1" w:rsidRPr="00097A86" w:rsidRDefault="009776A1" w:rsidP="00617697">
            <w:pPr>
              <w:spacing w:before="60" w:after="60"/>
              <w:rPr>
                <w:i/>
              </w:rPr>
            </w:pPr>
          </w:p>
        </w:tc>
        <w:tc>
          <w:tcPr>
            <w:tcW w:w="4398" w:type="pct"/>
            <w:hideMark/>
          </w:tcPr>
          <w:p w14:paraId="59C7009E" w14:textId="77777777" w:rsidR="009776A1" w:rsidRPr="00097A86" w:rsidRDefault="009776A1" w:rsidP="00617697">
            <w:pPr>
              <w:pStyle w:val="TableText0"/>
              <w:rPr>
                <w:iCs/>
                <w:szCs w:val="22"/>
              </w:rPr>
            </w:pPr>
            <w:r w:rsidRPr="00097A86">
              <w:rPr>
                <w:b/>
                <w:i/>
                <w:szCs w:val="22"/>
              </w:rPr>
              <w:t xml:space="preserve">γ </w:t>
            </w:r>
            <w:r w:rsidRPr="00097A86">
              <w:rPr>
                <w:szCs w:val="22"/>
              </w:rPr>
              <w:t>is the factor 1.861 × 10</w:t>
            </w:r>
            <w:r w:rsidR="00097A86">
              <w:rPr>
                <w:szCs w:val="22"/>
                <w:vertAlign w:val="superscript"/>
              </w:rPr>
              <w:noBreakHyphen/>
            </w:r>
            <w:r w:rsidRPr="00097A86">
              <w:rPr>
                <w:szCs w:val="22"/>
                <w:vertAlign w:val="superscript"/>
              </w:rPr>
              <w:t xml:space="preserve">3 </w:t>
            </w:r>
            <w:r w:rsidRPr="00097A86">
              <w:rPr>
                <w:szCs w:val="22"/>
              </w:rPr>
              <w:t>for converting a quantity of carbon dioxide from cubic metres at standard conditions of pressure and temperature to CO</w:t>
            </w:r>
            <w:r w:rsidRPr="00097A86">
              <w:rPr>
                <w:szCs w:val="22"/>
                <w:vertAlign w:val="subscript"/>
              </w:rPr>
              <w:t>2</w:t>
            </w:r>
            <w:r w:rsidR="00097A86">
              <w:rPr>
                <w:szCs w:val="22"/>
              </w:rPr>
              <w:noBreakHyphen/>
            </w:r>
            <w:r w:rsidRPr="00097A86">
              <w:rPr>
                <w:szCs w:val="22"/>
              </w:rPr>
              <w:t>e tonnes.</w:t>
            </w:r>
          </w:p>
        </w:tc>
      </w:tr>
      <w:tr w:rsidR="009776A1" w:rsidRPr="00097A86" w14:paraId="0C6DEDF4" w14:textId="77777777" w:rsidTr="00C20CC2">
        <w:trPr>
          <w:cantSplit/>
        </w:trPr>
        <w:tc>
          <w:tcPr>
            <w:tcW w:w="602" w:type="pct"/>
          </w:tcPr>
          <w:p w14:paraId="4F869416" w14:textId="77777777" w:rsidR="009776A1" w:rsidRPr="00097A86" w:rsidRDefault="009776A1" w:rsidP="00617697">
            <w:pPr>
              <w:spacing w:before="60" w:after="60"/>
              <w:rPr>
                <w:i/>
              </w:rPr>
            </w:pPr>
          </w:p>
        </w:tc>
        <w:tc>
          <w:tcPr>
            <w:tcW w:w="4398" w:type="pct"/>
            <w:hideMark/>
          </w:tcPr>
          <w:p w14:paraId="78EBE2EF" w14:textId="77777777" w:rsidR="009776A1" w:rsidRPr="00097A86" w:rsidRDefault="009776A1" w:rsidP="00617697">
            <w:pPr>
              <w:pStyle w:val="TableText0"/>
              <w:spacing w:line="240" w:lineRule="auto"/>
              <w:rPr>
                <w:rFonts w:ascii="Symbol" w:hAnsi="Symbol"/>
                <w:b/>
                <w:i/>
                <w:szCs w:val="22"/>
              </w:rPr>
            </w:pPr>
            <w:r w:rsidRPr="00097A86">
              <w:rPr>
                <w:b/>
                <w:i/>
                <w:szCs w:val="22"/>
              </w:rPr>
              <w:t>RCCS</w:t>
            </w:r>
            <w:r w:rsidRPr="00097A86">
              <w:rPr>
                <w:b/>
                <w:i/>
                <w:vertAlign w:val="subscript"/>
              </w:rPr>
              <w:t>CO</w:t>
            </w:r>
            <w:r w:rsidRPr="00097A86">
              <w:rPr>
                <w:b/>
                <w:i/>
                <w:position w:val="-4"/>
                <w:vertAlign w:val="subscript"/>
              </w:rPr>
              <w:t>2</w:t>
            </w:r>
            <w:r w:rsidRPr="00097A86">
              <w:rPr>
                <w:szCs w:val="22"/>
              </w:rPr>
              <w:t xml:space="preserve"> is carbon dioxide captured for permanent storage, measured in cubic metres in accordance with Division</w:t>
            </w:r>
            <w:r w:rsidR="00097A86">
              <w:rPr>
                <w:szCs w:val="22"/>
              </w:rPr>
              <w:t> </w:t>
            </w:r>
            <w:r w:rsidRPr="00097A86">
              <w:rPr>
                <w:szCs w:val="22"/>
              </w:rPr>
              <w:t>1.2.3.</w:t>
            </w:r>
          </w:p>
        </w:tc>
      </w:tr>
    </w:tbl>
    <w:p w14:paraId="704E5851" w14:textId="77777777" w:rsidR="00755FAE" w:rsidRPr="00097A86" w:rsidRDefault="00755FAE" w:rsidP="00D22D3F">
      <w:pPr>
        <w:pStyle w:val="subsection"/>
      </w:pPr>
      <w:r w:rsidRPr="00097A86">
        <w:tab/>
        <w:t>(3)</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 (</w:t>
      </w:r>
      <w:r w:rsidRPr="00097A86">
        <w:rPr>
          <w:b/>
          <w:i/>
        </w:rPr>
        <w:t>i</w:t>
      </w:r>
      <w:r w:rsidRPr="00097A86">
        <w:t>) or carbonaceous input material must be carried out to determine its carbon content.</w:t>
      </w:r>
    </w:p>
    <w:p w14:paraId="089F21DA" w14:textId="77777777" w:rsidR="00755FAE" w:rsidRPr="00097A86" w:rsidRDefault="00755FAE" w:rsidP="00D22D3F">
      <w:pPr>
        <w:pStyle w:val="subsection"/>
      </w:pPr>
      <w:r w:rsidRPr="00097A86">
        <w:tab/>
        <w:t>(4)</w:t>
      </w:r>
      <w:r w:rsidRPr="00097A86">
        <w:tab/>
        <w:t>The sampling and analysis is to be carried out using the sampling and analysis provided for in Divisions</w:t>
      </w:r>
      <w:r w:rsidR="00097A86">
        <w:t> </w:t>
      </w:r>
      <w:r w:rsidRPr="00097A86">
        <w:t>2.2.3, 2.3.3 and 2.4.3 that apply to the combustion of solid, gaseous and liquid fuels.</w:t>
      </w:r>
    </w:p>
    <w:p w14:paraId="5BE25693" w14:textId="77777777" w:rsidR="00755FAE" w:rsidRPr="00097A86" w:rsidRDefault="00755FAE" w:rsidP="00D22D3F">
      <w:pPr>
        <w:pStyle w:val="ActHead5"/>
      </w:pPr>
      <w:bookmarkStart w:id="502" w:name="_Toc13233934"/>
      <w:r w:rsidRPr="00097A86">
        <w:rPr>
          <w:rStyle w:val="CharSectno"/>
        </w:rPr>
        <w:t>4.96</w:t>
      </w:r>
      <w:r w:rsidR="00D22D3F" w:rsidRPr="00097A86">
        <w:t xml:space="preserve">  </w:t>
      </w:r>
      <w:r w:rsidRPr="00097A86">
        <w:t>Method 3</w:t>
      </w:r>
      <w:r w:rsidR="00D22D3F" w:rsidRPr="00097A86">
        <w:t>—</w:t>
      </w:r>
      <w:r w:rsidRPr="00097A86">
        <w:t>other metals</w:t>
      </w:r>
      <w:bookmarkEnd w:id="502"/>
    </w:p>
    <w:p w14:paraId="15202FF4" w14:textId="77777777" w:rsidR="00755FAE" w:rsidRPr="00097A86" w:rsidRDefault="00755FAE" w:rsidP="00D22D3F">
      <w:pPr>
        <w:pStyle w:val="subsection"/>
      </w:pPr>
      <w:r w:rsidRPr="00097A86">
        <w:tab/>
        <w:t>(1)</w:t>
      </w:r>
      <w:r w:rsidRPr="00097A86">
        <w:tab/>
        <w:t>Subject to this section, method 3 is the same as method 2 under section</w:t>
      </w:r>
      <w:r w:rsidR="00097A86">
        <w:t> </w:t>
      </w:r>
      <w:r w:rsidRPr="00097A86">
        <w:t>4.95.</w:t>
      </w:r>
    </w:p>
    <w:p w14:paraId="0EDC625C" w14:textId="77777777" w:rsidR="00755FAE" w:rsidRPr="00097A86" w:rsidRDefault="00755FAE" w:rsidP="00D22D3F">
      <w:pPr>
        <w:pStyle w:val="subsection"/>
      </w:pPr>
      <w:r w:rsidRPr="00097A86">
        <w:tab/>
        <w:t>(2)</w:t>
      </w:r>
      <w:r w:rsidRPr="00097A86">
        <w:tab/>
        <w:t>If a fuel type (</w:t>
      </w:r>
      <w:r w:rsidRPr="00097A86">
        <w:rPr>
          <w:b/>
          <w:i/>
        </w:rPr>
        <w:t>i</w:t>
      </w:r>
      <w:r w:rsidRPr="00097A86">
        <w:t>) or carbonaceous input material delivered for the activity during the year accounts for more than 5% of total carbon input for the activity, based on a calculation using the factors specified in Schedule</w:t>
      </w:r>
      <w:r w:rsidR="00097A86">
        <w:t> </w:t>
      </w:r>
      <w:r w:rsidRPr="00097A86">
        <w:t>3, sampling and analysis of fuel type (</w:t>
      </w:r>
      <w:r w:rsidRPr="00097A86">
        <w:rPr>
          <w:b/>
          <w:i/>
        </w:rPr>
        <w:t>i</w:t>
      </w:r>
      <w:r w:rsidRPr="00097A86">
        <w:t>) or carbonaceous input material must be carried out to determine its carbon content.</w:t>
      </w:r>
    </w:p>
    <w:p w14:paraId="37B6182C" w14:textId="77777777" w:rsidR="00755FAE" w:rsidRPr="00097A86" w:rsidRDefault="00755FAE" w:rsidP="00D22D3F">
      <w:pPr>
        <w:pStyle w:val="subsection"/>
      </w:pPr>
      <w:r w:rsidRPr="00097A86">
        <w:tab/>
        <w:t>(3)</w:t>
      </w:r>
      <w:r w:rsidRPr="00097A86">
        <w:tab/>
        <w:t>The sampling and analysis is to be carried out using the methods set out in Divisions</w:t>
      </w:r>
      <w:r w:rsidR="00097A86">
        <w:t> </w:t>
      </w:r>
      <w:r w:rsidRPr="00097A86">
        <w:t>2.2.4, 2.3.4 and 2.4.4 that apply to the combustion of solid, gaseous and liquid fuels.</w:t>
      </w:r>
    </w:p>
    <w:p w14:paraId="5FCA2507" w14:textId="77777777" w:rsidR="003F0D4E" w:rsidRPr="00097A86" w:rsidRDefault="003F0D4E" w:rsidP="00D22D3F">
      <w:pPr>
        <w:pStyle w:val="ActHead2"/>
        <w:pageBreakBefore/>
      </w:pPr>
      <w:bookmarkStart w:id="503" w:name="_Toc13233935"/>
      <w:r w:rsidRPr="00097A86">
        <w:rPr>
          <w:rStyle w:val="CharPartNo"/>
        </w:rPr>
        <w:lastRenderedPageBreak/>
        <w:t>Part</w:t>
      </w:r>
      <w:r w:rsidR="00097A86">
        <w:rPr>
          <w:rStyle w:val="CharPartNo"/>
        </w:rPr>
        <w:t> </w:t>
      </w:r>
      <w:r w:rsidRPr="00097A86">
        <w:rPr>
          <w:rStyle w:val="CharPartNo"/>
        </w:rPr>
        <w:t>4.5</w:t>
      </w:r>
      <w:r w:rsidR="00D22D3F" w:rsidRPr="00097A86">
        <w:t>—</w:t>
      </w:r>
      <w:r w:rsidRPr="00097A86">
        <w:rPr>
          <w:rStyle w:val="CharPartText"/>
        </w:rPr>
        <w:t>Industrial processes</w:t>
      </w:r>
      <w:r w:rsidR="00D22D3F" w:rsidRPr="00097A86">
        <w:rPr>
          <w:rStyle w:val="CharPartText"/>
        </w:rPr>
        <w:t>—</w:t>
      </w:r>
      <w:r w:rsidRPr="00097A86">
        <w:rPr>
          <w:rStyle w:val="CharPartText"/>
        </w:rPr>
        <w:t>emissions of hydrofluorocarbons and sulphur hexafluoride gases</w:t>
      </w:r>
      <w:bookmarkEnd w:id="503"/>
    </w:p>
    <w:p w14:paraId="68FB5D99"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0E42B18B" w14:textId="77777777" w:rsidR="003F0D4E" w:rsidRPr="00097A86" w:rsidRDefault="003F0D4E" w:rsidP="00D22D3F">
      <w:pPr>
        <w:pStyle w:val="ActHead5"/>
      </w:pPr>
      <w:bookmarkStart w:id="504" w:name="_Toc13233936"/>
      <w:r w:rsidRPr="00097A86">
        <w:rPr>
          <w:rStyle w:val="CharSectno"/>
        </w:rPr>
        <w:t>4.97</w:t>
      </w:r>
      <w:r w:rsidR="00D22D3F" w:rsidRPr="00097A86">
        <w:t xml:space="preserve">  </w:t>
      </w:r>
      <w:r w:rsidRPr="00097A86">
        <w:t>Application</w:t>
      </w:r>
      <w:bookmarkEnd w:id="504"/>
    </w:p>
    <w:p w14:paraId="2FA1D7BF" w14:textId="77777777" w:rsidR="003F0D4E" w:rsidRPr="00097A86" w:rsidRDefault="003F0D4E" w:rsidP="00D22D3F">
      <w:pPr>
        <w:pStyle w:val="subsection"/>
      </w:pPr>
      <w:r w:rsidRPr="00097A86">
        <w:tab/>
      </w:r>
      <w:r w:rsidRPr="00097A86">
        <w:tab/>
        <w:t>This Part applies to emissions of hydrofluorocarbons and sulphur hexafluoride gases.</w:t>
      </w:r>
    </w:p>
    <w:p w14:paraId="6EDE8157" w14:textId="77777777" w:rsidR="003F0D4E" w:rsidRPr="00097A86" w:rsidRDefault="003F0D4E" w:rsidP="00D22D3F">
      <w:pPr>
        <w:pStyle w:val="ActHead5"/>
      </w:pPr>
      <w:bookmarkStart w:id="505" w:name="_Toc13233937"/>
      <w:r w:rsidRPr="00097A86">
        <w:rPr>
          <w:rStyle w:val="CharSectno"/>
        </w:rPr>
        <w:t>4.98</w:t>
      </w:r>
      <w:r w:rsidR="00D22D3F" w:rsidRPr="00097A86">
        <w:t xml:space="preserve">  </w:t>
      </w:r>
      <w:r w:rsidRPr="00097A86">
        <w:t>Available method</w:t>
      </w:r>
      <w:bookmarkEnd w:id="505"/>
    </w:p>
    <w:p w14:paraId="6914E755" w14:textId="77777777" w:rsidR="009369D1" w:rsidRPr="00097A86" w:rsidRDefault="009369D1" w:rsidP="00D22D3F">
      <w:pPr>
        <w:pStyle w:val="subsection"/>
      </w:pPr>
      <w:r w:rsidRPr="00097A86">
        <w:tab/>
        <w:t>(1)</w:t>
      </w:r>
      <w:r w:rsidRPr="00097A86">
        <w:tab/>
        <w:t>Subject to section</w:t>
      </w:r>
      <w:r w:rsidR="00097A86">
        <w:t> </w:t>
      </w:r>
      <w:r w:rsidRPr="00097A86">
        <w:t>1.18, for estimating emissions of hydrofluorocarbons or sulphur hexafluoride during a year from the operation of a facility that is constituted by synthetic gas generating activities, one of the following methods must be used:</w:t>
      </w:r>
    </w:p>
    <w:p w14:paraId="61FB841D" w14:textId="77777777" w:rsidR="009369D1" w:rsidRPr="00097A86" w:rsidRDefault="009369D1" w:rsidP="00D22D3F">
      <w:pPr>
        <w:pStyle w:val="paragraph"/>
      </w:pPr>
      <w:r w:rsidRPr="00097A86">
        <w:tab/>
        <w:t>(a)</w:t>
      </w:r>
      <w:r w:rsidRPr="00097A86">
        <w:tab/>
        <w:t>method 1 under section</w:t>
      </w:r>
      <w:r w:rsidR="00097A86">
        <w:t> </w:t>
      </w:r>
      <w:r w:rsidRPr="00097A86">
        <w:t>4.102;</w:t>
      </w:r>
    </w:p>
    <w:p w14:paraId="09083D61" w14:textId="77777777" w:rsidR="009369D1" w:rsidRPr="00097A86" w:rsidRDefault="009369D1" w:rsidP="00D22D3F">
      <w:pPr>
        <w:pStyle w:val="paragraph"/>
      </w:pPr>
      <w:r w:rsidRPr="00097A86">
        <w:tab/>
        <w:t>(b)</w:t>
      </w:r>
      <w:r w:rsidRPr="00097A86">
        <w:tab/>
        <w:t>method 2, for both hydrofluorocarbons and sulphur hexafluoride, under section</w:t>
      </w:r>
      <w:r w:rsidR="00097A86">
        <w:t> </w:t>
      </w:r>
      <w:r w:rsidRPr="00097A86">
        <w:t>4.103;</w:t>
      </w:r>
    </w:p>
    <w:p w14:paraId="1C277AD9" w14:textId="77777777" w:rsidR="009369D1" w:rsidRPr="00097A86" w:rsidRDefault="009369D1" w:rsidP="00D22D3F">
      <w:pPr>
        <w:pStyle w:val="paragraph"/>
      </w:pPr>
      <w:r w:rsidRPr="00097A86">
        <w:tab/>
        <w:t>(c)</w:t>
      </w:r>
      <w:r w:rsidRPr="00097A86">
        <w:tab/>
        <w:t>method 3:</w:t>
      </w:r>
    </w:p>
    <w:p w14:paraId="31A08AAF" w14:textId="77777777" w:rsidR="009369D1" w:rsidRPr="00097A86" w:rsidRDefault="009369D1" w:rsidP="00D22D3F">
      <w:pPr>
        <w:pStyle w:val="paragraphsub"/>
      </w:pPr>
      <w:r w:rsidRPr="00097A86">
        <w:tab/>
        <w:t>(i)</w:t>
      </w:r>
      <w:r w:rsidRPr="00097A86">
        <w:tab/>
        <w:t>for hydrofluorocarbons under subsection</w:t>
      </w:r>
      <w:r w:rsidR="00097A86">
        <w:t> </w:t>
      </w:r>
      <w:r w:rsidRPr="00097A86">
        <w:t>4.104(1); and</w:t>
      </w:r>
    </w:p>
    <w:p w14:paraId="76F529B9" w14:textId="77777777" w:rsidR="009369D1" w:rsidRPr="00097A86" w:rsidRDefault="009369D1" w:rsidP="00D22D3F">
      <w:pPr>
        <w:pStyle w:val="paragraphsub"/>
      </w:pPr>
      <w:r w:rsidRPr="00097A86">
        <w:tab/>
        <w:t>(ii)</w:t>
      </w:r>
      <w:r w:rsidRPr="00097A86">
        <w:tab/>
        <w:t>for sulphur hexafluoride under subsection</w:t>
      </w:r>
      <w:r w:rsidR="00097A86">
        <w:t> </w:t>
      </w:r>
      <w:r w:rsidRPr="00097A86">
        <w:t>4.104(2).</w:t>
      </w:r>
    </w:p>
    <w:p w14:paraId="364E895B" w14:textId="77777777" w:rsidR="003F0D4E" w:rsidRPr="00097A86" w:rsidRDefault="003F0D4E" w:rsidP="00D22D3F">
      <w:pPr>
        <w:pStyle w:val="subsection"/>
      </w:pPr>
      <w:r w:rsidRPr="00097A86">
        <w:tab/>
        <w:t>(2)</w:t>
      </w:r>
      <w:r w:rsidRPr="00097A86">
        <w:tab/>
        <w:t xml:space="preserve">However, for </w:t>
      </w:r>
      <w:r w:rsidR="00616C5D" w:rsidRPr="00097A86">
        <w:t>incidental emissions</w:t>
      </w:r>
      <w:r w:rsidRPr="00097A86">
        <w:t xml:space="preserve"> another method may be used that is consistent with the principles in section</w:t>
      </w:r>
      <w:r w:rsidR="00097A86">
        <w:t> </w:t>
      </w:r>
      <w:r w:rsidRPr="00097A86">
        <w:t>1.13.</w:t>
      </w:r>
    </w:p>
    <w:p w14:paraId="7DF8384E" w14:textId="77777777" w:rsidR="009369D1" w:rsidRPr="00097A86" w:rsidRDefault="00D22D3F" w:rsidP="00D22D3F">
      <w:pPr>
        <w:pStyle w:val="notetext"/>
      </w:pPr>
      <w:r w:rsidRPr="00097A86">
        <w:t>Note:</w:t>
      </w:r>
      <w:r w:rsidRPr="00097A86">
        <w:tab/>
      </w:r>
      <w:r w:rsidR="009369D1" w:rsidRPr="00097A86">
        <w:t>There is no method 4 for this Part.</w:t>
      </w:r>
    </w:p>
    <w:p w14:paraId="3694F6C8" w14:textId="77777777" w:rsidR="003F0D4E" w:rsidRPr="00097A86" w:rsidRDefault="003F0D4E" w:rsidP="00D22D3F">
      <w:pPr>
        <w:pStyle w:val="ActHead5"/>
      </w:pPr>
      <w:bookmarkStart w:id="506" w:name="_Toc13233938"/>
      <w:r w:rsidRPr="00097A86">
        <w:rPr>
          <w:rStyle w:val="CharSectno"/>
        </w:rPr>
        <w:t>4.99</w:t>
      </w:r>
      <w:r w:rsidR="00D22D3F" w:rsidRPr="00097A86">
        <w:t xml:space="preserve">  </w:t>
      </w:r>
      <w:r w:rsidRPr="00097A86">
        <w:t xml:space="preserve">Meaning of </w:t>
      </w:r>
      <w:r w:rsidRPr="00097A86">
        <w:rPr>
          <w:i/>
        </w:rPr>
        <w:t>hydrofluorocarbons</w:t>
      </w:r>
      <w:bookmarkEnd w:id="506"/>
    </w:p>
    <w:p w14:paraId="0BCC269C" w14:textId="77777777" w:rsidR="003F0D4E" w:rsidRPr="00097A86" w:rsidRDefault="003F0D4E" w:rsidP="00D22D3F">
      <w:pPr>
        <w:pStyle w:val="subsection"/>
      </w:pPr>
      <w:r w:rsidRPr="00097A86">
        <w:tab/>
      </w:r>
      <w:r w:rsidRPr="00097A86">
        <w:tab/>
      </w:r>
      <w:r w:rsidRPr="00097A86">
        <w:rPr>
          <w:b/>
          <w:i/>
        </w:rPr>
        <w:t>Hydrofluorocarbons</w:t>
      </w:r>
      <w:r w:rsidRPr="00097A86">
        <w:t xml:space="preserve"> means any of the hydrofluorocarbons listed in the table in </w:t>
      </w:r>
      <w:r w:rsidR="00AE0D87" w:rsidRPr="00097A86">
        <w:t>subsection</w:t>
      </w:r>
      <w:r w:rsidR="00097A86">
        <w:t> </w:t>
      </w:r>
      <w:r w:rsidR="00AE0D87" w:rsidRPr="00097A86">
        <w:t>7A(2) of the</w:t>
      </w:r>
      <w:r w:rsidR="00AE0D87" w:rsidRPr="00097A86">
        <w:rPr>
          <w:i/>
        </w:rPr>
        <w:t xml:space="preserve"> </w:t>
      </w:r>
      <w:r w:rsidR="00AE0D87" w:rsidRPr="00097A86">
        <w:t>Act</w:t>
      </w:r>
      <w:r w:rsidRPr="00097A86">
        <w:t>.</w:t>
      </w:r>
    </w:p>
    <w:p w14:paraId="31F1DAE1" w14:textId="77777777" w:rsidR="003F0D4E" w:rsidRPr="00097A86" w:rsidRDefault="003F0D4E" w:rsidP="00D22D3F">
      <w:pPr>
        <w:pStyle w:val="ActHead5"/>
      </w:pPr>
      <w:bookmarkStart w:id="507" w:name="_Toc13233939"/>
      <w:r w:rsidRPr="00097A86">
        <w:rPr>
          <w:rStyle w:val="CharSectno"/>
        </w:rPr>
        <w:t>4.100</w:t>
      </w:r>
      <w:r w:rsidR="00D22D3F" w:rsidRPr="00097A86">
        <w:t xml:space="preserve">  </w:t>
      </w:r>
      <w:r w:rsidRPr="00097A86">
        <w:t xml:space="preserve">Meaning of </w:t>
      </w:r>
      <w:r w:rsidRPr="00097A86">
        <w:rPr>
          <w:i/>
        </w:rPr>
        <w:t>synthetic gas generating activities</w:t>
      </w:r>
      <w:bookmarkEnd w:id="507"/>
    </w:p>
    <w:p w14:paraId="2666CA06" w14:textId="77777777" w:rsidR="003F0D4E" w:rsidRPr="00097A86" w:rsidRDefault="003F0D4E" w:rsidP="00D22D3F">
      <w:pPr>
        <w:pStyle w:val="SubsectionHead"/>
      </w:pPr>
      <w:r w:rsidRPr="00097A86">
        <w:t>Hydrofluorocarbons</w:t>
      </w:r>
    </w:p>
    <w:p w14:paraId="50610B51" w14:textId="77777777" w:rsidR="003F0D4E" w:rsidRPr="00097A86" w:rsidRDefault="003F0D4E" w:rsidP="00D22D3F">
      <w:pPr>
        <w:pStyle w:val="subsection"/>
      </w:pPr>
      <w:r w:rsidRPr="00097A86">
        <w:tab/>
        <w:t>(1)</w:t>
      </w:r>
      <w:r w:rsidRPr="00097A86">
        <w:tab/>
      </w:r>
      <w:r w:rsidRPr="00097A86">
        <w:rPr>
          <w:b/>
          <w:i/>
        </w:rPr>
        <w:t>Synthetic gas generating activities</w:t>
      </w:r>
      <w:r w:rsidRPr="00097A86">
        <w:t>, for emissions of hydrofluorocarbons, are activities of a facility that:</w:t>
      </w:r>
    </w:p>
    <w:p w14:paraId="35FBF2AD" w14:textId="77777777" w:rsidR="003F0D4E" w:rsidRPr="00097A86" w:rsidRDefault="003F0D4E" w:rsidP="00D22D3F">
      <w:pPr>
        <w:pStyle w:val="paragraph"/>
      </w:pPr>
      <w:r w:rsidRPr="00097A86">
        <w:tab/>
        <w:t>(a)</w:t>
      </w:r>
      <w:r w:rsidRPr="00097A86">
        <w:tab/>
        <w:t>require the use of any thing:</w:t>
      </w:r>
    </w:p>
    <w:p w14:paraId="1D999EEE" w14:textId="77777777" w:rsidR="003F0D4E" w:rsidRPr="00097A86" w:rsidRDefault="003F0D4E" w:rsidP="00D22D3F">
      <w:pPr>
        <w:pStyle w:val="paragraphsub"/>
      </w:pPr>
      <w:r w:rsidRPr="00097A86">
        <w:tab/>
        <w:t>(i)</w:t>
      </w:r>
      <w:r w:rsidRPr="00097A86">
        <w:tab/>
        <w:t xml:space="preserve">mentioned in </w:t>
      </w:r>
      <w:r w:rsidR="00EC147B" w:rsidRPr="00097A86">
        <w:t>paragraphs 4.16(1)(a) to (d)</w:t>
      </w:r>
      <w:r w:rsidRPr="00097A86">
        <w:t xml:space="preserve"> of the Regulations; and</w:t>
      </w:r>
    </w:p>
    <w:p w14:paraId="2972E043" w14:textId="77777777" w:rsidR="003F0D4E" w:rsidRPr="00097A86" w:rsidRDefault="003F0D4E" w:rsidP="00D22D3F">
      <w:pPr>
        <w:pStyle w:val="paragraphsub"/>
      </w:pPr>
      <w:r w:rsidRPr="00097A86">
        <w:tab/>
        <w:t>(ii)</w:t>
      </w:r>
      <w:r w:rsidRPr="00097A86">
        <w:tab/>
        <w:t>containing a refrigerant charge of more than 100 kilograms of refrigerants for each unit; and</w:t>
      </w:r>
    </w:p>
    <w:p w14:paraId="37122EFA" w14:textId="77777777" w:rsidR="003F0D4E" w:rsidRPr="00097A86" w:rsidRDefault="003F0D4E" w:rsidP="00D22D3F">
      <w:pPr>
        <w:pStyle w:val="paragraphsub"/>
      </w:pPr>
      <w:r w:rsidRPr="00097A86">
        <w:tab/>
        <w:t>(iii)</w:t>
      </w:r>
      <w:r w:rsidRPr="00097A86">
        <w:tab/>
        <w:t>using a refrigerant that is a greenhouse gas with a Global Warming Potential of more than 1</w:t>
      </w:r>
      <w:r w:rsidR="00097A86">
        <w:t> </w:t>
      </w:r>
      <w:r w:rsidRPr="00097A86">
        <w:t>000; and</w:t>
      </w:r>
    </w:p>
    <w:p w14:paraId="4FA0EEFB" w14:textId="77777777" w:rsidR="003F0D4E" w:rsidRPr="00097A86" w:rsidRDefault="003F0D4E" w:rsidP="00D22D3F">
      <w:pPr>
        <w:pStyle w:val="paragraph"/>
      </w:pPr>
      <w:r w:rsidRPr="00097A86">
        <w:tab/>
        <w:t>(b)</w:t>
      </w:r>
      <w:r w:rsidRPr="00097A86">
        <w:tab/>
      </w:r>
      <w:r w:rsidR="00B2006F" w:rsidRPr="00097A86">
        <w:t xml:space="preserve">are undertaken by a facility with a principal activity that is attributable </w:t>
      </w:r>
      <w:r w:rsidRPr="00097A86">
        <w:t>to any one of the following ANZSIC industry classifications:</w:t>
      </w:r>
    </w:p>
    <w:p w14:paraId="6BFCFBEE" w14:textId="77777777" w:rsidR="003F0D4E" w:rsidRPr="00097A86" w:rsidRDefault="003F0D4E" w:rsidP="00D22D3F">
      <w:pPr>
        <w:pStyle w:val="paragraphsub"/>
      </w:pPr>
      <w:r w:rsidRPr="00097A86">
        <w:tab/>
        <w:t>(i)</w:t>
      </w:r>
      <w:r w:rsidRPr="00097A86">
        <w:tab/>
        <w:t>food product manufacturing (ANZSIC classification, Subdivision</w:t>
      </w:r>
      <w:r w:rsidR="00097A86">
        <w:t> </w:t>
      </w:r>
      <w:r w:rsidRPr="00097A86">
        <w:t>11);</w:t>
      </w:r>
    </w:p>
    <w:p w14:paraId="6359D71D" w14:textId="77777777" w:rsidR="003F0D4E" w:rsidRPr="00097A86" w:rsidRDefault="003F0D4E" w:rsidP="00D22D3F">
      <w:pPr>
        <w:pStyle w:val="paragraphsub"/>
      </w:pPr>
      <w:r w:rsidRPr="00097A86">
        <w:lastRenderedPageBreak/>
        <w:tab/>
        <w:t>(ii)</w:t>
      </w:r>
      <w:r w:rsidRPr="00097A86">
        <w:tab/>
        <w:t>beverage and tobacco product manufacturing (ANZSIC classification, Subdivision</w:t>
      </w:r>
      <w:r w:rsidR="00097A86">
        <w:t> </w:t>
      </w:r>
      <w:r w:rsidRPr="00097A86">
        <w:t>12);</w:t>
      </w:r>
    </w:p>
    <w:p w14:paraId="089E64E8" w14:textId="77777777" w:rsidR="003F0D4E" w:rsidRPr="00097A86" w:rsidRDefault="003F0D4E" w:rsidP="00D22D3F">
      <w:pPr>
        <w:pStyle w:val="paragraphsub"/>
      </w:pPr>
      <w:r w:rsidRPr="00097A86">
        <w:tab/>
        <w:t>(iii)</w:t>
      </w:r>
      <w:r w:rsidRPr="00097A86">
        <w:tab/>
        <w:t>retail trade (ANZSIC classification, Division G);</w:t>
      </w:r>
    </w:p>
    <w:p w14:paraId="3F91C4F0" w14:textId="77777777" w:rsidR="003F0D4E" w:rsidRPr="00097A86" w:rsidRDefault="003F0D4E" w:rsidP="00D22D3F">
      <w:pPr>
        <w:pStyle w:val="paragraphsub"/>
      </w:pPr>
      <w:r w:rsidRPr="00097A86">
        <w:tab/>
        <w:t>(iv)</w:t>
      </w:r>
      <w:r w:rsidRPr="00097A86">
        <w:tab/>
        <w:t>warehousing and storage services (ANZSIC classification, number 530);</w:t>
      </w:r>
    </w:p>
    <w:p w14:paraId="563D0EEB" w14:textId="77777777" w:rsidR="003F0D4E" w:rsidRPr="00097A86" w:rsidRDefault="003F0D4E" w:rsidP="00D22D3F">
      <w:pPr>
        <w:pStyle w:val="paragraphsub"/>
      </w:pPr>
      <w:r w:rsidRPr="00097A86">
        <w:tab/>
        <w:t>(v)</w:t>
      </w:r>
      <w:r w:rsidRPr="00097A86">
        <w:tab/>
        <w:t>wholesale trade (ANZSIC classification Division F);</w:t>
      </w:r>
    </w:p>
    <w:p w14:paraId="7F721E24" w14:textId="77777777" w:rsidR="003F0D4E" w:rsidRPr="00097A86" w:rsidRDefault="003F0D4E" w:rsidP="00D22D3F">
      <w:pPr>
        <w:pStyle w:val="paragraphsub"/>
      </w:pPr>
      <w:r w:rsidRPr="00097A86">
        <w:tab/>
        <w:t>(vi)</w:t>
      </w:r>
      <w:r w:rsidRPr="00097A86">
        <w:tab/>
        <w:t>rental, hiring and real estate services (ANZSIC classification, Division L).</w:t>
      </w:r>
    </w:p>
    <w:p w14:paraId="57FB43F0" w14:textId="77777777" w:rsidR="003B25C5" w:rsidRPr="00097A86" w:rsidRDefault="00D22D3F" w:rsidP="00D22D3F">
      <w:pPr>
        <w:pStyle w:val="notetext"/>
      </w:pPr>
      <w:r w:rsidRPr="00097A86">
        <w:t>Note:</w:t>
      </w:r>
      <w:r w:rsidRPr="00097A86">
        <w:tab/>
      </w:r>
      <w:r w:rsidR="00B2006F" w:rsidRPr="00097A86">
        <w:t xml:space="preserve">A facility with a principal activity that is not attributable to any one of the ANZSIC industry classifications mentioned in </w:t>
      </w:r>
      <w:r w:rsidR="00097A86">
        <w:t>subparagraph (</w:t>
      </w:r>
      <w:r w:rsidR="00B2006F" w:rsidRPr="00097A86">
        <w:t>b</w:t>
      </w:r>
      <w:r w:rsidR="008A729A" w:rsidRPr="00097A86">
        <w:t>(</w:t>
      </w:r>
      <w:r w:rsidR="00B2006F" w:rsidRPr="00097A86">
        <w:t>i), (ii), (iii), (iv), (v) or (vi) is not required to report emissions of hydrofluorocarbons.</w:t>
      </w:r>
    </w:p>
    <w:p w14:paraId="5D6A2793" w14:textId="77777777" w:rsidR="003F0D4E" w:rsidRPr="00097A86" w:rsidRDefault="003F0D4E" w:rsidP="00D22D3F">
      <w:pPr>
        <w:pStyle w:val="SubsectionHead"/>
      </w:pPr>
      <w:r w:rsidRPr="00097A86">
        <w:t>Sulphur hexafluoride</w:t>
      </w:r>
    </w:p>
    <w:p w14:paraId="4C7D26FE" w14:textId="77777777" w:rsidR="00FE33F0" w:rsidRPr="00097A86" w:rsidRDefault="003F0D4E" w:rsidP="00FE33F0">
      <w:pPr>
        <w:pStyle w:val="subsection"/>
      </w:pPr>
      <w:r w:rsidRPr="00097A86">
        <w:tab/>
        <w:t>(2)</w:t>
      </w:r>
      <w:r w:rsidRPr="00097A86">
        <w:tab/>
      </w:r>
      <w:r w:rsidRPr="00097A86">
        <w:rPr>
          <w:b/>
          <w:i/>
        </w:rPr>
        <w:t>Synthetic gas generating activities</w:t>
      </w:r>
      <w:r w:rsidRPr="00097A86">
        <w:t xml:space="preserve">, for emissions of sulphur hexafluoride, are any activities of a facility </w:t>
      </w:r>
      <w:r w:rsidR="00FE33F0" w:rsidRPr="00097A86">
        <w:t>that:</w:t>
      </w:r>
    </w:p>
    <w:p w14:paraId="784DAA06" w14:textId="77777777" w:rsidR="00FE33F0" w:rsidRPr="00097A86" w:rsidRDefault="00FE33F0" w:rsidP="00FE33F0">
      <w:pPr>
        <w:pStyle w:val="paragraph"/>
      </w:pPr>
      <w:r w:rsidRPr="00097A86">
        <w:tab/>
        <w:t>(a)</w:t>
      </w:r>
      <w:r w:rsidRPr="00097A86">
        <w:tab/>
        <w:t>require the use of any equipment mentioned in paragraph</w:t>
      </w:r>
      <w:r w:rsidR="00097A86">
        <w:t> </w:t>
      </w:r>
      <w:r w:rsidRPr="00097A86">
        <w:t>4.16(1)(d) of the Regulations; and</w:t>
      </w:r>
    </w:p>
    <w:p w14:paraId="56809A85" w14:textId="77777777" w:rsidR="00FE33F0" w:rsidRPr="00097A86" w:rsidRDefault="00FE33F0" w:rsidP="00FE33F0">
      <w:pPr>
        <w:pStyle w:val="paragraph"/>
      </w:pPr>
      <w:r w:rsidRPr="00097A86">
        <w:tab/>
        <w:t>(b)</w:t>
      </w:r>
      <w:r w:rsidRPr="00097A86">
        <w:tab/>
        <w:t>emit sulphur hexafluoride.</w:t>
      </w:r>
    </w:p>
    <w:p w14:paraId="1EB4C15A" w14:textId="77777777" w:rsidR="003F0D4E" w:rsidRPr="00097A86" w:rsidRDefault="003F0D4E" w:rsidP="00462777">
      <w:pPr>
        <w:pStyle w:val="ActHead5"/>
      </w:pPr>
      <w:bookmarkStart w:id="508" w:name="_Toc13233940"/>
      <w:r w:rsidRPr="00097A86">
        <w:t>4.101</w:t>
      </w:r>
      <w:r w:rsidR="00D22D3F" w:rsidRPr="00097A86">
        <w:t xml:space="preserve">  </w:t>
      </w:r>
      <w:r w:rsidRPr="00097A86">
        <w:t>Reporting threshold</w:t>
      </w:r>
      <w:bookmarkEnd w:id="508"/>
    </w:p>
    <w:p w14:paraId="176A55CA" w14:textId="77777777" w:rsidR="003F0D4E" w:rsidRPr="00097A86" w:rsidRDefault="003F0D4E" w:rsidP="00D22D3F">
      <w:pPr>
        <w:pStyle w:val="subsection"/>
      </w:pPr>
      <w:r w:rsidRPr="00097A86">
        <w:tab/>
      </w:r>
      <w:r w:rsidRPr="00097A86">
        <w:tab/>
        <w:t>For paragraph</w:t>
      </w:r>
      <w:r w:rsidR="00097A86">
        <w:t> </w:t>
      </w:r>
      <w:r w:rsidRPr="00097A86">
        <w:t>4.22(1)(b) of the Regulations, the threshold mentioned in column 3 of an item in the following table resulting from a provision of this Determination mentioned in column 2 of that item is a reporting threshold.</w:t>
      </w:r>
    </w:p>
    <w:p w14:paraId="6569F3C8"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5"/>
        <w:gridCol w:w="2816"/>
        <w:gridCol w:w="4692"/>
      </w:tblGrid>
      <w:tr w:rsidR="003F0D4E" w:rsidRPr="00097A86" w14:paraId="4149C521" w14:textId="77777777" w:rsidTr="00C20CC2">
        <w:trPr>
          <w:tblHeader/>
        </w:trPr>
        <w:tc>
          <w:tcPr>
            <w:tcW w:w="484" w:type="pct"/>
            <w:tcBorders>
              <w:top w:val="single" w:sz="12" w:space="0" w:color="auto"/>
              <w:bottom w:val="single" w:sz="12" w:space="0" w:color="auto"/>
            </w:tcBorders>
            <w:shd w:val="clear" w:color="auto" w:fill="auto"/>
          </w:tcPr>
          <w:p w14:paraId="2CBA31D9" w14:textId="77777777" w:rsidR="003F0D4E" w:rsidRPr="00097A86" w:rsidRDefault="003F0D4E" w:rsidP="00F72AD4">
            <w:pPr>
              <w:pStyle w:val="TableHeading"/>
            </w:pPr>
            <w:r w:rsidRPr="00097A86">
              <w:t>Item</w:t>
            </w:r>
          </w:p>
        </w:tc>
        <w:tc>
          <w:tcPr>
            <w:tcW w:w="1694" w:type="pct"/>
            <w:tcBorders>
              <w:top w:val="single" w:sz="12" w:space="0" w:color="auto"/>
              <w:bottom w:val="single" w:sz="12" w:space="0" w:color="auto"/>
            </w:tcBorders>
            <w:shd w:val="clear" w:color="auto" w:fill="auto"/>
          </w:tcPr>
          <w:p w14:paraId="7E1724C6" w14:textId="77777777" w:rsidR="003F0D4E" w:rsidRPr="00097A86" w:rsidRDefault="003F0D4E" w:rsidP="00F72AD4">
            <w:pPr>
              <w:pStyle w:val="TableHeading"/>
            </w:pPr>
            <w:r w:rsidRPr="00097A86">
              <w:t>Provision in Determination</w:t>
            </w:r>
          </w:p>
        </w:tc>
        <w:tc>
          <w:tcPr>
            <w:tcW w:w="2822" w:type="pct"/>
            <w:tcBorders>
              <w:top w:val="single" w:sz="12" w:space="0" w:color="auto"/>
              <w:bottom w:val="single" w:sz="12" w:space="0" w:color="auto"/>
            </w:tcBorders>
            <w:shd w:val="clear" w:color="auto" w:fill="auto"/>
          </w:tcPr>
          <w:p w14:paraId="58EAC30E" w14:textId="77777777" w:rsidR="003F0D4E" w:rsidRPr="00097A86" w:rsidRDefault="003F0D4E" w:rsidP="00F72AD4">
            <w:pPr>
              <w:pStyle w:val="TableHeading"/>
            </w:pPr>
            <w:r w:rsidRPr="00097A86">
              <w:t>Threshold</w:t>
            </w:r>
          </w:p>
        </w:tc>
      </w:tr>
      <w:tr w:rsidR="003F0D4E" w:rsidRPr="00097A86" w14:paraId="61BAAC92" w14:textId="77777777" w:rsidTr="00C20CC2">
        <w:tc>
          <w:tcPr>
            <w:tcW w:w="484" w:type="pct"/>
            <w:tcBorders>
              <w:top w:val="single" w:sz="12" w:space="0" w:color="auto"/>
              <w:bottom w:val="single" w:sz="4" w:space="0" w:color="auto"/>
            </w:tcBorders>
            <w:shd w:val="clear" w:color="auto" w:fill="auto"/>
          </w:tcPr>
          <w:p w14:paraId="461C630C" w14:textId="77777777" w:rsidR="003F0D4E" w:rsidRPr="00097A86" w:rsidRDefault="003F0D4E" w:rsidP="00D22D3F">
            <w:pPr>
              <w:pStyle w:val="Tabletext"/>
            </w:pPr>
            <w:r w:rsidRPr="00097A86">
              <w:t>1</w:t>
            </w:r>
          </w:p>
        </w:tc>
        <w:tc>
          <w:tcPr>
            <w:tcW w:w="1694" w:type="pct"/>
            <w:tcBorders>
              <w:top w:val="single" w:sz="12" w:space="0" w:color="auto"/>
              <w:bottom w:val="single" w:sz="4" w:space="0" w:color="auto"/>
            </w:tcBorders>
            <w:shd w:val="clear" w:color="auto" w:fill="auto"/>
          </w:tcPr>
          <w:p w14:paraId="4A1097F4" w14:textId="77777777" w:rsidR="003F0D4E" w:rsidRPr="00097A86" w:rsidRDefault="003F0D4E" w:rsidP="008B3C78">
            <w:pPr>
              <w:pStyle w:val="Tabletext"/>
            </w:pPr>
            <w:r w:rsidRPr="00097A86">
              <w:t>Subparagraph 4.100(1)(a)(ii)</w:t>
            </w:r>
          </w:p>
        </w:tc>
        <w:tc>
          <w:tcPr>
            <w:tcW w:w="2822" w:type="pct"/>
            <w:tcBorders>
              <w:top w:val="single" w:sz="12" w:space="0" w:color="auto"/>
              <w:bottom w:val="single" w:sz="4" w:space="0" w:color="auto"/>
            </w:tcBorders>
            <w:shd w:val="clear" w:color="auto" w:fill="auto"/>
          </w:tcPr>
          <w:p w14:paraId="79A24840" w14:textId="77777777" w:rsidR="003F0D4E" w:rsidRPr="00097A86" w:rsidRDefault="003F0D4E" w:rsidP="00D22D3F">
            <w:pPr>
              <w:pStyle w:val="Tabletext"/>
            </w:pPr>
            <w:r w:rsidRPr="00097A86">
              <w:t>100 kilograms for each unit (hydrofluorocarbons)</w:t>
            </w:r>
          </w:p>
        </w:tc>
      </w:tr>
      <w:tr w:rsidR="003F0D4E" w:rsidRPr="00097A86" w14:paraId="124A97B2" w14:textId="77777777" w:rsidTr="00C20CC2">
        <w:tc>
          <w:tcPr>
            <w:tcW w:w="484" w:type="pct"/>
            <w:tcBorders>
              <w:bottom w:val="single" w:sz="12" w:space="0" w:color="auto"/>
            </w:tcBorders>
            <w:shd w:val="clear" w:color="auto" w:fill="auto"/>
          </w:tcPr>
          <w:p w14:paraId="517B377A" w14:textId="77777777" w:rsidR="003F0D4E" w:rsidRPr="00097A86" w:rsidRDefault="003F0D4E" w:rsidP="00D22D3F">
            <w:pPr>
              <w:pStyle w:val="Tabletext"/>
            </w:pPr>
            <w:r w:rsidRPr="00097A86">
              <w:t>2</w:t>
            </w:r>
          </w:p>
        </w:tc>
        <w:tc>
          <w:tcPr>
            <w:tcW w:w="1694" w:type="pct"/>
            <w:tcBorders>
              <w:bottom w:val="single" w:sz="12" w:space="0" w:color="auto"/>
            </w:tcBorders>
            <w:shd w:val="clear" w:color="auto" w:fill="auto"/>
          </w:tcPr>
          <w:p w14:paraId="7F0C265F" w14:textId="77777777" w:rsidR="003F0D4E" w:rsidRPr="00097A86" w:rsidRDefault="003F0D4E" w:rsidP="008B3C78">
            <w:pPr>
              <w:pStyle w:val="Tabletext"/>
            </w:pPr>
            <w:r w:rsidRPr="00097A86">
              <w:t>Subsection</w:t>
            </w:r>
            <w:r w:rsidR="00097A86">
              <w:t> </w:t>
            </w:r>
            <w:r w:rsidRPr="00097A86">
              <w:t>4.100(2)</w:t>
            </w:r>
          </w:p>
        </w:tc>
        <w:tc>
          <w:tcPr>
            <w:tcW w:w="2822" w:type="pct"/>
            <w:tcBorders>
              <w:bottom w:val="single" w:sz="12" w:space="0" w:color="auto"/>
            </w:tcBorders>
            <w:shd w:val="clear" w:color="auto" w:fill="auto"/>
          </w:tcPr>
          <w:p w14:paraId="10290FAA" w14:textId="77777777" w:rsidR="003F0D4E" w:rsidRPr="00097A86" w:rsidRDefault="003F0D4E" w:rsidP="00D22D3F">
            <w:pPr>
              <w:pStyle w:val="Tabletext"/>
            </w:pPr>
            <w:r w:rsidRPr="00097A86">
              <w:t>Any emission (sulphur hexafluoride)</w:t>
            </w:r>
          </w:p>
        </w:tc>
      </w:tr>
    </w:tbl>
    <w:p w14:paraId="52AA3E36" w14:textId="77777777" w:rsidR="003F0D4E" w:rsidRPr="00097A86" w:rsidRDefault="003F0D4E" w:rsidP="00D22D3F">
      <w:pPr>
        <w:pStyle w:val="ActHead5"/>
      </w:pPr>
      <w:bookmarkStart w:id="509" w:name="_Toc13233941"/>
      <w:r w:rsidRPr="00097A86">
        <w:rPr>
          <w:rStyle w:val="CharSectno"/>
        </w:rPr>
        <w:t>4.102</w:t>
      </w:r>
      <w:r w:rsidR="00D22D3F" w:rsidRPr="00097A86">
        <w:t xml:space="preserve">  </w:t>
      </w:r>
      <w:r w:rsidRPr="00097A86">
        <w:t>Method 1</w:t>
      </w:r>
      <w:bookmarkEnd w:id="509"/>
    </w:p>
    <w:p w14:paraId="68218072" w14:textId="77777777" w:rsidR="003F0D4E" w:rsidRPr="00097A86" w:rsidRDefault="003F0D4E" w:rsidP="00D22D3F">
      <w:pPr>
        <w:pStyle w:val="subsection"/>
      </w:pPr>
      <w:r w:rsidRPr="00097A86">
        <w:tab/>
        <w:t>(1)</w:t>
      </w:r>
      <w:r w:rsidRPr="00097A86">
        <w:tab/>
        <w:t>Method 1 is:</w:t>
      </w:r>
    </w:p>
    <w:p w14:paraId="684985A8" w14:textId="77777777" w:rsidR="003F0D4E" w:rsidRPr="00097A86" w:rsidRDefault="00D22D3F" w:rsidP="00D22D3F">
      <w:pPr>
        <w:pStyle w:val="subsection"/>
        <w:spacing w:before="120" w:after="120"/>
        <w:rPr>
          <w:sz w:val="20"/>
        </w:rPr>
      </w:pPr>
      <w:r w:rsidRPr="00097A86">
        <w:tab/>
      </w:r>
      <w:r w:rsidRPr="00097A86">
        <w:rPr>
          <w:sz w:val="20"/>
        </w:rPr>
        <w:tab/>
      </w:r>
      <w:r w:rsidR="009E1F90">
        <w:rPr>
          <w:noProof/>
          <w:sz w:val="20"/>
        </w:rPr>
        <w:drawing>
          <wp:inline distT="0" distB="0" distL="0" distR="0" wp14:anchorId="74D2B969" wp14:editId="531FF88A">
            <wp:extent cx="1152525" cy="200025"/>
            <wp:effectExtent l="0" t="0" r="9525" b="9525"/>
            <wp:docPr id="8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14:paraId="67995B9D" w14:textId="77777777" w:rsidR="003F0D4E" w:rsidRPr="00097A86" w:rsidRDefault="003F0D4E" w:rsidP="00D22D3F">
      <w:pPr>
        <w:pStyle w:val="Definition"/>
      </w:pPr>
      <w:r w:rsidRPr="00097A86">
        <w:t>where:</w:t>
      </w:r>
    </w:p>
    <w:p w14:paraId="015C9139" w14:textId="77777777" w:rsidR="003F0D4E" w:rsidRPr="00097A86" w:rsidRDefault="003F0D4E" w:rsidP="00D22D3F">
      <w:pPr>
        <w:pStyle w:val="Definition"/>
      </w:pPr>
      <w:r w:rsidRPr="00097A86">
        <w:rPr>
          <w:b/>
          <w:i/>
        </w:rPr>
        <w:t>E</w:t>
      </w:r>
      <w:r w:rsidRPr="00097A86">
        <w:rPr>
          <w:b/>
          <w:i/>
          <w:vertAlign w:val="subscript"/>
        </w:rPr>
        <w:t xml:space="preserve">jk </w:t>
      </w:r>
      <w:r w:rsidRPr="00097A86">
        <w:t>is the emissions of gas type (</w:t>
      </w:r>
      <w:r w:rsidRPr="00097A86">
        <w:rPr>
          <w:b/>
          <w:i/>
        </w:rPr>
        <w:t>j</w:t>
      </w:r>
      <w:r w:rsidRPr="00097A86">
        <w:t>), either hydrofluorocarbons or sulphur hexafluoride, summed over each equipment type (</w:t>
      </w:r>
      <w:r w:rsidRPr="00097A86">
        <w:rPr>
          <w:b/>
          <w:i/>
        </w:rPr>
        <w:t>k</w:t>
      </w:r>
      <w:r w:rsidRPr="00097A86">
        <w:t>) during a year measured in CO</w:t>
      </w:r>
      <w:r w:rsidRPr="00097A86">
        <w:rPr>
          <w:vertAlign w:val="subscript"/>
        </w:rPr>
        <w:t>2</w:t>
      </w:r>
      <w:r w:rsidR="00097A86">
        <w:noBreakHyphen/>
      </w:r>
      <w:r w:rsidRPr="00097A86">
        <w:t>e tonnes.</w:t>
      </w:r>
    </w:p>
    <w:p w14:paraId="573BDC7F" w14:textId="77777777" w:rsidR="003F0D4E" w:rsidRPr="00097A86" w:rsidRDefault="003F0D4E" w:rsidP="00D22D3F">
      <w:pPr>
        <w:pStyle w:val="Definition"/>
      </w:pPr>
      <w:r w:rsidRPr="00097A86">
        <w:rPr>
          <w:b/>
          <w:i/>
        </w:rPr>
        <w:t>Stock</w:t>
      </w:r>
      <w:r w:rsidRPr="00097A86">
        <w:rPr>
          <w:b/>
          <w:i/>
          <w:vertAlign w:val="subscript"/>
        </w:rPr>
        <w:t>jk</w:t>
      </w:r>
      <w:r w:rsidRPr="00097A86">
        <w:rPr>
          <w:b/>
          <w:i/>
        </w:rPr>
        <w:t xml:space="preserve"> </w:t>
      </w:r>
      <w:r w:rsidRPr="00097A86">
        <w:t>is the stock of gas type (</w:t>
      </w:r>
      <w:r w:rsidRPr="00097A86">
        <w:rPr>
          <w:b/>
          <w:i/>
        </w:rPr>
        <w:t>j</w:t>
      </w:r>
      <w:r w:rsidRPr="00097A86">
        <w:t>), either hydrofluorocarbons or sulphur hexafluoride, contained in equipment type (</w:t>
      </w:r>
      <w:r w:rsidRPr="00097A86">
        <w:rPr>
          <w:b/>
          <w:i/>
        </w:rPr>
        <w:t>k</w:t>
      </w:r>
      <w:r w:rsidRPr="00097A86">
        <w:t>) during a year measured in CO</w:t>
      </w:r>
      <w:r w:rsidRPr="00097A86">
        <w:rPr>
          <w:vertAlign w:val="subscript"/>
        </w:rPr>
        <w:t>2</w:t>
      </w:r>
      <w:r w:rsidR="00097A86">
        <w:noBreakHyphen/>
      </w:r>
      <w:r w:rsidRPr="00097A86">
        <w:t>e tonnes.</w:t>
      </w:r>
    </w:p>
    <w:p w14:paraId="2E86D519" w14:textId="77777777" w:rsidR="003F0D4E" w:rsidRPr="00097A86" w:rsidRDefault="003F0D4E" w:rsidP="00D22D3F">
      <w:pPr>
        <w:pStyle w:val="Definition"/>
      </w:pPr>
      <w:r w:rsidRPr="00097A86">
        <w:rPr>
          <w:b/>
          <w:i/>
        </w:rPr>
        <w:t>L</w:t>
      </w:r>
      <w:r w:rsidRPr="00097A86">
        <w:rPr>
          <w:b/>
          <w:i/>
          <w:vertAlign w:val="subscript"/>
        </w:rPr>
        <w:t xml:space="preserve">jk </w:t>
      </w:r>
      <w:r w:rsidRPr="00097A86">
        <w:t>is the default leakage rates for a year of gas type (</w:t>
      </w:r>
      <w:r w:rsidRPr="00097A86">
        <w:rPr>
          <w:b/>
          <w:i/>
        </w:rPr>
        <w:t>j</w:t>
      </w:r>
      <w:r w:rsidRPr="00097A86">
        <w:t xml:space="preserve">) mentioned in columns 3 or 4 of an item in the table in </w:t>
      </w:r>
      <w:r w:rsidR="00097A86">
        <w:t>subsection (</w:t>
      </w:r>
      <w:r w:rsidRPr="00097A86">
        <w:t>4) for the equipment type (</w:t>
      </w:r>
      <w:r w:rsidRPr="00097A86">
        <w:rPr>
          <w:b/>
          <w:i/>
        </w:rPr>
        <w:t>k</w:t>
      </w:r>
      <w:r w:rsidRPr="00097A86">
        <w:t>) mentioned in column 2 for that item.</w:t>
      </w:r>
    </w:p>
    <w:p w14:paraId="05A9E0AD" w14:textId="77777777" w:rsidR="003F0D4E" w:rsidRPr="00097A86" w:rsidRDefault="003F0D4E" w:rsidP="00D22D3F">
      <w:pPr>
        <w:pStyle w:val="subsection"/>
      </w:pPr>
      <w:r w:rsidRPr="00097A86">
        <w:lastRenderedPageBreak/>
        <w:tab/>
        <w:t>(2)</w:t>
      </w:r>
      <w:r w:rsidRPr="00097A86">
        <w:tab/>
        <w:t xml:space="preserve">For the factor </w:t>
      </w:r>
      <w:r w:rsidRPr="00097A86">
        <w:rPr>
          <w:b/>
          <w:i/>
        </w:rPr>
        <w:t>Stock</w:t>
      </w:r>
      <w:r w:rsidRPr="00097A86">
        <w:rPr>
          <w:b/>
          <w:i/>
          <w:vertAlign w:val="subscript"/>
        </w:rPr>
        <w:t>jk</w:t>
      </w:r>
      <w:r w:rsidRPr="00097A86">
        <w:t xml:space="preserve">, an estimation of the stock of synthetic gases contained in an equipment type must be based on </w:t>
      </w:r>
      <w:r w:rsidR="009369D1" w:rsidRPr="00097A86">
        <w:t xml:space="preserve">one of </w:t>
      </w:r>
      <w:r w:rsidRPr="00097A86">
        <w:t>the following sources:</w:t>
      </w:r>
    </w:p>
    <w:p w14:paraId="611CEFFD" w14:textId="77777777" w:rsidR="003F0D4E" w:rsidRPr="00097A86" w:rsidRDefault="003F0D4E" w:rsidP="00D22D3F">
      <w:pPr>
        <w:pStyle w:val="paragraph"/>
      </w:pPr>
      <w:r w:rsidRPr="00097A86">
        <w:tab/>
        <w:t>(a)</w:t>
      </w:r>
      <w:r w:rsidRPr="00097A86">
        <w:tab/>
        <w:t>the stated capacity of the equipment according to the manufacturer’s nameplate;</w:t>
      </w:r>
    </w:p>
    <w:p w14:paraId="2E2F9E05" w14:textId="77777777" w:rsidR="003F0D4E" w:rsidRPr="00097A86" w:rsidRDefault="003F0D4E" w:rsidP="00D22D3F">
      <w:pPr>
        <w:pStyle w:val="paragraph"/>
      </w:pPr>
      <w:r w:rsidRPr="00097A86">
        <w:tab/>
        <w:t>(b)</w:t>
      </w:r>
      <w:r w:rsidRPr="00097A86">
        <w:tab/>
        <w:t>estimates based on:</w:t>
      </w:r>
    </w:p>
    <w:p w14:paraId="73CDE8E0" w14:textId="77777777" w:rsidR="003F0D4E" w:rsidRPr="00097A86" w:rsidRDefault="003F0D4E" w:rsidP="00D22D3F">
      <w:pPr>
        <w:pStyle w:val="paragraphsub"/>
      </w:pPr>
      <w:r w:rsidRPr="00097A86">
        <w:tab/>
        <w:t>(i)</w:t>
      </w:r>
      <w:r w:rsidRPr="00097A86">
        <w:tab/>
        <w:t>the opening stock of gas in the equipment; and</w:t>
      </w:r>
    </w:p>
    <w:p w14:paraId="3D6BC905" w14:textId="77777777" w:rsidR="003F0D4E" w:rsidRPr="00097A86" w:rsidRDefault="003F0D4E" w:rsidP="00D22D3F">
      <w:pPr>
        <w:pStyle w:val="paragraphsub"/>
      </w:pPr>
      <w:r w:rsidRPr="00097A86">
        <w:tab/>
        <w:t>(ii)</w:t>
      </w:r>
      <w:r w:rsidRPr="00097A86">
        <w:tab/>
        <w:t>transfers into the facility from additions of gas from purchases of new equipment and replenishments; and</w:t>
      </w:r>
    </w:p>
    <w:p w14:paraId="6B0B912B" w14:textId="77777777" w:rsidR="003F0D4E" w:rsidRPr="00097A86" w:rsidRDefault="003F0D4E" w:rsidP="00D22D3F">
      <w:pPr>
        <w:pStyle w:val="paragraphsub"/>
      </w:pPr>
      <w:r w:rsidRPr="00097A86">
        <w:tab/>
        <w:t>(iii)</w:t>
      </w:r>
      <w:r w:rsidRPr="00097A86">
        <w:tab/>
        <w:t>transfers out of the facility from disposal of equipment or gas.</w:t>
      </w:r>
    </w:p>
    <w:p w14:paraId="35CCFBFC" w14:textId="77777777" w:rsidR="003F0D4E" w:rsidRPr="00097A86" w:rsidRDefault="003F0D4E" w:rsidP="00D22D3F">
      <w:pPr>
        <w:pStyle w:val="subsection"/>
      </w:pPr>
      <w:r w:rsidRPr="00097A86">
        <w:tab/>
        <w:t>(3)</w:t>
      </w:r>
      <w:r w:rsidRPr="00097A86">
        <w:tab/>
        <w:t>For equipment type (</w:t>
      </w:r>
      <w:r w:rsidRPr="00097A86">
        <w:rPr>
          <w:b/>
          <w:i/>
        </w:rPr>
        <w:t>k</w:t>
      </w:r>
      <w:r w:rsidRPr="00097A86">
        <w:t>), the equipment are the things mentioned in subregulation</w:t>
      </w:r>
      <w:r w:rsidR="00097A86">
        <w:t> </w:t>
      </w:r>
      <w:r w:rsidRPr="00097A86">
        <w:t>4.16(1) of the Regulations.</w:t>
      </w:r>
    </w:p>
    <w:p w14:paraId="13EBB29D" w14:textId="77777777" w:rsidR="003F0D4E" w:rsidRPr="00097A86" w:rsidRDefault="003F0D4E" w:rsidP="00D22D3F">
      <w:pPr>
        <w:pStyle w:val="subsection"/>
      </w:pPr>
      <w:r w:rsidRPr="00097A86">
        <w:tab/>
        <w:t>(4)</w:t>
      </w:r>
      <w:r w:rsidRPr="00097A86">
        <w:tab/>
        <w:t xml:space="preserve">For </w:t>
      </w:r>
      <w:r w:rsidR="00097A86">
        <w:t>subsection (</w:t>
      </w:r>
      <w:r w:rsidRPr="00097A86">
        <w:t>1), columns 3 and 4 of an item in the following table set out default leakage rates of gas type (</w:t>
      </w:r>
      <w:r w:rsidRPr="00097A86">
        <w:rPr>
          <w:b/>
          <w:i/>
        </w:rPr>
        <w:t>j</w:t>
      </w:r>
      <w:r w:rsidRPr="00097A86">
        <w:t>), for either hydrofluorocarbons or sulphur hexafluoride, in relation to particular equipment types (</w:t>
      </w:r>
      <w:r w:rsidRPr="00097A86">
        <w:rPr>
          <w:b/>
          <w:i/>
        </w:rPr>
        <w:t>k</w:t>
      </w:r>
      <w:r w:rsidRPr="00097A86">
        <w:t>) mentioned in column 2 of the item:</w:t>
      </w:r>
    </w:p>
    <w:p w14:paraId="542FF020" w14:textId="77777777" w:rsidR="00D22D3F" w:rsidRPr="00097A86" w:rsidRDefault="00D22D3F" w:rsidP="00D22D3F">
      <w:pPr>
        <w:pStyle w:val="Tabletext"/>
      </w:pPr>
    </w:p>
    <w:tbl>
      <w:tblPr>
        <w:tblW w:w="5000" w:type="pct"/>
        <w:tblLook w:val="0000" w:firstRow="0" w:lastRow="0" w:firstColumn="0" w:lastColumn="0" w:noHBand="0" w:noVBand="0"/>
      </w:tblPr>
      <w:tblGrid>
        <w:gridCol w:w="805"/>
        <w:gridCol w:w="2816"/>
        <w:gridCol w:w="2346"/>
        <w:gridCol w:w="2346"/>
      </w:tblGrid>
      <w:tr w:rsidR="003F0D4E" w:rsidRPr="00097A86" w14:paraId="3DA0F8D8" w14:textId="77777777" w:rsidTr="00C20CC2">
        <w:trPr>
          <w:cantSplit/>
          <w:tblHeader/>
        </w:trPr>
        <w:tc>
          <w:tcPr>
            <w:tcW w:w="484" w:type="pct"/>
            <w:vMerge w:val="restart"/>
            <w:tcBorders>
              <w:top w:val="single" w:sz="12" w:space="0" w:color="auto"/>
            </w:tcBorders>
          </w:tcPr>
          <w:p w14:paraId="4E1BD337" w14:textId="77777777" w:rsidR="003F0D4E" w:rsidRPr="00097A86" w:rsidRDefault="003F0D4E" w:rsidP="00F72AD4">
            <w:pPr>
              <w:pStyle w:val="TableHeading"/>
            </w:pPr>
            <w:r w:rsidRPr="00097A86">
              <w:t>Item</w:t>
            </w:r>
          </w:p>
        </w:tc>
        <w:tc>
          <w:tcPr>
            <w:tcW w:w="1694" w:type="pct"/>
            <w:vMerge w:val="restart"/>
            <w:tcBorders>
              <w:top w:val="single" w:sz="12" w:space="0" w:color="auto"/>
            </w:tcBorders>
          </w:tcPr>
          <w:p w14:paraId="1C82CBC9" w14:textId="77777777" w:rsidR="003F0D4E" w:rsidRPr="00097A86" w:rsidRDefault="003F0D4E" w:rsidP="00F72AD4">
            <w:pPr>
              <w:pStyle w:val="TableHeading"/>
            </w:pPr>
            <w:r w:rsidRPr="00097A86">
              <w:t>Equipment type (k)</w:t>
            </w:r>
          </w:p>
        </w:tc>
        <w:tc>
          <w:tcPr>
            <w:tcW w:w="2822" w:type="pct"/>
            <w:gridSpan w:val="2"/>
            <w:tcBorders>
              <w:top w:val="single" w:sz="12" w:space="0" w:color="auto"/>
              <w:bottom w:val="single" w:sz="4" w:space="0" w:color="auto"/>
            </w:tcBorders>
          </w:tcPr>
          <w:p w14:paraId="60D09996" w14:textId="77777777" w:rsidR="003F0D4E" w:rsidRPr="00097A86" w:rsidRDefault="003F0D4E" w:rsidP="00F72AD4">
            <w:pPr>
              <w:pStyle w:val="TableHeading"/>
            </w:pPr>
            <w:r w:rsidRPr="00097A86">
              <w:t>Default annual leakage rate of gas (j)</w:t>
            </w:r>
          </w:p>
        </w:tc>
      </w:tr>
      <w:tr w:rsidR="003F0D4E" w:rsidRPr="00097A86" w14:paraId="4E275E33" w14:textId="77777777" w:rsidTr="00C20CC2">
        <w:trPr>
          <w:cantSplit/>
          <w:tblHeader/>
        </w:trPr>
        <w:tc>
          <w:tcPr>
            <w:tcW w:w="484" w:type="pct"/>
            <w:vMerge/>
            <w:tcBorders>
              <w:bottom w:val="single" w:sz="12" w:space="0" w:color="auto"/>
            </w:tcBorders>
          </w:tcPr>
          <w:p w14:paraId="637738C7" w14:textId="77777777" w:rsidR="003F0D4E" w:rsidRPr="00097A86" w:rsidRDefault="003F0D4E" w:rsidP="00F72AD4">
            <w:pPr>
              <w:pStyle w:val="TableHeading"/>
            </w:pPr>
          </w:p>
        </w:tc>
        <w:tc>
          <w:tcPr>
            <w:tcW w:w="1694" w:type="pct"/>
            <w:vMerge/>
            <w:tcBorders>
              <w:bottom w:val="single" w:sz="12" w:space="0" w:color="auto"/>
            </w:tcBorders>
          </w:tcPr>
          <w:p w14:paraId="6FCA20FA" w14:textId="77777777" w:rsidR="003F0D4E" w:rsidRPr="00097A86" w:rsidRDefault="003F0D4E" w:rsidP="00F72AD4">
            <w:pPr>
              <w:pStyle w:val="TableHeading"/>
            </w:pPr>
          </w:p>
        </w:tc>
        <w:tc>
          <w:tcPr>
            <w:tcW w:w="1411" w:type="pct"/>
            <w:tcBorders>
              <w:top w:val="single" w:sz="4" w:space="0" w:color="auto"/>
              <w:bottom w:val="single" w:sz="12" w:space="0" w:color="auto"/>
            </w:tcBorders>
          </w:tcPr>
          <w:p w14:paraId="38600C3C" w14:textId="77777777" w:rsidR="003F0D4E" w:rsidRPr="00097A86" w:rsidRDefault="003F0D4E" w:rsidP="00F72AD4">
            <w:pPr>
              <w:pStyle w:val="TableHeading"/>
            </w:pPr>
            <w:r w:rsidRPr="00097A86">
              <w:t xml:space="preserve">Hydrofluorocarbons </w:t>
            </w:r>
          </w:p>
        </w:tc>
        <w:tc>
          <w:tcPr>
            <w:tcW w:w="1411" w:type="pct"/>
            <w:tcBorders>
              <w:top w:val="single" w:sz="4" w:space="0" w:color="auto"/>
              <w:bottom w:val="single" w:sz="12" w:space="0" w:color="auto"/>
            </w:tcBorders>
          </w:tcPr>
          <w:p w14:paraId="57C2258C" w14:textId="77777777" w:rsidR="003F0D4E" w:rsidRPr="00097A86" w:rsidRDefault="003F0D4E" w:rsidP="00F72AD4">
            <w:pPr>
              <w:pStyle w:val="TableHeading"/>
            </w:pPr>
            <w:r w:rsidRPr="00097A86">
              <w:t>Sulphur hexafluoride</w:t>
            </w:r>
          </w:p>
        </w:tc>
      </w:tr>
      <w:tr w:rsidR="003F0D4E" w:rsidRPr="00097A86" w14:paraId="5C306620" w14:textId="77777777" w:rsidTr="00C20CC2">
        <w:trPr>
          <w:cantSplit/>
        </w:trPr>
        <w:tc>
          <w:tcPr>
            <w:tcW w:w="484" w:type="pct"/>
            <w:tcBorders>
              <w:top w:val="single" w:sz="12" w:space="0" w:color="auto"/>
              <w:bottom w:val="single" w:sz="4" w:space="0" w:color="auto"/>
            </w:tcBorders>
          </w:tcPr>
          <w:p w14:paraId="5755AB69" w14:textId="77777777" w:rsidR="003F0D4E" w:rsidRPr="00097A86" w:rsidRDefault="003F0D4E" w:rsidP="00D22D3F">
            <w:pPr>
              <w:pStyle w:val="Tabletext"/>
            </w:pPr>
            <w:r w:rsidRPr="00097A86">
              <w:t>1</w:t>
            </w:r>
          </w:p>
        </w:tc>
        <w:tc>
          <w:tcPr>
            <w:tcW w:w="1694" w:type="pct"/>
            <w:tcBorders>
              <w:top w:val="single" w:sz="12" w:space="0" w:color="auto"/>
              <w:bottom w:val="single" w:sz="4" w:space="0" w:color="auto"/>
            </w:tcBorders>
          </w:tcPr>
          <w:p w14:paraId="0C9DAFAB" w14:textId="77777777" w:rsidR="003F0D4E" w:rsidRPr="00097A86" w:rsidRDefault="003F0D4E" w:rsidP="00D22D3F">
            <w:pPr>
              <w:pStyle w:val="Tabletext"/>
            </w:pPr>
            <w:r w:rsidRPr="00097A86">
              <w:t>Commercial air conditioning</w:t>
            </w:r>
          </w:p>
        </w:tc>
        <w:tc>
          <w:tcPr>
            <w:tcW w:w="1411" w:type="pct"/>
            <w:tcBorders>
              <w:top w:val="single" w:sz="12" w:space="0" w:color="auto"/>
              <w:bottom w:val="single" w:sz="4" w:space="0" w:color="auto"/>
            </w:tcBorders>
          </w:tcPr>
          <w:p w14:paraId="1868E267" w14:textId="77777777" w:rsidR="003F0D4E" w:rsidRPr="00097A86" w:rsidRDefault="003F0D4E" w:rsidP="00D22D3F">
            <w:pPr>
              <w:pStyle w:val="Tabletext"/>
            </w:pPr>
            <w:r w:rsidRPr="00097A86">
              <w:t>0.09</w:t>
            </w:r>
          </w:p>
        </w:tc>
        <w:tc>
          <w:tcPr>
            <w:tcW w:w="1411" w:type="pct"/>
            <w:tcBorders>
              <w:top w:val="single" w:sz="12" w:space="0" w:color="auto"/>
              <w:bottom w:val="single" w:sz="4" w:space="0" w:color="auto"/>
            </w:tcBorders>
          </w:tcPr>
          <w:p w14:paraId="0AC25480" w14:textId="77777777" w:rsidR="003F0D4E" w:rsidRPr="00097A86" w:rsidRDefault="003F0D4E" w:rsidP="00D22D3F">
            <w:pPr>
              <w:pStyle w:val="Tabletext"/>
            </w:pPr>
          </w:p>
        </w:tc>
      </w:tr>
      <w:tr w:rsidR="003F0D4E" w:rsidRPr="00097A86" w14:paraId="1BC67B44" w14:textId="77777777" w:rsidTr="00C20CC2">
        <w:trPr>
          <w:cantSplit/>
        </w:trPr>
        <w:tc>
          <w:tcPr>
            <w:tcW w:w="484" w:type="pct"/>
            <w:tcBorders>
              <w:top w:val="single" w:sz="4" w:space="0" w:color="auto"/>
              <w:bottom w:val="single" w:sz="4" w:space="0" w:color="auto"/>
            </w:tcBorders>
          </w:tcPr>
          <w:p w14:paraId="47CAB93C" w14:textId="77777777" w:rsidR="003F0D4E" w:rsidRPr="00097A86" w:rsidRDefault="003F0D4E" w:rsidP="00D22D3F">
            <w:pPr>
              <w:pStyle w:val="Tabletext"/>
            </w:pPr>
            <w:r w:rsidRPr="00097A86">
              <w:t>2</w:t>
            </w:r>
          </w:p>
        </w:tc>
        <w:tc>
          <w:tcPr>
            <w:tcW w:w="1694" w:type="pct"/>
            <w:tcBorders>
              <w:top w:val="single" w:sz="4" w:space="0" w:color="auto"/>
              <w:bottom w:val="single" w:sz="4" w:space="0" w:color="auto"/>
            </w:tcBorders>
          </w:tcPr>
          <w:p w14:paraId="473103F2" w14:textId="77777777" w:rsidR="003F0D4E" w:rsidRPr="00097A86" w:rsidRDefault="003F0D4E" w:rsidP="00D22D3F">
            <w:pPr>
              <w:pStyle w:val="Tabletext"/>
            </w:pPr>
            <w:r w:rsidRPr="00097A86">
              <w:t>Commercial refrigeration</w:t>
            </w:r>
          </w:p>
        </w:tc>
        <w:tc>
          <w:tcPr>
            <w:tcW w:w="1411" w:type="pct"/>
            <w:tcBorders>
              <w:top w:val="single" w:sz="4" w:space="0" w:color="auto"/>
              <w:bottom w:val="single" w:sz="4" w:space="0" w:color="auto"/>
            </w:tcBorders>
          </w:tcPr>
          <w:p w14:paraId="3E7129E4" w14:textId="77777777" w:rsidR="003F0D4E" w:rsidRPr="00097A86" w:rsidRDefault="003F0D4E" w:rsidP="00D22D3F">
            <w:pPr>
              <w:pStyle w:val="Tabletext"/>
            </w:pPr>
            <w:r w:rsidRPr="00097A86">
              <w:t>0.23</w:t>
            </w:r>
          </w:p>
        </w:tc>
        <w:tc>
          <w:tcPr>
            <w:tcW w:w="1411" w:type="pct"/>
            <w:tcBorders>
              <w:top w:val="single" w:sz="4" w:space="0" w:color="auto"/>
              <w:bottom w:val="single" w:sz="4" w:space="0" w:color="auto"/>
            </w:tcBorders>
          </w:tcPr>
          <w:p w14:paraId="1660D48A" w14:textId="77777777" w:rsidR="003F0D4E" w:rsidRPr="00097A86" w:rsidRDefault="003F0D4E" w:rsidP="00D22D3F">
            <w:pPr>
              <w:pStyle w:val="Tabletext"/>
            </w:pPr>
          </w:p>
        </w:tc>
      </w:tr>
      <w:tr w:rsidR="003F0D4E" w:rsidRPr="00097A86" w14:paraId="2E22FE43" w14:textId="77777777" w:rsidTr="00C20CC2">
        <w:trPr>
          <w:cantSplit/>
        </w:trPr>
        <w:tc>
          <w:tcPr>
            <w:tcW w:w="484" w:type="pct"/>
            <w:tcBorders>
              <w:top w:val="single" w:sz="4" w:space="0" w:color="auto"/>
              <w:bottom w:val="single" w:sz="4" w:space="0" w:color="auto"/>
            </w:tcBorders>
          </w:tcPr>
          <w:p w14:paraId="28739DF8" w14:textId="77777777" w:rsidR="003F0D4E" w:rsidRPr="00097A86" w:rsidRDefault="003F0D4E" w:rsidP="00D22D3F">
            <w:pPr>
              <w:pStyle w:val="Tabletext"/>
            </w:pPr>
            <w:r w:rsidRPr="00097A86">
              <w:t>3</w:t>
            </w:r>
          </w:p>
        </w:tc>
        <w:tc>
          <w:tcPr>
            <w:tcW w:w="1694" w:type="pct"/>
            <w:tcBorders>
              <w:top w:val="single" w:sz="4" w:space="0" w:color="auto"/>
              <w:bottom w:val="single" w:sz="4" w:space="0" w:color="auto"/>
            </w:tcBorders>
          </w:tcPr>
          <w:p w14:paraId="76800AC2" w14:textId="77777777" w:rsidR="003F0D4E" w:rsidRPr="00097A86" w:rsidRDefault="003F0D4E" w:rsidP="00D22D3F">
            <w:pPr>
              <w:pStyle w:val="Tabletext"/>
            </w:pPr>
            <w:r w:rsidRPr="00097A86">
              <w:t>Industrial refrigeration</w:t>
            </w:r>
          </w:p>
        </w:tc>
        <w:tc>
          <w:tcPr>
            <w:tcW w:w="1411" w:type="pct"/>
            <w:tcBorders>
              <w:top w:val="single" w:sz="4" w:space="0" w:color="auto"/>
              <w:bottom w:val="single" w:sz="4" w:space="0" w:color="auto"/>
            </w:tcBorders>
          </w:tcPr>
          <w:p w14:paraId="2929A240" w14:textId="77777777" w:rsidR="003F0D4E" w:rsidRPr="00097A86" w:rsidRDefault="003F0D4E" w:rsidP="00D22D3F">
            <w:pPr>
              <w:pStyle w:val="Tabletext"/>
            </w:pPr>
            <w:r w:rsidRPr="00097A86">
              <w:t>0.16</w:t>
            </w:r>
          </w:p>
        </w:tc>
        <w:tc>
          <w:tcPr>
            <w:tcW w:w="1411" w:type="pct"/>
            <w:tcBorders>
              <w:top w:val="single" w:sz="4" w:space="0" w:color="auto"/>
              <w:bottom w:val="single" w:sz="4" w:space="0" w:color="auto"/>
            </w:tcBorders>
          </w:tcPr>
          <w:p w14:paraId="3D4228C6" w14:textId="77777777" w:rsidR="003F0D4E" w:rsidRPr="00097A86" w:rsidRDefault="003F0D4E" w:rsidP="00D22D3F">
            <w:pPr>
              <w:pStyle w:val="Tabletext"/>
            </w:pPr>
          </w:p>
        </w:tc>
      </w:tr>
      <w:tr w:rsidR="003F0D4E" w:rsidRPr="00097A86" w14:paraId="282246C1" w14:textId="77777777" w:rsidTr="00C20CC2">
        <w:trPr>
          <w:cantSplit/>
        </w:trPr>
        <w:tc>
          <w:tcPr>
            <w:tcW w:w="484" w:type="pct"/>
            <w:tcBorders>
              <w:top w:val="single" w:sz="4" w:space="0" w:color="auto"/>
              <w:bottom w:val="single" w:sz="12" w:space="0" w:color="auto"/>
            </w:tcBorders>
          </w:tcPr>
          <w:p w14:paraId="0F810B03" w14:textId="77777777" w:rsidR="003F0D4E" w:rsidRPr="00097A86" w:rsidRDefault="003F0D4E" w:rsidP="00D22D3F">
            <w:pPr>
              <w:pStyle w:val="Tabletext"/>
            </w:pPr>
            <w:r w:rsidRPr="00097A86">
              <w:t>4</w:t>
            </w:r>
          </w:p>
        </w:tc>
        <w:tc>
          <w:tcPr>
            <w:tcW w:w="1694" w:type="pct"/>
            <w:tcBorders>
              <w:top w:val="single" w:sz="4" w:space="0" w:color="auto"/>
              <w:bottom w:val="single" w:sz="12" w:space="0" w:color="auto"/>
            </w:tcBorders>
          </w:tcPr>
          <w:p w14:paraId="64902E2E" w14:textId="77777777" w:rsidR="003F0D4E" w:rsidRPr="00097A86" w:rsidRDefault="003F0D4E" w:rsidP="00D22D3F">
            <w:pPr>
              <w:pStyle w:val="Tabletext"/>
            </w:pPr>
            <w:r w:rsidRPr="00097A86">
              <w:t>Gas insulated switchgear and circuit breaker applications</w:t>
            </w:r>
          </w:p>
        </w:tc>
        <w:tc>
          <w:tcPr>
            <w:tcW w:w="1411" w:type="pct"/>
            <w:tcBorders>
              <w:top w:val="single" w:sz="4" w:space="0" w:color="auto"/>
              <w:bottom w:val="single" w:sz="12" w:space="0" w:color="auto"/>
            </w:tcBorders>
          </w:tcPr>
          <w:p w14:paraId="0A488E7B" w14:textId="77777777" w:rsidR="003F0D4E" w:rsidRPr="00097A86" w:rsidRDefault="003F0D4E" w:rsidP="00D22D3F">
            <w:pPr>
              <w:pStyle w:val="Tabletext"/>
            </w:pPr>
          </w:p>
        </w:tc>
        <w:tc>
          <w:tcPr>
            <w:tcW w:w="1411" w:type="pct"/>
            <w:tcBorders>
              <w:top w:val="single" w:sz="4" w:space="0" w:color="auto"/>
              <w:bottom w:val="single" w:sz="12" w:space="0" w:color="auto"/>
            </w:tcBorders>
          </w:tcPr>
          <w:p w14:paraId="1C8EAA26" w14:textId="77777777" w:rsidR="003F0D4E" w:rsidRPr="00097A86" w:rsidRDefault="00B2006F" w:rsidP="00D22D3F">
            <w:pPr>
              <w:pStyle w:val="Tabletext"/>
              <w:rPr>
                <w:vertAlign w:val="superscript"/>
              </w:rPr>
            </w:pPr>
            <w:r w:rsidRPr="00097A86">
              <w:t>0.0089</w:t>
            </w:r>
          </w:p>
        </w:tc>
      </w:tr>
    </w:tbl>
    <w:p w14:paraId="46011083" w14:textId="77777777" w:rsidR="009369D1" w:rsidRPr="00097A86" w:rsidRDefault="009369D1" w:rsidP="00D22D3F">
      <w:pPr>
        <w:pStyle w:val="ActHead5"/>
      </w:pPr>
      <w:bookmarkStart w:id="510" w:name="_Toc13233942"/>
      <w:r w:rsidRPr="00097A86">
        <w:rPr>
          <w:rStyle w:val="CharSectno"/>
        </w:rPr>
        <w:t>4.103</w:t>
      </w:r>
      <w:r w:rsidR="00D22D3F" w:rsidRPr="00097A86">
        <w:t xml:space="preserve">  </w:t>
      </w:r>
      <w:r w:rsidRPr="00097A86">
        <w:t>Method 2</w:t>
      </w:r>
      <w:bookmarkEnd w:id="510"/>
    </w:p>
    <w:p w14:paraId="31E3467C" w14:textId="77777777" w:rsidR="009369D1" w:rsidRPr="00097A86" w:rsidRDefault="009369D1" w:rsidP="00D22D3F">
      <w:pPr>
        <w:pStyle w:val="subsection"/>
      </w:pPr>
      <w:r w:rsidRPr="00097A86">
        <w:tab/>
      </w:r>
      <w:r w:rsidRPr="00097A86">
        <w:tab/>
        <w:t>For paragraph</w:t>
      </w:r>
      <w:r w:rsidR="00097A86">
        <w:t> </w:t>
      </w:r>
      <w:r w:rsidRPr="00097A86">
        <w:t xml:space="preserve">4.98(1)(b), method 2 for estimating emissions of hydrofluorocarbons or sulphur hexafluoride during a year uses the tables in Appendix A of the publication entitled </w:t>
      </w:r>
      <w:r w:rsidRPr="00097A86">
        <w:rPr>
          <w:i/>
        </w:rPr>
        <w:t>ENA Industry Guideline for SF</w:t>
      </w:r>
      <w:r w:rsidRPr="00097A86">
        <w:rPr>
          <w:i/>
          <w:vertAlign w:val="subscript"/>
        </w:rPr>
        <w:t xml:space="preserve">6 </w:t>
      </w:r>
      <w:r w:rsidRPr="00097A86">
        <w:rPr>
          <w:i/>
        </w:rPr>
        <w:t>Management</w:t>
      </w:r>
      <w:r w:rsidRPr="00097A86">
        <w:t>,</w:t>
      </w:r>
      <w:r w:rsidRPr="00097A86">
        <w:rPr>
          <w:vertAlign w:val="subscript"/>
        </w:rPr>
        <w:t xml:space="preserve"> </w:t>
      </w:r>
      <w:r w:rsidRPr="00097A86">
        <w:t>Energy Networks Association, 2008.</w:t>
      </w:r>
    </w:p>
    <w:p w14:paraId="7713D52A" w14:textId="77777777" w:rsidR="009369D1" w:rsidRPr="00097A86" w:rsidRDefault="009369D1" w:rsidP="00D22D3F">
      <w:pPr>
        <w:pStyle w:val="ActHead5"/>
      </w:pPr>
      <w:bookmarkStart w:id="511" w:name="_Toc13233943"/>
      <w:r w:rsidRPr="00097A86">
        <w:rPr>
          <w:rStyle w:val="CharSectno"/>
        </w:rPr>
        <w:t>4.104</w:t>
      </w:r>
      <w:r w:rsidR="00D22D3F" w:rsidRPr="00097A86">
        <w:t xml:space="preserve">  </w:t>
      </w:r>
      <w:r w:rsidRPr="00097A86">
        <w:t>Method 3</w:t>
      </w:r>
      <w:bookmarkEnd w:id="511"/>
    </w:p>
    <w:p w14:paraId="4EE5AF75" w14:textId="77777777" w:rsidR="009369D1" w:rsidRPr="00097A86" w:rsidRDefault="009369D1" w:rsidP="00D22D3F">
      <w:pPr>
        <w:pStyle w:val="subsection"/>
      </w:pPr>
      <w:r w:rsidRPr="00097A86">
        <w:tab/>
        <w:t>(1)</w:t>
      </w:r>
      <w:r w:rsidRPr="00097A86">
        <w:tab/>
        <w:t>For paragraph</w:t>
      </w:r>
      <w:r w:rsidR="00097A86">
        <w:t> </w:t>
      </w:r>
      <w:r w:rsidRPr="00097A86">
        <w:t xml:space="preserve">4.98(1)(c), method 3 for estimating emissions of hydrofluorocarbons uses the tables in Appendix B of the publication entitled </w:t>
      </w:r>
      <w:r w:rsidRPr="00097A86">
        <w:rPr>
          <w:i/>
        </w:rPr>
        <w:t>ENA Industry Guideline for SF</w:t>
      </w:r>
      <w:r w:rsidRPr="00097A86">
        <w:rPr>
          <w:i/>
          <w:vertAlign w:val="subscript"/>
        </w:rPr>
        <w:t xml:space="preserve">6 </w:t>
      </w:r>
      <w:r w:rsidRPr="00097A86">
        <w:rPr>
          <w:i/>
        </w:rPr>
        <w:t>Management</w:t>
      </w:r>
      <w:r w:rsidRPr="00097A86">
        <w:t>, Energy Networks Association, 2008.</w:t>
      </w:r>
    </w:p>
    <w:p w14:paraId="5C88F771" w14:textId="77777777" w:rsidR="009369D1" w:rsidRPr="00097A86" w:rsidRDefault="009369D1" w:rsidP="00D22D3F">
      <w:pPr>
        <w:pStyle w:val="subsection"/>
      </w:pPr>
      <w:r w:rsidRPr="00097A86">
        <w:tab/>
        <w:t>(2)</w:t>
      </w:r>
      <w:r w:rsidRPr="00097A86">
        <w:tab/>
        <w:t>For paragraph</w:t>
      </w:r>
      <w:r w:rsidR="00097A86">
        <w:t> </w:t>
      </w:r>
      <w:r w:rsidRPr="00097A86">
        <w:t>4.98(1)(c), method 3 for estimating emissions of sulphur hexafluoride during a year uses the Tier 3 method set out in section</w:t>
      </w:r>
      <w:r w:rsidR="00097A86">
        <w:t> </w:t>
      </w:r>
      <w:r w:rsidRPr="00097A86">
        <w:t xml:space="preserve">6.3 of the publication mentioned in </w:t>
      </w:r>
      <w:r w:rsidR="00097A86">
        <w:t>subsection (</w:t>
      </w:r>
      <w:r w:rsidRPr="00097A86">
        <w:t xml:space="preserve">1). </w:t>
      </w:r>
    </w:p>
    <w:p w14:paraId="0D897F06" w14:textId="77777777" w:rsidR="008F5A20" w:rsidRPr="00097A86" w:rsidRDefault="008F5A20" w:rsidP="004C53FA">
      <w:pPr>
        <w:pStyle w:val="ActHead1"/>
        <w:pageBreakBefore/>
      </w:pPr>
      <w:bookmarkStart w:id="512" w:name="_Toc13233944"/>
      <w:r w:rsidRPr="00097A86">
        <w:rPr>
          <w:rStyle w:val="CharChapNo"/>
        </w:rPr>
        <w:lastRenderedPageBreak/>
        <w:t>Chapter</w:t>
      </w:r>
      <w:r w:rsidR="00097A86">
        <w:rPr>
          <w:rStyle w:val="CharChapNo"/>
        </w:rPr>
        <w:t> </w:t>
      </w:r>
      <w:r w:rsidRPr="00097A86">
        <w:rPr>
          <w:rStyle w:val="CharChapNo"/>
        </w:rPr>
        <w:t>5</w:t>
      </w:r>
      <w:r w:rsidR="00D22D3F" w:rsidRPr="00097A86">
        <w:t>—</w:t>
      </w:r>
      <w:r w:rsidRPr="00097A86">
        <w:rPr>
          <w:rStyle w:val="CharChapText"/>
        </w:rPr>
        <w:t>Waste</w:t>
      </w:r>
      <w:bookmarkEnd w:id="512"/>
    </w:p>
    <w:p w14:paraId="6EDABBE7" w14:textId="77777777" w:rsidR="003F0D4E" w:rsidRPr="00097A86" w:rsidRDefault="003F0D4E" w:rsidP="00D22D3F">
      <w:pPr>
        <w:pStyle w:val="ActHead2"/>
      </w:pPr>
      <w:bookmarkStart w:id="513" w:name="_Toc13233945"/>
      <w:r w:rsidRPr="00097A86">
        <w:rPr>
          <w:rStyle w:val="CharPartNo"/>
        </w:rPr>
        <w:t>Part</w:t>
      </w:r>
      <w:r w:rsidR="00097A86">
        <w:rPr>
          <w:rStyle w:val="CharPartNo"/>
        </w:rPr>
        <w:t> </w:t>
      </w:r>
      <w:r w:rsidRPr="00097A86">
        <w:rPr>
          <w:rStyle w:val="CharPartNo"/>
        </w:rPr>
        <w:t>5.1</w:t>
      </w:r>
      <w:r w:rsidR="00D22D3F" w:rsidRPr="00097A86">
        <w:t>—</w:t>
      </w:r>
      <w:r w:rsidRPr="00097A86">
        <w:rPr>
          <w:rStyle w:val="CharPartText"/>
        </w:rPr>
        <w:t>Preliminary</w:t>
      </w:r>
      <w:bookmarkEnd w:id="513"/>
    </w:p>
    <w:p w14:paraId="58678BFF"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177291E0" w14:textId="77777777" w:rsidR="00ED09BF" w:rsidRPr="00097A86" w:rsidRDefault="00ED09BF" w:rsidP="00D22D3F">
      <w:pPr>
        <w:pStyle w:val="ActHead5"/>
      </w:pPr>
      <w:bookmarkStart w:id="514" w:name="_Toc13233946"/>
      <w:r w:rsidRPr="00097A86">
        <w:rPr>
          <w:rStyle w:val="CharSectno"/>
        </w:rPr>
        <w:t>5.1</w:t>
      </w:r>
      <w:r w:rsidR="00D22D3F" w:rsidRPr="00097A86">
        <w:t xml:space="preserve">  </w:t>
      </w:r>
      <w:r w:rsidRPr="00097A86">
        <w:t>Outline of Chapter</w:t>
      </w:r>
      <w:bookmarkEnd w:id="514"/>
    </w:p>
    <w:p w14:paraId="215308DB" w14:textId="77777777" w:rsidR="00ED09BF" w:rsidRPr="00097A86" w:rsidRDefault="00ED09BF" w:rsidP="00D22D3F">
      <w:pPr>
        <w:pStyle w:val="subsection"/>
      </w:pPr>
      <w:r w:rsidRPr="00097A86">
        <w:tab/>
      </w:r>
      <w:r w:rsidRPr="00097A86">
        <w:tab/>
        <w:t>This Chapter provides for emissions from the following sources:</w:t>
      </w:r>
    </w:p>
    <w:p w14:paraId="0987822B" w14:textId="77777777" w:rsidR="00ED09BF" w:rsidRPr="00097A86" w:rsidRDefault="00ED09BF" w:rsidP="00D22D3F">
      <w:pPr>
        <w:pStyle w:val="paragraph"/>
      </w:pPr>
      <w:r w:rsidRPr="00097A86">
        <w:tab/>
        <w:t>(a)</w:t>
      </w:r>
      <w:r w:rsidRPr="00097A86">
        <w:tab/>
        <w:t>solid waste disposal on land (see Part</w:t>
      </w:r>
      <w:r w:rsidR="00097A86">
        <w:t> </w:t>
      </w:r>
      <w:r w:rsidRPr="00097A86">
        <w:t>5.2);</w:t>
      </w:r>
    </w:p>
    <w:p w14:paraId="2E995F79" w14:textId="77777777" w:rsidR="00ED09BF" w:rsidRPr="00097A86" w:rsidRDefault="00ED09BF" w:rsidP="00D22D3F">
      <w:pPr>
        <w:pStyle w:val="paragraph"/>
      </w:pPr>
      <w:r w:rsidRPr="00097A86">
        <w:tab/>
        <w:t>(b)</w:t>
      </w:r>
      <w:r w:rsidRPr="00097A86">
        <w:tab/>
        <w:t>wastewater handling (domestic and commercial) (see Part</w:t>
      </w:r>
      <w:r w:rsidR="00097A86">
        <w:t> </w:t>
      </w:r>
      <w:r w:rsidRPr="00097A86">
        <w:t>5.3);</w:t>
      </w:r>
    </w:p>
    <w:p w14:paraId="4CF0731B" w14:textId="77777777" w:rsidR="00ED09BF" w:rsidRPr="00097A86" w:rsidRDefault="00ED09BF" w:rsidP="00D22D3F">
      <w:pPr>
        <w:pStyle w:val="paragraph"/>
      </w:pPr>
      <w:r w:rsidRPr="00097A86">
        <w:tab/>
        <w:t>(c)</w:t>
      </w:r>
      <w:r w:rsidRPr="00097A86">
        <w:tab/>
        <w:t>wastewater handling (industrial) (see Part</w:t>
      </w:r>
      <w:r w:rsidR="00097A86">
        <w:t> </w:t>
      </w:r>
      <w:r w:rsidRPr="00097A86">
        <w:t>5.4);</w:t>
      </w:r>
    </w:p>
    <w:p w14:paraId="3F7CBDF5" w14:textId="77777777" w:rsidR="00ED09BF" w:rsidRPr="00097A86" w:rsidRDefault="00ED09BF" w:rsidP="00D22D3F">
      <w:pPr>
        <w:pStyle w:val="paragraph"/>
      </w:pPr>
      <w:r w:rsidRPr="00097A86">
        <w:tab/>
        <w:t>(d)</w:t>
      </w:r>
      <w:r w:rsidRPr="00097A86">
        <w:tab/>
        <w:t>waste incineration (see Part</w:t>
      </w:r>
      <w:r w:rsidR="00097A86">
        <w:t> </w:t>
      </w:r>
      <w:r w:rsidRPr="00097A86">
        <w:t>5.5).</w:t>
      </w:r>
    </w:p>
    <w:p w14:paraId="2F90301B" w14:textId="77777777" w:rsidR="00ED09BF" w:rsidRPr="00097A86" w:rsidRDefault="00ED09BF" w:rsidP="00D22D3F">
      <w:pPr>
        <w:pStyle w:val="ActHead2"/>
        <w:pageBreakBefore/>
      </w:pPr>
      <w:bookmarkStart w:id="515" w:name="_Toc13233947"/>
      <w:r w:rsidRPr="00097A86">
        <w:rPr>
          <w:rStyle w:val="CharPartNo"/>
        </w:rPr>
        <w:lastRenderedPageBreak/>
        <w:t>Part</w:t>
      </w:r>
      <w:r w:rsidR="00097A86">
        <w:rPr>
          <w:rStyle w:val="CharPartNo"/>
        </w:rPr>
        <w:t> </w:t>
      </w:r>
      <w:r w:rsidRPr="00097A86">
        <w:rPr>
          <w:rStyle w:val="CharPartNo"/>
        </w:rPr>
        <w:t>5.2</w:t>
      </w:r>
      <w:r w:rsidR="00D22D3F" w:rsidRPr="00097A86">
        <w:t>—</w:t>
      </w:r>
      <w:r w:rsidRPr="00097A86">
        <w:rPr>
          <w:rStyle w:val="CharPartText"/>
        </w:rPr>
        <w:t>Solid waste disposal on land</w:t>
      </w:r>
      <w:bookmarkEnd w:id="515"/>
    </w:p>
    <w:p w14:paraId="499235F4" w14:textId="77777777" w:rsidR="003F0D4E" w:rsidRPr="00097A86" w:rsidRDefault="003F0D4E" w:rsidP="00D22D3F">
      <w:pPr>
        <w:pStyle w:val="ActHead3"/>
      </w:pPr>
      <w:bookmarkStart w:id="516" w:name="_Toc13233948"/>
      <w:r w:rsidRPr="00097A86">
        <w:rPr>
          <w:rStyle w:val="CharDivNo"/>
        </w:rPr>
        <w:t>Division</w:t>
      </w:r>
      <w:r w:rsidR="00097A86">
        <w:rPr>
          <w:rStyle w:val="CharDivNo"/>
        </w:rPr>
        <w:t> </w:t>
      </w:r>
      <w:r w:rsidRPr="00097A86">
        <w:rPr>
          <w:rStyle w:val="CharDivNo"/>
        </w:rPr>
        <w:t>5.2.1</w:t>
      </w:r>
      <w:r w:rsidR="00D22D3F" w:rsidRPr="00097A86">
        <w:t>—</w:t>
      </w:r>
      <w:r w:rsidRPr="00097A86">
        <w:rPr>
          <w:rStyle w:val="CharDivText"/>
        </w:rPr>
        <w:t>Preliminary</w:t>
      </w:r>
      <w:bookmarkEnd w:id="516"/>
    </w:p>
    <w:p w14:paraId="092CA9AF" w14:textId="77777777" w:rsidR="001948E5" w:rsidRPr="00097A86" w:rsidRDefault="001948E5" w:rsidP="001948E5">
      <w:pPr>
        <w:pStyle w:val="ActHead5"/>
      </w:pPr>
      <w:bookmarkStart w:id="517" w:name="_Toc13233949"/>
      <w:r w:rsidRPr="00097A86">
        <w:rPr>
          <w:rStyle w:val="CharSectno"/>
        </w:rPr>
        <w:t>5.2</w:t>
      </w:r>
      <w:r w:rsidRPr="00097A86">
        <w:t xml:space="preserve">  Application</w:t>
      </w:r>
      <w:bookmarkEnd w:id="517"/>
    </w:p>
    <w:p w14:paraId="11766276" w14:textId="77777777" w:rsidR="001948E5" w:rsidRPr="00097A86" w:rsidRDefault="001948E5" w:rsidP="001948E5">
      <w:pPr>
        <w:pStyle w:val="subsection"/>
      </w:pPr>
      <w:r w:rsidRPr="00097A86">
        <w:tab/>
        <w:t>(1)</w:t>
      </w:r>
      <w:r w:rsidRPr="00097A86">
        <w:tab/>
        <w:t>This Part applies to emissions released from:</w:t>
      </w:r>
    </w:p>
    <w:p w14:paraId="05AC1213" w14:textId="77777777" w:rsidR="001948E5" w:rsidRPr="00097A86" w:rsidRDefault="001948E5" w:rsidP="001948E5">
      <w:pPr>
        <w:pStyle w:val="paragraph"/>
      </w:pPr>
      <w:r w:rsidRPr="00097A86">
        <w:tab/>
        <w:t>(a)</w:t>
      </w:r>
      <w:r w:rsidRPr="00097A86">
        <w:tab/>
        <w:t>the decomposition of organic material from:</w:t>
      </w:r>
    </w:p>
    <w:p w14:paraId="353E2823" w14:textId="77777777" w:rsidR="001948E5" w:rsidRPr="00097A86" w:rsidRDefault="001948E5" w:rsidP="001948E5">
      <w:pPr>
        <w:pStyle w:val="paragraphsub"/>
      </w:pPr>
      <w:r w:rsidRPr="00097A86">
        <w:tab/>
        <w:t>(i)</w:t>
      </w:r>
      <w:r w:rsidRPr="00097A86">
        <w:tab/>
        <w:t>solid waste disposal in a landfill; or</w:t>
      </w:r>
    </w:p>
    <w:p w14:paraId="2C969A43" w14:textId="77777777" w:rsidR="001948E5" w:rsidRPr="00097A86" w:rsidRDefault="001948E5" w:rsidP="001948E5">
      <w:pPr>
        <w:pStyle w:val="paragraphsub"/>
      </w:pPr>
      <w:r w:rsidRPr="00097A86">
        <w:tab/>
        <w:t>(ii)</w:t>
      </w:r>
      <w:r w:rsidRPr="00097A86">
        <w:tab/>
        <w:t>the biological treatment of solid waste at a landfill or at a facility elsewhere; and</w:t>
      </w:r>
    </w:p>
    <w:p w14:paraId="28A8C41F" w14:textId="77777777" w:rsidR="001948E5" w:rsidRPr="00097A86" w:rsidRDefault="001948E5" w:rsidP="001948E5">
      <w:pPr>
        <w:pStyle w:val="paragraph"/>
      </w:pPr>
      <w:r w:rsidRPr="00097A86">
        <w:tab/>
        <w:t>(b)</w:t>
      </w:r>
      <w:r w:rsidRPr="00097A86">
        <w:tab/>
        <w:t>flaring of landfill gas.</w:t>
      </w:r>
    </w:p>
    <w:p w14:paraId="6D78B38C" w14:textId="77777777" w:rsidR="001948E5" w:rsidRPr="00097A86" w:rsidRDefault="001948E5" w:rsidP="001948E5">
      <w:pPr>
        <w:pStyle w:val="subsection"/>
      </w:pPr>
      <w:r w:rsidRPr="00097A86">
        <w:tab/>
        <w:t>(2)</w:t>
      </w:r>
      <w:r w:rsidRPr="00097A86">
        <w:tab/>
        <w:t>This Part does not apply to solid waste disposal in a landfill unless:</w:t>
      </w:r>
    </w:p>
    <w:p w14:paraId="4A8CFD57" w14:textId="77777777" w:rsidR="001948E5" w:rsidRPr="00097A86" w:rsidRDefault="001948E5" w:rsidP="001948E5">
      <w:pPr>
        <w:pStyle w:val="paragraph"/>
      </w:pPr>
      <w:r w:rsidRPr="00097A86">
        <w:tab/>
        <w:t>(a)</w:t>
      </w:r>
      <w:r w:rsidRPr="00097A86">
        <w:tab/>
        <w:t>the landfill was open for the acceptance of waste on and after 1</w:t>
      </w:r>
      <w:r w:rsidR="00097A86">
        <w:t> </w:t>
      </w:r>
      <w:r w:rsidRPr="00097A86">
        <w:t>July 2012; and</w:t>
      </w:r>
    </w:p>
    <w:p w14:paraId="1DDFD9A2" w14:textId="77777777" w:rsidR="001948E5" w:rsidRPr="00097A86" w:rsidRDefault="001948E5" w:rsidP="001948E5">
      <w:pPr>
        <w:pStyle w:val="paragraph"/>
      </w:pPr>
      <w:r w:rsidRPr="00097A86">
        <w:tab/>
        <w:t>(b)</w:t>
      </w:r>
      <w:r w:rsidRPr="00097A86">
        <w:tab/>
        <w:t>during a year, the landfill emits more than 10</w:t>
      </w:r>
      <w:r w:rsidR="00097A86">
        <w:t> </w:t>
      </w:r>
      <w:r w:rsidRPr="00097A86">
        <w:t>000 tonnes of CO</w:t>
      </w:r>
      <w:r w:rsidRPr="00097A86">
        <w:rPr>
          <w:vertAlign w:val="subscript"/>
        </w:rPr>
        <w:t>2</w:t>
      </w:r>
      <w:r w:rsidR="00097A86">
        <w:noBreakHyphen/>
      </w:r>
      <w:r w:rsidRPr="00097A86">
        <w:t>e from solid waste disposal in the landfill.</w:t>
      </w:r>
    </w:p>
    <w:p w14:paraId="2FACEC53" w14:textId="77777777" w:rsidR="001948E5" w:rsidRPr="00097A86" w:rsidRDefault="001948E5" w:rsidP="001948E5">
      <w:pPr>
        <w:pStyle w:val="subsection"/>
      </w:pPr>
      <w:r w:rsidRPr="00097A86">
        <w:tab/>
        <w:t>(3)</w:t>
      </w:r>
      <w:r w:rsidRPr="00097A86">
        <w:tab/>
        <w:t>This Part does not apply to the biological treatment of solid waste at a facility (whether at a landfill or at a facility elsewhere) unless, during a year, the facility emits more than 10</w:t>
      </w:r>
      <w:r w:rsidR="00097A86">
        <w:t> </w:t>
      </w:r>
      <w:r w:rsidRPr="00097A86">
        <w:t>000 tonnes of CO</w:t>
      </w:r>
      <w:r w:rsidRPr="00097A86">
        <w:rPr>
          <w:vertAlign w:val="subscript"/>
        </w:rPr>
        <w:t>2</w:t>
      </w:r>
      <w:r w:rsidR="00097A86">
        <w:noBreakHyphen/>
      </w:r>
      <w:r w:rsidRPr="00097A86">
        <w:t>e from the biological treatment of solid waste at the facility.</w:t>
      </w:r>
    </w:p>
    <w:p w14:paraId="17F30924" w14:textId="77777777" w:rsidR="003F0D4E" w:rsidRPr="00097A86" w:rsidRDefault="003F0D4E" w:rsidP="00D22D3F">
      <w:pPr>
        <w:pStyle w:val="ActHead5"/>
      </w:pPr>
      <w:bookmarkStart w:id="518" w:name="_Toc13233950"/>
      <w:r w:rsidRPr="00097A86">
        <w:rPr>
          <w:rStyle w:val="CharSectno"/>
        </w:rPr>
        <w:t>5.3</w:t>
      </w:r>
      <w:r w:rsidR="00D22D3F" w:rsidRPr="00097A86">
        <w:t xml:space="preserve">  </w:t>
      </w:r>
      <w:r w:rsidRPr="00097A86">
        <w:t>Available methods</w:t>
      </w:r>
      <w:bookmarkEnd w:id="518"/>
    </w:p>
    <w:p w14:paraId="61B26D83" w14:textId="77777777" w:rsidR="003F0D4E" w:rsidRPr="00097A86" w:rsidRDefault="003F0D4E" w:rsidP="00D22D3F">
      <w:pPr>
        <w:pStyle w:val="subsection"/>
      </w:pPr>
      <w:r w:rsidRPr="00097A86">
        <w:tab/>
        <w:t>(1)</w:t>
      </w:r>
      <w:r w:rsidRPr="00097A86">
        <w:tab/>
      </w:r>
      <w:r w:rsidR="001948E5" w:rsidRPr="00097A86">
        <w:t>For the purposes of this Part, subject to section</w:t>
      </w:r>
      <w:r w:rsidR="00097A86">
        <w:t> </w:t>
      </w:r>
      <w:r w:rsidR="001948E5" w:rsidRPr="00097A86">
        <w:t>1.18, for estimating emissions released from the operation of a facility (including a facility that is a landfill) during a year:</w:t>
      </w:r>
    </w:p>
    <w:p w14:paraId="152026B7" w14:textId="77777777" w:rsidR="003F0D4E" w:rsidRPr="00097A86" w:rsidRDefault="003F0D4E" w:rsidP="00D22D3F">
      <w:pPr>
        <w:pStyle w:val="paragraph"/>
      </w:pPr>
      <w:r w:rsidRPr="00097A86">
        <w:tab/>
        <w:t>(a)</w:t>
      </w:r>
      <w:r w:rsidRPr="00097A86">
        <w:tab/>
        <w:t xml:space="preserve">subject to </w:t>
      </w:r>
      <w:r w:rsidR="00097A86">
        <w:t>paragraphs (</w:t>
      </w:r>
      <w:r w:rsidR="004E60C0" w:rsidRPr="00097A86">
        <w:t>c) and (d)</w:t>
      </w:r>
      <w:r w:rsidRPr="00097A86">
        <w:t xml:space="preserve">, one of the following methods must be used for emissions of methane from </w:t>
      </w:r>
      <w:r w:rsidR="001948E5" w:rsidRPr="00097A86">
        <w:t>a landfill</w:t>
      </w:r>
      <w:r w:rsidRPr="00097A86">
        <w:t xml:space="preserve"> (other than from flaring of methane):</w:t>
      </w:r>
    </w:p>
    <w:p w14:paraId="0D79F215" w14:textId="77777777" w:rsidR="003F0D4E" w:rsidRPr="00097A86" w:rsidRDefault="003F0D4E" w:rsidP="00D22D3F">
      <w:pPr>
        <w:pStyle w:val="paragraphsub"/>
      </w:pPr>
      <w:r w:rsidRPr="00097A86">
        <w:tab/>
        <w:t>(i)</w:t>
      </w:r>
      <w:r w:rsidRPr="00097A86">
        <w:tab/>
        <w:t>method 1 under section</w:t>
      </w:r>
      <w:r w:rsidR="00097A86">
        <w:t> </w:t>
      </w:r>
      <w:r w:rsidRPr="00097A86">
        <w:t>5.4;</w:t>
      </w:r>
    </w:p>
    <w:p w14:paraId="1A48BA91" w14:textId="77777777" w:rsidR="003F0D4E" w:rsidRPr="00097A86" w:rsidRDefault="003F0D4E" w:rsidP="00D22D3F">
      <w:pPr>
        <w:pStyle w:val="paragraphsub"/>
      </w:pPr>
      <w:r w:rsidRPr="00097A86">
        <w:tab/>
        <w:t>(ii)</w:t>
      </w:r>
      <w:r w:rsidRPr="00097A86">
        <w:tab/>
        <w:t>method 2 under section</w:t>
      </w:r>
      <w:r w:rsidR="00097A86">
        <w:t> </w:t>
      </w:r>
      <w:r w:rsidRPr="00097A86">
        <w:t>5.15;</w:t>
      </w:r>
    </w:p>
    <w:p w14:paraId="732A0339" w14:textId="77777777" w:rsidR="003F0D4E" w:rsidRPr="00097A86" w:rsidRDefault="003F0D4E" w:rsidP="00D22D3F">
      <w:pPr>
        <w:pStyle w:val="paragraphsub"/>
      </w:pPr>
      <w:r w:rsidRPr="00097A86">
        <w:tab/>
        <w:t>(iii)</w:t>
      </w:r>
      <w:r w:rsidRPr="00097A86">
        <w:tab/>
        <w:t>method 3 under section</w:t>
      </w:r>
      <w:r w:rsidR="00097A86">
        <w:t> </w:t>
      </w:r>
      <w:r w:rsidRPr="00097A86">
        <w:t>5.18; and</w:t>
      </w:r>
    </w:p>
    <w:p w14:paraId="2DCA848A" w14:textId="77777777" w:rsidR="003F0D4E" w:rsidRPr="00097A86" w:rsidRDefault="003F0D4E" w:rsidP="00D22D3F">
      <w:pPr>
        <w:pStyle w:val="paragraph"/>
      </w:pPr>
      <w:r w:rsidRPr="00097A86">
        <w:tab/>
        <w:t>(b)</w:t>
      </w:r>
      <w:r w:rsidRPr="00097A86">
        <w:tab/>
        <w:t xml:space="preserve">one of the following methods must be used for emissions for each gas type released as a result of methane flared from the operation of </w:t>
      </w:r>
      <w:r w:rsidR="001948E5" w:rsidRPr="00097A86">
        <w:t>a landfill</w:t>
      </w:r>
      <w:r w:rsidRPr="00097A86">
        <w:t>:</w:t>
      </w:r>
    </w:p>
    <w:p w14:paraId="4D4B6C16" w14:textId="77777777" w:rsidR="003F0D4E" w:rsidRPr="00097A86" w:rsidRDefault="003F0D4E" w:rsidP="00D22D3F">
      <w:pPr>
        <w:pStyle w:val="paragraphsub"/>
      </w:pPr>
      <w:r w:rsidRPr="00097A86">
        <w:tab/>
        <w:t>(i)</w:t>
      </w:r>
      <w:r w:rsidRPr="00097A86">
        <w:tab/>
        <w:t xml:space="preserve"> method 1 under section</w:t>
      </w:r>
      <w:r w:rsidR="00097A86">
        <w:t> </w:t>
      </w:r>
      <w:r w:rsidRPr="00097A86">
        <w:t>5.19;</w:t>
      </w:r>
    </w:p>
    <w:p w14:paraId="617E6C8B" w14:textId="77777777" w:rsidR="003F0D4E" w:rsidRPr="00097A86" w:rsidRDefault="003F0D4E" w:rsidP="00D22D3F">
      <w:pPr>
        <w:pStyle w:val="paragraphsub"/>
      </w:pPr>
      <w:r w:rsidRPr="00097A86">
        <w:tab/>
        <w:t>(ii)</w:t>
      </w:r>
      <w:r w:rsidRPr="00097A86">
        <w:tab/>
        <w:t>method 2 under section</w:t>
      </w:r>
      <w:r w:rsidR="00097A86">
        <w:t> </w:t>
      </w:r>
      <w:r w:rsidRPr="00097A86">
        <w:t>5.20;</w:t>
      </w:r>
    </w:p>
    <w:p w14:paraId="4A17078F" w14:textId="77777777" w:rsidR="003F0D4E" w:rsidRPr="00097A86" w:rsidRDefault="003F0D4E" w:rsidP="00D22D3F">
      <w:pPr>
        <w:pStyle w:val="paragraphsub"/>
      </w:pPr>
      <w:r w:rsidRPr="00097A86">
        <w:tab/>
        <w:t>(iii)</w:t>
      </w:r>
      <w:r w:rsidRPr="00097A86">
        <w:tab/>
        <w:t>method 3 under section</w:t>
      </w:r>
      <w:r w:rsidR="00097A86">
        <w:t> </w:t>
      </w:r>
      <w:r w:rsidRPr="00097A86">
        <w:t>5.21; and</w:t>
      </w:r>
    </w:p>
    <w:p w14:paraId="7089C479" w14:textId="77777777" w:rsidR="004E60C0" w:rsidRPr="00097A86" w:rsidRDefault="004E60C0" w:rsidP="004E60C0">
      <w:pPr>
        <w:pStyle w:val="paragraph"/>
      </w:pPr>
      <w:r w:rsidRPr="00097A86">
        <w:tab/>
        <w:t>(c)</w:t>
      </w:r>
      <w:r w:rsidRPr="00097A86">
        <w:tab/>
        <w:t xml:space="preserve">one of the following methods must be used for emissions from the biological treatment of solid waste </w:t>
      </w:r>
      <w:r w:rsidR="001948E5" w:rsidRPr="00097A86">
        <w:t>at the facility</w:t>
      </w:r>
      <w:r w:rsidRPr="00097A86">
        <w:t xml:space="preserve"> by an enclosed composting activity:</w:t>
      </w:r>
    </w:p>
    <w:p w14:paraId="704359C1" w14:textId="77777777" w:rsidR="004E60C0" w:rsidRPr="00097A86" w:rsidRDefault="004E60C0" w:rsidP="004E60C0">
      <w:pPr>
        <w:pStyle w:val="paragraphsub"/>
      </w:pPr>
      <w:r w:rsidRPr="00097A86">
        <w:tab/>
        <w:t>(i)</w:t>
      </w:r>
      <w:r w:rsidRPr="00097A86">
        <w:tab/>
        <w:t>method 1 under section</w:t>
      </w:r>
      <w:r w:rsidR="00097A86">
        <w:t> </w:t>
      </w:r>
      <w:r w:rsidRPr="00097A86">
        <w:t>5.22;</w:t>
      </w:r>
    </w:p>
    <w:p w14:paraId="62D72E6F" w14:textId="77777777" w:rsidR="004E60C0" w:rsidRPr="00097A86" w:rsidRDefault="004E60C0" w:rsidP="004E60C0">
      <w:pPr>
        <w:pStyle w:val="paragraphsub"/>
      </w:pPr>
      <w:r w:rsidRPr="00097A86">
        <w:tab/>
        <w:t>(ii)</w:t>
      </w:r>
      <w:r w:rsidRPr="00097A86">
        <w:tab/>
        <w:t>method 4 under section</w:t>
      </w:r>
      <w:r w:rsidR="00097A86">
        <w:t> </w:t>
      </w:r>
      <w:r w:rsidRPr="00097A86">
        <w:t>5.22AA; and</w:t>
      </w:r>
    </w:p>
    <w:p w14:paraId="741D32C3" w14:textId="77777777" w:rsidR="004E60C0" w:rsidRPr="00097A86" w:rsidRDefault="004E60C0" w:rsidP="004E60C0">
      <w:pPr>
        <w:pStyle w:val="paragraph"/>
      </w:pPr>
      <w:r w:rsidRPr="00097A86">
        <w:lastRenderedPageBreak/>
        <w:tab/>
        <w:t>(d)</w:t>
      </w:r>
      <w:r w:rsidRPr="00097A86">
        <w:tab/>
        <w:t>method 1 under section</w:t>
      </w:r>
      <w:r w:rsidR="00097A86">
        <w:t> </w:t>
      </w:r>
      <w:r w:rsidRPr="00097A86">
        <w:t xml:space="preserve">5.22 must be used for emissions from the biological treatment of solid waste </w:t>
      </w:r>
      <w:r w:rsidR="001948E5" w:rsidRPr="00097A86">
        <w:t>at the facility</w:t>
      </w:r>
      <w:r w:rsidRPr="00097A86">
        <w:t xml:space="preserve"> by a composting activity that is not an enclosed composting activity.</w:t>
      </w:r>
    </w:p>
    <w:p w14:paraId="1F3145E6" w14:textId="77777777" w:rsidR="003F0D4E" w:rsidRPr="00097A86" w:rsidRDefault="003F0D4E" w:rsidP="00D22D3F">
      <w:pPr>
        <w:pStyle w:val="subsection"/>
      </w:pPr>
      <w:r w:rsidRPr="00097A86">
        <w:tab/>
        <w:t>(2)</w:t>
      </w:r>
      <w:r w:rsidRPr="00097A86">
        <w:tab/>
        <w:t xml:space="preserve">Under </w:t>
      </w:r>
      <w:r w:rsidR="00097A86">
        <w:t>paragraph (</w:t>
      </w:r>
      <w:r w:rsidRPr="00097A86">
        <w:t>1)(b), the same method must be used for estimating emissions of each gas type.</w:t>
      </w:r>
    </w:p>
    <w:p w14:paraId="40534120" w14:textId="77777777" w:rsidR="003F0D4E" w:rsidRPr="00097A86" w:rsidRDefault="003F0D4E" w:rsidP="00D22D3F">
      <w:pPr>
        <w:pStyle w:val="subsection"/>
      </w:pPr>
      <w:r w:rsidRPr="00097A86">
        <w:tab/>
        <w:t>(3)</w:t>
      </w:r>
      <w:r w:rsidRPr="00097A86">
        <w:tab/>
        <w:t xml:space="preserve">For </w:t>
      </w:r>
      <w:r w:rsidR="008F5A20" w:rsidRPr="00097A86">
        <w:t>incidental emissions</w:t>
      </w:r>
      <w:r w:rsidRPr="00097A86">
        <w:t xml:space="preserve"> another method may be used that is consistent with the principles in section</w:t>
      </w:r>
      <w:r w:rsidR="00097A86">
        <w:t> </w:t>
      </w:r>
      <w:r w:rsidRPr="00097A86">
        <w:t>1.13.</w:t>
      </w:r>
    </w:p>
    <w:p w14:paraId="54F647C8" w14:textId="77777777" w:rsidR="003F0D4E" w:rsidRPr="00097A86" w:rsidRDefault="00D22D3F" w:rsidP="00D22D3F">
      <w:pPr>
        <w:pStyle w:val="notetext"/>
      </w:pPr>
      <w:r w:rsidRPr="00097A86">
        <w:t>Note:</w:t>
      </w:r>
      <w:r w:rsidRPr="00097A86">
        <w:tab/>
      </w:r>
      <w:r w:rsidR="003F0D4E" w:rsidRPr="00097A86">
        <w:t xml:space="preserve">There is no method 4 for </w:t>
      </w:r>
      <w:r w:rsidR="00097A86">
        <w:t>paragraphs (</w:t>
      </w:r>
      <w:r w:rsidR="003F0D4E" w:rsidRPr="00097A86">
        <w:t>a) and (b). It is proposed that a method 4 will be developed in the future.</w:t>
      </w:r>
    </w:p>
    <w:p w14:paraId="072CB7B9" w14:textId="77777777" w:rsidR="00EC147B" w:rsidRPr="00097A86" w:rsidRDefault="00EC147B" w:rsidP="00EC147B">
      <w:pPr>
        <w:pStyle w:val="subsection"/>
      </w:pPr>
      <w:r w:rsidRPr="00097A86">
        <w:tab/>
        <w:t>(4)</w:t>
      </w:r>
      <w:r w:rsidRPr="00097A86">
        <w:tab/>
        <w:t>If required, Division</w:t>
      </w:r>
      <w:r w:rsidR="00097A86">
        <w:t> </w:t>
      </w:r>
      <w:r w:rsidRPr="00097A86">
        <w:t>5.2.7 is to be used to estimate legacy emissions.</w:t>
      </w:r>
    </w:p>
    <w:p w14:paraId="5990F58B" w14:textId="77777777" w:rsidR="00EC147B" w:rsidRPr="00097A86" w:rsidRDefault="00EC147B" w:rsidP="00EC147B">
      <w:pPr>
        <w:pStyle w:val="notetext"/>
      </w:pPr>
      <w:r w:rsidRPr="00097A86">
        <w:t xml:space="preserve"> Note:</w:t>
      </w:r>
      <w:r w:rsidRPr="00097A86">
        <w:tab/>
        <w:t>Division</w:t>
      </w:r>
      <w:r w:rsidR="00097A86">
        <w:t> </w:t>
      </w:r>
      <w:r w:rsidRPr="00097A86">
        <w:t>5.2.7 will not be required unless the total amount of scope 1 emissions from the operation of the facility concerned during the year is more than 100</w:t>
      </w:r>
      <w:r w:rsidR="00097A86">
        <w:t> </w:t>
      </w:r>
      <w:r w:rsidRPr="00097A86">
        <w:t>000 tonnes CO</w:t>
      </w:r>
      <w:r w:rsidRPr="00097A86">
        <w:rPr>
          <w:vertAlign w:val="subscript"/>
        </w:rPr>
        <w:t>2</w:t>
      </w:r>
      <w:r w:rsidR="00097A86">
        <w:noBreakHyphen/>
      </w:r>
      <w:r w:rsidRPr="00097A86">
        <w:t xml:space="preserve">e: see </w:t>
      </w:r>
      <w:r w:rsidR="00097A86">
        <w:t>paragraphs (</w:t>
      </w:r>
      <w:r w:rsidRPr="00097A86">
        <w:t>i) of item</w:t>
      </w:r>
      <w:r w:rsidR="00097A86">
        <w:t> </w:t>
      </w:r>
      <w:r w:rsidRPr="00097A86">
        <w:t>1 and (j) of item</w:t>
      </w:r>
      <w:r w:rsidR="00097A86">
        <w:t> </w:t>
      </w:r>
      <w:r w:rsidRPr="00097A86">
        <w:t>2 in the column headed “Matters to be identified” in the table in Part</w:t>
      </w:r>
      <w:r w:rsidR="00097A86">
        <w:t> </w:t>
      </w:r>
      <w:r w:rsidRPr="00097A86">
        <w:t>6 of Schedule</w:t>
      </w:r>
      <w:r w:rsidR="00097A86">
        <w:t> </w:t>
      </w:r>
      <w:r w:rsidRPr="00097A86">
        <w:t xml:space="preserve">3 to the </w:t>
      </w:r>
      <w:r w:rsidRPr="00097A86">
        <w:rPr>
          <w:i/>
        </w:rPr>
        <w:t>National Greenhouse and Energy Reporting Regulations</w:t>
      </w:r>
      <w:r w:rsidR="00097A86">
        <w:rPr>
          <w:i/>
        </w:rPr>
        <w:t> </w:t>
      </w:r>
      <w:r w:rsidRPr="00097A86">
        <w:rPr>
          <w:i/>
        </w:rPr>
        <w:t>2008</w:t>
      </w:r>
      <w:r w:rsidRPr="00097A86">
        <w:t>.</w:t>
      </w:r>
    </w:p>
    <w:p w14:paraId="2928BE53" w14:textId="77777777" w:rsidR="00EC147B" w:rsidRPr="00097A86" w:rsidRDefault="00EC147B" w:rsidP="00D22D3F">
      <w:pPr>
        <w:pStyle w:val="notetext"/>
      </w:pPr>
    </w:p>
    <w:p w14:paraId="1B1A2E0D" w14:textId="77777777" w:rsidR="003F0D4E" w:rsidRPr="00097A86" w:rsidRDefault="003F0D4E" w:rsidP="004C53FA">
      <w:pPr>
        <w:pStyle w:val="ActHead3"/>
        <w:pageBreakBefore/>
      </w:pPr>
      <w:bookmarkStart w:id="519" w:name="_Toc13233951"/>
      <w:r w:rsidRPr="00097A86">
        <w:rPr>
          <w:rStyle w:val="CharDivNo"/>
        </w:rPr>
        <w:lastRenderedPageBreak/>
        <w:t>Division</w:t>
      </w:r>
      <w:r w:rsidR="00097A86">
        <w:rPr>
          <w:rStyle w:val="CharDivNo"/>
        </w:rPr>
        <w:t> </w:t>
      </w:r>
      <w:r w:rsidRPr="00097A86">
        <w:rPr>
          <w:rStyle w:val="CharDivNo"/>
        </w:rPr>
        <w:t>5.2.2</w:t>
      </w:r>
      <w:r w:rsidR="00D22D3F" w:rsidRPr="00097A86">
        <w:t>—</w:t>
      </w:r>
      <w:r w:rsidRPr="00097A86">
        <w:rPr>
          <w:rStyle w:val="CharDivText"/>
        </w:rPr>
        <w:t>Method 1</w:t>
      </w:r>
      <w:r w:rsidR="00D22D3F" w:rsidRPr="00097A86">
        <w:rPr>
          <w:rStyle w:val="CharDivText"/>
        </w:rPr>
        <w:t>—</w:t>
      </w:r>
      <w:r w:rsidRPr="00097A86">
        <w:rPr>
          <w:rStyle w:val="CharDivText"/>
        </w:rPr>
        <w:t>emissions of methane released from landfills</w:t>
      </w:r>
      <w:bookmarkEnd w:id="519"/>
    </w:p>
    <w:p w14:paraId="56656F87" w14:textId="77777777" w:rsidR="003F0D4E" w:rsidRPr="00097A86" w:rsidRDefault="003F0D4E" w:rsidP="00D22D3F">
      <w:pPr>
        <w:pStyle w:val="ActHead5"/>
      </w:pPr>
      <w:bookmarkStart w:id="520" w:name="_Toc13233952"/>
      <w:r w:rsidRPr="00097A86">
        <w:rPr>
          <w:rStyle w:val="CharSectno"/>
        </w:rPr>
        <w:t>5.4</w:t>
      </w:r>
      <w:r w:rsidR="00D22D3F" w:rsidRPr="00097A86">
        <w:t xml:space="preserve">  </w:t>
      </w:r>
      <w:r w:rsidRPr="00097A86">
        <w:t>Method 1</w:t>
      </w:r>
      <w:r w:rsidR="00D22D3F" w:rsidRPr="00097A86">
        <w:t>—</w:t>
      </w:r>
      <w:r w:rsidRPr="00097A86">
        <w:t>methane released from landfills (other than from flaring of methane)</w:t>
      </w:r>
      <w:bookmarkEnd w:id="520"/>
    </w:p>
    <w:p w14:paraId="0C7480D6" w14:textId="77777777" w:rsidR="003F0D4E" w:rsidRPr="00097A86" w:rsidRDefault="003F0D4E" w:rsidP="00D22D3F">
      <w:pPr>
        <w:pStyle w:val="subsection"/>
      </w:pPr>
      <w:r w:rsidRPr="00097A86">
        <w:tab/>
        <w:t>(1)</w:t>
      </w:r>
      <w:r w:rsidRPr="00097A86">
        <w:tab/>
        <w:t>For subparagraph</w:t>
      </w:r>
      <w:r w:rsidR="00097A86">
        <w:t> </w:t>
      </w:r>
      <w:r w:rsidRPr="00097A86">
        <w:t>5.3</w:t>
      </w:r>
      <w:r w:rsidR="008B3C78" w:rsidRPr="00097A86">
        <w:t>(1)</w:t>
      </w:r>
      <w:r w:rsidRPr="00097A86">
        <w:t>(a)(i), method 1 is:</w:t>
      </w:r>
    </w:p>
    <w:p w14:paraId="6C7F4FB5" w14:textId="77777777" w:rsidR="003F0D4E" w:rsidRPr="00097A86" w:rsidRDefault="00D22D3F" w:rsidP="00D22D3F">
      <w:pPr>
        <w:pStyle w:val="subsection"/>
        <w:spacing w:before="120" w:after="120"/>
        <w:rPr>
          <w:sz w:val="20"/>
        </w:rPr>
      </w:pPr>
      <w:r w:rsidRPr="00097A86">
        <w:rPr>
          <w:sz w:val="20"/>
        </w:rPr>
        <w:tab/>
      </w:r>
      <w:r w:rsidRPr="00097A86">
        <w:rPr>
          <w:sz w:val="20"/>
        </w:rPr>
        <w:tab/>
      </w:r>
      <w:r w:rsidR="009E1F90">
        <w:rPr>
          <w:noProof/>
          <w:sz w:val="20"/>
        </w:rPr>
        <w:drawing>
          <wp:inline distT="0" distB="0" distL="0" distR="0" wp14:anchorId="0C8EA8AB" wp14:editId="57E95620">
            <wp:extent cx="3238500" cy="333375"/>
            <wp:effectExtent l="0" t="0" r="0" b="9525"/>
            <wp:docPr id="7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238500" cy="333375"/>
                    </a:xfrm>
                    <a:prstGeom prst="rect">
                      <a:avLst/>
                    </a:prstGeom>
                    <a:noFill/>
                    <a:ln>
                      <a:noFill/>
                    </a:ln>
                  </pic:spPr>
                </pic:pic>
              </a:graphicData>
            </a:graphic>
          </wp:inline>
        </w:drawing>
      </w:r>
    </w:p>
    <w:p w14:paraId="6B21B4E8" w14:textId="77777777" w:rsidR="003F0D4E" w:rsidRPr="00097A86" w:rsidRDefault="003F0D4E" w:rsidP="00D22D3F">
      <w:pPr>
        <w:pStyle w:val="subsection2"/>
      </w:pPr>
      <w:r w:rsidRPr="00097A86">
        <w:t>where:</w:t>
      </w:r>
    </w:p>
    <w:p w14:paraId="072626B0" w14:textId="77777777" w:rsidR="00ED09BF" w:rsidRPr="00097A86" w:rsidRDefault="00ED09BF" w:rsidP="00D22D3F">
      <w:pPr>
        <w:pStyle w:val="Definition"/>
        <w:rPr>
          <w:rFonts w:ascii="TimesNewRoman" w:hAnsi="TimesNewRoman" w:cs="TimesNewRoman"/>
        </w:rPr>
      </w:pPr>
      <w:r w:rsidRPr="00097A86">
        <w:rPr>
          <w:rFonts w:ascii="TimesNewRoman,BoldItalic" w:hAnsi="TimesNewRoman,BoldItalic" w:cs="TimesNewRoman,BoldItalic"/>
          <w:b/>
          <w:bCs/>
          <w:i/>
          <w:iCs/>
        </w:rPr>
        <w:t>E</w:t>
      </w:r>
      <w:r w:rsidRPr="00097A86">
        <w:rPr>
          <w:rFonts w:ascii="TimesNewRoman,BoldItalic" w:hAnsi="TimesNewRoman,BoldItalic" w:cs="TimesNewRoman,BoldItalic"/>
          <w:b/>
          <w:bCs/>
          <w:i/>
          <w:iCs/>
          <w:sz w:val="13"/>
          <w:szCs w:val="13"/>
        </w:rPr>
        <w:t xml:space="preserve">j </w:t>
      </w:r>
      <w:r w:rsidRPr="00097A86">
        <w:t xml:space="preserve">is the emissions of methane released by the landfill during the year </w:t>
      </w:r>
      <w:r w:rsidRPr="00097A86">
        <w:rPr>
          <w:rFonts w:ascii="TimesNewRoman" w:hAnsi="TimesNewRoman" w:cs="TimesNewRoman"/>
        </w:rPr>
        <w:t xml:space="preserve">measured in </w:t>
      </w:r>
      <w:r w:rsidRPr="00097A86">
        <w:t>CO</w:t>
      </w:r>
      <w:r w:rsidRPr="00097A86">
        <w:rPr>
          <w:rStyle w:val="charsubscript0"/>
        </w:rPr>
        <w:t>2</w:t>
      </w:r>
      <w:r w:rsidR="00097A86">
        <w:noBreakHyphen/>
      </w:r>
      <w:r w:rsidRPr="00097A86">
        <w:t>e</w:t>
      </w:r>
      <w:r w:rsidRPr="00097A86">
        <w:rPr>
          <w:rFonts w:ascii="TimesNewRoman" w:hAnsi="TimesNewRoman" w:cs="TimesNewRoman"/>
        </w:rPr>
        <w:t xml:space="preserve"> tonnes.</w:t>
      </w:r>
    </w:p>
    <w:p w14:paraId="5DA6F1E5" w14:textId="77777777" w:rsidR="003F0D4E" w:rsidRPr="00097A86" w:rsidRDefault="003F0D4E" w:rsidP="00D22D3F">
      <w:pPr>
        <w:pStyle w:val="Definition"/>
      </w:pPr>
      <w:r w:rsidRPr="00097A86">
        <w:rPr>
          <w:b/>
          <w:i/>
        </w:rPr>
        <w:t>CH</w:t>
      </w:r>
      <w:r w:rsidRPr="00097A86">
        <w:rPr>
          <w:b/>
          <w:i/>
          <w:vertAlign w:val="subscript"/>
        </w:rPr>
        <w:t>4</w:t>
      </w:r>
      <w:r w:rsidR="00097A86" w:rsidRPr="00097A86">
        <w:rPr>
          <w:b/>
          <w:i/>
          <w:position w:val="6"/>
          <w:sz w:val="16"/>
          <w:vertAlign w:val="superscript"/>
        </w:rPr>
        <w:t>*</w:t>
      </w:r>
      <w:r w:rsidRPr="00097A86">
        <w:rPr>
          <w:b/>
          <w:i/>
          <w:vertAlign w:val="superscript"/>
        </w:rPr>
        <w:t xml:space="preserve"> </w:t>
      </w:r>
      <w:r w:rsidRPr="00097A86">
        <w:t xml:space="preserve">is the estimated quantity of methane in landfill gas generated by the landfill during the year as determined under </w:t>
      </w:r>
      <w:r w:rsidR="00097A86">
        <w:t>subsection (</w:t>
      </w:r>
      <w:r w:rsidRPr="00097A86">
        <w:t>2)</w:t>
      </w:r>
      <w:r w:rsidR="00E94856" w:rsidRPr="00097A86">
        <w:t xml:space="preserve"> or (3)</w:t>
      </w:r>
      <w:r w:rsidRPr="00097A86">
        <w:t xml:space="preserve"> and measured in CO</w:t>
      </w:r>
      <w:r w:rsidRPr="00097A86">
        <w:rPr>
          <w:vertAlign w:val="subscript"/>
        </w:rPr>
        <w:t>2</w:t>
      </w:r>
      <w:r w:rsidR="00097A86">
        <w:noBreakHyphen/>
      </w:r>
      <w:r w:rsidRPr="00097A86">
        <w:t>e tonnes.</w:t>
      </w:r>
    </w:p>
    <w:p w14:paraId="689AD4BA" w14:textId="77777777" w:rsidR="003F0D4E" w:rsidRPr="00097A86" w:rsidRDefault="003F0D4E" w:rsidP="00D22D3F">
      <w:pPr>
        <w:pStyle w:val="Definition"/>
      </w:pPr>
      <w:r w:rsidRPr="00097A86">
        <w:rPr>
          <w:b/>
          <w:i/>
        </w:rPr>
        <w:t xml:space="preserve">γ </w:t>
      </w:r>
      <w:r w:rsidRPr="00097A86">
        <w:t>is the factor 6.784 × 10</w:t>
      </w:r>
      <w:r w:rsidR="00097A86">
        <w:rPr>
          <w:vertAlign w:val="superscript"/>
        </w:rPr>
        <w:noBreakHyphen/>
      </w:r>
      <w:r w:rsidRPr="00097A86">
        <w:rPr>
          <w:vertAlign w:val="superscript"/>
        </w:rPr>
        <w:t xml:space="preserve">4 </w:t>
      </w:r>
      <w:r w:rsidRPr="00097A86">
        <w:t xml:space="preserve">×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16DFCB0D" w14:textId="77777777" w:rsidR="003F0D4E" w:rsidRPr="00097A86" w:rsidRDefault="003F0D4E"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landfill gas captured for combustion from the landfill during the year and measured in cubic metres in accordance with Division</w:t>
      </w:r>
      <w:r w:rsidR="00097A86">
        <w:t> </w:t>
      </w:r>
      <w:r w:rsidRPr="00097A86">
        <w:t>2.3.6.</w:t>
      </w:r>
    </w:p>
    <w:p w14:paraId="227D5F48"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landfill gas flared from the landfill during the year and measured in cubic metres in accordance with Division</w:t>
      </w:r>
      <w:r w:rsidR="00097A86">
        <w:t> </w:t>
      </w:r>
      <w:r w:rsidRPr="00097A86">
        <w:t>2.3.6.</w:t>
      </w:r>
    </w:p>
    <w:p w14:paraId="3EBD116B" w14:textId="77777777" w:rsidR="003F0D4E" w:rsidRPr="00097A86" w:rsidRDefault="003F0D4E" w:rsidP="00D22D3F">
      <w:pPr>
        <w:pStyle w:val="Definition"/>
      </w:pPr>
      <w:r w:rsidRPr="00097A86">
        <w:rPr>
          <w:b/>
          <w:i/>
        </w:rPr>
        <w:t>Q</w:t>
      </w:r>
      <w:r w:rsidRPr="00097A86">
        <w:rPr>
          <w:b/>
          <w:i/>
          <w:vertAlign w:val="subscript"/>
        </w:rPr>
        <w:t>tr</w:t>
      </w:r>
      <w:r w:rsidRPr="00097A86">
        <w:rPr>
          <w:b/>
          <w:i/>
        </w:rPr>
        <w:t xml:space="preserve"> </w:t>
      </w:r>
      <w:r w:rsidRPr="00097A86">
        <w:t>is the quantity of methane in landfill gas transferred out of the landfill during the year and measured in cubic metres in accordance with Division</w:t>
      </w:r>
      <w:r w:rsidR="00097A86">
        <w:t> </w:t>
      </w:r>
      <w:r w:rsidRPr="00097A86">
        <w:t>2.3.6.</w:t>
      </w:r>
    </w:p>
    <w:p w14:paraId="7651FB8D" w14:textId="77777777" w:rsidR="003F0D4E" w:rsidRPr="00097A86" w:rsidRDefault="003F0D4E" w:rsidP="00D22D3F">
      <w:pPr>
        <w:pStyle w:val="Definition"/>
      </w:pPr>
      <w:r w:rsidRPr="00097A86">
        <w:rPr>
          <w:b/>
          <w:i/>
        </w:rPr>
        <w:t xml:space="preserve">OF </w:t>
      </w:r>
      <w:r w:rsidRPr="00097A86">
        <w:t>is the oxidation factor (0.1) for near surface methane in the landfill.</w:t>
      </w:r>
    </w:p>
    <w:p w14:paraId="422C4D94" w14:textId="77777777" w:rsidR="00ED09BF" w:rsidRPr="00097A86" w:rsidRDefault="00ED09BF" w:rsidP="00D22D3F">
      <w:pPr>
        <w:pStyle w:val="subsection"/>
      </w:pPr>
      <w:r w:rsidRPr="00097A86">
        <w:tab/>
        <w:t>(2)</w:t>
      </w:r>
      <w:r w:rsidRPr="00097A86">
        <w:tab/>
        <w:t xml:space="preserve">For </w:t>
      </w:r>
      <w:r w:rsidR="00097A86">
        <w:t>subsection (</w:t>
      </w:r>
      <w:r w:rsidRPr="00097A86">
        <w:t>1), if:</w:t>
      </w:r>
    </w:p>
    <w:p w14:paraId="38A8FC42" w14:textId="77777777" w:rsidR="00ED09BF" w:rsidRPr="00097A86" w:rsidRDefault="00D22D3F" w:rsidP="00D22D3F">
      <w:pPr>
        <w:pStyle w:val="subsection"/>
        <w:spacing w:before="120" w:after="120"/>
      </w:pPr>
      <w:r w:rsidRPr="00097A86">
        <w:tab/>
      </w:r>
      <w:r w:rsidRPr="00097A86">
        <w:tab/>
      </w:r>
      <w:r w:rsidR="009E1F90">
        <w:rPr>
          <w:noProof/>
        </w:rPr>
        <w:drawing>
          <wp:inline distT="0" distB="0" distL="0" distR="0" wp14:anchorId="2D99F7B2" wp14:editId="06C03AFD">
            <wp:extent cx="1485900" cy="495300"/>
            <wp:effectExtent l="0" t="0" r="0" b="0"/>
            <wp:docPr id="7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45E2537B" w14:textId="77777777" w:rsidR="00ED09BF" w:rsidRPr="00097A86" w:rsidRDefault="00ED09BF" w:rsidP="00D22D3F">
      <w:pPr>
        <w:pStyle w:val="subsection2"/>
      </w:pPr>
      <w:r w:rsidRPr="00097A86">
        <w:t>is less than or equal to 0.75, then:</w:t>
      </w:r>
    </w:p>
    <w:p w14:paraId="16A977EB" w14:textId="77777777" w:rsidR="00ED09BF" w:rsidRPr="00097A86" w:rsidRDefault="009E1F90" w:rsidP="00D22D3F">
      <w:pPr>
        <w:pStyle w:val="subsection2"/>
        <w:spacing w:before="120" w:after="120"/>
      </w:pPr>
      <w:r>
        <w:rPr>
          <w:noProof/>
        </w:rPr>
        <w:drawing>
          <wp:inline distT="0" distB="0" distL="0" distR="0" wp14:anchorId="17A3AECA" wp14:editId="7D753BAB">
            <wp:extent cx="1000125" cy="24765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14:paraId="7E6A2ADD" w14:textId="77777777" w:rsidR="00ED09BF" w:rsidRPr="00097A86" w:rsidRDefault="00ED09BF" w:rsidP="00D22D3F">
      <w:pPr>
        <w:pStyle w:val="subsection2"/>
      </w:pPr>
      <w:r w:rsidRPr="00097A86">
        <w:t>where:</w:t>
      </w:r>
    </w:p>
    <w:p w14:paraId="49FB5ED7" w14:textId="77777777" w:rsidR="00ED09BF" w:rsidRPr="00097A86" w:rsidRDefault="00ED09BF" w:rsidP="00D22D3F">
      <w:pPr>
        <w:pStyle w:val="Definition"/>
      </w:pPr>
      <w:r w:rsidRPr="00097A86">
        <w:rPr>
          <w:b/>
          <w:i/>
        </w:rPr>
        <w:t>CH</w:t>
      </w:r>
      <w:r w:rsidRPr="00097A86">
        <w:rPr>
          <w:b/>
          <w:i/>
          <w:vertAlign w:val="subscript"/>
        </w:rPr>
        <w:t>4gen</w:t>
      </w:r>
      <w:r w:rsidRPr="00097A86">
        <w:rPr>
          <w:b/>
          <w:i/>
        </w:rPr>
        <w:t xml:space="preserve"> </w:t>
      </w:r>
      <w:r w:rsidRPr="00097A86">
        <w:t xml:space="preserve">is the quantity of methane in landfill gas generation released from the landfill during the year estimated in accordance with </w:t>
      </w:r>
      <w:r w:rsidR="00097A86">
        <w:t>subsection (</w:t>
      </w:r>
      <w:r w:rsidRPr="00097A86">
        <w:t>5) and measured in CO</w:t>
      </w:r>
      <w:r w:rsidRPr="00097A86">
        <w:rPr>
          <w:vertAlign w:val="subscript"/>
        </w:rPr>
        <w:t>2</w:t>
      </w:r>
      <w:r w:rsidR="00097A86">
        <w:noBreakHyphen/>
      </w:r>
      <w:r w:rsidRPr="00097A86">
        <w:t>e tonnes.</w:t>
      </w:r>
    </w:p>
    <w:p w14:paraId="4B723000" w14:textId="77777777" w:rsidR="00ED09BF" w:rsidRPr="00097A86" w:rsidRDefault="00ED09BF" w:rsidP="00D22D3F">
      <w:pPr>
        <w:pStyle w:val="subsection"/>
      </w:pPr>
      <w:r w:rsidRPr="00097A86">
        <w:tab/>
        <w:t>(3)</w:t>
      </w:r>
      <w:r w:rsidRPr="00097A86">
        <w:tab/>
        <w:t xml:space="preserve">For </w:t>
      </w:r>
      <w:r w:rsidR="00097A86">
        <w:t>subsection (</w:t>
      </w:r>
      <w:r w:rsidRPr="00097A86">
        <w:t>1), if:</w:t>
      </w:r>
    </w:p>
    <w:p w14:paraId="76A85E4B" w14:textId="77777777" w:rsidR="00ED09BF" w:rsidRPr="00097A86" w:rsidRDefault="00D22D3F" w:rsidP="00D22D3F">
      <w:pPr>
        <w:pStyle w:val="subsection"/>
        <w:spacing w:before="120" w:after="120"/>
      </w:pPr>
      <w:r w:rsidRPr="00097A86">
        <w:lastRenderedPageBreak/>
        <w:tab/>
      </w:r>
      <w:r w:rsidRPr="00097A86">
        <w:tab/>
      </w:r>
      <w:r w:rsidR="009E1F90">
        <w:rPr>
          <w:noProof/>
        </w:rPr>
        <w:drawing>
          <wp:inline distT="0" distB="0" distL="0" distR="0" wp14:anchorId="157F097B" wp14:editId="459B7EFD">
            <wp:extent cx="1485900" cy="495300"/>
            <wp:effectExtent l="0" t="0" r="0" b="0"/>
            <wp:docPr id="6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34364B79" w14:textId="77777777" w:rsidR="00ED09BF" w:rsidRPr="00097A86" w:rsidRDefault="00ED09BF" w:rsidP="00D22D3F">
      <w:pPr>
        <w:pStyle w:val="subsection2"/>
      </w:pPr>
      <w:r w:rsidRPr="00097A86">
        <w:t>is greater than 0.75, then:</w:t>
      </w:r>
    </w:p>
    <w:p w14:paraId="21FA2DE9" w14:textId="77777777" w:rsidR="00ED09BF" w:rsidRPr="00097A86" w:rsidRDefault="009E1F90" w:rsidP="00D22D3F">
      <w:pPr>
        <w:pStyle w:val="subsection2"/>
        <w:spacing w:before="120" w:after="120"/>
      </w:pPr>
      <w:r>
        <w:rPr>
          <w:noProof/>
        </w:rPr>
        <w:drawing>
          <wp:inline distT="0" distB="0" distL="0" distR="0" wp14:anchorId="79637870" wp14:editId="78105A4B">
            <wp:extent cx="2619375" cy="495300"/>
            <wp:effectExtent l="0" t="0" r="9525" b="0"/>
            <wp:docPr id="6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14:paraId="15C00C07" w14:textId="77777777" w:rsidR="00ED09BF" w:rsidRPr="00097A86" w:rsidRDefault="00ED09BF" w:rsidP="00D22D3F">
      <w:pPr>
        <w:pStyle w:val="subsection2"/>
      </w:pPr>
      <w:r w:rsidRPr="00097A86">
        <w:t>where:</w:t>
      </w:r>
    </w:p>
    <w:p w14:paraId="039A2DDB" w14:textId="77777777" w:rsidR="00ED09BF" w:rsidRPr="00097A86" w:rsidRDefault="00ED09BF" w:rsidP="00D22D3F">
      <w:pPr>
        <w:pStyle w:val="Definition"/>
      </w:pPr>
      <w:r w:rsidRPr="00097A86">
        <w:rPr>
          <w:b/>
          <w:i/>
        </w:rPr>
        <w:t xml:space="preserve">γ </w:t>
      </w:r>
      <w:r w:rsidRPr="00097A86">
        <w:t>is the factor 6.784 x 10</w:t>
      </w:r>
      <w:r w:rsidR="00097A86">
        <w:rPr>
          <w:vertAlign w:val="superscript"/>
        </w:rPr>
        <w:noBreakHyphen/>
      </w:r>
      <w:r w:rsidRPr="00097A86">
        <w:rPr>
          <w:vertAlign w:val="superscript"/>
        </w:rPr>
        <w:t xml:space="preserve">4 </w:t>
      </w:r>
      <w:r w:rsidRPr="00097A86">
        <w:t xml:space="preserve">x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4CDDDEB5" w14:textId="77777777" w:rsidR="00ED09BF" w:rsidRPr="00097A86" w:rsidRDefault="00ED09BF"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landfill gas captured for combustion from the landfill during the year and measured in cubic metres.</w:t>
      </w:r>
    </w:p>
    <w:p w14:paraId="76B5AFC6" w14:textId="77777777" w:rsidR="003F0D4E" w:rsidRPr="00097A86" w:rsidRDefault="003F0D4E" w:rsidP="00D22D3F">
      <w:pPr>
        <w:pStyle w:val="subsection"/>
      </w:pPr>
      <w:r w:rsidRPr="00097A86">
        <w:tab/>
        <w:t>(4)</w:t>
      </w:r>
      <w:r w:rsidRPr="00097A86">
        <w:tab/>
        <w:t xml:space="preserve">For </w:t>
      </w:r>
      <w:r w:rsidR="00097A86">
        <w:t>subsections (</w:t>
      </w:r>
      <w:r w:rsidRPr="00097A86">
        <w:t xml:space="preserve">1) and (3), </w:t>
      </w:r>
      <w:r w:rsidRPr="00097A86">
        <w:rPr>
          <w:b/>
          <w:i/>
        </w:rPr>
        <w:t>Q</w:t>
      </w:r>
      <w:r w:rsidRPr="00097A86">
        <w:rPr>
          <w:b/>
          <w:i/>
          <w:vertAlign w:val="subscript"/>
        </w:rPr>
        <w:t>cap</w:t>
      </w:r>
      <w:r w:rsidRPr="00097A86">
        <w:t xml:space="preserve"> is to be calculated in accordance with Division</w:t>
      </w:r>
      <w:r w:rsidR="00097A86">
        <w:t> </w:t>
      </w:r>
      <w:r w:rsidRPr="00097A86">
        <w:t>2.3.6.</w:t>
      </w:r>
    </w:p>
    <w:p w14:paraId="33253FF5" w14:textId="77777777" w:rsidR="00B2006F" w:rsidRPr="00097A86" w:rsidRDefault="00B2006F" w:rsidP="00D22D3F">
      <w:pPr>
        <w:pStyle w:val="subsection"/>
      </w:pPr>
      <w:r w:rsidRPr="00097A86">
        <w:tab/>
        <w:t>(5)</w:t>
      </w:r>
      <w:r w:rsidRPr="00097A86">
        <w:tab/>
        <w:t xml:space="preserve">For </w:t>
      </w:r>
      <w:r w:rsidR="00097A86">
        <w:t>subsection (</w:t>
      </w:r>
      <w:r w:rsidRPr="00097A86">
        <w:t>2), CH</w:t>
      </w:r>
      <w:r w:rsidRPr="00097A86">
        <w:rPr>
          <w:vertAlign w:val="subscript"/>
        </w:rPr>
        <w:t xml:space="preserve">4gen </w:t>
      </w:r>
      <w:r w:rsidRPr="00097A86">
        <w:t>must be calculated using the estimates mentioned in section</w:t>
      </w:r>
      <w:r w:rsidR="00097A86">
        <w:t> </w:t>
      </w:r>
      <w:r w:rsidRPr="00097A86">
        <w:t>5.4A and the equations mentioned in sections</w:t>
      </w:r>
      <w:r w:rsidR="00097A86">
        <w:t> </w:t>
      </w:r>
      <w:r w:rsidRPr="00097A86">
        <w:t>5.4B, 5.4C and 5.4D.</w:t>
      </w:r>
    </w:p>
    <w:p w14:paraId="37136BC0" w14:textId="77777777" w:rsidR="00B2006F" w:rsidRPr="00097A86" w:rsidRDefault="00B2006F" w:rsidP="00D22D3F">
      <w:pPr>
        <w:pStyle w:val="ActHead5"/>
      </w:pPr>
      <w:bookmarkStart w:id="521" w:name="_Toc13233953"/>
      <w:r w:rsidRPr="00097A86">
        <w:rPr>
          <w:rStyle w:val="CharSectno"/>
        </w:rPr>
        <w:t>5.4A</w:t>
      </w:r>
      <w:r w:rsidR="00D22D3F" w:rsidRPr="00097A86">
        <w:t xml:space="preserve">  </w:t>
      </w:r>
      <w:r w:rsidRPr="00097A86">
        <w:t>Estimates for calculating CH</w:t>
      </w:r>
      <w:r w:rsidRPr="00097A86">
        <w:rPr>
          <w:vertAlign w:val="subscript"/>
        </w:rPr>
        <w:t>4gen</w:t>
      </w:r>
      <w:bookmarkEnd w:id="521"/>
    </w:p>
    <w:p w14:paraId="7F19851B" w14:textId="77777777" w:rsidR="00B2006F" w:rsidRPr="00097A86" w:rsidRDefault="00B2006F" w:rsidP="00D22D3F">
      <w:pPr>
        <w:pStyle w:val="subsection"/>
      </w:pPr>
      <w:r w:rsidRPr="00097A86">
        <w:rPr>
          <w:b/>
        </w:rPr>
        <w:tab/>
      </w:r>
      <w:r w:rsidRPr="00097A86">
        <w:rPr>
          <w:b/>
        </w:rPr>
        <w:tab/>
      </w:r>
      <w:r w:rsidRPr="00097A86">
        <w:t>For subsection</w:t>
      </w:r>
      <w:r w:rsidR="00097A86">
        <w:t> </w:t>
      </w:r>
      <w:r w:rsidRPr="00097A86">
        <w:t>5.4(5), the estimates for calculating CH</w:t>
      </w:r>
      <w:r w:rsidRPr="00097A86">
        <w:rPr>
          <w:vertAlign w:val="subscript"/>
        </w:rPr>
        <w:t>4gen</w:t>
      </w:r>
      <w:r w:rsidRPr="00097A86">
        <w:t xml:space="preserve"> are the following:</w:t>
      </w:r>
    </w:p>
    <w:p w14:paraId="11144D47" w14:textId="77777777" w:rsidR="00B2006F" w:rsidRPr="00097A86" w:rsidRDefault="00B2006F" w:rsidP="00D22D3F">
      <w:pPr>
        <w:pStyle w:val="paragraph"/>
      </w:pPr>
      <w:r w:rsidRPr="00097A86">
        <w:tab/>
        <w:t>(a)</w:t>
      </w:r>
      <w:r w:rsidRPr="00097A86">
        <w:tab/>
        <w:t>the tonnage of total solid waste disposed of in the landfill during the year estimated in accordance with section</w:t>
      </w:r>
      <w:r w:rsidR="00097A86">
        <w:t> </w:t>
      </w:r>
      <w:r w:rsidRPr="00097A86">
        <w:t>5.5;</w:t>
      </w:r>
    </w:p>
    <w:p w14:paraId="52E568FF" w14:textId="77777777" w:rsidR="00B2006F" w:rsidRPr="00097A86" w:rsidRDefault="00B2006F" w:rsidP="00D22D3F">
      <w:pPr>
        <w:pStyle w:val="paragraph"/>
      </w:pPr>
      <w:r w:rsidRPr="00097A86">
        <w:tab/>
        <w:t>(b)</w:t>
      </w:r>
      <w:r w:rsidRPr="00097A86">
        <w:tab/>
        <w:t>the composition of the solid waste disposed of in the landfill during the year estimated in accordance with section</w:t>
      </w:r>
      <w:r w:rsidR="00097A86">
        <w:t> </w:t>
      </w:r>
      <w:r w:rsidRPr="00097A86">
        <w:t>5.9;</w:t>
      </w:r>
    </w:p>
    <w:p w14:paraId="45F9CE10" w14:textId="77777777" w:rsidR="00B2006F" w:rsidRPr="00097A86" w:rsidRDefault="00B2006F" w:rsidP="00D22D3F">
      <w:pPr>
        <w:pStyle w:val="paragraph"/>
      </w:pPr>
      <w:r w:rsidRPr="00097A86">
        <w:tab/>
        <w:t>(c)</w:t>
      </w:r>
      <w:r w:rsidRPr="00097A86">
        <w:tab/>
        <w:t>the degradable organic carbon content of the solid waste disposed of in the landfill by waste type estimated in accordance with section</w:t>
      </w:r>
      <w:r w:rsidR="00097A86">
        <w:t> </w:t>
      </w:r>
      <w:r w:rsidRPr="00097A86">
        <w:t>5.12;</w:t>
      </w:r>
    </w:p>
    <w:p w14:paraId="1B6303F9" w14:textId="77777777" w:rsidR="00B2006F" w:rsidRPr="00097A86" w:rsidRDefault="00B2006F" w:rsidP="00D22D3F">
      <w:pPr>
        <w:pStyle w:val="paragraph"/>
      </w:pPr>
      <w:r w:rsidRPr="00097A86">
        <w:tab/>
        <w:t>(d)</w:t>
      </w:r>
      <w:r w:rsidRPr="00097A86">
        <w:tab/>
        <w:t>the opening stock of degradable organic carbon in the solid waste at the landfill at the start of the first reporting period for the landfill estimated in accordance with section</w:t>
      </w:r>
      <w:r w:rsidR="00097A86">
        <w:t> </w:t>
      </w:r>
      <w:r w:rsidRPr="00097A86">
        <w:t>5.13;</w:t>
      </w:r>
    </w:p>
    <w:p w14:paraId="409C17DC" w14:textId="77777777" w:rsidR="00B2006F" w:rsidRPr="00097A86" w:rsidRDefault="00B2006F" w:rsidP="00D22D3F">
      <w:pPr>
        <w:pStyle w:val="paragraph"/>
      </w:pPr>
      <w:r w:rsidRPr="00097A86">
        <w:tab/>
        <w:t>(e)</w:t>
      </w:r>
      <w:r w:rsidRPr="00097A86">
        <w:tab/>
        <w:t>methane generation constants (</w:t>
      </w:r>
      <w:r w:rsidRPr="00097A86">
        <w:rPr>
          <w:b/>
          <w:i/>
        </w:rPr>
        <w:t>k values</w:t>
      </w:r>
      <w:r w:rsidRPr="00097A86">
        <w:t>) for the solid waste at the landfill estimated in accordance with section</w:t>
      </w:r>
      <w:r w:rsidR="00097A86">
        <w:t> </w:t>
      </w:r>
      <w:r w:rsidRPr="00097A86">
        <w:t>5.14;</w:t>
      </w:r>
    </w:p>
    <w:p w14:paraId="3F4C39CC" w14:textId="77777777" w:rsidR="00B2006F" w:rsidRPr="00097A86" w:rsidRDefault="00B2006F" w:rsidP="00D22D3F">
      <w:pPr>
        <w:pStyle w:val="paragraph"/>
      </w:pPr>
      <w:r w:rsidRPr="00097A86">
        <w:tab/>
        <w:t>(f)</w:t>
      </w:r>
      <w:r w:rsidRPr="00097A86">
        <w:tab/>
        <w:t>the fraction of degradable organic carbon dissimilated (</w:t>
      </w:r>
      <w:r w:rsidRPr="00097A86">
        <w:rPr>
          <w:b/>
          <w:i/>
        </w:rPr>
        <w:t>DOC</w:t>
      </w:r>
      <w:r w:rsidRPr="00097A86">
        <w:rPr>
          <w:b/>
          <w:i/>
          <w:vertAlign w:val="subscript"/>
        </w:rPr>
        <w:t>F</w:t>
      </w:r>
      <w:r w:rsidRPr="00097A86">
        <w:t>) estimated in accordance with section</w:t>
      </w:r>
      <w:r w:rsidR="00097A86">
        <w:t> </w:t>
      </w:r>
      <w:r w:rsidRPr="00097A86">
        <w:t>5.14A;</w:t>
      </w:r>
    </w:p>
    <w:p w14:paraId="6A523002" w14:textId="77777777" w:rsidR="00B2006F" w:rsidRPr="00097A86" w:rsidRDefault="00B2006F" w:rsidP="00D22D3F">
      <w:pPr>
        <w:pStyle w:val="paragraph"/>
      </w:pPr>
      <w:r w:rsidRPr="00097A86">
        <w:tab/>
        <w:t>(g)</w:t>
      </w:r>
      <w:r w:rsidRPr="00097A86">
        <w:tab/>
        <w:t>the methane correction factor for aerobic decomposition in the first year estimated in accordance with section</w:t>
      </w:r>
      <w:r w:rsidR="00097A86">
        <w:t> </w:t>
      </w:r>
      <w:r w:rsidRPr="00097A86">
        <w:t>5.14B;</w:t>
      </w:r>
    </w:p>
    <w:p w14:paraId="6E08A1F4" w14:textId="77777777" w:rsidR="00B2006F" w:rsidRPr="00097A86" w:rsidRDefault="00B2006F" w:rsidP="00D22D3F">
      <w:pPr>
        <w:pStyle w:val="paragraph"/>
      </w:pPr>
      <w:r w:rsidRPr="00097A86">
        <w:tab/>
        <w:t>(h)</w:t>
      </w:r>
      <w:r w:rsidRPr="00097A86">
        <w:tab/>
        <w:t>the fraction by volume of methane generated in landfill gas estimated in accordance with section</w:t>
      </w:r>
      <w:r w:rsidR="00097A86">
        <w:t> </w:t>
      </w:r>
      <w:r w:rsidRPr="00097A86">
        <w:t>5.14C;</w:t>
      </w:r>
    </w:p>
    <w:p w14:paraId="5C39F6B0" w14:textId="77777777" w:rsidR="00B2006F" w:rsidRPr="00097A86" w:rsidRDefault="00B2006F" w:rsidP="00D22D3F">
      <w:pPr>
        <w:pStyle w:val="paragraph"/>
      </w:pPr>
      <w:r w:rsidRPr="00097A86">
        <w:tab/>
        <w:t>(i)</w:t>
      </w:r>
      <w:r w:rsidRPr="00097A86">
        <w:tab/>
        <w:t>the number of months that have ended before methane generation at the landfill commences estimated in accordance with section</w:t>
      </w:r>
      <w:r w:rsidR="00097A86">
        <w:t> </w:t>
      </w:r>
      <w:r w:rsidRPr="00097A86">
        <w:t>5.14D.</w:t>
      </w:r>
    </w:p>
    <w:p w14:paraId="36B9B141" w14:textId="77777777" w:rsidR="00B2006F" w:rsidRPr="00097A86" w:rsidRDefault="00B2006F" w:rsidP="00D22D3F">
      <w:pPr>
        <w:pStyle w:val="ActHead5"/>
      </w:pPr>
      <w:bookmarkStart w:id="522" w:name="_Toc13233954"/>
      <w:r w:rsidRPr="00097A86">
        <w:rPr>
          <w:rStyle w:val="CharSectno"/>
        </w:rPr>
        <w:lastRenderedPageBreak/>
        <w:t>5.4B</w:t>
      </w:r>
      <w:r w:rsidR="00D22D3F" w:rsidRPr="00097A86">
        <w:t xml:space="preserve">  </w:t>
      </w:r>
      <w:r w:rsidRPr="00097A86">
        <w:t xml:space="preserve">Equation—change in quantity of particular opening stock at landfill for calculating </w:t>
      </w:r>
      <w:r w:rsidRPr="00097A86">
        <w:rPr>
          <w:sz w:val="22"/>
          <w:szCs w:val="22"/>
        </w:rPr>
        <w:t>CH</w:t>
      </w:r>
      <w:r w:rsidRPr="00097A86">
        <w:rPr>
          <w:rStyle w:val="charSubscript"/>
          <w:sz w:val="22"/>
          <w:szCs w:val="22"/>
        </w:rPr>
        <w:t>4gen</w:t>
      </w:r>
      <w:bookmarkEnd w:id="522"/>
    </w:p>
    <w:p w14:paraId="0CD1D2FF" w14:textId="77777777" w:rsidR="00B2006F" w:rsidRPr="00097A86" w:rsidRDefault="00B2006F" w:rsidP="00D22D3F">
      <w:pPr>
        <w:pStyle w:val="subsection"/>
      </w:pPr>
      <w:r w:rsidRPr="00097A86">
        <w:tab/>
        <w:t>(1)</w:t>
      </w:r>
      <w:r w:rsidRPr="00097A86">
        <w:tab/>
        <w:t>For subsection</w:t>
      </w:r>
      <w:r w:rsidR="00097A86">
        <w:t> </w:t>
      </w:r>
      <w:r w:rsidRPr="00097A86">
        <w:t>5.4(5), this section applies if the result of the first equation in subsection</w:t>
      </w:r>
      <w:r w:rsidR="00097A86">
        <w:t> </w:t>
      </w:r>
      <w:r w:rsidRPr="00097A86">
        <w:t xml:space="preserve">5.4(3)is, for the reporting year for which the result is calculated, (the </w:t>
      </w:r>
      <w:r w:rsidRPr="00097A86">
        <w:rPr>
          <w:b/>
          <w:i/>
        </w:rPr>
        <w:t>current reporting year</w:t>
      </w:r>
      <w:r w:rsidRPr="00097A86">
        <w:t>), greater than 0.75.</w:t>
      </w:r>
    </w:p>
    <w:p w14:paraId="689845F1" w14:textId="77777777" w:rsidR="00B2006F" w:rsidRPr="00097A86" w:rsidRDefault="00B2006F" w:rsidP="00D22D3F">
      <w:pPr>
        <w:pStyle w:val="subsection"/>
      </w:pPr>
      <w:r w:rsidRPr="00097A86">
        <w:tab/>
        <w:t>(2)</w:t>
      </w:r>
      <w:r w:rsidRPr="00097A86">
        <w:tab/>
        <w:t xml:space="preserve">The change in the quantity of the opening stock of decomposable degradable organic carbon </w:t>
      </w:r>
      <w:r w:rsidRPr="00097A86">
        <w:rPr>
          <w:spacing w:val="1"/>
        </w:rPr>
        <w:t>(</w:t>
      </w:r>
      <w:r w:rsidRPr="00097A86">
        <w:rPr>
          <w:b/>
          <w:i/>
        </w:rPr>
        <w:t>∆</w:t>
      </w:r>
      <w:r w:rsidRPr="00097A86">
        <w:rPr>
          <w:b/>
          <w:i/>
          <w:spacing w:val="1"/>
        </w:rPr>
        <w:t>C</w:t>
      </w:r>
      <w:r w:rsidRPr="00097A86">
        <w:rPr>
          <w:b/>
          <w:i/>
          <w:position w:val="-3"/>
          <w:szCs w:val="14"/>
        </w:rPr>
        <w:t>o</w:t>
      </w:r>
      <w:r w:rsidRPr="00097A86">
        <w:rPr>
          <w:b/>
          <w:i/>
          <w:spacing w:val="1"/>
          <w:position w:val="-3"/>
          <w:szCs w:val="14"/>
        </w:rPr>
        <w:t>s</w:t>
      </w:r>
      <w:r w:rsidRPr="00097A86">
        <w:rPr>
          <w:b/>
          <w:i/>
          <w:vertAlign w:val="subscript"/>
        </w:rPr>
        <w:t>t</w:t>
      </w:r>
      <w:r w:rsidRPr="00097A86">
        <w:rPr>
          <w:spacing w:val="-1"/>
        </w:rPr>
        <w:t xml:space="preserve">) </w:t>
      </w:r>
      <w:r w:rsidRPr="00097A86">
        <w:t>that is:</w:t>
      </w:r>
    </w:p>
    <w:p w14:paraId="34C02F6E" w14:textId="77777777" w:rsidR="00B2006F" w:rsidRPr="00097A86" w:rsidRDefault="00B2006F" w:rsidP="00D22D3F">
      <w:pPr>
        <w:pStyle w:val="paragraph"/>
      </w:pPr>
      <w:r w:rsidRPr="00097A86">
        <w:tab/>
        <w:t>(a)</w:t>
      </w:r>
      <w:r w:rsidRPr="00097A86">
        <w:tab/>
        <w:t>located in the landfill during the reporting year; and</w:t>
      </w:r>
    </w:p>
    <w:p w14:paraId="4BE8529F" w14:textId="77777777" w:rsidR="00B2006F" w:rsidRPr="00097A86" w:rsidRDefault="00B2006F" w:rsidP="00D22D3F">
      <w:pPr>
        <w:pStyle w:val="paragraph"/>
      </w:pPr>
      <w:r w:rsidRPr="00097A86">
        <w:tab/>
        <w:t>(b)</w:t>
      </w:r>
      <w:r w:rsidRPr="00097A86">
        <w:tab/>
        <w:t>measured in tonnes; and</w:t>
      </w:r>
    </w:p>
    <w:p w14:paraId="2AB6786D" w14:textId="77777777" w:rsidR="00B2006F" w:rsidRPr="00097A86" w:rsidRDefault="00B2006F" w:rsidP="00D22D3F">
      <w:pPr>
        <w:pStyle w:val="paragraph"/>
      </w:pPr>
      <w:r w:rsidRPr="00097A86">
        <w:tab/>
        <w:t>(c)</w:t>
      </w:r>
      <w:r w:rsidRPr="00097A86">
        <w:tab/>
        <w:t>lost through decomposition;</w:t>
      </w:r>
    </w:p>
    <w:p w14:paraId="3536BF32" w14:textId="77777777" w:rsidR="00B2006F" w:rsidRPr="00097A86" w:rsidRDefault="00B2006F" w:rsidP="00D22D3F">
      <w:pPr>
        <w:pStyle w:val="subsection2"/>
      </w:pPr>
      <w:r w:rsidRPr="00097A86">
        <w:t xml:space="preserve">must be calculated using the equation mentioned in </w:t>
      </w:r>
      <w:r w:rsidR="00097A86">
        <w:t>subsection (</w:t>
      </w:r>
      <w:r w:rsidRPr="00097A86">
        <w:t>3).</w:t>
      </w:r>
    </w:p>
    <w:p w14:paraId="1051B397" w14:textId="77777777" w:rsidR="00B2006F" w:rsidRPr="00097A86" w:rsidRDefault="00B2006F" w:rsidP="00D22D3F">
      <w:pPr>
        <w:pStyle w:val="subsection"/>
      </w:pPr>
      <w:r w:rsidRPr="00097A86">
        <w:tab/>
        <w:t>(3)</w:t>
      </w:r>
      <w:r w:rsidRPr="00097A86">
        <w:tab/>
        <w:t xml:space="preserve">For </w:t>
      </w:r>
      <w:r w:rsidR="00097A86">
        <w:t>subsection (</w:t>
      </w:r>
      <w:r w:rsidRPr="00097A86">
        <w:t>2), the equation is:</w:t>
      </w:r>
    </w:p>
    <w:p w14:paraId="296353D7" w14:textId="77777777" w:rsidR="00B25EE5" w:rsidRPr="00097A86" w:rsidRDefault="00B25EE5" w:rsidP="00B25EE5">
      <w:pPr>
        <w:pStyle w:val="subsection2"/>
      </w:pPr>
      <w:r w:rsidRPr="00097A86">
        <w:rPr>
          <w:position w:val="-32"/>
        </w:rPr>
        <w:object w:dxaOrig="2160" w:dyaOrig="780" w14:anchorId="2664E7F5">
          <v:shape id="_x0000_i1044" type="#_x0000_t75" style="width:108.75pt;height:39pt" o:ole="">
            <v:imagedata r:id="rId184" o:title=""/>
          </v:shape>
          <o:OLEObject Type="Embed" ProgID="Equation.DSMT4" ShapeID="_x0000_i1044" DrawAspect="Content" ObjectID="_1624711048" r:id="rId185"/>
        </w:object>
      </w:r>
    </w:p>
    <w:p w14:paraId="62942A7B" w14:textId="77777777" w:rsidR="00B2006F" w:rsidRPr="00097A86" w:rsidRDefault="00B2006F" w:rsidP="00D22D3F">
      <w:pPr>
        <w:pStyle w:val="subsection2"/>
      </w:pPr>
      <w:r w:rsidRPr="00097A86">
        <w:t>where:</w:t>
      </w:r>
    </w:p>
    <w:p w14:paraId="692EA68B" w14:textId="77777777" w:rsidR="00B2006F" w:rsidRPr="00097A86" w:rsidRDefault="00B2006F" w:rsidP="00D22D3F">
      <w:pPr>
        <w:pStyle w:val="Definition"/>
      </w:pPr>
      <w:r w:rsidRPr="00097A86">
        <w:rPr>
          <w:b/>
          <w:i/>
        </w:rPr>
        <w:t xml:space="preserve">t </w:t>
      </w:r>
      <w:r w:rsidRPr="00097A86">
        <w:t>is the reporting year.</w:t>
      </w:r>
    </w:p>
    <w:p w14:paraId="3DB817FC" w14:textId="77777777" w:rsidR="00B2006F" w:rsidRPr="00097A86" w:rsidRDefault="00B2006F" w:rsidP="00D22D3F">
      <w:pPr>
        <w:pStyle w:val="Definition"/>
      </w:pPr>
      <w:r w:rsidRPr="00097A86">
        <w:rPr>
          <w:b/>
          <w:i/>
        </w:rPr>
        <w:t>CH</w:t>
      </w:r>
      <w:r w:rsidRPr="00097A86">
        <w:rPr>
          <w:b/>
          <w:i/>
          <w:vertAlign w:val="subscript"/>
        </w:rPr>
        <w:t>4</w:t>
      </w:r>
      <w:r w:rsidR="00097A86" w:rsidRPr="00097A86">
        <w:rPr>
          <w:b/>
          <w:i/>
          <w:position w:val="6"/>
          <w:sz w:val="16"/>
        </w:rPr>
        <w:t>*</w:t>
      </w:r>
      <w:r w:rsidRPr="00097A86">
        <w:rPr>
          <w:b/>
          <w:i/>
        </w:rPr>
        <w:t xml:space="preserve"> </w:t>
      </w:r>
      <w:r w:rsidRPr="00097A86">
        <w:t>is the estimated quantity of methane in landfill gas generated by the landfill during the year, measured in CO</w:t>
      </w:r>
      <w:r w:rsidRPr="00097A86">
        <w:rPr>
          <w:vertAlign w:val="subscript"/>
        </w:rPr>
        <w:t>2</w:t>
      </w:r>
      <w:r w:rsidR="00097A86">
        <w:noBreakHyphen/>
      </w:r>
      <w:r w:rsidRPr="00097A86">
        <w:t>e tonnes.</w:t>
      </w:r>
    </w:p>
    <w:p w14:paraId="5A7CF131" w14:textId="77777777" w:rsidR="00B2006F" w:rsidRPr="00097A86" w:rsidRDefault="00B2006F" w:rsidP="00D22D3F">
      <w:pPr>
        <w:pStyle w:val="Definition"/>
      </w:pPr>
      <w:r w:rsidRPr="00097A86">
        <w:rPr>
          <w:b/>
          <w:i/>
          <w:iCs/>
        </w:rPr>
        <w:t xml:space="preserve">F </w:t>
      </w:r>
      <w:r w:rsidRPr="00097A86">
        <w:t>is the fraction of methane generated in landfill gas estimated in accordance with section</w:t>
      </w:r>
      <w:r w:rsidR="00097A86">
        <w:t> </w:t>
      </w:r>
      <w:r w:rsidRPr="00097A86">
        <w:t>5.14C.</w:t>
      </w:r>
    </w:p>
    <w:p w14:paraId="063DCC0E" w14:textId="77777777" w:rsidR="00B2006F" w:rsidRPr="00097A86" w:rsidRDefault="00B2006F" w:rsidP="00D22D3F">
      <w:pPr>
        <w:pStyle w:val="Definition"/>
      </w:pPr>
      <w:r w:rsidRPr="00097A86">
        <w:rPr>
          <w:b/>
          <w:i/>
        </w:rPr>
        <w:t xml:space="preserve">1.336 </w:t>
      </w:r>
      <w:r w:rsidRPr="00097A86">
        <w:t>is the factor to convert a mass of carbon to a mass of methane.</w:t>
      </w:r>
    </w:p>
    <w:p w14:paraId="0BC9F41B" w14:textId="77777777" w:rsidR="00B25EE5" w:rsidRPr="00097A86" w:rsidRDefault="00B25EE5" w:rsidP="00B25EE5">
      <w:pPr>
        <w:pStyle w:val="Definition"/>
      </w:pPr>
      <w:r w:rsidRPr="00097A86">
        <w:rPr>
          <w:b/>
          <w:i/>
        </w:rPr>
        <w:t>25</w:t>
      </w:r>
      <w:r w:rsidRPr="00097A86">
        <w:t xml:space="preserve"> is the factor to convert methane to carbon dioxide equivalent.</w:t>
      </w:r>
    </w:p>
    <w:p w14:paraId="5DA65A11" w14:textId="77777777" w:rsidR="00B2006F" w:rsidRPr="00097A86" w:rsidRDefault="00D22D3F" w:rsidP="00D22D3F">
      <w:pPr>
        <w:pStyle w:val="notetext"/>
      </w:pPr>
      <w:r w:rsidRPr="00097A86">
        <w:t>Note 1:</w:t>
      </w:r>
      <w:r w:rsidRPr="00097A86">
        <w:tab/>
      </w:r>
      <w:r w:rsidR="00B2006F" w:rsidRPr="00097A86">
        <w:t xml:space="preserve">For the definition of </w:t>
      </w:r>
      <w:r w:rsidR="00B2006F" w:rsidRPr="00097A86">
        <w:rPr>
          <w:b/>
          <w:i/>
        </w:rPr>
        <w:t>reporting year</w:t>
      </w:r>
      <w:r w:rsidR="00B2006F" w:rsidRPr="00097A86">
        <w:t xml:space="preserve">, see the </w:t>
      </w:r>
      <w:r w:rsidR="00B2006F" w:rsidRPr="00097A86">
        <w:rPr>
          <w:i/>
        </w:rPr>
        <w:t>National Greenhouse and Energy Reporting Regulations</w:t>
      </w:r>
      <w:r w:rsidR="00097A86">
        <w:rPr>
          <w:i/>
        </w:rPr>
        <w:t> </w:t>
      </w:r>
      <w:r w:rsidR="00B2006F" w:rsidRPr="00097A86">
        <w:rPr>
          <w:i/>
        </w:rPr>
        <w:t>2008</w:t>
      </w:r>
      <w:r w:rsidR="00B2006F" w:rsidRPr="00097A86">
        <w:t>.</w:t>
      </w:r>
    </w:p>
    <w:p w14:paraId="51DA2919" w14:textId="77777777" w:rsidR="00B2006F" w:rsidRPr="00097A86" w:rsidRDefault="00D22D3F" w:rsidP="00D22D3F">
      <w:pPr>
        <w:pStyle w:val="notetext"/>
      </w:pPr>
      <w:r w:rsidRPr="00097A86">
        <w:t>Note 2:</w:t>
      </w:r>
      <w:r w:rsidRPr="00097A86">
        <w:tab/>
      </w:r>
      <w:r w:rsidR="00B2006F" w:rsidRPr="00097A86">
        <w:t>If the result of the first equation in subsection</w:t>
      </w:r>
      <w:r w:rsidR="00097A86">
        <w:t> </w:t>
      </w:r>
      <w:r w:rsidR="00B2006F" w:rsidRPr="00097A86">
        <w:t>5.4(3):</w:t>
      </w:r>
    </w:p>
    <w:p w14:paraId="396785A4" w14:textId="77777777" w:rsidR="00B2006F" w:rsidRPr="00097A86" w:rsidRDefault="00B2006F" w:rsidP="00D22D3F">
      <w:pPr>
        <w:pStyle w:val="notepara"/>
      </w:pPr>
      <w:r w:rsidRPr="00097A86">
        <w:t>(a)</w:t>
      </w:r>
      <w:r w:rsidRPr="00097A86">
        <w:tab/>
        <w:t>was, for a previous reporting year or years, greater than 0.75; and</w:t>
      </w:r>
    </w:p>
    <w:p w14:paraId="537EAB16" w14:textId="77777777" w:rsidR="00B2006F" w:rsidRPr="00097A86" w:rsidRDefault="00B2006F" w:rsidP="00D22D3F">
      <w:pPr>
        <w:pStyle w:val="notepara"/>
      </w:pPr>
      <w:r w:rsidRPr="00097A86">
        <w:t>(b)</w:t>
      </w:r>
      <w:r w:rsidRPr="00097A86">
        <w:tab/>
        <w:t>is, for the current reporting year, less than or equal to 0.75;</w:t>
      </w:r>
    </w:p>
    <w:p w14:paraId="3D7641E9" w14:textId="77777777" w:rsidR="00B2006F" w:rsidRPr="00097A86" w:rsidRDefault="004D53D3" w:rsidP="00D22D3F">
      <w:pPr>
        <w:pStyle w:val="notetext"/>
      </w:pPr>
      <w:r w:rsidRPr="00097A86">
        <w:tab/>
      </w:r>
      <w:r w:rsidR="00B2006F" w:rsidRPr="00097A86">
        <w:t>use:</w:t>
      </w:r>
    </w:p>
    <w:p w14:paraId="7CCB5617" w14:textId="77777777" w:rsidR="00B2006F" w:rsidRPr="00097A86" w:rsidRDefault="00B2006F" w:rsidP="00D22D3F">
      <w:pPr>
        <w:pStyle w:val="notepara"/>
      </w:pPr>
      <w:r w:rsidRPr="00097A86">
        <w:t>(c)</w:t>
      </w:r>
      <w:r w:rsidRPr="00097A86">
        <w:tab/>
        <w:t>the calculation in section</w:t>
      </w:r>
      <w:r w:rsidR="00097A86">
        <w:t> </w:t>
      </w:r>
      <w:r w:rsidRPr="00097A86">
        <w:t>5.4B to calculate the change in the opening stock of carbon for the final reporting year in which the result of that equation is greater than 0.75; and</w:t>
      </w:r>
    </w:p>
    <w:p w14:paraId="1FB2B761" w14:textId="77777777" w:rsidR="00B2006F" w:rsidRPr="00097A86" w:rsidRDefault="00B2006F" w:rsidP="00D22D3F">
      <w:pPr>
        <w:pStyle w:val="notepara"/>
      </w:pPr>
      <w:r w:rsidRPr="00097A86">
        <w:t>(d)</w:t>
      </w:r>
      <w:r w:rsidRPr="00097A86">
        <w:tab/>
        <w:t>the calculation in section</w:t>
      </w:r>
      <w:r w:rsidR="00097A86">
        <w:t> </w:t>
      </w:r>
      <w:r w:rsidRPr="00097A86">
        <w:t>5.4C to calculate the closing stock for that reporting year.</w:t>
      </w:r>
    </w:p>
    <w:p w14:paraId="2631C401" w14:textId="77777777" w:rsidR="00B2006F" w:rsidRPr="00097A86" w:rsidRDefault="00B2006F" w:rsidP="00D22D3F">
      <w:pPr>
        <w:pStyle w:val="ActHead5"/>
      </w:pPr>
      <w:bookmarkStart w:id="523" w:name="_Toc13233955"/>
      <w:r w:rsidRPr="00097A86">
        <w:rPr>
          <w:rStyle w:val="CharSectno"/>
        </w:rPr>
        <w:t>5.4C</w:t>
      </w:r>
      <w:r w:rsidR="00D22D3F" w:rsidRPr="00097A86">
        <w:t xml:space="preserve">  </w:t>
      </w:r>
      <w:r w:rsidRPr="00097A86">
        <w:t>Equation—quantity of closing stock at landfill in particular reporting year</w:t>
      </w:r>
      <w:bookmarkEnd w:id="523"/>
    </w:p>
    <w:p w14:paraId="5E3923F1" w14:textId="77777777" w:rsidR="00B2006F" w:rsidRPr="00097A86" w:rsidRDefault="00B2006F" w:rsidP="00D22D3F">
      <w:pPr>
        <w:pStyle w:val="subsection"/>
      </w:pPr>
      <w:r w:rsidRPr="00097A86">
        <w:tab/>
        <w:t>(1)</w:t>
      </w:r>
      <w:r w:rsidRPr="00097A86">
        <w:tab/>
        <w:t>For subsection</w:t>
      </w:r>
      <w:r w:rsidR="00097A86">
        <w:t> </w:t>
      </w:r>
      <w:r w:rsidRPr="00097A86">
        <w:t>5.4(5), this section applies if the result of the first equation in subsection</w:t>
      </w:r>
      <w:r w:rsidR="00097A86">
        <w:t> </w:t>
      </w:r>
      <w:r w:rsidRPr="00097A86">
        <w:t xml:space="preserve">5.4(3) is, for the reporting year for which the result is calculated, (the </w:t>
      </w:r>
      <w:r w:rsidRPr="00097A86">
        <w:rPr>
          <w:b/>
          <w:i/>
        </w:rPr>
        <w:t>current reporting year</w:t>
      </w:r>
      <w:r w:rsidRPr="00097A86">
        <w:t>), greater than 0.75.</w:t>
      </w:r>
    </w:p>
    <w:p w14:paraId="5124BCA0" w14:textId="77777777" w:rsidR="00B2006F" w:rsidRPr="00097A86" w:rsidRDefault="00B2006F" w:rsidP="00D22D3F">
      <w:pPr>
        <w:pStyle w:val="subsection"/>
      </w:pPr>
      <w:r w:rsidRPr="00097A86">
        <w:lastRenderedPageBreak/>
        <w:tab/>
        <w:t>(2)</w:t>
      </w:r>
      <w:r w:rsidRPr="00097A86">
        <w:tab/>
        <w:t xml:space="preserve">The quantity of closing stock of decomposable degradable organic carbon </w:t>
      </w:r>
      <w:r w:rsidRPr="00097A86">
        <w:rPr>
          <w:spacing w:val="1"/>
        </w:rPr>
        <w:t>(</w:t>
      </w:r>
      <w:r w:rsidRPr="00097A86">
        <w:t>C</w:t>
      </w:r>
      <w:r w:rsidRPr="00097A86">
        <w:rPr>
          <w:vertAlign w:val="subscript"/>
        </w:rPr>
        <w:t>cst</w:t>
      </w:r>
      <w:r w:rsidRPr="00097A86">
        <w:rPr>
          <w:spacing w:val="-1"/>
        </w:rPr>
        <w:t xml:space="preserve">) </w:t>
      </w:r>
      <w:r w:rsidRPr="00097A86">
        <w:t>in the most recent year to which subsection</w:t>
      </w:r>
      <w:r w:rsidR="00097A86">
        <w:t> </w:t>
      </w:r>
      <w:r w:rsidRPr="00097A86">
        <w:t>5.4(3) applies:</w:t>
      </w:r>
    </w:p>
    <w:p w14:paraId="09652B6F" w14:textId="77777777" w:rsidR="00B2006F" w:rsidRPr="00097A86" w:rsidRDefault="00B2006F" w:rsidP="00D22D3F">
      <w:pPr>
        <w:pStyle w:val="paragraph"/>
      </w:pPr>
      <w:r w:rsidRPr="00097A86">
        <w:tab/>
        <w:t>(a)</w:t>
      </w:r>
      <w:r w:rsidRPr="00097A86">
        <w:tab/>
        <w:t>located in the landfill during the reporting year; and</w:t>
      </w:r>
    </w:p>
    <w:p w14:paraId="093FE49E" w14:textId="77777777" w:rsidR="00B2006F" w:rsidRPr="00097A86" w:rsidRDefault="00B2006F" w:rsidP="00D22D3F">
      <w:pPr>
        <w:pStyle w:val="paragraph"/>
      </w:pPr>
      <w:r w:rsidRPr="00097A86">
        <w:tab/>
        <w:t>(b)</w:t>
      </w:r>
      <w:r w:rsidRPr="00097A86">
        <w:tab/>
        <w:t>measured in tonnes;</w:t>
      </w:r>
    </w:p>
    <w:p w14:paraId="73324A13" w14:textId="77777777" w:rsidR="00B2006F" w:rsidRPr="00097A86" w:rsidRDefault="00B2006F" w:rsidP="00D22D3F">
      <w:pPr>
        <w:pStyle w:val="subsection2"/>
      </w:pPr>
      <w:r w:rsidRPr="00097A86">
        <w:t xml:space="preserve">must be calculated using the equation mentioned in </w:t>
      </w:r>
      <w:r w:rsidR="00097A86">
        <w:t>subsection (</w:t>
      </w:r>
      <w:r w:rsidRPr="00097A86">
        <w:t>3):</w:t>
      </w:r>
    </w:p>
    <w:p w14:paraId="6B50C272" w14:textId="77777777" w:rsidR="00B2006F" w:rsidRPr="00097A86" w:rsidRDefault="00B2006F" w:rsidP="00D22D3F">
      <w:pPr>
        <w:pStyle w:val="subsection"/>
      </w:pPr>
      <w:r w:rsidRPr="00097A86">
        <w:tab/>
        <w:t>(3)</w:t>
      </w:r>
      <w:r w:rsidRPr="00097A86">
        <w:tab/>
        <w:t xml:space="preserve">For </w:t>
      </w:r>
      <w:r w:rsidR="00097A86">
        <w:t>subsection (</w:t>
      </w:r>
      <w:r w:rsidRPr="00097A86">
        <w:t>2), the equation is:</w:t>
      </w:r>
    </w:p>
    <w:p w14:paraId="14407FE2" w14:textId="77777777" w:rsidR="00B2006F" w:rsidRPr="00097A86" w:rsidRDefault="00D22D3F" w:rsidP="00D22D3F">
      <w:pPr>
        <w:pStyle w:val="subsection"/>
        <w:spacing w:before="120" w:after="120"/>
      </w:pPr>
      <w:r w:rsidRPr="00097A86">
        <w:tab/>
      </w:r>
      <w:r w:rsidRPr="00097A86">
        <w:tab/>
      </w:r>
      <w:r w:rsidR="009E1F90">
        <w:rPr>
          <w:noProof/>
        </w:rPr>
        <w:drawing>
          <wp:inline distT="0" distB="0" distL="0" distR="0" wp14:anchorId="08236D76" wp14:editId="522AF7F8">
            <wp:extent cx="1066800" cy="238125"/>
            <wp:effectExtent l="0" t="0" r="0" b="9525"/>
            <wp:docPr id="5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p w14:paraId="0976CD4F" w14:textId="77777777" w:rsidR="00B2006F" w:rsidRPr="00097A86" w:rsidRDefault="00B2006F" w:rsidP="00D22D3F">
      <w:pPr>
        <w:pStyle w:val="subsection2"/>
      </w:pPr>
      <w:r w:rsidRPr="00097A86">
        <w:t>where:</w:t>
      </w:r>
    </w:p>
    <w:p w14:paraId="2DAEF8C3" w14:textId="77777777" w:rsidR="00B2006F" w:rsidRPr="00097A86" w:rsidRDefault="00B2006F" w:rsidP="00D22D3F">
      <w:pPr>
        <w:pStyle w:val="Definition"/>
      </w:pPr>
      <w:r w:rsidRPr="00097A86">
        <w:rPr>
          <w:b/>
          <w:i/>
          <w:spacing w:val="1"/>
          <w:position w:val="3"/>
        </w:rPr>
        <w:t>C</w:t>
      </w:r>
      <w:r w:rsidRPr="00097A86">
        <w:rPr>
          <w:b/>
          <w:i/>
          <w:sz w:val="14"/>
          <w:szCs w:val="14"/>
        </w:rPr>
        <w:t>c</w:t>
      </w:r>
      <w:r w:rsidRPr="00097A86">
        <w:rPr>
          <w:b/>
          <w:i/>
          <w:spacing w:val="1"/>
          <w:sz w:val="14"/>
          <w:szCs w:val="14"/>
        </w:rPr>
        <w:t>s</w:t>
      </w:r>
      <w:r w:rsidRPr="00097A86">
        <w:rPr>
          <w:b/>
          <w:i/>
          <w:sz w:val="14"/>
          <w:szCs w:val="14"/>
        </w:rPr>
        <w:t xml:space="preserve">t </w:t>
      </w:r>
      <w:r w:rsidRPr="00097A86">
        <w:t>is the closing stock of carbon in the last year in which subsection</w:t>
      </w:r>
      <w:r w:rsidR="00097A86">
        <w:t> </w:t>
      </w:r>
      <w:r w:rsidRPr="00097A86">
        <w:t>5.4(3) was used to calculate emissions.</w:t>
      </w:r>
    </w:p>
    <w:p w14:paraId="2C8A18FF" w14:textId="77777777" w:rsidR="00B2006F" w:rsidRPr="00097A86" w:rsidRDefault="00B2006F" w:rsidP="00D22D3F">
      <w:pPr>
        <w:pStyle w:val="Definition"/>
      </w:pPr>
      <w:r w:rsidRPr="00097A86">
        <w:rPr>
          <w:b/>
          <w:i/>
          <w:spacing w:val="1"/>
          <w:position w:val="3"/>
        </w:rPr>
        <w:t>C</w:t>
      </w:r>
      <w:r w:rsidRPr="00097A86">
        <w:rPr>
          <w:b/>
          <w:i/>
          <w:sz w:val="14"/>
          <w:szCs w:val="14"/>
        </w:rPr>
        <w:t>o</w:t>
      </w:r>
      <w:r w:rsidRPr="00097A86">
        <w:rPr>
          <w:b/>
          <w:i/>
          <w:spacing w:val="3"/>
          <w:sz w:val="14"/>
          <w:szCs w:val="14"/>
        </w:rPr>
        <w:t>s</w:t>
      </w:r>
      <w:r w:rsidRPr="00097A86">
        <w:rPr>
          <w:b/>
          <w:i/>
          <w:sz w:val="14"/>
          <w:szCs w:val="14"/>
        </w:rPr>
        <w:t>t</w:t>
      </w:r>
      <w:r w:rsidRPr="00097A86">
        <w:rPr>
          <w:b/>
          <w:i/>
          <w:spacing w:val="23"/>
          <w:sz w:val="14"/>
          <w:szCs w:val="14"/>
        </w:rPr>
        <w:t xml:space="preserve"> </w:t>
      </w:r>
      <w:r w:rsidRPr="00097A86">
        <w:t>is the opening stock of carbon in the first year in which 5.4(3) was used to calculate emissions.</w:t>
      </w:r>
    </w:p>
    <w:p w14:paraId="48EDC567" w14:textId="77777777" w:rsidR="00B2006F" w:rsidRPr="00097A86" w:rsidRDefault="00B2006F" w:rsidP="00D22D3F">
      <w:pPr>
        <w:pStyle w:val="Definition"/>
      </w:pPr>
      <w:r w:rsidRPr="00097A86">
        <w:rPr>
          <w:b/>
          <w:i/>
          <w:position w:val="3"/>
        </w:rPr>
        <w:t>∆</w:t>
      </w:r>
      <w:r w:rsidRPr="00097A86">
        <w:rPr>
          <w:b/>
          <w:i/>
          <w:spacing w:val="1"/>
          <w:position w:val="3"/>
        </w:rPr>
        <w:t>C</w:t>
      </w:r>
      <w:r w:rsidRPr="00097A86">
        <w:rPr>
          <w:b/>
          <w:i/>
          <w:sz w:val="14"/>
          <w:szCs w:val="14"/>
        </w:rPr>
        <w:t>o</w:t>
      </w:r>
      <w:r w:rsidRPr="00097A86">
        <w:rPr>
          <w:b/>
          <w:i/>
          <w:spacing w:val="3"/>
          <w:sz w:val="14"/>
          <w:szCs w:val="14"/>
        </w:rPr>
        <w:t xml:space="preserve">st </w:t>
      </w:r>
      <w:r w:rsidRPr="00097A86">
        <w:t>is the change in carbon stock for all years in which 5.4(3) applies and is estimated in accordance with 5.4B.</w:t>
      </w:r>
    </w:p>
    <w:p w14:paraId="64BAE74B" w14:textId="77777777" w:rsidR="00B2006F" w:rsidRPr="00097A86" w:rsidRDefault="00D22D3F" w:rsidP="00D22D3F">
      <w:pPr>
        <w:pStyle w:val="notetext"/>
      </w:pPr>
      <w:r w:rsidRPr="00097A86">
        <w:t>Note:</w:t>
      </w:r>
      <w:r w:rsidRPr="00097A86">
        <w:tab/>
      </w:r>
      <w:r w:rsidR="00B2006F" w:rsidRPr="00097A86">
        <w:t>The quantity of closing stock calculated in accordance with this section is the same as the quantity of opening stock for the current reporting year.</w:t>
      </w:r>
    </w:p>
    <w:p w14:paraId="71481125" w14:textId="77777777" w:rsidR="00B2006F" w:rsidRPr="00097A86" w:rsidRDefault="00B2006F" w:rsidP="00D22D3F">
      <w:pPr>
        <w:pStyle w:val="ActHead5"/>
      </w:pPr>
      <w:bookmarkStart w:id="524" w:name="_Toc13233956"/>
      <w:r w:rsidRPr="00097A86">
        <w:rPr>
          <w:rStyle w:val="CharSectno"/>
        </w:rPr>
        <w:t>5.4D</w:t>
      </w:r>
      <w:r w:rsidR="00D22D3F" w:rsidRPr="00097A86">
        <w:t xml:space="preserve">  </w:t>
      </w:r>
      <w:r w:rsidRPr="00097A86">
        <w:t xml:space="preserve">Equation—quantity of methane generated by landfill for calculating </w:t>
      </w:r>
      <w:r w:rsidRPr="00097A86">
        <w:rPr>
          <w:sz w:val="22"/>
          <w:szCs w:val="22"/>
        </w:rPr>
        <w:t>CH</w:t>
      </w:r>
      <w:r w:rsidRPr="00097A86">
        <w:rPr>
          <w:rStyle w:val="charSubscript"/>
          <w:sz w:val="22"/>
          <w:szCs w:val="22"/>
        </w:rPr>
        <w:t>4gen</w:t>
      </w:r>
      <w:bookmarkEnd w:id="524"/>
    </w:p>
    <w:p w14:paraId="74C69DAB" w14:textId="77777777" w:rsidR="00B2006F" w:rsidRPr="00097A86" w:rsidRDefault="00B2006F" w:rsidP="00D22D3F">
      <w:pPr>
        <w:pStyle w:val="subsection"/>
      </w:pPr>
      <w:r w:rsidRPr="00097A86">
        <w:tab/>
      </w:r>
      <w:r w:rsidRPr="00097A86">
        <w:tab/>
        <w:t>For subsection</w:t>
      </w:r>
      <w:r w:rsidR="00097A86">
        <w:t> </w:t>
      </w:r>
      <w:r w:rsidRPr="00097A86">
        <w:t>5.4(5), the quantity of methane generated by the landfill must be calculated using the following equation:</w:t>
      </w:r>
    </w:p>
    <w:p w14:paraId="029B9240" w14:textId="77777777" w:rsidR="00B25EE5" w:rsidRPr="00097A86" w:rsidRDefault="00B25EE5" w:rsidP="00B25EE5">
      <w:pPr>
        <w:pStyle w:val="subsection2"/>
      </w:pPr>
      <w:r w:rsidRPr="00097A86">
        <w:rPr>
          <w:position w:val="-26"/>
        </w:rPr>
        <w:object w:dxaOrig="3879" w:dyaOrig="620" w14:anchorId="5577D676">
          <v:shape id="_x0000_i1045" type="#_x0000_t75" style="width:195.75pt;height:30.75pt" o:ole="">
            <v:imagedata r:id="rId187" o:title=""/>
          </v:shape>
          <o:OLEObject Type="Embed" ProgID="Equation.DSMT4" ShapeID="_x0000_i1045" DrawAspect="Content" ObjectID="_1624711049" r:id="rId188"/>
        </w:object>
      </w:r>
    </w:p>
    <w:p w14:paraId="25464EBC" w14:textId="77777777" w:rsidR="00B2006F" w:rsidRPr="00097A86" w:rsidRDefault="00B2006F" w:rsidP="00D22D3F">
      <w:pPr>
        <w:pStyle w:val="subsection2"/>
      </w:pPr>
      <w:r w:rsidRPr="00097A86">
        <w:t>where:</w:t>
      </w:r>
    </w:p>
    <w:p w14:paraId="15473F98" w14:textId="77777777" w:rsidR="00B2006F" w:rsidRPr="00097A86" w:rsidRDefault="00B2006F" w:rsidP="00D22D3F">
      <w:pPr>
        <w:pStyle w:val="Definition"/>
      </w:pPr>
      <w:r w:rsidRPr="00097A86">
        <w:rPr>
          <w:b/>
          <w:i/>
        </w:rPr>
        <w:t>CH</w:t>
      </w:r>
      <w:r w:rsidRPr="00097A86">
        <w:rPr>
          <w:b/>
          <w:i/>
          <w:vertAlign w:val="subscript"/>
        </w:rPr>
        <w:t>4gen</w:t>
      </w:r>
      <w:r w:rsidRPr="00097A86">
        <w:rPr>
          <w:b/>
          <w:i/>
        </w:rPr>
        <w:t xml:space="preserve"> </w:t>
      </w:r>
      <w:r w:rsidRPr="00097A86">
        <w:t>is the quantity of methane generated by the landfill as calculated under this section and measured in CO</w:t>
      </w:r>
      <w:r w:rsidRPr="00097A86">
        <w:rPr>
          <w:vertAlign w:val="subscript"/>
        </w:rPr>
        <w:t>2</w:t>
      </w:r>
      <w:r w:rsidR="00097A86">
        <w:noBreakHyphen/>
      </w:r>
      <w:r w:rsidRPr="00097A86">
        <w:t>e tonnes.</w:t>
      </w:r>
    </w:p>
    <w:p w14:paraId="695F64A9" w14:textId="77777777" w:rsidR="00B2006F" w:rsidRPr="00097A86" w:rsidRDefault="00B2006F" w:rsidP="00D22D3F">
      <w:pPr>
        <w:pStyle w:val="Definition"/>
      </w:pPr>
      <w:r w:rsidRPr="00097A86">
        <w:rPr>
          <w:b/>
          <w:i/>
          <w:iCs/>
        </w:rPr>
        <w:t xml:space="preserve">F </w:t>
      </w:r>
      <w:r w:rsidRPr="00097A86">
        <w:t>is the fraction of methane generated in landfill gas estimated in accordance with section</w:t>
      </w:r>
      <w:r w:rsidR="00097A86">
        <w:t> </w:t>
      </w:r>
      <w:r w:rsidRPr="00097A86">
        <w:t>5.14C.</w:t>
      </w:r>
    </w:p>
    <w:p w14:paraId="0BA59B50" w14:textId="77777777" w:rsidR="00B2006F" w:rsidRPr="00097A86" w:rsidRDefault="00B2006F" w:rsidP="00D22D3F">
      <w:pPr>
        <w:pStyle w:val="Definition"/>
      </w:pPr>
      <w:r w:rsidRPr="00097A86">
        <w:rPr>
          <w:b/>
          <w:i/>
        </w:rPr>
        <w:t xml:space="preserve">1.336 </w:t>
      </w:r>
      <w:r w:rsidRPr="00097A86">
        <w:t>is the factor to convert a mass of carbon to a mass of methane.</w:t>
      </w:r>
    </w:p>
    <w:p w14:paraId="6B43FF76" w14:textId="77777777" w:rsidR="00B25EE5" w:rsidRPr="00097A86" w:rsidRDefault="00B25EE5" w:rsidP="00B25EE5">
      <w:pPr>
        <w:pStyle w:val="Definition"/>
      </w:pPr>
      <w:r w:rsidRPr="00097A86">
        <w:rPr>
          <w:b/>
          <w:i/>
        </w:rPr>
        <w:t>25</w:t>
      </w:r>
      <w:r w:rsidRPr="00097A86">
        <w:t xml:space="preserve"> is the factor to convert methane to carbon dioxide equivalent.</w:t>
      </w:r>
    </w:p>
    <w:p w14:paraId="2AAC42F0" w14:textId="77777777" w:rsidR="00B2006F" w:rsidRPr="00097A86" w:rsidRDefault="00B2006F" w:rsidP="00D22D3F">
      <w:pPr>
        <w:pStyle w:val="Definition"/>
      </w:pPr>
      <w:r w:rsidRPr="00097A86">
        <w:rPr>
          <w:b/>
          <w:i/>
        </w:rPr>
        <w:t>∆C</w:t>
      </w:r>
      <w:r w:rsidRPr="00097A86">
        <w:rPr>
          <w:b/>
          <w:i/>
          <w:vertAlign w:val="subscript"/>
        </w:rPr>
        <w:t xml:space="preserve">ost </w:t>
      </w:r>
      <w:r w:rsidRPr="00097A86">
        <w:t>is the change in the quantity of the opening stock of decomposable degradable organic carbon derived from the sum of all waste mix types located in the landfill during the reporting year, measured in tonnes, lost through decomposition, and equals:</w:t>
      </w:r>
    </w:p>
    <w:p w14:paraId="2D90A869" w14:textId="77777777" w:rsidR="00B2006F" w:rsidRPr="00097A86" w:rsidRDefault="00B2006F" w:rsidP="00D22D3F">
      <w:pPr>
        <w:pStyle w:val="Definition"/>
        <w:spacing w:before="120" w:after="120"/>
        <w:rPr>
          <w:rFonts w:ascii="SymbolMT" w:eastAsia="SymbolMT" w:hAnsi="TimesNewRomanPS-BoldMT" w:cs="SymbolMT"/>
        </w:rPr>
      </w:pPr>
      <w:r w:rsidRPr="00097A86">
        <w:rPr>
          <w:i/>
        </w:rPr>
        <w:t>∆</w:t>
      </w:r>
      <w:r w:rsidRPr="00097A86">
        <w:t>C</w:t>
      </w:r>
      <w:r w:rsidRPr="00097A86">
        <w:rPr>
          <w:rStyle w:val="charSubscript"/>
          <w:sz w:val="22"/>
          <w:szCs w:val="22"/>
        </w:rPr>
        <w:t xml:space="preserve">ost </w:t>
      </w:r>
      <w:r w:rsidRPr="00097A86">
        <w:rPr>
          <w:rFonts w:ascii="SymbolMT" w:eastAsia="SymbolMT" w:hAnsi="TimesNewRomanPS-BoldMT" w:cs="SymbolMT"/>
        </w:rPr>
        <w:t>=</w:t>
      </w:r>
      <w:r w:rsidRPr="00097A86">
        <w:rPr>
          <w:i/>
        </w:rPr>
        <w:t xml:space="preserve"> ∑</w:t>
      </w:r>
      <w:r w:rsidRPr="00097A86">
        <w:rPr>
          <w:i/>
          <w:vertAlign w:val="subscript"/>
        </w:rPr>
        <w:t>i</w:t>
      </w:r>
      <w:r w:rsidRPr="00097A86">
        <w:rPr>
          <w:i/>
        </w:rPr>
        <w:t xml:space="preserve"> </w:t>
      </w:r>
      <w:r w:rsidRPr="00097A86">
        <w:t>C</w:t>
      </w:r>
      <w:r w:rsidRPr="00097A86">
        <w:rPr>
          <w:vertAlign w:val="subscript"/>
        </w:rPr>
        <w:t>osit</w:t>
      </w:r>
      <w:r w:rsidRPr="00097A86">
        <w:rPr>
          <w:i/>
          <w:vertAlign w:val="subscript"/>
        </w:rPr>
        <w:t xml:space="preserve"> </w:t>
      </w:r>
      <w:r w:rsidRPr="00097A86">
        <w:sym w:font="Symbol" w:char="F0B4"/>
      </w:r>
      <w:r w:rsidRPr="00097A86">
        <w:rPr>
          <w:i/>
        </w:rPr>
        <w:t xml:space="preserve"> </w:t>
      </w:r>
      <w:r w:rsidRPr="00097A86">
        <w:rPr>
          <w:rFonts w:ascii="SymbolMT" w:eastAsia="SymbolMT" w:hAnsi="TimesNewRomanPS-BoldMT" w:cs="SymbolMT"/>
        </w:rPr>
        <w:t>(</w:t>
      </w:r>
      <w:r w:rsidRPr="00097A86">
        <w:rPr>
          <w:rFonts w:ascii="TimesNewRomanPSMT" w:hAnsi="TimesNewRomanPSMT" w:cs="TimesNewRomanPSMT"/>
        </w:rPr>
        <w:t>1</w:t>
      </w:r>
      <w:r w:rsidRPr="00097A86">
        <w:rPr>
          <w:rFonts w:ascii="SymbolMT" w:eastAsia="SymbolMT" w:hAnsi="TimesNewRomanPS-BoldMT" w:cs="SymbolMT" w:hint="eastAsia"/>
        </w:rPr>
        <w:t>−</w:t>
      </w:r>
      <w:r w:rsidRPr="00097A86">
        <w:rPr>
          <w:i/>
        </w:rPr>
        <w:t>e</w:t>
      </w:r>
      <w:r w:rsidRPr="00097A86">
        <w:rPr>
          <w:rFonts w:ascii="SymbolMT" w:eastAsia="SymbolMT" w:hAnsi="TimesNewRomanPS-BoldMT" w:cs="SymbolMT" w:hint="eastAsia"/>
          <w:vertAlign w:val="superscript"/>
        </w:rPr>
        <w:t>−</w:t>
      </w:r>
      <w:r w:rsidRPr="00097A86">
        <w:rPr>
          <w:i/>
          <w:vertAlign w:val="superscript"/>
        </w:rPr>
        <w:t>ki</w:t>
      </w:r>
      <w:r w:rsidRPr="00097A86">
        <w:rPr>
          <w:rFonts w:ascii="SymbolMT" w:eastAsia="SymbolMT" w:hAnsi="TimesNewRomanPS-BoldMT" w:cs="SymbolMT"/>
        </w:rPr>
        <w:t>)</w:t>
      </w:r>
    </w:p>
    <w:p w14:paraId="219998F7" w14:textId="77777777" w:rsidR="00B2006F" w:rsidRPr="00097A86" w:rsidRDefault="00B2006F" w:rsidP="00D22D3F">
      <w:pPr>
        <w:pStyle w:val="subsection2"/>
      </w:pPr>
      <w:r w:rsidRPr="00097A86">
        <w:t>where:</w:t>
      </w:r>
    </w:p>
    <w:p w14:paraId="1C8E06E3" w14:textId="77777777" w:rsidR="00B2006F" w:rsidRPr="00097A86" w:rsidRDefault="00B2006F" w:rsidP="00D22D3F">
      <w:pPr>
        <w:pStyle w:val="Definition"/>
      </w:pPr>
      <w:r w:rsidRPr="00097A86">
        <w:rPr>
          <w:b/>
          <w:i/>
        </w:rPr>
        <w:lastRenderedPageBreak/>
        <w:t>C</w:t>
      </w:r>
      <w:r w:rsidRPr="00097A86">
        <w:rPr>
          <w:b/>
          <w:i/>
          <w:vertAlign w:val="subscript"/>
        </w:rPr>
        <w:t xml:space="preserve">osit </w:t>
      </w:r>
      <w:r w:rsidRPr="00097A86">
        <w:t>is the quantity of decomposable degradable organic carbon accumulated in the landfill at the beginning of the reporting year from all waste mix types mentioned in subsection</w:t>
      </w:r>
      <w:r w:rsidR="00097A86">
        <w:t> </w:t>
      </w:r>
      <w:r w:rsidRPr="00097A86">
        <w:t>5.11(1), measured in tonnes and equals:</w:t>
      </w:r>
    </w:p>
    <w:p w14:paraId="0FAAED10" w14:textId="77777777" w:rsidR="00B2006F" w:rsidRPr="00097A86" w:rsidRDefault="00B2006F" w:rsidP="00D22D3F">
      <w:pPr>
        <w:pStyle w:val="Definition"/>
        <w:spacing w:before="120" w:after="120"/>
      </w:pPr>
      <w:r w:rsidRPr="00097A86">
        <w:t>C</w:t>
      </w:r>
      <w:r w:rsidRPr="00097A86">
        <w:rPr>
          <w:vertAlign w:val="subscript"/>
        </w:rPr>
        <w:t>osit</w:t>
      </w:r>
      <w:r w:rsidRPr="00097A86">
        <w:t xml:space="preserve"> = C</w:t>
      </w:r>
      <w:r w:rsidRPr="00097A86">
        <w:rPr>
          <w:vertAlign w:val="subscript"/>
        </w:rPr>
        <w:t>csit</w:t>
      </w:r>
      <w:r w:rsidR="00097A86">
        <w:rPr>
          <w:szCs w:val="22"/>
          <w:vertAlign w:val="subscript"/>
        </w:rPr>
        <w:noBreakHyphen/>
      </w:r>
      <w:r w:rsidRPr="00097A86">
        <w:rPr>
          <w:vertAlign w:val="subscript"/>
        </w:rPr>
        <w:t>1</w:t>
      </w:r>
    </w:p>
    <w:p w14:paraId="2B5533F0" w14:textId="77777777" w:rsidR="00B2006F" w:rsidRPr="00097A86" w:rsidRDefault="00B2006F" w:rsidP="00D22D3F">
      <w:pPr>
        <w:pStyle w:val="subsection2"/>
      </w:pPr>
      <w:r w:rsidRPr="00097A86">
        <w:t>where:</w:t>
      </w:r>
    </w:p>
    <w:p w14:paraId="7EB64FB5" w14:textId="77777777" w:rsidR="00B2006F" w:rsidRPr="00097A86" w:rsidRDefault="00B2006F" w:rsidP="00D22D3F">
      <w:pPr>
        <w:pStyle w:val="Definition"/>
      </w:pPr>
      <w:r w:rsidRPr="00097A86">
        <w:rPr>
          <w:b/>
          <w:i/>
        </w:rPr>
        <w:t>C</w:t>
      </w:r>
      <w:r w:rsidRPr="00097A86">
        <w:rPr>
          <w:b/>
          <w:i/>
          <w:vertAlign w:val="subscript"/>
        </w:rPr>
        <w:t>csit</w:t>
      </w:r>
      <w:r w:rsidR="00097A86">
        <w:rPr>
          <w:szCs w:val="22"/>
          <w:vertAlign w:val="subscript"/>
        </w:rPr>
        <w:noBreakHyphen/>
      </w:r>
      <w:r w:rsidRPr="00097A86">
        <w:rPr>
          <w:b/>
          <w:i/>
          <w:vertAlign w:val="subscript"/>
        </w:rPr>
        <w:t xml:space="preserve">1 </w:t>
      </w:r>
      <w:r w:rsidRPr="00097A86">
        <w:t>is the closing stock of decomposable degradable organic carbon accumulated in the landfill in the year immediately preceding the reporting year from all waste mix types mentioned in subsection</w:t>
      </w:r>
      <w:r w:rsidR="00097A86">
        <w:t> </w:t>
      </w:r>
      <w:r w:rsidRPr="00097A86">
        <w:t>5.11(1), measured in tonnes and equals:</w:t>
      </w:r>
    </w:p>
    <w:p w14:paraId="331CC492" w14:textId="77777777" w:rsidR="00B2006F" w:rsidRPr="00097A86" w:rsidRDefault="00B2006F" w:rsidP="00D22D3F">
      <w:pPr>
        <w:pStyle w:val="Definition"/>
        <w:spacing w:before="120" w:after="120"/>
        <w:rPr>
          <w:szCs w:val="22"/>
          <w:vertAlign w:val="subscript"/>
        </w:rPr>
      </w:pPr>
      <w:r w:rsidRPr="00097A86">
        <w:t>C</w:t>
      </w:r>
      <w:r w:rsidRPr="00097A86">
        <w:rPr>
          <w:rStyle w:val="charSubscript"/>
          <w:sz w:val="22"/>
          <w:szCs w:val="22"/>
        </w:rPr>
        <w:t>csit</w:t>
      </w:r>
      <w:r w:rsidRPr="00097A86">
        <w:t xml:space="preserve"> = C</w:t>
      </w:r>
      <w:r w:rsidRPr="00097A86">
        <w:rPr>
          <w:rStyle w:val="charSubscript"/>
          <w:sz w:val="22"/>
          <w:szCs w:val="22"/>
        </w:rPr>
        <w:t>osit</w:t>
      </w:r>
      <w:r w:rsidRPr="00097A86">
        <w:t xml:space="preserve"> – ∆C</w:t>
      </w:r>
      <w:r w:rsidRPr="00097A86">
        <w:rPr>
          <w:rStyle w:val="charSubscript"/>
          <w:sz w:val="22"/>
          <w:szCs w:val="22"/>
        </w:rPr>
        <w:t>osit</w:t>
      </w:r>
      <w:r w:rsidRPr="00097A86">
        <w:t xml:space="preserve"> + C</w:t>
      </w:r>
      <w:r w:rsidRPr="00097A86">
        <w:rPr>
          <w:rStyle w:val="charSubscript"/>
          <w:sz w:val="22"/>
          <w:szCs w:val="22"/>
        </w:rPr>
        <w:t>ait</w:t>
      </w:r>
      <w:r w:rsidRPr="00097A86">
        <w:t xml:space="preserve"> – ∆C</w:t>
      </w:r>
      <w:r w:rsidRPr="00097A86">
        <w:rPr>
          <w:rStyle w:val="charSubscript"/>
          <w:sz w:val="22"/>
          <w:szCs w:val="22"/>
        </w:rPr>
        <w:t>ait</w:t>
      </w:r>
    </w:p>
    <w:p w14:paraId="71ADEB94" w14:textId="77777777" w:rsidR="00B2006F" w:rsidRPr="00097A86" w:rsidRDefault="00B2006F" w:rsidP="00D22D3F">
      <w:pPr>
        <w:pStyle w:val="subsection2"/>
      </w:pPr>
      <w:r w:rsidRPr="00097A86">
        <w:t>and:</w:t>
      </w:r>
    </w:p>
    <w:p w14:paraId="3833851A" w14:textId="77777777" w:rsidR="00B2006F" w:rsidRPr="00097A86" w:rsidRDefault="00B2006F" w:rsidP="00D22D3F">
      <w:pPr>
        <w:pStyle w:val="Definition"/>
      </w:pPr>
      <w:r w:rsidRPr="00097A86">
        <w:rPr>
          <w:b/>
          <w:i/>
        </w:rPr>
        <w:t>∆C</w:t>
      </w:r>
      <w:r w:rsidRPr="00097A86">
        <w:rPr>
          <w:b/>
          <w:i/>
          <w:vertAlign w:val="subscript"/>
        </w:rPr>
        <w:t xml:space="preserve">at </w:t>
      </w:r>
      <w:r w:rsidRPr="00097A86">
        <w:t>is the change in the quantity of decomposable degradable organic carbon derived from the sum of all waste mix types deposited at the landfill during the reporting year, measured in tonnes, lost through decomposition, and equals:</w:t>
      </w:r>
    </w:p>
    <w:p w14:paraId="2B86057F" w14:textId="77777777" w:rsidR="00B2006F" w:rsidRPr="00097A86" w:rsidRDefault="00B2006F" w:rsidP="00D22D3F">
      <w:pPr>
        <w:pStyle w:val="Definition"/>
        <w:spacing w:before="120" w:after="120"/>
        <w:rPr>
          <w:rFonts w:ascii="TimesNewRomanPSMT" w:hAnsi="TimesNewRomanPSMT" w:cs="TimesNewRomanPSMT"/>
        </w:rPr>
      </w:pPr>
      <w:r w:rsidRPr="00097A86">
        <w:t>∆C</w:t>
      </w:r>
      <w:r w:rsidRPr="00097A86">
        <w:rPr>
          <w:rStyle w:val="charSubscript"/>
          <w:sz w:val="22"/>
          <w:szCs w:val="22"/>
        </w:rPr>
        <w:t xml:space="preserve">at </w:t>
      </w:r>
      <w:r w:rsidRPr="00097A86">
        <w:rPr>
          <w:rFonts w:eastAsia="SymbolMT"/>
          <w:b/>
        </w:rPr>
        <w:t>=</w:t>
      </w:r>
      <w:r w:rsidRPr="00097A86">
        <w:rPr>
          <w:rFonts w:ascii="SymbolMT" w:eastAsia="SymbolMT" w:hAnsi="TimesNewRomanPS-BoldMT" w:cs="SymbolMT"/>
          <w:b/>
          <w:szCs w:val="22"/>
        </w:rPr>
        <w:t xml:space="preserve"> </w:t>
      </w:r>
      <w:r w:rsidRPr="00097A86">
        <w:rPr>
          <w:rFonts w:ascii="TimesNewRomanPS-ItalicMT" w:hAnsi="TimesNewRomanPS-ItalicMT" w:cs="TimesNewRomanPS-ItalicMT"/>
          <w:i/>
          <w:iCs/>
        </w:rPr>
        <w:t>∑</w:t>
      </w:r>
      <w:r w:rsidRPr="00097A86">
        <w:rPr>
          <w:rFonts w:ascii="TimesNewRomanPS-ItalicMT" w:hAnsi="TimesNewRomanPS-ItalicMT" w:cs="TimesNewRomanPS-ItalicMT"/>
          <w:i/>
          <w:iCs/>
          <w:vertAlign w:val="subscript"/>
        </w:rPr>
        <w:t>i</w:t>
      </w:r>
      <w:r w:rsidRPr="00097A86">
        <w:rPr>
          <w:rFonts w:ascii="TimesNewRomanPS-ItalicMT" w:hAnsi="TimesNewRomanPS-ItalicMT" w:cs="TimesNewRomanPS-ItalicMT"/>
          <w:i/>
          <w:iCs/>
        </w:rPr>
        <w:t xml:space="preserve"> </w:t>
      </w:r>
      <w:r w:rsidRPr="00097A86">
        <w:t>C</w:t>
      </w:r>
      <w:r w:rsidRPr="00097A86">
        <w:rPr>
          <w:rStyle w:val="charSubscript"/>
          <w:sz w:val="22"/>
          <w:szCs w:val="22"/>
        </w:rPr>
        <w:t>ait</w:t>
      </w:r>
      <w:r w:rsidRPr="00097A86">
        <w:rPr>
          <w:rFonts w:eastAsia="SymbolMT"/>
        </w:rPr>
        <w:t xml:space="preserve"> </w:t>
      </w:r>
      <w:r w:rsidRPr="00097A86">
        <w:sym w:font="Symbol" w:char="F0B4"/>
      </w:r>
      <w:r w:rsidRPr="00097A86">
        <w:rPr>
          <w:rFonts w:eastAsia="SymbolMT"/>
        </w:rPr>
        <w:t xml:space="preserve"> </w:t>
      </w:r>
      <w:r w:rsidRPr="00097A86">
        <w:t>[</w:t>
      </w:r>
      <w:r w:rsidRPr="00097A86">
        <w:rPr>
          <w:rFonts w:ascii="TimesNewRomanPSMT" w:hAnsi="TimesNewRomanPSMT"/>
        </w:rPr>
        <w:t>1</w:t>
      </w:r>
      <w:r w:rsidRPr="00097A86">
        <w:rPr>
          <w:rFonts w:ascii="SymbolMT" w:eastAsia="SymbolMT" w:hint="eastAsia"/>
        </w:rPr>
        <w:t>−</w:t>
      </w:r>
      <w:r w:rsidRPr="00097A86">
        <w:rPr>
          <w:rFonts w:ascii="TimesNewRomanPS-ItalicMT" w:hAnsi="TimesNewRomanPS-ItalicMT"/>
          <w:i/>
          <w:iCs/>
        </w:rPr>
        <w:t>e</w:t>
      </w:r>
      <w:r w:rsidRPr="00097A86">
        <w:t xml:space="preserve"> </w:t>
      </w:r>
      <w:r w:rsidRPr="00097A86">
        <w:rPr>
          <w:vertAlign w:val="superscript"/>
        </w:rPr>
        <w:t>–</w:t>
      </w:r>
      <w:r w:rsidRPr="00097A86">
        <w:rPr>
          <w:rFonts w:ascii="TimesNewRomanPS-ItalicMT" w:hAnsi="TimesNewRomanPS-ItalicMT"/>
          <w:i/>
          <w:iCs/>
          <w:vertAlign w:val="superscript"/>
        </w:rPr>
        <w:t xml:space="preserve">ki </w:t>
      </w:r>
      <w:r w:rsidRPr="00097A86">
        <w:rPr>
          <w:rFonts w:ascii="Symbol" w:hAnsi="Symbol"/>
          <w:vertAlign w:val="superscript"/>
        </w:rPr>
        <w:t></w:t>
      </w:r>
      <w:r w:rsidRPr="00097A86">
        <w:rPr>
          <w:vertAlign w:val="superscript"/>
        </w:rPr>
        <w:t xml:space="preserve"> (</w:t>
      </w:r>
      <w:r w:rsidRPr="00097A86">
        <w:rPr>
          <w:rFonts w:ascii="TimesNewRomanPSMT" w:hAnsi="TimesNewRomanPSMT"/>
          <w:vertAlign w:val="superscript"/>
        </w:rPr>
        <w:t>13</w:t>
      </w:r>
      <w:r w:rsidRPr="00097A86">
        <w:t xml:space="preserve"> </w:t>
      </w:r>
      <w:r w:rsidRPr="00097A86">
        <w:rPr>
          <w:vertAlign w:val="superscript"/>
        </w:rPr>
        <w:t xml:space="preserve">– </w:t>
      </w:r>
      <w:r w:rsidRPr="00097A86">
        <w:rPr>
          <w:rFonts w:ascii="TimesNewRomanPS-ItalicMT" w:hAnsi="TimesNewRomanPS-ItalicMT"/>
          <w:i/>
          <w:iCs/>
          <w:vertAlign w:val="superscript"/>
        </w:rPr>
        <w:t>M</w:t>
      </w:r>
      <w:r w:rsidRPr="00097A86">
        <w:rPr>
          <w:vertAlign w:val="superscript"/>
        </w:rPr>
        <w:t>)</w:t>
      </w:r>
      <w:r w:rsidRPr="00097A86">
        <w:rPr>
          <w:rFonts w:ascii="TimesNewRomanPS-ItalicMT" w:hAnsi="TimesNewRomanPS-ItalicMT"/>
          <w:i/>
          <w:iCs/>
          <w:vertAlign w:val="superscript"/>
        </w:rPr>
        <w:t xml:space="preserve"> </w:t>
      </w:r>
      <w:r w:rsidRPr="00097A86">
        <w:rPr>
          <w:rFonts w:ascii="TimesNewRomanPSMT" w:hAnsi="TimesNewRomanPSMT"/>
          <w:vertAlign w:val="superscript"/>
        </w:rPr>
        <w:t>/12</w:t>
      </w:r>
      <w:r w:rsidRPr="00097A86">
        <w:rPr>
          <w:rFonts w:ascii="TimesNewRomanPSMT" w:hAnsi="TimesNewRomanPSMT"/>
        </w:rPr>
        <w:t>]</w:t>
      </w:r>
    </w:p>
    <w:p w14:paraId="4F8DA4D0" w14:textId="77777777" w:rsidR="00B2006F" w:rsidRPr="00097A86" w:rsidRDefault="00B2006F" w:rsidP="00D22D3F">
      <w:pPr>
        <w:pStyle w:val="subsection2"/>
      </w:pPr>
      <w:r w:rsidRPr="00097A86">
        <w:t>where:</w:t>
      </w:r>
    </w:p>
    <w:p w14:paraId="07F8AAF0" w14:textId="77777777" w:rsidR="00B2006F" w:rsidRPr="00097A86" w:rsidRDefault="00B2006F" w:rsidP="00D22D3F">
      <w:pPr>
        <w:pStyle w:val="Definition"/>
      </w:pPr>
      <w:r w:rsidRPr="00097A86">
        <w:rPr>
          <w:b/>
          <w:i/>
          <w:iCs/>
        </w:rPr>
        <w:t>C</w:t>
      </w:r>
      <w:r w:rsidRPr="00097A86">
        <w:rPr>
          <w:b/>
          <w:i/>
          <w:iCs/>
          <w:vertAlign w:val="subscript"/>
        </w:rPr>
        <w:t>ait</w:t>
      </w:r>
      <w:r w:rsidRPr="00097A86">
        <w:rPr>
          <w:b/>
          <w:i/>
        </w:rPr>
        <w:t xml:space="preserve"> </w:t>
      </w:r>
      <w:r w:rsidRPr="00097A86">
        <w:t>is the quantity of degradable organic carbon in all waste mix types mentioned in subsection</w:t>
      </w:r>
      <w:r w:rsidR="00097A86">
        <w:t> </w:t>
      </w:r>
      <w:r w:rsidRPr="00097A86">
        <w:t>5.11(1) deposited at the landfill during the reporting year , measured in tonnes and is equal to:</w:t>
      </w:r>
    </w:p>
    <w:p w14:paraId="69C277D3" w14:textId="77777777" w:rsidR="00B2006F" w:rsidRPr="00097A86" w:rsidRDefault="00B2006F" w:rsidP="00D22D3F">
      <w:pPr>
        <w:pStyle w:val="Definition"/>
        <w:spacing w:before="120" w:after="120"/>
      </w:pPr>
      <w:r w:rsidRPr="00097A86">
        <w:rPr>
          <w:iCs/>
        </w:rPr>
        <w:t>C</w:t>
      </w:r>
      <w:r w:rsidRPr="00097A86">
        <w:rPr>
          <w:iCs/>
          <w:vertAlign w:val="subscript"/>
        </w:rPr>
        <w:t>ait</w:t>
      </w:r>
      <w:r w:rsidRPr="00097A86">
        <w:rPr>
          <w:i/>
          <w:iCs/>
        </w:rPr>
        <w:t xml:space="preserve"> = </w:t>
      </w:r>
      <w:r w:rsidRPr="00097A86">
        <w:rPr>
          <w:rFonts w:ascii="Times New Roman Bold" w:hAnsi="Times New Roman Bold"/>
          <w:b/>
        </w:rPr>
        <w:t>(</w:t>
      </w:r>
      <w:r w:rsidRPr="00097A86">
        <w:t>Q</w:t>
      </w:r>
      <w:r w:rsidRPr="00097A86">
        <w:rPr>
          <w:vertAlign w:val="subscript"/>
        </w:rPr>
        <w:t xml:space="preserve">it </w:t>
      </w:r>
      <w:r w:rsidRPr="00097A86">
        <w:sym w:font="Symbol" w:char="F0B4"/>
      </w:r>
      <w:r w:rsidRPr="00097A86">
        <w:t xml:space="preserve"> DOC</w:t>
      </w:r>
      <w:r w:rsidRPr="00097A86">
        <w:rPr>
          <w:vertAlign w:val="subscript"/>
        </w:rPr>
        <w:t xml:space="preserve">i </w:t>
      </w:r>
      <w:r w:rsidRPr="00097A86">
        <w:sym w:font="Symbol" w:char="F0B4"/>
      </w:r>
      <w:r w:rsidRPr="00097A86">
        <w:t xml:space="preserve"> DOC</w:t>
      </w:r>
      <w:r w:rsidRPr="00097A86">
        <w:rPr>
          <w:vertAlign w:val="subscript"/>
        </w:rPr>
        <w:t>fi</w:t>
      </w:r>
      <w:r w:rsidRPr="00097A86">
        <w:t xml:space="preserve"> </w:t>
      </w:r>
      <w:r w:rsidRPr="00097A86">
        <w:sym w:font="Symbol" w:char="F0B4"/>
      </w:r>
      <w:r w:rsidRPr="00097A86">
        <w:t xml:space="preserve"> MCF)</w:t>
      </w:r>
    </w:p>
    <w:p w14:paraId="647BD428" w14:textId="77777777" w:rsidR="00B2006F" w:rsidRPr="00097A86" w:rsidRDefault="00B2006F" w:rsidP="00D22D3F">
      <w:pPr>
        <w:pStyle w:val="subsection2"/>
      </w:pPr>
      <w:r w:rsidRPr="00097A86">
        <w:t>where:</w:t>
      </w:r>
    </w:p>
    <w:p w14:paraId="7D87020E" w14:textId="77777777" w:rsidR="00B2006F" w:rsidRPr="00097A86" w:rsidRDefault="00B2006F" w:rsidP="00D22D3F">
      <w:pPr>
        <w:pStyle w:val="Definition"/>
      </w:pPr>
      <w:r w:rsidRPr="00097A86">
        <w:rPr>
          <w:b/>
          <w:i/>
        </w:rPr>
        <w:t>Q</w:t>
      </w:r>
      <w:r w:rsidRPr="00097A86">
        <w:rPr>
          <w:rFonts w:ascii="Times New Roman Bold Italic" w:hAnsi="Times New Roman Bold Italic"/>
          <w:b/>
          <w:i/>
          <w:vertAlign w:val="subscript"/>
        </w:rPr>
        <w:t>it</w:t>
      </w:r>
      <w:r w:rsidRPr="00097A86">
        <w:rPr>
          <w:b/>
          <w:i/>
        </w:rPr>
        <w:t xml:space="preserve"> </w:t>
      </w:r>
      <w:r w:rsidRPr="00097A86">
        <w:t>is the quantity of all waste mix types mentioned in subsection</w:t>
      </w:r>
      <w:r w:rsidR="00097A86">
        <w:t> </w:t>
      </w:r>
      <w:r w:rsidRPr="00097A86">
        <w:t>5.11(1) deposited at the landfill during the reporting year, measured in tonnes.</w:t>
      </w:r>
    </w:p>
    <w:p w14:paraId="3F66D922" w14:textId="77777777" w:rsidR="00B2006F" w:rsidRPr="00097A86" w:rsidRDefault="00B2006F" w:rsidP="00D22D3F">
      <w:pPr>
        <w:pStyle w:val="Definition"/>
      </w:pPr>
      <w:r w:rsidRPr="00097A86">
        <w:rPr>
          <w:b/>
          <w:i/>
        </w:rPr>
        <w:t>DOC</w:t>
      </w:r>
      <w:r w:rsidRPr="00097A86">
        <w:rPr>
          <w:b/>
          <w:i/>
          <w:vertAlign w:val="subscript"/>
        </w:rPr>
        <w:t xml:space="preserve">i </w:t>
      </w:r>
      <w:r w:rsidRPr="00097A86">
        <w:t>is the fraction of the degradable organic carbon content of the solid waste for all waste mix types mentioned in subsection</w:t>
      </w:r>
      <w:r w:rsidR="00097A86">
        <w:t> </w:t>
      </w:r>
      <w:r w:rsidRPr="00097A86">
        <w:t>5.11(1) and deposited at the landfill.</w:t>
      </w:r>
    </w:p>
    <w:p w14:paraId="67A4C58A" w14:textId="77777777" w:rsidR="00B2006F" w:rsidRPr="00097A86" w:rsidRDefault="00B2006F" w:rsidP="00D22D3F">
      <w:pPr>
        <w:pStyle w:val="Definition"/>
      </w:pPr>
      <w:r w:rsidRPr="00097A86">
        <w:rPr>
          <w:b/>
          <w:i/>
        </w:rPr>
        <w:t>DOC</w:t>
      </w:r>
      <w:r w:rsidRPr="00097A86">
        <w:rPr>
          <w:b/>
          <w:i/>
          <w:vertAlign w:val="subscript"/>
        </w:rPr>
        <w:t xml:space="preserve">fi </w:t>
      </w:r>
      <w:r w:rsidRPr="00097A86">
        <w:t>is the fraction of decomposable degradable organic carbon for all waste mix types mentioned in subsection</w:t>
      </w:r>
      <w:r w:rsidR="00097A86">
        <w:t> </w:t>
      </w:r>
      <w:r w:rsidRPr="00097A86">
        <w:t>5.11(1).</w:t>
      </w:r>
    </w:p>
    <w:p w14:paraId="373B3752" w14:textId="77777777" w:rsidR="00B2006F" w:rsidRPr="00097A86" w:rsidRDefault="00B2006F" w:rsidP="00D22D3F">
      <w:pPr>
        <w:pStyle w:val="Definition"/>
      </w:pPr>
      <w:r w:rsidRPr="00097A86">
        <w:rPr>
          <w:b/>
          <w:i/>
        </w:rPr>
        <w:t xml:space="preserve">MCF </w:t>
      </w:r>
      <w:r w:rsidRPr="00097A86">
        <w:t>is the methane correction factor for aerobic decomposition for the facility during the reporting year.</w:t>
      </w:r>
    </w:p>
    <w:p w14:paraId="75C605C0" w14:textId="77777777" w:rsidR="00B2006F" w:rsidRPr="00097A86" w:rsidRDefault="00B2006F" w:rsidP="00D22D3F">
      <w:pPr>
        <w:pStyle w:val="subsection2"/>
      </w:pPr>
      <w:r w:rsidRPr="00097A86">
        <w:t>and where:</w:t>
      </w:r>
    </w:p>
    <w:p w14:paraId="48D78319" w14:textId="77777777" w:rsidR="00B2006F" w:rsidRPr="00097A86" w:rsidRDefault="00B2006F" w:rsidP="00D22D3F">
      <w:pPr>
        <w:pStyle w:val="Definition"/>
      </w:pPr>
      <w:r w:rsidRPr="00097A86">
        <w:rPr>
          <w:b/>
          <w:i/>
          <w:iCs/>
        </w:rPr>
        <w:t>k</w:t>
      </w:r>
      <w:r w:rsidRPr="00097A86">
        <w:rPr>
          <w:b/>
          <w:i/>
          <w:iCs/>
          <w:vertAlign w:val="subscript"/>
        </w:rPr>
        <w:t xml:space="preserve">i </w:t>
      </w:r>
      <w:r w:rsidRPr="00097A86">
        <w:t>is the methane generation constant for all waste mix types mentioned in subsection</w:t>
      </w:r>
      <w:r w:rsidR="00097A86">
        <w:t> </w:t>
      </w:r>
      <w:r w:rsidRPr="00097A86">
        <w:t>5.11(1).</w:t>
      </w:r>
    </w:p>
    <w:p w14:paraId="0ECD22BD" w14:textId="77777777" w:rsidR="00B2006F" w:rsidRPr="00097A86" w:rsidRDefault="00B2006F" w:rsidP="00D22D3F">
      <w:pPr>
        <w:pStyle w:val="Definition"/>
      </w:pPr>
      <w:r w:rsidRPr="00097A86">
        <w:rPr>
          <w:b/>
          <w:i/>
        </w:rPr>
        <w:t xml:space="preserve">t </w:t>
      </w:r>
      <w:r w:rsidRPr="00097A86">
        <w:t>is the reporting year.</w:t>
      </w:r>
    </w:p>
    <w:p w14:paraId="6EBA592A" w14:textId="77777777" w:rsidR="00B2006F" w:rsidRPr="00097A86" w:rsidRDefault="00B2006F" w:rsidP="00D22D3F">
      <w:pPr>
        <w:pStyle w:val="Definition"/>
      </w:pPr>
      <w:r w:rsidRPr="00097A86">
        <w:rPr>
          <w:b/>
          <w:i/>
        </w:rPr>
        <w:t xml:space="preserve">M </w:t>
      </w:r>
      <w:r w:rsidRPr="00097A86">
        <w:t>is the number of months before commencement of methane generation at the landfill plus 7.</w:t>
      </w:r>
    </w:p>
    <w:p w14:paraId="7DFB9C69" w14:textId="77777777" w:rsidR="00B2006F" w:rsidRPr="00097A86" w:rsidRDefault="00B2006F" w:rsidP="00D22D3F">
      <w:pPr>
        <w:pStyle w:val="Definition"/>
      </w:pPr>
      <w:r w:rsidRPr="00097A86">
        <w:rPr>
          <w:b/>
          <w:i/>
        </w:rPr>
        <w:lastRenderedPageBreak/>
        <w:t>Σ</w:t>
      </w:r>
      <w:r w:rsidRPr="00097A86">
        <w:rPr>
          <w:rFonts w:ascii="Times New Roman Bold Italic" w:hAnsi="Times New Roman Bold Italic"/>
          <w:b/>
          <w:i/>
          <w:vertAlign w:val="subscript"/>
        </w:rPr>
        <w:t>i</w:t>
      </w:r>
      <w:r w:rsidRPr="00097A86">
        <w:rPr>
          <w:b/>
          <w:i/>
        </w:rPr>
        <w:t xml:space="preserve"> </w:t>
      </w:r>
      <w:r w:rsidRPr="00097A86">
        <w:t>is the sum for all waste mix types mentioned in subsection</w:t>
      </w:r>
      <w:r w:rsidR="00097A86">
        <w:t> </w:t>
      </w:r>
      <w:r w:rsidRPr="00097A86">
        <w:t>5.11(1).</w:t>
      </w:r>
    </w:p>
    <w:p w14:paraId="38AC6799" w14:textId="77777777" w:rsidR="00B2006F" w:rsidRPr="00097A86" w:rsidRDefault="00D22D3F" w:rsidP="00D22D3F">
      <w:pPr>
        <w:pStyle w:val="notetext"/>
      </w:pPr>
      <w:r w:rsidRPr="00097A86">
        <w:t>Note 1:</w:t>
      </w:r>
      <w:r w:rsidRPr="00097A86">
        <w:tab/>
      </w:r>
      <w:r w:rsidR="00B2006F" w:rsidRPr="00097A86">
        <w:t xml:space="preserve">For the definition of </w:t>
      </w:r>
      <w:r w:rsidR="00B2006F" w:rsidRPr="00097A86">
        <w:rPr>
          <w:b/>
          <w:i/>
        </w:rPr>
        <w:t>reporting year</w:t>
      </w:r>
      <w:r w:rsidR="00B2006F" w:rsidRPr="00097A86">
        <w:t xml:space="preserve">, see the </w:t>
      </w:r>
      <w:r w:rsidR="00B2006F" w:rsidRPr="00097A86">
        <w:rPr>
          <w:i/>
        </w:rPr>
        <w:t>National Greenhouse and Energy Reporting Regulations</w:t>
      </w:r>
      <w:r w:rsidR="00097A86">
        <w:rPr>
          <w:i/>
        </w:rPr>
        <w:t> </w:t>
      </w:r>
      <w:r w:rsidR="00B2006F" w:rsidRPr="00097A86">
        <w:rPr>
          <w:i/>
        </w:rPr>
        <w:t>2008</w:t>
      </w:r>
      <w:r w:rsidR="00B2006F" w:rsidRPr="00097A86">
        <w:t>.</w:t>
      </w:r>
    </w:p>
    <w:p w14:paraId="490F315F" w14:textId="77777777" w:rsidR="00B2006F" w:rsidRPr="00097A86" w:rsidRDefault="00D22D3F" w:rsidP="00D22D3F">
      <w:pPr>
        <w:pStyle w:val="notetext"/>
      </w:pPr>
      <w:r w:rsidRPr="00097A86">
        <w:t>Note 2:</w:t>
      </w:r>
      <w:r w:rsidRPr="00097A86">
        <w:tab/>
      </w:r>
      <w:r w:rsidR="00B2006F" w:rsidRPr="00097A86">
        <w:t>For the source of the equation included in:</w:t>
      </w:r>
    </w:p>
    <w:p w14:paraId="66E5ECB7" w14:textId="77777777" w:rsidR="00B2006F" w:rsidRPr="00097A86" w:rsidRDefault="00B2006F" w:rsidP="00D22D3F">
      <w:pPr>
        <w:pStyle w:val="notepara"/>
      </w:pPr>
      <w:r w:rsidRPr="00097A86">
        <w:t>(a)</w:t>
      </w:r>
      <w:r w:rsidRPr="00097A86">
        <w:tab/>
        <w:t>section</w:t>
      </w:r>
      <w:r w:rsidR="00097A86">
        <w:t> </w:t>
      </w:r>
      <w:r w:rsidRPr="00097A86">
        <w:t>5.4D, see Volume 5, Chapter</w:t>
      </w:r>
      <w:r w:rsidR="00097A86">
        <w:t> </w:t>
      </w:r>
      <w:r w:rsidRPr="00097A86">
        <w:t>3 of the 2006 IPCC Guidelines, equation 3.6; and</w:t>
      </w:r>
    </w:p>
    <w:p w14:paraId="1DB71534" w14:textId="77777777" w:rsidR="00B2006F" w:rsidRPr="00097A86" w:rsidRDefault="00B2006F" w:rsidP="00D22D3F">
      <w:pPr>
        <w:pStyle w:val="notepara"/>
      </w:pPr>
      <w:r w:rsidRPr="00097A86">
        <w:t>(b)</w:t>
      </w:r>
      <w:r w:rsidRPr="00097A86">
        <w:tab/>
        <w:t xml:space="preserve">the definition of </w:t>
      </w:r>
      <w:r w:rsidRPr="00097A86">
        <w:rPr>
          <w:b/>
          <w:i/>
        </w:rPr>
        <w:t>∆C</w:t>
      </w:r>
      <w:r w:rsidRPr="00097A86">
        <w:rPr>
          <w:b/>
          <w:i/>
          <w:vertAlign w:val="subscript"/>
        </w:rPr>
        <w:t>ost</w:t>
      </w:r>
      <w:r w:rsidRPr="00097A86">
        <w:t>, see Volume 5, Chapter</w:t>
      </w:r>
      <w:r w:rsidR="00097A86">
        <w:t> </w:t>
      </w:r>
      <w:r w:rsidRPr="00097A86">
        <w:t>3 of the 2006 IPCC Guidelines, equation 3.5; and</w:t>
      </w:r>
    </w:p>
    <w:p w14:paraId="13B534E0" w14:textId="77777777" w:rsidR="00B2006F" w:rsidRPr="00097A86" w:rsidRDefault="00B2006F" w:rsidP="00D22D3F">
      <w:pPr>
        <w:pStyle w:val="notepara"/>
      </w:pPr>
      <w:r w:rsidRPr="00097A86">
        <w:t>(c)</w:t>
      </w:r>
      <w:r w:rsidRPr="00097A86">
        <w:tab/>
        <w:t>the definition of ∆</w:t>
      </w:r>
      <w:r w:rsidRPr="00097A86">
        <w:rPr>
          <w:b/>
          <w:i/>
        </w:rPr>
        <w:t>C</w:t>
      </w:r>
      <w:r w:rsidRPr="00097A86">
        <w:rPr>
          <w:b/>
          <w:i/>
          <w:vertAlign w:val="subscript"/>
        </w:rPr>
        <w:t>at</w:t>
      </w:r>
      <w:r w:rsidRPr="00097A86">
        <w:t>, see Volume 5, Chapter</w:t>
      </w:r>
      <w:r w:rsidR="00097A86">
        <w:t> </w:t>
      </w:r>
      <w:r w:rsidRPr="00097A86">
        <w:t>3 of the 2006 IPCC Guidelines, equation 3.A1.13; and</w:t>
      </w:r>
    </w:p>
    <w:p w14:paraId="29BA25B5" w14:textId="77777777" w:rsidR="00B2006F" w:rsidRPr="00097A86" w:rsidRDefault="00B2006F" w:rsidP="00D22D3F">
      <w:pPr>
        <w:pStyle w:val="notepara"/>
      </w:pPr>
      <w:r w:rsidRPr="00097A86">
        <w:t>(d)</w:t>
      </w:r>
      <w:r w:rsidRPr="00097A86">
        <w:tab/>
        <w:t xml:space="preserve">the definition of </w:t>
      </w:r>
      <w:r w:rsidRPr="00097A86">
        <w:rPr>
          <w:b/>
          <w:i/>
        </w:rPr>
        <w:t>∆C</w:t>
      </w:r>
      <w:r w:rsidRPr="00097A86">
        <w:rPr>
          <w:b/>
          <w:i/>
          <w:vertAlign w:val="subscript"/>
        </w:rPr>
        <w:t>ait</w:t>
      </w:r>
      <w:r w:rsidRPr="00097A86">
        <w:t>, see Volume 5, Chapter</w:t>
      </w:r>
      <w:r w:rsidR="00097A86">
        <w:t> </w:t>
      </w:r>
      <w:r w:rsidRPr="00097A86">
        <w:t>3 of the 2006 IPCC Guidelines, equation 3.2.</w:t>
      </w:r>
    </w:p>
    <w:p w14:paraId="65454A4C" w14:textId="77777777" w:rsidR="00B2006F" w:rsidRPr="00097A86" w:rsidRDefault="00D22D3F" w:rsidP="00D22D3F">
      <w:pPr>
        <w:pStyle w:val="notetext"/>
      </w:pPr>
      <w:r w:rsidRPr="00097A86">
        <w:t>Note 3:</w:t>
      </w:r>
      <w:r w:rsidRPr="00097A86">
        <w:tab/>
      </w:r>
      <w:r w:rsidR="00B2006F" w:rsidRPr="00097A86">
        <w:t>For each reporting year to which subsection</w:t>
      </w:r>
      <w:r w:rsidR="00097A86">
        <w:t> </w:t>
      </w:r>
      <w:r w:rsidR="00B2006F" w:rsidRPr="00097A86">
        <w:t>5.4(3) applies, use the equation mentioned in section</w:t>
      </w:r>
      <w:r w:rsidR="00097A86">
        <w:t> </w:t>
      </w:r>
      <w:r w:rsidR="00B2006F" w:rsidRPr="00097A86">
        <w:t>5.4B</w:t>
      </w:r>
    </w:p>
    <w:p w14:paraId="2E4032A2" w14:textId="77777777" w:rsidR="00B2006F" w:rsidRPr="00097A86" w:rsidRDefault="00D22D3F" w:rsidP="00D22D3F">
      <w:pPr>
        <w:pStyle w:val="notetext"/>
      </w:pPr>
      <w:r w:rsidRPr="00097A86">
        <w:t>Note 4:</w:t>
      </w:r>
      <w:r w:rsidRPr="00097A86">
        <w:tab/>
      </w:r>
      <w:r w:rsidR="00B2006F" w:rsidRPr="00097A86">
        <w:t>If the result of the first equation in subsection</w:t>
      </w:r>
      <w:r w:rsidR="00097A86">
        <w:t> </w:t>
      </w:r>
      <w:r w:rsidR="00B2006F" w:rsidRPr="00097A86">
        <w:t>5.4(3):</w:t>
      </w:r>
    </w:p>
    <w:p w14:paraId="6FE32F57" w14:textId="77777777" w:rsidR="00B2006F" w:rsidRPr="00097A86" w:rsidRDefault="00B2006F" w:rsidP="00D22D3F">
      <w:pPr>
        <w:pStyle w:val="notepara"/>
      </w:pPr>
      <w:r w:rsidRPr="00097A86">
        <w:t>(a)</w:t>
      </w:r>
      <w:r w:rsidRPr="00097A86">
        <w:tab/>
        <w:t>was, for a previous reporting year or years, greater than 0.75; and</w:t>
      </w:r>
    </w:p>
    <w:p w14:paraId="799C092C" w14:textId="77777777" w:rsidR="00B2006F" w:rsidRPr="00097A86" w:rsidRDefault="00B2006F" w:rsidP="00D22D3F">
      <w:pPr>
        <w:pStyle w:val="notepara"/>
      </w:pPr>
      <w:r w:rsidRPr="00097A86">
        <w:t>(b)</w:t>
      </w:r>
      <w:r w:rsidRPr="00097A86">
        <w:tab/>
        <w:t xml:space="preserve">is, for the reporting year for which the result is calculated, (the </w:t>
      </w:r>
      <w:r w:rsidRPr="00097A86">
        <w:rPr>
          <w:b/>
          <w:i/>
        </w:rPr>
        <w:t>current reporting year</w:t>
      </w:r>
      <w:r w:rsidRPr="00097A86">
        <w:t>), less than or equal to 0.75;</w:t>
      </w:r>
    </w:p>
    <w:p w14:paraId="7218E4D4" w14:textId="77777777" w:rsidR="00B2006F" w:rsidRPr="00097A86" w:rsidRDefault="00297C11" w:rsidP="00D22D3F">
      <w:pPr>
        <w:pStyle w:val="notetext"/>
      </w:pPr>
      <w:r w:rsidRPr="00097A86">
        <w:tab/>
      </w:r>
      <w:r w:rsidR="00B2006F" w:rsidRPr="00097A86">
        <w:t>use:</w:t>
      </w:r>
    </w:p>
    <w:p w14:paraId="400F7EFE" w14:textId="77777777" w:rsidR="00B2006F" w:rsidRPr="00097A86" w:rsidRDefault="00B2006F" w:rsidP="00D22D3F">
      <w:pPr>
        <w:pStyle w:val="notepara"/>
      </w:pPr>
      <w:r w:rsidRPr="00097A86">
        <w:t>(c)</w:t>
      </w:r>
      <w:r w:rsidRPr="00097A86">
        <w:tab/>
        <w:t>the calculation in section</w:t>
      </w:r>
      <w:r w:rsidR="00097A86">
        <w:t> </w:t>
      </w:r>
      <w:r w:rsidRPr="00097A86">
        <w:t>5.4B to calculate the change in the opening stock of carbon for the final reporting year in which the result of that equation is greater than 0.75; and</w:t>
      </w:r>
    </w:p>
    <w:p w14:paraId="2D87B85B" w14:textId="77777777" w:rsidR="00B2006F" w:rsidRPr="00097A86" w:rsidRDefault="00B2006F" w:rsidP="00D22D3F">
      <w:pPr>
        <w:pStyle w:val="notepara"/>
      </w:pPr>
      <w:r w:rsidRPr="00097A86">
        <w:t>(d)</w:t>
      </w:r>
      <w:r w:rsidRPr="00097A86">
        <w:tab/>
        <w:t>the calculation in section</w:t>
      </w:r>
      <w:r w:rsidR="00097A86">
        <w:t> </w:t>
      </w:r>
      <w:r w:rsidRPr="00097A86">
        <w:t>5.4C to calculate the closing stock for that reporting year.</w:t>
      </w:r>
    </w:p>
    <w:p w14:paraId="4AB84BFB" w14:textId="77777777" w:rsidR="003F0D4E" w:rsidRPr="00097A86" w:rsidRDefault="003F0D4E" w:rsidP="00D22D3F">
      <w:pPr>
        <w:pStyle w:val="ActHead5"/>
      </w:pPr>
      <w:bookmarkStart w:id="525" w:name="_Toc13233957"/>
      <w:r w:rsidRPr="00097A86">
        <w:rPr>
          <w:rStyle w:val="CharSectno"/>
        </w:rPr>
        <w:t>5.5</w:t>
      </w:r>
      <w:r w:rsidR="00D22D3F" w:rsidRPr="00097A86">
        <w:t xml:space="preserve">  </w:t>
      </w:r>
      <w:r w:rsidRPr="00097A86">
        <w:t>Criteria for estimating tonnage of total solid waste</w:t>
      </w:r>
      <w:bookmarkEnd w:id="525"/>
    </w:p>
    <w:p w14:paraId="1B47BC9E" w14:textId="77777777" w:rsidR="003F0D4E" w:rsidRPr="00097A86" w:rsidRDefault="003F0D4E" w:rsidP="00D22D3F">
      <w:pPr>
        <w:pStyle w:val="subsection"/>
      </w:pPr>
      <w:r w:rsidRPr="00097A86">
        <w:tab/>
      </w:r>
      <w:r w:rsidRPr="00097A86">
        <w:tab/>
      </w:r>
      <w:r w:rsidR="00AC64A0" w:rsidRPr="00097A86">
        <w:t>For the purpose of estimating the tonnage of waste disposed of in a landfill,</w:t>
      </w:r>
      <w:r w:rsidRPr="00097A86">
        <w:t xml:space="preserve"> the tonnage of total solid waste received at the landfill during the year is to be estimated using one of the following criteria:</w:t>
      </w:r>
    </w:p>
    <w:p w14:paraId="2A1BCA79" w14:textId="77777777" w:rsidR="003F0D4E" w:rsidRPr="00097A86" w:rsidRDefault="003F0D4E" w:rsidP="00D22D3F">
      <w:pPr>
        <w:pStyle w:val="paragraph"/>
      </w:pPr>
      <w:r w:rsidRPr="00097A86">
        <w:tab/>
        <w:t>(a)</w:t>
      </w:r>
      <w:r w:rsidRPr="00097A86">
        <w:tab/>
        <w:t>as provided in section</w:t>
      </w:r>
      <w:r w:rsidR="00097A86">
        <w:t> </w:t>
      </w:r>
      <w:r w:rsidRPr="00097A86">
        <w:t>5.6 (</w:t>
      </w:r>
      <w:r w:rsidRPr="00097A86">
        <w:rPr>
          <w:b/>
          <w:i/>
        </w:rPr>
        <w:t>criterion A</w:t>
      </w:r>
      <w:r w:rsidRPr="00097A86">
        <w:t>);</w:t>
      </w:r>
    </w:p>
    <w:p w14:paraId="07334BF8" w14:textId="77777777" w:rsidR="003F0D4E" w:rsidRPr="00097A86" w:rsidRDefault="003F0D4E" w:rsidP="00D22D3F">
      <w:pPr>
        <w:pStyle w:val="paragraph"/>
      </w:pPr>
      <w:r w:rsidRPr="00097A86">
        <w:tab/>
        <w:t>(b)</w:t>
      </w:r>
      <w:r w:rsidRPr="00097A86">
        <w:tab/>
        <w:t>as provided in section</w:t>
      </w:r>
      <w:r w:rsidR="00097A86">
        <w:t> </w:t>
      </w:r>
      <w:r w:rsidRPr="00097A86">
        <w:t>5.7 (</w:t>
      </w:r>
      <w:r w:rsidRPr="00097A86">
        <w:rPr>
          <w:b/>
          <w:i/>
        </w:rPr>
        <w:t>criterion AAA</w:t>
      </w:r>
      <w:r w:rsidRPr="00097A86">
        <w:t>);</w:t>
      </w:r>
    </w:p>
    <w:p w14:paraId="55F60B8F" w14:textId="77777777" w:rsidR="003F0D4E" w:rsidRPr="00097A86" w:rsidRDefault="003F0D4E" w:rsidP="00D22D3F">
      <w:pPr>
        <w:pStyle w:val="paragraph"/>
      </w:pPr>
      <w:r w:rsidRPr="00097A86">
        <w:tab/>
        <w:t>(c)</w:t>
      </w:r>
      <w:r w:rsidRPr="00097A86">
        <w:tab/>
        <w:t>as provided in section</w:t>
      </w:r>
      <w:r w:rsidR="00097A86">
        <w:t> </w:t>
      </w:r>
      <w:r w:rsidRPr="00097A86">
        <w:t>5.8 (</w:t>
      </w:r>
      <w:r w:rsidRPr="00097A86">
        <w:rPr>
          <w:b/>
          <w:i/>
        </w:rPr>
        <w:t>criterion BBB</w:t>
      </w:r>
      <w:r w:rsidRPr="00097A86">
        <w:t>).</w:t>
      </w:r>
    </w:p>
    <w:p w14:paraId="5B265C11" w14:textId="77777777" w:rsidR="003F0D4E" w:rsidRPr="00097A86" w:rsidRDefault="003F0D4E" w:rsidP="00D22D3F">
      <w:pPr>
        <w:pStyle w:val="ActHead5"/>
      </w:pPr>
      <w:bookmarkStart w:id="526" w:name="_Toc13233958"/>
      <w:r w:rsidRPr="00097A86">
        <w:rPr>
          <w:rStyle w:val="CharSectno"/>
        </w:rPr>
        <w:t>5.6</w:t>
      </w:r>
      <w:r w:rsidR="00D22D3F" w:rsidRPr="00097A86">
        <w:t xml:space="preserve">  </w:t>
      </w:r>
      <w:r w:rsidRPr="00097A86">
        <w:t>Criterion A</w:t>
      </w:r>
      <w:bookmarkEnd w:id="526"/>
    </w:p>
    <w:p w14:paraId="69A6E053" w14:textId="77777777" w:rsidR="003F0D4E" w:rsidRPr="00097A86" w:rsidRDefault="003F0D4E" w:rsidP="00D22D3F">
      <w:pPr>
        <w:pStyle w:val="subsection"/>
      </w:pPr>
      <w:r w:rsidRPr="00097A86">
        <w:tab/>
      </w:r>
      <w:r w:rsidRPr="00097A86">
        <w:tab/>
        <w:t>For paragraph</w:t>
      </w:r>
      <w:r w:rsidR="00097A86">
        <w:t> </w:t>
      </w:r>
      <w:r w:rsidRPr="00097A86">
        <w:t>5.5(a), criterion A is:</w:t>
      </w:r>
    </w:p>
    <w:p w14:paraId="41F8BC6D" w14:textId="77777777" w:rsidR="003F0D4E" w:rsidRPr="00097A86" w:rsidRDefault="003F0D4E" w:rsidP="00D22D3F">
      <w:pPr>
        <w:pStyle w:val="paragraph"/>
      </w:pPr>
      <w:r w:rsidRPr="00097A86">
        <w:tab/>
        <w:t>(a)</w:t>
      </w:r>
      <w:r w:rsidRPr="00097A86">
        <w:tab/>
        <w:t>the amount of solid waste received at the landfill during the year as evidenced by invoices; or</w:t>
      </w:r>
    </w:p>
    <w:p w14:paraId="7E616721" w14:textId="77777777" w:rsidR="003F0D4E" w:rsidRPr="00097A86" w:rsidRDefault="003F0D4E" w:rsidP="00D22D3F">
      <w:pPr>
        <w:pStyle w:val="paragraph"/>
      </w:pPr>
      <w:r w:rsidRPr="00097A86">
        <w:tab/>
        <w:t>(b)</w:t>
      </w:r>
      <w:r w:rsidRPr="00097A86">
        <w:tab/>
        <w:t>if the amount of solid waste received at the landfill during the year is measured in accordance with State or Territory legislation applying to the landfill</w:t>
      </w:r>
      <w:r w:rsidR="00D22D3F" w:rsidRPr="00097A86">
        <w:t>—</w:t>
      </w:r>
      <w:r w:rsidRPr="00097A86">
        <w:t>that measurement.</w:t>
      </w:r>
    </w:p>
    <w:p w14:paraId="79BE4C67" w14:textId="77777777" w:rsidR="003F0D4E" w:rsidRPr="00097A86" w:rsidRDefault="003F0D4E" w:rsidP="00D22D3F">
      <w:pPr>
        <w:pStyle w:val="ActHead5"/>
      </w:pPr>
      <w:bookmarkStart w:id="527" w:name="_Toc13233959"/>
      <w:r w:rsidRPr="00097A86">
        <w:rPr>
          <w:rStyle w:val="CharSectno"/>
        </w:rPr>
        <w:t>5.7</w:t>
      </w:r>
      <w:r w:rsidR="00D22D3F" w:rsidRPr="00097A86">
        <w:t xml:space="preserve">  </w:t>
      </w:r>
      <w:r w:rsidRPr="00097A86">
        <w:t>Criterion AAA</w:t>
      </w:r>
      <w:bookmarkEnd w:id="527"/>
    </w:p>
    <w:p w14:paraId="14860F85" w14:textId="77777777" w:rsidR="003F0D4E" w:rsidRPr="00097A86" w:rsidRDefault="003F0D4E" w:rsidP="00D22D3F">
      <w:pPr>
        <w:pStyle w:val="subsection"/>
      </w:pPr>
      <w:r w:rsidRPr="00097A86">
        <w:tab/>
      </w:r>
      <w:r w:rsidRPr="00097A86">
        <w:tab/>
        <w:t>For paragraph</w:t>
      </w:r>
      <w:r w:rsidR="00097A86">
        <w:t> </w:t>
      </w:r>
      <w:r w:rsidRPr="00097A86">
        <w:t>5.5(b), criterion AAA is the direct measurement of quantities of solid waste received at the landfill during the year using measuring equipment calibrated to a measurement requirement.</w:t>
      </w:r>
    </w:p>
    <w:p w14:paraId="760E1DC8" w14:textId="77777777" w:rsidR="003F0D4E" w:rsidRPr="00097A86" w:rsidRDefault="003F0D4E" w:rsidP="00D22D3F">
      <w:pPr>
        <w:pStyle w:val="ActHead5"/>
      </w:pPr>
      <w:bookmarkStart w:id="528" w:name="_Toc13233960"/>
      <w:r w:rsidRPr="00097A86">
        <w:rPr>
          <w:rStyle w:val="CharSectno"/>
        </w:rPr>
        <w:lastRenderedPageBreak/>
        <w:t>5.8</w:t>
      </w:r>
      <w:r w:rsidR="00D22D3F" w:rsidRPr="00097A86">
        <w:t xml:space="preserve">  </w:t>
      </w:r>
      <w:r w:rsidRPr="00097A86">
        <w:t>Criterion BBB</w:t>
      </w:r>
      <w:bookmarkEnd w:id="528"/>
    </w:p>
    <w:p w14:paraId="169971E7" w14:textId="77777777" w:rsidR="003F0D4E" w:rsidRPr="00097A86" w:rsidRDefault="003F0D4E" w:rsidP="00D22D3F">
      <w:pPr>
        <w:pStyle w:val="subsection"/>
      </w:pPr>
      <w:r w:rsidRPr="00097A86">
        <w:tab/>
      </w:r>
      <w:r w:rsidRPr="00097A86">
        <w:tab/>
        <w:t>For paragraph</w:t>
      </w:r>
      <w:r w:rsidR="00097A86">
        <w:t> </w:t>
      </w:r>
      <w:r w:rsidRPr="00097A86">
        <w:t xml:space="preserve">5.5(c), criterion BBB is the estimation of solid waste received at the landfill during the year in accordance with industry estimation practices </w:t>
      </w:r>
      <w:r w:rsidR="00AA2505" w:rsidRPr="00097A86">
        <w:t>(such as the use of accepted industry weighbridges, receipts, invoices, other documents or records or population and per</w:t>
      </w:r>
      <w:r w:rsidR="00097A86">
        <w:noBreakHyphen/>
      </w:r>
      <w:r w:rsidR="00AA2505" w:rsidRPr="00097A86">
        <w:t>capita waste generation rates)</w:t>
      </w:r>
      <w:r w:rsidRPr="00097A86">
        <w:t>.</w:t>
      </w:r>
    </w:p>
    <w:p w14:paraId="17B3624B" w14:textId="77777777" w:rsidR="004E60C0" w:rsidRPr="00097A86" w:rsidRDefault="004E60C0" w:rsidP="004E60C0">
      <w:pPr>
        <w:pStyle w:val="ActHead5"/>
      </w:pPr>
      <w:bookmarkStart w:id="529" w:name="_Toc13233961"/>
      <w:r w:rsidRPr="00097A86">
        <w:rPr>
          <w:rStyle w:val="CharSectno"/>
        </w:rPr>
        <w:t>5.9</w:t>
      </w:r>
      <w:r w:rsidRPr="00097A86">
        <w:t xml:space="preserve">  Composition of solid waste</w:t>
      </w:r>
      <w:bookmarkEnd w:id="529"/>
    </w:p>
    <w:p w14:paraId="57CE93A3" w14:textId="77777777" w:rsidR="004E60C0" w:rsidRPr="00097A86" w:rsidRDefault="004E60C0" w:rsidP="004E60C0">
      <w:pPr>
        <w:pStyle w:val="subsection"/>
      </w:pPr>
      <w:r w:rsidRPr="00097A86">
        <w:tab/>
        <w:t>(1)</w:t>
      </w:r>
      <w:r w:rsidRPr="00097A86">
        <w:tab/>
        <w:t>For paragraph</w:t>
      </w:r>
      <w:r w:rsidR="00097A86">
        <w:t> </w:t>
      </w:r>
      <w:r w:rsidRPr="00097A86">
        <w:t>5.4A(b), the composition of solid waste received at the landfill during the year must be classified by:</w:t>
      </w:r>
    </w:p>
    <w:p w14:paraId="2B02BD7E" w14:textId="77777777" w:rsidR="004E60C0" w:rsidRPr="00097A86" w:rsidRDefault="004E60C0" w:rsidP="004E60C0">
      <w:pPr>
        <w:pStyle w:val="paragraph"/>
      </w:pPr>
      <w:r w:rsidRPr="00097A86">
        <w:tab/>
        <w:t>(a)</w:t>
      </w:r>
      <w:r w:rsidRPr="00097A86">
        <w:tab/>
        <w:t>the general waste streams mentioned in subsection</w:t>
      </w:r>
      <w:r w:rsidR="00097A86">
        <w:t> </w:t>
      </w:r>
      <w:r w:rsidRPr="00097A86">
        <w:t>5.10(1); and</w:t>
      </w:r>
    </w:p>
    <w:p w14:paraId="232C461E" w14:textId="77777777" w:rsidR="004E60C0" w:rsidRPr="00097A86" w:rsidRDefault="004E60C0" w:rsidP="004E60C0">
      <w:pPr>
        <w:pStyle w:val="paragraph"/>
      </w:pPr>
      <w:r w:rsidRPr="00097A86">
        <w:tab/>
        <w:t>(b)</w:t>
      </w:r>
      <w:r w:rsidRPr="00097A86">
        <w:tab/>
        <w:t>the homogenous waste streams mentioned in subsection</w:t>
      </w:r>
      <w:r w:rsidR="00097A86">
        <w:t> </w:t>
      </w:r>
      <w:r w:rsidRPr="00097A86">
        <w:t>5.10A(1).</w:t>
      </w:r>
    </w:p>
    <w:p w14:paraId="748AC157" w14:textId="77777777" w:rsidR="00FB1158" w:rsidRPr="00097A86" w:rsidRDefault="00FB1158" w:rsidP="00FB1158">
      <w:pPr>
        <w:pStyle w:val="subsection"/>
      </w:pPr>
      <w:r w:rsidRPr="00097A86">
        <w:tab/>
        <w:t>(2)</w:t>
      </w:r>
      <w:r w:rsidRPr="00097A86">
        <w:tab/>
        <w:t>For solid waste received at the landfill during a year, an estimate of tonnage of:</w:t>
      </w:r>
    </w:p>
    <w:p w14:paraId="0A281BA6" w14:textId="77777777" w:rsidR="00FB1158" w:rsidRPr="00097A86" w:rsidRDefault="00FB1158" w:rsidP="00FB1158">
      <w:pPr>
        <w:pStyle w:val="paragraph"/>
      </w:pPr>
      <w:r w:rsidRPr="00097A86">
        <w:tab/>
        <w:t>(a)</w:t>
      </w:r>
      <w:r w:rsidRPr="00097A86">
        <w:tab/>
        <w:t>each general waste stream must be provided in accordance with section</w:t>
      </w:r>
      <w:r w:rsidR="00097A86">
        <w:t> </w:t>
      </w:r>
      <w:r w:rsidRPr="00097A86">
        <w:t>5.10; and</w:t>
      </w:r>
    </w:p>
    <w:p w14:paraId="3FB9584A" w14:textId="77777777" w:rsidR="00FB1158" w:rsidRPr="00097A86" w:rsidRDefault="00FB1158" w:rsidP="00FB1158">
      <w:pPr>
        <w:pStyle w:val="paragraph"/>
      </w:pPr>
      <w:r w:rsidRPr="00097A86">
        <w:tab/>
        <w:t>(b)</w:t>
      </w:r>
      <w:r w:rsidRPr="00097A86">
        <w:tab/>
        <w:t>each homogenous waste stream must be provided in accordance with section</w:t>
      </w:r>
      <w:r w:rsidR="00097A86">
        <w:t> </w:t>
      </w:r>
      <w:r w:rsidRPr="00097A86">
        <w:t>5.10A.</w:t>
      </w:r>
    </w:p>
    <w:p w14:paraId="447CF66F" w14:textId="77777777" w:rsidR="004E60C0" w:rsidRPr="00097A86" w:rsidRDefault="004E60C0" w:rsidP="004E60C0">
      <w:pPr>
        <w:pStyle w:val="subsection"/>
      </w:pPr>
      <w:r w:rsidRPr="00097A86">
        <w:tab/>
        <w:t>(3)</w:t>
      </w:r>
      <w:r w:rsidRPr="00097A86">
        <w:tab/>
        <w:t>For the following general and homogenous waste streams there must be a further classification in accordance with section</w:t>
      </w:r>
      <w:r w:rsidR="00097A86">
        <w:t> </w:t>
      </w:r>
      <w:r w:rsidRPr="00097A86">
        <w:t>5.11 showing the waste mix types in each waste stream (expressed as a percentage of the total tonnage of solid waste in the waste stream):</w:t>
      </w:r>
    </w:p>
    <w:p w14:paraId="0906DB37" w14:textId="77777777" w:rsidR="005E7CBC" w:rsidRPr="00097A86" w:rsidRDefault="005E7CBC" w:rsidP="005E7CBC">
      <w:pPr>
        <w:pStyle w:val="paragraph"/>
      </w:pPr>
      <w:r w:rsidRPr="00097A86">
        <w:tab/>
        <w:t>(a)</w:t>
      </w:r>
      <w:r w:rsidRPr="00097A86">
        <w:tab/>
        <w:t>municipal solid waste class I;</w:t>
      </w:r>
    </w:p>
    <w:p w14:paraId="67148D1E" w14:textId="77777777" w:rsidR="005E7CBC" w:rsidRPr="00097A86" w:rsidRDefault="005E7CBC" w:rsidP="005E7CBC">
      <w:pPr>
        <w:pStyle w:val="paragraph"/>
      </w:pPr>
      <w:r w:rsidRPr="00097A86">
        <w:tab/>
        <w:t>(ab)</w:t>
      </w:r>
      <w:r w:rsidRPr="00097A86">
        <w:tab/>
        <w:t>municipal solid waste class II;</w:t>
      </w:r>
    </w:p>
    <w:p w14:paraId="1A76A453" w14:textId="77777777" w:rsidR="004E60C0" w:rsidRPr="00097A86" w:rsidRDefault="004E60C0" w:rsidP="004E60C0">
      <w:pPr>
        <w:pStyle w:val="paragraph"/>
      </w:pPr>
      <w:r w:rsidRPr="00097A86">
        <w:tab/>
        <w:t>(b)</w:t>
      </w:r>
      <w:r w:rsidRPr="00097A86">
        <w:tab/>
        <w:t>commercial and industrial waste;</w:t>
      </w:r>
    </w:p>
    <w:p w14:paraId="548AB142" w14:textId="77777777" w:rsidR="004E60C0" w:rsidRPr="00097A86" w:rsidRDefault="004E60C0" w:rsidP="004E60C0">
      <w:pPr>
        <w:pStyle w:val="paragraph"/>
      </w:pPr>
      <w:r w:rsidRPr="00097A86">
        <w:tab/>
        <w:t>(c)</w:t>
      </w:r>
      <w:r w:rsidRPr="00097A86">
        <w:tab/>
        <w:t>construction and demolition waste;</w:t>
      </w:r>
    </w:p>
    <w:p w14:paraId="67BF1827" w14:textId="77777777" w:rsidR="004E60C0" w:rsidRPr="00097A86" w:rsidRDefault="004E60C0" w:rsidP="004E60C0">
      <w:pPr>
        <w:pStyle w:val="paragraph"/>
      </w:pPr>
      <w:r w:rsidRPr="00097A86">
        <w:tab/>
        <w:t>(d)</w:t>
      </w:r>
      <w:r w:rsidRPr="00097A86">
        <w:tab/>
        <w:t>shredder flock.</w:t>
      </w:r>
    </w:p>
    <w:p w14:paraId="290E6E94" w14:textId="77777777" w:rsidR="004E60C0" w:rsidRPr="00097A86" w:rsidRDefault="004E60C0" w:rsidP="004E60C0">
      <w:pPr>
        <w:pStyle w:val="ActHead5"/>
      </w:pPr>
      <w:bookmarkStart w:id="530" w:name="_Toc13233962"/>
      <w:r w:rsidRPr="00097A86">
        <w:rPr>
          <w:rStyle w:val="CharSectno"/>
        </w:rPr>
        <w:t>5.10</w:t>
      </w:r>
      <w:r w:rsidRPr="00097A86">
        <w:t xml:space="preserve">  General waste streams</w:t>
      </w:r>
      <w:bookmarkEnd w:id="530"/>
    </w:p>
    <w:p w14:paraId="29B4F883" w14:textId="77777777" w:rsidR="00AC64A0" w:rsidRPr="00097A86" w:rsidRDefault="00AC64A0" w:rsidP="00D22D3F">
      <w:pPr>
        <w:pStyle w:val="subsection"/>
      </w:pPr>
      <w:r w:rsidRPr="00097A86">
        <w:tab/>
        <w:t>(1)</w:t>
      </w:r>
      <w:r w:rsidRPr="00097A86">
        <w:tab/>
        <w:t xml:space="preserve">For </w:t>
      </w:r>
      <w:r w:rsidR="004E60C0" w:rsidRPr="00097A86">
        <w:t>paragraph</w:t>
      </w:r>
      <w:r w:rsidR="00097A86">
        <w:t> </w:t>
      </w:r>
      <w:r w:rsidR="004E60C0" w:rsidRPr="00097A86">
        <w:t>5.9(1)(a), the general waste streams</w:t>
      </w:r>
      <w:r w:rsidRPr="00097A86">
        <w:t xml:space="preserve"> are as follows:</w:t>
      </w:r>
    </w:p>
    <w:p w14:paraId="1EAE7DC7" w14:textId="77777777" w:rsidR="00A65928" w:rsidRPr="00097A86" w:rsidRDefault="00A65928" w:rsidP="00A65928">
      <w:pPr>
        <w:pStyle w:val="paragraph"/>
      </w:pPr>
      <w:r w:rsidRPr="00097A86">
        <w:tab/>
        <w:t>(a)</w:t>
      </w:r>
      <w:r w:rsidRPr="00097A86">
        <w:tab/>
        <w:t>municipal solid waste class I;</w:t>
      </w:r>
    </w:p>
    <w:p w14:paraId="271BFA03" w14:textId="77777777" w:rsidR="00A65928" w:rsidRPr="00097A86" w:rsidRDefault="00A65928" w:rsidP="00A65928">
      <w:pPr>
        <w:pStyle w:val="paragraph"/>
      </w:pPr>
      <w:r w:rsidRPr="00097A86">
        <w:tab/>
        <w:t>(ab)</w:t>
      </w:r>
      <w:r w:rsidRPr="00097A86">
        <w:tab/>
        <w:t>municipal solid waste class II;</w:t>
      </w:r>
    </w:p>
    <w:p w14:paraId="7752F9D6" w14:textId="77777777" w:rsidR="00AC64A0" w:rsidRPr="00097A86" w:rsidRDefault="00AC64A0" w:rsidP="00D22D3F">
      <w:pPr>
        <w:pStyle w:val="paragraph"/>
      </w:pPr>
      <w:r w:rsidRPr="00097A86">
        <w:tab/>
        <w:t>(b)</w:t>
      </w:r>
      <w:r w:rsidRPr="00097A86">
        <w:tab/>
        <w:t>commercial and industrial waste;</w:t>
      </w:r>
    </w:p>
    <w:p w14:paraId="45478226" w14:textId="77777777" w:rsidR="00AC64A0" w:rsidRPr="00097A86" w:rsidRDefault="00AC64A0" w:rsidP="00D22D3F">
      <w:pPr>
        <w:pStyle w:val="paragraph"/>
      </w:pPr>
      <w:r w:rsidRPr="00097A86">
        <w:tab/>
        <w:t>(c)</w:t>
      </w:r>
      <w:r w:rsidRPr="00097A86">
        <w:tab/>
        <w:t>construction and demolition waste.</w:t>
      </w:r>
    </w:p>
    <w:p w14:paraId="6358CBF0" w14:textId="77777777" w:rsidR="005E7CBC" w:rsidRPr="00097A86" w:rsidRDefault="005E7CBC" w:rsidP="005E7CBC">
      <w:pPr>
        <w:pStyle w:val="subsection"/>
      </w:pPr>
      <w:r w:rsidRPr="00097A86">
        <w:tab/>
        <w:t>(2)</w:t>
      </w:r>
      <w:r w:rsidRPr="00097A86">
        <w:tab/>
        <w:t xml:space="preserve">Subject to </w:t>
      </w:r>
      <w:r w:rsidR="00097A86">
        <w:t>subsection (</w:t>
      </w:r>
      <w:r w:rsidRPr="00097A86">
        <w:t>3), for paragraph</w:t>
      </w:r>
      <w:r w:rsidR="00097A86">
        <w:t> </w:t>
      </w:r>
      <w:r w:rsidRPr="00097A86">
        <w:t xml:space="preserve">5.9(2)(a), the tonnage of each waste stream mentioned in </w:t>
      </w:r>
      <w:r w:rsidR="00097A86">
        <w:t>subsection (</w:t>
      </w:r>
      <w:r w:rsidRPr="00097A86">
        <w:t>1) must be estimated:</w:t>
      </w:r>
    </w:p>
    <w:p w14:paraId="609491C0" w14:textId="77777777" w:rsidR="005E7CBC" w:rsidRPr="00097A86" w:rsidRDefault="005E7CBC" w:rsidP="005E7CBC">
      <w:pPr>
        <w:pStyle w:val="paragraph"/>
      </w:pPr>
      <w:r w:rsidRPr="00097A86">
        <w:tab/>
        <w:t>(a)</w:t>
      </w:r>
      <w:r w:rsidRPr="00097A86">
        <w:tab/>
        <w:t xml:space="preserve">if the operator of the landfill is required, under a law of the State or Territory in which the landfill is located, to collect data on tonnage of waste received at the landfill according to the waste streams mentioned in </w:t>
      </w:r>
      <w:r w:rsidR="00097A86">
        <w:t>subsection (</w:t>
      </w:r>
      <w:r w:rsidRPr="00097A86">
        <w:t>1)—by using that data; or</w:t>
      </w:r>
    </w:p>
    <w:p w14:paraId="3EA84B3E" w14:textId="77777777" w:rsidR="005E7CBC" w:rsidRPr="00097A86" w:rsidRDefault="005E7CBC" w:rsidP="00040E41">
      <w:pPr>
        <w:pStyle w:val="paragraph"/>
        <w:keepNext/>
        <w:keepLines/>
      </w:pPr>
      <w:r w:rsidRPr="00097A86">
        <w:lastRenderedPageBreak/>
        <w:tab/>
        <w:t>(b)</w:t>
      </w:r>
      <w:r w:rsidRPr="00097A86">
        <w:tab/>
        <w:t xml:space="preserve">if </w:t>
      </w:r>
      <w:r w:rsidR="00097A86">
        <w:t>paragraph (</w:t>
      </w:r>
      <w:r w:rsidRPr="00097A86">
        <w:t>a) does not apply and the operator of the landfill is able to estimate, in accordance with one of the criteria set out in section</w:t>
      </w:r>
      <w:r w:rsidR="00097A86">
        <w:t> </w:t>
      </w:r>
      <w:r w:rsidRPr="00097A86">
        <w:t xml:space="preserve">5.5, the tonnage of the waste streams mentioned in </w:t>
      </w:r>
      <w:r w:rsidR="00097A86">
        <w:t>subsection (</w:t>
      </w:r>
      <w:r w:rsidRPr="00097A86">
        <w:t>1)—by using that criterion; or</w:t>
      </w:r>
    </w:p>
    <w:p w14:paraId="595B50DB" w14:textId="77777777" w:rsidR="005E7CBC" w:rsidRPr="00097A86" w:rsidRDefault="005E7CBC" w:rsidP="005E7CBC">
      <w:pPr>
        <w:pStyle w:val="paragraph"/>
      </w:pPr>
      <w:r w:rsidRPr="00097A86">
        <w:tab/>
        <w:t>(c)</w:t>
      </w:r>
      <w:r w:rsidRPr="00097A86">
        <w:tab/>
        <w:t xml:space="preserve">if </w:t>
      </w:r>
      <w:r w:rsidR="00097A86">
        <w:t>paragraphs (</w:t>
      </w:r>
      <w:r w:rsidRPr="00097A86">
        <w:t>a) and (b) do not apply and there is no restriction on the waste streams that can be received at the landfill—by:</w:t>
      </w:r>
    </w:p>
    <w:p w14:paraId="1F39B867" w14:textId="77777777" w:rsidR="005E7CBC" w:rsidRPr="00097A86" w:rsidRDefault="005E7CBC" w:rsidP="005E7CBC">
      <w:pPr>
        <w:pStyle w:val="paragraphsub"/>
      </w:pPr>
      <w:r w:rsidRPr="00097A86">
        <w:tab/>
        <w:t>(i)</w:t>
      </w:r>
      <w:r w:rsidRPr="00097A86">
        <w:tab/>
        <w:t>for estimating the tonnage of the municipal solid waste class I stream if the landfill did not receive municipal solid waste class II—using the percentage value specified in columns 2 to 9 of item</w:t>
      </w:r>
      <w:r w:rsidR="00097A86">
        <w:t> </w:t>
      </w:r>
      <w:r w:rsidRPr="00097A86">
        <w:t>1 of the following table for the State or Territory in which the landfill is located; and</w:t>
      </w:r>
    </w:p>
    <w:p w14:paraId="04640EE7" w14:textId="77777777" w:rsidR="005E7CBC" w:rsidRPr="00097A86" w:rsidRDefault="005E7CBC" w:rsidP="005E7CBC">
      <w:pPr>
        <w:pStyle w:val="paragraphsub"/>
      </w:pPr>
      <w:r w:rsidRPr="00097A86">
        <w:tab/>
        <w:t>(ii)</w:t>
      </w:r>
      <w:r w:rsidRPr="00097A86">
        <w:tab/>
        <w:t>for estimating the tonnage of the municipal solid waste class II stream if the landfill did not receive municipal solid waste class I—using the percentage value specified in columns 2 to 9 of item</w:t>
      </w:r>
      <w:r w:rsidR="00097A86">
        <w:t> </w:t>
      </w:r>
      <w:r w:rsidRPr="00097A86">
        <w:t>1 of the following table for the State or Territory in which the landfill is located; and</w:t>
      </w:r>
    </w:p>
    <w:p w14:paraId="0D9C7256" w14:textId="77777777" w:rsidR="005E7CBC" w:rsidRPr="00097A86" w:rsidRDefault="005E7CBC" w:rsidP="005E7CBC">
      <w:pPr>
        <w:pStyle w:val="paragraphsub"/>
      </w:pPr>
      <w:r w:rsidRPr="00097A86">
        <w:tab/>
        <w:t>(iii)</w:t>
      </w:r>
      <w:r w:rsidRPr="00097A86">
        <w:tab/>
        <w:t>for estimating the tonnage of the municipal solid waste class I stream and the municipal solid waste class II stream if the landfill received both municipal solid waste classes—halving the percentage value specified in columns 2 to 9 of item</w:t>
      </w:r>
      <w:r w:rsidR="00097A86">
        <w:t> </w:t>
      </w:r>
      <w:r w:rsidRPr="00097A86">
        <w:t>1 of the following table for the State or Territory in which the landfill is located and using that value for each of the municipal solid waste streams; and</w:t>
      </w:r>
    </w:p>
    <w:p w14:paraId="45DB0C7B" w14:textId="77777777" w:rsidR="005E7CBC" w:rsidRPr="00097A86" w:rsidRDefault="005E7CBC" w:rsidP="005E7CBC">
      <w:pPr>
        <w:pStyle w:val="paragraphsub"/>
      </w:pPr>
      <w:r w:rsidRPr="00097A86">
        <w:tab/>
        <w:t>(iv)</w:t>
      </w:r>
      <w:r w:rsidRPr="00097A86">
        <w:tab/>
        <w:t>for estimating the tonnage of the commercial and industrial waste stream—using the percentage value specified in columns 2 to 9 of item</w:t>
      </w:r>
      <w:r w:rsidR="00097A86">
        <w:t> </w:t>
      </w:r>
      <w:r w:rsidRPr="00097A86">
        <w:t>2 of the following table for the State or Territory in which the landfill is located; and</w:t>
      </w:r>
    </w:p>
    <w:p w14:paraId="7F7AB035" w14:textId="77777777" w:rsidR="005E7CBC" w:rsidRPr="00097A86" w:rsidRDefault="005E7CBC" w:rsidP="005E7CBC">
      <w:pPr>
        <w:pStyle w:val="paragraphsub"/>
      </w:pPr>
      <w:r w:rsidRPr="00097A86">
        <w:tab/>
        <w:t>(v)</w:t>
      </w:r>
      <w:r w:rsidRPr="00097A86">
        <w:tab/>
        <w:t>for estimating the tonnage of the construction and demolition waste stream—using the percentage value specified in columns 2 to 9 of item</w:t>
      </w:r>
      <w:r w:rsidR="00097A86">
        <w:t> </w:t>
      </w:r>
      <w:r w:rsidRPr="00097A86">
        <w:t>3 of the following table for the State or Territory in which the landfill is located.</w:t>
      </w:r>
    </w:p>
    <w:p w14:paraId="20C6E62E" w14:textId="77777777" w:rsidR="005E7CBC" w:rsidRPr="00097A86" w:rsidRDefault="005E7CBC" w:rsidP="005E7CB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54"/>
        <w:gridCol w:w="1694"/>
        <w:gridCol w:w="756"/>
        <w:gridCol w:w="728"/>
        <w:gridCol w:w="728"/>
        <w:gridCol w:w="728"/>
        <w:gridCol w:w="727"/>
        <w:gridCol w:w="770"/>
        <w:gridCol w:w="742"/>
        <w:gridCol w:w="786"/>
      </w:tblGrid>
      <w:tr w:rsidR="005E7CBC" w:rsidRPr="00097A86" w14:paraId="0913C198" w14:textId="77777777" w:rsidTr="00C20CC2">
        <w:trPr>
          <w:tblHeader/>
        </w:trPr>
        <w:tc>
          <w:tcPr>
            <w:tcW w:w="5000" w:type="pct"/>
            <w:gridSpan w:val="10"/>
            <w:tcBorders>
              <w:top w:val="single" w:sz="12" w:space="0" w:color="auto"/>
              <w:bottom w:val="single" w:sz="6" w:space="0" w:color="auto"/>
            </w:tcBorders>
            <w:shd w:val="clear" w:color="auto" w:fill="auto"/>
          </w:tcPr>
          <w:p w14:paraId="09792F2F" w14:textId="77777777" w:rsidR="005E7CBC" w:rsidRPr="00097A86" w:rsidRDefault="005E7CBC" w:rsidP="00657E43">
            <w:pPr>
              <w:pStyle w:val="TableHeading"/>
            </w:pPr>
            <w:r w:rsidRPr="00097A86">
              <w:t>Waste streams and estimation of tonnage</w:t>
            </w:r>
          </w:p>
        </w:tc>
      </w:tr>
      <w:tr w:rsidR="005E7CBC" w:rsidRPr="00097A86" w14:paraId="738C8812" w14:textId="77777777" w:rsidTr="00C20CC2">
        <w:trPr>
          <w:tblHeader/>
        </w:trPr>
        <w:tc>
          <w:tcPr>
            <w:tcW w:w="393" w:type="pct"/>
            <w:tcBorders>
              <w:top w:val="single" w:sz="6" w:space="0" w:color="auto"/>
              <w:bottom w:val="nil"/>
            </w:tcBorders>
            <w:shd w:val="clear" w:color="auto" w:fill="auto"/>
          </w:tcPr>
          <w:p w14:paraId="55F69B71" w14:textId="77777777" w:rsidR="005E7CBC" w:rsidRPr="00097A86" w:rsidRDefault="005E7CBC" w:rsidP="00657E43">
            <w:pPr>
              <w:pStyle w:val="TableHeading"/>
            </w:pPr>
            <w:r w:rsidRPr="00097A86">
              <w:t>Item</w:t>
            </w:r>
          </w:p>
        </w:tc>
        <w:tc>
          <w:tcPr>
            <w:tcW w:w="1019" w:type="pct"/>
            <w:tcBorders>
              <w:top w:val="single" w:sz="6" w:space="0" w:color="auto"/>
              <w:bottom w:val="nil"/>
            </w:tcBorders>
            <w:shd w:val="clear" w:color="auto" w:fill="auto"/>
          </w:tcPr>
          <w:p w14:paraId="70B612DE" w14:textId="77777777" w:rsidR="005E7CBC" w:rsidRPr="00097A86" w:rsidRDefault="005E7CBC" w:rsidP="00657E43">
            <w:pPr>
              <w:pStyle w:val="TableHeading"/>
            </w:pPr>
            <w:r w:rsidRPr="00097A86">
              <w:t>Col. 1</w:t>
            </w:r>
          </w:p>
        </w:tc>
        <w:tc>
          <w:tcPr>
            <w:tcW w:w="455" w:type="pct"/>
            <w:tcBorders>
              <w:top w:val="single" w:sz="6" w:space="0" w:color="auto"/>
              <w:bottom w:val="nil"/>
            </w:tcBorders>
            <w:shd w:val="clear" w:color="auto" w:fill="auto"/>
          </w:tcPr>
          <w:p w14:paraId="13FEC02B" w14:textId="77777777" w:rsidR="005E7CBC" w:rsidRPr="00097A86" w:rsidRDefault="005E7CBC" w:rsidP="00657E43">
            <w:pPr>
              <w:pStyle w:val="TableHeading"/>
            </w:pPr>
            <w:r w:rsidRPr="00097A86">
              <w:t>Col. 2</w:t>
            </w:r>
          </w:p>
        </w:tc>
        <w:tc>
          <w:tcPr>
            <w:tcW w:w="438" w:type="pct"/>
            <w:tcBorders>
              <w:top w:val="single" w:sz="6" w:space="0" w:color="auto"/>
              <w:bottom w:val="nil"/>
            </w:tcBorders>
            <w:shd w:val="clear" w:color="auto" w:fill="auto"/>
          </w:tcPr>
          <w:p w14:paraId="2F1EEC4B" w14:textId="77777777" w:rsidR="005E7CBC" w:rsidRPr="00097A86" w:rsidRDefault="005E7CBC" w:rsidP="00657E43">
            <w:pPr>
              <w:pStyle w:val="TableHeading"/>
            </w:pPr>
            <w:r w:rsidRPr="00097A86">
              <w:t>Col. 3</w:t>
            </w:r>
          </w:p>
        </w:tc>
        <w:tc>
          <w:tcPr>
            <w:tcW w:w="438" w:type="pct"/>
            <w:tcBorders>
              <w:top w:val="single" w:sz="6" w:space="0" w:color="auto"/>
              <w:bottom w:val="nil"/>
            </w:tcBorders>
            <w:shd w:val="clear" w:color="auto" w:fill="auto"/>
          </w:tcPr>
          <w:p w14:paraId="505BB557" w14:textId="77777777" w:rsidR="005E7CBC" w:rsidRPr="00097A86" w:rsidRDefault="005E7CBC" w:rsidP="00657E43">
            <w:pPr>
              <w:pStyle w:val="TableHeading"/>
            </w:pPr>
            <w:r w:rsidRPr="00097A86">
              <w:t>Col. 4</w:t>
            </w:r>
          </w:p>
        </w:tc>
        <w:tc>
          <w:tcPr>
            <w:tcW w:w="438" w:type="pct"/>
            <w:tcBorders>
              <w:top w:val="single" w:sz="6" w:space="0" w:color="auto"/>
              <w:bottom w:val="nil"/>
            </w:tcBorders>
            <w:shd w:val="clear" w:color="auto" w:fill="auto"/>
          </w:tcPr>
          <w:p w14:paraId="69489801" w14:textId="77777777" w:rsidR="005E7CBC" w:rsidRPr="00097A86" w:rsidRDefault="005E7CBC" w:rsidP="00657E43">
            <w:pPr>
              <w:pStyle w:val="TableHeading"/>
            </w:pPr>
            <w:r w:rsidRPr="00097A86">
              <w:t>Col. 5</w:t>
            </w:r>
          </w:p>
        </w:tc>
        <w:tc>
          <w:tcPr>
            <w:tcW w:w="437" w:type="pct"/>
            <w:tcBorders>
              <w:top w:val="single" w:sz="6" w:space="0" w:color="auto"/>
              <w:bottom w:val="nil"/>
            </w:tcBorders>
            <w:shd w:val="clear" w:color="auto" w:fill="auto"/>
          </w:tcPr>
          <w:p w14:paraId="20FC508E" w14:textId="77777777" w:rsidR="005E7CBC" w:rsidRPr="00097A86" w:rsidRDefault="005E7CBC" w:rsidP="00657E43">
            <w:pPr>
              <w:pStyle w:val="TableHeading"/>
            </w:pPr>
            <w:r w:rsidRPr="00097A86">
              <w:t>Col. 6</w:t>
            </w:r>
          </w:p>
        </w:tc>
        <w:tc>
          <w:tcPr>
            <w:tcW w:w="463" w:type="pct"/>
            <w:tcBorders>
              <w:top w:val="single" w:sz="6" w:space="0" w:color="auto"/>
              <w:bottom w:val="nil"/>
            </w:tcBorders>
            <w:shd w:val="clear" w:color="auto" w:fill="auto"/>
          </w:tcPr>
          <w:p w14:paraId="0AAB2A89" w14:textId="77777777" w:rsidR="005E7CBC" w:rsidRPr="00097A86" w:rsidRDefault="005E7CBC" w:rsidP="00657E43">
            <w:pPr>
              <w:pStyle w:val="TableHeading"/>
            </w:pPr>
            <w:r w:rsidRPr="00097A86">
              <w:t>Col. 7</w:t>
            </w:r>
          </w:p>
        </w:tc>
        <w:tc>
          <w:tcPr>
            <w:tcW w:w="446" w:type="pct"/>
            <w:tcBorders>
              <w:top w:val="single" w:sz="6" w:space="0" w:color="auto"/>
              <w:bottom w:val="nil"/>
            </w:tcBorders>
            <w:shd w:val="clear" w:color="auto" w:fill="auto"/>
          </w:tcPr>
          <w:p w14:paraId="638B802A" w14:textId="77777777" w:rsidR="005E7CBC" w:rsidRPr="00097A86" w:rsidRDefault="005E7CBC" w:rsidP="00657E43">
            <w:pPr>
              <w:pStyle w:val="TableHeading"/>
            </w:pPr>
            <w:r w:rsidRPr="00097A86">
              <w:t>Col. 8</w:t>
            </w:r>
          </w:p>
        </w:tc>
        <w:tc>
          <w:tcPr>
            <w:tcW w:w="473" w:type="pct"/>
            <w:tcBorders>
              <w:top w:val="single" w:sz="6" w:space="0" w:color="auto"/>
              <w:bottom w:val="nil"/>
            </w:tcBorders>
            <w:shd w:val="clear" w:color="auto" w:fill="auto"/>
          </w:tcPr>
          <w:p w14:paraId="79C0C683" w14:textId="77777777" w:rsidR="005E7CBC" w:rsidRPr="00097A86" w:rsidRDefault="005E7CBC" w:rsidP="00657E43">
            <w:pPr>
              <w:pStyle w:val="TableHeading"/>
            </w:pPr>
            <w:r w:rsidRPr="00097A86">
              <w:t>Col. 9</w:t>
            </w:r>
          </w:p>
        </w:tc>
      </w:tr>
      <w:tr w:rsidR="005E7CBC" w:rsidRPr="00097A86" w14:paraId="14B4374A" w14:textId="77777777" w:rsidTr="00C20CC2">
        <w:trPr>
          <w:tblHeader/>
        </w:trPr>
        <w:tc>
          <w:tcPr>
            <w:tcW w:w="393" w:type="pct"/>
            <w:tcBorders>
              <w:top w:val="nil"/>
              <w:bottom w:val="single" w:sz="12" w:space="0" w:color="auto"/>
            </w:tcBorders>
            <w:shd w:val="clear" w:color="auto" w:fill="auto"/>
          </w:tcPr>
          <w:p w14:paraId="714D1DBC" w14:textId="77777777" w:rsidR="005E7CBC" w:rsidRPr="00097A86" w:rsidRDefault="005E7CBC" w:rsidP="00657E43">
            <w:pPr>
              <w:pStyle w:val="TableHeading"/>
            </w:pPr>
          </w:p>
        </w:tc>
        <w:tc>
          <w:tcPr>
            <w:tcW w:w="1019" w:type="pct"/>
            <w:tcBorders>
              <w:top w:val="nil"/>
              <w:bottom w:val="single" w:sz="12" w:space="0" w:color="auto"/>
            </w:tcBorders>
            <w:shd w:val="clear" w:color="auto" w:fill="auto"/>
          </w:tcPr>
          <w:p w14:paraId="367AB799" w14:textId="77777777" w:rsidR="005E7CBC" w:rsidRPr="00097A86" w:rsidRDefault="005E7CBC" w:rsidP="00657E43">
            <w:pPr>
              <w:pStyle w:val="TableHeading"/>
            </w:pPr>
            <w:r w:rsidRPr="00097A86">
              <w:t>Waste stream</w:t>
            </w:r>
          </w:p>
        </w:tc>
        <w:tc>
          <w:tcPr>
            <w:tcW w:w="455" w:type="pct"/>
            <w:tcBorders>
              <w:top w:val="nil"/>
              <w:bottom w:val="single" w:sz="12" w:space="0" w:color="auto"/>
            </w:tcBorders>
            <w:shd w:val="clear" w:color="auto" w:fill="auto"/>
          </w:tcPr>
          <w:p w14:paraId="1CE23DA1" w14:textId="77777777" w:rsidR="005E7CBC" w:rsidRPr="00097A86" w:rsidRDefault="005E7CBC" w:rsidP="00657E43">
            <w:pPr>
              <w:pStyle w:val="TableHeading"/>
            </w:pPr>
            <w:r w:rsidRPr="00097A86">
              <w:t>NSW</w:t>
            </w:r>
            <w:r w:rsidRPr="00097A86">
              <w:br/>
              <w:t>%</w:t>
            </w:r>
          </w:p>
        </w:tc>
        <w:tc>
          <w:tcPr>
            <w:tcW w:w="438" w:type="pct"/>
            <w:tcBorders>
              <w:top w:val="nil"/>
              <w:bottom w:val="single" w:sz="12" w:space="0" w:color="auto"/>
            </w:tcBorders>
            <w:shd w:val="clear" w:color="auto" w:fill="auto"/>
          </w:tcPr>
          <w:p w14:paraId="2E63032F" w14:textId="77777777" w:rsidR="005E7CBC" w:rsidRPr="00097A86" w:rsidRDefault="005E7CBC" w:rsidP="00657E43">
            <w:pPr>
              <w:pStyle w:val="TableHeading"/>
            </w:pPr>
            <w:r w:rsidRPr="00097A86">
              <w:t>VIC</w:t>
            </w:r>
            <w:r w:rsidRPr="00097A86">
              <w:br/>
              <w:t>%</w:t>
            </w:r>
          </w:p>
        </w:tc>
        <w:tc>
          <w:tcPr>
            <w:tcW w:w="438" w:type="pct"/>
            <w:tcBorders>
              <w:top w:val="nil"/>
              <w:bottom w:val="single" w:sz="12" w:space="0" w:color="auto"/>
            </w:tcBorders>
            <w:shd w:val="clear" w:color="auto" w:fill="auto"/>
          </w:tcPr>
          <w:p w14:paraId="277DF6AC" w14:textId="77777777" w:rsidR="005E7CBC" w:rsidRPr="00097A86" w:rsidRDefault="005E7CBC" w:rsidP="00657E43">
            <w:pPr>
              <w:pStyle w:val="TableHeading"/>
            </w:pPr>
            <w:r w:rsidRPr="00097A86">
              <w:t>QLD</w:t>
            </w:r>
            <w:r w:rsidRPr="00097A86">
              <w:br/>
              <w:t>%</w:t>
            </w:r>
          </w:p>
        </w:tc>
        <w:tc>
          <w:tcPr>
            <w:tcW w:w="438" w:type="pct"/>
            <w:tcBorders>
              <w:top w:val="nil"/>
              <w:bottom w:val="single" w:sz="12" w:space="0" w:color="auto"/>
            </w:tcBorders>
            <w:shd w:val="clear" w:color="auto" w:fill="auto"/>
          </w:tcPr>
          <w:p w14:paraId="266CDABC" w14:textId="77777777" w:rsidR="005E7CBC" w:rsidRPr="00097A86" w:rsidRDefault="005E7CBC" w:rsidP="00657E43">
            <w:pPr>
              <w:pStyle w:val="TableHeading"/>
            </w:pPr>
            <w:r w:rsidRPr="00097A86">
              <w:t>WA</w:t>
            </w:r>
            <w:r w:rsidRPr="00097A86">
              <w:br/>
              <w:t>%</w:t>
            </w:r>
          </w:p>
        </w:tc>
        <w:tc>
          <w:tcPr>
            <w:tcW w:w="437" w:type="pct"/>
            <w:tcBorders>
              <w:top w:val="nil"/>
              <w:bottom w:val="single" w:sz="12" w:space="0" w:color="auto"/>
            </w:tcBorders>
            <w:shd w:val="clear" w:color="auto" w:fill="auto"/>
          </w:tcPr>
          <w:p w14:paraId="39102541" w14:textId="77777777" w:rsidR="005E7CBC" w:rsidRPr="00097A86" w:rsidRDefault="005E7CBC" w:rsidP="00657E43">
            <w:pPr>
              <w:pStyle w:val="TableHeading"/>
            </w:pPr>
            <w:r w:rsidRPr="00097A86">
              <w:t>SA</w:t>
            </w:r>
            <w:r w:rsidRPr="00097A86">
              <w:br/>
              <w:t>%</w:t>
            </w:r>
          </w:p>
        </w:tc>
        <w:tc>
          <w:tcPr>
            <w:tcW w:w="463" w:type="pct"/>
            <w:tcBorders>
              <w:top w:val="nil"/>
              <w:bottom w:val="single" w:sz="12" w:space="0" w:color="auto"/>
            </w:tcBorders>
            <w:shd w:val="clear" w:color="auto" w:fill="auto"/>
          </w:tcPr>
          <w:p w14:paraId="3B7208FA" w14:textId="77777777" w:rsidR="005E7CBC" w:rsidRPr="00097A86" w:rsidRDefault="005E7CBC" w:rsidP="00657E43">
            <w:pPr>
              <w:pStyle w:val="TableHeading"/>
            </w:pPr>
            <w:r w:rsidRPr="00097A86">
              <w:t>TAS</w:t>
            </w:r>
            <w:r w:rsidRPr="00097A86">
              <w:br/>
              <w:t>%</w:t>
            </w:r>
          </w:p>
        </w:tc>
        <w:tc>
          <w:tcPr>
            <w:tcW w:w="446" w:type="pct"/>
            <w:tcBorders>
              <w:top w:val="nil"/>
              <w:bottom w:val="single" w:sz="12" w:space="0" w:color="auto"/>
            </w:tcBorders>
            <w:shd w:val="clear" w:color="auto" w:fill="auto"/>
          </w:tcPr>
          <w:p w14:paraId="20CF3AE9" w14:textId="77777777" w:rsidR="005E7CBC" w:rsidRPr="00097A86" w:rsidRDefault="005E7CBC" w:rsidP="00657E43">
            <w:pPr>
              <w:pStyle w:val="TableHeading"/>
            </w:pPr>
            <w:r w:rsidRPr="00097A86">
              <w:t>ACT</w:t>
            </w:r>
            <w:r w:rsidRPr="00097A86">
              <w:br/>
              <w:t>%</w:t>
            </w:r>
          </w:p>
        </w:tc>
        <w:tc>
          <w:tcPr>
            <w:tcW w:w="473" w:type="pct"/>
            <w:tcBorders>
              <w:top w:val="nil"/>
              <w:bottom w:val="single" w:sz="12" w:space="0" w:color="auto"/>
            </w:tcBorders>
            <w:shd w:val="clear" w:color="auto" w:fill="auto"/>
          </w:tcPr>
          <w:p w14:paraId="4913B930" w14:textId="77777777" w:rsidR="005E7CBC" w:rsidRPr="00097A86" w:rsidRDefault="005E7CBC" w:rsidP="00657E43">
            <w:pPr>
              <w:pStyle w:val="TableHeading"/>
            </w:pPr>
            <w:r w:rsidRPr="00097A86">
              <w:t>NT</w:t>
            </w:r>
            <w:r w:rsidRPr="00097A86">
              <w:br/>
              <w:t>%</w:t>
            </w:r>
          </w:p>
        </w:tc>
      </w:tr>
      <w:tr w:rsidR="005E7CBC" w:rsidRPr="00097A86" w14:paraId="7C113E6D" w14:textId="77777777" w:rsidTr="00C20CC2">
        <w:tc>
          <w:tcPr>
            <w:tcW w:w="393" w:type="pct"/>
            <w:tcBorders>
              <w:top w:val="single" w:sz="12" w:space="0" w:color="auto"/>
            </w:tcBorders>
            <w:shd w:val="clear" w:color="auto" w:fill="auto"/>
          </w:tcPr>
          <w:p w14:paraId="60B9C4FB" w14:textId="77777777" w:rsidR="005E7CBC" w:rsidRPr="00097A86" w:rsidRDefault="005E7CBC" w:rsidP="00657E43">
            <w:pPr>
              <w:pStyle w:val="Tabletext"/>
            </w:pPr>
            <w:r w:rsidRPr="00097A86">
              <w:t>1</w:t>
            </w:r>
          </w:p>
        </w:tc>
        <w:tc>
          <w:tcPr>
            <w:tcW w:w="1019" w:type="pct"/>
            <w:tcBorders>
              <w:top w:val="single" w:sz="12" w:space="0" w:color="auto"/>
            </w:tcBorders>
            <w:shd w:val="clear" w:color="auto" w:fill="auto"/>
          </w:tcPr>
          <w:p w14:paraId="51C6CCBD" w14:textId="77777777" w:rsidR="005E7CBC" w:rsidRPr="00097A86" w:rsidRDefault="005E7CBC" w:rsidP="00657E43">
            <w:pPr>
              <w:pStyle w:val="Tabletext"/>
            </w:pPr>
            <w:r w:rsidRPr="00097A86">
              <w:t>Municipal solid waste</w:t>
            </w:r>
          </w:p>
        </w:tc>
        <w:tc>
          <w:tcPr>
            <w:tcW w:w="455" w:type="pct"/>
            <w:tcBorders>
              <w:top w:val="single" w:sz="12" w:space="0" w:color="auto"/>
            </w:tcBorders>
            <w:shd w:val="clear" w:color="auto" w:fill="auto"/>
          </w:tcPr>
          <w:p w14:paraId="52A95CA7" w14:textId="77777777" w:rsidR="005E7CBC" w:rsidRPr="00097A86" w:rsidRDefault="005E7CBC" w:rsidP="00657E43">
            <w:pPr>
              <w:pStyle w:val="Tabletext"/>
            </w:pPr>
            <w:r w:rsidRPr="00097A86">
              <w:t>31</w:t>
            </w:r>
          </w:p>
        </w:tc>
        <w:tc>
          <w:tcPr>
            <w:tcW w:w="438" w:type="pct"/>
            <w:tcBorders>
              <w:top w:val="single" w:sz="12" w:space="0" w:color="auto"/>
            </w:tcBorders>
            <w:shd w:val="clear" w:color="auto" w:fill="auto"/>
          </w:tcPr>
          <w:p w14:paraId="46546562" w14:textId="77777777" w:rsidR="005E7CBC" w:rsidRPr="00097A86" w:rsidRDefault="005E7CBC" w:rsidP="00657E43">
            <w:pPr>
              <w:pStyle w:val="Tabletext"/>
            </w:pPr>
            <w:r w:rsidRPr="00097A86">
              <w:t>36</w:t>
            </w:r>
          </w:p>
        </w:tc>
        <w:tc>
          <w:tcPr>
            <w:tcW w:w="438" w:type="pct"/>
            <w:tcBorders>
              <w:top w:val="single" w:sz="12" w:space="0" w:color="auto"/>
            </w:tcBorders>
            <w:shd w:val="clear" w:color="auto" w:fill="auto"/>
          </w:tcPr>
          <w:p w14:paraId="2EC23DF7" w14:textId="77777777" w:rsidR="005E7CBC" w:rsidRPr="00097A86" w:rsidRDefault="005E7CBC" w:rsidP="00657E43">
            <w:pPr>
              <w:pStyle w:val="Tabletext"/>
            </w:pPr>
            <w:r w:rsidRPr="00097A86">
              <w:t>43</w:t>
            </w:r>
          </w:p>
        </w:tc>
        <w:tc>
          <w:tcPr>
            <w:tcW w:w="438" w:type="pct"/>
            <w:tcBorders>
              <w:top w:val="single" w:sz="12" w:space="0" w:color="auto"/>
            </w:tcBorders>
            <w:shd w:val="clear" w:color="auto" w:fill="auto"/>
          </w:tcPr>
          <w:p w14:paraId="6CCFECA4" w14:textId="77777777" w:rsidR="005E7CBC" w:rsidRPr="00097A86" w:rsidRDefault="005E7CBC" w:rsidP="00657E43">
            <w:pPr>
              <w:pStyle w:val="Tabletext"/>
            </w:pPr>
            <w:r w:rsidRPr="00097A86">
              <w:t>26</w:t>
            </w:r>
          </w:p>
        </w:tc>
        <w:tc>
          <w:tcPr>
            <w:tcW w:w="437" w:type="pct"/>
            <w:tcBorders>
              <w:top w:val="single" w:sz="12" w:space="0" w:color="auto"/>
            </w:tcBorders>
            <w:shd w:val="clear" w:color="auto" w:fill="auto"/>
          </w:tcPr>
          <w:p w14:paraId="7FB64D74" w14:textId="77777777" w:rsidR="005E7CBC" w:rsidRPr="00097A86" w:rsidRDefault="005E7CBC" w:rsidP="00657E43">
            <w:pPr>
              <w:pStyle w:val="Tabletext"/>
            </w:pPr>
            <w:r w:rsidRPr="00097A86">
              <w:t>36</w:t>
            </w:r>
          </w:p>
        </w:tc>
        <w:tc>
          <w:tcPr>
            <w:tcW w:w="463" w:type="pct"/>
            <w:tcBorders>
              <w:top w:val="single" w:sz="12" w:space="0" w:color="auto"/>
            </w:tcBorders>
            <w:shd w:val="clear" w:color="auto" w:fill="auto"/>
          </w:tcPr>
          <w:p w14:paraId="0FC66157" w14:textId="77777777" w:rsidR="005E7CBC" w:rsidRPr="00097A86" w:rsidRDefault="005E7CBC" w:rsidP="00657E43">
            <w:pPr>
              <w:pStyle w:val="Tabletext"/>
            </w:pPr>
            <w:r w:rsidRPr="00097A86">
              <w:t>57</w:t>
            </w:r>
          </w:p>
        </w:tc>
        <w:tc>
          <w:tcPr>
            <w:tcW w:w="446" w:type="pct"/>
            <w:tcBorders>
              <w:top w:val="single" w:sz="12" w:space="0" w:color="auto"/>
            </w:tcBorders>
            <w:shd w:val="clear" w:color="auto" w:fill="auto"/>
          </w:tcPr>
          <w:p w14:paraId="4891065F" w14:textId="77777777" w:rsidR="005E7CBC" w:rsidRPr="00097A86" w:rsidRDefault="005E7CBC" w:rsidP="00657E43">
            <w:pPr>
              <w:pStyle w:val="Tabletext"/>
            </w:pPr>
            <w:r w:rsidRPr="00097A86">
              <w:t>43</w:t>
            </w:r>
          </w:p>
        </w:tc>
        <w:tc>
          <w:tcPr>
            <w:tcW w:w="473" w:type="pct"/>
            <w:tcBorders>
              <w:top w:val="single" w:sz="12" w:space="0" w:color="auto"/>
            </w:tcBorders>
            <w:shd w:val="clear" w:color="auto" w:fill="auto"/>
          </w:tcPr>
          <w:p w14:paraId="7EAE3416" w14:textId="77777777" w:rsidR="005E7CBC" w:rsidRPr="00097A86" w:rsidRDefault="005E7CBC" w:rsidP="00657E43">
            <w:pPr>
              <w:pStyle w:val="Tabletext"/>
            </w:pPr>
            <w:r w:rsidRPr="00097A86">
              <w:t>43</w:t>
            </w:r>
          </w:p>
        </w:tc>
      </w:tr>
      <w:tr w:rsidR="005E7CBC" w:rsidRPr="00097A86" w14:paraId="7F975B60" w14:textId="77777777" w:rsidTr="00C20CC2">
        <w:trPr>
          <w:cantSplit/>
        </w:trPr>
        <w:tc>
          <w:tcPr>
            <w:tcW w:w="393" w:type="pct"/>
            <w:tcBorders>
              <w:bottom w:val="single" w:sz="4" w:space="0" w:color="auto"/>
            </w:tcBorders>
            <w:shd w:val="clear" w:color="auto" w:fill="auto"/>
          </w:tcPr>
          <w:p w14:paraId="3C94E757" w14:textId="77777777" w:rsidR="005E7CBC" w:rsidRPr="00097A86" w:rsidRDefault="005E7CBC" w:rsidP="00657E43">
            <w:pPr>
              <w:pStyle w:val="Tabletext"/>
            </w:pPr>
            <w:r w:rsidRPr="00097A86">
              <w:t>2</w:t>
            </w:r>
          </w:p>
        </w:tc>
        <w:tc>
          <w:tcPr>
            <w:tcW w:w="1019" w:type="pct"/>
            <w:tcBorders>
              <w:bottom w:val="single" w:sz="4" w:space="0" w:color="auto"/>
            </w:tcBorders>
            <w:shd w:val="clear" w:color="auto" w:fill="auto"/>
          </w:tcPr>
          <w:p w14:paraId="377BC54E" w14:textId="77777777" w:rsidR="005E7CBC" w:rsidRPr="00097A86" w:rsidRDefault="005E7CBC" w:rsidP="00657E43">
            <w:pPr>
              <w:pStyle w:val="Tabletext"/>
            </w:pPr>
            <w:r w:rsidRPr="00097A86">
              <w:t>Commercial and industrial</w:t>
            </w:r>
          </w:p>
        </w:tc>
        <w:tc>
          <w:tcPr>
            <w:tcW w:w="455" w:type="pct"/>
            <w:tcBorders>
              <w:bottom w:val="single" w:sz="4" w:space="0" w:color="auto"/>
            </w:tcBorders>
            <w:shd w:val="clear" w:color="auto" w:fill="auto"/>
          </w:tcPr>
          <w:p w14:paraId="224D0CDE" w14:textId="77777777" w:rsidR="005E7CBC" w:rsidRPr="00097A86" w:rsidRDefault="005E7CBC" w:rsidP="00657E43">
            <w:pPr>
              <w:pStyle w:val="Tabletext"/>
            </w:pPr>
            <w:r w:rsidRPr="00097A86">
              <w:t>42</w:t>
            </w:r>
          </w:p>
        </w:tc>
        <w:tc>
          <w:tcPr>
            <w:tcW w:w="438" w:type="pct"/>
            <w:tcBorders>
              <w:bottom w:val="single" w:sz="4" w:space="0" w:color="auto"/>
            </w:tcBorders>
            <w:shd w:val="clear" w:color="auto" w:fill="auto"/>
          </w:tcPr>
          <w:p w14:paraId="00F357BA" w14:textId="77777777" w:rsidR="005E7CBC" w:rsidRPr="00097A86" w:rsidRDefault="005E7CBC" w:rsidP="00657E43">
            <w:pPr>
              <w:pStyle w:val="Tabletext"/>
            </w:pPr>
            <w:r w:rsidRPr="00097A86">
              <w:t>24</w:t>
            </w:r>
          </w:p>
        </w:tc>
        <w:tc>
          <w:tcPr>
            <w:tcW w:w="438" w:type="pct"/>
            <w:tcBorders>
              <w:bottom w:val="single" w:sz="4" w:space="0" w:color="auto"/>
            </w:tcBorders>
            <w:shd w:val="clear" w:color="auto" w:fill="auto"/>
          </w:tcPr>
          <w:p w14:paraId="12791B18" w14:textId="77777777" w:rsidR="005E7CBC" w:rsidRPr="00097A86" w:rsidRDefault="005E7CBC" w:rsidP="00657E43">
            <w:pPr>
              <w:pStyle w:val="Tabletext"/>
            </w:pPr>
            <w:r w:rsidRPr="00097A86">
              <w:t>14</w:t>
            </w:r>
          </w:p>
        </w:tc>
        <w:tc>
          <w:tcPr>
            <w:tcW w:w="438" w:type="pct"/>
            <w:tcBorders>
              <w:bottom w:val="single" w:sz="4" w:space="0" w:color="auto"/>
            </w:tcBorders>
            <w:shd w:val="clear" w:color="auto" w:fill="auto"/>
          </w:tcPr>
          <w:p w14:paraId="4B1114C0" w14:textId="77777777" w:rsidR="005E7CBC" w:rsidRPr="00097A86" w:rsidRDefault="005E7CBC" w:rsidP="00657E43">
            <w:pPr>
              <w:pStyle w:val="Tabletext"/>
            </w:pPr>
            <w:r w:rsidRPr="00097A86">
              <w:t>17</w:t>
            </w:r>
          </w:p>
        </w:tc>
        <w:tc>
          <w:tcPr>
            <w:tcW w:w="437" w:type="pct"/>
            <w:tcBorders>
              <w:bottom w:val="single" w:sz="4" w:space="0" w:color="auto"/>
            </w:tcBorders>
            <w:shd w:val="clear" w:color="auto" w:fill="auto"/>
          </w:tcPr>
          <w:p w14:paraId="6955F575" w14:textId="77777777" w:rsidR="005E7CBC" w:rsidRPr="00097A86" w:rsidRDefault="005E7CBC" w:rsidP="00657E43">
            <w:pPr>
              <w:pStyle w:val="Tabletext"/>
            </w:pPr>
            <w:r w:rsidRPr="00097A86">
              <w:t>19</w:t>
            </w:r>
          </w:p>
        </w:tc>
        <w:tc>
          <w:tcPr>
            <w:tcW w:w="463" w:type="pct"/>
            <w:tcBorders>
              <w:bottom w:val="single" w:sz="4" w:space="0" w:color="auto"/>
            </w:tcBorders>
            <w:shd w:val="clear" w:color="auto" w:fill="auto"/>
          </w:tcPr>
          <w:p w14:paraId="21B67AA6" w14:textId="77777777" w:rsidR="005E7CBC" w:rsidRPr="00097A86" w:rsidRDefault="005E7CBC" w:rsidP="00657E43">
            <w:pPr>
              <w:pStyle w:val="Tabletext"/>
            </w:pPr>
            <w:r w:rsidRPr="00097A86">
              <w:t>33</w:t>
            </w:r>
          </w:p>
        </w:tc>
        <w:tc>
          <w:tcPr>
            <w:tcW w:w="446" w:type="pct"/>
            <w:tcBorders>
              <w:bottom w:val="single" w:sz="4" w:space="0" w:color="auto"/>
            </w:tcBorders>
            <w:shd w:val="clear" w:color="auto" w:fill="auto"/>
          </w:tcPr>
          <w:p w14:paraId="708BF06B" w14:textId="77777777" w:rsidR="005E7CBC" w:rsidRPr="00097A86" w:rsidRDefault="005E7CBC" w:rsidP="00657E43">
            <w:pPr>
              <w:pStyle w:val="Tabletext"/>
            </w:pPr>
            <w:r w:rsidRPr="00097A86">
              <w:t>42</w:t>
            </w:r>
          </w:p>
        </w:tc>
        <w:tc>
          <w:tcPr>
            <w:tcW w:w="473" w:type="pct"/>
            <w:tcBorders>
              <w:bottom w:val="single" w:sz="4" w:space="0" w:color="auto"/>
            </w:tcBorders>
            <w:shd w:val="clear" w:color="auto" w:fill="auto"/>
          </w:tcPr>
          <w:p w14:paraId="439328F7" w14:textId="77777777" w:rsidR="005E7CBC" w:rsidRPr="00097A86" w:rsidRDefault="005E7CBC" w:rsidP="00657E43">
            <w:pPr>
              <w:pStyle w:val="Tabletext"/>
            </w:pPr>
            <w:r w:rsidRPr="00097A86">
              <w:t>14</w:t>
            </w:r>
          </w:p>
        </w:tc>
      </w:tr>
      <w:tr w:rsidR="005E7CBC" w:rsidRPr="00097A86" w14:paraId="7E033D4B" w14:textId="77777777" w:rsidTr="00C20CC2">
        <w:tc>
          <w:tcPr>
            <w:tcW w:w="393" w:type="pct"/>
            <w:tcBorders>
              <w:bottom w:val="single" w:sz="12" w:space="0" w:color="auto"/>
            </w:tcBorders>
            <w:shd w:val="clear" w:color="auto" w:fill="auto"/>
          </w:tcPr>
          <w:p w14:paraId="6C99754C" w14:textId="77777777" w:rsidR="005E7CBC" w:rsidRPr="00097A86" w:rsidRDefault="005E7CBC" w:rsidP="00657E43">
            <w:pPr>
              <w:pStyle w:val="Tabletext"/>
            </w:pPr>
            <w:r w:rsidRPr="00097A86">
              <w:t>3</w:t>
            </w:r>
          </w:p>
        </w:tc>
        <w:tc>
          <w:tcPr>
            <w:tcW w:w="1019" w:type="pct"/>
            <w:tcBorders>
              <w:bottom w:val="single" w:sz="12" w:space="0" w:color="auto"/>
            </w:tcBorders>
            <w:shd w:val="clear" w:color="auto" w:fill="auto"/>
          </w:tcPr>
          <w:p w14:paraId="5635D586" w14:textId="77777777" w:rsidR="005E7CBC" w:rsidRPr="00097A86" w:rsidRDefault="005E7CBC" w:rsidP="00657E43">
            <w:pPr>
              <w:pStyle w:val="Tabletext"/>
            </w:pPr>
            <w:r w:rsidRPr="00097A86">
              <w:t>Construction and demolition</w:t>
            </w:r>
          </w:p>
        </w:tc>
        <w:tc>
          <w:tcPr>
            <w:tcW w:w="455" w:type="pct"/>
            <w:tcBorders>
              <w:bottom w:val="single" w:sz="12" w:space="0" w:color="auto"/>
            </w:tcBorders>
            <w:shd w:val="clear" w:color="auto" w:fill="auto"/>
          </w:tcPr>
          <w:p w14:paraId="6A4D6BB1" w14:textId="77777777" w:rsidR="005E7CBC" w:rsidRPr="00097A86" w:rsidRDefault="005E7CBC" w:rsidP="00657E43">
            <w:pPr>
              <w:pStyle w:val="Tabletext"/>
            </w:pPr>
            <w:r w:rsidRPr="00097A86">
              <w:t>27</w:t>
            </w:r>
          </w:p>
        </w:tc>
        <w:tc>
          <w:tcPr>
            <w:tcW w:w="438" w:type="pct"/>
            <w:tcBorders>
              <w:bottom w:val="single" w:sz="12" w:space="0" w:color="auto"/>
            </w:tcBorders>
            <w:shd w:val="clear" w:color="auto" w:fill="auto"/>
          </w:tcPr>
          <w:p w14:paraId="3729425D" w14:textId="77777777" w:rsidR="005E7CBC" w:rsidRPr="00097A86" w:rsidRDefault="005E7CBC" w:rsidP="00657E43">
            <w:pPr>
              <w:pStyle w:val="Tabletext"/>
            </w:pPr>
            <w:r w:rsidRPr="00097A86">
              <w:t>40</w:t>
            </w:r>
          </w:p>
        </w:tc>
        <w:tc>
          <w:tcPr>
            <w:tcW w:w="438" w:type="pct"/>
            <w:tcBorders>
              <w:bottom w:val="single" w:sz="12" w:space="0" w:color="auto"/>
            </w:tcBorders>
            <w:shd w:val="clear" w:color="auto" w:fill="auto"/>
          </w:tcPr>
          <w:p w14:paraId="44E3B430" w14:textId="77777777" w:rsidR="005E7CBC" w:rsidRPr="00097A86" w:rsidRDefault="005E7CBC" w:rsidP="00657E43">
            <w:pPr>
              <w:pStyle w:val="Tabletext"/>
            </w:pPr>
            <w:r w:rsidRPr="00097A86">
              <w:t>43</w:t>
            </w:r>
          </w:p>
        </w:tc>
        <w:tc>
          <w:tcPr>
            <w:tcW w:w="438" w:type="pct"/>
            <w:tcBorders>
              <w:bottom w:val="single" w:sz="12" w:space="0" w:color="auto"/>
            </w:tcBorders>
            <w:shd w:val="clear" w:color="auto" w:fill="auto"/>
          </w:tcPr>
          <w:p w14:paraId="6E847D6F" w14:textId="77777777" w:rsidR="005E7CBC" w:rsidRPr="00097A86" w:rsidRDefault="005E7CBC" w:rsidP="00657E43">
            <w:pPr>
              <w:pStyle w:val="Tabletext"/>
            </w:pPr>
            <w:r w:rsidRPr="00097A86">
              <w:t>57</w:t>
            </w:r>
          </w:p>
        </w:tc>
        <w:tc>
          <w:tcPr>
            <w:tcW w:w="437" w:type="pct"/>
            <w:tcBorders>
              <w:bottom w:val="single" w:sz="12" w:space="0" w:color="auto"/>
            </w:tcBorders>
            <w:shd w:val="clear" w:color="auto" w:fill="auto"/>
          </w:tcPr>
          <w:p w14:paraId="6BCD1005" w14:textId="77777777" w:rsidR="005E7CBC" w:rsidRPr="00097A86" w:rsidRDefault="005E7CBC" w:rsidP="00657E43">
            <w:pPr>
              <w:pStyle w:val="Tabletext"/>
            </w:pPr>
            <w:r w:rsidRPr="00097A86">
              <w:t>45</w:t>
            </w:r>
          </w:p>
        </w:tc>
        <w:tc>
          <w:tcPr>
            <w:tcW w:w="463" w:type="pct"/>
            <w:tcBorders>
              <w:bottom w:val="single" w:sz="12" w:space="0" w:color="auto"/>
            </w:tcBorders>
            <w:shd w:val="clear" w:color="auto" w:fill="auto"/>
          </w:tcPr>
          <w:p w14:paraId="34EC8408" w14:textId="77777777" w:rsidR="005E7CBC" w:rsidRPr="00097A86" w:rsidRDefault="005E7CBC" w:rsidP="00657E43">
            <w:pPr>
              <w:pStyle w:val="Tabletext"/>
            </w:pPr>
            <w:r w:rsidRPr="00097A86">
              <w:t>10</w:t>
            </w:r>
          </w:p>
        </w:tc>
        <w:tc>
          <w:tcPr>
            <w:tcW w:w="446" w:type="pct"/>
            <w:tcBorders>
              <w:bottom w:val="single" w:sz="12" w:space="0" w:color="auto"/>
            </w:tcBorders>
            <w:shd w:val="clear" w:color="auto" w:fill="auto"/>
          </w:tcPr>
          <w:p w14:paraId="7091F641" w14:textId="77777777" w:rsidR="005E7CBC" w:rsidRPr="00097A86" w:rsidRDefault="005E7CBC" w:rsidP="00657E43">
            <w:pPr>
              <w:pStyle w:val="Tabletext"/>
            </w:pPr>
            <w:r w:rsidRPr="00097A86">
              <w:t>15</w:t>
            </w:r>
          </w:p>
        </w:tc>
        <w:tc>
          <w:tcPr>
            <w:tcW w:w="473" w:type="pct"/>
            <w:tcBorders>
              <w:bottom w:val="single" w:sz="12" w:space="0" w:color="auto"/>
            </w:tcBorders>
            <w:shd w:val="clear" w:color="auto" w:fill="auto"/>
          </w:tcPr>
          <w:p w14:paraId="2AA1032A" w14:textId="77777777" w:rsidR="005E7CBC" w:rsidRPr="00097A86" w:rsidRDefault="005E7CBC" w:rsidP="00657E43">
            <w:pPr>
              <w:pStyle w:val="Tabletext"/>
            </w:pPr>
            <w:r w:rsidRPr="00097A86">
              <w:t>43</w:t>
            </w:r>
          </w:p>
        </w:tc>
      </w:tr>
    </w:tbl>
    <w:p w14:paraId="5D535AAF" w14:textId="77777777" w:rsidR="00AC64A0" w:rsidRPr="00097A86" w:rsidRDefault="00AC64A0" w:rsidP="00D22D3F">
      <w:pPr>
        <w:pStyle w:val="subsection"/>
      </w:pPr>
      <w:r w:rsidRPr="00097A86">
        <w:tab/>
        <w:t>(3)</w:t>
      </w:r>
      <w:r w:rsidRPr="00097A86">
        <w:tab/>
        <w:t xml:space="preserve">For </w:t>
      </w:r>
      <w:r w:rsidR="00AC0276" w:rsidRPr="00097A86">
        <w:t>paragraph</w:t>
      </w:r>
      <w:r w:rsidR="00097A86">
        <w:t> </w:t>
      </w:r>
      <w:r w:rsidR="00AC0276" w:rsidRPr="00097A86">
        <w:t>5.9(2)(a)</w:t>
      </w:r>
      <w:r w:rsidRPr="00097A86">
        <w:t>, if the landfill is permitted to receive only:</w:t>
      </w:r>
    </w:p>
    <w:p w14:paraId="61CACFE7" w14:textId="77777777" w:rsidR="00AC64A0" w:rsidRPr="00097A86" w:rsidRDefault="00AC64A0" w:rsidP="00D22D3F">
      <w:pPr>
        <w:pStyle w:val="paragraph"/>
      </w:pPr>
      <w:r w:rsidRPr="00097A86">
        <w:tab/>
        <w:t>(a)</w:t>
      </w:r>
      <w:r w:rsidRPr="00097A86">
        <w:tab/>
        <w:t>non</w:t>
      </w:r>
      <w:r w:rsidR="00097A86">
        <w:noBreakHyphen/>
      </w:r>
      <w:r w:rsidRPr="00097A86">
        <w:t>putrescible waste; or</w:t>
      </w:r>
    </w:p>
    <w:p w14:paraId="3C96B313" w14:textId="77777777" w:rsidR="00AC64A0" w:rsidRPr="00097A86" w:rsidRDefault="00AC64A0" w:rsidP="00D22D3F">
      <w:pPr>
        <w:pStyle w:val="paragraph"/>
      </w:pPr>
      <w:r w:rsidRPr="00097A86">
        <w:tab/>
        <w:t>(b)</w:t>
      </w:r>
      <w:r w:rsidRPr="00097A86">
        <w:tab/>
        <w:t>commercial and industrial waste and construction and demolition waste;</w:t>
      </w:r>
    </w:p>
    <w:p w14:paraId="7C60B7CA" w14:textId="77777777" w:rsidR="00AC64A0" w:rsidRPr="00097A86" w:rsidRDefault="00AC64A0" w:rsidP="00D22D3F">
      <w:pPr>
        <w:pStyle w:val="paragraph"/>
      </w:pPr>
      <w:r w:rsidRPr="00097A86">
        <w:lastRenderedPageBreak/>
        <w:tab/>
      </w:r>
      <w:r w:rsidRPr="00097A86">
        <w:tab/>
        <w:t>the waste may be assumed to consist of only commercial and industrial waste and construction and demolition waste.</w:t>
      </w:r>
    </w:p>
    <w:p w14:paraId="2577C30F" w14:textId="77777777" w:rsidR="004E60C0" w:rsidRPr="00097A86" w:rsidRDefault="004E60C0" w:rsidP="004E60C0">
      <w:pPr>
        <w:pStyle w:val="subsection"/>
      </w:pPr>
      <w:r w:rsidRPr="00097A86">
        <w:tab/>
        <w:t>(4)</w:t>
      </w:r>
      <w:r w:rsidRPr="00097A86">
        <w:tab/>
        <w:t xml:space="preserve">If </w:t>
      </w:r>
      <w:r w:rsidR="00097A86">
        <w:t>subsection (</w:t>
      </w:r>
      <w:r w:rsidRPr="00097A86">
        <w:t>3) applies, the tonnage of each waste stream mentioned in column 1 of the following table must be estimated:</w:t>
      </w:r>
    </w:p>
    <w:p w14:paraId="7E82E7E5" w14:textId="77777777" w:rsidR="004E60C0" w:rsidRPr="00097A86" w:rsidRDefault="004E60C0" w:rsidP="004E60C0">
      <w:pPr>
        <w:pStyle w:val="paragraph"/>
      </w:pPr>
      <w:r w:rsidRPr="00097A86">
        <w:tab/>
        <w:t>(a)</w:t>
      </w:r>
      <w:r w:rsidRPr="00097A86">
        <w:tab/>
        <w:t>if the operator of the landfill is required, under a law of the State or Territory in which the landfill is located, to collect data on tonnage of waste received at the landfill according to the waste streams set out in column 1—by using that data; or</w:t>
      </w:r>
    </w:p>
    <w:p w14:paraId="7F072709" w14:textId="77777777" w:rsidR="004E60C0" w:rsidRPr="00097A86" w:rsidRDefault="004E60C0" w:rsidP="004E60C0">
      <w:pPr>
        <w:pStyle w:val="paragraph"/>
      </w:pPr>
      <w:r w:rsidRPr="00097A86">
        <w:tab/>
        <w:t>(b)</w:t>
      </w:r>
      <w:r w:rsidRPr="00097A86">
        <w:tab/>
        <w:t xml:space="preserve">if </w:t>
      </w:r>
      <w:r w:rsidR="00097A86">
        <w:t>paragraph (</w:t>
      </w:r>
      <w:r w:rsidRPr="00097A86">
        <w:t>a) does not apply and the operator of the landfill is able to estimate, in accordance with one of the criteria set out in section</w:t>
      </w:r>
      <w:r w:rsidR="00097A86">
        <w:t> </w:t>
      </w:r>
      <w:r w:rsidRPr="00097A86">
        <w:t>5.5, the tonnage of the waste streams set out in column 1—by using that data; or</w:t>
      </w:r>
    </w:p>
    <w:p w14:paraId="5071855F" w14:textId="77777777" w:rsidR="004E60C0" w:rsidRPr="00097A86" w:rsidRDefault="004E60C0" w:rsidP="004E60C0">
      <w:pPr>
        <w:pStyle w:val="paragraph"/>
      </w:pPr>
      <w:r w:rsidRPr="00097A86">
        <w:tab/>
        <w:t>(c)</w:t>
      </w:r>
      <w:r w:rsidRPr="00097A86">
        <w:tab/>
        <w:t xml:space="preserve">if </w:t>
      </w:r>
      <w:r w:rsidR="00097A86">
        <w:t>paragraphs (</w:t>
      </w:r>
      <w:r w:rsidRPr="00097A86">
        <w:t>a) and (b) do not apply—by using the percentage values in columns 2 to 9 for the State or Territory in which the landfill is located for each waste stream in column 1.</w:t>
      </w:r>
    </w:p>
    <w:p w14:paraId="2E166627" w14:textId="77777777" w:rsidR="004E60C0" w:rsidRPr="00097A86" w:rsidRDefault="004E60C0" w:rsidP="004E60C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79"/>
        <w:gridCol w:w="1693"/>
        <w:gridCol w:w="742"/>
        <w:gridCol w:w="742"/>
        <w:gridCol w:w="742"/>
        <w:gridCol w:w="728"/>
        <w:gridCol w:w="742"/>
        <w:gridCol w:w="770"/>
        <w:gridCol w:w="742"/>
        <w:gridCol w:w="733"/>
      </w:tblGrid>
      <w:tr w:rsidR="004E60C0" w:rsidRPr="00097A86" w14:paraId="0978864A" w14:textId="77777777" w:rsidTr="00C20CC2">
        <w:trPr>
          <w:tblHeader/>
        </w:trPr>
        <w:tc>
          <w:tcPr>
            <w:tcW w:w="5000" w:type="pct"/>
            <w:gridSpan w:val="10"/>
            <w:tcBorders>
              <w:top w:val="single" w:sz="12" w:space="0" w:color="auto"/>
              <w:bottom w:val="single" w:sz="6" w:space="0" w:color="auto"/>
            </w:tcBorders>
            <w:shd w:val="clear" w:color="auto" w:fill="auto"/>
          </w:tcPr>
          <w:p w14:paraId="2C59BB70" w14:textId="77777777" w:rsidR="004E60C0" w:rsidRPr="00097A86" w:rsidRDefault="004E60C0" w:rsidP="004E60C0">
            <w:pPr>
              <w:pStyle w:val="TableHeading"/>
            </w:pPr>
            <w:r w:rsidRPr="00097A86">
              <w:t>Waste streams and estimation of tonnage</w:t>
            </w:r>
          </w:p>
        </w:tc>
      </w:tr>
      <w:tr w:rsidR="004E60C0" w:rsidRPr="00097A86" w14:paraId="70043111" w14:textId="77777777" w:rsidTr="00C20CC2">
        <w:trPr>
          <w:tblHeader/>
        </w:trPr>
        <w:tc>
          <w:tcPr>
            <w:tcW w:w="409" w:type="pct"/>
            <w:tcBorders>
              <w:top w:val="single" w:sz="6" w:space="0" w:color="auto"/>
              <w:bottom w:val="nil"/>
            </w:tcBorders>
            <w:shd w:val="clear" w:color="auto" w:fill="auto"/>
          </w:tcPr>
          <w:p w14:paraId="6FC48D1C" w14:textId="77777777" w:rsidR="004E60C0" w:rsidRPr="00097A86" w:rsidRDefault="004E60C0" w:rsidP="004E60C0">
            <w:pPr>
              <w:pStyle w:val="TableHeading"/>
            </w:pPr>
            <w:r w:rsidRPr="00097A86">
              <w:t>Item</w:t>
            </w:r>
          </w:p>
        </w:tc>
        <w:tc>
          <w:tcPr>
            <w:tcW w:w="1019" w:type="pct"/>
            <w:tcBorders>
              <w:top w:val="single" w:sz="6" w:space="0" w:color="auto"/>
              <w:bottom w:val="nil"/>
            </w:tcBorders>
            <w:shd w:val="clear" w:color="auto" w:fill="auto"/>
          </w:tcPr>
          <w:p w14:paraId="62666F45" w14:textId="77777777" w:rsidR="004E60C0" w:rsidRPr="00097A86" w:rsidRDefault="004E60C0" w:rsidP="004E60C0">
            <w:pPr>
              <w:pStyle w:val="TableHeading"/>
            </w:pPr>
            <w:r w:rsidRPr="00097A86">
              <w:t>Col. 1</w:t>
            </w:r>
          </w:p>
        </w:tc>
        <w:tc>
          <w:tcPr>
            <w:tcW w:w="446" w:type="pct"/>
            <w:tcBorders>
              <w:top w:val="single" w:sz="6" w:space="0" w:color="auto"/>
              <w:bottom w:val="nil"/>
            </w:tcBorders>
            <w:shd w:val="clear" w:color="auto" w:fill="auto"/>
          </w:tcPr>
          <w:p w14:paraId="0EC78CE6" w14:textId="77777777" w:rsidR="004E60C0" w:rsidRPr="00097A86" w:rsidRDefault="004E60C0" w:rsidP="004E60C0">
            <w:pPr>
              <w:pStyle w:val="TableHeading"/>
              <w:jc w:val="right"/>
            </w:pPr>
            <w:r w:rsidRPr="00097A86">
              <w:t>Col. 2</w:t>
            </w:r>
          </w:p>
        </w:tc>
        <w:tc>
          <w:tcPr>
            <w:tcW w:w="446" w:type="pct"/>
            <w:tcBorders>
              <w:top w:val="single" w:sz="6" w:space="0" w:color="auto"/>
              <w:bottom w:val="nil"/>
            </w:tcBorders>
            <w:shd w:val="clear" w:color="auto" w:fill="auto"/>
          </w:tcPr>
          <w:p w14:paraId="18751D70" w14:textId="77777777" w:rsidR="004E60C0" w:rsidRPr="00097A86" w:rsidRDefault="004E60C0" w:rsidP="004E60C0">
            <w:pPr>
              <w:pStyle w:val="TableHeading"/>
              <w:jc w:val="right"/>
            </w:pPr>
            <w:r w:rsidRPr="00097A86">
              <w:t>Col. 3</w:t>
            </w:r>
          </w:p>
        </w:tc>
        <w:tc>
          <w:tcPr>
            <w:tcW w:w="446" w:type="pct"/>
            <w:tcBorders>
              <w:top w:val="single" w:sz="6" w:space="0" w:color="auto"/>
              <w:bottom w:val="nil"/>
            </w:tcBorders>
            <w:shd w:val="clear" w:color="auto" w:fill="auto"/>
          </w:tcPr>
          <w:p w14:paraId="5FF708E8" w14:textId="77777777" w:rsidR="004E60C0" w:rsidRPr="00097A86" w:rsidRDefault="004E60C0" w:rsidP="004E60C0">
            <w:pPr>
              <w:pStyle w:val="TableHeading"/>
              <w:jc w:val="right"/>
            </w:pPr>
            <w:r w:rsidRPr="00097A86">
              <w:t>Col. 4</w:t>
            </w:r>
          </w:p>
        </w:tc>
        <w:tc>
          <w:tcPr>
            <w:tcW w:w="438" w:type="pct"/>
            <w:tcBorders>
              <w:top w:val="single" w:sz="6" w:space="0" w:color="auto"/>
              <w:bottom w:val="nil"/>
            </w:tcBorders>
            <w:shd w:val="clear" w:color="auto" w:fill="auto"/>
          </w:tcPr>
          <w:p w14:paraId="231DA777" w14:textId="77777777" w:rsidR="004E60C0" w:rsidRPr="00097A86" w:rsidRDefault="004E60C0" w:rsidP="004E60C0">
            <w:pPr>
              <w:pStyle w:val="TableHeading"/>
              <w:jc w:val="right"/>
            </w:pPr>
            <w:r w:rsidRPr="00097A86">
              <w:t>Col. 5</w:t>
            </w:r>
          </w:p>
        </w:tc>
        <w:tc>
          <w:tcPr>
            <w:tcW w:w="446" w:type="pct"/>
            <w:tcBorders>
              <w:top w:val="single" w:sz="6" w:space="0" w:color="auto"/>
              <w:bottom w:val="nil"/>
            </w:tcBorders>
            <w:shd w:val="clear" w:color="auto" w:fill="auto"/>
          </w:tcPr>
          <w:p w14:paraId="43AE4B62" w14:textId="77777777" w:rsidR="004E60C0" w:rsidRPr="00097A86" w:rsidRDefault="004E60C0" w:rsidP="004E60C0">
            <w:pPr>
              <w:pStyle w:val="TableHeading"/>
              <w:jc w:val="right"/>
            </w:pPr>
            <w:r w:rsidRPr="00097A86">
              <w:t>Col. 6</w:t>
            </w:r>
          </w:p>
        </w:tc>
        <w:tc>
          <w:tcPr>
            <w:tcW w:w="463" w:type="pct"/>
            <w:tcBorders>
              <w:top w:val="single" w:sz="6" w:space="0" w:color="auto"/>
              <w:bottom w:val="nil"/>
            </w:tcBorders>
            <w:shd w:val="clear" w:color="auto" w:fill="auto"/>
          </w:tcPr>
          <w:p w14:paraId="108ECF90" w14:textId="77777777" w:rsidR="004E60C0" w:rsidRPr="00097A86" w:rsidRDefault="004E60C0" w:rsidP="004E60C0">
            <w:pPr>
              <w:pStyle w:val="TableHeading"/>
              <w:jc w:val="right"/>
            </w:pPr>
            <w:r w:rsidRPr="00097A86">
              <w:t>Col. 7</w:t>
            </w:r>
          </w:p>
        </w:tc>
        <w:tc>
          <w:tcPr>
            <w:tcW w:w="446" w:type="pct"/>
            <w:tcBorders>
              <w:top w:val="single" w:sz="6" w:space="0" w:color="auto"/>
              <w:bottom w:val="nil"/>
            </w:tcBorders>
            <w:shd w:val="clear" w:color="auto" w:fill="auto"/>
          </w:tcPr>
          <w:p w14:paraId="51BD7C70" w14:textId="77777777" w:rsidR="004E60C0" w:rsidRPr="00097A86" w:rsidRDefault="004E60C0" w:rsidP="004E60C0">
            <w:pPr>
              <w:pStyle w:val="TableHeading"/>
              <w:jc w:val="right"/>
            </w:pPr>
            <w:r w:rsidRPr="00097A86">
              <w:t>Col. 8</w:t>
            </w:r>
          </w:p>
        </w:tc>
        <w:tc>
          <w:tcPr>
            <w:tcW w:w="440" w:type="pct"/>
            <w:tcBorders>
              <w:top w:val="single" w:sz="6" w:space="0" w:color="auto"/>
              <w:bottom w:val="nil"/>
            </w:tcBorders>
            <w:shd w:val="clear" w:color="auto" w:fill="auto"/>
          </w:tcPr>
          <w:p w14:paraId="6D5BA635" w14:textId="77777777" w:rsidR="004E60C0" w:rsidRPr="00097A86" w:rsidRDefault="004E60C0" w:rsidP="004E60C0">
            <w:pPr>
              <w:pStyle w:val="TableHeading"/>
              <w:jc w:val="right"/>
            </w:pPr>
            <w:r w:rsidRPr="00097A86">
              <w:t>Col. 9</w:t>
            </w:r>
          </w:p>
        </w:tc>
      </w:tr>
      <w:tr w:rsidR="004E60C0" w:rsidRPr="00097A86" w14:paraId="37724C7F" w14:textId="77777777" w:rsidTr="00C20CC2">
        <w:trPr>
          <w:tblHeader/>
        </w:trPr>
        <w:tc>
          <w:tcPr>
            <w:tcW w:w="409" w:type="pct"/>
            <w:tcBorders>
              <w:top w:val="nil"/>
              <w:bottom w:val="single" w:sz="12" w:space="0" w:color="auto"/>
            </w:tcBorders>
            <w:shd w:val="clear" w:color="auto" w:fill="auto"/>
          </w:tcPr>
          <w:p w14:paraId="6BDB5614" w14:textId="77777777" w:rsidR="004E60C0" w:rsidRPr="00097A86" w:rsidRDefault="004E60C0" w:rsidP="004E60C0">
            <w:pPr>
              <w:pStyle w:val="TableHeading"/>
            </w:pPr>
          </w:p>
        </w:tc>
        <w:tc>
          <w:tcPr>
            <w:tcW w:w="1019" w:type="pct"/>
            <w:tcBorders>
              <w:top w:val="nil"/>
              <w:bottom w:val="single" w:sz="12" w:space="0" w:color="auto"/>
            </w:tcBorders>
            <w:shd w:val="clear" w:color="auto" w:fill="auto"/>
          </w:tcPr>
          <w:p w14:paraId="588235AD" w14:textId="77777777" w:rsidR="004E60C0" w:rsidRPr="00097A86" w:rsidRDefault="004E60C0" w:rsidP="004E60C0">
            <w:pPr>
              <w:pStyle w:val="TableHeading"/>
            </w:pPr>
            <w:r w:rsidRPr="00097A86">
              <w:t>Waste stream</w:t>
            </w:r>
          </w:p>
        </w:tc>
        <w:tc>
          <w:tcPr>
            <w:tcW w:w="446" w:type="pct"/>
            <w:tcBorders>
              <w:top w:val="nil"/>
              <w:bottom w:val="single" w:sz="12" w:space="0" w:color="auto"/>
            </w:tcBorders>
            <w:shd w:val="clear" w:color="auto" w:fill="auto"/>
          </w:tcPr>
          <w:p w14:paraId="165203CB" w14:textId="77777777" w:rsidR="004E60C0" w:rsidRPr="00097A86" w:rsidRDefault="004E60C0" w:rsidP="004E60C0">
            <w:pPr>
              <w:pStyle w:val="TableHeading"/>
              <w:jc w:val="right"/>
            </w:pPr>
            <w:r w:rsidRPr="00097A86">
              <w:t>NSW</w:t>
            </w:r>
            <w:r w:rsidRPr="00097A86">
              <w:br/>
              <w:t>%</w:t>
            </w:r>
          </w:p>
        </w:tc>
        <w:tc>
          <w:tcPr>
            <w:tcW w:w="446" w:type="pct"/>
            <w:tcBorders>
              <w:top w:val="nil"/>
              <w:bottom w:val="single" w:sz="12" w:space="0" w:color="auto"/>
            </w:tcBorders>
            <w:shd w:val="clear" w:color="auto" w:fill="auto"/>
          </w:tcPr>
          <w:p w14:paraId="63684355" w14:textId="77777777" w:rsidR="004E60C0" w:rsidRPr="00097A86" w:rsidRDefault="004E60C0" w:rsidP="004E60C0">
            <w:pPr>
              <w:pStyle w:val="TableHeading"/>
              <w:jc w:val="right"/>
            </w:pPr>
            <w:r w:rsidRPr="00097A86">
              <w:t>VIC</w:t>
            </w:r>
            <w:r w:rsidRPr="00097A86">
              <w:br/>
              <w:t>%</w:t>
            </w:r>
          </w:p>
        </w:tc>
        <w:tc>
          <w:tcPr>
            <w:tcW w:w="446" w:type="pct"/>
            <w:tcBorders>
              <w:top w:val="nil"/>
              <w:bottom w:val="single" w:sz="12" w:space="0" w:color="auto"/>
            </w:tcBorders>
            <w:shd w:val="clear" w:color="auto" w:fill="auto"/>
          </w:tcPr>
          <w:p w14:paraId="31EC03BF" w14:textId="77777777" w:rsidR="004E60C0" w:rsidRPr="00097A86" w:rsidRDefault="004E60C0" w:rsidP="004E60C0">
            <w:pPr>
              <w:pStyle w:val="TableHeading"/>
              <w:jc w:val="right"/>
            </w:pPr>
            <w:r w:rsidRPr="00097A86">
              <w:t>QLD</w:t>
            </w:r>
            <w:r w:rsidRPr="00097A86">
              <w:br/>
              <w:t>%</w:t>
            </w:r>
          </w:p>
        </w:tc>
        <w:tc>
          <w:tcPr>
            <w:tcW w:w="438" w:type="pct"/>
            <w:tcBorders>
              <w:top w:val="nil"/>
              <w:bottom w:val="single" w:sz="12" w:space="0" w:color="auto"/>
            </w:tcBorders>
            <w:shd w:val="clear" w:color="auto" w:fill="auto"/>
          </w:tcPr>
          <w:p w14:paraId="4658977E" w14:textId="77777777" w:rsidR="004E60C0" w:rsidRPr="00097A86" w:rsidRDefault="004E60C0" w:rsidP="004E60C0">
            <w:pPr>
              <w:pStyle w:val="TableHeading"/>
              <w:jc w:val="right"/>
            </w:pPr>
            <w:r w:rsidRPr="00097A86">
              <w:t>WA</w:t>
            </w:r>
            <w:r w:rsidRPr="00097A86">
              <w:br/>
              <w:t>%</w:t>
            </w:r>
          </w:p>
        </w:tc>
        <w:tc>
          <w:tcPr>
            <w:tcW w:w="446" w:type="pct"/>
            <w:tcBorders>
              <w:top w:val="nil"/>
              <w:bottom w:val="single" w:sz="12" w:space="0" w:color="auto"/>
            </w:tcBorders>
            <w:shd w:val="clear" w:color="auto" w:fill="auto"/>
          </w:tcPr>
          <w:p w14:paraId="4FB8A632" w14:textId="77777777" w:rsidR="004E60C0" w:rsidRPr="00097A86" w:rsidRDefault="004E60C0" w:rsidP="004E60C0">
            <w:pPr>
              <w:pStyle w:val="TableHeading"/>
              <w:jc w:val="right"/>
            </w:pPr>
            <w:r w:rsidRPr="00097A86">
              <w:t>SA</w:t>
            </w:r>
            <w:r w:rsidRPr="00097A86">
              <w:br/>
              <w:t>%</w:t>
            </w:r>
          </w:p>
        </w:tc>
        <w:tc>
          <w:tcPr>
            <w:tcW w:w="463" w:type="pct"/>
            <w:tcBorders>
              <w:top w:val="nil"/>
              <w:bottom w:val="single" w:sz="12" w:space="0" w:color="auto"/>
            </w:tcBorders>
            <w:shd w:val="clear" w:color="auto" w:fill="auto"/>
          </w:tcPr>
          <w:p w14:paraId="79CCBBCE" w14:textId="77777777" w:rsidR="004E60C0" w:rsidRPr="00097A86" w:rsidRDefault="004E60C0" w:rsidP="004E60C0">
            <w:pPr>
              <w:pStyle w:val="TableHeading"/>
              <w:jc w:val="right"/>
            </w:pPr>
            <w:r w:rsidRPr="00097A86">
              <w:t>TAS</w:t>
            </w:r>
            <w:r w:rsidRPr="00097A86">
              <w:br/>
              <w:t>%</w:t>
            </w:r>
          </w:p>
        </w:tc>
        <w:tc>
          <w:tcPr>
            <w:tcW w:w="446" w:type="pct"/>
            <w:tcBorders>
              <w:top w:val="nil"/>
              <w:bottom w:val="single" w:sz="12" w:space="0" w:color="auto"/>
            </w:tcBorders>
            <w:shd w:val="clear" w:color="auto" w:fill="auto"/>
          </w:tcPr>
          <w:p w14:paraId="3E4DC067" w14:textId="77777777" w:rsidR="004E60C0" w:rsidRPr="00097A86" w:rsidRDefault="004E60C0" w:rsidP="004E60C0">
            <w:pPr>
              <w:pStyle w:val="TableHeading"/>
              <w:jc w:val="right"/>
            </w:pPr>
            <w:r w:rsidRPr="00097A86">
              <w:t>ACT</w:t>
            </w:r>
            <w:r w:rsidRPr="00097A86">
              <w:br/>
              <w:t>%</w:t>
            </w:r>
          </w:p>
        </w:tc>
        <w:tc>
          <w:tcPr>
            <w:tcW w:w="440" w:type="pct"/>
            <w:tcBorders>
              <w:top w:val="nil"/>
              <w:bottom w:val="single" w:sz="12" w:space="0" w:color="auto"/>
            </w:tcBorders>
            <w:shd w:val="clear" w:color="auto" w:fill="auto"/>
          </w:tcPr>
          <w:p w14:paraId="47DAFEEB" w14:textId="77777777" w:rsidR="004E60C0" w:rsidRPr="00097A86" w:rsidRDefault="004E60C0" w:rsidP="004E60C0">
            <w:pPr>
              <w:pStyle w:val="TableHeading"/>
              <w:jc w:val="right"/>
            </w:pPr>
            <w:r w:rsidRPr="00097A86">
              <w:t>NT</w:t>
            </w:r>
            <w:r w:rsidRPr="00097A86">
              <w:br/>
              <w:t>%</w:t>
            </w:r>
          </w:p>
        </w:tc>
      </w:tr>
      <w:tr w:rsidR="004E60C0" w:rsidRPr="00097A86" w14:paraId="25410013" w14:textId="77777777" w:rsidTr="00C20CC2">
        <w:tc>
          <w:tcPr>
            <w:tcW w:w="409" w:type="pct"/>
            <w:tcBorders>
              <w:top w:val="single" w:sz="12" w:space="0" w:color="auto"/>
              <w:bottom w:val="single" w:sz="4" w:space="0" w:color="auto"/>
            </w:tcBorders>
            <w:shd w:val="clear" w:color="auto" w:fill="auto"/>
          </w:tcPr>
          <w:p w14:paraId="36ED76C9" w14:textId="77777777" w:rsidR="004E60C0" w:rsidRPr="00097A86" w:rsidRDefault="004E60C0" w:rsidP="004E60C0">
            <w:pPr>
              <w:pStyle w:val="Tabletext"/>
            </w:pPr>
            <w:r w:rsidRPr="00097A86">
              <w:t>1</w:t>
            </w:r>
          </w:p>
        </w:tc>
        <w:tc>
          <w:tcPr>
            <w:tcW w:w="1019" w:type="pct"/>
            <w:tcBorders>
              <w:top w:val="single" w:sz="12" w:space="0" w:color="auto"/>
              <w:bottom w:val="single" w:sz="4" w:space="0" w:color="auto"/>
            </w:tcBorders>
            <w:shd w:val="clear" w:color="auto" w:fill="auto"/>
          </w:tcPr>
          <w:p w14:paraId="4EF2BDE8" w14:textId="77777777" w:rsidR="004E60C0" w:rsidRPr="00097A86" w:rsidRDefault="004E60C0" w:rsidP="004E60C0">
            <w:pPr>
              <w:pStyle w:val="Tabletext"/>
            </w:pPr>
            <w:r w:rsidRPr="00097A86">
              <w:t>Commercial and industrial waste</w:t>
            </w:r>
          </w:p>
        </w:tc>
        <w:tc>
          <w:tcPr>
            <w:tcW w:w="446" w:type="pct"/>
            <w:tcBorders>
              <w:top w:val="single" w:sz="12" w:space="0" w:color="auto"/>
              <w:bottom w:val="single" w:sz="4" w:space="0" w:color="auto"/>
            </w:tcBorders>
            <w:shd w:val="clear" w:color="auto" w:fill="auto"/>
          </w:tcPr>
          <w:p w14:paraId="516C52A9" w14:textId="77777777" w:rsidR="004E60C0" w:rsidRPr="00097A86" w:rsidRDefault="004E60C0" w:rsidP="004E60C0">
            <w:pPr>
              <w:pStyle w:val="Tabletext"/>
              <w:jc w:val="right"/>
            </w:pPr>
            <w:r w:rsidRPr="00097A86">
              <w:t>61</w:t>
            </w:r>
          </w:p>
        </w:tc>
        <w:tc>
          <w:tcPr>
            <w:tcW w:w="446" w:type="pct"/>
            <w:tcBorders>
              <w:top w:val="single" w:sz="12" w:space="0" w:color="auto"/>
              <w:bottom w:val="single" w:sz="4" w:space="0" w:color="auto"/>
            </w:tcBorders>
            <w:shd w:val="clear" w:color="auto" w:fill="auto"/>
          </w:tcPr>
          <w:p w14:paraId="43ABEE04" w14:textId="77777777" w:rsidR="004E60C0" w:rsidRPr="00097A86" w:rsidRDefault="004E60C0" w:rsidP="004E60C0">
            <w:pPr>
              <w:pStyle w:val="Tabletext"/>
              <w:jc w:val="right"/>
            </w:pPr>
            <w:r w:rsidRPr="00097A86">
              <w:t>38</w:t>
            </w:r>
          </w:p>
        </w:tc>
        <w:tc>
          <w:tcPr>
            <w:tcW w:w="446" w:type="pct"/>
            <w:tcBorders>
              <w:top w:val="single" w:sz="12" w:space="0" w:color="auto"/>
              <w:bottom w:val="single" w:sz="4" w:space="0" w:color="auto"/>
            </w:tcBorders>
            <w:shd w:val="clear" w:color="auto" w:fill="auto"/>
          </w:tcPr>
          <w:p w14:paraId="35D6FA60" w14:textId="77777777" w:rsidR="004E60C0" w:rsidRPr="00097A86" w:rsidRDefault="004E60C0" w:rsidP="004E60C0">
            <w:pPr>
              <w:pStyle w:val="Tabletext"/>
              <w:jc w:val="right"/>
            </w:pPr>
            <w:r w:rsidRPr="00097A86">
              <w:t>25</w:t>
            </w:r>
          </w:p>
        </w:tc>
        <w:tc>
          <w:tcPr>
            <w:tcW w:w="438" w:type="pct"/>
            <w:tcBorders>
              <w:top w:val="single" w:sz="12" w:space="0" w:color="auto"/>
              <w:bottom w:val="single" w:sz="4" w:space="0" w:color="auto"/>
            </w:tcBorders>
            <w:shd w:val="clear" w:color="auto" w:fill="auto"/>
          </w:tcPr>
          <w:p w14:paraId="1350166F" w14:textId="77777777" w:rsidR="004E60C0" w:rsidRPr="00097A86" w:rsidRDefault="004E60C0" w:rsidP="004E60C0">
            <w:pPr>
              <w:pStyle w:val="Tabletext"/>
              <w:jc w:val="right"/>
            </w:pPr>
            <w:r w:rsidRPr="00097A86">
              <w:t>23</w:t>
            </w:r>
          </w:p>
        </w:tc>
        <w:tc>
          <w:tcPr>
            <w:tcW w:w="446" w:type="pct"/>
            <w:tcBorders>
              <w:top w:val="single" w:sz="12" w:space="0" w:color="auto"/>
              <w:bottom w:val="single" w:sz="4" w:space="0" w:color="auto"/>
            </w:tcBorders>
            <w:shd w:val="clear" w:color="auto" w:fill="auto"/>
          </w:tcPr>
          <w:p w14:paraId="027966D6" w14:textId="77777777" w:rsidR="004E60C0" w:rsidRPr="00097A86" w:rsidRDefault="004E60C0" w:rsidP="004E60C0">
            <w:pPr>
              <w:pStyle w:val="Tabletext"/>
              <w:jc w:val="right"/>
            </w:pPr>
            <w:r w:rsidRPr="00097A86">
              <w:t>30</w:t>
            </w:r>
          </w:p>
        </w:tc>
        <w:tc>
          <w:tcPr>
            <w:tcW w:w="463" w:type="pct"/>
            <w:tcBorders>
              <w:top w:val="single" w:sz="12" w:space="0" w:color="auto"/>
              <w:bottom w:val="single" w:sz="4" w:space="0" w:color="auto"/>
            </w:tcBorders>
            <w:shd w:val="clear" w:color="auto" w:fill="auto"/>
          </w:tcPr>
          <w:p w14:paraId="066AD04D" w14:textId="77777777" w:rsidR="004E60C0" w:rsidRPr="00097A86" w:rsidRDefault="004E60C0" w:rsidP="004E60C0">
            <w:pPr>
              <w:pStyle w:val="Tabletext"/>
              <w:jc w:val="right"/>
            </w:pPr>
            <w:r w:rsidRPr="00097A86">
              <w:t>77</w:t>
            </w:r>
          </w:p>
        </w:tc>
        <w:tc>
          <w:tcPr>
            <w:tcW w:w="446" w:type="pct"/>
            <w:tcBorders>
              <w:top w:val="single" w:sz="12" w:space="0" w:color="auto"/>
              <w:bottom w:val="single" w:sz="4" w:space="0" w:color="auto"/>
            </w:tcBorders>
            <w:shd w:val="clear" w:color="auto" w:fill="auto"/>
          </w:tcPr>
          <w:p w14:paraId="4AC5C210" w14:textId="77777777" w:rsidR="004E60C0" w:rsidRPr="00097A86" w:rsidRDefault="004E60C0" w:rsidP="004E60C0">
            <w:pPr>
              <w:pStyle w:val="Tabletext"/>
              <w:jc w:val="right"/>
            </w:pPr>
            <w:r w:rsidRPr="00097A86">
              <w:t>74</w:t>
            </w:r>
          </w:p>
        </w:tc>
        <w:tc>
          <w:tcPr>
            <w:tcW w:w="440" w:type="pct"/>
            <w:tcBorders>
              <w:top w:val="single" w:sz="12" w:space="0" w:color="auto"/>
              <w:bottom w:val="single" w:sz="4" w:space="0" w:color="auto"/>
            </w:tcBorders>
            <w:shd w:val="clear" w:color="auto" w:fill="auto"/>
          </w:tcPr>
          <w:p w14:paraId="1FB2B11A" w14:textId="77777777" w:rsidR="004E60C0" w:rsidRPr="00097A86" w:rsidRDefault="004E60C0" w:rsidP="004E60C0">
            <w:pPr>
              <w:pStyle w:val="Tabletext"/>
              <w:jc w:val="right"/>
            </w:pPr>
            <w:r w:rsidRPr="00097A86">
              <w:t>25</w:t>
            </w:r>
          </w:p>
        </w:tc>
      </w:tr>
      <w:tr w:rsidR="004E60C0" w:rsidRPr="00097A86" w14:paraId="6FC49B2F" w14:textId="77777777" w:rsidTr="00C20CC2">
        <w:tc>
          <w:tcPr>
            <w:tcW w:w="409" w:type="pct"/>
            <w:tcBorders>
              <w:bottom w:val="single" w:sz="12" w:space="0" w:color="auto"/>
            </w:tcBorders>
            <w:shd w:val="clear" w:color="auto" w:fill="auto"/>
          </w:tcPr>
          <w:p w14:paraId="49AC9345" w14:textId="77777777" w:rsidR="004E60C0" w:rsidRPr="00097A86" w:rsidRDefault="004E60C0" w:rsidP="004E60C0">
            <w:pPr>
              <w:pStyle w:val="Tabletext"/>
            </w:pPr>
            <w:r w:rsidRPr="00097A86">
              <w:t>2</w:t>
            </w:r>
          </w:p>
        </w:tc>
        <w:tc>
          <w:tcPr>
            <w:tcW w:w="1019" w:type="pct"/>
            <w:tcBorders>
              <w:bottom w:val="single" w:sz="12" w:space="0" w:color="auto"/>
            </w:tcBorders>
            <w:shd w:val="clear" w:color="auto" w:fill="auto"/>
          </w:tcPr>
          <w:p w14:paraId="7C9AAB02" w14:textId="77777777" w:rsidR="004E60C0" w:rsidRPr="00097A86" w:rsidRDefault="004E60C0" w:rsidP="004E60C0">
            <w:pPr>
              <w:pStyle w:val="Tabletext"/>
            </w:pPr>
            <w:r w:rsidRPr="00097A86">
              <w:t>Construction and demolition waste</w:t>
            </w:r>
          </w:p>
        </w:tc>
        <w:tc>
          <w:tcPr>
            <w:tcW w:w="446" w:type="pct"/>
            <w:tcBorders>
              <w:bottom w:val="single" w:sz="12" w:space="0" w:color="auto"/>
            </w:tcBorders>
            <w:shd w:val="clear" w:color="auto" w:fill="auto"/>
          </w:tcPr>
          <w:p w14:paraId="549F6FF9" w14:textId="77777777" w:rsidR="004E60C0" w:rsidRPr="00097A86" w:rsidRDefault="004E60C0" w:rsidP="004E60C0">
            <w:pPr>
              <w:pStyle w:val="Tabletext"/>
              <w:jc w:val="right"/>
            </w:pPr>
            <w:r w:rsidRPr="00097A86">
              <w:t>39</w:t>
            </w:r>
          </w:p>
        </w:tc>
        <w:tc>
          <w:tcPr>
            <w:tcW w:w="446" w:type="pct"/>
            <w:tcBorders>
              <w:bottom w:val="single" w:sz="12" w:space="0" w:color="auto"/>
            </w:tcBorders>
            <w:shd w:val="clear" w:color="auto" w:fill="auto"/>
          </w:tcPr>
          <w:p w14:paraId="0397943A" w14:textId="77777777" w:rsidR="004E60C0" w:rsidRPr="00097A86" w:rsidRDefault="004E60C0" w:rsidP="004E60C0">
            <w:pPr>
              <w:pStyle w:val="Tabletext"/>
              <w:jc w:val="right"/>
            </w:pPr>
            <w:r w:rsidRPr="00097A86">
              <w:t>62</w:t>
            </w:r>
          </w:p>
        </w:tc>
        <w:tc>
          <w:tcPr>
            <w:tcW w:w="446" w:type="pct"/>
            <w:tcBorders>
              <w:bottom w:val="single" w:sz="12" w:space="0" w:color="auto"/>
            </w:tcBorders>
            <w:shd w:val="clear" w:color="auto" w:fill="auto"/>
          </w:tcPr>
          <w:p w14:paraId="691E36B5" w14:textId="77777777" w:rsidR="004E60C0" w:rsidRPr="00097A86" w:rsidRDefault="004E60C0" w:rsidP="004E60C0">
            <w:pPr>
              <w:pStyle w:val="Tabletext"/>
              <w:jc w:val="right"/>
            </w:pPr>
            <w:r w:rsidRPr="00097A86">
              <w:t>75</w:t>
            </w:r>
          </w:p>
        </w:tc>
        <w:tc>
          <w:tcPr>
            <w:tcW w:w="438" w:type="pct"/>
            <w:tcBorders>
              <w:bottom w:val="single" w:sz="12" w:space="0" w:color="auto"/>
            </w:tcBorders>
            <w:shd w:val="clear" w:color="auto" w:fill="auto"/>
          </w:tcPr>
          <w:p w14:paraId="47259C17" w14:textId="77777777" w:rsidR="004E60C0" w:rsidRPr="00097A86" w:rsidRDefault="004E60C0" w:rsidP="004E60C0">
            <w:pPr>
              <w:pStyle w:val="Tabletext"/>
              <w:jc w:val="right"/>
            </w:pPr>
            <w:r w:rsidRPr="00097A86">
              <w:t>77</w:t>
            </w:r>
          </w:p>
        </w:tc>
        <w:tc>
          <w:tcPr>
            <w:tcW w:w="446" w:type="pct"/>
            <w:tcBorders>
              <w:bottom w:val="single" w:sz="12" w:space="0" w:color="auto"/>
            </w:tcBorders>
            <w:shd w:val="clear" w:color="auto" w:fill="auto"/>
          </w:tcPr>
          <w:p w14:paraId="08E1EC22" w14:textId="77777777" w:rsidR="004E60C0" w:rsidRPr="00097A86" w:rsidRDefault="004E60C0" w:rsidP="004E60C0">
            <w:pPr>
              <w:pStyle w:val="Tabletext"/>
              <w:jc w:val="right"/>
            </w:pPr>
            <w:r w:rsidRPr="00097A86">
              <w:t>70</w:t>
            </w:r>
          </w:p>
        </w:tc>
        <w:tc>
          <w:tcPr>
            <w:tcW w:w="463" w:type="pct"/>
            <w:tcBorders>
              <w:bottom w:val="single" w:sz="12" w:space="0" w:color="auto"/>
            </w:tcBorders>
            <w:shd w:val="clear" w:color="auto" w:fill="auto"/>
          </w:tcPr>
          <w:p w14:paraId="5E2C9CA8" w14:textId="77777777" w:rsidR="004E60C0" w:rsidRPr="00097A86" w:rsidRDefault="004E60C0" w:rsidP="004E60C0">
            <w:pPr>
              <w:pStyle w:val="Tabletext"/>
              <w:jc w:val="right"/>
            </w:pPr>
            <w:r w:rsidRPr="00097A86">
              <w:t>23</w:t>
            </w:r>
          </w:p>
        </w:tc>
        <w:tc>
          <w:tcPr>
            <w:tcW w:w="446" w:type="pct"/>
            <w:tcBorders>
              <w:bottom w:val="single" w:sz="12" w:space="0" w:color="auto"/>
            </w:tcBorders>
            <w:shd w:val="clear" w:color="auto" w:fill="auto"/>
          </w:tcPr>
          <w:p w14:paraId="7082BDBB" w14:textId="77777777" w:rsidR="004E60C0" w:rsidRPr="00097A86" w:rsidRDefault="004E60C0" w:rsidP="004E60C0">
            <w:pPr>
              <w:pStyle w:val="Tabletext"/>
              <w:jc w:val="right"/>
            </w:pPr>
            <w:r w:rsidRPr="00097A86">
              <w:t>26</w:t>
            </w:r>
          </w:p>
        </w:tc>
        <w:tc>
          <w:tcPr>
            <w:tcW w:w="440" w:type="pct"/>
            <w:tcBorders>
              <w:bottom w:val="single" w:sz="12" w:space="0" w:color="auto"/>
            </w:tcBorders>
            <w:shd w:val="clear" w:color="auto" w:fill="auto"/>
          </w:tcPr>
          <w:p w14:paraId="62B5B3EE" w14:textId="77777777" w:rsidR="004E60C0" w:rsidRPr="00097A86" w:rsidRDefault="004E60C0" w:rsidP="004E60C0">
            <w:pPr>
              <w:pStyle w:val="Tabletext"/>
              <w:jc w:val="right"/>
            </w:pPr>
            <w:r w:rsidRPr="00097A86">
              <w:t>75</w:t>
            </w:r>
          </w:p>
        </w:tc>
      </w:tr>
    </w:tbl>
    <w:p w14:paraId="64823F3A" w14:textId="77777777" w:rsidR="00B2006F" w:rsidRPr="00097A86" w:rsidRDefault="00B2006F" w:rsidP="00D22D3F">
      <w:pPr>
        <w:pStyle w:val="subsection"/>
      </w:pPr>
      <w:r w:rsidRPr="00097A86">
        <w:tab/>
        <w:t>(5)</w:t>
      </w:r>
      <w:r w:rsidRPr="00097A86">
        <w:tab/>
        <w:t xml:space="preserve">If </w:t>
      </w:r>
      <w:r w:rsidR="00097A86">
        <w:t>subsection (</w:t>
      </w:r>
      <w:r w:rsidRPr="00097A86">
        <w:t xml:space="preserve">3) applies and the landfill is permitted to receive only one of the waste streams set out in </w:t>
      </w:r>
      <w:r w:rsidR="004E60C0" w:rsidRPr="00097A86">
        <w:t>column 1</w:t>
      </w:r>
      <w:r w:rsidRPr="00097A86">
        <w:t xml:space="preserve"> of the table in </w:t>
      </w:r>
      <w:r w:rsidR="00097A86">
        <w:t>subsection (</w:t>
      </w:r>
      <w:r w:rsidRPr="00097A86">
        <w:t>4), that waste stream will be taken to constitute the total waste received.</w:t>
      </w:r>
    </w:p>
    <w:p w14:paraId="73C0764C" w14:textId="77777777" w:rsidR="004E60C0" w:rsidRPr="00097A86" w:rsidRDefault="004E60C0" w:rsidP="004E60C0">
      <w:pPr>
        <w:pStyle w:val="ActHead5"/>
      </w:pPr>
      <w:bookmarkStart w:id="531" w:name="_Toc13233963"/>
      <w:r w:rsidRPr="00097A86">
        <w:rPr>
          <w:rStyle w:val="CharSectno"/>
        </w:rPr>
        <w:t>5.10A</w:t>
      </w:r>
      <w:r w:rsidRPr="00097A86">
        <w:t xml:space="preserve">  Homogenous waste streams</w:t>
      </w:r>
      <w:bookmarkEnd w:id="531"/>
    </w:p>
    <w:p w14:paraId="398746D5" w14:textId="77777777" w:rsidR="004E60C0" w:rsidRPr="00097A86" w:rsidRDefault="004E60C0" w:rsidP="004E60C0">
      <w:pPr>
        <w:pStyle w:val="subsection"/>
      </w:pPr>
      <w:r w:rsidRPr="00097A86">
        <w:tab/>
        <w:t>(1)</w:t>
      </w:r>
      <w:r w:rsidRPr="00097A86">
        <w:tab/>
        <w:t>For paragraph</w:t>
      </w:r>
      <w:r w:rsidR="00097A86">
        <w:t> </w:t>
      </w:r>
      <w:r w:rsidRPr="00097A86">
        <w:t xml:space="preserve">5.9(1)(b), the homogenous waste streams have the characteristics mentioned in </w:t>
      </w:r>
      <w:r w:rsidR="00097A86">
        <w:t>subsection (</w:t>
      </w:r>
      <w:r w:rsidRPr="00097A86">
        <w:t>2) and are as follows:</w:t>
      </w:r>
    </w:p>
    <w:p w14:paraId="15B531B9" w14:textId="77777777" w:rsidR="004E60C0" w:rsidRPr="00097A86" w:rsidRDefault="004E60C0" w:rsidP="004E60C0">
      <w:pPr>
        <w:pStyle w:val="paragraph"/>
      </w:pPr>
      <w:r w:rsidRPr="00097A86">
        <w:tab/>
        <w:t>(a)</w:t>
      </w:r>
      <w:r w:rsidRPr="00097A86">
        <w:tab/>
        <w:t>alternative waste treatment residues;</w:t>
      </w:r>
    </w:p>
    <w:p w14:paraId="63413F9A" w14:textId="77777777" w:rsidR="004E60C0" w:rsidRPr="00097A86" w:rsidRDefault="004E60C0" w:rsidP="004E60C0">
      <w:pPr>
        <w:pStyle w:val="paragraph"/>
      </w:pPr>
      <w:r w:rsidRPr="00097A86">
        <w:tab/>
        <w:t>(b)</w:t>
      </w:r>
      <w:r w:rsidRPr="00097A86">
        <w:tab/>
        <w:t>shredder flock;</w:t>
      </w:r>
    </w:p>
    <w:p w14:paraId="5931D607" w14:textId="77777777" w:rsidR="004E60C0" w:rsidRPr="00097A86" w:rsidRDefault="004E60C0" w:rsidP="004E60C0">
      <w:pPr>
        <w:pStyle w:val="paragraph"/>
      </w:pPr>
      <w:r w:rsidRPr="00097A86">
        <w:tab/>
        <w:t>(c)</w:t>
      </w:r>
      <w:r w:rsidRPr="00097A86">
        <w:tab/>
        <w:t>inert waste.</w:t>
      </w:r>
    </w:p>
    <w:p w14:paraId="67ECB7A3" w14:textId="77777777" w:rsidR="004E60C0" w:rsidRPr="00097A86" w:rsidRDefault="004E60C0" w:rsidP="004E60C0">
      <w:pPr>
        <w:pStyle w:val="subsection"/>
      </w:pPr>
      <w:r w:rsidRPr="00097A86">
        <w:tab/>
        <w:t>(2)</w:t>
      </w:r>
      <w:r w:rsidRPr="00097A86">
        <w:tab/>
        <w:t>Homogenous waste streams have the following characteristics:</w:t>
      </w:r>
    </w:p>
    <w:p w14:paraId="7F4DD408" w14:textId="77777777" w:rsidR="004E60C0" w:rsidRPr="00097A86" w:rsidRDefault="004E60C0" w:rsidP="004E60C0">
      <w:pPr>
        <w:pStyle w:val="paragraph"/>
      </w:pPr>
      <w:r w:rsidRPr="00097A86">
        <w:tab/>
        <w:t>(a)</w:t>
      </w:r>
      <w:r w:rsidRPr="00097A86">
        <w:tab/>
        <w:t>they are from a single known and verifiable origin, as evidenced by invoices or, if delivery does not involve a commercial transaction, other delivery documentation;</w:t>
      </w:r>
    </w:p>
    <w:p w14:paraId="67CC45B8" w14:textId="77777777" w:rsidR="004E60C0" w:rsidRPr="00097A86" w:rsidRDefault="004E60C0" w:rsidP="004E60C0">
      <w:pPr>
        <w:pStyle w:val="paragraph"/>
      </w:pPr>
      <w:r w:rsidRPr="00097A86">
        <w:tab/>
        <w:t>(b)</w:t>
      </w:r>
      <w:r w:rsidRPr="00097A86">
        <w:tab/>
        <w:t>they are not extracted from a general waste stream;</w:t>
      </w:r>
    </w:p>
    <w:p w14:paraId="229B85C7" w14:textId="77777777" w:rsidR="004E60C0" w:rsidRPr="00097A86" w:rsidRDefault="004E60C0" w:rsidP="004E60C0">
      <w:pPr>
        <w:pStyle w:val="paragraph"/>
      </w:pPr>
      <w:r w:rsidRPr="00097A86">
        <w:tab/>
        <w:t>(c)</w:t>
      </w:r>
      <w:r w:rsidRPr="00097A86">
        <w:tab/>
        <w:t>they do not undergo compositional change between generation and delivery to a landfill;</w:t>
      </w:r>
    </w:p>
    <w:p w14:paraId="4367E647" w14:textId="77777777" w:rsidR="004E60C0" w:rsidRPr="00097A86" w:rsidRDefault="004E60C0" w:rsidP="004E60C0">
      <w:pPr>
        <w:pStyle w:val="paragraph"/>
      </w:pPr>
      <w:r w:rsidRPr="00097A86">
        <w:tab/>
        <w:t>(d)</w:t>
      </w:r>
      <w:r w:rsidRPr="00097A86">
        <w:tab/>
        <w:t xml:space="preserve">they are delivered in loads containing only the waste mentioned in </w:t>
      </w:r>
      <w:r w:rsidR="00097A86">
        <w:t>paragraph (</w:t>
      </w:r>
      <w:r w:rsidRPr="00097A86">
        <w:t>1)(a), (b) or (c).</w:t>
      </w:r>
    </w:p>
    <w:p w14:paraId="03FA1A79" w14:textId="77777777" w:rsidR="000C248B" w:rsidRPr="00097A86" w:rsidRDefault="000C248B" w:rsidP="000C248B">
      <w:pPr>
        <w:pStyle w:val="subsection"/>
      </w:pPr>
      <w:r w:rsidRPr="00097A86">
        <w:lastRenderedPageBreak/>
        <w:tab/>
        <w:t>(3)</w:t>
      </w:r>
      <w:r w:rsidRPr="00097A86">
        <w:tab/>
        <w:t>For paragraph</w:t>
      </w:r>
      <w:r w:rsidR="00097A86">
        <w:t> </w:t>
      </w:r>
      <w:r w:rsidRPr="00097A86">
        <w:t xml:space="preserve">5.9(2)(b), the tonnage of each homogenous waste stream mentioned in </w:t>
      </w:r>
      <w:r w:rsidR="00097A86">
        <w:t>subsection (</w:t>
      </w:r>
      <w:r w:rsidRPr="00097A86">
        <w:t>1) must be estimated:</w:t>
      </w:r>
    </w:p>
    <w:p w14:paraId="2CD63DEB" w14:textId="77777777" w:rsidR="000C248B" w:rsidRPr="00097A86" w:rsidRDefault="000C248B" w:rsidP="000C248B">
      <w:pPr>
        <w:pStyle w:val="paragraph"/>
      </w:pPr>
      <w:r w:rsidRPr="00097A86">
        <w:tab/>
        <w:t>(a)</w:t>
      </w:r>
      <w:r w:rsidRPr="00097A86">
        <w:tab/>
        <w:t>by using the amount of homogenous waste received at the landfill during the year as evidenced by invoices; or</w:t>
      </w:r>
    </w:p>
    <w:p w14:paraId="32122F6C" w14:textId="77777777" w:rsidR="000C248B" w:rsidRPr="00097A86" w:rsidRDefault="000C248B" w:rsidP="000C248B">
      <w:pPr>
        <w:pStyle w:val="paragraph"/>
      </w:pPr>
      <w:r w:rsidRPr="00097A86">
        <w:tab/>
        <w:t>(b)</w:t>
      </w:r>
      <w:r w:rsidRPr="00097A86">
        <w:tab/>
        <w:t>if the amount of homogenous waste received at the landfill during the year is measured in accordance with State or Territory legislation applying to the landfill—by using that measurement; or</w:t>
      </w:r>
    </w:p>
    <w:p w14:paraId="7EB20DE9" w14:textId="77777777" w:rsidR="000C248B" w:rsidRPr="00097A86" w:rsidRDefault="000C248B" w:rsidP="000C248B">
      <w:pPr>
        <w:pStyle w:val="paragraph"/>
      </w:pPr>
      <w:r w:rsidRPr="00097A86">
        <w:tab/>
        <w:t>(c)</w:t>
      </w:r>
      <w:r w:rsidRPr="00097A86">
        <w:tab/>
        <w:t>by using direct measurement of quantities of homogenous waste received at the landfill during the year using measuring equipment calibrated to a measurement requirement; or</w:t>
      </w:r>
    </w:p>
    <w:p w14:paraId="0FCC8F05" w14:textId="77777777" w:rsidR="000C248B" w:rsidRPr="00097A86" w:rsidRDefault="000C248B" w:rsidP="000C248B">
      <w:pPr>
        <w:pStyle w:val="paragraph"/>
      </w:pPr>
      <w:r w:rsidRPr="00097A86">
        <w:tab/>
        <w:t>(d)</w:t>
      </w:r>
      <w:r w:rsidRPr="00097A86">
        <w:tab/>
        <w:t>in accordance with industry estimation practices (such as the use of accepted industry weighbridges, receipts, invoices, other documents or records or population and per</w:t>
      </w:r>
      <w:r w:rsidR="00097A86">
        <w:noBreakHyphen/>
      </w:r>
      <w:r w:rsidRPr="00097A86">
        <w:t>capita waste generation rates).</w:t>
      </w:r>
    </w:p>
    <w:p w14:paraId="35977188" w14:textId="77777777" w:rsidR="003F0D4E" w:rsidRPr="00097A86" w:rsidRDefault="003F0D4E" w:rsidP="00D22D3F">
      <w:pPr>
        <w:pStyle w:val="ActHead5"/>
      </w:pPr>
      <w:bookmarkStart w:id="532" w:name="_Toc13233964"/>
      <w:r w:rsidRPr="00097A86">
        <w:rPr>
          <w:rStyle w:val="CharSectno"/>
        </w:rPr>
        <w:t>5.11</w:t>
      </w:r>
      <w:r w:rsidR="00D22D3F" w:rsidRPr="00097A86">
        <w:t xml:space="preserve">  </w:t>
      </w:r>
      <w:r w:rsidRPr="00097A86">
        <w:t>Waste mix types</w:t>
      </w:r>
      <w:bookmarkEnd w:id="532"/>
    </w:p>
    <w:p w14:paraId="0DEB4986" w14:textId="77777777" w:rsidR="003F0D4E" w:rsidRPr="00097A86" w:rsidRDefault="003F0D4E" w:rsidP="00D22D3F">
      <w:pPr>
        <w:pStyle w:val="subsection"/>
      </w:pPr>
      <w:r w:rsidRPr="00097A86">
        <w:tab/>
        <w:t>(1)</w:t>
      </w:r>
      <w:r w:rsidRPr="00097A86">
        <w:tab/>
        <w:t xml:space="preserve">For </w:t>
      </w:r>
      <w:r w:rsidR="0082181E" w:rsidRPr="00097A86">
        <w:t>subsection</w:t>
      </w:r>
      <w:r w:rsidR="00097A86">
        <w:t> </w:t>
      </w:r>
      <w:r w:rsidR="0082181E" w:rsidRPr="00097A86">
        <w:t>5.9(3)</w:t>
      </w:r>
      <w:r w:rsidRPr="00097A86">
        <w:t>, the waste mix types are as follows:</w:t>
      </w:r>
    </w:p>
    <w:p w14:paraId="1670485D" w14:textId="77777777" w:rsidR="003F0D4E" w:rsidRPr="00097A86" w:rsidRDefault="003F0D4E" w:rsidP="00D22D3F">
      <w:pPr>
        <w:pStyle w:val="paragraph"/>
      </w:pPr>
      <w:r w:rsidRPr="00097A86">
        <w:tab/>
        <w:t>(a)</w:t>
      </w:r>
      <w:r w:rsidRPr="00097A86">
        <w:tab/>
        <w:t>food;</w:t>
      </w:r>
    </w:p>
    <w:p w14:paraId="6C94D17A" w14:textId="77777777" w:rsidR="003F0D4E" w:rsidRPr="00097A86" w:rsidRDefault="003F0D4E" w:rsidP="00D22D3F">
      <w:pPr>
        <w:pStyle w:val="paragraph"/>
      </w:pPr>
      <w:r w:rsidRPr="00097A86">
        <w:tab/>
        <w:t>(b)</w:t>
      </w:r>
      <w:r w:rsidRPr="00097A86">
        <w:tab/>
        <w:t xml:space="preserve">paper and </w:t>
      </w:r>
      <w:r w:rsidR="004E60C0" w:rsidRPr="00097A86">
        <w:t>cardboard</w:t>
      </w:r>
      <w:r w:rsidRPr="00097A86">
        <w:t>;</w:t>
      </w:r>
    </w:p>
    <w:p w14:paraId="24353048" w14:textId="77777777" w:rsidR="003F0D4E" w:rsidRPr="00097A86" w:rsidRDefault="003F0D4E" w:rsidP="00D22D3F">
      <w:pPr>
        <w:pStyle w:val="paragraph"/>
      </w:pPr>
      <w:r w:rsidRPr="00097A86">
        <w:tab/>
        <w:t>(c)</w:t>
      </w:r>
      <w:r w:rsidRPr="00097A86">
        <w:tab/>
        <w:t>textiles;</w:t>
      </w:r>
    </w:p>
    <w:p w14:paraId="2789F07B" w14:textId="77777777" w:rsidR="003F0D4E" w:rsidRPr="00097A86" w:rsidRDefault="003F0D4E" w:rsidP="00D22D3F">
      <w:pPr>
        <w:pStyle w:val="paragraph"/>
      </w:pPr>
      <w:r w:rsidRPr="00097A86">
        <w:tab/>
        <w:t>(d)</w:t>
      </w:r>
      <w:r w:rsidRPr="00097A86">
        <w:tab/>
        <w:t>garden and park;</w:t>
      </w:r>
    </w:p>
    <w:p w14:paraId="71DB6C9B" w14:textId="77777777" w:rsidR="003F0D4E" w:rsidRPr="00097A86" w:rsidRDefault="003F0D4E" w:rsidP="00D22D3F">
      <w:pPr>
        <w:pStyle w:val="paragraph"/>
      </w:pPr>
      <w:r w:rsidRPr="00097A86">
        <w:tab/>
        <w:t>(e)</w:t>
      </w:r>
      <w:r w:rsidRPr="00097A86">
        <w:tab/>
        <w:t>wood and wood waste;</w:t>
      </w:r>
    </w:p>
    <w:p w14:paraId="09E272EB" w14:textId="77777777" w:rsidR="003F0D4E" w:rsidRPr="00097A86" w:rsidRDefault="003F0D4E" w:rsidP="00D22D3F">
      <w:pPr>
        <w:pStyle w:val="paragraph"/>
      </w:pPr>
      <w:r w:rsidRPr="00097A86">
        <w:tab/>
        <w:t>(f)</w:t>
      </w:r>
      <w:r w:rsidRPr="00097A86">
        <w:tab/>
        <w:t>sludge;</w:t>
      </w:r>
    </w:p>
    <w:p w14:paraId="4F5F578B" w14:textId="77777777" w:rsidR="003F0D4E" w:rsidRPr="00097A86" w:rsidRDefault="003F0D4E" w:rsidP="00D22D3F">
      <w:pPr>
        <w:pStyle w:val="paragraph"/>
      </w:pPr>
      <w:r w:rsidRPr="00097A86">
        <w:tab/>
        <w:t>(g)</w:t>
      </w:r>
      <w:r w:rsidRPr="00097A86">
        <w:tab/>
        <w:t>nappies;</w:t>
      </w:r>
    </w:p>
    <w:p w14:paraId="17AE55DA" w14:textId="77777777" w:rsidR="003F0D4E" w:rsidRPr="00097A86" w:rsidRDefault="003F0D4E" w:rsidP="00D22D3F">
      <w:pPr>
        <w:pStyle w:val="paragraph"/>
      </w:pPr>
      <w:r w:rsidRPr="00097A86">
        <w:tab/>
        <w:t>(h)</w:t>
      </w:r>
      <w:r w:rsidRPr="00097A86">
        <w:tab/>
        <w:t>rubber and leather;</w:t>
      </w:r>
    </w:p>
    <w:p w14:paraId="16204452" w14:textId="77777777" w:rsidR="00AC64A0" w:rsidRPr="00097A86" w:rsidRDefault="00AC64A0" w:rsidP="00D22D3F">
      <w:pPr>
        <w:pStyle w:val="paragraph"/>
      </w:pPr>
      <w:r w:rsidRPr="00097A86">
        <w:tab/>
        <w:t>(i)</w:t>
      </w:r>
      <w:r w:rsidRPr="00097A86">
        <w:tab/>
        <w:t>inert waste.</w:t>
      </w:r>
    </w:p>
    <w:p w14:paraId="6EE9B323" w14:textId="77777777" w:rsidR="00AC64A0" w:rsidRPr="00097A86" w:rsidRDefault="00AC64A0" w:rsidP="00D22D3F">
      <w:pPr>
        <w:pStyle w:val="subsection"/>
      </w:pPr>
      <w:r w:rsidRPr="00097A86">
        <w:tab/>
        <w:t>(2)</w:t>
      </w:r>
      <w:r w:rsidRPr="00097A86">
        <w:tab/>
        <w:t xml:space="preserve">The percentage of the total waste tonnage for each waste mix type mentioned in </w:t>
      </w:r>
      <w:r w:rsidR="005E7CBC" w:rsidRPr="00097A86">
        <w:t>column 1</w:t>
      </w:r>
      <w:r w:rsidRPr="00097A86">
        <w:t xml:space="preserve"> of an item in the following table must be estimated by using:</w:t>
      </w:r>
    </w:p>
    <w:p w14:paraId="168A2C25" w14:textId="77777777" w:rsidR="00AC64A0" w:rsidRPr="00097A86" w:rsidRDefault="00AC64A0" w:rsidP="00D22D3F">
      <w:pPr>
        <w:pStyle w:val="paragraph"/>
      </w:pPr>
      <w:r w:rsidRPr="00097A86">
        <w:tab/>
        <w:t>(a)</w:t>
      </w:r>
      <w:r w:rsidRPr="00097A86">
        <w:tab/>
        <w:t>sampling techniques specified in:</w:t>
      </w:r>
    </w:p>
    <w:p w14:paraId="4DCC469B" w14:textId="77777777" w:rsidR="00AC64A0" w:rsidRPr="00097A86" w:rsidRDefault="00AC64A0" w:rsidP="00D22D3F">
      <w:pPr>
        <w:pStyle w:val="paragraphsub"/>
      </w:pPr>
      <w:r w:rsidRPr="00097A86">
        <w:tab/>
        <w:t>(i)</w:t>
      </w:r>
      <w:r w:rsidRPr="00097A86">
        <w:tab/>
        <w:t>waste audit guidelines issued by the State or Territory in which the landfill is located; or</w:t>
      </w:r>
    </w:p>
    <w:p w14:paraId="30BD86DF" w14:textId="77777777" w:rsidR="00AC64A0" w:rsidRPr="00097A86" w:rsidRDefault="00AC64A0" w:rsidP="00D22D3F">
      <w:pPr>
        <w:pStyle w:val="paragraphsub"/>
      </w:pPr>
      <w:r w:rsidRPr="00097A86">
        <w:tab/>
        <w:t>(ii)</w:t>
      </w:r>
      <w:r w:rsidRPr="00097A86">
        <w:tab/>
        <w:t>if no guidelines have been issued by the State or Territory in which the landfill is located</w:t>
      </w:r>
      <w:r w:rsidR="00D22D3F" w:rsidRPr="00097A86">
        <w:t>—</w:t>
      </w:r>
      <w:r w:rsidRPr="00097A86">
        <w:t>ASTM D 5231–92 (Reapproved 2008) or an equivalent Australian or international standard; or</w:t>
      </w:r>
    </w:p>
    <w:p w14:paraId="71EBD554" w14:textId="77777777" w:rsidR="00AC64A0" w:rsidRPr="00097A86" w:rsidRDefault="00AC64A0" w:rsidP="00D22D3F">
      <w:pPr>
        <w:pStyle w:val="paragraph"/>
      </w:pPr>
      <w:r w:rsidRPr="00097A86">
        <w:tab/>
        <w:t>(b)</w:t>
      </w:r>
      <w:r w:rsidRPr="00097A86">
        <w:tab/>
        <w:t>the tonnage of each waste mix type received at the landfill estimated in accordance with the criteria set out in section</w:t>
      </w:r>
      <w:r w:rsidR="00097A86">
        <w:t> </w:t>
      </w:r>
      <w:r w:rsidRPr="00097A86">
        <w:t xml:space="preserve">5.5; or </w:t>
      </w:r>
    </w:p>
    <w:p w14:paraId="7F63D9D1" w14:textId="77777777" w:rsidR="00AC64A0" w:rsidRPr="00097A86" w:rsidRDefault="00AC64A0" w:rsidP="00557E5E">
      <w:pPr>
        <w:pStyle w:val="paragraph"/>
      </w:pPr>
      <w:r w:rsidRPr="00097A86">
        <w:tab/>
        <w:t>(c)</w:t>
      </w:r>
      <w:r w:rsidRPr="00097A86">
        <w:tab/>
        <w:t>subject to subsection</w:t>
      </w:r>
      <w:r w:rsidR="00097A86">
        <w:t> </w:t>
      </w:r>
      <w:r w:rsidRPr="00097A86">
        <w:t xml:space="preserve">5.11(3), the default waste stream percentages in </w:t>
      </w:r>
      <w:r w:rsidR="005E7CBC" w:rsidRPr="00097A86">
        <w:t>columns 2, 3, 4 and 5</w:t>
      </w:r>
      <w:r w:rsidRPr="00097A86">
        <w:t xml:space="preserve"> for the item for each waste mix type.</w:t>
      </w:r>
    </w:p>
    <w:p w14:paraId="34A8331E" w14:textId="77777777" w:rsidR="005E7CBC" w:rsidRPr="00097A86" w:rsidRDefault="005E7CBC" w:rsidP="005E7CB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4"/>
        <w:gridCol w:w="1277"/>
        <w:gridCol w:w="1560"/>
        <w:gridCol w:w="1560"/>
        <w:gridCol w:w="1561"/>
        <w:gridCol w:w="1651"/>
      </w:tblGrid>
      <w:tr w:rsidR="005E7CBC" w:rsidRPr="00097A86" w14:paraId="1562B12A" w14:textId="77777777" w:rsidTr="00C20CC2">
        <w:trPr>
          <w:tblHeader/>
        </w:trPr>
        <w:tc>
          <w:tcPr>
            <w:tcW w:w="5000" w:type="pct"/>
            <w:gridSpan w:val="6"/>
            <w:tcBorders>
              <w:top w:val="single" w:sz="12" w:space="0" w:color="auto"/>
              <w:bottom w:val="single" w:sz="6" w:space="0" w:color="auto"/>
            </w:tcBorders>
            <w:shd w:val="clear" w:color="auto" w:fill="auto"/>
          </w:tcPr>
          <w:p w14:paraId="33BDDA0B" w14:textId="77777777" w:rsidR="005E7CBC" w:rsidRPr="00097A86" w:rsidRDefault="005E7CBC" w:rsidP="00657E43">
            <w:pPr>
              <w:pStyle w:val="TableHeading"/>
            </w:pPr>
            <w:r w:rsidRPr="00097A86">
              <w:lastRenderedPageBreak/>
              <w:t>Default waste stream percentage for waste mix type</w:t>
            </w:r>
          </w:p>
        </w:tc>
      </w:tr>
      <w:tr w:rsidR="005E7CBC" w:rsidRPr="00097A86" w14:paraId="20A909DC" w14:textId="77777777" w:rsidTr="00C20CC2">
        <w:trPr>
          <w:tblHeader/>
        </w:trPr>
        <w:tc>
          <w:tcPr>
            <w:tcW w:w="424" w:type="pct"/>
            <w:tcBorders>
              <w:top w:val="single" w:sz="6" w:space="0" w:color="auto"/>
              <w:bottom w:val="nil"/>
            </w:tcBorders>
            <w:shd w:val="clear" w:color="auto" w:fill="auto"/>
          </w:tcPr>
          <w:p w14:paraId="06335195" w14:textId="77777777" w:rsidR="005E7CBC" w:rsidRPr="00097A86" w:rsidRDefault="005E7CBC" w:rsidP="00657E43">
            <w:pPr>
              <w:pStyle w:val="TableHeading"/>
            </w:pPr>
            <w:r w:rsidRPr="00097A86">
              <w:t>Item</w:t>
            </w:r>
          </w:p>
        </w:tc>
        <w:tc>
          <w:tcPr>
            <w:tcW w:w="768" w:type="pct"/>
            <w:tcBorders>
              <w:top w:val="single" w:sz="6" w:space="0" w:color="auto"/>
              <w:bottom w:val="nil"/>
            </w:tcBorders>
            <w:shd w:val="clear" w:color="auto" w:fill="auto"/>
          </w:tcPr>
          <w:p w14:paraId="79CD72E1" w14:textId="77777777" w:rsidR="005E7CBC" w:rsidRPr="00097A86" w:rsidRDefault="005E7CBC" w:rsidP="00657E43">
            <w:pPr>
              <w:pStyle w:val="TableHeading"/>
            </w:pPr>
            <w:r w:rsidRPr="00097A86">
              <w:t>Column 1</w:t>
            </w:r>
          </w:p>
        </w:tc>
        <w:tc>
          <w:tcPr>
            <w:tcW w:w="938" w:type="pct"/>
            <w:tcBorders>
              <w:top w:val="single" w:sz="6" w:space="0" w:color="auto"/>
              <w:bottom w:val="nil"/>
            </w:tcBorders>
            <w:shd w:val="clear" w:color="auto" w:fill="auto"/>
          </w:tcPr>
          <w:p w14:paraId="59BD12F4" w14:textId="77777777" w:rsidR="005E7CBC" w:rsidRPr="00097A86" w:rsidRDefault="005E7CBC" w:rsidP="00657E43">
            <w:pPr>
              <w:pStyle w:val="TableHeading"/>
            </w:pPr>
            <w:r w:rsidRPr="00097A86">
              <w:t>Column 2</w:t>
            </w:r>
          </w:p>
        </w:tc>
        <w:tc>
          <w:tcPr>
            <w:tcW w:w="938" w:type="pct"/>
            <w:tcBorders>
              <w:top w:val="single" w:sz="6" w:space="0" w:color="auto"/>
              <w:bottom w:val="nil"/>
            </w:tcBorders>
            <w:shd w:val="clear" w:color="auto" w:fill="auto"/>
          </w:tcPr>
          <w:p w14:paraId="458D062A" w14:textId="77777777" w:rsidR="005E7CBC" w:rsidRPr="00097A86" w:rsidRDefault="005E7CBC" w:rsidP="00657E43">
            <w:pPr>
              <w:pStyle w:val="TableHeading"/>
            </w:pPr>
            <w:r w:rsidRPr="00097A86">
              <w:t>Column 3</w:t>
            </w:r>
          </w:p>
        </w:tc>
        <w:tc>
          <w:tcPr>
            <w:tcW w:w="939" w:type="pct"/>
            <w:tcBorders>
              <w:top w:val="single" w:sz="6" w:space="0" w:color="auto"/>
              <w:bottom w:val="nil"/>
            </w:tcBorders>
            <w:shd w:val="clear" w:color="auto" w:fill="auto"/>
          </w:tcPr>
          <w:p w14:paraId="4E3245D6" w14:textId="77777777" w:rsidR="005E7CBC" w:rsidRPr="00097A86" w:rsidRDefault="005E7CBC" w:rsidP="00657E43">
            <w:pPr>
              <w:pStyle w:val="TableHeading"/>
            </w:pPr>
            <w:r w:rsidRPr="00097A86">
              <w:t>Column 4</w:t>
            </w:r>
          </w:p>
        </w:tc>
        <w:tc>
          <w:tcPr>
            <w:tcW w:w="993" w:type="pct"/>
            <w:tcBorders>
              <w:top w:val="single" w:sz="6" w:space="0" w:color="auto"/>
              <w:bottom w:val="nil"/>
            </w:tcBorders>
            <w:shd w:val="clear" w:color="auto" w:fill="auto"/>
          </w:tcPr>
          <w:p w14:paraId="79ADEEA4" w14:textId="77777777" w:rsidR="005E7CBC" w:rsidRPr="00097A86" w:rsidRDefault="005E7CBC" w:rsidP="00657E43">
            <w:pPr>
              <w:pStyle w:val="TableHeading"/>
            </w:pPr>
            <w:r w:rsidRPr="00097A86">
              <w:t>Column 5</w:t>
            </w:r>
          </w:p>
        </w:tc>
      </w:tr>
      <w:tr w:rsidR="005E7CBC" w:rsidRPr="00097A86" w14:paraId="68E25FE2" w14:textId="77777777" w:rsidTr="00C20CC2">
        <w:trPr>
          <w:tblHeader/>
        </w:trPr>
        <w:tc>
          <w:tcPr>
            <w:tcW w:w="424" w:type="pct"/>
            <w:tcBorders>
              <w:top w:val="nil"/>
              <w:bottom w:val="single" w:sz="12" w:space="0" w:color="auto"/>
            </w:tcBorders>
            <w:shd w:val="clear" w:color="auto" w:fill="auto"/>
          </w:tcPr>
          <w:p w14:paraId="0FEBEF34" w14:textId="77777777" w:rsidR="005E7CBC" w:rsidRPr="00097A86" w:rsidRDefault="005E7CBC" w:rsidP="00657E43">
            <w:pPr>
              <w:pStyle w:val="TableHeading"/>
            </w:pPr>
          </w:p>
        </w:tc>
        <w:tc>
          <w:tcPr>
            <w:tcW w:w="768" w:type="pct"/>
            <w:tcBorders>
              <w:top w:val="nil"/>
              <w:bottom w:val="single" w:sz="12" w:space="0" w:color="auto"/>
            </w:tcBorders>
            <w:shd w:val="clear" w:color="auto" w:fill="auto"/>
          </w:tcPr>
          <w:p w14:paraId="69444CCB" w14:textId="77777777" w:rsidR="005E7CBC" w:rsidRPr="00097A86" w:rsidRDefault="005E7CBC" w:rsidP="00657E43">
            <w:pPr>
              <w:pStyle w:val="TableHeading"/>
            </w:pPr>
            <w:r w:rsidRPr="00097A86">
              <w:t>Waste mix type</w:t>
            </w:r>
          </w:p>
        </w:tc>
        <w:tc>
          <w:tcPr>
            <w:tcW w:w="938" w:type="pct"/>
            <w:tcBorders>
              <w:top w:val="nil"/>
              <w:bottom w:val="single" w:sz="12" w:space="0" w:color="auto"/>
            </w:tcBorders>
            <w:shd w:val="clear" w:color="auto" w:fill="auto"/>
          </w:tcPr>
          <w:p w14:paraId="7C42FCB5" w14:textId="77777777" w:rsidR="005E7CBC" w:rsidRPr="00097A86" w:rsidRDefault="005E7CBC" w:rsidP="00657E43">
            <w:pPr>
              <w:pStyle w:val="TableHeading"/>
            </w:pPr>
            <w:r w:rsidRPr="00097A86">
              <w:t>Municipal solid waste class I default (%)</w:t>
            </w:r>
          </w:p>
        </w:tc>
        <w:tc>
          <w:tcPr>
            <w:tcW w:w="938" w:type="pct"/>
            <w:tcBorders>
              <w:top w:val="nil"/>
              <w:bottom w:val="single" w:sz="12" w:space="0" w:color="auto"/>
            </w:tcBorders>
            <w:shd w:val="clear" w:color="auto" w:fill="auto"/>
          </w:tcPr>
          <w:p w14:paraId="30E59A59" w14:textId="77777777" w:rsidR="005E7CBC" w:rsidRPr="00097A86" w:rsidRDefault="005E7CBC" w:rsidP="00657E43">
            <w:pPr>
              <w:pStyle w:val="TableHeading"/>
            </w:pPr>
            <w:r w:rsidRPr="00097A86">
              <w:t>Municipal solid waste class II default (%)</w:t>
            </w:r>
          </w:p>
        </w:tc>
        <w:tc>
          <w:tcPr>
            <w:tcW w:w="939" w:type="pct"/>
            <w:tcBorders>
              <w:top w:val="nil"/>
              <w:bottom w:val="single" w:sz="12" w:space="0" w:color="auto"/>
            </w:tcBorders>
            <w:shd w:val="clear" w:color="auto" w:fill="auto"/>
          </w:tcPr>
          <w:p w14:paraId="735F2611" w14:textId="77777777" w:rsidR="005E7CBC" w:rsidRPr="00097A86" w:rsidRDefault="005E7CBC" w:rsidP="00657E43">
            <w:pPr>
              <w:pStyle w:val="TableHeading"/>
            </w:pPr>
            <w:r w:rsidRPr="00097A86">
              <w:t>Commercial and industrial waste default (%)</w:t>
            </w:r>
          </w:p>
        </w:tc>
        <w:tc>
          <w:tcPr>
            <w:tcW w:w="993" w:type="pct"/>
            <w:tcBorders>
              <w:top w:val="nil"/>
              <w:bottom w:val="single" w:sz="12" w:space="0" w:color="auto"/>
            </w:tcBorders>
            <w:shd w:val="clear" w:color="auto" w:fill="auto"/>
          </w:tcPr>
          <w:p w14:paraId="24443CEF" w14:textId="77777777" w:rsidR="005E7CBC" w:rsidRPr="00097A86" w:rsidRDefault="005E7CBC" w:rsidP="00657E43">
            <w:pPr>
              <w:pStyle w:val="TableHeading"/>
            </w:pPr>
            <w:r w:rsidRPr="00097A86">
              <w:t>Construction and demolition waste default (%)</w:t>
            </w:r>
          </w:p>
        </w:tc>
      </w:tr>
      <w:tr w:rsidR="005E7CBC" w:rsidRPr="00097A86" w14:paraId="438506BA" w14:textId="77777777" w:rsidTr="00C20CC2">
        <w:tc>
          <w:tcPr>
            <w:tcW w:w="424" w:type="pct"/>
            <w:tcBorders>
              <w:top w:val="single" w:sz="12" w:space="0" w:color="auto"/>
            </w:tcBorders>
            <w:shd w:val="clear" w:color="auto" w:fill="auto"/>
          </w:tcPr>
          <w:p w14:paraId="4F8550BE" w14:textId="77777777" w:rsidR="005E7CBC" w:rsidRPr="00097A86" w:rsidRDefault="005E7CBC" w:rsidP="00657E43">
            <w:pPr>
              <w:pStyle w:val="Tabletext"/>
            </w:pPr>
            <w:r w:rsidRPr="00097A86">
              <w:t>1</w:t>
            </w:r>
          </w:p>
        </w:tc>
        <w:tc>
          <w:tcPr>
            <w:tcW w:w="768" w:type="pct"/>
            <w:tcBorders>
              <w:top w:val="single" w:sz="12" w:space="0" w:color="auto"/>
            </w:tcBorders>
            <w:shd w:val="clear" w:color="auto" w:fill="auto"/>
          </w:tcPr>
          <w:p w14:paraId="48777B97" w14:textId="77777777" w:rsidR="005E7CBC" w:rsidRPr="00097A86" w:rsidRDefault="005E7CBC" w:rsidP="00657E43">
            <w:pPr>
              <w:pStyle w:val="Tabletext"/>
            </w:pPr>
            <w:r w:rsidRPr="00097A86">
              <w:t>Food</w:t>
            </w:r>
          </w:p>
        </w:tc>
        <w:tc>
          <w:tcPr>
            <w:tcW w:w="938" w:type="pct"/>
            <w:tcBorders>
              <w:top w:val="single" w:sz="12" w:space="0" w:color="auto"/>
            </w:tcBorders>
            <w:shd w:val="clear" w:color="auto" w:fill="auto"/>
          </w:tcPr>
          <w:p w14:paraId="2ACD1F48" w14:textId="77777777" w:rsidR="005E7CBC" w:rsidRPr="00097A86" w:rsidRDefault="005E7CBC" w:rsidP="00657E43">
            <w:pPr>
              <w:pStyle w:val="Tabletext"/>
              <w:tabs>
                <w:tab w:val="decimal" w:pos="680"/>
              </w:tabs>
            </w:pPr>
            <w:r w:rsidRPr="00097A86">
              <w:t>35</w:t>
            </w:r>
          </w:p>
        </w:tc>
        <w:tc>
          <w:tcPr>
            <w:tcW w:w="938" w:type="pct"/>
            <w:tcBorders>
              <w:top w:val="single" w:sz="12" w:space="0" w:color="auto"/>
            </w:tcBorders>
            <w:shd w:val="clear" w:color="auto" w:fill="auto"/>
          </w:tcPr>
          <w:p w14:paraId="1A35D551" w14:textId="77777777" w:rsidR="005E7CBC" w:rsidRPr="00097A86" w:rsidRDefault="005E7CBC" w:rsidP="00657E43">
            <w:pPr>
              <w:pStyle w:val="Tabletext"/>
              <w:tabs>
                <w:tab w:val="decimal" w:pos="680"/>
              </w:tabs>
            </w:pPr>
            <w:r w:rsidRPr="00097A86">
              <w:t>40.3</w:t>
            </w:r>
          </w:p>
        </w:tc>
        <w:tc>
          <w:tcPr>
            <w:tcW w:w="939" w:type="pct"/>
            <w:tcBorders>
              <w:top w:val="single" w:sz="12" w:space="0" w:color="auto"/>
            </w:tcBorders>
            <w:shd w:val="clear" w:color="auto" w:fill="auto"/>
          </w:tcPr>
          <w:p w14:paraId="1E4534D5" w14:textId="77777777" w:rsidR="005E7CBC" w:rsidRPr="00097A86" w:rsidRDefault="005E7CBC" w:rsidP="00657E43">
            <w:pPr>
              <w:pStyle w:val="Tabletext"/>
              <w:tabs>
                <w:tab w:val="decimal" w:pos="680"/>
              </w:tabs>
            </w:pPr>
            <w:r w:rsidRPr="00097A86">
              <w:t>21.5</w:t>
            </w:r>
          </w:p>
        </w:tc>
        <w:tc>
          <w:tcPr>
            <w:tcW w:w="993" w:type="pct"/>
            <w:tcBorders>
              <w:top w:val="single" w:sz="12" w:space="0" w:color="auto"/>
            </w:tcBorders>
            <w:shd w:val="clear" w:color="auto" w:fill="auto"/>
          </w:tcPr>
          <w:p w14:paraId="60088FE4" w14:textId="77777777" w:rsidR="005E7CBC" w:rsidRPr="00097A86" w:rsidRDefault="005E7CBC" w:rsidP="00657E43">
            <w:pPr>
              <w:pStyle w:val="Tabletext"/>
              <w:tabs>
                <w:tab w:val="decimal" w:pos="780"/>
              </w:tabs>
            </w:pPr>
            <w:r w:rsidRPr="00097A86">
              <w:t>0</w:t>
            </w:r>
          </w:p>
        </w:tc>
      </w:tr>
      <w:tr w:rsidR="005E7CBC" w:rsidRPr="00097A86" w14:paraId="141508FB" w14:textId="77777777" w:rsidTr="00C20CC2">
        <w:tc>
          <w:tcPr>
            <w:tcW w:w="424" w:type="pct"/>
            <w:shd w:val="clear" w:color="auto" w:fill="auto"/>
          </w:tcPr>
          <w:p w14:paraId="615FF2CC" w14:textId="77777777" w:rsidR="005E7CBC" w:rsidRPr="00097A86" w:rsidRDefault="005E7CBC" w:rsidP="00657E43">
            <w:pPr>
              <w:pStyle w:val="Tabletext"/>
            </w:pPr>
            <w:r w:rsidRPr="00097A86">
              <w:t>2</w:t>
            </w:r>
          </w:p>
        </w:tc>
        <w:tc>
          <w:tcPr>
            <w:tcW w:w="768" w:type="pct"/>
            <w:shd w:val="clear" w:color="auto" w:fill="auto"/>
          </w:tcPr>
          <w:p w14:paraId="38F26529" w14:textId="77777777" w:rsidR="005E7CBC" w:rsidRPr="00097A86" w:rsidRDefault="005E7CBC" w:rsidP="00657E43">
            <w:pPr>
              <w:pStyle w:val="Tabletext"/>
              <w:rPr>
                <w:rFonts w:eastAsiaTheme="minorHAnsi" w:cstheme="minorBidi"/>
              </w:rPr>
            </w:pPr>
            <w:r w:rsidRPr="00097A86">
              <w:t>Paper and cardboard</w:t>
            </w:r>
          </w:p>
        </w:tc>
        <w:tc>
          <w:tcPr>
            <w:tcW w:w="938" w:type="pct"/>
            <w:shd w:val="clear" w:color="auto" w:fill="auto"/>
          </w:tcPr>
          <w:p w14:paraId="461FA2B2" w14:textId="77777777" w:rsidR="005E7CBC" w:rsidRPr="00097A86" w:rsidRDefault="005E7CBC" w:rsidP="00657E43">
            <w:pPr>
              <w:pStyle w:val="Tabletext"/>
              <w:tabs>
                <w:tab w:val="decimal" w:pos="680"/>
              </w:tabs>
            </w:pPr>
            <w:r w:rsidRPr="00097A86">
              <w:t>13</w:t>
            </w:r>
          </w:p>
        </w:tc>
        <w:tc>
          <w:tcPr>
            <w:tcW w:w="938" w:type="pct"/>
            <w:shd w:val="clear" w:color="auto" w:fill="auto"/>
          </w:tcPr>
          <w:p w14:paraId="46B16779" w14:textId="77777777" w:rsidR="005E7CBC" w:rsidRPr="00097A86" w:rsidRDefault="005E7CBC" w:rsidP="00657E43">
            <w:pPr>
              <w:pStyle w:val="Tabletext"/>
              <w:tabs>
                <w:tab w:val="decimal" w:pos="680"/>
              </w:tabs>
            </w:pPr>
            <w:r w:rsidRPr="00097A86">
              <w:t>15.0</w:t>
            </w:r>
          </w:p>
        </w:tc>
        <w:tc>
          <w:tcPr>
            <w:tcW w:w="939" w:type="pct"/>
            <w:shd w:val="clear" w:color="auto" w:fill="auto"/>
          </w:tcPr>
          <w:p w14:paraId="1EDB5A83" w14:textId="77777777" w:rsidR="005E7CBC" w:rsidRPr="00097A86" w:rsidRDefault="005E7CBC" w:rsidP="00657E43">
            <w:pPr>
              <w:pStyle w:val="Tabletext"/>
              <w:tabs>
                <w:tab w:val="decimal" w:pos="680"/>
              </w:tabs>
            </w:pPr>
            <w:r w:rsidRPr="00097A86">
              <w:t>15.5</w:t>
            </w:r>
          </w:p>
        </w:tc>
        <w:tc>
          <w:tcPr>
            <w:tcW w:w="993" w:type="pct"/>
            <w:shd w:val="clear" w:color="auto" w:fill="auto"/>
          </w:tcPr>
          <w:p w14:paraId="602C06FD" w14:textId="77777777" w:rsidR="005E7CBC" w:rsidRPr="00097A86" w:rsidRDefault="005E7CBC" w:rsidP="00657E43">
            <w:pPr>
              <w:pStyle w:val="Tabletext"/>
              <w:tabs>
                <w:tab w:val="decimal" w:pos="780"/>
              </w:tabs>
            </w:pPr>
            <w:r w:rsidRPr="00097A86">
              <w:t>3</w:t>
            </w:r>
          </w:p>
        </w:tc>
      </w:tr>
      <w:tr w:rsidR="005E7CBC" w:rsidRPr="00097A86" w14:paraId="7B3DA851" w14:textId="77777777" w:rsidTr="00C20CC2">
        <w:trPr>
          <w:cantSplit/>
        </w:trPr>
        <w:tc>
          <w:tcPr>
            <w:tcW w:w="424" w:type="pct"/>
            <w:shd w:val="clear" w:color="auto" w:fill="auto"/>
          </w:tcPr>
          <w:p w14:paraId="06063C56" w14:textId="77777777" w:rsidR="005E7CBC" w:rsidRPr="00097A86" w:rsidRDefault="005E7CBC" w:rsidP="00657E43">
            <w:pPr>
              <w:pStyle w:val="Tabletext"/>
            </w:pPr>
            <w:r w:rsidRPr="00097A86">
              <w:t>3</w:t>
            </w:r>
          </w:p>
        </w:tc>
        <w:tc>
          <w:tcPr>
            <w:tcW w:w="768" w:type="pct"/>
            <w:shd w:val="clear" w:color="auto" w:fill="auto"/>
          </w:tcPr>
          <w:p w14:paraId="384556BB" w14:textId="77777777" w:rsidR="005E7CBC" w:rsidRPr="00097A86" w:rsidRDefault="005E7CBC" w:rsidP="00657E43">
            <w:pPr>
              <w:pStyle w:val="Tabletext"/>
            </w:pPr>
            <w:r w:rsidRPr="00097A86">
              <w:t>Garden and park</w:t>
            </w:r>
          </w:p>
        </w:tc>
        <w:tc>
          <w:tcPr>
            <w:tcW w:w="938" w:type="pct"/>
            <w:shd w:val="clear" w:color="auto" w:fill="auto"/>
          </w:tcPr>
          <w:p w14:paraId="571D1335" w14:textId="77777777" w:rsidR="005E7CBC" w:rsidRPr="00097A86" w:rsidRDefault="005E7CBC" w:rsidP="00657E43">
            <w:pPr>
              <w:pStyle w:val="Tabletext"/>
              <w:tabs>
                <w:tab w:val="decimal" w:pos="680"/>
              </w:tabs>
            </w:pPr>
            <w:r w:rsidRPr="00097A86">
              <w:t>16.5</w:t>
            </w:r>
          </w:p>
        </w:tc>
        <w:tc>
          <w:tcPr>
            <w:tcW w:w="938" w:type="pct"/>
            <w:shd w:val="clear" w:color="auto" w:fill="auto"/>
          </w:tcPr>
          <w:p w14:paraId="1176B8D7" w14:textId="77777777" w:rsidR="005E7CBC" w:rsidRPr="00097A86" w:rsidRDefault="005E7CBC" w:rsidP="00657E43">
            <w:pPr>
              <w:pStyle w:val="Tabletext"/>
              <w:tabs>
                <w:tab w:val="decimal" w:pos="680"/>
              </w:tabs>
            </w:pPr>
            <w:r w:rsidRPr="00097A86">
              <w:t>3.9</w:t>
            </w:r>
          </w:p>
        </w:tc>
        <w:tc>
          <w:tcPr>
            <w:tcW w:w="939" w:type="pct"/>
            <w:shd w:val="clear" w:color="auto" w:fill="auto"/>
          </w:tcPr>
          <w:p w14:paraId="129DC8C1" w14:textId="77777777" w:rsidR="005E7CBC" w:rsidRPr="00097A86" w:rsidRDefault="005E7CBC" w:rsidP="00657E43">
            <w:pPr>
              <w:pStyle w:val="Tabletext"/>
              <w:tabs>
                <w:tab w:val="decimal" w:pos="680"/>
              </w:tabs>
            </w:pPr>
            <w:r w:rsidRPr="00097A86">
              <w:t>4</w:t>
            </w:r>
          </w:p>
        </w:tc>
        <w:tc>
          <w:tcPr>
            <w:tcW w:w="993" w:type="pct"/>
            <w:shd w:val="clear" w:color="auto" w:fill="auto"/>
          </w:tcPr>
          <w:p w14:paraId="4A2B53E1" w14:textId="77777777" w:rsidR="005E7CBC" w:rsidRPr="00097A86" w:rsidRDefault="005E7CBC" w:rsidP="00657E43">
            <w:pPr>
              <w:pStyle w:val="Tabletext"/>
              <w:tabs>
                <w:tab w:val="decimal" w:pos="780"/>
              </w:tabs>
            </w:pPr>
            <w:r w:rsidRPr="00097A86">
              <w:t>2</w:t>
            </w:r>
          </w:p>
        </w:tc>
      </w:tr>
      <w:tr w:rsidR="005E7CBC" w:rsidRPr="00097A86" w14:paraId="2812AC37" w14:textId="77777777" w:rsidTr="00C20CC2">
        <w:tc>
          <w:tcPr>
            <w:tcW w:w="424" w:type="pct"/>
            <w:shd w:val="clear" w:color="auto" w:fill="auto"/>
          </w:tcPr>
          <w:p w14:paraId="076F1381" w14:textId="77777777" w:rsidR="005E7CBC" w:rsidRPr="00097A86" w:rsidRDefault="005E7CBC" w:rsidP="00657E43">
            <w:pPr>
              <w:pStyle w:val="Tabletext"/>
            </w:pPr>
            <w:r w:rsidRPr="00097A86">
              <w:t>4</w:t>
            </w:r>
          </w:p>
        </w:tc>
        <w:tc>
          <w:tcPr>
            <w:tcW w:w="768" w:type="pct"/>
            <w:shd w:val="clear" w:color="auto" w:fill="auto"/>
          </w:tcPr>
          <w:p w14:paraId="4B4BFAE1" w14:textId="77777777" w:rsidR="005E7CBC" w:rsidRPr="00097A86" w:rsidRDefault="005E7CBC" w:rsidP="00657E43">
            <w:pPr>
              <w:pStyle w:val="Tabletext"/>
            </w:pPr>
            <w:r w:rsidRPr="00097A86">
              <w:t>Wood and wood waste</w:t>
            </w:r>
          </w:p>
        </w:tc>
        <w:tc>
          <w:tcPr>
            <w:tcW w:w="938" w:type="pct"/>
            <w:shd w:val="clear" w:color="auto" w:fill="auto"/>
          </w:tcPr>
          <w:p w14:paraId="3CE45A5D" w14:textId="77777777" w:rsidR="005E7CBC" w:rsidRPr="00097A86" w:rsidRDefault="005E7CBC" w:rsidP="00657E43">
            <w:pPr>
              <w:pStyle w:val="Tabletext"/>
              <w:tabs>
                <w:tab w:val="decimal" w:pos="680"/>
              </w:tabs>
            </w:pPr>
            <w:r w:rsidRPr="00097A86">
              <w:t>1</w:t>
            </w:r>
          </w:p>
        </w:tc>
        <w:tc>
          <w:tcPr>
            <w:tcW w:w="938" w:type="pct"/>
            <w:shd w:val="clear" w:color="auto" w:fill="auto"/>
          </w:tcPr>
          <w:p w14:paraId="1F6B6659" w14:textId="77777777" w:rsidR="005E7CBC" w:rsidRPr="00097A86" w:rsidRDefault="005E7CBC" w:rsidP="00657E43">
            <w:pPr>
              <w:pStyle w:val="Tabletext"/>
              <w:tabs>
                <w:tab w:val="decimal" w:pos="680"/>
              </w:tabs>
            </w:pPr>
            <w:r w:rsidRPr="00097A86">
              <w:t>1.2</w:t>
            </w:r>
          </w:p>
        </w:tc>
        <w:tc>
          <w:tcPr>
            <w:tcW w:w="939" w:type="pct"/>
            <w:shd w:val="clear" w:color="auto" w:fill="auto"/>
          </w:tcPr>
          <w:p w14:paraId="76421F86" w14:textId="77777777" w:rsidR="005E7CBC" w:rsidRPr="00097A86" w:rsidRDefault="005E7CBC" w:rsidP="00657E43">
            <w:pPr>
              <w:pStyle w:val="Tabletext"/>
              <w:tabs>
                <w:tab w:val="decimal" w:pos="680"/>
              </w:tabs>
            </w:pPr>
            <w:r w:rsidRPr="00097A86">
              <w:t>12.5</w:t>
            </w:r>
          </w:p>
        </w:tc>
        <w:tc>
          <w:tcPr>
            <w:tcW w:w="993" w:type="pct"/>
            <w:shd w:val="clear" w:color="auto" w:fill="auto"/>
          </w:tcPr>
          <w:p w14:paraId="61C0448C" w14:textId="77777777" w:rsidR="005E7CBC" w:rsidRPr="00097A86" w:rsidRDefault="005E7CBC" w:rsidP="00657E43">
            <w:pPr>
              <w:pStyle w:val="Tabletext"/>
              <w:tabs>
                <w:tab w:val="decimal" w:pos="780"/>
              </w:tabs>
            </w:pPr>
            <w:r w:rsidRPr="00097A86">
              <w:t>6</w:t>
            </w:r>
          </w:p>
        </w:tc>
      </w:tr>
      <w:tr w:rsidR="005E7CBC" w:rsidRPr="00097A86" w14:paraId="61CBA602" w14:textId="77777777" w:rsidTr="00C20CC2">
        <w:tc>
          <w:tcPr>
            <w:tcW w:w="424" w:type="pct"/>
            <w:shd w:val="clear" w:color="auto" w:fill="auto"/>
          </w:tcPr>
          <w:p w14:paraId="6F658F65" w14:textId="77777777" w:rsidR="005E7CBC" w:rsidRPr="00097A86" w:rsidRDefault="005E7CBC" w:rsidP="00657E43">
            <w:pPr>
              <w:pStyle w:val="Tabletext"/>
            </w:pPr>
            <w:r w:rsidRPr="00097A86">
              <w:t>5</w:t>
            </w:r>
          </w:p>
        </w:tc>
        <w:tc>
          <w:tcPr>
            <w:tcW w:w="768" w:type="pct"/>
            <w:shd w:val="clear" w:color="auto" w:fill="auto"/>
          </w:tcPr>
          <w:p w14:paraId="263B1898" w14:textId="77777777" w:rsidR="005E7CBC" w:rsidRPr="00097A86" w:rsidRDefault="005E7CBC" w:rsidP="00657E43">
            <w:pPr>
              <w:pStyle w:val="Tabletext"/>
            </w:pPr>
            <w:r w:rsidRPr="00097A86">
              <w:t>Textiles</w:t>
            </w:r>
          </w:p>
        </w:tc>
        <w:tc>
          <w:tcPr>
            <w:tcW w:w="938" w:type="pct"/>
            <w:shd w:val="clear" w:color="auto" w:fill="auto"/>
          </w:tcPr>
          <w:p w14:paraId="442B3F48" w14:textId="77777777" w:rsidR="005E7CBC" w:rsidRPr="00097A86" w:rsidRDefault="005E7CBC" w:rsidP="00657E43">
            <w:pPr>
              <w:pStyle w:val="Tabletext"/>
              <w:tabs>
                <w:tab w:val="decimal" w:pos="680"/>
              </w:tabs>
            </w:pPr>
            <w:r w:rsidRPr="00097A86">
              <w:t>1.5</w:t>
            </w:r>
          </w:p>
        </w:tc>
        <w:tc>
          <w:tcPr>
            <w:tcW w:w="938" w:type="pct"/>
            <w:shd w:val="clear" w:color="auto" w:fill="auto"/>
          </w:tcPr>
          <w:p w14:paraId="4A27929C" w14:textId="77777777" w:rsidR="005E7CBC" w:rsidRPr="00097A86" w:rsidRDefault="005E7CBC" w:rsidP="00657E43">
            <w:pPr>
              <w:pStyle w:val="Tabletext"/>
              <w:tabs>
                <w:tab w:val="decimal" w:pos="680"/>
              </w:tabs>
            </w:pPr>
            <w:r w:rsidRPr="00097A86">
              <w:t>1.7</w:t>
            </w:r>
          </w:p>
        </w:tc>
        <w:tc>
          <w:tcPr>
            <w:tcW w:w="939" w:type="pct"/>
            <w:shd w:val="clear" w:color="auto" w:fill="auto"/>
          </w:tcPr>
          <w:p w14:paraId="6B304243" w14:textId="77777777" w:rsidR="005E7CBC" w:rsidRPr="00097A86" w:rsidRDefault="005E7CBC" w:rsidP="00657E43">
            <w:pPr>
              <w:pStyle w:val="Tabletext"/>
              <w:tabs>
                <w:tab w:val="decimal" w:pos="680"/>
              </w:tabs>
            </w:pPr>
            <w:r w:rsidRPr="00097A86">
              <w:t>4</w:t>
            </w:r>
          </w:p>
        </w:tc>
        <w:tc>
          <w:tcPr>
            <w:tcW w:w="993" w:type="pct"/>
            <w:shd w:val="clear" w:color="auto" w:fill="auto"/>
          </w:tcPr>
          <w:p w14:paraId="356AEB24" w14:textId="77777777" w:rsidR="005E7CBC" w:rsidRPr="00097A86" w:rsidRDefault="005E7CBC" w:rsidP="00657E43">
            <w:pPr>
              <w:pStyle w:val="Tabletext"/>
              <w:tabs>
                <w:tab w:val="decimal" w:pos="780"/>
              </w:tabs>
            </w:pPr>
            <w:r w:rsidRPr="00097A86">
              <w:t>0</w:t>
            </w:r>
          </w:p>
        </w:tc>
      </w:tr>
      <w:tr w:rsidR="005E7CBC" w:rsidRPr="00097A86" w14:paraId="78825A31" w14:textId="77777777" w:rsidTr="00C20CC2">
        <w:tc>
          <w:tcPr>
            <w:tcW w:w="424" w:type="pct"/>
            <w:shd w:val="clear" w:color="auto" w:fill="auto"/>
          </w:tcPr>
          <w:p w14:paraId="5CAC8413" w14:textId="77777777" w:rsidR="005E7CBC" w:rsidRPr="00097A86" w:rsidRDefault="005E7CBC" w:rsidP="00657E43">
            <w:pPr>
              <w:pStyle w:val="Tabletext"/>
            </w:pPr>
            <w:r w:rsidRPr="00097A86">
              <w:t>6</w:t>
            </w:r>
          </w:p>
        </w:tc>
        <w:tc>
          <w:tcPr>
            <w:tcW w:w="768" w:type="pct"/>
            <w:shd w:val="clear" w:color="auto" w:fill="auto"/>
          </w:tcPr>
          <w:p w14:paraId="6153B593" w14:textId="77777777" w:rsidR="005E7CBC" w:rsidRPr="00097A86" w:rsidRDefault="005E7CBC" w:rsidP="00657E43">
            <w:pPr>
              <w:pStyle w:val="Tabletext"/>
            </w:pPr>
            <w:r w:rsidRPr="00097A86">
              <w:t>Sludge</w:t>
            </w:r>
          </w:p>
        </w:tc>
        <w:tc>
          <w:tcPr>
            <w:tcW w:w="938" w:type="pct"/>
            <w:shd w:val="clear" w:color="auto" w:fill="auto"/>
          </w:tcPr>
          <w:p w14:paraId="6369BF16" w14:textId="77777777" w:rsidR="005E7CBC" w:rsidRPr="00097A86" w:rsidRDefault="005E7CBC" w:rsidP="00657E43">
            <w:pPr>
              <w:pStyle w:val="Tabletext"/>
              <w:tabs>
                <w:tab w:val="decimal" w:pos="680"/>
              </w:tabs>
            </w:pPr>
            <w:r w:rsidRPr="00097A86">
              <w:t>0</w:t>
            </w:r>
          </w:p>
        </w:tc>
        <w:tc>
          <w:tcPr>
            <w:tcW w:w="938" w:type="pct"/>
            <w:shd w:val="clear" w:color="auto" w:fill="auto"/>
          </w:tcPr>
          <w:p w14:paraId="6AD4A467" w14:textId="77777777" w:rsidR="005E7CBC" w:rsidRPr="00097A86" w:rsidRDefault="005E7CBC" w:rsidP="00657E43">
            <w:pPr>
              <w:pStyle w:val="Tabletext"/>
              <w:tabs>
                <w:tab w:val="decimal" w:pos="680"/>
              </w:tabs>
            </w:pPr>
            <w:r w:rsidRPr="00097A86">
              <w:t>0</w:t>
            </w:r>
          </w:p>
        </w:tc>
        <w:tc>
          <w:tcPr>
            <w:tcW w:w="939" w:type="pct"/>
            <w:shd w:val="clear" w:color="auto" w:fill="auto"/>
          </w:tcPr>
          <w:p w14:paraId="7AB3F575" w14:textId="77777777" w:rsidR="005E7CBC" w:rsidRPr="00097A86" w:rsidRDefault="005E7CBC" w:rsidP="00657E43">
            <w:pPr>
              <w:pStyle w:val="Tabletext"/>
              <w:tabs>
                <w:tab w:val="decimal" w:pos="680"/>
              </w:tabs>
            </w:pPr>
            <w:r w:rsidRPr="00097A86">
              <w:t>1.5</w:t>
            </w:r>
          </w:p>
        </w:tc>
        <w:tc>
          <w:tcPr>
            <w:tcW w:w="993" w:type="pct"/>
            <w:shd w:val="clear" w:color="auto" w:fill="auto"/>
          </w:tcPr>
          <w:p w14:paraId="64DC7506" w14:textId="77777777" w:rsidR="005E7CBC" w:rsidRPr="00097A86" w:rsidRDefault="005E7CBC" w:rsidP="00657E43">
            <w:pPr>
              <w:pStyle w:val="Tabletext"/>
              <w:tabs>
                <w:tab w:val="decimal" w:pos="780"/>
              </w:tabs>
            </w:pPr>
            <w:r w:rsidRPr="00097A86">
              <w:t>0</w:t>
            </w:r>
          </w:p>
        </w:tc>
      </w:tr>
      <w:tr w:rsidR="005E7CBC" w:rsidRPr="00097A86" w14:paraId="5A282A32" w14:textId="77777777" w:rsidTr="00C20CC2">
        <w:tc>
          <w:tcPr>
            <w:tcW w:w="424" w:type="pct"/>
            <w:shd w:val="clear" w:color="auto" w:fill="auto"/>
          </w:tcPr>
          <w:p w14:paraId="3BCB0309" w14:textId="77777777" w:rsidR="005E7CBC" w:rsidRPr="00097A86" w:rsidRDefault="005E7CBC" w:rsidP="00657E43">
            <w:pPr>
              <w:pStyle w:val="Tabletext"/>
            </w:pPr>
            <w:r w:rsidRPr="00097A86">
              <w:t>7</w:t>
            </w:r>
          </w:p>
        </w:tc>
        <w:tc>
          <w:tcPr>
            <w:tcW w:w="768" w:type="pct"/>
            <w:shd w:val="clear" w:color="auto" w:fill="auto"/>
          </w:tcPr>
          <w:p w14:paraId="76404636" w14:textId="77777777" w:rsidR="005E7CBC" w:rsidRPr="00097A86" w:rsidRDefault="005E7CBC" w:rsidP="00657E43">
            <w:pPr>
              <w:pStyle w:val="Tabletext"/>
            </w:pPr>
            <w:r w:rsidRPr="00097A86">
              <w:t>Nappies</w:t>
            </w:r>
          </w:p>
        </w:tc>
        <w:tc>
          <w:tcPr>
            <w:tcW w:w="938" w:type="pct"/>
            <w:shd w:val="clear" w:color="auto" w:fill="auto"/>
          </w:tcPr>
          <w:p w14:paraId="1AD26C92" w14:textId="77777777" w:rsidR="005E7CBC" w:rsidRPr="00097A86" w:rsidRDefault="005E7CBC" w:rsidP="00657E43">
            <w:pPr>
              <w:pStyle w:val="Tabletext"/>
              <w:tabs>
                <w:tab w:val="decimal" w:pos="680"/>
              </w:tabs>
            </w:pPr>
            <w:r w:rsidRPr="00097A86">
              <w:t>4</w:t>
            </w:r>
          </w:p>
        </w:tc>
        <w:tc>
          <w:tcPr>
            <w:tcW w:w="938" w:type="pct"/>
            <w:shd w:val="clear" w:color="auto" w:fill="auto"/>
          </w:tcPr>
          <w:p w14:paraId="159BE6B2" w14:textId="77777777" w:rsidR="005E7CBC" w:rsidRPr="00097A86" w:rsidRDefault="005E7CBC" w:rsidP="00657E43">
            <w:pPr>
              <w:pStyle w:val="Tabletext"/>
              <w:tabs>
                <w:tab w:val="decimal" w:pos="680"/>
              </w:tabs>
            </w:pPr>
            <w:r w:rsidRPr="00097A86">
              <w:t>4.6</w:t>
            </w:r>
          </w:p>
        </w:tc>
        <w:tc>
          <w:tcPr>
            <w:tcW w:w="939" w:type="pct"/>
            <w:shd w:val="clear" w:color="auto" w:fill="auto"/>
          </w:tcPr>
          <w:p w14:paraId="18EE0359" w14:textId="77777777" w:rsidR="005E7CBC" w:rsidRPr="00097A86" w:rsidRDefault="005E7CBC" w:rsidP="00657E43">
            <w:pPr>
              <w:pStyle w:val="Tabletext"/>
              <w:tabs>
                <w:tab w:val="decimal" w:pos="680"/>
              </w:tabs>
            </w:pPr>
            <w:r w:rsidRPr="00097A86">
              <w:t>0</w:t>
            </w:r>
          </w:p>
        </w:tc>
        <w:tc>
          <w:tcPr>
            <w:tcW w:w="993" w:type="pct"/>
            <w:shd w:val="clear" w:color="auto" w:fill="auto"/>
          </w:tcPr>
          <w:p w14:paraId="7E032826" w14:textId="77777777" w:rsidR="005E7CBC" w:rsidRPr="00097A86" w:rsidRDefault="005E7CBC" w:rsidP="00657E43">
            <w:pPr>
              <w:pStyle w:val="Tabletext"/>
              <w:tabs>
                <w:tab w:val="decimal" w:pos="780"/>
              </w:tabs>
            </w:pPr>
            <w:r w:rsidRPr="00097A86">
              <w:t>0</w:t>
            </w:r>
          </w:p>
        </w:tc>
      </w:tr>
      <w:tr w:rsidR="005E7CBC" w:rsidRPr="00097A86" w14:paraId="1E3806CC" w14:textId="77777777" w:rsidTr="00C20CC2">
        <w:tc>
          <w:tcPr>
            <w:tcW w:w="424" w:type="pct"/>
            <w:tcBorders>
              <w:bottom w:val="single" w:sz="4" w:space="0" w:color="auto"/>
            </w:tcBorders>
            <w:shd w:val="clear" w:color="auto" w:fill="auto"/>
          </w:tcPr>
          <w:p w14:paraId="51E7ABAF" w14:textId="77777777" w:rsidR="005E7CBC" w:rsidRPr="00097A86" w:rsidRDefault="005E7CBC" w:rsidP="00657E43">
            <w:pPr>
              <w:pStyle w:val="Tabletext"/>
            </w:pPr>
            <w:r w:rsidRPr="00097A86">
              <w:t>8</w:t>
            </w:r>
          </w:p>
        </w:tc>
        <w:tc>
          <w:tcPr>
            <w:tcW w:w="768" w:type="pct"/>
            <w:tcBorders>
              <w:bottom w:val="single" w:sz="4" w:space="0" w:color="auto"/>
            </w:tcBorders>
            <w:shd w:val="clear" w:color="auto" w:fill="auto"/>
          </w:tcPr>
          <w:p w14:paraId="3FB24B84" w14:textId="77777777" w:rsidR="005E7CBC" w:rsidRPr="00097A86" w:rsidRDefault="005E7CBC" w:rsidP="00657E43">
            <w:pPr>
              <w:pStyle w:val="Tabletext"/>
            </w:pPr>
            <w:r w:rsidRPr="00097A86">
              <w:t>Rubber and leather</w:t>
            </w:r>
          </w:p>
        </w:tc>
        <w:tc>
          <w:tcPr>
            <w:tcW w:w="938" w:type="pct"/>
            <w:tcBorders>
              <w:bottom w:val="single" w:sz="4" w:space="0" w:color="auto"/>
            </w:tcBorders>
            <w:shd w:val="clear" w:color="auto" w:fill="auto"/>
          </w:tcPr>
          <w:p w14:paraId="3607D2DB" w14:textId="77777777" w:rsidR="005E7CBC" w:rsidRPr="00097A86" w:rsidRDefault="005E7CBC" w:rsidP="00657E43">
            <w:pPr>
              <w:pStyle w:val="Tabletext"/>
              <w:tabs>
                <w:tab w:val="decimal" w:pos="680"/>
              </w:tabs>
            </w:pPr>
            <w:r w:rsidRPr="00097A86">
              <w:t>1</w:t>
            </w:r>
          </w:p>
        </w:tc>
        <w:tc>
          <w:tcPr>
            <w:tcW w:w="938" w:type="pct"/>
            <w:tcBorders>
              <w:bottom w:val="single" w:sz="4" w:space="0" w:color="auto"/>
            </w:tcBorders>
            <w:shd w:val="clear" w:color="auto" w:fill="auto"/>
          </w:tcPr>
          <w:p w14:paraId="6530F578" w14:textId="77777777" w:rsidR="005E7CBC" w:rsidRPr="00097A86" w:rsidRDefault="005E7CBC" w:rsidP="00657E43">
            <w:pPr>
              <w:pStyle w:val="Tabletext"/>
              <w:tabs>
                <w:tab w:val="decimal" w:pos="680"/>
              </w:tabs>
            </w:pPr>
            <w:r w:rsidRPr="00097A86">
              <w:t>1.2</w:t>
            </w:r>
          </w:p>
        </w:tc>
        <w:tc>
          <w:tcPr>
            <w:tcW w:w="939" w:type="pct"/>
            <w:tcBorders>
              <w:bottom w:val="single" w:sz="4" w:space="0" w:color="auto"/>
            </w:tcBorders>
            <w:shd w:val="clear" w:color="auto" w:fill="auto"/>
          </w:tcPr>
          <w:p w14:paraId="2245FB99" w14:textId="77777777" w:rsidR="005E7CBC" w:rsidRPr="00097A86" w:rsidRDefault="005E7CBC" w:rsidP="00657E43">
            <w:pPr>
              <w:pStyle w:val="Tabletext"/>
              <w:tabs>
                <w:tab w:val="decimal" w:pos="680"/>
              </w:tabs>
            </w:pPr>
            <w:r w:rsidRPr="00097A86">
              <w:t>3.5</w:t>
            </w:r>
          </w:p>
        </w:tc>
        <w:tc>
          <w:tcPr>
            <w:tcW w:w="993" w:type="pct"/>
            <w:tcBorders>
              <w:bottom w:val="single" w:sz="4" w:space="0" w:color="auto"/>
            </w:tcBorders>
            <w:shd w:val="clear" w:color="auto" w:fill="auto"/>
          </w:tcPr>
          <w:p w14:paraId="71D1F1D9" w14:textId="77777777" w:rsidR="005E7CBC" w:rsidRPr="00097A86" w:rsidRDefault="005E7CBC" w:rsidP="00657E43">
            <w:pPr>
              <w:pStyle w:val="Tabletext"/>
              <w:tabs>
                <w:tab w:val="decimal" w:pos="780"/>
              </w:tabs>
            </w:pPr>
            <w:r w:rsidRPr="00097A86">
              <w:t>0</w:t>
            </w:r>
          </w:p>
        </w:tc>
      </w:tr>
      <w:tr w:rsidR="005E7CBC" w:rsidRPr="00097A86" w14:paraId="1ACC2D0A" w14:textId="77777777" w:rsidTr="00C20CC2">
        <w:tc>
          <w:tcPr>
            <w:tcW w:w="424" w:type="pct"/>
            <w:tcBorders>
              <w:bottom w:val="single" w:sz="12" w:space="0" w:color="auto"/>
            </w:tcBorders>
            <w:shd w:val="clear" w:color="auto" w:fill="auto"/>
          </w:tcPr>
          <w:p w14:paraId="6669886A" w14:textId="77777777" w:rsidR="005E7CBC" w:rsidRPr="00097A86" w:rsidRDefault="005E7CBC" w:rsidP="00657E43">
            <w:pPr>
              <w:pStyle w:val="Tabletext"/>
            </w:pPr>
            <w:r w:rsidRPr="00097A86">
              <w:t>9</w:t>
            </w:r>
          </w:p>
        </w:tc>
        <w:tc>
          <w:tcPr>
            <w:tcW w:w="768" w:type="pct"/>
            <w:tcBorders>
              <w:bottom w:val="single" w:sz="12" w:space="0" w:color="auto"/>
            </w:tcBorders>
            <w:shd w:val="clear" w:color="auto" w:fill="auto"/>
          </w:tcPr>
          <w:p w14:paraId="79A32F35" w14:textId="77777777" w:rsidR="005E7CBC" w:rsidRPr="00097A86" w:rsidRDefault="005E7CBC" w:rsidP="00657E43">
            <w:pPr>
              <w:pStyle w:val="Tabletext"/>
              <w:rPr>
                <w:rFonts w:eastAsiaTheme="minorHAnsi" w:cstheme="minorBidi"/>
              </w:rPr>
            </w:pPr>
            <w:r w:rsidRPr="00097A86">
              <w:t>Inert waste</w:t>
            </w:r>
          </w:p>
        </w:tc>
        <w:tc>
          <w:tcPr>
            <w:tcW w:w="938" w:type="pct"/>
            <w:tcBorders>
              <w:bottom w:val="single" w:sz="12" w:space="0" w:color="auto"/>
            </w:tcBorders>
            <w:shd w:val="clear" w:color="auto" w:fill="auto"/>
          </w:tcPr>
          <w:p w14:paraId="04570941" w14:textId="77777777" w:rsidR="005E7CBC" w:rsidRPr="00097A86" w:rsidRDefault="005E7CBC" w:rsidP="00657E43">
            <w:pPr>
              <w:pStyle w:val="Tabletext"/>
              <w:tabs>
                <w:tab w:val="decimal" w:pos="680"/>
              </w:tabs>
            </w:pPr>
            <w:r w:rsidRPr="00097A86">
              <w:t>28</w:t>
            </w:r>
          </w:p>
        </w:tc>
        <w:tc>
          <w:tcPr>
            <w:tcW w:w="938" w:type="pct"/>
            <w:tcBorders>
              <w:bottom w:val="single" w:sz="12" w:space="0" w:color="auto"/>
            </w:tcBorders>
            <w:shd w:val="clear" w:color="auto" w:fill="auto"/>
          </w:tcPr>
          <w:p w14:paraId="1A0AC5FA" w14:textId="77777777" w:rsidR="005E7CBC" w:rsidRPr="00097A86" w:rsidRDefault="00EC147B" w:rsidP="00657E43">
            <w:pPr>
              <w:pStyle w:val="Tabletext"/>
              <w:tabs>
                <w:tab w:val="decimal" w:pos="680"/>
              </w:tabs>
            </w:pPr>
            <w:r w:rsidRPr="00097A86">
              <w:t>32.1</w:t>
            </w:r>
          </w:p>
        </w:tc>
        <w:tc>
          <w:tcPr>
            <w:tcW w:w="939" w:type="pct"/>
            <w:tcBorders>
              <w:bottom w:val="single" w:sz="12" w:space="0" w:color="auto"/>
            </w:tcBorders>
            <w:shd w:val="clear" w:color="auto" w:fill="auto"/>
          </w:tcPr>
          <w:p w14:paraId="2A59C69D" w14:textId="77777777" w:rsidR="005E7CBC" w:rsidRPr="00097A86" w:rsidRDefault="005E7CBC" w:rsidP="00657E43">
            <w:pPr>
              <w:pStyle w:val="Tabletext"/>
              <w:tabs>
                <w:tab w:val="decimal" w:pos="680"/>
              </w:tabs>
            </w:pPr>
            <w:r w:rsidRPr="00097A86">
              <w:t>37.5</w:t>
            </w:r>
          </w:p>
        </w:tc>
        <w:tc>
          <w:tcPr>
            <w:tcW w:w="993" w:type="pct"/>
            <w:tcBorders>
              <w:bottom w:val="single" w:sz="12" w:space="0" w:color="auto"/>
            </w:tcBorders>
            <w:shd w:val="clear" w:color="auto" w:fill="auto"/>
          </w:tcPr>
          <w:p w14:paraId="512530C1" w14:textId="77777777" w:rsidR="005E7CBC" w:rsidRPr="00097A86" w:rsidRDefault="005E7CBC" w:rsidP="00657E43">
            <w:pPr>
              <w:pStyle w:val="Tabletext"/>
              <w:tabs>
                <w:tab w:val="decimal" w:pos="780"/>
              </w:tabs>
            </w:pPr>
            <w:r w:rsidRPr="00097A86">
              <w:t>89</w:t>
            </w:r>
          </w:p>
        </w:tc>
      </w:tr>
    </w:tbl>
    <w:p w14:paraId="25E892B4" w14:textId="77777777" w:rsidR="00AC64A0" w:rsidRPr="00097A86" w:rsidRDefault="00AC64A0" w:rsidP="00D22D3F">
      <w:pPr>
        <w:pStyle w:val="subsection"/>
      </w:pPr>
      <w:r w:rsidRPr="00097A86">
        <w:tab/>
        <w:t>(3)</w:t>
      </w:r>
      <w:r w:rsidRPr="00097A86">
        <w:tab/>
        <w:t>If the licence or other authorisation authorising the operation of the landfill restricts the waste mix types (</w:t>
      </w:r>
      <w:r w:rsidRPr="00097A86">
        <w:rPr>
          <w:b/>
          <w:i/>
        </w:rPr>
        <w:t>restricted waste mix type</w:t>
      </w:r>
      <w:r w:rsidRPr="00097A86">
        <w:t xml:space="preserve">) that may be received at the landfill, the percentage of the total waste volume for each waste mix type mentioned in </w:t>
      </w:r>
      <w:r w:rsidR="00014323" w:rsidRPr="00097A86">
        <w:t>column 1</w:t>
      </w:r>
      <w:r w:rsidRPr="00097A86">
        <w:t xml:space="preserve"> of an item of the following table (appearing immediately before the example) must be estimated:</w:t>
      </w:r>
    </w:p>
    <w:p w14:paraId="6650D476" w14:textId="77777777" w:rsidR="00AC64A0" w:rsidRPr="00097A86" w:rsidRDefault="00AC64A0" w:rsidP="00D22D3F">
      <w:pPr>
        <w:pStyle w:val="paragraph"/>
      </w:pPr>
      <w:r w:rsidRPr="00097A86">
        <w:tab/>
        <w:t>(a)</w:t>
      </w:r>
      <w:r w:rsidRPr="00097A86">
        <w:tab/>
        <w:t>for a restricted waste mix type</w:t>
      </w:r>
      <w:r w:rsidR="00D22D3F" w:rsidRPr="00097A86">
        <w:t>—</w:t>
      </w:r>
      <w:r w:rsidRPr="00097A86">
        <w:t>by using the maximum permitted tonnage of the restricted waste mix type received at the landfill, as a percentage of the total waste received at the landfill; and</w:t>
      </w:r>
    </w:p>
    <w:p w14:paraId="45F3A13D" w14:textId="77777777" w:rsidR="00AC64A0" w:rsidRPr="00097A86" w:rsidRDefault="00AC64A0" w:rsidP="00D22D3F">
      <w:pPr>
        <w:pStyle w:val="paragraph"/>
      </w:pPr>
      <w:r w:rsidRPr="00097A86">
        <w:tab/>
        <w:t>(b)</w:t>
      </w:r>
      <w:r w:rsidRPr="00097A86">
        <w:tab/>
        <w:t>for each waste mix type that is not a restricted waste mix type (</w:t>
      </w:r>
      <w:r w:rsidRPr="00097A86">
        <w:rPr>
          <w:b/>
          <w:i/>
        </w:rPr>
        <w:t>unrestricted waste mix type</w:t>
      </w:r>
      <w:r w:rsidRPr="00097A86">
        <w:t>)</w:t>
      </w:r>
      <w:r w:rsidR="00D22D3F" w:rsidRPr="00097A86">
        <w:t>—</w:t>
      </w:r>
      <w:r w:rsidRPr="00097A86">
        <w:t xml:space="preserve">by adjusting the default percentages in </w:t>
      </w:r>
      <w:r w:rsidR="00014323" w:rsidRPr="00097A86">
        <w:t>columns 2, 3, 4 and 5</w:t>
      </w:r>
      <w:r w:rsidRPr="00097A86">
        <w:t xml:space="preserve"> of the following table for the item for each unrestricted waste mix type, in accordance with the following formula:</w:t>
      </w:r>
    </w:p>
    <w:p w14:paraId="2E7D69FE" w14:textId="77777777" w:rsidR="00AC64A0" w:rsidRPr="00097A86" w:rsidRDefault="00D22D3F" w:rsidP="00D22D3F">
      <w:pPr>
        <w:pStyle w:val="paragraph"/>
        <w:spacing w:before="120" w:after="120"/>
      </w:pPr>
      <w:r w:rsidRPr="00097A86">
        <w:tab/>
      </w:r>
      <w:r w:rsidRPr="00097A86">
        <w:tab/>
      </w:r>
      <w:r w:rsidR="009E1F90">
        <w:rPr>
          <w:noProof/>
        </w:rPr>
        <w:drawing>
          <wp:inline distT="0" distB="0" distL="0" distR="0" wp14:anchorId="716B3FE3" wp14:editId="3A7ECB32">
            <wp:extent cx="2447925" cy="46672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p w14:paraId="1C57FE08" w14:textId="77777777" w:rsidR="00AC64A0" w:rsidRPr="00097A86" w:rsidRDefault="00AC64A0" w:rsidP="00D22D3F">
      <w:pPr>
        <w:pStyle w:val="subsection2"/>
      </w:pPr>
      <w:r w:rsidRPr="00097A86">
        <w:t>where:</w:t>
      </w:r>
    </w:p>
    <w:p w14:paraId="76B93AB1" w14:textId="77777777" w:rsidR="00AC64A0" w:rsidRPr="00097A86" w:rsidRDefault="00AC64A0" w:rsidP="00D22D3F">
      <w:pPr>
        <w:pStyle w:val="Definition"/>
      </w:pPr>
      <w:r w:rsidRPr="00097A86">
        <w:rPr>
          <w:b/>
          <w:i/>
        </w:rPr>
        <w:t>W</w:t>
      </w:r>
      <w:r w:rsidRPr="00097A86">
        <w:rPr>
          <w:b/>
          <w:i/>
          <w:vertAlign w:val="subscript"/>
        </w:rPr>
        <w:t>mtuadj</w:t>
      </w:r>
      <w:r w:rsidRPr="00097A86">
        <w:rPr>
          <w:b/>
          <w:i/>
        </w:rPr>
        <w:t xml:space="preserve"> </w:t>
      </w:r>
      <w:r w:rsidRPr="00097A86">
        <w:t>is the adjusted percentage for each unrestricted waste mix type.</w:t>
      </w:r>
    </w:p>
    <w:p w14:paraId="3B0D8493" w14:textId="77777777" w:rsidR="00AC64A0" w:rsidRPr="00097A86" w:rsidRDefault="00AC64A0" w:rsidP="00D22D3F">
      <w:pPr>
        <w:pStyle w:val="Definition"/>
      </w:pPr>
      <w:r w:rsidRPr="00097A86">
        <w:rPr>
          <w:b/>
          <w:i/>
        </w:rPr>
        <w:t>W</w:t>
      </w:r>
      <w:r w:rsidRPr="00097A86">
        <w:rPr>
          <w:b/>
          <w:i/>
          <w:vertAlign w:val="subscript"/>
        </w:rPr>
        <w:t>mtu</w:t>
      </w:r>
      <w:r w:rsidRPr="00097A86">
        <w:rPr>
          <w:b/>
          <w:i/>
        </w:rPr>
        <w:t xml:space="preserve"> </w:t>
      </w:r>
      <w:r w:rsidRPr="00097A86">
        <w:t xml:space="preserve">is the default percentage for each unrestricted waste mix type in </w:t>
      </w:r>
      <w:r w:rsidR="00014323" w:rsidRPr="00097A86">
        <w:t>columns 2, 3, 4 and 5</w:t>
      </w:r>
      <w:r w:rsidRPr="00097A86">
        <w:t xml:space="preserve"> of the table appearing immediately before the example.</w:t>
      </w:r>
    </w:p>
    <w:p w14:paraId="10A3C104" w14:textId="77777777" w:rsidR="00AC64A0" w:rsidRPr="00097A86" w:rsidRDefault="00AC64A0" w:rsidP="00D22D3F">
      <w:pPr>
        <w:pStyle w:val="Definition"/>
      </w:pPr>
      <w:r w:rsidRPr="00097A86">
        <w:rPr>
          <w:b/>
          <w:i/>
        </w:rPr>
        <w:t>W</w:t>
      </w:r>
      <w:r w:rsidRPr="00097A86">
        <w:rPr>
          <w:b/>
          <w:i/>
          <w:vertAlign w:val="subscript"/>
        </w:rPr>
        <w:t>mtr</w:t>
      </w:r>
      <w:r w:rsidRPr="00097A86">
        <w:rPr>
          <w:b/>
          <w:i/>
        </w:rPr>
        <w:t xml:space="preserve"> </w:t>
      </w:r>
      <w:r w:rsidRPr="00097A86">
        <w:t xml:space="preserve">is the default percentage for each restricted waste mix type in </w:t>
      </w:r>
      <w:r w:rsidR="00014323" w:rsidRPr="00097A86">
        <w:t>columns 2, 3, 4 and 5</w:t>
      </w:r>
      <w:r w:rsidRPr="00097A86">
        <w:t xml:space="preserve"> of the table appearing immediately before the example.</w:t>
      </w:r>
    </w:p>
    <w:p w14:paraId="7530601C" w14:textId="77777777" w:rsidR="00AC64A0" w:rsidRPr="00097A86" w:rsidRDefault="00AC64A0" w:rsidP="00D22D3F">
      <w:pPr>
        <w:pStyle w:val="Definition"/>
      </w:pPr>
      <w:r w:rsidRPr="00097A86">
        <w:rPr>
          <w:b/>
          <w:i/>
        </w:rPr>
        <w:lastRenderedPageBreak/>
        <w:t>W</w:t>
      </w:r>
      <w:r w:rsidRPr="00097A86">
        <w:rPr>
          <w:b/>
          <w:i/>
          <w:vertAlign w:val="subscript"/>
        </w:rPr>
        <w:t>mtrmax</w:t>
      </w:r>
      <w:r w:rsidRPr="00097A86">
        <w:rPr>
          <w:b/>
          <w:i/>
        </w:rPr>
        <w:t xml:space="preserve"> </w:t>
      </w:r>
      <w:r w:rsidRPr="00097A86">
        <w:t xml:space="preserve">is the maximum percentage for each restricted waste mix type. </w:t>
      </w:r>
    </w:p>
    <w:p w14:paraId="5BE41213" w14:textId="77777777" w:rsidR="00AC64A0" w:rsidRPr="00097A86" w:rsidRDefault="00AC64A0" w:rsidP="00D22D3F">
      <w:pPr>
        <w:pStyle w:val="Definition"/>
      </w:pPr>
      <w:r w:rsidRPr="00097A86">
        <w:rPr>
          <w:b/>
          <w:i/>
        </w:rPr>
        <w:t xml:space="preserve">∑ </w:t>
      </w:r>
      <w:r w:rsidRPr="00097A86">
        <w:t>means sum the results for each unrestricted waste mix type.</w:t>
      </w:r>
    </w:p>
    <w:p w14:paraId="57963F23" w14:textId="77777777" w:rsidR="00014323" w:rsidRPr="00097A86" w:rsidRDefault="00014323" w:rsidP="0001432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4"/>
        <w:gridCol w:w="1277"/>
        <w:gridCol w:w="1560"/>
        <w:gridCol w:w="1560"/>
        <w:gridCol w:w="1561"/>
        <w:gridCol w:w="1651"/>
      </w:tblGrid>
      <w:tr w:rsidR="00014323" w:rsidRPr="00097A86" w14:paraId="5631C08E" w14:textId="77777777" w:rsidTr="00C20CC2">
        <w:trPr>
          <w:tblHeader/>
        </w:trPr>
        <w:tc>
          <w:tcPr>
            <w:tcW w:w="5000" w:type="pct"/>
            <w:gridSpan w:val="6"/>
            <w:tcBorders>
              <w:top w:val="single" w:sz="12" w:space="0" w:color="auto"/>
              <w:bottom w:val="single" w:sz="6" w:space="0" w:color="auto"/>
            </w:tcBorders>
            <w:shd w:val="clear" w:color="auto" w:fill="auto"/>
          </w:tcPr>
          <w:p w14:paraId="3A01128F" w14:textId="77777777" w:rsidR="00014323" w:rsidRPr="00097A86" w:rsidRDefault="00014323" w:rsidP="00657E43">
            <w:pPr>
              <w:pStyle w:val="TableHeading"/>
            </w:pPr>
            <w:r w:rsidRPr="00097A86">
              <w:t>Default waste stream percentage for waste mix type</w:t>
            </w:r>
          </w:p>
        </w:tc>
      </w:tr>
      <w:tr w:rsidR="00014323" w:rsidRPr="00097A86" w14:paraId="1AAE5CAA" w14:textId="77777777" w:rsidTr="00C20CC2">
        <w:trPr>
          <w:tblHeader/>
        </w:trPr>
        <w:tc>
          <w:tcPr>
            <w:tcW w:w="424" w:type="pct"/>
            <w:tcBorders>
              <w:top w:val="single" w:sz="6" w:space="0" w:color="auto"/>
              <w:bottom w:val="nil"/>
            </w:tcBorders>
            <w:shd w:val="clear" w:color="auto" w:fill="auto"/>
          </w:tcPr>
          <w:p w14:paraId="4DB4E1CD" w14:textId="77777777" w:rsidR="00014323" w:rsidRPr="00097A86" w:rsidRDefault="00014323" w:rsidP="00657E43">
            <w:pPr>
              <w:pStyle w:val="TableHeading"/>
            </w:pPr>
            <w:r w:rsidRPr="00097A86">
              <w:t>Item</w:t>
            </w:r>
          </w:p>
        </w:tc>
        <w:tc>
          <w:tcPr>
            <w:tcW w:w="768" w:type="pct"/>
            <w:tcBorders>
              <w:top w:val="single" w:sz="6" w:space="0" w:color="auto"/>
              <w:bottom w:val="nil"/>
            </w:tcBorders>
            <w:shd w:val="clear" w:color="auto" w:fill="auto"/>
          </w:tcPr>
          <w:p w14:paraId="2F4743A0" w14:textId="77777777" w:rsidR="00014323" w:rsidRPr="00097A86" w:rsidRDefault="00014323" w:rsidP="00657E43">
            <w:pPr>
              <w:pStyle w:val="TableHeading"/>
            </w:pPr>
            <w:r w:rsidRPr="00097A86">
              <w:t>Column 1</w:t>
            </w:r>
          </w:p>
        </w:tc>
        <w:tc>
          <w:tcPr>
            <w:tcW w:w="938" w:type="pct"/>
            <w:tcBorders>
              <w:top w:val="single" w:sz="6" w:space="0" w:color="auto"/>
              <w:bottom w:val="nil"/>
            </w:tcBorders>
            <w:shd w:val="clear" w:color="auto" w:fill="auto"/>
          </w:tcPr>
          <w:p w14:paraId="5BFA15E8" w14:textId="77777777" w:rsidR="00014323" w:rsidRPr="00097A86" w:rsidRDefault="00014323" w:rsidP="00657E43">
            <w:pPr>
              <w:pStyle w:val="TableHeading"/>
            </w:pPr>
            <w:r w:rsidRPr="00097A86">
              <w:t>Column 2</w:t>
            </w:r>
          </w:p>
        </w:tc>
        <w:tc>
          <w:tcPr>
            <w:tcW w:w="938" w:type="pct"/>
            <w:tcBorders>
              <w:top w:val="single" w:sz="6" w:space="0" w:color="auto"/>
              <w:bottom w:val="nil"/>
            </w:tcBorders>
            <w:shd w:val="clear" w:color="auto" w:fill="auto"/>
          </w:tcPr>
          <w:p w14:paraId="24275BBF" w14:textId="77777777" w:rsidR="00014323" w:rsidRPr="00097A86" w:rsidRDefault="00014323" w:rsidP="00657E43">
            <w:pPr>
              <w:pStyle w:val="TableHeading"/>
            </w:pPr>
            <w:r w:rsidRPr="00097A86">
              <w:t>Column 3</w:t>
            </w:r>
          </w:p>
        </w:tc>
        <w:tc>
          <w:tcPr>
            <w:tcW w:w="939" w:type="pct"/>
            <w:tcBorders>
              <w:top w:val="single" w:sz="6" w:space="0" w:color="auto"/>
              <w:bottom w:val="nil"/>
            </w:tcBorders>
            <w:shd w:val="clear" w:color="auto" w:fill="auto"/>
          </w:tcPr>
          <w:p w14:paraId="14F76889" w14:textId="77777777" w:rsidR="00014323" w:rsidRPr="00097A86" w:rsidRDefault="00014323" w:rsidP="00657E43">
            <w:pPr>
              <w:pStyle w:val="TableHeading"/>
            </w:pPr>
            <w:r w:rsidRPr="00097A86">
              <w:t>Column 4</w:t>
            </w:r>
          </w:p>
        </w:tc>
        <w:tc>
          <w:tcPr>
            <w:tcW w:w="993" w:type="pct"/>
            <w:tcBorders>
              <w:top w:val="single" w:sz="6" w:space="0" w:color="auto"/>
              <w:bottom w:val="nil"/>
            </w:tcBorders>
            <w:shd w:val="clear" w:color="auto" w:fill="auto"/>
          </w:tcPr>
          <w:p w14:paraId="72720172" w14:textId="77777777" w:rsidR="00014323" w:rsidRPr="00097A86" w:rsidRDefault="00014323" w:rsidP="00657E43">
            <w:pPr>
              <w:pStyle w:val="TableHeading"/>
            </w:pPr>
            <w:r w:rsidRPr="00097A86">
              <w:t>Column 5</w:t>
            </w:r>
          </w:p>
        </w:tc>
      </w:tr>
      <w:tr w:rsidR="00014323" w:rsidRPr="00097A86" w14:paraId="0D233C6A" w14:textId="77777777" w:rsidTr="00C20CC2">
        <w:trPr>
          <w:tblHeader/>
        </w:trPr>
        <w:tc>
          <w:tcPr>
            <w:tcW w:w="424" w:type="pct"/>
            <w:tcBorders>
              <w:top w:val="nil"/>
              <w:bottom w:val="single" w:sz="12" w:space="0" w:color="auto"/>
            </w:tcBorders>
            <w:shd w:val="clear" w:color="auto" w:fill="auto"/>
          </w:tcPr>
          <w:p w14:paraId="2E25AF1D" w14:textId="77777777" w:rsidR="00014323" w:rsidRPr="00097A86" w:rsidRDefault="00014323" w:rsidP="00657E43">
            <w:pPr>
              <w:pStyle w:val="TableHeading"/>
            </w:pPr>
          </w:p>
        </w:tc>
        <w:tc>
          <w:tcPr>
            <w:tcW w:w="768" w:type="pct"/>
            <w:tcBorders>
              <w:top w:val="nil"/>
              <w:bottom w:val="single" w:sz="12" w:space="0" w:color="auto"/>
            </w:tcBorders>
            <w:shd w:val="clear" w:color="auto" w:fill="auto"/>
          </w:tcPr>
          <w:p w14:paraId="76BBBEB4" w14:textId="77777777" w:rsidR="00014323" w:rsidRPr="00097A86" w:rsidRDefault="00014323" w:rsidP="00657E43">
            <w:pPr>
              <w:pStyle w:val="TableHeading"/>
            </w:pPr>
            <w:r w:rsidRPr="00097A86">
              <w:t>Waste mix type</w:t>
            </w:r>
          </w:p>
        </w:tc>
        <w:tc>
          <w:tcPr>
            <w:tcW w:w="938" w:type="pct"/>
            <w:tcBorders>
              <w:top w:val="nil"/>
              <w:bottom w:val="single" w:sz="12" w:space="0" w:color="auto"/>
            </w:tcBorders>
            <w:shd w:val="clear" w:color="auto" w:fill="auto"/>
          </w:tcPr>
          <w:p w14:paraId="1B8FF10F" w14:textId="77777777" w:rsidR="00014323" w:rsidRPr="00097A86" w:rsidRDefault="00014323" w:rsidP="00657E43">
            <w:pPr>
              <w:pStyle w:val="TableHeading"/>
            </w:pPr>
            <w:r w:rsidRPr="00097A86">
              <w:t>Municipal solid waste class I default (%)</w:t>
            </w:r>
          </w:p>
        </w:tc>
        <w:tc>
          <w:tcPr>
            <w:tcW w:w="938" w:type="pct"/>
            <w:tcBorders>
              <w:top w:val="nil"/>
              <w:bottom w:val="single" w:sz="12" w:space="0" w:color="auto"/>
            </w:tcBorders>
            <w:shd w:val="clear" w:color="auto" w:fill="auto"/>
          </w:tcPr>
          <w:p w14:paraId="7C1F950D" w14:textId="77777777" w:rsidR="00014323" w:rsidRPr="00097A86" w:rsidRDefault="00014323" w:rsidP="00657E43">
            <w:pPr>
              <w:pStyle w:val="TableHeading"/>
            </w:pPr>
            <w:r w:rsidRPr="00097A86">
              <w:t>Municipal solid waste class II default (%)</w:t>
            </w:r>
          </w:p>
        </w:tc>
        <w:tc>
          <w:tcPr>
            <w:tcW w:w="939" w:type="pct"/>
            <w:tcBorders>
              <w:top w:val="nil"/>
              <w:bottom w:val="single" w:sz="12" w:space="0" w:color="auto"/>
            </w:tcBorders>
            <w:shd w:val="clear" w:color="auto" w:fill="auto"/>
          </w:tcPr>
          <w:p w14:paraId="62A6144C" w14:textId="77777777" w:rsidR="00014323" w:rsidRPr="00097A86" w:rsidRDefault="00014323" w:rsidP="00657E43">
            <w:pPr>
              <w:pStyle w:val="TableHeading"/>
            </w:pPr>
            <w:r w:rsidRPr="00097A86">
              <w:t>Commercial and industrial waste default (%)</w:t>
            </w:r>
          </w:p>
        </w:tc>
        <w:tc>
          <w:tcPr>
            <w:tcW w:w="993" w:type="pct"/>
            <w:tcBorders>
              <w:top w:val="nil"/>
              <w:bottom w:val="single" w:sz="12" w:space="0" w:color="auto"/>
            </w:tcBorders>
            <w:shd w:val="clear" w:color="auto" w:fill="auto"/>
          </w:tcPr>
          <w:p w14:paraId="18659C20" w14:textId="77777777" w:rsidR="00014323" w:rsidRPr="00097A86" w:rsidRDefault="00014323" w:rsidP="00657E43">
            <w:pPr>
              <w:pStyle w:val="TableHeading"/>
            </w:pPr>
            <w:r w:rsidRPr="00097A86">
              <w:t>Construction and demolition waste default (%)</w:t>
            </w:r>
          </w:p>
        </w:tc>
      </w:tr>
      <w:tr w:rsidR="00014323" w:rsidRPr="00097A86" w14:paraId="3A44C5C7" w14:textId="77777777" w:rsidTr="00C20CC2">
        <w:tc>
          <w:tcPr>
            <w:tcW w:w="424" w:type="pct"/>
            <w:tcBorders>
              <w:top w:val="single" w:sz="12" w:space="0" w:color="auto"/>
            </w:tcBorders>
            <w:shd w:val="clear" w:color="auto" w:fill="auto"/>
          </w:tcPr>
          <w:p w14:paraId="1BD1583F" w14:textId="77777777" w:rsidR="00014323" w:rsidRPr="00097A86" w:rsidRDefault="00014323" w:rsidP="00657E43">
            <w:pPr>
              <w:pStyle w:val="Tabletext"/>
            </w:pPr>
            <w:r w:rsidRPr="00097A86">
              <w:t>1</w:t>
            </w:r>
          </w:p>
        </w:tc>
        <w:tc>
          <w:tcPr>
            <w:tcW w:w="768" w:type="pct"/>
            <w:tcBorders>
              <w:top w:val="single" w:sz="12" w:space="0" w:color="auto"/>
            </w:tcBorders>
            <w:shd w:val="clear" w:color="auto" w:fill="auto"/>
          </w:tcPr>
          <w:p w14:paraId="49332308" w14:textId="77777777" w:rsidR="00014323" w:rsidRPr="00097A86" w:rsidRDefault="00014323" w:rsidP="00657E43">
            <w:pPr>
              <w:pStyle w:val="Tabletext"/>
            </w:pPr>
            <w:r w:rsidRPr="00097A86">
              <w:t>Food</w:t>
            </w:r>
          </w:p>
        </w:tc>
        <w:tc>
          <w:tcPr>
            <w:tcW w:w="938" w:type="pct"/>
            <w:tcBorders>
              <w:top w:val="single" w:sz="12" w:space="0" w:color="auto"/>
            </w:tcBorders>
            <w:shd w:val="clear" w:color="auto" w:fill="auto"/>
          </w:tcPr>
          <w:p w14:paraId="49D3C1F2" w14:textId="77777777" w:rsidR="00014323" w:rsidRPr="00097A86" w:rsidRDefault="00014323" w:rsidP="00657E43">
            <w:pPr>
              <w:pStyle w:val="Tabletext"/>
              <w:tabs>
                <w:tab w:val="decimal" w:pos="680"/>
              </w:tabs>
            </w:pPr>
            <w:r w:rsidRPr="00097A86">
              <w:t>35</w:t>
            </w:r>
          </w:p>
        </w:tc>
        <w:tc>
          <w:tcPr>
            <w:tcW w:w="938" w:type="pct"/>
            <w:tcBorders>
              <w:top w:val="single" w:sz="12" w:space="0" w:color="auto"/>
            </w:tcBorders>
            <w:shd w:val="clear" w:color="auto" w:fill="auto"/>
          </w:tcPr>
          <w:p w14:paraId="5BC44B29" w14:textId="77777777" w:rsidR="00014323" w:rsidRPr="00097A86" w:rsidRDefault="00014323" w:rsidP="00657E43">
            <w:pPr>
              <w:pStyle w:val="Tabletext"/>
              <w:tabs>
                <w:tab w:val="decimal" w:pos="680"/>
              </w:tabs>
            </w:pPr>
            <w:r w:rsidRPr="00097A86">
              <w:t>40.3</w:t>
            </w:r>
          </w:p>
        </w:tc>
        <w:tc>
          <w:tcPr>
            <w:tcW w:w="939" w:type="pct"/>
            <w:tcBorders>
              <w:top w:val="single" w:sz="12" w:space="0" w:color="auto"/>
            </w:tcBorders>
            <w:shd w:val="clear" w:color="auto" w:fill="auto"/>
          </w:tcPr>
          <w:p w14:paraId="14845377" w14:textId="77777777" w:rsidR="00014323" w:rsidRPr="00097A86" w:rsidRDefault="00014323" w:rsidP="00657E43">
            <w:pPr>
              <w:pStyle w:val="Tabletext"/>
              <w:tabs>
                <w:tab w:val="decimal" w:pos="680"/>
              </w:tabs>
            </w:pPr>
            <w:r w:rsidRPr="00097A86">
              <w:t>21.5</w:t>
            </w:r>
          </w:p>
        </w:tc>
        <w:tc>
          <w:tcPr>
            <w:tcW w:w="993" w:type="pct"/>
            <w:tcBorders>
              <w:top w:val="single" w:sz="12" w:space="0" w:color="auto"/>
            </w:tcBorders>
            <w:shd w:val="clear" w:color="auto" w:fill="auto"/>
          </w:tcPr>
          <w:p w14:paraId="3382C177" w14:textId="77777777" w:rsidR="00014323" w:rsidRPr="00097A86" w:rsidRDefault="00014323" w:rsidP="00657E43">
            <w:pPr>
              <w:pStyle w:val="Tabletext"/>
              <w:tabs>
                <w:tab w:val="decimal" w:pos="780"/>
              </w:tabs>
            </w:pPr>
            <w:r w:rsidRPr="00097A86">
              <w:t>0</w:t>
            </w:r>
          </w:p>
        </w:tc>
      </w:tr>
      <w:tr w:rsidR="00014323" w:rsidRPr="00097A86" w14:paraId="2D0D7295" w14:textId="77777777" w:rsidTr="00C20CC2">
        <w:tc>
          <w:tcPr>
            <w:tcW w:w="424" w:type="pct"/>
            <w:shd w:val="clear" w:color="auto" w:fill="auto"/>
          </w:tcPr>
          <w:p w14:paraId="7B642B12" w14:textId="77777777" w:rsidR="00014323" w:rsidRPr="00097A86" w:rsidRDefault="00014323" w:rsidP="00657E43">
            <w:pPr>
              <w:pStyle w:val="Tabletext"/>
            </w:pPr>
            <w:r w:rsidRPr="00097A86">
              <w:t>2</w:t>
            </w:r>
          </w:p>
        </w:tc>
        <w:tc>
          <w:tcPr>
            <w:tcW w:w="768" w:type="pct"/>
            <w:shd w:val="clear" w:color="auto" w:fill="auto"/>
          </w:tcPr>
          <w:p w14:paraId="4CD55231" w14:textId="77777777" w:rsidR="00014323" w:rsidRPr="00097A86" w:rsidRDefault="00014323" w:rsidP="00657E43">
            <w:pPr>
              <w:pStyle w:val="Tabletext"/>
              <w:rPr>
                <w:rFonts w:eastAsiaTheme="minorHAnsi" w:cstheme="minorBidi"/>
              </w:rPr>
            </w:pPr>
            <w:r w:rsidRPr="00097A86">
              <w:t>Paper and cardboard</w:t>
            </w:r>
          </w:p>
        </w:tc>
        <w:tc>
          <w:tcPr>
            <w:tcW w:w="938" w:type="pct"/>
            <w:shd w:val="clear" w:color="auto" w:fill="auto"/>
          </w:tcPr>
          <w:p w14:paraId="2EBEF6FF" w14:textId="77777777" w:rsidR="00014323" w:rsidRPr="00097A86" w:rsidRDefault="00014323" w:rsidP="00657E43">
            <w:pPr>
              <w:pStyle w:val="Tabletext"/>
              <w:tabs>
                <w:tab w:val="decimal" w:pos="680"/>
              </w:tabs>
            </w:pPr>
            <w:r w:rsidRPr="00097A86">
              <w:t>13</w:t>
            </w:r>
          </w:p>
        </w:tc>
        <w:tc>
          <w:tcPr>
            <w:tcW w:w="938" w:type="pct"/>
            <w:shd w:val="clear" w:color="auto" w:fill="auto"/>
          </w:tcPr>
          <w:p w14:paraId="6F165C44" w14:textId="77777777" w:rsidR="00014323" w:rsidRPr="00097A86" w:rsidRDefault="00014323" w:rsidP="00657E43">
            <w:pPr>
              <w:pStyle w:val="Tabletext"/>
              <w:tabs>
                <w:tab w:val="decimal" w:pos="680"/>
              </w:tabs>
            </w:pPr>
            <w:r w:rsidRPr="00097A86">
              <w:t>15.0</w:t>
            </w:r>
          </w:p>
        </w:tc>
        <w:tc>
          <w:tcPr>
            <w:tcW w:w="939" w:type="pct"/>
            <w:shd w:val="clear" w:color="auto" w:fill="auto"/>
          </w:tcPr>
          <w:p w14:paraId="47DE8F6B" w14:textId="77777777" w:rsidR="00014323" w:rsidRPr="00097A86" w:rsidRDefault="00014323" w:rsidP="00657E43">
            <w:pPr>
              <w:pStyle w:val="Tabletext"/>
              <w:tabs>
                <w:tab w:val="decimal" w:pos="680"/>
              </w:tabs>
            </w:pPr>
            <w:r w:rsidRPr="00097A86">
              <w:t>15.5</w:t>
            </w:r>
          </w:p>
        </w:tc>
        <w:tc>
          <w:tcPr>
            <w:tcW w:w="993" w:type="pct"/>
            <w:shd w:val="clear" w:color="auto" w:fill="auto"/>
          </w:tcPr>
          <w:p w14:paraId="4030D94F" w14:textId="77777777" w:rsidR="00014323" w:rsidRPr="00097A86" w:rsidRDefault="00014323" w:rsidP="00657E43">
            <w:pPr>
              <w:pStyle w:val="Tabletext"/>
              <w:tabs>
                <w:tab w:val="decimal" w:pos="780"/>
              </w:tabs>
            </w:pPr>
            <w:r w:rsidRPr="00097A86">
              <w:t>3</w:t>
            </w:r>
          </w:p>
        </w:tc>
      </w:tr>
      <w:tr w:rsidR="00014323" w:rsidRPr="00097A86" w14:paraId="68C3D22E" w14:textId="77777777" w:rsidTr="00C20CC2">
        <w:tc>
          <w:tcPr>
            <w:tcW w:w="424" w:type="pct"/>
            <w:shd w:val="clear" w:color="auto" w:fill="auto"/>
          </w:tcPr>
          <w:p w14:paraId="77F19185" w14:textId="77777777" w:rsidR="00014323" w:rsidRPr="00097A86" w:rsidRDefault="00014323" w:rsidP="00657E43">
            <w:pPr>
              <w:pStyle w:val="Tabletext"/>
            </w:pPr>
            <w:r w:rsidRPr="00097A86">
              <w:t>3</w:t>
            </w:r>
          </w:p>
        </w:tc>
        <w:tc>
          <w:tcPr>
            <w:tcW w:w="768" w:type="pct"/>
            <w:shd w:val="clear" w:color="auto" w:fill="auto"/>
          </w:tcPr>
          <w:p w14:paraId="0968A1E4" w14:textId="77777777" w:rsidR="00014323" w:rsidRPr="00097A86" w:rsidRDefault="00014323" w:rsidP="00657E43">
            <w:pPr>
              <w:pStyle w:val="Tabletext"/>
            </w:pPr>
            <w:r w:rsidRPr="00097A86">
              <w:t>Garden and park</w:t>
            </w:r>
          </w:p>
        </w:tc>
        <w:tc>
          <w:tcPr>
            <w:tcW w:w="938" w:type="pct"/>
            <w:shd w:val="clear" w:color="auto" w:fill="auto"/>
          </w:tcPr>
          <w:p w14:paraId="0E176400" w14:textId="77777777" w:rsidR="00014323" w:rsidRPr="00097A86" w:rsidRDefault="00014323" w:rsidP="00657E43">
            <w:pPr>
              <w:pStyle w:val="Tabletext"/>
              <w:tabs>
                <w:tab w:val="decimal" w:pos="680"/>
              </w:tabs>
            </w:pPr>
            <w:r w:rsidRPr="00097A86">
              <w:t>16.5</w:t>
            </w:r>
          </w:p>
        </w:tc>
        <w:tc>
          <w:tcPr>
            <w:tcW w:w="938" w:type="pct"/>
            <w:shd w:val="clear" w:color="auto" w:fill="auto"/>
          </w:tcPr>
          <w:p w14:paraId="32640202" w14:textId="77777777" w:rsidR="00014323" w:rsidRPr="00097A86" w:rsidRDefault="00014323" w:rsidP="00657E43">
            <w:pPr>
              <w:pStyle w:val="Tabletext"/>
              <w:tabs>
                <w:tab w:val="decimal" w:pos="680"/>
              </w:tabs>
            </w:pPr>
            <w:r w:rsidRPr="00097A86">
              <w:t>3.9</w:t>
            </w:r>
          </w:p>
        </w:tc>
        <w:tc>
          <w:tcPr>
            <w:tcW w:w="939" w:type="pct"/>
            <w:shd w:val="clear" w:color="auto" w:fill="auto"/>
          </w:tcPr>
          <w:p w14:paraId="41ADCE6F" w14:textId="77777777" w:rsidR="00014323" w:rsidRPr="00097A86" w:rsidRDefault="00014323" w:rsidP="00657E43">
            <w:pPr>
              <w:pStyle w:val="Tabletext"/>
              <w:tabs>
                <w:tab w:val="decimal" w:pos="680"/>
              </w:tabs>
            </w:pPr>
            <w:r w:rsidRPr="00097A86">
              <w:t>4</w:t>
            </w:r>
          </w:p>
        </w:tc>
        <w:tc>
          <w:tcPr>
            <w:tcW w:w="993" w:type="pct"/>
            <w:shd w:val="clear" w:color="auto" w:fill="auto"/>
          </w:tcPr>
          <w:p w14:paraId="43D54BA5" w14:textId="77777777" w:rsidR="00014323" w:rsidRPr="00097A86" w:rsidRDefault="00014323" w:rsidP="00657E43">
            <w:pPr>
              <w:pStyle w:val="Tabletext"/>
              <w:tabs>
                <w:tab w:val="decimal" w:pos="780"/>
              </w:tabs>
            </w:pPr>
            <w:r w:rsidRPr="00097A86">
              <w:t>2</w:t>
            </w:r>
          </w:p>
        </w:tc>
      </w:tr>
      <w:tr w:rsidR="00014323" w:rsidRPr="00097A86" w14:paraId="738EC880" w14:textId="77777777" w:rsidTr="00C20CC2">
        <w:tc>
          <w:tcPr>
            <w:tcW w:w="424" w:type="pct"/>
            <w:shd w:val="clear" w:color="auto" w:fill="auto"/>
          </w:tcPr>
          <w:p w14:paraId="3B63155D" w14:textId="77777777" w:rsidR="00014323" w:rsidRPr="00097A86" w:rsidRDefault="00014323" w:rsidP="00657E43">
            <w:pPr>
              <w:pStyle w:val="Tabletext"/>
            </w:pPr>
            <w:r w:rsidRPr="00097A86">
              <w:t>4</w:t>
            </w:r>
          </w:p>
        </w:tc>
        <w:tc>
          <w:tcPr>
            <w:tcW w:w="768" w:type="pct"/>
            <w:shd w:val="clear" w:color="auto" w:fill="auto"/>
          </w:tcPr>
          <w:p w14:paraId="633764C7" w14:textId="77777777" w:rsidR="00014323" w:rsidRPr="00097A86" w:rsidRDefault="00014323" w:rsidP="00657E43">
            <w:pPr>
              <w:pStyle w:val="Tabletext"/>
            </w:pPr>
            <w:r w:rsidRPr="00097A86">
              <w:t>Wood and wood waste</w:t>
            </w:r>
          </w:p>
        </w:tc>
        <w:tc>
          <w:tcPr>
            <w:tcW w:w="938" w:type="pct"/>
            <w:shd w:val="clear" w:color="auto" w:fill="auto"/>
          </w:tcPr>
          <w:p w14:paraId="5F2217E2" w14:textId="77777777" w:rsidR="00014323" w:rsidRPr="00097A86" w:rsidRDefault="00014323" w:rsidP="00657E43">
            <w:pPr>
              <w:pStyle w:val="Tabletext"/>
              <w:tabs>
                <w:tab w:val="decimal" w:pos="680"/>
              </w:tabs>
            </w:pPr>
            <w:r w:rsidRPr="00097A86">
              <w:t>1</w:t>
            </w:r>
          </w:p>
        </w:tc>
        <w:tc>
          <w:tcPr>
            <w:tcW w:w="938" w:type="pct"/>
            <w:shd w:val="clear" w:color="auto" w:fill="auto"/>
          </w:tcPr>
          <w:p w14:paraId="39FB2107" w14:textId="77777777" w:rsidR="00014323" w:rsidRPr="00097A86" w:rsidRDefault="00014323" w:rsidP="00657E43">
            <w:pPr>
              <w:pStyle w:val="Tabletext"/>
              <w:tabs>
                <w:tab w:val="decimal" w:pos="680"/>
              </w:tabs>
            </w:pPr>
            <w:r w:rsidRPr="00097A86">
              <w:t>1.2</w:t>
            </w:r>
          </w:p>
        </w:tc>
        <w:tc>
          <w:tcPr>
            <w:tcW w:w="939" w:type="pct"/>
            <w:shd w:val="clear" w:color="auto" w:fill="auto"/>
          </w:tcPr>
          <w:p w14:paraId="722EE0E8" w14:textId="77777777" w:rsidR="00014323" w:rsidRPr="00097A86" w:rsidRDefault="00014323" w:rsidP="00657E43">
            <w:pPr>
              <w:pStyle w:val="Tabletext"/>
              <w:tabs>
                <w:tab w:val="decimal" w:pos="680"/>
              </w:tabs>
            </w:pPr>
            <w:r w:rsidRPr="00097A86">
              <w:t>12.5</w:t>
            </w:r>
          </w:p>
        </w:tc>
        <w:tc>
          <w:tcPr>
            <w:tcW w:w="993" w:type="pct"/>
            <w:shd w:val="clear" w:color="auto" w:fill="auto"/>
          </w:tcPr>
          <w:p w14:paraId="0B771C8B" w14:textId="77777777" w:rsidR="00014323" w:rsidRPr="00097A86" w:rsidRDefault="00014323" w:rsidP="00657E43">
            <w:pPr>
              <w:pStyle w:val="Tabletext"/>
              <w:tabs>
                <w:tab w:val="decimal" w:pos="780"/>
              </w:tabs>
            </w:pPr>
            <w:r w:rsidRPr="00097A86">
              <w:t>6</w:t>
            </w:r>
          </w:p>
        </w:tc>
      </w:tr>
      <w:tr w:rsidR="00014323" w:rsidRPr="00097A86" w14:paraId="1275DCC4" w14:textId="77777777" w:rsidTr="00C20CC2">
        <w:tc>
          <w:tcPr>
            <w:tcW w:w="424" w:type="pct"/>
            <w:shd w:val="clear" w:color="auto" w:fill="auto"/>
          </w:tcPr>
          <w:p w14:paraId="47AEC5B2" w14:textId="77777777" w:rsidR="00014323" w:rsidRPr="00097A86" w:rsidRDefault="00014323" w:rsidP="00657E43">
            <w:pPr>
              <w:pStyle w:val="Tabletext"/>
            </w:pPr>
            <w:r w:rsidRPr="00097A86">
              <w:t>5</w:t>
            </w:r>
          </w:p>
        </w:tc>
        <w:tc>
          <w:tcPr>
            <w:tcW w:w="768" w:type="pct"/>
            <w:shd w:val="clear" w:color="auto" w:fill="auto"/>
          </w:tcPr>
          <w:p w14:paraId="16E3066C" w14:textId="77777777" w:rsidR="00014323" w:rsidRPr="00097A86" w:rsidRDefault="00014323" w:rsidP="00657E43">
            <w:pPr>
              <w:pStyle w:val="Tabletext"/>
            </w:pPr>
            <w:r w:rsidRPr="00097A86">
              <w:t>Textiles</w:t>
            </w:r>
          </w:p>
        </w:tc>
        <w:tc>
          <w:tcPr>
            <w:tcW w:w="938" w:type="pct"/>
            <w:shd w:val="clear" w:color="auto" w:fill="auto"/>
          </w:tcPr>
          <w:p w14:paraId="1E7A1F06" w14:textId="77777777" w:rsidR="00014323" w:rsidRPr="00097A86" w:rsidRDefault="00014323" w:rsidP="00657E43">
            <w:pPr>
              <w:pStyle w:val="Tabletext"/>
              <w:tabs>
                <w:tab w:val="decimal" w:pos="680"/>
              </w:tabs>
            </w:pPr>
            <w:r w:rsidRPr="00097A86">
              <w:t>1.5</w:t>
            </w:r>
          </w:p>
        </w:tc>
        <w:tc>
          <w:tcPr>
            <w:tcW w:w="938" w:type="pct"/>
            <w:shd w:val="clear" w:color="auto" w:fill="auto"/>
          </w:tcPr>
          <w:p w14:paraId="4E04EF16" w14:textId="77777777" w:rsidR="00014323" w:rsidRPr="00097A86" w:rsidRDefault="00014323" w:rsidP="00657E43">
            <w:pPr>
              <w:pStyle w:val="Tabletext"/>
              <w:tabs>
                <w:tab w:val="decimal" w:pos="680"/>
              </w:tabs>
            </w:pPr>
            <w:r w:rsidRPr="00097A86">
              <w:t>1.7</w:t>
            </w:r>
          </w:p>
        </w:tc>
        <w:tc>
          <w:tcPr>
            <w:tcW w:w="939" w:type="pct"/>
            <w:shd w:val="clear" w:color="auto" w:fill="auto"/>
          </w:tcPr>
          <w:p w14:paraId="2E550AE4" w14:textId="77777777" w:rsidR="00014323" w:rsidRPr="00097A86" w:rsidRDefault="00014323" w:rsidP="00657E43">
            <w:pPr>
              <w:pStyle w:val="Tabletext"/>
              <w:tabs>
                <w:tab w:val="decimal" w:pos="680"/>
              </w:tabs>
            </w:pPr>
            <w:r w:rsidRPr="00097A86">
              <w:t>4</w:t>
            </w:r>
          </w:p>
        </w:tc>
        <w:tc>
          <w:tcPr>
            <w:tcW w:w="993" w:type="pct"/>
            <w:shd w:val="clear" w:color="auto" w:fill="auto"/>
          </w:tcPr>
          <w:p w14:paraId="0F8F95E3" w14:textId="77777777" w:rsidR="00014323" w:rsidRPr="00097A86" w:rsidRDefault="00014323" w:rsidP="00657E43">
            <w:pPr>
              <w:pStyle w:val="Tabletext"/>
              <w:tabs>
                <w:tab w:val="decimal" w:pos="780"/>
              </w:tabs>
            </w:pPr>
            <w:r w:rsidRPr="00097A86">
              <w:t>0</w:t>
            </w:r>
          </w:p>
        </w:tc>
      </w:tr>
      <w:tr w:rsidR="00014323" w:rsidRPr="00097A86" w14:paraId="412CCB41" w14:textId="77777777" w:rsidTr="00C20CC2">
        <w:tc>
          <w:tcPr>
            <w:tcW w:w="424" w:type="pct"/>
            <w:shd w:val="clear" w:color="auto" w:fill="auto"/>
          </w:tcPr>
          <w:p w14:paraId="4EA300A0" w14:textId="77777777" w:rsidR="00014323" w:rsidRPr="00097A86" w:rsidRDefault="00014323" w:rsidP="00657E43">
            <w:pPr>
              <w:pStyle w:val="Tabletext"/>
            </w:pPr>
            <w:r w:rsidRPr="00097A86">
              <w:t>6</w:t>
            </w:r>
          </w:p>
        </w:tc>
        <w:tc>
          <w:tcPr>
            <w:tcW w:w="768" w:type="pct"/>
            <w:shd w:val="clear" w:color="auto" w:fill="auto"/>
          </w:tcPr>
          <w:p w14:paraId="5E5BE785" w14:textId="77777777" w:rsidR="00014323" w:rsidRPr="00097A86" w:rsidRDefault="00014323" w:rsidP="00657E43">
            <w:pPr>
              <w:pStyle w:val="Tabletext"/>
            </w:pPr>
            <w:r w:rsidRPr="00097A86">
              <w:t>Sludge</w:t>
            </w:r>
          </w:p>
        </w:tc>
        <w:tc>
          <w:tcPr>
            <w:tcW w:w="938" w:type="pct"/>
            <w:shd w:val="clear" w:color="auto" w:fill="auto"/>
          </w:tcPr>
          <w:p w14:paraId="06CDBAA7" w14:textId="77777777" w:rsidR="00014323" w:rsidRPr="00097A86" w:rsidRDefault="00014323" w:rsidP="00657E43">
            <w:pPr>
              <w:pStyle w:val="Tabletext"/>
              <w:tabs>
                <w:tab w:val="decimal" w:pos="680"/>
              </w:tabs>
            </w:pPr>
            <w:r w:rsidRPr="00097A86">
              <w:t>0</w:t>
            </w:r>
          </w:p>
        </w:tc>
        <w:tc>
          <w:tcPr>
            <w:tcW w:w="938" w:type="pct"/>
            <w:shd w:val="clear" w:color="auto" w:fill="auto"/>
          </w:tcPr>
          <w:p w14:paraId="1D7E4A46" w14:textId="77777777" w:rsidR="00014323" w:rsidRPr="00097A86" w:rsidRDefault="00014323" w:rsidP="00657E43">
            <w:pPr>
              <w:pStyle w:val="Tabletext"/>
              <w:tabs>
                <w:tab w:val="decimal" w:pos="680"/>
              </w:tabs>
            </w:pPr>
            <w:r w:rsidRPr="00097A86">
              <w:t>0</w:t>
            </w:r>
          </w:p>
        </w:tc>
        <w:tc>
          <w:tcPr>
            <w:tcW w:w="939" w:type="pct"/>
            <w:shd w:val="clear" w:color="auto" w:fill="auto"/>
          </w:tcPr>
          <w:p w14:paraId="10F41C59" w14:textId="77777777" w:rsidR="00014323" w:rsidRPr="00097A86" w:rsidRDefault="00014323" w:rsidP="00657E43">
            <w:pPr>
              <w:pStyle w:val="Tabletext"/>
              <w:tabs>
                <w:tab w:val="decimal" w:pos="680"/>
              </w:tabs>
            </w:pPr>
            <w:r w:rsidRPr="00097A86">
              <w:t>1.5</w:t>
            </w:r>
          </w:p>
        </w:tc>
        <w:tc>
          <w:tcPr>
            <w:tcW w:w="993" w:type="pct"/>
            <w:shd w:val="clear" w:color="auto" w:fill="auto"/>
          </w:tcPr>
          <w:p w14:paraId="7FF04FA8" w14:textId="77777777" w:rsidR="00014323" w:rsidRPr="00097A86" w:rsidRDefault="00014323" w:rsidP="00657E43">
            <w:pPr>
              <w:pStyle w:val="Tabletext"/>
              <w:tabs>
                <w:tab w:val="decimal" w:pos="780"/>
              </w:tabs>
            </w:pPr>
            <w:r w:rsidRPr="00097A86">
              <w:t>0</w:t>
            </w:r>
          </w:p>
        </w:tc>
      </w:tr>
      <w:tr w:rsidR="00014323" w:rsidRPr="00097A86" w14:paraId="385472B3" w14:textId="77777777" w:rsidTr="00C20CC2">
        <w:tc>
          <w:tcPr>
            <w:tcW w:w="424" w:type="pct"/>
            <w:shd w:val="clear" w:color="auto" w:fill="auto"/>
          </w:tcPr>
          <w:p w14:paraId="6E7E53C1" w14:textId="77777777" w:rsidR="00014323" w:rsidRPr="00097A86" w:rsidRDefault="00014323" w:rsidP="00657E43">
            <w:pPr>
              <w:pStyle w:val="Tabletext"/>
            </w:pPr>
            <w:r w:rsidRPr="00097A86">
              <w:t>7</w:t>
            </w:r>
          </w:p>
        </w:tc>
        <w:tc>
          <w:tcPr>
            <w:tcW w:w="768" w:type="pct"/>
            <w:shd w:val="clear" w:color="auto" w:fill="auto"/>
          </w:tcPr>
          <w:p w14:paraId="7F5FF677" w14:textId="77777777" w:rsidR="00014323" w:rsidRPr="00097A86" w:rsidRDefault="00014323" w:rsidP="00657E43">
            <w:pPr>
              <w:pStyle w:val="Tabletext"/>
            </w:pPr>
            <w:r w:rsidRPr="00097A86">
              <w:t>Nappies</w:t>
            </w:r>
          </w:p>
        </w:tc>
        <w:tc>
          <w:tcPr>
            <w:tcW w:w="938" w:type="pct"/>
            <w:shd w:val="clear" w:color="auto" w:fill="auto"/>
          </w:tcPr>
          <w:p w14:paraId="1F7F2E0A" w14:textId="77777777" w:rsidR="00014323" w:rsidRPr="00097A86" w:rsidRDefault="00014323" w:rsidP="00657E43">
            <w:pPr>
              <w:pStyle w:val="Tabletext"/>
              <w:tabs>
                <w:tab w:val="decimal" w:pos="680"/>
              </w:tabs>
            </w:pPr>
            <w:r w:rsidRPr="00097A86">
              <w:t>4</w:t>
            </w:r>
          </w:p>
        </w:tc>
        <w:tc>
          <w:tcPr>
            <w:tcW w:w="938" w:type="pct"/>
            <w:shd w:val="clear" w:color="auto" w:fill="auto"/>
          </w:tcPr>
          <w:p w14:paraId="6D160461" w14:textId="77777777" w:rsidR="00014323" w:rsidRPr="00097A86" w:rsidRDefault="00014323" w:rsidP="00657E43">
            <w:pPr>
              <w:pStyle w:val="Tabletext"/>
              <w:tabs>
                <w:tab w:val="decimal" w:pos="680"/>
              </w:tabs>
            </w:pPr>
            <w:r w:rsidRPr="00097A86">
              <w:t>4.6</w:t>
            </w:r>
          </w:p>
        </w:tc>
        <w:tc>
          <w:tcPr>
            <w:tcW w:w="939" w:type="pct"/>
            <w:shd w:val="clear" w:color="auto" w:fill="auto"/>
          </w:tcPr>
          <w:p w14:paraId="00B2F9C6" w14:textId="77777777" w:rsidR="00014323" w:rsidRPr="00097A86" w:rsidRDefault="00014323" w:rsidP="00657E43">
            <w:pPr>
              <w:pStyle w:val="Tabletext"/>
              <w:tabs>
                <w:tab w:val="decimal" w:pos="680"/>
              </w:tabs>
            </w:pPr>
            <w:r w:rsidRPr="00097A86">
              <w:t>0</w:t>
            </w:r>
          </w:p>
        </w:tc>
        <w:tc>
          <w:tcPr>
            <w:tcW w:w="993" w:type="pct"/>
            <w:shd w:val="clear" w:color="auto" w:fill="auto"/>
          </w:tcPr>
          <w:p w14:paraId="6D24D035" w14:textId="77777777" w:rsidR="00014323" w:rsidRPr="00097A86" w:rsidRDefault="00014323" w:rsidP="00657E43">
            <w:pPr>
              <w:pStyle w:val="Tabletext"/>
              <w:tabs>
                <w:tab w:val="decimal" w:pos="780"/>
              </w:tabs>
            </w:pPr>
            <w:r w:rsidRPr="00097A86">
              <w:t>0</w:t>
            </w:r>
          </w:p>
        </w:tc>
      </w:tr>
      <w:tr w:rsidR="00014323" w:rsidRPr="00097A86" w14:paraId="3D502708" w14:textId="77777777" w:rsidTr="00C20CC2">
        <w:tc>
          <w:tcPr>
            <w:tcW w:w="424" w:type="pct"/>
            <w:tcBorders>
              <w:bottom w:val="single" w:sz="4" w:space="0" w:color="auto"/>
            </w:tcBorders>
            <w:shd w:val="clear" w:color="auto" w:fill="auto"/>
          </w:tcPr>
          <w:p w14:paraId="1AC0FC32" w14:textId="77777777" w:rsidR="00014323" w:rsidRPr="00097A86" w:rsidRDefault="00014323" w:rsidP="00657E43">
            <w:pPr>
              <w:pStyle w:val="Tabletext"/>
            </w:pPr>
            <w:r w:rsidRPr="00097A86">
              <w:t>8</w:t>
            </w:r>
          </w:p>
        </w:tc>
        <w:tc>
          <w:tcPr>
            <w:tcW w:w="768" w:type="pct"/>
            <w:tcBorders>
              <w:bottom w:val="single" w:sz="4" w:space="0" w:color="auto"/>
            </w:tcBorders>
            <w:shd w:val="clear" w:color="auto" w:fill="auto"/>
          </w:tcPr>
          <w:p w14:paraId="7897C25B" w14:textId="77777777" w:rsidR="00014323" w:rsidRPr="00097A86" w:rsidRDefault="00014323" w:rsidP="00657E43">
            <w:pPr>
              <w:pStyle w:val="Tabletext"/>
            </w:pPr>
            <w:r w:rsidRPr="00097A86">
              <w:t>Rubber and leather</w:t>
            </w:r>
          </w:p>
        </w:tc>
        <w:tc>
          <w:tcPr>
            <w:tcW w:w="938" w:type="pct"/>
            <w:tcBorders>
              <w:bottom w:val="single" w:sz="4" w:space="0" w:color="auto"/>
            </w:tcBorders>
            <w:shd w:val="clear" w:color="auto" w:fill="auto"/>
          </w:tcPr>
          <w:p w14:paraId="7108261A" w14:textId="77777777" w:rsidR="00014323" w:rsidRPr="00097A86" w:rsidRDefault="00014323" w:rsidP="00657E43">
            <w:pPr>
              <w:pStyle w:val="Tabletext"/>
              <w:tabs>
                <w:tab w:val="decimal" w:pos="680"/>
              </w:tabs>
            </w:pPr>
            <w:r w:rsidRPr="00097A86">
              <w:t>1</w:t>
            </w:r>
          </w:p>
        </w:tc>
        <w:tc>
          <w:tcPr>
            <w:tcW w:w="938" w:type="pct"/>
            <w:tcBorders>
              <w:bottom w:val="single" w:sz="4" w:space="0" w:color="auto"/>
            </w:tcBorders>
            <w:shd w:val="clear" w:color="auto" w:fill="auto"/>
          </w:tcPr>
          <w:p w14:paraId="60AA95D3" w14:textId="77777777" w:rsidR="00014323" w:rsidRPr="00097A86" w:rsidRDefault="00014323" w:rsidP="00657E43">
            <w:pPr>
              <w:pStyle w:val="Tabletext"/>
              <w:tabs>
                <w:tab w:val="decimal" w:pos="680"/>
              </w:tabs>
            </w:pPr>
            <w:r w:rsidRPr="00097A86">
              <w:t>1.2</w:t>
            </w:r>
          </w:p>
        </w:tc>
        <w:tc>
          <w:tcPr>
            <w:tcW w:w="939" w:type="pct"/>
            <w:tcBorders>
              <w:bottom w:val="single" w:sz="4" w:space="0" w:color="auto"/>
            </w:tcBorders>
            <w:shd w:val="clear" w:color="auto" w:fill="auto"/>
          </w:tcPr>
          <w:p w14:paraId="0B42AC87" w14:textId="77777777" w:rsidR="00014323" w:rsidRPr="00097A86" w:rsidRDefault="00014323" w:rsidP="00657E43">
            <w:pPr>
              <w:pStyle w:val="Tabletext"/>
              <w:tabs>
                <w:tab w:val="decimal" w:pos="680"/>
              </w:tabs>
            </w:pPr>
            <w:r w:rsidRPr="00097A86">
              <w:t>3.5</w:t>
            </w:r>
          </w:p>
        </w:tc>
        <w:tc>
          <w:tcPr>
            <w:tcW w:w="993" w:type="pct"/>
            <w:tcBorders>
              <w:bottom w:val="single" w:sz="4" w:space="0" w:color="auto"/>
            </w:tcBorders>
            <w:shd w:val="clear" w:color="auto" w:fill="auto"/>
          </w:tcPr>
          <w:p w14:paraId="17E16799" w14:textId="77777777" w:rsidR="00014323" w:rsidRPr="00097A86" w:rsidRDefault="00014323" w:rsidP="00657E43">
            <w:pPr>
              <w:pStyle w:val="Tabletext"/>
              <w:tabs>
                <w:tab w:val="decimal" w:pos="780"/>
              </w:tabs>
            </w:pPr>
            <w:r w:rsidRPr="00097A86">
              <w:t>0</w:t>
            </w:r>
          </w:p>
        </w:tc>
      </w:tr>
      <w:tr w:rsidR="00014323" w:rsidRPr="00097A86" w14:paraId="11C4F7F5" w14:textId="77777777" w:rsidTr="00C20CC2">
        <w:tc>
          <w:tcPr>
            <w:tcW w:w="424" w:type="pct"/>
            <w:tcBorders>
              <w:bottom w:val="single" w:sz="12" w:space="0" w:color="auto"/>
            </w:tcBorders>
            <w:shd w:val="clear" w:color="auto" w:fill="auto"/>
          </w:tcPr>
          <w:p w14:paraId="46F63E90" w14:textId="77777777" w:rsidR="00014323" w:rsidRPr="00097A86" w:rsidRDefault="00014323" w:rsidP="00657E43">
            <w:pPr>
              <w:pStyle w:val="Tabletext"/>
            </w:pPr>
            <w:r w:rsidRPr="00097A86">
              <w:t>9</w:t>
            </w:r>
          </w:p>
        </w:tc>
        <w:tc>
          <w:tcPr>
            <w:tcW w:w="768" w:type="pct"/>
            <w:tcBorders>
              <w:bottom w:val="single" w:sz="12" w:space="0" w:color="auto"/>
            </w:tcBorders>
            <w:shd w:val="clear" w:color="auto" w:fill="auto"/>
          </w:tcPr>
          <w:p w14:paraId="6FCB004A" w14:textId="77777777" w:rsidR="00014323" w:rsidRPr="00097A86" w:rsidRDefault="00014323" w:rsidP="00657E43">
            <w:pPr>
              <w:pStyle w:val="Tabletext"/>
              <w:rPr>
                <w:rFonts w:eastAsiaTheme="minorHAnsi" w:cstheme="minorBidi"/>
              </w:rPr>
            </w:pPr>
            <w:r w:rsidRPr="00097A86">
              <w:t>Inert waste</w:t>
            </w:r>
          </w:p>
        </w:tc>
        <w:tc>
          <w:tcPr>
            <w:tcW w:w="938" w:type="pct"/>
            <w:tcBorders>
              <w:bottom w:val="single" w:sz="12" w:space="0" w:color="auto"/>
            </w:tcBorders>
            <w:shd w:val="clear" w:color="auto" w:fill="auto"/>
          </w:tcPr>
          <w:p w14:paraId="59D6F8E3" w14:textId="77777777" w:rsidR="00014323" w:rsidRPr="00097A86" w:rsidRDefault="00014323" w:rsidP="00657E43">
            <w:pPr>
              <w:pStyle w:val="Tabletext"/>
              <w:tabs>
                <w:tab w:val="decimal" w:pos="680"/>
              </w:tabs>
            </w:pPr>
            <w:r w:rsidRPr="00097A86">
              <w:t>28</w:t>
            </w:r>
          </w:p>
        </w:tc>
        <w:tc>
          <w:tcPr>
            <w:tcW w:w="938" w:type="pct"/>
            <w:tcBorders>
              <w:bottom w:val="single" w:sz="12" w:space="0" w:color="auto"/>
            </w:tcBorders>
            <w:shd w:val="clear" w:color="auto" w:fill="auto"/>
          </w:tcPr>
          <w:p w14:paraId="27170CC9" w14:textId="77777777" w:rsidR="00014323" w:rsidRPr="00097A86" w:rsidRDefault="00EC147B" w:rsidP="00657E43">
            <w:pPr>
              <w:pStyle w:val="Tabletext"/>
              <w:tabs>
                <w:tab w:val="decimal" w:pos="680"/>
              </w:tabs>
            </w:pPr>
            <w:r w:rsidRPr="00097A86">
              <w:t>32.1</w:t>
            </w:r>
          </w:p>
        </w:tc>
        <w:tc>
          <w:tcPr>
            <w:tcW w:w="939" w:type="pct"/>
            <w:tcBorders>
              <w:bottom w:val="single" w:sz="12" w:space="0" w:color="auto"/>
            </w:tcBorders>
            <w:shd w:val="clear" w:color="auto" w:fill="auto"/>
          </w:tcPr>
          <w:p w14:paraId="3A523936" w14:textId="77777777" w:rsidR="00014323" w:rsidRPr="00097A86" w:rsidRDefault="00014323" w:rsidP="00657E43">
            <w:pPr>
              <w:pStyle w:val="Tabletext"/>
              <w:tabs>
                <w:tab w:val="decimal" w:pos="680"/>
              </w:tabs>
            </w:pPr>
            <w:r w:rsidRPr="00097A86">
              <w:t>37.5</w:t>
            </w:r>
          </w:p>
        </w:tc>
        <w:tc>
          <w:tcPr>
            <w:tcW w:w="993" w:type="pct"/>
            <w:tcBorders>
              <w:bottom w:val="single" w:sz="12" w:space="0" w:color="auto"/>
            </w:tcBorders>
            <w:shd w:val="clear" w:color="auto" w:fill="auto"/>
          </w:tcPr>
          <w:p w14:paraId="7F699D50" w14:textId="77777777" w:rsidR="00014323" w:rsidRPr="00097A86" w:rsidRDefault="00014323" w:rsidP="00657E43">
            <w:pPr>
              <w:pStyle w:val="Tabletext"/>
              <w:tabs>
                <w:tab w:val="decimal" w:pos="780"/>
              </w:tabs>
            </w:pPr>
            <w:r w:rsidRPr="00097A86">
              <w:t>89</w:t>
            </w:r>
          </w:p>
        </w:tc>
      </w:tr>
    </w:tbl>
    <w:p w14:paraId="4C692913" w14:textId="77777777" w:rsidR="00AC64A0" w:rsidRPr="00097A86" w:rsidRDefault="00AC64A0" w:rsidP="00D22D3F">
      <w:pPr>
        <w:pStyle w:val="notetext"/>
      </w:pPr>
      <w:r w:rsidRPr="00097A86">
        <w:t>Example</w:t>
      </w:r>
      <w:r w:rsidR="00182AE3" w:rsidRPr="00097A86">
        <w:t>:</w:t>
      </w:r>
    </w:p>
    <w:p w14:paraId="7959AB25" w14:textId="77777777" w:rsidR="00AC64A0" w:rsidRPr="00097A86" w:rsidRDefault="00AC64A0" w:rsidP="00D6592F">
      <w:pPr>
        <w:pStyle w:val="notetext"/>
        <w:ind w:left="1134" w:firstLine="0"/>
      </w:pPr>
      <w:r w:rsidRPr="00097A86">
        <w:t>A landfill in a State is licensed only to receive commercial and industrial waste. A condition of the licence is that the landfill is restricted to receiving no more than 5% (W</w:t>
      </w:r>
      <w:r w:rsidRPr="00097A86">
        <w:rPr>
          <w:vertAlign w:val="subscript"/>
        </w:rPr>
        <w:t>mtrmax</w:t>
      </w:r>
      <w:r w:rsidRPr="00097A86">
        <w:t xml:space="preserve"> = 5%) food waste in its deliveries. The landfill operator accounts for this restriction by using the formula for each unrestricted waste type (W</w:t>
      </w:r>
      <w:r w:rsidRPr="00097A86">
        <w:rPr>
          <w:vertAlign w:val="subscript"/>
        </w:rPr>
        <w:t>mtu</w:t>
      </w:r>
      <w:r w:rsidRPr="00097A86">
        <w:t>) in the table above. So, for paper and paper board waste, the calculation is:</w:t>
      </w:r>
    </w:p>
    <w:p w14:paraId="0007A434" w14:textId="77777777" w:rsidR="00AC64A0" w:rsidRPr="00097A86" w:rsidRDefault="009E1F90" w:rsidP="00D22D3F">
      <w:pPr>
        <w:pStyle w:val="notetext"/>
        <w:spacing w:before="120" w:after="120"/>
      </w:pPr>
      <w:r>
        <w:rPr>
          <w:noProof/>
        </w:rPr>
        <w:drawing>
          <wp:inline distT="0" distB="0" distL="0" distR="0" wp14:anchorId="2D460E03" wp14:editId="7394628D">
            <wp:extent cx="3448050" cy="6667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448050" cy="666750"/>
                    </a:xfrm>
                    <a:prstGeom prst="rect">
                      <a:avLst/>
                    </a:prstGeom>
                    <a:noFill/>
                    <a:ln>
                      <a:noFill/>
                    </a:ln>
                  </pic:spPr>
                </pic:pic>
              </a:graphicData>
            </a:graphic>
          </wp:inline>
        </w:drawing>
      </w:r>
    </w:p>
    <w:p w14:paraId="403318CF" w14:textId="77777777" w:rsidR="00AC64A0" w:rsidRPr="00097A86" w:rsidRDefault="00AC64A0" w:rsidP="000B15AD">
      <w:pPr>
        <w:pStyle w:val="notetext"/>
        <w:ind w:left="1134" w:firstLine="0"/>
      </w:pPr>
      <w:r w:rsidRPr="00097A86">
        <w:t>The operator would continue to use the formula for each unrestricted waste mix type. For the restricted waste mix type the percentage used is W</w:t>
      </w:r>
      <w:r w:rsidRPr="00097A86">
        <w:rPr>
          <w:vertAlign w:val="subscript"/>
        </w:rPr>
        <w:t>mtrmax</w:t>
      </w:r>
      <w:r w:rsidRPr="00097A86">
        <w:t>.</w:t>
      </w:r>
    </w:p>
    <w:p w14:paraId="034BA6B4" w14:textId="77777777" w:rsidR="00AC64A0" w:rsidRPr="00097A86" w:rsidRDefault="00AC64A0" w:rsidP="00D22D3F">
      <w:pPr>
        <w:pStyle w:val="notetext"/>
        <w:rPr>
          <w:szCs w:val="18"/>
        </w:rPr>
      </w:pPr>
      <w:r w:rsidRPr="00097A86">
        <w:t>The following table sets out all the relevant variables and results for this example</w:t>
      </w:r>
      <w:r w:rsidRPr="00097A86">
        <w:rPr>
          <w:szCs w:val="18"/>
        </w:rPr>
        <w:t>.</w:t>
      </w:r>
    </w:p>
    <w:p w14:paraId="0846FEEB"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7"/>
        <w:gridCol w:w="3819"/>
        <w:gridCol w:w="918"/>
        <w:gridCol w:w="856"/>
        <w:gridCol w:w="974"/>
        <w:gridCol w:w="949"/>
      </w:tblGrid>
      <w:tr w:rsidR="00E12A04" w:rsidRPr="00097A86" w14:paraId="6B1DCA84" w14:textId="77777777" w:rsidTr="00C20CC2">
        <w:trPr>
          <w:tblHeader/>
        </w:trPr>
        <w:tc>
          <w:tcPr>
            <w:tcW w:w="479" w:type="pct"/>
            <w:tcBorders>
              <w:top w:val="single" w:sz="12" w:space="0" w:color="auto"/>
              <w:bottom w:val="single" w:sz="12" w:space="0" w:color="auto"/>
            </w:tcBorders>
            <w:shd w:val="clear" w:color="auto" w:fill="auto"/>
          </w:tcPr>
          <w:p w14:paraId="26AE2157" w14:textId="77777777" w:rsidR="00E12A04" w:rsidRPr="00097A86" w:rsidRDefault="00E12A04" w:rsidP="00D22D3F">
            <w:pPr>
              <w:pStyle w:val="TableHeading"/>
              <w:rPr>
                <w:szCs w:val="18"/>
              </w:rPr>
            </w:pPr>
            <w:r w:rsidRPr="00097A86">
              <w:rPr>
                <w:szCs w:val="18"/>
              </w:rPr>
              <w:t>Item</w:t>
            </w:r>
          </w:p>
        </w:tc>
        <w:tc>
          <w:tcPr>
            <w:tcW w:w="2297" w:type="pct"/>
            <w:tcBorders>
              <w:top w:val="single" w:sz="12" w:space="0" w:color="auto"/>
              <w:bottom w:val="single" w:sz="12" w:space="0" w:color="auto"/>
            </w:tcBorders>
            <w:shd w:val="clear" w:color="auto" w:fill="auto"/>
          </w:tcPr>
          <w:p w14:paraId="0141D846" w14:textId="77777777" w:rsidR="00E12A04" w:rsidRPr="00097A86" w:rsidRDefault="00E12A04" w:rsidP="00D22D3F">
            <w:pPr>
              <w:pStyle w:val="TableHeading"/>
              <w:rPr>
                <w:szCs w:val="18"/>
              </w:rPr>
            </w:pPr>
            <w:r w:rsidRPr="00097A86">
              <w:rPr>
                <w:szCs w:val="18"/>
              </w:rPr>
              <w:t>Waste mix type</w:t>
            </w:r>
          </w:p>
        </w:tc>
        <w:tc>
          <w:tcPr>
            <w:tcW w:w="552" w:type="pct"/>
            <w:tcBorders>
              <w:top w:val="single" w:sz="12" w:space="0" w:color="auto"/>
              <w:bottom w:val="single" w:sz="12" w:space="0" w:color="auto"/>
            </w:tcBorders>
            <w:shd w:val="clear" w:color="auto" w:fill="auto"/>
          </w:tcPr>
          <w:p w14:paraId="56129935" w14:textId="77777777" w:rsidR="00E12A04" w:rsidRPr="00097A86" w:rsidRDefault="00E12A04" w:rsidP="00D22D3F">
            <w:pPr>
              <w:pStyle w:val="TableHeading"/>
              <w:rPr>
                <w:szCs w:val="18"/>
              </w:rPr>
            </w:pPr>
            <w:r w:rsidRPr="00097A86">
              <w:rPr>
                <w:szCs w:val="18"/>
              </w:rPr>
              <w:t>W</w:t>
            </w:r>
            <w:r w:rsidRPr="00097A86">
              <w:rPr>
                <w:szCs w:val="18"/>
                <w:vertAlign w:val="subscript"/>
              </w:rPr>
              <w:t xml:space="preserve">mtu </w:t>
            </w:r>
            <w:r w:rsidRPr="00097A86">
              <w:rPr>
                <w:szCs w:val="18"/>
                <w:vertAlign w:val="subscript"/>
              </w:rPr>
              <w:br/>
            </w:r>
            <w:r w:rsidRPr="00097A86">
              <w:rPr>
                <w:szCs w:val="18"/>
              </w:rPr>
              <w:t>(%)</w:t>
            </w:r>
          </w:p>
        </w:tc>
        <w:tc>
          <w:tcPr>
            <w:tcW w:w="515" w:type="pct"/>
            <w:tcBorders>
              <w:top w:val="single" w:sz="12" w:space="0" w:color="auto"/>
              <w:bottom w:val="single" w:sz="12" w:space="0" w:color="auto"/>
            </w:tcBorders>
            <w:shd w:val="clear" w:color="auto" w:fill="auto"/>
          </w:tcPr>
          <w:p w14:paraId="228C690D" w14:textId="77777777" w:rsidR="00E12A04" w:rsidRPr="00097A86" w:rsidRDefault="00E12A04" w:rsidP="00D22D3F">
            <w:pPr>
              <w:pStyle w:val="TableHeading"/>
              <w:rPr>
                <w:szCs w:val="18"/>
              </w:rPr>
            </w:pPr>
            <w:r w:rsidRPr="00097A86">
              <w:rPr>
                <w:szCs w:val="18"/>
              </w:rPr>
              <w:t>W</w:t>
            </w:r>
            <w:r w:rsidRPr="00097A86">
              <w:rPr>
                <w:szCs w:val="18"/>
                <w:vertAlign w:val="subscript"/>
              </w:rPr>
              <w:t xml:space="preserve">mtr </w:t>
            </w:r>
            <w:r w:rsidRPr="00097A86">
              <w:rPr>
                <w:szCs w:val="18"/>
              </w:rPr>
              <w:t>(%)</w:t>
            </w:r>
          </w:p>
        </w:tc>
        <w:tc>
          <w:tcPr>
            <w:tcW w:w="586" w:type="pct"/>
            <w:tcBorders>
              <w:top w:val="single" w:sz="12" w:space="0" w:color="auto"/>
              <w:bottom w:val="single" w:sz="12" w:space="0" w:color="auto"/>
            </w:tcBorders>
            <w:shd w:val="clear" w:color="auto" w:fill="auto"/>
          </w:tcPr>
          <w:p w14:paraId="7FA6D66F" w14:textId="77777777" w:rsidR="00E12A04" w:rsidRPr="00097A86" w:rsidRDefault="00E12A04" w:rsidP="00D22D3F">
            <w:pPr>
              <w:pStyle w:val="TableHeading"/>
              <w:rPr>
                <w:szCs w:val="18"/>
              </w:rPr>
            </w:pPr>
            <w:r w:rsidRPr="00097A86">
              <w:rPr>
                <w:szCs w:val="18"/>
              </w:rPr>
              <w:t>W</w:t>
            </w:r>
            <w:r w:rsidRPr="00097A86">
              <w:rPr>
                <w:szCs w:val="18"/>
                <w:vertAlign w:val="subscript"/>
              </w:rPr>
              <w:t xml:space="preserve">mtrmax </w:t>
            </w:r>
            <w:r w:rsidRPr="00097A86">
              <w:rPr>
                <w:szCs w:val="18"/>
              </w:rPr>
              <w:t>(%)</w:t>
            </w:r>
          </w:p>
        </w:tc>
        <w:tc>
          <w:tcPr>
            <w:tcW w:w="571" w:type="pct"/>
            <w:tcBorders>
              <w:top w:val="single" w:sz="12" w:space="0" w:color="auto"/>
              <w:bottom w:val="single" w:sz="12" w:space="0" w:color="auto"/>
            </w:tcBorders>
            <w:shd w:val="clear" w:color="auto" w:fill="auto"/>
          </w:tcPr>
          <w:p w14:paraId="3E7D61CD" w14:textId="77777777" w:rsidR="00E12A04" w:rsidRPr="00097A86" w:rsidRDefault="00E12A04" w:rsidP="00D22D3F">
            <w:pPr>
              <w:pStyle w:val="TableHeading"/>
              <w:rPr>
                <w:szCs w:val="18"/>
              </w:rPr>
            </w:pPr>
            <w:r w:rsidRPr="00097A86">
              <w:rPr>
                <w:szCs w:val="18"/>
              </w:rPr>
              <w:t>Wmt</w:t>
            </w:r>
            <w:r w:rsidRPr="00097A86">
              <w:rPr>
                <w:szCs w:val="18"/>
                <w:vertAlign w:val="subscript"/>
              </w:rPr>
              <w:t xml:space="preserve">adj </w:t>
            </w:r>
            <w:r w:rsidRPr="00097A86">
              <w:rPr>
                <w:szCs w:val="18"/>
              </w:rPr>
              <w:t>(%)</w:t>
            </w:r>
          </w:p>
        </w:tc>
      </w:tr>
      <w:tr w:rsidR="00AC64A0" w:rsidRPr="00097A86" w14:paraId="21DE0113" w14:textId="77777777" w:rsidTr="00C20CC2">
        <w:tc>
          <w:tcPr>
            <w:tcW w:w="479" w:type="pct"/>
            <w:tcBorders>
              <w:top w:val="single" w:sz="12" w:space="0" w:color="auto"/>
            </w:tcBorders>
            <w:shd w:val="clear" w:color="auto" w:fill="auto"/>
          </w:tcPr>
          <w:p w14:paraId="70EF0A02"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1</w:t>
            </w:r>
          </w:p>
        </w:tc>
        <w:tc>
          <w:tcPr>
            <w:tcW w:w="2297" w:type="pct"/>
            <w:tcBorders>
              <w:top w:val="single" w:sz="12" w:space="0" w:color="auto"/>
            </w:tcBorders>
            <w:shd w:val="clear" w:color="auto" w:fill="auto"/>
          </w:tcPr>
          <w:p w14:paraId="1D5FE9D6" w14:textId="77777777" w:rsidR="00AC64A0" w:rsidRPr="00097A86" w:rsidRDefault="00AC64A0" w:rsidP="00D22D3F">
            <w:pPr>
              <w:pStyle w:val="Tabletext"/>
              <w:rPr>
                <w:sz w:val="18"/>
                <w:szCs w:val="18"/>
              </w:rPr>
            </w:pPr>
            <w:r w:rsidRPr="00097A86">
              <w:rPr>
                <w:sz w:val="18"/>
                <w:szCs w:val="18"/>
              </w:rPr>
              <w:t>Food</w:t>
            </w:r>
          </w:p>
        </w:tc>
        <w:tc>
          <w:tcPr>
            <w:tcW w:w="552" w:type="pct"/>
            <w:tcBorders>
              <w:top w:val="single" w:sz="12" w:space="0" w:color="auto"/>
            </w:tcBorders>
            <w:shd w:val="clear" w:color="auto" w:fill="auto"/>
          </w:tcPr>
          <w:p w14:paraId="039A7B02" w14:textId="77777777" w:rsidR="00AC64A0" w:rsidRPr="00097A86" w:rsidRDefault="00AC64A0" w:rsidP="00D22D3F">
            <w:pPr>
              <w:pStyle w:val="Tabletext"/>
              <w:rPr>
                <w:sz w:val="18"/>
                <w:szCs w:val="18"/>
              </w:rPr>
            </w:pPr>
          </w:p>
        </w:tc>
        <w:tc>
          <w:tcPr>
            <w:tcW w:w="515" w:type="pct"/>
            <w:tcBorders>
              <w:top w:val="single" w:sz="12" w:space="0" w:color="auto"/>
            </w:tcBorders>
            <w:shd w:val="clear" w:color="auto" w:fill="auto"/>
          </w:tcPr>
          <w:p w14:paraId="586D9B0C" w14:textId="77777777" w:rsidR="00AC64A0" w:rsidRPr="00097A86" w:rsidRDefault="00AC64A0" w:rsidP="00D22D3F">
            <w:pPr>
              <w:pStyle w:val="Tabletext"/>
              <w:rPr>
                <w:sz w:val="18"/>
                <w:szCs w:val="18"/>
              </w:rPr>
            </w:pPr>
            <w:r w:rsidRPr="00097A86">
              <w:rPr>
                <w:sz w:val="18"/>
                <w:szCs w:val="18"/>
              </w:rPr>
              <w:t>21.5</w:t>
            </w:r>
          </w:p>
        </w:tc>
        <w:tc>
          <w:tcPr>
            <w:tcW w:w="586" w:type="pct"/>
            <w:tcBorders>
              <w:top w:val="single" w:sz="12" w:space="0" w:color="auto"/>
            </w:tcBorders>
            <w:shd w:val="clear" w:color="auto" w:fill="auto"/>
          </w:tcPr>
          <w:p w14:paraId="7FE1F259" w14:textId="77777777" w:rsidR="00AC64A0" w:rsidRPr="00097A86" w:rsidRDefault="00AC64A0" w:rsidP="00D22D3F">
            <w:pPr>
              <w:pStyle w:val="Tabletext"/>
              <w:rPr>
                <w:sz w:val="18"/>
                <w:szCs w:val="18"/>
              </w:rPr>
            </w:pPr>
            <w:r w:rsidRPr="00097A86">
              <w:rPr>
                <w:sz w:val="18"/>
                <w:szCs w:val="18"/>
              </w:rPr>
              <w:t>5.0</w:t>
            </w:r>
          </w:p>
        </w:tc>
        <w:tc>
          <w:tcPr>
            <w:tcW w:w="571" w:type="pct"/>
            <w:tcBorders>
              <w:top w:val="single" w:sz="12" w:space="0" w:color="auto"/>
            </w:tcBorders>
            <w:shd w:val="clear" w:color="auto" w:fill="auto"/>
          </w:tcPr>
          <w:p w14:paraId="1A1B3C1E" w14:textId="77777777" w:rsidR="00AC64A0" w:rsidRPr="00097A86" w:rsidRDefault="00AC64A0" w:rsidP="00D22D3F">
            <w:pPr>
              <w:pStyle w:val="Tabletext"/>
              <w:rPr>
                <w:sz w:val="18"/>
                <w:szCs w:val="18"/>
              </w:rPr>
            </w:pPr>
          </w:p>
        </w:tc>
      </w:tr>
      <w:tr w:rsidR="00AC64A0" w:rsidRPr="00097A86" w14:paraId="40DA1384" w14:textId="77777777" w:rsidTr="00C20CC2">
        <w:tc>
          <w:tcPr>
            <w:tcW w:w="479" w:type="pct"/>
            <w:shd w:val="clear" w:color="auto" w:fill="auto"/>
          </w:tcPr>
          <w:p w14:paraId="5CDBF5E4"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2</w:t>
            </w:r>
          </w:p>
        </w:tc>
        <w:tc>
          <w:tcPr>
            <w:tcW w:w="2297" w:type="pct"/>
            <w:shd w:val="clear" w:color="auto" w:fill="auto"/>
          </w:tcPr>
          <w:p w14:paraId="7D750A4F" w14:textId="77777777" w:rsidR="00AC64A0" w:rsidRPr="00097A86" w:rsidRDefault="00AC64A0">
            <w:pPr>
              <w:pStyle w:val="Tabletext"/>
              <w:rPr>
                <w:sz w:val="18"/>
                <w:szCs w:val="18"/>
              </w:rPr>
            </w:pPr>
            <w:r w:rsidRPr="00097A86">
              <w:rPr>
                <w:sz w:val="18"/>
                <w:szCs w:val="18"/>
              </w:rPr>
              <w:t xml:space="preserve">Paper and </w:t>
            </w:r>
            <w:r w:rsidR="004E60C0" w:rsidRPr="00097A86">
              <w:rPr>
                <w:sz w:val="18"/>
                <w:szCs w:val="18"/>
              </w:rPr>
              <w:t>cardboard</w:t>
            </w:r>
          </w:p>
        </w:tc>
        <w:tc>
          <w:tcPr>
            <w:tcW w:w="552" w:type="pct"/>
            <w:shd w:val="clear" w:color="auto" w:fill="auto"/>
          </w:tcPr>
          <w:p w14:paraId="0E197AC7" w14:textId="77777777" w:rsidR="00AC64A0" w:rsidRPr="00097A86" w:rsidRDefault="00AC64A0" w:rsidP="00D22D3F">
            <w:pPr>
              <w:pStyle w:val="Tabletext"/>
              <w:rPr>
                <w:sz w:val="18"/>
                <w:szCs w:val="18"/>
              </w:rPr>
            </w:pPr>
            <w:r w:rsidRPr="00097A86">
              <w:rPr>
                <w:sz w:val="18"/>
                <w:szCs w:val="18"/>
              </w:rPr>
              <w:t>15.5</w:t>
            </w:r>
          </w:p>
        </w:tc>
        <w:tc>
          <w:tcPr>
            <w:tcW w:w="515" w:type="pct"/>
            <w:shd w:val="clear" w:color="auto" w:fill="auto"/>
          </w:tcPr>
          <w:p w14:paraId="0287E45C" w14:textId="77777777" w:rsidR="00AC64A0" w:rsidRPr="00097A86" w:rsidRDefault="00AC64A0" w:rsidP="00D22D3F">
            <w:pPr>
              <w:pStyle w:val="Tabletext"/>
              <w:rPr>
                <w:sz w:val="18"/>
                <w:szCs w:val="18"/>
              </w:rPr>
            </w:pPr>
          </w:p>
        </w:tc>
        <w:tc>
          <w:tcPr>
            <w:tcW w:w="586" w:type="pct"/>
            <w:shd w:val="clear" w:color="auto" w:fill="auto"/>
          </w:tcPr>
          <w:p w14:paraId="32505C83" w14:textId="77777777" w:rsidR="00AC64A0" w:rsidRPr="00097A86" w:rsidRDefault="00AC64A0" w:rsidP="00D22D3F">
            <w:pPr>
              <w:pStyle w:val="Tabletext"/>
              <w:rPr>
                <w:sz w:val="18"/>
                <w:szCs w:val="18"/>
              </w:rPr>
            </w:pPr>
          </w:p>
        </w:tc>
        <w:tc>
          <w:tcPr>
            <w:tcW w:w="571" w:type="pct"/>
            <w:shd w:val="clear" w:color="auto" w:fill="auto"/>
          </w:tcPr>
          <w:p w14:paraId="4FF9E52F" w14:textId="77777777" w:rsidR="00AC64A0" w:rsidRPr="00097A86" w:rsidRDefault="00AC64A0" w:rsidP="00D22D3F">
            <w:pPr>
              <w:pStyle w:val="Tabletext"/>
              <w:rPr>
                <w:sz w:val="18"/>
                <w:szCs w:val="18"/>
              </w:rPr>
            </w:pPr>
            <w:r w:rsidRPr="00097A86">
              <w:rPr>
                <w:sz w:val="18"/>
                <w:szCs w:val="18"/>
              </w:rPr>
              <w:t>18.8</w:t>
            </w:r>
          </w:p>
        </w:tc>
      </w:tr>
      <w:tr w:rsidR="00AC64A0" w:rsidRPr="00097A86" w14:paraId="05A19211" w14:textId="77777777" w:rsidTr="00C20CC2">
        <w:tc>
          <w:tcPr>
            <w:tcW w:w="479" w:type="pct"/>
            <w:shd w:val="clear" w:color="auto" w:fill="auto"/>
          </w:tcPr>
          <w:p w14:paraId="092B87D2"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3</w:t>
            </w:r>
          </w:p>
        </w:tc>
        <w:tc>
          <w:tcPr>
            <w:tcW w:w="2297" w:type="pct"/>
            <w:shd w:val="clear" w:color="auto" w:fill="auto"/>
          </w:tcPr>
          <w:p w14:paraId="66064719" w14:textId="77777777" w:rsidR="00AC64A0" w:rsidRPr="00097A86" w:rsidRDefault="00AC64A0" w:rsidP="00D22D3F">
            <w:pPr>
              <w:pStyle w:val="Tabletext"/>
              <w:rPr>
                <w:sz w:val="18"/>
                <w:szCs w:val="18"/>
              </w:rPr>
            </w:pPr>
            <w:r w:rsidRPr="00097A86">
              <w:rPr>
                <w:sz w:val="18"/>
                <w:szCs w:val="18"/>
              </w:rPr>
              <w:t>Garden and park</w:t>
            </w:r>
          </w:p>
        </w:tc>
        <w:tc>
          <w:tcPr>
            <w:tcW w:w="552" w:type="pct"/>
            <w:shd w:val="clear" w:color="auto" w:fill="auto"/>
          </w:tcPr>
          <w:p w14:paraId="19E272AF" w14:textId="77777777" w:rsidR="00AC64A0" w:rsidRPr="00097A86" w:rsidRDefault="00AC64A0" w:rsidP="00D22D3F">
            <w:pPr>
              <w:pStyle w:val="Tabletext"/>
              <w:rPr>
                <w:sz w:val="18"/>
                <w:szCs w:val="18"/>
              </w:rPr>
            </w:pPr>
            <w:r w:rsidRPr="00097A86">
              <w:rPr>
                <w:sz w:val="18"/>
                <w:szCs w:val="18"/>
              </w:rPr>
              <w:t>4.0</w:t>
            </w:r>
          </w:p>
        </w:tc>
        <w:tc>
          <w:tcPr>
            <w:tcW w:w="515" w:type="pct"/>
            <w:shd w:val="clear" w:color="auto" w:fill="auto"/>
          </w:tcPr>
          <w:p w14:paraId="1F566CEE" w14:textId="77777777" w:rsidR="00AC64A0" w:rsidRPr="00097A86" w:rsidRDefault="00AC64A0" w:rsidP="00D22D3F">
            <w:pPr>
              <w:pStyle w:val="Tabletext"/>
              <w:rPr>
                <w:sz w:val="18"/>
                <w:szCs w:val="18"/>
              </w:rPr>
            </w:pPr>
          </w:p>
        </w:tc>
        <w:tc>
          <w:tcPr>
            <w:tcW w:w="586" w:type="pct"/>
            <w:shd w:val="clear" w:color="auto" w:fill="auto"/>
          </w:tcPr>
          <w:p w14:paraId="519DB9A1" w14:textId="77777777" w:rsidR="00AC64A0" w:rsidRPr="00097A86" w:rsidRDefault="00AC64A0" w:rsidP="00D22D3F">
            <w:pPr>
              <w:pStyle w:val="Tabletext"/>
              <w:rPr>
                <w:sz w:val="18"/>
                <w:szCs w:val="18"/>
              </w:rPr>
            </w:pPr>
          </w:p>
        </w:tc>
        <w:tc>
          <w:tcPr>
            <w:tcW w:w="571" w:type="pct"/>
            <w:shd w:val="clear" w:color="auto" w:fill="auto"/>
          </w:tcPr>
          <w:p w14:paraId="2AE74728" w14:textId="77777777" w:rsidR="00AC64A0" w:rsidRPr="00097A86" w:rsidRDefault="00AC64A0" w:rsidP="00D22D3F">
            <w:pPr>
              <w:pStyle w:val="Tabletext"/>
              <w:rPr>
                <w:sz w:val="18"/>
                <w:szCs w:val="18"/>
              </w:rPr>
            </w:pPr>
            <w:r w:rsidRPr="00097A86">
              <w:rPr>
                <w:sz w:val="18"/>
                <w:szCs w:val="18"/>
              </w:rPr>
              <w:t>4.8</w:t>
            </w:r>
          </w:p>
        </w:tc>
      </w:tr>
      <w:tr w:rsidR="00AC64A0" w:rsidRPr="00097A86" w14:paraId="5CF7DBF6" w14:textId="77777777" w:rsidTr="00C20CC2">
        <w:tc>
          <w:tcPr>
            <w:tcW w:w="479" w:type="pct"/>
            <w:shd w:val="clear" w:color="auto" w:fill="auto"/>
          </w:tcPr>
          <w:p w14:paraId="226D430F"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4</w:t>
            </w:r>
          </w:p>
        </w:tc>
        <w:tc>
          <w:tcPr>
            <w:tcW w:w="2297" w:type="pct"/>
            <w:shd w:val="clear" w:color="auto" w:fill="auto"/>
          </w:tcPr>
          <w:p w14:paraId="54B268B8" w14:textId="77777777" w:rsidR="00AC64A0" w:rsidRPr="00097A86" w:rsidRDefault="00AC64A0" w:rsidP="00D22D3F">
            <w:pPr>
              <w:pStyle w:val="Tabletext"/>
              <w:rPr>
                <w:sz w:val="18"/>
                <w:szCs w:val="18"/>
              </w:rPr>
            </w:pPr>
            <w:r w:rsidRPr="00097A86">
              <w:rPr>
                <w:sz w:val="18"/>
                <w:szCs w:val="18"/>
              </w:rPr>
              <w:t>Wood and wood waste</w:t>
            </w:r>
          </w:p>
        </w:tc>
        <w:tc>
          <w:tcPr>
            <w:tcW w:w="552" w:type="pct"/>
            <w:shd w:val="clear" w:color="auto" w:fill="auto"/>
          </w:tcPr>
          <w:p w14:paraId="5B68459D" w14:textId="77777777" w:rsidR="00AC64A0" w:rsidRPr="00097A86" w:rsidRDefault="00AC64A0" w:rsidP="00D22D3F">
            <w:pPr>
              <w:pStyle w:val="Tabletext"/>
              <w:rPr>
                <w:sz w:val="18"/>
                <w:szCs w:val="18"/>
              </w:rPr>
            </w:pPr>
            <w:r w:rsidRPr="00097A86">
              <w:rPr>
                <w:sz w:val="18"/>
                <w:szCs w:val="18"/>
              </w:rPr>
              <w:t>12.5</w:t>
            </w:r>
          </w:p>
        </w:tc>
        <w:tc>
          <w:tcPr>
            <w:tcW w:w="515" w:type="pct"/>
            <w:shd w:val="clear" w:color="auto" w:fill="auto"/>
          </w:tcPr>
          <w:p w14:paraId="4A439205" w14:textId="77777777" w:rsidR="00AC64A0" w:rsidRPr="00097A86" w:rsidRDefault="00AC64A0" w:rsidP="00D22D3F">
            <w:pPr>
              <w:pStyle w:val="Tabletext"/>
              <w:rPr>
                <w:sz w:val="18"/>
                <w:szCs w:val="18"/>
              </w:rPr>
            </w:pPr>
          </w:p>
        </w:tc>
        <w:tc>
          <w:tcPr>
            <w:tcW w:w="586" w:type="pct"/>
            <w:shd w:val="clear" w:color="auto" w:fill="auto"/>
          </w:tcPr>
          <w:p w14:paraId="1D459892" w14:textId="77777777" w:rsidR="00AC64A0" w:rsidRPr="00097A86" w:rsidRDefault="00AC64A0" w:rsidP="00D22D3F">
            <w:pPr>
              <w:pStyle w:val="Tabletext"/>
              <w:rPr>
                <w:sz w:val="18"/>
                <w:szCs w:val="18"/>
              </w:rPr>
            </w:pPr>
          </w:p>
        </w:tc>
        <w:tc>
          <w:tcPr>
            <w:tcW w:w="571" w:type="pct"/>
            <w:shd w:val="clear" w:color="auto" w:fill="auto"/>
          </w:tcPr>
          <w:p w14:paraId="11FAC8D9" w14:textId="77777777" w:rsidR="00AC64A0" w:rsidRPr="00097A86" w:rsidRDefault="00AC64A0" w:rsidP="00D22D3F">
            <w:pPr>
              <w:pStyle w:val="Tabletext"/>
              <w:rPr>
                <w:sz w:val="18"/>
                <w:szCs w:val="18"/>
              </w:rPr>
            </w:pPr>
            <w:r w:rsidRPr="00097A86">
              <w:rPr>
                <w:sz w:val="18"/>
                <w:szCs w:val="18"/>
              </w:rPr>
              <w:t>15.1</w:t>
            </w:r>
          </w:p>
        </w:tc>
      </w:tr>
      <w:tr w:rsidR="00AC64A0" w:rsidRPr="00097A86" w14:paraId="4570C759" w14:textId="77777777" w:rsidTr="00C20CC2">
        <w:tc>
          <w:tcPr>
            <w:tcW w:w="479" w:type="pct"/>
            <w:shd w:val="clear" w:color="auto" w:fill="auto"/>
          </w:tcPr>
          <w:p w14:paraId="2BBE4FE0"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lastRenderedPageBreak/>
              <w:t>5</w:t>
            </w:r>
          </w:p>
        </w:tc>
        <w:tc>
          <w:tcPr>
            <w:tcW w:w="2297" w:type="pct"/>
            <w:shd w:val="clear" w:color="auto" w:fill="auto"/>
          </w:tcPr>
          <w:p w14:paraId="3F0B003E" w14:textId="77777777" w:rsidR="00AC64A0" w:rsidRPr="00097A86" w:rsidRDefault="00AC64A0" w:rsidP="00D22D3F">
            <w:pPr>
              <w:pStyle w:val="Tabletext"/>
              <w:rPr>
                <w:sz w:val="18"/>
                <w:szCs w:val="18"/>
              </w:rPr>
            </w:pPr>
            <w:r w:rsidRPr="00097A86">
              <w:rPr>
                <w:sz w:val="18"/>
                <w:szCs w:val="18"/>
              </w:rPr>
              <w:t>Textiles</w:t>
            </w:r>
          </w:p>
        </w:tc>
        <w:tc>
          <w:tcPr>
            <w:tcW w:w="552" w:type="pct"/>
            <w:shd w:val="clear" w:color="auto" w:fill="auto"/>
          </w:tcPr>
          <w:p w14:paraId="24152962" w14:textId="77777777" w:rsidR="00AC64A0" w:rsidRPr="00097A86" w:rsidRDefault="00AC64A0" w:rsidP="00D22D3F">
            <w:pPr>
              <w:pStyle w:val="Tabletext"/>
              <w:rPr>
                <w:sz w:val="18"/>
                <w:szCs w:val="18"/>
              </w:rPr>
            </w:pPr>
            <w:r w:rsidRPr="00097A86">
              <w:rPr>
                <w:sz w:val="18"/>
                <w:szCs w:val="18"/>
              </w:rPr>
              <w:t>4.0</w:t>
            </w:r>
          </w:p>
        </w:tc>
        <w:tc>
          <w:tcPr>
            <w:tcW w:w="515" w:type="pct"/>
            <w:shd w:val="clear" w:color="auto" w:fill="auto"/>
          </w:tcPr>
          <w:p w14:paraId="5AE16CCA" w14:textId="77777777" w:rsidR="00AC64A0" w:rsidRPr="00097A86" w:rsidRDefault="00AC64A0" w:rsidP="00D22D3F">
            <w:pPr>
              <w:pStyle w:val="Tabletext"/>
              <w:rPr>
                <w:sz w:val="18"/>
                <w:szCs w:val="18"/>
              </w:rPr>
            </w:pPr>
          </w:p>
        </w:tc>
        <w:tc>
          <w:tcPr>
            <w:tcW w:w="586" w:type="pct"/>
            <w:shd w:val="clear" w:color="auto" w:fill="auto"/>
          </w:tcPr>
          <w:p w14:paraId="15177992" w14:textId="77777777" w:rsidR="00AC64A0" w:rsidRPr="00097A86" w:rsidRDefault="00AC64A0" w:rsidP="00D22D3F">
            <w:pPr>
              <w:pStyle w:val="Tabletext"/>
              <w:rPr>
                <w:sz w:val="18"/>
                <w:szCs w:val="18"/>
              </w:rPr>
            </w:pPr>
          </w:p>
        </w:tc>
        <w:tc>
          <w:tcPr>
            <w:tcW w:w="571" w:type="pct"/>
            <w:shd w:val="clear" w:color="auto" w:fill="auto"/>
          </w:tcPr>
          <w:p w14:paraId="409F9701" w14:textId="77777777" w:rsidR="00AC64A0" w:rsidRPr="00097A86" w:rsidRDefault="00AC64A0" w:rsidP="00D22D3F">
            <w:pPr>
              <w:pStyle w:val="Tabletext"/>
              <w:rPr>
                <w:sz w:val="18"/>
                <w:szCs w:val="18"/>
              </w:rPr>
            </w:pPr>
            <w:r w:rsidRPr="00097A86">
              <w:rPr>
                <w:sz w:val="18"/>
                <w:szCs w:val="18"/>
              </w:rPr>
              <w:t>4.8</w:t>
            </w:r>
          </w:p>
        </w:tc>
      </w:tr>
      <w:tr w:rsidR="00AC64A0" w:rsidRPr="00097A86" w14:paraId="1A9D340D" w14:textId="77777777" w:rsidTr="00C20CC2">
        <w:tc>
          <w:tcPr>
            <w:tcW w:w="479" w:type="pct"/>
            <w:shd w:val="clear" w:color="auto" w:fill="auto"/>
          </w:tcPr>
          <w:p w14:paraId="129C6DD6"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6</w:t>
            </w:r>
          </w:p>
        </w:tc>
        <w:tc>
          <w:tcPr>
            <w:tcW w:w="2297" w:type="pct"/>
            <w:shd w:val="clear" w:color="auto" w:fill="auto"/>
          </w:tcPr>
          <w:p w14:paraId="162E6FAE" w14:textId="77777777" w:rsidR="00AC64A0" w:rsidRPr="00097A86" w:rsidRDefault="00AC64A0" w:rsidP="00D22D3F">
            <w:pPr>
              <w:pStyle w:val="Tabletext"/>
              <w:rPr>
                <w:sz w:val="18"/>
                <w:szCs w:val="18"/>
              </w:rPr>
            </w:pPr>
            <w:r w:rsidRPr="00097A86">
              <w:rPr>
                <w:sz w:val="18"/>
                <w:szCs w:val="18"/>
              </w:rPr>
              <w:t>Sludge</w:t>
            </w:r>
          </w:p>
        </w:tc>
        <w:tc>
          <w:tcPr>
            <w:tcW w:w="552" w:type="pct"/>
            <w:shd w:val="clear" w:color="auto" w:fill="auto"/>
          </w:tcPr>
          <w:p w14:paraId="0E7F1DE3" w14:textId="77777777" w:rsidR="00AC64A0" w:rsidRPr="00097A86" w:rsidRDefault="00AC64A0" w:rsidP="00D22D3F">
            <w:pPr>
              <w:pStyle w:val="Tabletext"/>
              <w:rPr>
                <w:sz w:val="18"/>
                <w:szCs w:val="18"/>
              </w:rPr>
            </w:pPr>
            <w:r w:rsidRPr="00097A86">
              <w:rPr>
                <w:sz w:val="18"/>
                <w:szCs w:val="18"/>
              </w:rPr>
              <w:t>1.5</w:t>
            </w:r>
          </w:p>
        </w:tc>
        <w:tc>
          <w:tcPr>
            <w:tcW w:w="515" w:type="pct"/>
            <w:shd w:val="clear" w:color="auto" w:fill="auto"/>
          </w:tcPr>
          <w:p w14:paraId="3DAA3F5E" w14:textId="77777777" w:rsidR="00AC64A0" w:rsidRPr="00097A86" w:rsidRDefault="00AC64A0" w:rsidP="00D22D3F">
            <w:pPr>
              <w:pStyle w:val="Tabletext"/>
              <w:rPr>
                <w:sz w:val="18"/>
                <w:szCs w:val="18"/>
              </w:rPr>
            </w:pPr>
          </w:p>
        </w:tc>
        <w:tc>
          <w:tcPr>
            <w:tcW w:w="586" w:type="pct"/>
            <w:shd w:val="clear" w:color="auto" w:fill="auto"/>
          </w:tcPr>
          <w:p w14:paraId="474DD1F0" w14:textId="77777777" w:rsidR="00AC64A0" w:rsidRPr="00097A86" w:rsidRDefault="00AC64A0" w:rsidP="00D22D3F">
            <w:pPr>
              <w:pStyle w:val="Tabletext"/>
              <w:rPr>
                <w:sz w:val="18"/>
                <w:szCs w:val="18"/>
              </w:rPr>
            </w:pPr>
          </w:p>
        </w:tc>
        <w:tc>
          <w:tcPr>
            <w:tcW w:w="571" w:type="pct"/>
            <w:shd w:val="clear" w:color="auto" w:fill="auto"/>
          </w:tcPr>
          <w:p w14:paraId="0F7BC765" w14:textId="77777777" w:rsidR="00AC64A0" w:rsidRPr="00097A86" w:rsidRDefault="00AC64A0" w:rsidP="00D22D3F">
            <w:pPr>
              <w:pStyle w:val="Tabletext"/>
              <w:rPr>
                <w:sz w:val="18"/>
                <w:szCs w:val="18"/>
              </w:rPr>
            </w:pPr>
            <w:r w:rsidRPr="00097A86">
              <w:rPr>
                <w:sz w:val="18"/>
                <w:szCs w:val="18"/>
              </w:rPr>
              <w:t>1.8</w:t>
            </w:r>
          </w:p>
        </w:tc>
      </w:tr>
      <w:tr w:rsidR="00AC64A0" w:rsidRPr="00097A86" w14:paraId="61FE638E" w14:textId="77777777" w:rsidTr="00C20CC2">
        <w:tc>
          <w:tcPr>
            <w:tcW w:w="479" w:type="pct"/>
            <w:shd w:val="clear" w:color="auto" w:fill="auto"/>
          </w:tcPr>
          <w:p w14:paraId="1BE29FB5"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7</w:t>
            </w:r>
          </w:p>
        </w:tc>
        <w:tc>
          <w:tcPr>
            <w:tcW w:w="2297" w:type="pct"/>
            <w:shd w:val="clear" w:color="auto" w:fill="auto"/>
          </w:tcPr>
          <w:p w14:paraId="60159315" w14:textId="77777777" w:rsidR="00AC64A0" w:rsidRPr="00097A86" w:rsidRDefault="00AC64A0" w:rsidP="00D22D3F">
            <w:pPr>
              <w:pStyle w:val="Tabletext"/>
              <w:rPr>
                <w:sz w:val="18"/>
                <w:szCs w:val="18"/>
              </w:rPr>
            </w:pPr>
            <w:r w:rsidRPr="00097A86">
              <w:rPr>
                <w:sz w:val="18"/>
                <w:szCs w:val="18"/>
              </w:rPr>
              <w:t>Nappies</w:t>
            </w:r>
          </w:p>
        </w:tc>
        <w:tc>
          <w:tcPr>
            <w:tcW w:w="552" w:type="pct"/>
            <w:shd w:val="clear" w:color="auto" w:fill="auto"/>
          </w:tcPr>
          <w:p w14:paraId="36B86C8A" w14:textId="77777777" w:rsidR="00AC64A0" w:rsidRPr="00097A86" w:rsidRDefault="00AC64A0" w:rsidP="00D22D3F">
            <w:pPr>
              <w:pStyle w:val="Tabletext"/>
              <w:rPr>
                <w:sz w:val="18"/>
                <w:szCs w:val="18"/>
              </w:rPr>
            </w:pPr>
            <w:r w:rsidRPr="00097A86">
              <w:rPr>
                <w:sz w:val="18"/>
                <w:szCs w:val="18"/>
              </w:rPr>
              <w:t>0.0</w:t>
            </w:r>
          </w:p>
        </w:tc>
        <w:tc>
          <w:tcPr>
            <w:tcW w:w="515" w:type="pct"/>
            <w:shd w:val="clear" w:color="auto" w:fill="auto"/>
          </w:tcPr>
          <w:p w14:paraId="5C28B0CA" w14:textId="77777777" w:rsidR="00AC64A0" w:rsidRPr="00097A86" w:rsidRDefault="00AC64A0" w:rsidP="00D22D3F">
            <w:pPr>
              <w:pStyle w:val="Tabletext"/>
              <w:rPr>
                <w:sz w:val="18"/>
                <w:szCs w:val="18"/>
              </w:rPr>
            </w:pPr>
          </w:p>
        </w:tc>
        <w:tc>
          <w:tcPr>
            <w:tcW w:w="586" w:type="pct"/>
            <w:shd w:val="clear" w:color="auto" w:fill="auto"/>
          </w:tcPr>
          <w:p w14:paraId="20131A3D" w14:textId="77777777" w:rsidR="00AC64A0" w:rsidRPr="00097A86" w:rsidRDefault="00AC64A0" w:rsidP="00D22D3F">
            <w:pPr>
              <w:pStyle w:val="Tabletext"/>
              <w:rPr>
                <w:sz w:val="18"/>
                <w:szCs w:val="18"/>
              </w:rPr>
            </w:pPr>
          </w:p>
        </w:tc>
        <w:tc>
          <w:tcPr>
            <w:tcW w:w="571" w:type="pct"/>
            <w:shd w:val="clear" w:color="auto" w:fill="auto"/>
          </w:tcPr>
          <w:p w14:paraId="17E25C5F" w14:textId="77777777" w:rsidR="00AC64A0" w:rsidRPr="00097A86" w:rsidRDefault="00AC64A0" w:rsidP="00D22D3F">
            <w:pPr>
              <w:pStyle w:val="Tabletext"/>
              <w:rPr>
                <w:sz w:val="18"/>
                <w:szCs w:val="18"/>
              </w:rPr>
            </w:pPr>
            <w:r w:rsidRPr="00097A86">
              <w:rPr>
                <w:sz w:val="18"/>
                <w:szCs w:val="18"/>
              </w:rPr>
              <w:t>0.0</w:t>
            </w:r>
          </w:p>
        </w:tc>
      </w:tr>
      <w:tr w:rsidR="00AC64A0" w:rsidRPr="00097A86" w14:paraId="6CAE87E9" w14:textId="77777777" w:rsidTr="00C20CC2">
        <w:tc>
          <w:tcPr>
            <w:tcW w:w="479" w:type="pct"/>
            <w:tcBorders>
              <w:bottom w:val="single" w:sz="4" w:space="0" w:color="auto"/>
            </w:tcBorders>
            <w:shd w:val="clear" w:color="auto" w:fill="auto"/>
          </w:tcPr>
          <w:p w14:paraId="773E1D84"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8</w:t>
            </w:r>
          </w:p>
        </w:tc>
        <w:tc>
          <w:tcPr>
            <w:tcW w:w="2297" w:type="pct"/>
            <w:tcBorders>
              <w:bottom w:val="single" w:sz="4" w:space="0" w:color="auto"/>
            </w:tcBorders>
            <w:shd w:val="clear" w:color="auto" w:fill="auto"/>
          </w:tcPr>
          <w:p w14:paraId="24FF567A" w14:textId="77777777" w:rsidR="00AC64A0" w:rsidRPr="00097A86" w:rsidRDefault="00AC64A0" w:rsidP="00D22D3F">
            <w:pPr>
              <w:pStyle w:val="Tabletext"/>
              <w:rPr>
                <w:sz w:val="18"/>
                <w:szCs w:val="18"/>
              </w:rPr>
            </w:pPr>
            <w:r w:rsidRPr="00097A86">
              <w:rPr>
                <w:sz w:val="18"/>
                <w:szCs w:val="18"/>
              </w:rPr>
              <w:t>Rubber and leather</w:t>
            </w:r>
          </w:p>
        </w:tc>
        <w:tc>
          <w:tcPr>
            <w:tcW w:w="552" w:type="pct"/>
            <w:tcBorders>
              <w:bottom w:val="single" w:sz="4" w:space="0" w:color="auto"/>
            </w:tcBorders>
            <w:shd w:val="clear" w:color="auto" w:fill="auto"/>
          </w:tcPr>
          <w:p w14:paraId="72A5542B" w14:textId="77777777" w:rsidR="00AC64A0" w:rsidRPr="00097A86" w:rsidRDefault="00AC64A0" w:rsidP="00D22D3F">
            <w:pPr>
              <w:pStyle w:val="Tabletext"/>
              <w:rPr>
                <w:sz w:val="18"/>
                <w:szCs w:val="18"/>
              </w:rPr>
            </w:pPr>
            <w:r w:rsidRPr="00097A86">
              <w:rPr>
                <w:sz w:val="18"/>
                <w:szCs w:val="18"/>
              </w:rPr>
              <w:t>3.5</w:t>
            </w:r>
          </w:p>
        </w:tc>
        <w:tc>
          <w:tcPr>
            <w:tcW w:w="515" w:type="pct"/>
            <w:tcBorders>
              <w:bottom w:val="single" w:sz="4" w:space="0" w:color="auto"/>
            </w:tcBorders>
            <w:shd w:val="clear" w:color="auto" w:fill="auto"/>
          </w:tcPr>
          <w:p w14:paraId="4B9AEB42" w14:textId="77777777" w:rsidR="00AC64A0" w:rsidRPr="00097A86" w:rsidRDefault="00AC64A0" w:rsidP="00D22D3F">
            <w:pPr>
              <w:pStyle w:val="Tabletext"/>
              <w:rPr>
                <w:sz w:val="18"/>
                <w:szCs w:val="18"/>
              </w:rPr>
            </w:pPr>
          </w:p>
        </w:tc>
        <w:tc>
          <w:tcPr>
            <w:tcW w:w="586" w:type="pct"/>
            <w:tcBorders>
              <w:bottom w:val="single" w:sz="4" w:space="0" w:color="auto"/>
            </w:tcBorders>
            <w:shd w:val="clear" w:color="auto" w:fill="auto"/>
          </w:tcPr>
          <w:p w14:paraId="114023B6" w14:textId="77777777" w:rsidR="00AC64A0" w:rsidRPr="00097A86" w:rsidRDefault="00AC64A0" w:rsidP="00D22D3F">
            <w:pPr>
              <w:pStyle w:val="Tabletext"/>
              <w:rPr>
                <w:sz w:val="18"/>
                <w:szCs w:val="18"/>
              </w:rPr>
            </w:pPr>
          </w:p>
        </w:tc>
        <w:tc>
          <w:tcPr>
            <w:tcW w:w="571" w:type="pct"/>
            <w:tcBorders>
              <w:bottom w:val="single" w:sz="4" w:space="0" w:color="auto"/>
            </w:tcBorders>
            <w:shd w:val="clear" w:color="auto" w:fill="auto"/>
          </w:tcPr>
          <w:p w14:paraId="64A6C3B3" w14:textId="77777777" w:rsidR="00AC64A0" w:rsidRPr="00097A86" w:rsidRDefault="00AC64A0" w:rsidP="00D22D3F">
            <w:pPr>
              <w:pStyle w:val="Tabletext"/>
              <w:rPr>
                <w:sz w:val="18"/>
                <w:szCs w:val="18"/>
              </w:rPr>
            </w:pPr>
            <w:r w:rsidRPr="00097A86">
              <w:rPr>
                <w:sz w:val="18"/>
                <w:szCs w:val="18"/>
              </w:rPr>
              <w:t>4.2</w:t>
            </w:r>
          </w:p>
        </w:tc>
      </w:tr>
      <w:tr w:rsidR="00AC64A0" w:rsidRPr="00097A86" w14:paraId="7B2E2208" w14:textId="77777777" w:rsidTr="00C20CC2">
        <w:tc>
          <w:tcPr>
            <w:tcW w:w="479" w:type="pct"/>
            <w:tcBorders>
              <w:bottom w:val="single" w:sz="12" w:space="0" w:color="auto"/>
            </w:tcBorders>
            <w:shd w:val="clear" w:color="auto" w:fill="auto"/>
          </w:tcPr>
          <w:p w14:paraId="7EA0E655" w14:textId="77777777" w:rsidR="00AC64A0" w:rsidRPr="00097A86" w:rsidRDefault="00AC64A0" w:rsidP="00592A1A">
            <w:pPr>
              <w:pStyle w:val="HeaderBoldOdd"/>
              <w:spacing w:before="60"/>
              <w:ind w:left="227"/>
              <w:rPr>
                <w:rFonts w:ascii="Times New Roman" w:hAnsi="Times New Roman"/>
                <w:b w:val="0"/>
                <w:sz w:val="18"/>
                <w:szCs w:val="18"/>
              </w:rPr>
            </w:pPr>
            <w:r w:rsidRPr="00097A86">
              <w:rPr>
                <w:rFonts w:ascii="Times New Roman" w:hAnsi="Times New Roman"/>
                <w:b w:val="0"/>
                <w:sz w:val="18"/>
                <w:szCs w:val="18"/>
              </w:rPr>
              <w:t>9</w:t>
            </w:r>
          </w:p>
        </w:tc>
        <w:tc>
          <w:tcPr>
            <w:tcW w:w="2297" w:type="pct"/>
            <w:tcBorders>
              <w:bottom w:val="single" w:sz="12" w:space="0" w:color="auto"/>
            </w:tcBorders>
            <w:shd w:val="clear" w:color="auto" w:fill="auto"/>
          </w:tcPr>
          <w:p w14:paraId="7DB15245" w14:textId="77777777" w:rsidR="00AC64A0" w:rsidRPr="00097A86" w:rsidRDefault="00AC64A0">
            <w:pPr>
              <w:pStyle w:val="Tabletext"/>
              <w:rPr>
                <w:sz w:val="18"/>
                <w:szCs w:val="18"/>
              </w:rPr>
            </w:pPr>
            <w:r w:rsidRPr="00097A86">
              <w:rPr>
                <w:sz w:val="18"/>
                <w:szCs w:val="18"/>
              </w:rPr>
              <w:t>Inert waste</w:t>
            </w:r>
          </w:p>
        </w:tc>
        <w:tc>
          <w:tcPr>
            <w:tcW w:w="552" w:type="pct"/>
            <w:tcBorders>
              <w:bottom w:val="single" w:sz="12" w:space="0" w:color="auto"/>
            </w:tcBorders>
            <w:shd w:val="clear" w:color="auto" w:fill="auto"/>
          </w:tcPr>
          <w:p w14:paraId="16AE29F7" w14:textId="77777777" w:rsidR="00AC64A0" w:rsidRPr="00097A86" w:rsidRDefault="00AC64A0" w:rsidP="00D22D3F">
            <w:pPr>
              <w:pStyle w:val="Tabletext"/>
              <w:rPr>
                <w:sz w:val="18"/>
                <w:szCs w:val="18"/>
              </w:rPr>
            </w:pPr>
            <w:r w:rsidRPr="00097A86">
              <w:rPr>
                <w:sz w:val="18"/>
                <w:szCs w:val="18"/>
              </w:rPr>
              <w:t>37.5</w:t>
            </w:r>
          </w:p>
        </w:tc>
        <w:tc>
          <w:tcPr>
            <w:tcW w:w="515" w:type="pct"/>
            <w:tcBorders>
              <w:bottom w:val="single" w:sz="12" w:space="0" w:color="auto"/>
            </w:tcBorders>
            <w:shd w:val="clear" w:color="auto" w:fill="auto"/>
          </w:tcPr>
          <w:p w14:paraId="328C96D0" w14:textId="77777777" w:rsidR="00AC64A0" w:rsidRPr="00097A86" w:rsidRDefault="00AC64A0" w:rsidP="00D22D3F">
            <w:pPr>
              <w:pStyle w:val="Tabletext"/>
              <w:rPr>
                <w:sz w:val="18"/>
                <w:szCs w:val="18"/>
              </w:rPr>
            </w:pPr>
          </w:p>
        </w:tc>
        <w:tc>
          <w:tcPr>
            <w:tcW w:w="586" w:type="pct"/>
            <w:tcBorders>
              <w:bottom w:val="single" w:sz="12" w:space="0" w:color="auto"/>
            </w:tcBorders>
            <w:shd w:val="clear" w:color="auto" w:fill="auto"/>
          </w:tcPr>
          <w:p w14:paraId="5682783C" w14:textId="77777777" w:rsidR="00AC64A0" w:rsidRPr="00097A86" w:rsidRDefault="00AC64A0" w:rsidP="00D22D3F">
            <w:pPr>
              <w:pStyle w:val="Tabletext"/>
              <w:rPr>
                <w:sz w:val="18"/>
                <w:szCs w:val="18"/>
              </w:rPr>
            </w:pPr>
          </w:p>
        </w:tc>
        <w:tc>
          <w:tcPr>
            <w:tcW w:w="571" w:type="pct"/>
            <w:tcBorders>
              <w:bottom w:val="single" w:sz="12" w:space="0" w:color="auto"/>
            </w:tcBorders>
            <w:shd w:val="clear" w:color="auto" w:fill="auto"/>
          </w:tcPr>
          <w:p w14:paraId="664B8B5B" w14:textId="77777777" w:rsidR="00AC64A0" w:rsidRPr="00097A86" w:rsidRDefault="00AC64A0" w:rsidP="00D22D3F">
            <w:pPr>
              <w:pStyle w:val="Tabletext"/>
              <w:rPr>
                <w:sz w:val="18"/>
                <w:szCs w:val="18"/>
              </w:rPr>
            </w:pPr>
            <w:r w:rsidRPr="00097A86">
              <w:rPr>
                <w:sz w:val="18"/>
                <w:szCs w:val="18"/>
              </w:rPr>
              <w:t>45.4</w:t>
            </w:r>
          </w:p>
        </w:tc>
      </w:tr>
    </w:tbl>
    <w:p w14:paraId="33DC9667" w14:textId="77777777" w:rsidR="00AC64A0" w:rsidRPr="00097A86" w:rsidRDefault="00AC64A0" w:rsidP="00D22D3F">
      <w:pPr>
        <w:pStyle w:val="ActHead5"/>
      </w:pPr>
      <w:bookmarkStart w:id="533" w:name="_Toc13233965"/>
      <w:r w:rsidRPr="00097A86">
        <w:rPr>
          <w:rStyle w:val="CharSectno"/>
        </w:rPr>
        <w:t>5.11A</w:t>
      </w:r>
      <w:r w:rsidR="00D22D3F" w:rsidRPr="00097A86">
        <w:t xml:space="preserve">  </w:t>
      </w:r>
      <w:r w:rsidRPr="00097A86">
        <w:t>Certain waste to be deducted from waste received at landfill when estimating waste disposed in landfill</w:t>
      </w:r>
      <w:bookmarkEnd w:id="533"/>
    </w:p>
    <w:p w14:paraId="3082ACE2" w14:textId="77777777" w:rsidR="00AC64A0" w:rsidRPr="00097A86" w:rsidRDefault="00AC64A0" w:rsidP="00D22D3F">
      <w:pPr>
        <w:pStyle w:val="subsection"/>
      </w:pPr>
      <w:r w:rsidRPr="00097A86">
        <w:tab/>
      </w:r>
      <w:r w:rsidR="00C67FFE" w:rsidRPr="00097A86">
        <w:t>(1)</w:t>
      </w:r>
      <w:r w:rsidRPr="00097A86">
        <w:tab/>
        <w:t>When estimating the tonnage of waste by waste mix type disposed of in a landfill, the tonnage of the following waste is to be deducted from the estimates of waste received at the landfill:</w:t>
      </w:r>
    </w:p>
    <w:p w14:paraId="202F2E2C" w14:textId="77777777" w:rsidR="00AC64A0" w:rsidRPr="00097A86" w:rsidRDefault="00AC64A0" w:rsidP="00D22D3F">
      <w:pPr>
        <w:pStyle w:val="paragraph"/>
      </w:pPr>
      <w:r w:rsidRPr="00097A86">
        <w:tab/>
        <w:t>(a)</w:t>
      </w:r>
      <w:r w:rsidRPr="00097A86">
        <w:tab/>
        <w:t>waste that is taken from the landfill for recycling or biological treatment;</w:t>
      </w:r>
    </w:p>
    <w:p w14:paraId="4D0B202E" w14:textId="77777777" w:rsidR="00AC64A0" w:rsidRPr="00097A86" w:rsidRDefault="00AC64A0" w:rsidP="00D22D3F">
      <w:pPr>
        <w:pStyle w:val="paragraph"/>
      </w:pPr>
      <w:r w:rsidRPr="00097A86">
        <w:tab/>
        <w:t>(b)</w:t>
      </w:r>
      <w:r w:rsidRPr="00097A86">
        <w:tab/>
        <w:t>waste that is received at the landfill for recycling or biological treatment at the landfill site;</w:t>
      </w:r>
    </w:p>
    <w:p w14:paraId="3EDE6884" w14:textId="77777777" w:rsidR="00AC64A0" w:rsidRPr="00097A86" w:rsidRDefault="00AC64A0" w:rsidP="00D22D3F">
      <w:pPr>
        <w:pStyle w:val="paragraph"/>
      </w:pPr>
      <w:r w:rsidRPr="00097A86">
        <w:tab/>
        <w:t>(c)</w:t>
      </w:r>
      <w:r w:rsidRPr="00097A86">
        <w:tab/>
        <w:t>waste that is used at the landfill for construction purposes, daily cover purposes, intermediate cover purposes or final capping and cover purposes.</w:t>
      </w:r>
    </w:p>
    <w:p w14:paraId="755C67B1" w14:textId="77777777" w:rsidR="00F619D8" w:rsidRPr="00097A86" w:rsidRDefault="00F619D8" w:rsidP="00F619D8">
      <w:pPr>
        <w:pStyle w:val="subsection"/>
      </w:pPr>
      <w:r w:rsidRPr="00097A86">
        <w:tab/>
        <w:t>(2)</w:t>
      </w:r>
      <w:r w:rsidRPr="00097A86">
        <w:tab/>
        <w:t xml:space="preserve">If the waste to be deducted under </w:t>
      </w:r>
      <w:r w:rsidR="00097A86">
        <w:t>subsection (</w:t>
      </w:r>
      <w:r w:rsidRPr="00097A86">
        <w:t>1) is a general waste stream mentioned in subsection</w:t>
      </w:r>
      <w:r w:rsidR="00097A86">
        <w:t> </w:t>
      </w:r>
      <w:r w:rsidRPr="00097A86">
        <w:t>5.10(1), the tonnage of the waste to be deducted may be estimated by using the default waste stream percentages mentioned in subsection</w:t>
      </w:r>
      <w:r w:rsidR="00097A86">
        <w:t> </w:t>
      </w:r>
      <w:r w:rsidRPr="00097A86">
        <w:t>5.11(2) for each waste mix type.</w:t>
      </w:r>
    </w:p>
    <w:p w14:paraId="7502E609" w14:textId="77777777" w:rsidR="003F0D4E" w:rsidRPr="00097A86" w:rsidRDefault="003F0D4E" w:rsidP="00D22D3F">
      <w:pPr>
        <w:pStyle w:val="ActHead5"/>
      </w:pPr>
      <w:bookmarkStart w:id="534" w:name="_Toc13233966"/>
      <w:r w:rsidRPr="00097A86">
        <w:rPr>
          <w:rStyle w:val="CharSectno"/>
        </w:rPr>
        <w:t>5.12</w:t>
      </w:r>
      <w:r w:rsidR="00D22D3F" w:rsidRPr="00097A86">
        <w:t xml:space="preserve">  </w:t>
      </w:r>
      <w:r w:rsidRPr="00097A86">
        <w:t>Degradable organic carbon content</w:t>
      </w:r>
      <w:bookmarkEnd w:id="534"/>
    </w:p>
    <w:p w14:paraId="0B3FE77A" w14:textId="77777777" w:rsidR="003F0D4E" w:rsidRPr="00097A86" w:rsidRDefault="003F0D4E" w:rsidP="00D22D3F">
      <w:pPr>
        <w:pStyle w:val="subsection"/>
      </w:pPr>
      <w:r w:rsidRPr="00097A86">
        <w:tab/>
      </w:r>
      <w:r w:rsidRPr="00097A86">
        <w:tab/>
        <w:t xml:space="preserve">For </w:t>
      </w:r>
      <w:r w:rsidR="00C46CD8" w:rsidRPr="00097A86">
        <w:t>paragraph</w:t>
      </w:r>
      <w:r w:rsidR="00097A86">
        <w:t> </w:t>
      </w:r>
      <w:r w:rsidR="00C46CD8" w:rsidRPr="00097A86">
        <w:t xml:space="preserve">5.4A(c), </w:t>
      </w:r>
      <w:r w:rsidRPr="00097A86">
        <w:t>the amount of the degradable organic carbon content of the solid waste at the landfill must be estimated by using the degradable organic carbon values in column 3 of an item in the following table for each waste mix type in column 2 for that item.</w:t>
      </w:r>
    </w:p>
    <w:p w14:paraId="2D9FDEB5"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51"/>
        <w:gridCol w:w="3099"/>
        <w:gridCol w:w="3663"/>
      </w:tblGrid>
      <w:tr w:rsidR="003F0D4E" w:rsidRPr="00097A86" w14:paraId="4960F365" w14:textId="77777777" w:rsidTr="00C20CC2">
        <w:trPr>
          <w:tblHeader/>
        </w:trPr>
        <w:tc>
          <w:tcPr>
            <w:tcW w:w="933" w:type="pct"/>
            <w:tcBorders>
              <w:top w:val="single" w:sz="12" w:space="0" w:color="auto"/>
              <w:bottom w:val="single" w:sz="12" w:space="0" w:color="auto"/>
            </w:tcBorders>
            <w:shd w:val="clear" w:color="auto" w:fill="auto"/>
          </w:tcPr>
          <w:p w14:paraId="692F7FBF" w14:textId="77777777" w:rsidR="003F0D4E" w:rsidRPr="00097A86" w:rsidRDefault="003F0D4E" w:rsidP="00D22D3F">
            <w:pPr>
              <w:pStyle w:val="TableHeading"/>
            </w:pPr>
            <w:r w:rsidRPr="00097A86">
              <w:t>Item</w:t>
            </w:r>
          </w:p>
        </w:tc>
        <w:tc>
          <w:tcPr>
            <w:tcW w:w="1864" w:type="pct"/>
            <w:tcBorders>
              <w:top w:val="single" w:sz="12" w:space="0" w:color="auto"/>
              <w:bottom w:val="single" w:sz="12" w:space="0" w:color="auto"/>
            </w:tcBorders>
            <w:shd w:val="clear" w:color="auto" w:fill="auto"/>
          </w:tcPr>
          <w:p w14:paraId="5E44B2DA" w14:textId="77777777" w:rsidR="003F0D4E" w:rsidRPr="00097A86" w:rsidRDefault="003F0D4E" w:rsidP="00D22D3F">
            <w:pPr>
              <w:pStyle w:val="TableHeading"/>
            </w:pPr>
            <w:r w:rsidRPr="00097A86">
              <w:t>Waste mix type</w:t>
            </w:r>
          </w:p>
        </w:tc>
        <w:tc>
          <w:tcPr>
            <w:tcW w:w="2203" w:type="pct"/>
            <w:tcBorders>
              <w:top w:val="single" w:sz="12" w:space="0" w:color="auto"/>
              <w:bottom w:val="single" w:sz="12" w:space="0" w:color="auto"/>
            </w:tcBorders>
            <w:shd w:val="clear" w:color="auto" w:fill="auto"/>
          </w:tcPr>
          <w:p w14:paraId="0C8E47B0" w14:textId="77777777" w:rsidR="003F0D4E" w:rsidRPr="00097A86" w:rsidRDefault="003F0D4E" w:rsidP="00D22D3F">
            <w:pPr>
              <w:pStyle w:val="TableHeading"/>
            </w:pPr>
            <w:r w:rsidRPr="00097A86">
              <w:t>Degradable organic carbon value</w:t>
            </w:r>
          </w:p>
        </w:tc>
      </w:tr>
      <w:tr w:rsidR="003F0D4E" w:rsidRPr="00097A86" w14:paraId="3412188F" w14:textId="77777777" w:rsidTr="00C20CC2">
        <w:tc>
          <w:tcPr>
            <w:tcW w:w="933" w:type="pct"/>
            <w:tcBorders>
              <w:top w:val="single" w:sz="12" w:space="0" w:color="auto"/>
            </w:tcBorders>
            <w:shd w:val="clear" w:color="auto" w:fill="auto"/>
          </w:tcPr>
          <w:p w14:paraId="276635F8" w14:textId="77777777" w:rsidR="003F0D4E" w:rsidRPr="00097A86" w:rsidRDefault="003F0D4E" w:rsidP="00D22D3F">
            <w:pPr>
              <w:pStyle w:val="Tabletext"/>
            </w:pPr>
            <w:r w:rsidRPr="00097A86">
              <w:t>1</w:t>
            </w:r>
          </w:p>
        </w:tc>
        <w:tc>
          <w:tcPr>
            <w:tcW w:w="1864" w:type="pct"/>
            <w:tcBorders>
              <w:top w:val="single" w:sz="12" w:space="0" w:color="auto"/>
            </w:tcBorders>
            <w:shd w:val="clear" w:color="auto" w:fill="auto"/>
          </w:tcPr>
          <w:p w14:paraId="1731417D" w14:textId="77777777" w:rsidR="003F0D4E" w:rsidRPr="00097A86" w:rsidRDefault="003F0D4E" w:rsidP="00D22D3F">
            <w:pPr>
              <w:pStyle w:val="Tabletext"/>
            </w:pPr>
            <w:r w:rsidRPr="00097A86">
              <w:t>Food</w:t>
            </w:r>
          </w:p>
        </w:tc>
        <w:tc>
          <w:tcPr>
            <w:tcW w:w="2203" w:type="pct"/>
            <w:tcBorders>
              <w:top w:val="single" w:sz="12" w:space="0" w:color="auto"/>
            </w:tcBorders>
            <w:shd w:val="clear" w:color="auto" w:fill="auto"/>
          </w:tcPr>
          <w:p w14:paraId="57AA1C72" w14:textId="77777777" w:rsidR="003F0D4E" w:rsidRPr="00097A86" w:rsidRDefault="003F0D4E" w:rsidP="00D22D3F">
            <w:pPr>
              <w:pStyle w:val="Tabletext"/>
            </w:pPr>
            <w:r w:rsidRPr="00097A86">
              <w:t>0.15</w:t>
            </w:r>
          </w:p>
        </w:tc>
      </w:tr>
      <w:tr w:rsidR="003F0D4E" w:rsidRPr="00097A86" w14:paraId="1E156C7C" w14:textId="77777777" w:rsidTr="00C20CC2">
        <w:tc>
          <w:tcPr>
            <w:tcW w:w="933" w:type="pct"/>
            <w:shd w:val="clear" w:color="auto" w:fill="auto"/>
          </w:tcPr>
          <w:p w14:paraId="3544E2F1" w14:textId="77777777" w:rsidR="003F0D4E" w:rsidRPr="00097A86" w:rsidRDefault="003F0D4E" w:rsidP="00D22D3F">
            <w:pPr>
              <w:pStyle w:val="Tabletext"/>
            </w:pPr>
            <w:r w:rsidRPr="00097A86">
              <w:t>2</w:t>
            </w:r>
          </w:p>
        </w:tc>
        <w:tc>
          <w:tcPr>
            <w:tcW w:w="1864" w:type="pct"/>
            <w:shd w:val="clear" w:color="auto" w:fill="auto"/>
          </w:tcPr>
          <w:p w14:paraId="2EC30BD9" w14:textId="77777777" w:rsidR="003F0D4E" w:rsidRPr="00097A86" w:rsidRDefault="003F0D4E" w:rsidP="00D22D3F">
            <w:pPr>
              <w:pStyle w:val="Tabletext"/>
            </w:pPr>
            <w:r w:rsidRPr="00097A86">
              <w:t>Paper and cardboard</w:t>
            </w:r>
          </w:p>
        </w:tc>
        <w:tc>
          <w:tcPr>
            <w:tcW w:w="2203" w:type="pct"/>
            <w:shd w:val="clear" w:color="auto" w:fill="auto"/>
          </w:tcPr>
          <w:p w14:paraId="0BAA4493" w14:textId="77777777" w:rsidR="003F0D4E" w:rsidRPr="00097A86" w:rsidRDefault="003F0D4E" w:rsidP="00D22D3F">
            <w:pPr>
              <w:pStyle w:val="Tabletext"/>
            </w:pPr>
            <w:r w:rsidRPr="00097A86">
              <w:t>0.40</w:t>
            </w:r>
          </w:p>
        </w:tc>
      </w:tr>
      <w:tr w:rsidR="003F0D4E" w:rsidRPr="00097A86" w14:paraId="5FF56F94" w14:textId="77777777" w:rsidTr="00C20CC2">
        <w:tc>
          <w:tcPr>
            <w:tcW w:w="933" w:type="pct"/>
            <w:shd w:val="clear" w:color="auto" w:fill="auto"/>
          </w:tcPr>
          <w:p w14:paraId="36EF838D" w14:textId="77777777" w:rsidR="003F0D4E" w:rsidRPr="00097A86" w:rsidRDefault="003F0D4E" w:rsidP="00D22D3F">
            <w:pPr>
              <w:pStyle w:val="Tabletext"/>
            </w:pPr>
            <w:r w:rsidRPr="00097A86">
              <w:t>3</w:t>
            </w:r>
          </w:p>
        </w:tc>
        <w:tc>
          <w:tcPr>
            <w:tcW w:w="1864" w:type="pct"/>
            <w:shd w:val="clear" w:color="auto" w:fill="auto"/>
          </w:tcPr>
          <w:p w14:paraId="1D967C09" w14:textId="77777777" w:rsidR="003F0D4E" w:rsidRPr="00097A86" w:rsidRDefault="003F0D4E" w:rsidP="00D22D3F">
            <w:pPr>
              <w:pStyle w:val="Tabletext"/>
            </w:pPr>
            <w:r w:rsidRPr="00097A86">
              <w:t>Garden and green</w:t>
            </w:r>
          </w:p>
        </w:tc>
        <w:tc>
          <w:tcPr>
            <w:tcW w:w="2203" w:type="pct"/>
            <w:shd w:val="clear" w:color="auto" w:fill="auto"/>
          </w:tcPr>
          <w:p w14:paraId="31212782" w14:textId="77777777" w:rsidR="003F0D4E" w:rsidRPr="00097A86" w:rsidRDefault="003F0D4E" w:rsidP="00D22D3F">
            <w:pPr>
              <w:pStyle w:val="Tabletext"/>
            </w:pPr>
            <w:r w:rsidRPr="00097A86">
              <w:t>0.20</w:t>
            </w:r>
          </w:p>
        </w:tc>
      </w:tr>
      <w:tr w:rsidR="003F0D4E" w:rsidRPr="00097A86" w14:paraId="2EAF9E66" w14:textId="77777777" w:rsidTr="00C20CC2">
        <w:tc>
          <w:tcPr>
            <w:tcW w:w="933" w:type="pct"/>
            <w:shd w:val="clear" w:color="auto" w:fill="auto"/>
          </w:tcPr>
          <w:p w14:paraId="65C67A4C" w14:textId="77777777" w:rsidR="003F0D4E" w:rsidRPr="00097A86" w:rsidRDefault="003F0D4E" w:rsidP="00D22D3F">
            <w:pPr>
              <w:pStyle w:val="Tabletext"/>
            </w:pPr>
            <w:r w:rsidRPr="00097A86">
              <w:t>4</w:t>
            </w:r>
          </w:p>
        </w:tc>
        <w:tc>
          <w:tcPr>
            <w:tcW w:w="1864" w:type="pct"/>
            <w:shd w:val="clear" w:color="auto" w:fill="auto"/>
          </w:tcPr>
          <w:p w14:paraId="0A4EA747" w14:textId="77777777" w:rsidR="003F0D4E" w:rsidRPr="00097A86" w:rsidRDefault="003F0D4E" w:rsidP="00D22D3F">
            <w:pPr>
              <w:pStyle w:val="Tabletext"/>
            </w:pPr>
            <w:r w:rsidRPr="00097A86">
              <w:t>Wood</w:t>
            </w:r>
          </w:p>
        </w:tc>
        <w:tc>
          <w:tcPr>
            <w:tcW w:w="2203" w:type="pct"/>
            <w:shd w:val="clear" w:color="auto" w:fill="auto"/>
          </w:tcPr>
          <w:p w14:paraId="06741754" w14:textId="77777777" w:rsidR="003F0D4E" w:rsidRPr="00097A86" w:rsidRDefault="003F0D4E" w:rsidP="00D22D3F">
            <w:pPr>
              <w:pStyle w:val="Tabletext"/>
            </w:pPr>
            <w:r w:rsidRPr="00097A86">
              <w:t>0.43</w:t>
            </w:r>
          </w:p>
        </w:tc>
      </w:tr>
      <w:tr w:rsidR="003F0D4E" w:rsidRPr="00097A86" w14:paraId="10922B99" w14:textId="77777777" w:rsidTr="00C20CC2">
        <w:tc>
          <w:tcPr>
            <w:tcW w:w="933" w:type="pct"/>
            <w:shd w:val="clear" w:color="auto" w:fill="auto"/>
          </w:tcPr>
          <w:p w14:paraId="225C8154" w14:textId="77777777" w:rsidR="003F0D4E" w:rsidRPr="00097A86" w:rsidRDefault="003F0D4E" w:rsidP="00D22D3F">
            <w:pPr>
              <w:pStyle w:val="Tabletext"/>
            </w:pPr>
            <w:r w:rsidRPr="00097A86">
              <w:t>5</w:t>
            </w:r>
          </w:p>
        </w:tc>
        <w:tc>
          <w:tcPr>
            <w:tcW w:w="1864" w:type="pct"/>
            <w:shd w:val="clear" w:color="auto" w:fill="auto"/>
          </w:tcPr>
          <w:p w14:paraId="51DA37ED" w14:textId="77777777" w:rsidR="003F0D4E" w:rsidRPr="00097A86" w:rsidRDefault="003F0D4E" w:rsidP="00D22D3F">
            <w:pPr>
              <w:pStyle w:val="Tabletext"/>
            </w:pPr>
            <w:r w:rsidRPr="00097A86">
              <w:t>Textiles</w:t>
            </w:r>
          </w:p>
        </w:tc>
        <w:tc>
          <w:tcPr>
            <w:tcW w:w="2203" w:type="pct"/>
            <w:shd w:val="clear" w:color="auto" w:fill="auto"/>
          </w:tcPr>
          <w:p w14:paraId="3BA052B8" w14:textId="77777777" w:rsidR="003F0D4E" w:rsidRPr="00097A86" w:rsidRDefault="003F0D4E" w:rsidP="00D22D3F">
            <w:pPr>
              <w:pStyle w:val="Tabletext"/>
            </w:pPr>
            <w:r w:rsidRPr="00097A86">
              <w:t>0.24</w:t>
            </w:r>
          </w:p>
        </w:tc>
      </w:tr>
      <w:tr w:rsidR="003F0D4E" w:rsidRPr="00097A86" w14:paraId="3C16D9F5" w14:textId="77777777" w:rsidTr="00C20CC2">
        <w:tc>
          <w:tcPr>
            <w:tcW w:w="933" w:type="pct"/>
            <w:shd w:val="clear" w:color="auto" w:fill="auto"/>
          </w:tcPr>
          <w:p w14:paraId="529F3C63" w14:textId="77777777" w:rsidR="003F0D4E" w:rsidRPr="00097A86" w:rsidRDefault="003F0D4E" w:rsidP="00D22D3F">
            <w:pPr>
              <w:pStyle w:val="Tabletext"/>
            </w:pPr>
            <w:r w:rsidRPr="00097A86">
              <w:t>6</w:t>
            </w:r>
          </w:p>
        </w:tc>
        <w:tc>
          <w:tcPr>
            <w:tcW w:w="1864" w:type="pct"/>
            <w:shd w:val="clear" w:color="auto" w:fill="auto"/>
          </w:tcPr>
          <w:p w14:paraId="41DC7775" w14:textId="77777777" w:rsidR="003F0D4E" w:rsidRPr="00097A86" w:rsidRDefault="003F0D4E" w:rsidP="00D22D3F">
            <w:pPr>
              <w:pStyle w:val="Tabletext"/>
            </w:pPr>
            <w:r w:rsidRPr="00097A86">
              <w:t>Sludge</w:t>
            </w:r>
          </w:p>
        </w:tc>
        <w:tc>
          <w:tcPr>
            <w:tcW w:w="2203" w:type="pct"/>
            <w:shd w:val="clear" w:color="auto" w:fill="auto"/>
          </w:tcPr>
          <w:p w14:paraId="41DFA702" w14:textId="77777777" w:rsidR="003F0D4E" w:rsidRPr="00097A86" w:rsidRDefault="003F0D4E" w:rsidP="00D22D3F">
            <w:pPr>
              <w:pStyle w:val="Tabletext"/>
            </w:pPr>
            <w:r w:rsidRPr="00097A86">
              <w:t>0.05</w:t>
            </w:r>
          </w:p>
        </w:tc>
      </w:tr>
      <w:tr w:rsidR="003F0D4E" w:rsidRPr="00097A86" w14:paraId="5644F667" w14:textId="77777777" w:rsidTr="00C20CC2">
        <w:tc>
          <w:tcPr>
            <w:tcW w:w="933" w:type="pct"/>
            <w:shd w:val="clear" w:color="auto" w:fill="auto"/>
          </w:tcPr>
          <w:p w14:paraId="53B46ADD" w14:textId="77777777" w:rsidR="003F0D4E" w:rsidRPr="00097A86" w:rsidRDefault="003F0D4E" w:rsidP="00D22D3F">
            <w:pPr>
              <w:pStyle w:val="Tabletext"/>
            </w:pPr>
            <w:r w:rsidRPr="00097A86">
              <w:t>7</w:t>
            </w:r>
          </w:p>
        </w:tc>
        <w:tc>
          <w:tcPr>
            <w:tcW w:w="1864" w:type="pct"/>
            <w:shd w:val="clear" w:color="auto" w:fill="auto"/>
          </w:tcPr>
          <w:p w14:paraId="4B74787A" w14:textId="77777777" w:rsidR="003F0D4E" w:rsidRPr="00097A86" w:rsidRDefault="003F0D4E" w:rsidP="00D22D3F">
            <w:pPr>
              <w:pStyle w:val="Tabletext"/>
            </w:pPr>
            <w:r w:rsidRPr="00097A86">
              <w:t>Nappies</w:t>
            </w:r>
          </w:p>
        </w:tc>
        <w:tc>
          <w:tcPr>
            <w:tcW w:w="2203" w:type="pct"/>
            <w:shd w:val="clear" w:color="auto" w:fill="auto"/>
          </w:tcPr>
          <w:p w14:paraId="4E3EB224" w14:textId="77777777" w:rsidR="003F0D4E" w:rsidRPr="00097A86" w:rsidRDefault="003F0D4E" w:rsidP="00D22D3F">
            <w:pPr>
              <w:pStyle w:val="Tabletext"/>
            </w:pPr>
            <w:r w:rsidRPr="00097A86">
              <w:t>0.24</w:t>
            </w:r>
          </w:p>
        </w:tc>
      </w:tr>
      <w:tr w:rsidR="003F0D4E" w:rsidRPr="00097A86" w14:paraId="0C4471FA" w14:textId="77777777" w:rsidTr="00C20CC2">
        <w:tc>
          <w:tcPr>
            <w:tcW w:w="933" w:type="pct"/>
            <w:tcBorders>
              <w:bottom w:val="single" w:sz="4" w:space="0" w:color="auto"/>
            </w:tcBorders>
            <w:shd w:val="clear" w:color="auto" w:fill="auto"/>
          </w:tcPr>
          <w:p w14:paraId="2EADB9C4" w14:textId="77777777" w:rsidR="003F0D4E" w:rsidRPr="00097A86" w:rsidRDefault="003F0D4E" w:rsidP="00D22D3F">
            <w:pPr>
              <w:pStyle w:val="Tabletext"/>
            </w:pPr>
            <w:r w:rsidRPr="00097A86">
              <w:t>8</w:t>
            </w:r>
          </w:p>
        </w:tc>
        <w:tc>
          <w:tcPr>
            <w:tcW w:w="1864" w:type="pct"/>
            <w:tcBorders>
              <w:bottom w:val="single" w:sz="4" w:space="0" w:color="auto"/>
            </w:tcBorders>
            <w:shd w:val="clear" w:color="auto" w:fill="auto"/>
          </w:tcPr>
          <w:p w14:paraId="59BC60B4" w14:textId="77777777" w:rsidR="003F0D4E" w:rsidRPr="00097A86" w:rsidRDefault="003F0D4E" w:rsidP="00D22D3F">
            <w:pPr>
              <w:pStyle w:val="Tabletext"/>
            </w:pPr>
            <w:r w:rsidRPr="00097A86">
              <w:t>Rubber and Leather</w:t>
            </w:r>
          </w:p>
        </w:tc>
        <w:tc>
          <w:tcPr>
            <w:tcW w:w="2203" w:type="pct"/>
            <w:tcBorders>
              <w:bottom w:val="single" w:sz="4" w:space="0" w:color="auto"/>
            </w:tcBorders>
            <w:shd w:val="clear" w:color="auto" w:fill="auto"/>
          </w:tcPr>
          <w:p w14:paraId="2AD6C4B1" w14:textId="77777777" w:rsidR="003F0D4E" w:rsidRPr="00097A86" w:rsidRDefault="003F0D4E" w:rsidP="00D22D3F">
            <w:pPr>
              <w:pStyle w:val="Tabletext"/>
            </w:pPr>
            <w:r w:rsidRPr="00097A86">
              <w:t>0.39</w:t>
            </w:r>
          </w:p>
        </w:tc>
      </w:tr>
      <w:tr w:rsidR="003F0D4E" w:rsidRPr="00097A86" w14:paraId="63EC1BD3" w14:textId="77777777" w:rsidTr="00C20CC2">
        <w:tc>
          <w:tcPr>
            <w:tcW w:w="933" w:type="pct"/>
            <w:shd w:val="clear" w:color="auto" w:fill="auto"/>
          </w:tcPr>
          <w:p w14:paraId="38D535B9" w14:textId="77777777" w:rsidR="003F0D4E" w:rsidRPr="00097A86" w:rsidRDefault="003F0D4E" w:rsidP="00D22D3F">
            <w:pPr>
              <w:pStyle w:val="Tabletext"/>
            </w:pPr>
            <w:r w:rsidRPr="00097A86">
              <w:t>9</w:t>
            </w:r>
          </w:p>
        </w:tc>
        <w:tc>
          <w:tcPr>
            <w:tcW w:w="1864" w:type="pct"/>
            <w:shd w:val="clear" w:color="auto" w:fill="auto"/>
          </w:tcPr>
          <w:p w14:paraId="667AD2FF" w14:textId="77777777" w:rsidR="003F0D4E" w:rsidRPr="00097A86" w:rsidRDefault="004E60C0" w:rsidP="00D22D3F">
            <w:pPr>
              <w:pStyle w:val="Tabletext"/>
            </w:pPr>
            <w:r w:rsidRPr="00097A86">
              <w:t>Inert waste</w:t>
            </w:r>
          </w:p>
        </w:tc>
        <w:tc>
          <w:tcPr>
            <w:tcW w:w="2203" w:type="pct"/>
            <w:shd w:val="clear" w:color="auto" w:fill="auto"/>
          </w:tcPr>
          <w:p w14:paraId="10FD63D8" w14:textId="77777777" w:rsidR="003F0D4E" w:rsidRPr="00097A86" w:rsidRDefault="003F0D4E" w:rsidP="00D22D3F">
            <w:pPr>
              <w:pStyle w:val="Tabletext"/>
            </w:pPr>
            <w:r w:rsidRPr="00097A86">
              <w:t>0.00</w:t>
            </w:r>
          </w:p>
        </w:tc>
      </w:tr>
      <w:tr w:rsidR="004E60C0" w:rsidRPr="00097A86" w14:paraId="7937DB20" w14:textId="77777777" w:rsidTr="00C20CC2">
        <w:tc>
          <w:tcPr>
            <w:tcW w:w="933" w:type="pct"/>
            <w:tcBorders>
              <w:bottom w:val="single" w:sz="12" w:space="0" w:color="auto"/>
            </w:tcBorders>
            <w:shd w:val="clear" w:color="auto" w:fill="auto"/>
          </w:tcPr>
          <w:p w14:paraId="73F45CFE" w14:textId="77777777" w:rsidR="004E60C0" w:rsidRPr="00097A86" w:rsidRDefault="004E60C0" w:rsidP="00D22D3F">
            <w:pPr>
              <w:pStyle w:val="Tabletext"/>
            </w:pPr>
            <w:r w:rsidRPr="00097A86">
              <w:lastRenderedPageBreak/>
              <w:t>10</w:t>
            </w:r>
          </w:p>
        </w:tc>
        <w:tc>
          <w:tcPr>
            <w:tcW w:w="1864" w:type="pct"/>
            <w:tcBorders>
              <w:bottom w:val="single" w:sz="12" w:space="0" w:color="auto"/>
            </w:tcBorders>
            <w:shd w:val="clear" w:color="auto" w:fill="auto"/>
          </w:tcPr>
          <w:p w14:paraId="00A07955" w14:textId="77777777" w:rsidR="004E60C0" w:rsidRPr="00097A86" w:rsidDel="004E60C0" w:rsidRDefault="004E60C0" w:rsidP="00D22D3F">
            <w:pPr>
              <w:pStyle w:val="Tabletext"/>
            </w:pPr>
            <w:r w:rsidRPr="00097A86">
              <w:t>Alternative waste treatment residues</w:t>
            </w:r>
          </w:p>
        </w:tc>
        <w:tc>
          <w:tcPr>
            <w:tcW w:w="2203" w:type="pct"/>
            <w:tcBorders>
              <w:bottom w:val="single" w:sz="12" w:space="0" w:color="auto"/>
            </w:tcBorders>
            <w:shd w:val="clear" w:color="auto" w:fill="auto"/>
          </w:tcPr>
          <w:p w14:paraId="275B6B80" w14:textId="77777777" w:rsidR="004E60C0" w:rsidRPr="00097A86" w:rsidRDefault="004E60C0" w:rsidP="00D22D3F">
            <w:pPr>
              <w:pStyle w:val="Tabletext"/>
            </w:pPr>
            <w:r w:rsidRPr="00097A86">
              <w:t>0.08</w:t>
            </w:r>
          </w:p>
        </w:tc>
      </w:tr>
    </w:tbl>
    <w:p w14:paraId="6EDE46DB" w14:textId="77777777" w:rsidR="00C46CD8" w:rsidRPr="00097A86" w:rsidRDefault="00C46CD8" w:rsidP="00D22D3F">
      <w:pPr>
        <w:pStyle w:val="ActHead5"/>
      </w:pPr>
      <w:bookmarkStart w:id="535" w:name="_Toc13233967"/>
      <w:r w:rsidRPr="00097A86">
        <w:rPr>
          <w:rStyle w:val="CharSectno"/>
        </w:rPr>
        <w:t>5.13</w:t>
      </w:r>
      <w:r w:rsidR="00D22D3F" w:rsidRPr="00097A86">
        <w:t xml:space="preserve">  </w:t>
      </w:r>
      <w:r w:rsidRPr="00097A86">
        <w:t>Opening stock of degradable organic carbon for the first reporting period</w:t>
      </w:r>
      <w:bookmarkEnd w:id="535"/>
    </w:p>
    <w:p w14:paraId="60513B43" w14:textId="77777777" w:rsidR="003F0D4E" w:rsidRPr="00097A86" w:rsidRDefault="003F0D4E" w:rsidP="00D22D3F">
      <w:pPr>
        <w:pStyle w:val="subsection"/>
      </w:pPr>
      <w:r w:rsidRPr="00097A86">
        <w:tab/>
      </w:r>
      <w:r w:rsidR="00AC64A0" w:rsidRPr="00097A86">
        <w:t>(1)</w:t>
      </w:r>
      <w:r w:rsidR="00AC64A0" w:rsidRPr="00097A86">
        <w:tab/>
        <w:t>For</w:t>
      </w:r>
      <w:r w:rsidRPr="00097A86">
        <w:t xml:space="preserve"> </w:t>
      </w:r>
      <w:r w:rsidR="00C46CD8" w:rsidRPr="00097A86">
        <w:t>paragraph</w:t>
      </w:r>
      <w:r w:rsidR="00097A86">
        <w:t> </w:t>
      </w:r>
      <w:r w:rsidR="00C46CD8" w:rsidRPr="00097A86">
        <w:t xml:space="preserve">5.4A(d), </w:t>
      </w:r>
      <w:r w:rsidRPr="00097A86">
        <w:t>the amount of opening stock of degradable organic carbon at the landfill at the start of the first reporting period for the landfill must be estimated in accordance with subsection</w:t>
      </w:r>
      <w:r w:rsidR="00097A86">
        <w:t> </w:t>
      </w:r>
      <w:r w:rsidRPr="00097A86">
        <w:t>5.4(5):</w:t>
      </w:r>
    </w:p>
    <w:p w14:paraId="275B7559" w14:textId="77777777" w:rsidR="003F0D4E" w:rsidRPr="00097A86" w:rsidRDefault="003F0D4E" w:rsidP="00D22D3F">
      <w:pPr>
        <w:pStyle w:val="paragraph"/>
      </w:pPr>
      <w:r w:rsidRPr="00097A86">
        <w:tab/>
        <w:t>(a)</w:t>
      </w:r>
      <w:r w:rsidRPr="00097A86">
        <w:tab/>
        <w:t xml:space="preserve">by using the details of the total tonnage of solid waste (broken down into waste stream and </w:t>
      </w:r>
      <w:r w:rsidR="003C75E1" w:rsidRPr="00097A86">
        <w:t>waste mix type and estimated in accordance with section</w:t>
      </w:r>
      <w:r w:rsidR="00097A86">
        <w:t> </w:t>
      </w:r>
      <w:r w:rsidR="003C75E1" w:rsidRPr="00097A86">
        <w:t>5.5) disposed of in</w:t>
      </w:r>
      <w:r w:rsidRPr="00097A86">
        <w:t xml:space="preserve"> the landfill each year over the lifetime of the landfill until the start of the first reporting period for the landfill; or</w:t>
      </w:r>
    </w:p>
    <w:p w14:paraId="7AB1A268" w14:textId="77777777" w:rsidR="003F0D4E" w:rsidRPr="00097A86" w:rsidRDefault="003F0D4E" w:rsidP="00D22D3F">
      <w:pPr>
        <w:pStyle w:val="paragraph"/>
      </w:pPr>
      <w:r w:rsidRPr="00097A86">
        <w:tab/>
        <w:t>(b)</w:t>
      </w:r>
      <w:r w:rsidRPr="00097A86">
        <w:tab/>
        <w:t xml:space="preserve">if the operator of a landfill is unable to comply with </w:t>
      </w:r>
      <w:r w:rsidR="00097A86">
        <w:t>paragraph (</w:t>
      </w:r>
      <w:r w:rsidRPr="00097A86">
        <w:t>a)</w:t>
      </w:r>
      <w:r w:rsidR="00D22D3F" w:rsidRPr="00097A86">
        <w:t>—</w:t>
      </w:r>
      <w:r w:rsidRPr="00097A86">
        <w:t>by using the following information in relation to the landfill:</w:t>
      </w:r>
    </w:p>
    <w:p w14:paraId="0BB07023" w14:textId="77777777" w:rsidR="003F0D4E" w:rsidRPr="00097A86" w:rsidRDefault="003F0D4E" w:rsidP="00D22D3F">
      <w:pPr>
        <w:pStyle w:val="paragraphsub"/>
      </w:pPr>
      <w:r w:rsidRPr="00097A86">
        <w:tab/>
        <w:t>(i)</w:t>
      </w:r>
      <w:r w:rsidRPr="00097A86">
        <w:tab/>
        <w:t>the number of years that the landfill has been in operation;</w:t>
      </w:r>
    </w:p>
    <w:p w14:paraId="0ACAA80A" w14:textId="77777777" w:rsidR="003C75E1" w:rsidRPr="00097A86" w:rsidRDefault="003C75E1" w:rsidP="00D22D3F">
      <w:pPr>
        <w:pStyle w:val="paragraphsub"/>
      </w:pPr>
      <w:r w:rsidRPr="00097A86">
        <w:tab/>
        <w:t>(ii)</w:t>
      </w:r>
      <w:r w:rsidRPr="00097A86">
        <w:tab/>
        <w:t xml:space="preserve">the estimated annual tonnage of solid waste disposed of in the landfill over the lifetime of the landfill until the start of the first reporting period for the landfill, worked out in accordance with </w:t>
      </w:r>
      <w:r w:rsidR="00097A86">
        <w:t>subsection (</w:t>
      </w:r>
      <w:r w:rsidRPr="00097A86">
        <w:t>2);</w:t>
      </w:r>
    </w:p>
    <w:p w14:paraId="1B9D3963" w14:textId="77777777" w:rsidR="003F0D4E" w:rsidRPr="00097A86" w:rsidRDefault="003F0D4E" w:rsidP="00D22D3F">
      <w:pPr>
        <w:pStyle w:val="paragraphsub"/>
      </w:pPr>
      <w:r w:rsidRPr="00097A86">
        <w:tab/>
        <w:t>(iii)</w:t>
      </w:r>
      <w:r w:rsidRPr="00097A86">
        <w:tab/>
        <w:t>the State or Territory in which the landfill is located.</w:t>
      </w:r>
    </w:p>
    <w:p w14:paraId="79AF55D1" w14:textId="77777777" w:rsidR="002C7A17" w:rsidRPr="00097A86" w:rsidRDefault="002C7A17" w:rsidP="00D22D3F">
      <w:pPr>
        <w:pStyle w:val="subsection"/>
      </w:pPr>
      <w:r w:rsidRPr="00097A86">
        <w:tab/>
        <w:t>(2)</w:t>
      </w:r>
      <w:r w:rsidRPr="00097A86">
        <w:tab/>
        <w:t xml:space="preserve">For </w:t>
      </w:r>
      <w:r w:rsidR="00097A86">
        <w:t>subparagraph (</w:t>
      </w:r>
      <w:r w:rsidRPr="00097A86">
        <w:t>1)(b)(ii), the estimated annual tonnage of waste is to be worked out:</w:t>
      </w:r>
    </w:p>
    <w:p w14:paraId="567C1E5F" w14:textId="77777777" w:rsidR="002C7A17" w:rsidRPr="00097A86" w:rsidRDefault="002C7A17" w:rsidP="00D22D3F">
      <w:pPr>
        <w:pStyle w:val="paragraph"/>
      </w:pPr>
      <w:r w:rsidRPr="00097A86">
        <w:tab/>
        <w:t>(a)</w:t>
      </w:r>
      <w:r w:rsidRPr="00097A86">
        <w:tab/>
        <w:t>by using the average annual tonnage of solid waste disposed of in the landfill for the years for which data is available; or</w:t>
      </w:r>
    </w:p>
    <w:p w14:paraId="72A60EA1" w14:textId="77777777" w:rsidR="004F391C" w:rsidRPr="00097A86" w:rsidRDefault="002C7A17" w:rsidP="004F391C">
      <w:pPr>
        <w:pStyle w:val="paragraph"/>
      </w:pPr>
      <w:r w:rsidRPr="00097A86">
        <w:tab/>
        <w:t>(b)</w:t>
      </w:r>
      <w:r w:rsidRPr="00097A86">
        <w:tab/>
        <w:t xml:space="preserve">by conducting a volumetric survey of the landfill in accordance with </w:t>
      </w:r>
      <w:r w:rsidR="00097A86">
        <w:t>subsections (</w:t>
      </w:r>
      <w:r w:rsidRPr="00097A86">
        <w:t>3) and (4)</w:t>
      </w:r>
      <w:r w:rsidR="004F391C" w:rsidRPr="00097A86">
        <w:t>; or</w:t>
      </w:r>
    </w:p>
    <w:p w14:paraId="678C3ACF" w14:textId="77777777" w:rsidR="002C7A17" w:rsidRPr="00097A86" w:rsidRDefault="004F391C" w:rsidP="00D22D3F">
      <w:pPr>
        <w:pStyle w:val="paragraph"/>
      </w:pPr>
      <w:r w:rsidRPr="00097A86">
        <w:tab/>
        <w:t>(c)</w:t>
      </w:r>
      <w:r w:rsidRPr="00097A86">
        <w:tab/>
        <w:t xml:space="preserve">by using industry estimation practices (such as the use of accepted industry weighbridges, receipts, invoices, other documents or records or population and </w:t>
      </w:r>
      <w:r w:rsidR="00B25EE5" w:rsidRPr="00097A86">
        <w:t>per</w:t>
      </w:r>
      <w:r w:rsidR="00097A86">
        <w:noBreakHyphen/>
      </w:r>
      <w:r w:rsidR="00B25EE5" w:rsidRPr="00097A86">
        <w:t>capita</w:t>
      </w:r>
      <w:r w:rsidRPr="00097A86">
        <w:t xml:space="preserve"> waste generation rates).</w:t>
      </w:r>
    </w:p>
    <w:p w14:paraId="09B90F03" w14:textId="77777777" w:rsidR="002C7A17" w:rsidRPr="00097A86" w:rsidRDefault="002C7A17" w:rsidP="00D22D3F">
      <w:pPr>
        <w:pStyle w:val="subsection"/>
      </w:pPr>
      <w:r w:rsidRPr="00097A86">
        <w:tab/>
        <w:t>(3)</w:t>
      </w:r>
      <w:r w:rsidRPr="00097A86">
        <w:tab/>
        <w:t xml:space="preserve">For </w:t>
      </w:r>
      <w:r w:rsidR="00097A86">
        <w:t>paragraph (</w:t>
      </w:r>
      <w:r w:rsidRPr="00097A86">
        <w:t>2)(b), the survey:</w:t>
      </w:r>
    </w:p>
    <w:p w14:paraId="1B81AA94" w14:textId="77777777" w:rsidR="002C7A17" w:rsidRPr="00097A86" w:rsidRDefault="002C7A17" w:rsidP="00D22D3F">
      <w:pPr>
        <w:pStyle w:val="paragraph"/>
      </w:pPr>
      <w:r w:rsidRPr="00097A86">
        <w:tab/>
        <w:t>(a)</w:t>
      </w:r>
      <w:r w:rsidRPr="00097A86">
        <w:tab/>
        <w:t>must be a ground</w:t>
      </w:r>
      <w:r w:rsidR="00097A86">
        <w:noBreakHyphen/>
      </w:r>
      <w:r w:rsidRPr="00097A86">
        <w:t>based survey or an aerial survey; and</w:t>
      </w:r>
    </w:p>
    <w:p w14:paraId="5879A3FD" w14:textId="77777777" w:rsidR="002C7A17" w:rsidRPr="00097A86" w:rsidRDefault="002C7A17" w:rsidP="00D22D3F">
      <w:pPr>
        <w:pStyle w:val="paragraph"/>
      </w:pPr>
      <w:r w:rsidRPr="00097A86">
        <w:tab/>
        <w:t>(b)</w:t>
      </w:r>
      <w:r w:rsidRPr="00097A86">
        <w:tab/>
        <w:t>must be conducted by a qualified surveyor.</w:t>
      </w:r>
    </w:p>
    <w:p w14:paraId="4D9511E7" w14:textId="77777777" w:rsidR="002C7A17" w:rsidRPr="00097A86" w:rsidRDefault="002C7A17" w:rsidP="00D22D3F">
      <w:pPr>
        <w:pStyle w:val="subsection"/>
      </w:pPr>
      <w:r w:rsidRPr="00097A86">
        <w:tab/>
        <w:t>(4)</w:t>
      </w:r>
      <w:r w:rsidRPr="00097A86">
        <w:tab/>
        <w:t>For the volumetric survey, the volume of waste is to be converted to mass by using one of the following volume</w:t>
      </w:r>
      <w:r w:rsidR="00097A86">
        <w:noBreakHyphen/>
      </w:r>
      <w:r w:rsidRPr="00097A86">
        <w:t>to</w:t>
      </w:r>
      <w:r w:rsidR="00097A86">
        <w:noBreakHyphen/>
      </w:r>
      <w:r w:rsidRPr="00097A86">
        <w:t>mass conversion factors:</w:t>
      </w:r>
    </w:p>
    <w:p w14:paraId="6ADCA175" w14:textId="77777777" w:rsidR="002C7A17" w:rsidRPr="00097A86" w:rsidRDefault="002C7A17" w:rsidP="00D22D3F">
      <w:pPr>
        <w:pStyle w:val="paragraph"/>
      </w:pPr>
      <w:r w:rsidRPr="00097A86">
        <w:tab/>
        <w:t>(a)</w:t>
      </w:r>
      <w:r w:rsidRPr="00097A86">
        <w:tab/>
        <w:t>the landfill volume</w:t>
      </w:r>
      <w:r w:rsidR="00097A86">
        <w:noBreakHyphen/>
      </w:r>
      <w:r w:rsidRPr="00097A86">
        <w:t>to</w:t>
      </w:r>
      <w:r w:rsidR="00097A86">
        <w:noBreakHyphen/>
      </w:r>
      <w:r w:rsidRPr="00097A86">
        <w:t>mass conversion factors that were used during the most recent reporting year in order to comply with a landfill reporting requirement of the State or Territory in which the landfill is located;</w:t>
      </w:r>
    </w:p>
    <w:p w14:paraId="2D2AFDD7" w14:textId="77777777" w:rsidR="002C7A17" w:rsidRPr="00097A86" w:rsidRDefault="002C7A17" w:rsidP="00D22D3F">
      <w:pPr>
        <w:pStyle w:val="paragraph"/>
      </w:pPr>
      <w:r w:rsidRPr="00097A86">
        <w:tab/>
        <w:t>(b)</w:t>
      </w:r>
      <w:r w:rsidRPr="00097A86">
        <w:tab/>
        <w:t xml:space="preserve">if the factors mentioned in </w:t>
      </w:r>
      <w:r w:rsidR="00097A86">
        <w:t>paragraph (</w:t>
      </w:r>
      <w:r w:rsidRPr="00097A86">
        <w:t>a) were not used during the most recent reporting year in order to comply with a landfill reporting requirement of the State or Territory in which the landfill is located</w:t>
      </w:r>
      <w:r w:rsidR="00D22D3F" w:rsidRPr="00097A86">
        <w:t>—</w:t>
      </w:r>
      <w:r w:rsidRPr="00097A86">
        <w:t>the volume</w:t>
      </w:r>
      <w:r w:rsidR="00097A86">
        <w:noBreakHyphen/>
      </w:r>
      <w:r w:rsidRPr="00097A86">
        <w:t>to</w:t>
      </w:r>
      <w:r w:rsidR="00097A86">
        <w:noBreakHyphen/>
      </w:r>
      <w:r w:rsidRPr="00097A86">
        <w:t>mass conversion factors specified in column 3 of an item in the following table for a waste stream specified in column 2 of the item.</w:t>
      </w:r>
    </w:p>
    <w:p w14:paraId="6558F027"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5"/>
        <w:gridCol w:w="3754"/>
        <w:gridCol w:w="3754"/>
      </w:tblGrid>
      <w:tr w:rsidR="002C7A17" w:rsidRPr="00097A86" w14:paraId="77B76721" w14:textId="77777777" w:rsidTr="00C20CC2">
        <w:tc>
          <w:tcPr>
            <w:tcW w:w="484" w:type="pct"/>
            <w:tcBorders>
              <w:top w:val="single" w:sz="12" w:space="0" w:color="auto"/>
              <w:bottom w:val="single" w:sz="12" w:space="0" w:color="auto"/>
            </w:tcBorders>
            <w:shd w:val="clear" w:color="auto" w:fill="auto"/>
          </w:tcPr>
          <w:p w14:paraId="2001FA36" w14:textId="77777777" w:rsidR="002C7A17" w:rsidRPr="00097A86" w:rsidRDefault="002C7A17" w:rsidP="00D22D3F">
            <w:pPr>
              <w:pStyle w:val="TableHeading"/>
            </w:pPr>
            <w:r w:rsidRPr="00097A86">
              <w:lastRenderedPageBreak/>
              <w:t>Item</w:t>
            </w:r>
          </w:p>
        </w:tc>
        <w:tc>
          <w:tcPr>
            <w:tcW w:w="2258" w:type="pct"/>
            <w:tcBorders>
              <w:top w:val="single" w:sz="12" w:space="0" w:color="auto"/>
              <w:bottom w:val="single" w:sz="12" w:space="0" w:color="auto"/>
            </w:tcBorders>
            <w:shd w:val="clear" w:color="auto" w:fill="auto"/>
          </w:tcPr>
          <w:p w14:paraId="06E8AEA1" w14:textId="77777777" w:rsidR="002C7A17" w:rsidRPr="00097A86" w:rsidRDefault="002C7A17" w:rsidP="00D22D3F">
            <w:pPr>
              <w:pStyle w:val="TableHeading"/>
            </w:pPr>
            <w:r w:rsidRPr="00097A86">
              <w:t>Waste stream</w:t>
            </w:r>
          </w:p>
        </w:tc>
        <w:tc>
          <w:tcPr>
            <w:tcW w:w="2258" w:type="pct"/>
            <w:tcBorders>
              <w:top w:val="single" w:sz="12" w:space="0" w:color="auto"/>
              <w:bottom w:val="single" w:sz="12" w:space="0" w:color="auto"/>
            </w:tcBorders>
            <w:shd w:val="clear" w:color="auto" w:fill="auto"/>
          </w:tcPr>
          <w:p w14:paraId="27801521" w14:textId="77777777" w:rsidR="002C7A17" w:rsidRPr="00097A86" w:rsidRDefault="002C7A17" w:rsidP="00D22D3F">
            <w:pPr>
              <w:pStyle w:val="TableHeading"/>
            </w:pPr>
            <w:r w:rsidRPr="00097A86">
              <w:t>Volume</w:t>
            </w:r>
            <w:r w:rsidR="00097A86">
              <w:noBreakHyphen/>
            </w:r>
            <w:r w:rsidRPr="00097A86">
              <w:t>to</w:t>
            </w:r>
            <w:r w:rsidR="00097A86">
              <w:noBreakHyphen/>
            </w:r>
            <w:r w:rsidRPr="00097A86">
              <w:t>mass conversion factor</w:t>
            </w:r>
          </w:p>
        </w:tc>
      </w:tr>
      <w:tr w:rsidR="002C7A17" w:rsidRPr="00097A86" w14:paraId="732A5783" w14:textId="77777777" w:rsidTr="00C20CC2">
        <w:tc>
          <w:tcPr>
            <w:tcW w:w="484" w:type="pct"/>
            <w:tcBorders>
              <w:top w:val="single" w:sz="12" w:space="0" w:color="auto"/>
            </w:tcBorders>
            <w:shd w:val="clear" w:color="auto" w:fill="auto"/>
          </w:tcPr>
          <w:p w14:paraId="51FC5C84" w14:textId="77777777" w:rsidR="002C7A17" w:rsidRPr="00097A86" w:rsidRDefault="002C7A17" w:rsidP="00D22D3F">
            <w:pPr>
              <w:pStyle w:val="Tabletext"/>
            </w:pPr>
            <w:r w:rsidRPr="00097A86">
              <w:t>1</w:t>
            </w:r>
          </w:p>
        </w:tc>
        <w:tc>
          <w:tcPr>
            <w:tcW w:w="2258" w:type="pct"/>
            <w:tcBorders>
              <w:top w:val="single" w:sz="12" w:space="0" w:color="auto"/>
            </w:tcBorders>
            <w:shd w:val="clear" w:color="auto" w:fill="auto"/>
          </w:tcPr>
          <w:p w14:paraId="597613C9" w14:textId="77777777" w:rsidR="002C7A17" w:rsidRPr="00097A86" w:rsidRDefault="002C7A17" w:rsidP="00D22D3F">
            <w:pPr>
              <w:pStyle w:val="Tabletext"/>
            </w:pPr>
            <w:r w:rsidRPr="00097A86">
              <w:t>Municipal solid waste</w:t>
            </w:r>
          </w:p>
        </w:tc>
        <w:tc>
          <w:tcPr>
            <w:tcW w:w="2258" w:type="pct"/>
            <w:tcBorders>
              <w:top w:val="single" w:sz="12" w:space="0" w:color="auto"/>
            </w:tcBorders>
            <w:shd w:val="clear" w:color="auto" w:fill="auto"/>
          </w:tcPr>
          <w:p w14:paraId="21E1EC13" w14:textId="77777777" w:rsidR="002C7A17" w:rsidRPr="00097A86" w:rsidRDefault="002C7A17" w:rsidP="00D22D3F">
            <w:pPr>
              <w:pStyle w:val="Tabletext"/>
              <w:rPr>
                <w:vertAlign w:val="superscript"/>
              </w:rPr>
            </w:pPr>
            <w:r w:rsidRPr="00097A86">
              <w:t>1.1 tonnes per cubic metre</w:t>
            </w:r>
          </w:p>
        </w:tc>
      </w:tr>
      <w:tr w:rsidR="002C7A17" w:rsidRPr="00097A86" w14:paraId="38825D6D" w14:textId="77777777" w:rsidTr="00C20CC2">
        <w:tc>
          <w:tcPr>
            <w:tcW w:w="484" w:type="pct"/>
            <w:tcBorders>
              <w:bottom w:val="single" w:sz="4" w:space="0" w:color="auto"/>
            </w:tcBorders>
            <w:shd w:val="clear" w:color="auto" w:fill="auto"/>
          </w:tcPr>
          <w:p w14:paraId="3A6C28C9" w14:textId="77777777" w:rsidR="002C7A17" w:rsidRPr="00097A86" w:rsidRDefault="002C7A17" w:rsidP="00D22D3F">
            <w:pPr>
              <w:pStyle w:val="Tabletext"/>
            </w:pPr>
            <w:r w:rsidRPr="00097A86">
              <w:t>2</w:t>
            </w:r>
          </w:p>
        </w:tc>
        <w:tc>
          <w:tcPr>
            <w:tcW w:w="2258" w:type="pct"/>
            <w:tcBorders>
              <w:bottom w:val="single" w:sz="4" w:space="0" w:color="auto"/>
            </w:tcBorders>
            <w:shd w:val="clear" w:color="auto" w:fill="auto"/>
          </w:tcPr>
          <w:p w14:paraId="62658BF2" w14:textId="77777777" w:rsidR="002C7A17" w:rsidRPr="00097A86" w:rsidRDefault="002C7A17" w:rsidP="00D22D3F">
            <w:pPr>
              <w:pStyle w:val="Tabletext"/>
            </w:pPr>
            <w:r w:rsidRPr="00097A86">
              <w:t>Commercial and industrial waste</w:t>
            </w:r>
          </w:p>
        </w:tc>
        <w:tc>
          <w:tcPr>
            <w:tcW w:w="2258" w:type="pct"/>
            <w:tcBorders>
              <w:bottom w:val="single" w:sz="4" w:space="0" w:color="auto"/>
            </w:tcBorders>
            <w:shd w:val="clear" w:color="auto" w:fill="auto"/>
          </w:tcPr>
          <w:p w14:paraId="6CB6B673" w14:textId="77777777" w:rsidR="002C7A17" w:rsidRPr="00097A86" w:rsidRDefault="002C7A17" w:rsidP="00D22D3F">
            <w:pPr>
              <w:pStyle w:val="Tabletext"/>
              <w:rPr>
                <w:vertAlign w:val="superscript"/>
              </w:rPr>
            </w:pPr>
            <w:r w:rsidRPr="00097A86">
              <w:t>1.1 tonnes per cubic metre</w:t>
            </w:r>
          </w:p>
        </w:tc>
      </w:tr>
      <w:tr w:rsidR="002C7A17" w:rsidRPr="00097A86" w14:paraId="2E06C4CB" w14:textId="77777777" w:rsidTr="00C20CC2">
        <w:tc>
          <w:tcPr>
            <w:tcW w:w="484" w:type="pct"/>
            <w:tcBorders>
              <w:bottom w:val="single" w:sz="12" w:space="0" w:color="auto"/>
            </w:tcBorders>
            <w:shd w:val="clear" w:color="auto" w:fill="auto"/>
          </w:tcPr>
          <w:p w14:paraId="7C46FDFA" w14:textId="77777777" w:rsidR="002C7A17" w:rsidRPr="00097A86" w:rsidRDefault="002C7A17" w:rsidP="00D22D3F">
            <w:pPr>
              <w:pStyle w:val="Tabletext"/>
            </w:pPr>
            <w:r w:rsidRPr="00097A86">
              <w:t>3</w:t>
            </w:r>
          </w:p>
        </w:tc>
        <w:tc>
          <w:tcPr>
            <w:tcW w:w="2258" w:type="pct"/>
            <w:tcBorders>
              <w:bottom w:val="single" w:sz="12" w:space="0" w:color="auto"/>
            </w:tcBorders>
            <w:shd w:val="clear" w:color="auto" w:fill="auto"/>
          </w:tcPr>
          <w:p w14:paraId="4A8A68CA" w14:textId="77777777" w:rsidR="002C7A17" w:rsidRPr="00097A86" w:rsidRDefault="002C7A17" w:rsidP="00D22D3F">
            <w:pPr>
              <w:pStyle w:val="Tabletext"/>
            </w:pPr>
            <w:r w:rsidRPr="00097A86">
              <w:t>Construction and demolition waste</w:t>
            </w:r>
          </w:p>
        </w:tc>
        <w:tc>
          <w:tcPr>
            <w:tcW w:w="2258" w:type="pct"/>
            <w:tcBorders>
              <w:bottom w:val="single" w:sz="12" w:space="0" w:color="auto"/>
            </w:tcBorders>
            <w:shd w:val="clear" w:color="auto" w:fill="auto"/>
          </w:tcPr>
          <w:p w14:paraId="3AE2E8B9" w14:textId="77777777" w:rsidR="002C7A17" w:rsidRPr="00097A86" w:rsidRDefault="002C7A17" w:rsidP="00D22D3F">
            <w:pPr>
              <w:pStyle w:val="Tabletext"/>
              <w:rPr>
                <w:vertAlign w:val="superscript"/>
              </w:rPr>
            </w:pPr>
            <w:r w:rsidRPr="00097A86">
              <w:t>1.1 tonnes per cubic metre</w:t>
            </w:r>
          </w:p>
        </w:tc>
      </w:tr>
    </w:tbl>
    <w:p w14:paraId="54B87371" w14:textId="77777777" w:rsidR="00C46CD8" w:rsidRPr="00097A86" w:rsidRDefault="00C46CD8" w:rsidP="00D22D3F">
      <w:pPr>
        <w:pStyle w:val="ActHead5"/>
      </w:pPr>
      <w:bookmarkStart w:id="536" w:name="_Toc13233968"/>
      <w:r w:rsidRPr="00097A86">
        <w:rPr>
          <w:rStyle w:val="CharSectno"/>
        </w:rPr>
        <w:t>5.14</w:t>
      </w:r>
      <w:r w:rsidR="00D22D3F" w:rsidRPr="00097A86">
        <w:t xml:space="preserve">  </w:t>
      </w:r>
      <w:r w:rsidRPr="00097A86">
        <w:t>Methane generation constants—(k values)</w:t>
      </w:r>
      <w:bookmarkEnd w:id="536"/>
    </w:p>
    <w:p w14:paraId="43318BC5" w14:textId="77777777" w:rsidR="00C46CD8" w:rsidRPr="00097A86" w:rsidRDefault="00C46CD8" w:rsidP="00D22D3F">
      <w:pPr>
        <w:pStyle w:val="subsection"/>
      </w:pPr>
      <w:r w:rsidRPr="00097A86">
        <w:tab/>
        <w:t>(1)</w:t>
      </w:r>
      <w:r w:rsidRPr="00097A86">
        <w:tab/>
        <w:t>This section is made for paragraph</w:t>
      </w:r>
      <w:r w:rsidR="00097A86">
        <w:t> </w:t>
      </w:r>
      <w:r w:rsidRPr="00097A86">
        <w:t>5.4A(e).</w:t>
      </w:r>
    </w:p>
    <w:p w14:paraId="5ECBD69D" w14:textId="77777777" w:rsidR="00C46CD8" w:rsidRPr="00097A86" w:rsidRDefault="00C46CD8" w:rsidP="00D22D3F">
      <w:pPr>
        <w:pStyle w:val="subsection"/>
      </w:pPr>
      <w:r w:rsidRPr="00097A86">
        <w:tab/>
        <w:t>(2)</w:t>
      </w:r>
      <w:r w:rsidRPr="00097A86">
        <w:tab/>
        <w:t>Before selecting methane generation constants (</w:t>
      </w:r>
      <w:r w:rsidRPr="00097A86">
        <w:rPr>
          <w:b/>
          <w:i/>
        </w:rPr>
        <w:t>k values</w:t>
      </w:r>
      <w:r w:rsidRPr="00097A86">
        <w:t xml:space="preserve">) from the table in </w:t>
      </w:r>
      <w:r w:rsidR="00097A86">
        <w:t>subsection (</w:t>
      </w:r>
      <w:r w:rsidRPr="00097A86">
        <w:t>6), the landfill operator must:</w:t>
      </w:r>
    </w:p>
    <w:p w14:paraId="4CF51AE7" w14:textId="77777777" w:rsidR="004E60C0" w:rsidRPr="00097A86" w:rsidRDefault="004E60C0" w:rsidP="004E60C0">
      <w:pPr>
        <w:pStyle w:val="paragraph"/>
      </w:pPr>
      <w:r w:rsidRPr="00097A86">
        <w:tab/>
        <w:t>(a)</w:t>
      </w:r>
      <w:r w:rsidRPr="00097A86">
        <w:tab/>
        <w:t>obtain records of each of the following for the 10 year period ending immediately prior to the reporting year for which the landfill operator selects k values:</w:t>
      </w:r>
    </w:p>
    <w:p w14:paraId="7215EFE6" w14:textId="77777777" w:rsidR="004E60C0" w:rsidRPr="00097A86" w:rsidRDefault="004E60C0" w:rsidP="004E60C0">
      <w:pPr>
        <w:pStyle w:val="paragraphsub"/>
      </w:pPr>
      <w:r w:rsidRPr="00097A86">
        <w:tab/>
        <w:t>(i)</w:t>
      </w:r>
      <w:r w:rsidRPr="00097A86">
        <w:tab/>
        <w:t>mean annual evaporation;</w:t>
      </w:r>
    </w:p>
    <w:p w14:paraId="4EA13E8B" w14:textId="77777777" w:rsidR="004E60C0" w:rsidRPr="00097A86" w:rsidRDefault="004E60C0" w:rsidP="004E60C0">
      <w:pPr>
        <w:pStyle w:val="paragraphsub"/>
      </w:pPr>
      <w:r w:rsidRPr="00097A86">
        <w:tab/>
        <w:t>(ii)</w:t>
      </w:r>
      <w:r w:rsidRPr="00097A86">
        <w:tab/>
        <w:t>mean annual precipitation;</w:t>
      </w:r>
    </w:p>
    <w:p w14:paraId="1AE93B3B" w14:textId="77777777" w:rsidR="004E60C0" w:rsidRPr="00097A86" w:rsidRDefault="004E60C0" w:rsidP="004E60C0">
      <w:pPr>
        <w:pStyle w:val="paragraphsub"/>
      </w:pPr>
      <w:r w:rsidRPr="00097A86">
        <w:tab/>
        <w:t>(iii)</w:t>
      </w:r>
      <w:r w:rsidRPr="00097A86">
        <w:tab/>
        <w:t>mean annual temperature; and</w:t>
      </w:r>
    </w:p>
    <w:p w14:paraId="00920D05" w14:textId="77777777" w:rsidR="00C46CD8" w:rsidRPr="00097A86" w:rsidRDefault="00C46CD8" w:rsidP="00D22D3F">
      <w:pPr>
        <w:pStyle w:val="paragraph"/>
      </w:pPr>
      <w:r w:rsidRPr="00097A86">
        <w:tab/>
        <w:t>(b)</w:t>
      </w:r>
      <w:r w:rsidRPr="00097A86">
        <w:tab/>
        <w:t>based on those records, identify, for the landfill facility, the landfill classification mentioned in column 2 of the table.</w:t>
      </w:r>
    </w:p>
    <w:p w14:paraId="7E0A3056" w14:textId="77777777" w:rsidR="00C46CD8" w:rsidRPr="00097A86" w:rsidRDefault="00D22D3F" w:rsidP="00D22D3F">
      <w:pPr>
        <w:pStyle w:val="notetext"/>
      </w:pPr>
      <w:r w:rsidRPr="00097A86">
        <w:t>Note:</w:t>
      </w:r>
      <w:r w:rsidRPr="00097A86">
        <w:tab/>
      </w:r>
      <w:r w:rsidR="00C46CD8" w:rsidRPr="00097A86">
        <w:t xml:space="preserve">See </w:t>
      </w:r>
      <w:r w:rsidR="00097A86">
        <w:t>subsection (</w:t>
      </w:r>
      <w:r w:rsidR="00C46CD8" w:rsidRPr="00097A86">
        <w:t xml:space="preserve">6) for definitions related to the requirements in </w:t>
      </w:r>
      <w:r w:rsidR="00097A86">
        <w:t>paragraphs (</w:t>
      </w:r>
      <w:r w:rsidR="00C46CD8" w:rsidRPr="00097A86">
        <w:t>2)(a) and (b).</w:t>
      </w:r>
    </w:p>
    <w:p w14:paraId="67ED43EF" w14:textId="77777777" w:rsidR="00C46CD8" w:rsidRPr="00097A86" w:rsidRDefault="00C46CD8" w:rsidP="00D22D3F">
      <w:pPr>
        <w:pStyle w:val="subsection"/>
      </w:pPr>
      <w:r w:rsidRPr="00097A86">
        <w:tab/>
        <w:t>(3)</w:t>
      </w:r>
      <w:r w:rsidRPr="00097A86">
        <w:tab/>
        <w:t>A landfill operator must select k values from either:</w:t>
      </w:r>
    </w:p>
    <w:p w14:paraId="14541466" w14:textId="77777777" w:rsidR="00C46CD8" w:rsidRPr="00097A86" w:rsidRDefault="00C46CD8" w:rsidP="00D22D3F">
      <w:pPr>
        <w:pStyle w:val="paragraph"/>
      </w:pPr>
      <w:r w:rsidRPr="00097A86">
        <w:tab/>
        <w:t>(a)</w:t>
      </w:r>
      <w:r w:rsidRPr="00097A86">
        <w:tab/>
        <w:t xml:space="preserve">the table in </w:t>
      </w:r>
      <w:r w:rsidR="00097A86">
        <w:t>subsection (</w:t>
      </w:r>
      <w:r w:rsidRPr="00097A86">
        <w:t>5); or</w:t>
      </w:r>
    </w:p>
    <w:p w14:paraId="789F4818" w14:textId="77777777" w:rsidR="00C46CD8" w:rsidRPr="00097A86" w:rsidRDefault="00C46CD8" w:rsidP="00D22D3F">
      <w:pPr>
        <w:pStyle w:val="paragraph"/>
      </w:pPr>
      <w:r w:rsidRPr="00097A86">
        <w:tab/>
        <w:t>(b)</w:t>
      </w:r>
      <w:r w:rsidRPr="00097A86">
        <w:tab/>
        <w:t xml:space="preserve">the table in </w:t>
      </w:r>
      <w:r w:rsidR="00097A86">
        <w:t>subsection (</w:t>
      </w:r>
      <w:r w:rsidRPr="00097A86">
        <w:t>6).</w:t>
      </w:r>
    </w:p>
    <w:p w14:paraId="119DC605" w14:textId="77777777" w:rsidR="00C46CD8" w:rsidRPr="00097A86" w:rsidRDefault="00C46CD8" w:rsidP="00D22D3F">
      <w:pPr>
        <w:pStyle w:val="subsection"/>
      </w:pPr>
      <w:r w:rsidRPr="00097A86">
        <w:tab/>
        <w:t>(4)</w:t>
      </w:r>
      <w:r w:rsidRPr="00097A86">
        <w:tab/>
        <w:t xml:space="preserve">If a landfill operator selects k values from the table in </w:t>
      </w:r>
      <w:r w:rsidR="00097A86">
        <w:t>subsection (</w:t>
      </w:r>
      <w:r w:rsidRPr="00097A86">
        <w:t>6) in a reporting year, the landfill operator must select k values from that table in each subsequent reporting year.</w:t>
      </w:r>
    </w:p>
    <w:p w14:paraId="6CC266AF" w14:textId="77777777" w:rsidR="00C46CD8" w:rsidRPr="00097A86" w:rsidRDefault="00C46CD8" w:rsidP="00D22D3F">
      <w:pPr>
        <w:pStyle w:val="subsection"/>
      </w:pPr>
      <w:r w:rsidRPr="00097A86">
        <w:tab/>
        <w:t>(5)</w:t>
      </w:r>
      <w:r w:rsidRPr="00097A86">
        <w:tab/>
        <w:t>The k values for solid waste at a landfill in a State or Territory mentioned in column 2 of an item in the following table are the constants set out in column 4 for a waste mix type mentioned in column 3 for the item.</w:t>
      </w:r>
    </w:p>
    <w:p w14:paraId="78EA429A"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0"/>
        <w:gridCol w:w="3363"/>
        <w:gridCol w:w="3053"/>
        <w:gridCol w:w="1097"/>
      </w:tblGrid>
      <w:tr w:rsidR="004E60C0" w:rsidRPr="00097A86" w14:paraId="7449087A" w14:textId="77777777" w:rsidTr="00C20CC2">
        <w:trPr>
          <w:tblHeader/>
        </w:trPr>
        <w:tc>
          <w:tcPr>
            <w:tcW w:w="5000" w:type="pct"/>
            <w:gridSpan w:val="4"/>
            <w:tcBorders>
              <w:top w:val="single" w:sz="12" w:space="0" w:color="auto"/>
              <w:bottom w:val="single" w:sz="6" w:space="0" w:color="auto"/>
            </w:tcBorders>
            <w:shd w:val="clear" w:color="auto" w:fill="auto"/>
          </w:tcPr>
          <w:p w14:paraId="4E0A180A" w14:textId="77777777" w:rsidR="004E60C0" w:rsidRPr="00097A86" w:rsidRDefault="004E60C0" w:rsidP="004E60C0">
            <w:pPr>
              <w:pStyle w:val="TableHeading"/>
            </w:pPr>
            <w:r w:rsidRPr="00097A86">
              <w:t>k values for Solid Waste at a Landfill</w:t>
            </w:r>
          </w:p>
        </w:tc>
      </w:tr>
      <w:tr w:rsidR="004E60C0" w:rsidRPr="00097A86" w14:paraId="5DBD41A8" w14:textId="77777777" w:rsidTr="00C20CC2">
        <w:trPr>
          <w:tblHeader/>
        </w:trPr>
        <w:tc>
          <w:tcPr>
            <w:tcW w:w="481" w:type="pct"/>
            <w:tcBorders>
              <w:top w:val="single" w:sz="6" w:space="0" w:color="auto"/>
              <w:bottom w:val="single" w:sz="12" w:space="0" w:color="auto"/>
            </w:tcBorders>
            <w:shd w:val="clear" w:color="auto" w:fill="auto"/>
          </w:tcPr>
          <w:p w14:paraId="30D73026" w14:textId="77777777" w:rsidR="004E60C0" w:rsidRPr="00097A86" w:rsidRDefault="004E60C0" w:rsidP="004E60C0">
            <w:pPr>
              <w:pStyle w:val="TableHeading"/>
            </w:pPr>
            <w:r w:rsidRPr="00097A86">
              <w:t>Item</w:t>
            </w:r>
          </w:p>
        </w:tc>
        <w:tc>
          <w:tcPr>
            <w:tcW w:w="2023" w:type="pct"/>
            <w:tcBorders>
              <w:top w:val="single" w:sz="6" w:space="0" w:color="auto"/>
              <w:bottom w:val="single" w:sz="12" w:space="0" w:color="auto"/>
            </w:tcBorders>
            <w:shd w:val="clear" w:color="auto" w:fill="auto"/>
          </w:tcPr>
          <w:p w14:paraId="4A5EF726" w14:textId="77777777" w:rsidR="004E60C0" w:rsidRPr="00097A86" w:rsidRDefault="004E60C0" w:rsidP="004E60C0">
            <w:pPr>
              <w:pStyle w:val="TableHeading"/>
            </w:pPr>
            <w:r w:rsidRPr="00097A86">
              <w:t>State or Territory</w:t>
            </w:r>
          </w:p>
        </w:tc>
        <w:tc>
          <w:tcPr>
            <w:tcW w:w="1836" w:type="pct"/>
            <w:tcBorders>
              <w:top w:val="single" w:sz="6" w:space="0" w:color="auto"/>
              <w:bottom w:val="single" w:sz="12" w:space="0" w:color="auto"/>
            </w:tcBorders>
            <w:shd w:val="clear" w:color="auto" w:fill="auto"/>
          </w:tcPr>
          <w:p w14:paraId="383C4260" w14:textId="77777777" w:rsidR="004E60C0" w:rsidRPr="00097A86" w:rsidRDefault="004E60C0" w:rsidP="004E60C0">
            <w:pPr>
              <w:pStyle w:val="TableHeading"/>
            </w:pPr>
            <w:r w:rsidRPr="00097A86">
              <w:t>Waste mix type</w:t>
            </w:r>
          </w:p>
        </w:tc>
        <w:tc>
          <w:tcPr>
            <w:tcW w:w="660" w:type="pct"/>
            <w:tcBorders>
              <w:top w:val="single" w:sz="6" w:space="0" w:color="auto"/>
              <w:bottom w:val="single" w:sz="12" w:space="0" w:color="auto"/>
            </w:tcBorders>
            <w:shd w:val="clear" w:color="auto" w:fill="auto"/>
          </w:tcPr>
          <w:p w14:paraId="7ACB20FB" w14:textId="77777777" w:rsidR="004E60C0" w:rsidRPr="00097A86" w:rsidRDefault="004E60C0" w:rsidP="004E60C0">
            <w:pPr>
              <w:pStyle w:val="TableHeading"/>
            </w:pPr>
            <w:r w:rsidRPr="00097A86">
              <w:t>k values</w:t>
            </w:r>
          </w:p>
        </w:tc>
      </w:tr>
      <w:tr w:rsidR="004E60C0" w:rsidRPr="00097A86" w14:paraId="3DB86397" w14:textId="77777777" w:rsidTr="00C20CC2">
        <w:tc>
          <w:tcPr>
            <w:tcW w:w="481" w:type="pct"/>
            <w:tcBorders>
              <w:top w:val="single" w:sz="12" w:space="0" w:color="auto"/>
            </w:tcBorders>
            <w:shd w:val="clear" w:color="auto" w:fill="auto"/>
          </w:tcPr>
          <w:p w14:paraId="408CA944" w14:textId="77777777" w:rsidR="004E60C0" w:rsidRPr="00097A86" w:rsidRDefault="004E60C0" w:rsidP="004E60C0">
            <w:pPr>
              <w:pStyle w:val="Tabletext"/>
            </w:pPr>
            <w:r w:rsidRPr="00097A86">
              <w:t>1</w:t>
            </w:r>
          </w:p>
        </w:tc>
        <w:tc>
          <w:tcPr>
            <w:tcW w:w="2023" w:type="pct"/>
            <w:tcBorders>
              <w:top w:val="single" w:sz="12" w:space="0" w:color="auto"/>
            </w:tcBorders>
            <w:shd w:val="clear" w:color="auto" w:fill="auto"/>
          </w:tcPr>
          <w:p w14:paraId="6F466A5F" w14:textId="77777777" w:rsidR="004E60C0" w:rsidRPr="00097A86" w:rsidRDefault="004E60C0" w:rsidP="004E60C0">
            <w:pPr>
              <w:pStyle w:val="Tabletext"/>
            </w:pPr>
            <w:r w:rsidRPr="00097A86">
              <w:t>NSW</w:t>
            </w:r>
          </w:p>
        </w:tc>
        <w:tc>
          <w:tcPr>
            <w:tcW w:w="1836" w:type="pct"/>
            <w:tcBorders>
              <w:top w:val="single" w:sz="12" w:space="0" w:color="auto"/>
            </w:tcBorders>
            <w:shd w:val="clear" w:color="auto" w:fill="auto"/>
          </w:tcPr>
          <w:p w14:paraId="7B6BA217" w14:textId="77777777" w:rsidR="004E60C0" w:rsidRPr="00097A86" w:rsidRDefault="004E60C0" w:rsidP="004E60C0">
            <w:pPr>
              <w:pStyle w:val="Tabletext"/>
            </w:pPr>
            <w:r w:rsidRPr="00097A86">
              <w:t>Food</w:t>
            </w:r>
          </w:p>
          <w:p w14:paraId="6B3635A1" w14:textId="77777777" w:rsidR="004E60C0" w:rsidRPr="00097A86" w:rsidRDefault="004E60C0" w:rsidP="004E60C0">
            <w:pPr>
              <w:pStyle w:val="Tabletext"/>
            </w:pPr>
            <w:r w:rsidRPr="00097A86">
              <w:t>Paper and cardboard</w:t>
            </w:r>
          </w:p>
          <w:p w14:paraId="19B44346" w14:textId="77777777" w:rsidR="004E60C0" w:rsidRPr="00097A86" w:rsidRDefault="004E60C0" w:rsidP="004E60C0">
            <w:pPr>
              <w:pStyle w:val="Tabletext"/>
            </w:pPr>
            <w:r w:rsidRPr="00097A86">
              <w:t>Garden and Green</w:t>
            </w:r>
          </w:p>
          <w:p w14:paraId="3385898E" w14:textId="77777777" w:rsidR="004E60C0" w:rsidRPr="00097A86" w:rsidRDefault="004E60C0" w:rsidP="004E60C0">
            <w:pPr>
              <w:pStyle w:val="Tabletext"/>
            </w:pPr>
            <w:r w:rsidRPr="00097A86">
              <w:t>Wood</w:t>
            </w:r>
          </w:p>
          <w:p w14:paraId="24FADE1C" w14:textId="77777777" w:rsidR="004E60C0" w:rsidRPr="00097A86" w:rsidRDefault="004E60C0" w:rsidP="004E60C0">
            <w:pPr>
              <w:pStyle w:val="Tabletext"/>
            </w:pPr>
            <w:r w:rsidRPr="00097A86">
              <w:t>Textiles</w:t>
            </w:r>
          </w:p>
          <w:p w14:paraId="4727A3A0" w14:textId="77777777" w:rsidR="004E60C0" w:rsidRPr="00097A86" w:rsidRDefault="004E60C0" w:rsidP="004E60C0">
            <w:pPr>
              <w:pStyle w:val="Tabletext"/>
            </w:pPr>
            <w:r w:rsidRPr="00097A86">
              <w:t>Sludge</w:t>
            </w:r>
          </w:p>
          <w:p w14:paraId="56BD0797" w14:textId="77777777" w:rsidR="004E60C0" w:rsidRPr="00097A86" w:rsidRDefault="004E60C0" w:rsidP="004E60C0">
            <w:pPr>
              <w:pStyle w:val="Tabletext"/>
            </w:pPr>
            <w:r w:rsidRPr="00097A86">
              <w:t>Nappies</w:t>
            </w:r>
          </w:p>
          <w:p w14:paraId="2CD91D39" w14:textId="77777777" w:rsidR="004E60C0" w:rsidRPr="00097A86" w:rsidRDefault="004E60C0" w:rsidP="004E60C0">
            <w:pPr>
              <w:pStyle w:val="Tabletext"/>
            </w:pPr>
            <w:r w:rsidRPr="00097A86">
              <w:t>Rubber and Leather</w:t>
            </w:r>
          </w:p>
          <w:p w14:paraId="2042E6BB" w14:textId="77777777" w:rsidR="004E60C0" w:rsidRPr="00097A86" w:rsidRDefault="004E60C0" w:rsidP="004E60C0">
            <w:pPr>
              <w:pStyle w:val="Tabletext"/>
            </w:pPr>
            <w:r w:rsidRPr="00097A86">
              <w:lastRenderedPageBreak/>
              <w:t>Alternative waste treatment residue</w:t>
            </w:r>
          </w:p>
        </w:tc>
        <w:tc>
          <w:tcPr>
            <w:tcW w:w="660" w:type="pct"/>
            <w:tcBorders>
              <w:top w:val="single" w:sz="12" w:space="0" w:color="auto"/>
            </w:tcBorders>
            <w:shd w:val="clear" w:color="auto" w:fill="auto"/>
          </w:tcPr>
          <w:p w14:paraId="419A514D" w14:textId="77777777" w:rsidR="004E60C0" w:rsidRPr="00097A86" w:rsidRDefault="004E60C0" w:rsidP="004E60C0">
            <w:pPr>
              <w:pStyle w:val="Tabletext"/>
            </w:pPr>
            <w:r w:rsidRPr="00097A86">
              <w:lastRenderedPageBreak/>
              <w:t>0.185</w:t>
            </w:r>
          </w:p>
          <w:p w14:paraId="582DC7BF" w14:textId="77777777" w:rsidR="004E60C0" w:rsidRPr="00097A86" w:rsidRDefault="004E60C0" w:rsidP="004E60C0">
            <w:pPr>
              <w:pStyle w:val="Tabletext"/>
            </w:pPr>
            <w:r w:rsidRPr="00097A86">
              <w:t>0.06</w:t>
            </w:r>
          </w:p>
          <w:p w14:paraId="6F54BCE1" w14:textId="77777777" w:rsidR="004E60C0" w:rsidRPr="00097A86" w:rsidRDefault="004E60C0" w:rsidP="004E60C0">
            <w:pPr>
              <w:pStyle w:val="Tabletext"/>
            </w:pPr>
            <w:r w:rsidRPr="00097A86">
              <w:t>0.10</w:t>
            </w:r>
          </w:p>
          <w:p w14:paraId="20DF036B" w14:textId="77777777" w:rsidR="004E60C0" w:rsidRPr="00097A86" w:rsidRDefault="004E60C0" w:rsidP="004E60C0">
            <w:pPr>
              <w:pStyle w:val="Tabletext"/>
            </w:pPr>
            <w:r w:rsidRPr="00097A86">
              <w:t>0.03</w:t>
            </w:r>
          </w:p>
          <w:p w14:paraId="2692E721" w14:textId="77777777" w:rsidR="004E60C0" w:rsidRPr="00097A86" w:rsidRDefault="004E60C0" w:rsidP="004E60C0">
            <w:pPr>
              <w:pStyle w:val="Tabletext"/>
            </w:pPr>
            <w:r w:rsidRPr="00097A86">
              <w:t>0.06</w:t>
            </w:r>
          </w:p>
          <w:p w14:paraId="6CB9ACDC" w14:textId="77777777" w:rsidR="004E60C0" w:rsidRPr="00097A86" w:rsidRDefault="004E60C0" w:rsidP="004E60C0">
            <w:pPr>
              <w:pStyle w:val="Tabletext"/>
            </w:pPr>
            <w:r w:rsidRPr="00097A86">
              <w:t>0.185</w:t>
            </w:r>
          </w:p>
          <w:p w14:paraId="2A2965E4" w14:textId="77777777" w:rsidR="004E60C0" w:rsidRPr="00097A86" w:rsidRDefault="004E60C0" w:rsidP="004E60C0">
            <w:pPr>
              <w:pStyle w:val="Tabletext"/>
            </w:pPr>
            <w:r w:rsidRPr="00097A86">
              <w:t>0.06</w:t>
            </w:r>
          </w:p>
          <w:p w14:paraId="113699F2" w14:textId="77777777" w:rsidR="004E60C0" w:rsidRPr="00097A86" w:rsidRDefault="004E60C0" w:rsidP="004E60C0">
            <w:pPr>
              <w:pStyle w:val="Tabletext"/>
            </w:pPr>
            <w:r w:rsidRPr="00097A86">
              <w:t>0.06</w:t>
            </w:r>
          </w:p>
          <w:p w14:paraId="76BCA2A4" w14:textId="77777777" w:rsidR="004E60C0" w:rsidRPr="00097A86" w:rsidRDefault="004E60C0" w:rsidP="004E60C0">
            <w:pPr>
              <w:pStyle w:val="Tabletext"/>
            </w:pPr>
            <w:r w:rsidRPr="00097A86">
              <w:lastRenderedPageBreak/>
              <w:t>0.06</w:t>
            </w:r>
          </w:p>
        </w:tc>
      </w:tr>
      <w:tr w:rsidR="004E60C0" w:rsidRPr="00097A86" w14:paraId="5C01AE80" w14:textId="77777777" w:rsidTr="00C20CC2">
        <w:tc>
          <w:tcPr>
            <w:tcW w:w="481" w:type="pct"/>
            <w:tcBorders>
              <w:bottom w:val="single" w:sz="4" w:space="0" w:color="auto"/>
            </w:tcBorders>
            <w:shd w:val="clear" w:color="auto" w:fill="auto"/>
          </w:tcPr>
          <w:p w14:paraId="65D174FD" w14:textId="77777777" w:rsidR="004E60C0" w:rsidRPr="00097A86" w:rsidRDefault="004E60C0" w:rsidP="004E60C0">
            <w:pPr>
              <w:pStyle w:val="Tabletext"/>
            </w:pPr>
            <w:r w:rsidRPr="00097A86">
              <w:lastRenderedPageBreak/>
              <w:t>2</w:t>
            </w:r>
          </w:p>
        </w:tc>
        <w:tc>
          <w:tcPr>
            <w:tcW w:w="2023" w:type="pct"/>
            <w:tcBorders>
              <w:bottom w:val="single" w:sz="4" w:space="0" w:color="auto"/>
            </w:tcBorders>
            <w:shd w:val="clear" w:color="auto" w:fill="auto"/>
          </w:tcPr>
          <w:p w14:paraId="2F8205A6" w14:textId="77777777" w:rsidR="004E60C0" w:rsidRPr="00097A86" w:rsidRDefault="004E60C0" w:rsidP="004E60C0">
            <w:pPr>
              <w:pStyle w:val="Tabletext"/>
            </w:pPr>
            <w:r w:rsidRPr="00097A86">
              <w:t>VIC, WA, SA, TAS, ACT</w:t>
            </w:r>
          </w:p>
        </w:tc>
        <w:tc>
          <w:tcPr>
            <w:tcW w:w="1836" w:type="pct"/>
            <w:tcBorders>
              <w:bottom w:val="single" w:sz="4" w:space="0" w:color="auto"/>
            </w:tcBorders>
            <w:shd w:val="clear" w:color="auto" w:fill="auto"/>
          </w:tcPr>
          <w:p w14:paraId="2A1F6ED3" w14:textId="77777777" w:rsidR="004E60C0" w:rsidRPr="00097A86" w:rsidRDefault="004E60C0" w:rsidP="004E60C0">
            <w:pPr>
              <w:pStyle w:val="Tabletext"/>
            </w:pPr>
            <w:r w:rsidRPr="00097A86">
              <w:t>Food</w:t>
            </w:r>
          </w:p>
          <w:p w14:paraId="12EB4D00" w14:textId="77777777" w:rsidR="004E60C0" w:rsidRPr="00097A86" w:rsidRDefault="004E60C0" w:rsidP="004E60C0">
            <w:pPr>
              <w:pStyle w:val="Tabletext"/>
            </w:pPr>
            <w:r w:rsidRPr="00097A86">
              <w:t>Paper and cardboard</w:t>
            </w:r>
          </w:p>
          <w:p w14:paraId="67F5C340" w14:textId="77777777" w:rsidR="004E60C0" w:rsidRPr="00097A86" w:rsidRDefault="004E60C0" w:rsidP="004E60C0">
            <w:pPr>
              <w:pStyle w:val="Tabletext"/>
            </w:pPr>
            <w:r w:rsidRPr="00097A86">
              <w:t>Garden and Green</w:t>
            </w:r>
          </w:p>
          <w:p w14:paraId="5A506EAD" w14:textId="77777777" w:rsidR="004E60C0" w:rsidRPr="00097A86" w:rsidRDefault="004E60C0" w:rsidP="004E60C0">
            <w:pPr>
              <w:pStyle w:val="Tabletext"/>
            </w:pPr>
            <w:r w:rsidRPr="00097A86">
              <w:t>Wood</w:t>
            </w:r>
          </w:p>
          <w:p w14:paraId="5AB2C96C" w14:textId="77777777" w:rsidR="004E60C0" w:rsidRPr="00097A86" w:rsidRDefault="004E60C0" w:rsidP="004E60C0">
            <w:pPr>
              <w:pStyle w:val="Tabletext"/>
            </w:pPr>
            <w:r w:rsidRPr="00097A86">
              <w:t>Textiles</w:t>
            </w:r>
          </w:p>
          <w:p w14:paraId="17E627A0" w14:textId="77777777" w:rsidR="004E60C0" w:rsidRPr="00097A86" w:rsidRDefault="004E60C0" w:rsidP="004E60C0">
            <w:pPr>
              <w:pStyle w:val="Tabletext"/>
            </w:pPr>
            <w:r w:rsidRPr="00097A86">
              <w:t>Sludge</w:t>
            </w:r>
          </w:p>
          <w:p w14:paraId="738AF479" w14:textId="77777777" w:rsidR="004E60C0" w:rsidRPr="00097A86" w:rsidRDefault="004E60C0" w:rsidP="004E60C0">
            <w:pPr>
              <w:pStyle w:val="Tabletext"/>
            </w:pPr>
            <w:r w:rsidRPr="00097A86">
              <w:t>Nappies</w:t>
            </w:r>
          </w:p>
          <w:p w14:paraId="34D1AD82" w14:textId="77777777" w:rsidR="004E60C0" w:rsidRPr="00097A86" w:rsidRDefault="004E60C0" w:rsidP="004E60C0">
            <w:pPr>
              <w:pStyle w:val="Tabletext"/>
            </w:pPr>
            <w:r w:rsidRPr="00097A86">
              <w:t>Rubber and Leather</w:t>
            </w:r>
          </w:p>
          <w:p w14:paraId="6AFA2F43" w14:textId="77777777" w:rsidR="004E60C0" w:rsidRPr="00097A86" w:rsidRDefault="004E60C0" w:rsidP="004E60C0">
            <w:pPr>
              <w:pStyle w:val="Tabletext"/>
            </w:pPr>
            <w:r w:rsidRPr="00097A86">
              <w:t>Alternative waste treatment residue</w:t>
            </w:r>
          </w:p>
        </w:tc>
        <w:tc>
          <w:tcPr>
            <w:tcW w:w="660" w:type="pct"/>
            <w:tcBorders>
              <w:bottom w:val="single" w:sz="4" w:space="0" w:color="auto"/>
            </w:tcBorders>
            <w:shd w:val="clear" w:color="auto" w:fill="auto"/>
          </w:tcPr>
          <w:p w14:paraId="1AF411C8" w14:textId="77777777" w:rsidR="004E60C0" w:rsidRPr="00097A86" w:rsidRDefault="004E60C0" w:rsidP="004E60C0">
            <w:pPr>
              <w:pStyle w:val="Tabletext"/>
            </w:pPr>
            <w:r w:rsidRPr="00097A86">
              <w:t>0.06</w:t>
            </w:r>
          </w:p>
          <w:p w14:paraId="205AE3A0" w14:textId="77777777" w:rsidR="004E60C0" w:rsidRPr="00097A86" w:rsidRDefault="004E60C0" w:rsidP="004E60C0">
            <w:pPr>
              <w:pStyle w:val="Tabletext"/>
            </w:pPr>
            <w:r w:rsidRPr="00097A86">
              <w:t>0.04</w:t>
            </w:r>
          </w:p>
          <w:p w14:paraId="59DB2CEB" w14:textId="77777777" w:rsidR="004E60C0" w:rsidRPr="00097A86" w:rsidRDefault="004E60C0" w:rsidP="004E60C0">
            <w:pPr>
              <w:pStyle w:val="Tabletext"/>
            </w:pPr>
            <w:r w:rsidRPr="00097A86">
              <w:t>0.05</w:t>
            </w:r>
          </w:p>
          <w:p w14:paraId="48570B43" w14:textId="77777777" w:rsidR="004E60C0" w:rsidRPr="00097A86" w:rsidRDefault="004E60C0" w:rsidP="004E60C0">
            <w:pPr>
              <w:pStyle w:val="Tabletext"/>
            </w:pPr>
            <w:r w:rsidRPr="00097A86">
              <w:t>0.02</w:t>
            </w:r>
          </w:p>
          <w:p w14:paraId="4E57E5A7" w14:textId="77777777" w:rsidR="004E60C0" w:rsidRPr="00097A86" w:rsidRDefault="004E60C0" w:rsidP="004E60C0">
            <w:pPr>
              <w:pStyle w:val="Tabletext"/>
            </w:pPr>
            <w:r w:rsidRPr="00097A86">
              <w:t>0.04</w:t>
            </w:r>
          </w:p>
          <w:p w14:paraId="1D12091E" w14:textId="77777777" w:rsidR="004E60C0" w:rsidRPr="00097A86" w:rsidRDefault="004E60C0" w:rsidP="004E60C0">
            <w:pPr>
              <w:pStyle w:val="Tabletext"/>
            </w:pPr>
            <w:r w:rsidRPr="00097A86">
              <w:t>0.06</w:t>
            </w:r>
          </w:p>
          <w:p w14:paraId="57F48862" w14:textId="77777777" w:rsidR="004E60C0" w:rsidRPr="00097A86" w:rsidRDefault="004E60C0" w:rsidP="004E60C0">
            <w:pPr>
              <w:pStyle w:val="Tabletext"/>
            </w:pPr>
            <w:r w:rsidRPr="00097A86">
              <w:t>0.04</w:t>
            </w:r>
          </w:p>
          <w:p w14:paraId="5B20F230" w14:textId="77777777" w:rsidR="004E60C0" w:rsidRPr="00097A86" w:rsidRDefault="004E60C0" w:rsidP="004E60C0">
            <w:pPr>
              <w:pStyle w:val="Tabletext"/>
            </w:pPr>
            <w:r w:rsidRPr="00097A86">
              <w:t>0.04</w:t>
            </w:r>
          </w:p>
          <w:p w14:paraId="19F80C6F" w14:textId="77777777" w:rsidR="004E60C0" w:rsidRPr="00097A86" w:rsidRDefault="004E60C0" w:rsidP="004E60C0">
            <w:pPr>
              <w:pStyle w:val="Tabletext"/>
            </w:pPr>
            <w:r w:rsidRPr="00097A86">
              <w:t>0.04</w:t>
            </w:r>
          </w:p>
        </w:tc>
      </w:tr>
      <w:tr w:rsidR="004E60C0" w:rsidRPr="00097A86" w14:paraId="5FD8DCC4" w14:textId="77777777" w:rsidTr="00C20CC2">
        <w:tc>
          <w:tcPr>
            <w:tcW w:w="481" w:type="pct"/>
            <w:tcBorders>
              <w:bottom w:val="single" w:sz="12" w:space="0" w:color="auto"/>
            </w:tcBorders>
            <w:shd w:val="clear" w:color="auto" w:fill="auto"/>
          </w:tcPr>
          <w:p w14:paraId="47905CD6" w14:textId="77777777" w:rsidR="004E60C0" w:rsidRPr="00097A86" w:rsidRDefault="004E60C0" w:rsidP="004E60C0">
            <w:pPr>
              <w:pStyle w:val="Tabletext"/>
            </w:pPr>
            <w:r w:rsidRPr="00097A86">
              <w:t>3</w:t>
            </w:r>
          </w:p>
        </w:tc>
        <w:tc>
          <w:tcPr>
            <w:tcW w:w="2023" w:type="pct"/>
            <w:tcBorders>
              <w:bottom w:val="single" w:sz="12" w:space="0" w:color="auto"/>
            </w:tcBorders>
            <w:shd w:val="clear" w:color="auto" w:fill="auto"/>
          </w:tcPr>
          <w:p w14:paraId="08464CA5" w14:textId="77777777" w:rsidR="004E60C0" w:rsidRPr="00097A86" w:rsidRDefault="004E60C0" w:rsidP="004E60C0">
            <w:pPr>
              <w:pStyle w:val="Tabletext"/>
            </w:pPr>
            <w:r w:rsidRPr="00097A86">
              <w:t>QLD, NT</w:t>
            </w:r>
          </w:p>
        </w:tc>
        <w:tc>
          <w:tcPr>
            <w:tcW w:w="1836" w:type="pct"/>
            <w:tcBorders>
              <w:bottom w:val="single" w:sz="12" w:space="0" w:color="auto"/>
            </w:tcBorders>
            <w:shd w:val="clear" w:color="auto" w:fill="auto"/>
          </w:tcPr>
          <w:p w14:paraId="0BF713B0" w14:textId="77777777" w:rsidR="004E60C0" w:rsidRPr="00097A86" w:rsidRDefault="004E60C0" w:rsidP="004E60C0">
            <w:pPr>
              <w:pStyle w:val="Tabletext"/>
            </w:pPr>
            <w:r w:rsidRPr="00097A86">
              <w:t>Food</w:t>
            </w:r>
          </w:p>
          <w:p w14:paraId="20BAEDD4" w14:textId="77777777" w:rsidR="004E60C0" w:rsidRPr="00097A86" w:rsidRDefault="004E60C0" w:rsidP="004E60C0">
            <w:pPr>
              <w:pStyle w:val="Tabletext"/>
            </w:pPr>
            <w:r w:rsidRPr="00097A86">
              <w:t>Paper and cardboard</w:t>
            </w:r>
          </w:p>
          <w:p w14:paraId="3E429BE8" w14:textId="77777777" w:rsidR="004E60C0" w:rsidRPr="00097A86" w:rsidRDefault="004E60C0" w:rsidP="004E60C0">
            <w:pPr>
              <w:pStyle w:val="Tabletext"/>
            </w:pPr>
            <w:r w:rsidRPr="00097A86">
              <w:t>Garden and Green</w:t>
            </w:r>
          </w:p>
          <w:p w14:paraId="1C63EE79" w14:textId="77777777" w:rsidR="004E60C0" w:rsidRPr="00097A86" w:rsidRDefault="004E60C0" w:rsidP="004E60C0">
            <w:pPr>
              <w:pStyle w:val="Tabletext"/>
            </w:pPr>
            <w:r w:rsidRPr="00097A86">
              <w:t>Wood</w:t>
            </w:r>
          </w:p>
          <w:p w14:paraId="40C04D9B" w14:textId="77777777" w:rsidR="004E60C0" w:rsidRPr="00097A86" w:rsidRDefault="004E60C0" w:rsidP="004E60C0">
            <w:pPr>
              <w:pStyle w:val="Tabletext"/>
            </w:pPr>
            <w:r w:rsidRPr="00097A86">
              <w:t>Textiles</w:t>
            </w:r>
          </w:p>
          <w:p w14:paraId="2C6E0F3F" w14:textId="77777777" w:rsidR="004E60C0" w:rsidRPr="00097A86" w:rsidRDefault="004E60C0" w:rsidP="004E60C0">
            <w:pPr>
              <w:pStyle w:val="Tabletext"/>
            </w:pPr>
            <w:r w:rsidRPr="00097A86">
              <w:t>Sludge</w:t>
            </w:r>
          </w:p>
          <w:p w14:paraId="154BB8DC" w14:textId="77777777" w:rsidR="004E60C0" w:rsidRPr="00097A86" w:rsidRDefault="004E60C0" w:rsidP="004E60C0">
            <w:pPr>
              <w:pStyle w:val="Tabletext"/>
            </w:pPr>
            <w:r w:rsidRPr="00097A86">
              <w:t>Nappies</w:t>
            </w:r>
          </w:p>
          <w:p w14:paraId="14FF82A7" w14:textId="77777777" w:rsidR="004E60C0" w:rsidRPr="00097A86" w:rsidRDefault="004E60C0" w:rsidP="004E60C0">
            <w:pPr>
              <w:pStyle w:val="Tabletext"/>
            </w:pPr>
            <w:r w:rsidRPr="00097A86">
              <w:t>Rubber and Leather</w:t>
            </w:r>
          </w:p>
          <w:p w14:paraId="2943F306" w14:textId="77777777" w:rsidR="004E60C0" w:rsidRPr="00097A86" w:rsidRDefault="004E60C0" w:rsidP="004E60C0">
            <w:pPr>
              <w:pStyle w:val="Tabletext"/>
            </w:pPr>
            <w:r w:rsidRPr="00097A86">
              <w:t>Alternative waste treatment residue</w:t>
            </w:r>
          </w:p>
        </w:tc>
        <w:tc>
          <w:tcPr>
            <w:tcW w:w="660" w:type="pct"/>
            <w:tcBorders>
              <w:bottom w:val="single" w:sz="12" w:space="0" w:color="auto"/>
            </w:tcBorders>
            <w:shd w:val="clear" w:color="auto" w:fill="auto"/>
          </w:tcPr>
          <w:p w14:paraId="2ECEE30E" w14:textId="77777777" w:rsidR="004E60C0" w:rsidRPr="00097A86" w:rsidRDefault="004E60C0" w:rsidP="004E60C0">
            <w:pPr>
              <w:pStyle w:val="Tabletext"/>
            </w:pPr>
            <w:r w:rsidRPr="00097A86">
              <w:t>0.4</w:t>
            </w:r>
          </w:p>
          <w:p w14:paraId="51E95A90" w14:textId="77777777" w:rsidR="004E60C0" w:rsidRPr="00097A86" w:rsidRDefault="004E60C0" w:rsidP="004E60C0">
            <w:pPr>
              <w:pStyle w:val="Tabletext"/>
            </w:pPr>
            <w:r w:rsidRPr="00097A86">
              <w:t>0.07</w:t>
            </w:r>
          </w:p>
          <w:p w14:paraId="00443549" w14:textId="77777777" w:rsidR="004E60C0" w:rsidRPr="00097A86" w:rsidRDefault="004E60C0" w:rsidP="004E60C0">
            <w:pPr>
              <w:pStyle w:val="Tabletext"/>
            </w:pPr>
            <w:r w:rsidRPr="00097A86">
              <w:t>0.17</w:t>
            </w:r>
          </w:p>
          <w:p w14:paraId="53BCE55E" w14:textId="77777777" w:rsidR="004E60C0" w:rsidRPr="00097A86" w:rsidRDefault="004E60C0" w:rsidP="004E60C0">
            <w:pPr>
              <w:pStyle w:val="Tabletext"/>
            </w:pPr>
            <w:r w:rsidRPr="00097A86">
              <w:t>0.035</w:t>
            </w:r>
          </w:p>
          <w:p w14:paraId="10B83BAB" w14:textId="77777777" w:rsidR="004E60C0" w:rsidRPr="00097A86" w:rsidRDefault="004E60C0" w:rsidP="004E60C0">
            <w:pPr>
              <w:pStyle w:val="Tabletext"/>
            </w:pPr>
            <w:r w:rsidRPr="00097A86">
              <w:t>0.07</w:t>
            </w:r>
          </w:p>
          <w:p w14:paraId="06D5BBEF" w14:textId="77777777" w:rsidR="004E60C0" w:rsidRPr="00097A86" w:rsidRDefault="004E60C0" w:rsidP="004E60C0">
            <w:pPr>
              <w:pStyle w:val="Tabletext"/>
            </w:pPr>
            <w:r w:rsidRPr="00097A86">
              <w:t>0.4</w:t>
            </w:r>
          </w:p>
          <w:p w14:paraId="509764C3" w14:textId="77777777" w:rsidR="004E60C0" w:rsidRPr="00097A86" w:rsidRDefault="004E60C0" w:rsidP="004E60C0">
            <w:pPr>
              <w:pStyle w:val="Tabletext"/>
            </w:pPr>
            <w:r w:rsidRPr="00097A86">
              <w:t>0.07</w:t>
            </w:r>
          </w:p>
          <w:p w14:paraId="5B017BBB" w14:textId="77777777" w:rsidR="004E60C0" w:rsidRPr="00097A86" w:rsidRDefault="004E60C0" w:rsidP="004E60C0">
            <w:pPr>
              <w:pStyle w:val="Tabletext"/>
            </w:pPr>
            <w:r w:rsidRPr="00097A86">
              <w:t>0.07</w:t>
            </w:r>
          </w:p>
          <w:p w14:paraId="62F4AE8A" w14:textId="77777777" w:rsidR="004E60C0" w:rsidRPr="00097A86" w:rsidRDefault="004E60C0" w:rsidP="004E60C0">
            <w:pPr>
              <w:pStyle w:val="Tabletext"/>
            </w:pPr>
            <w:r w:rsidRPr="00097A86">
              <w:t>0.07</w:t>
            </w:r>
          </w:p>
        </w:tc>
      </w:tr>
    </w:tbl>
    <w:p w14:paraId="1D9A35FA" w14:textId="77777777" w:rsidR="00C46CD8" w:rsidRPr="00097A86" w:rsidRDefault="00C46CD8" w:rsidP="00D22D3F">
      <w:pPr>
        <w:pStyle w:val="subsection"/>
      </w:pPr>
      <w:r w:rsidRPr="00097A86">
        <w:tab/>
        <w:t>(6)</w:t>
      </w:r>
      <w:r w:rsidRPr="00097A86">
        <w:tab/>
        <w:t>The k values for solid waste at a landfill with a landfill classification mentioned in column 2 of an item in the following table are the constants set out in column 4 for a waste mix type mentioned in column 3 for the item.</w:t>
      </w:r>
    </w:p>
    <w:p w14:paraId="40158B71"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0"/>
        <w:gridCol w:w="2517"/>
        <w:gridCol w:w="3899"/>
        <w:gridCol w:w="1097"/>
      </w:tblGrid>
      <w:tr w:rsidR="004E60C0" w:rsidRPr="00097A86" w14:paraId="4C905AA4" w14:textId="77777777" w:rsidTr="00C20CC2">
        <w:trPr>
          <w:tblHeader/>
        </w:trPr>
        <w:tc>
          <w:tcPr>
            <w:tcW w:w="5000" w:type="pct"/>
            <w:gridSpan w:val="4"/>
            <w:tcBorders>
              <w:top w:val="single" w:sz="12" w:space="0" w:color="auto"/>
              <w:bottom w:val="single" w:sz="6" w:space="0" w:color="auto"/>
            </w:tcBorders>
            <w:shd w:val="clear" w:color="auto" w:fill="auto"/>
          </w:tcPr>
          <w:p w14:paraId="15933CCE" w14:textId="77777777" w:rsidR="004E60C0" w:rsidRPr="00097A86" w:rsidRDefault="004E60C0" w:rsidP="00B25EE5">
            <w:pPr>
              <w:pStyle w:val="TableHeading"/>
              <w:keepLines/>
            </w:pPr>
            <w:r w:rsidRPr="00097A86">
              <w:t>k values for Solid Waste at a Landfill</w:t>
            </w:r>
          </w:p>
        </w:tc>
      </w:tr>
      <w:tr w:rsidR="004E60C0" w:rsidRPr="00097A86" w14:paraId="531336CD" w14:textId="77777777" w:rsidTr="00C20CC2">
        <w:trPr>
          <w:tblHeader/>
        </w:trPr>
        <w:tc>
          <w:tcPr>
            <w:tcW w:w="481" w:type="pct"/>
            <w:tcBorders>
              <w:top w:val="single" w:sz="6" w:space="0" w:color="auto"/>
              <w:bottom w:val="single" w:sz="12" w:space="0" w:color="auto"/>
            </w:tcBorders>
            <w:shd w:val="clear" w:color="auto" w:fill="auto"/>
          </w:tcPr>
          <w:p w14:paraId="58F21B12" w14:textId="77777777" w:rsidR="004E60C0" w:rsidRPr="00097A86" w:rsidRDefault="004E60C0" w:rsidP="00B25EE5">
            <w:pPr>
              <w:pStyle w:val="TableHeading"/>
              <w:keepLines/>
            </w:pPr>
            <w:r w:rsidRPr="00097A86">
              <w:t>Item</w:t>
            </w:r>
          </w:p>
        </w:tc>
        <w:tc>
          <w:tcPr>
            <w:tcW w:w="1514" w:type="pct"/>
            <w:tcBorders>
              <w:top w:val="single" w:sz="6" w:space="0" w:color="auto"/>
              <w:bottom w:val="single" w:sz="12" w:space="0" w:color="auto"/>
            </w:tcBorders>
            <w:shd w:val="clear" w:color="auto" w:fill="auto"/>
          </w:tcPr>
          <w:p w14:paraId="5B05650B" w14:textId="77777777" w:rsidR="004E60C0" w:rsidRPr="00097A86" w:rsidRDefault="004E60C0" w:rsidP="00B25EE5">
            <w:pPr>
              <w:pStyle w:val="TableHeading"/>
              <w:keepLines/>
            </w:pPr>
            <w:r w:rsidRPr="00097A86">
              <w:t>Landfill classification</w:t>
            </w:r>
          </w:p>
        </w:tc>
        <w:tc>
          <w:tcPr>
            <w:tcW w:w="2345" w:type="pct"/>
            <w:tcBorders>
              <w:top w:val="single" w:sz="6" w:space="0" w:color="auto"/>
              <w:bottom w:val="single" w:sz="12" w:space="0" w:color="auto"/>
            </w:tcBorders>
            <w:shd w:val="clear" w:color="auto" w:fill="auto"/>
          </w:tcPr>
          <w:p w14:paraId="79023939" w14:textId="77777777" w:rsidR="004E60C0" w:rsidRPr="00097A86" w:rsidRDefault="004E60C0" w:rsidP="00B25EE5">
            <w:pPr>
              <w:pStyle w:val="TableHeading"/>
              <w:keepLines/>
            </w:pPr>
            <w:r w:rsidRPr="00097A86">
              <w:t>Waste mix type</w:t>
            </w:r>
          </w:p>
        </w:tc>
        <w:tc>
          <w:tcPr>
            <w:tcW w:w="660" w:type="pct"/>
            <w:tcBorders>
              <w:top w:val="single" w:sz="6" w:space="0" w:color="auto"/>
              <w:bottom w:val="single" w:sz="12" w:space="0" w:color="auto"/>
            </w:tcBorders>
            <w:shd w:val="clear" w:color="auto" w:fill="auto"/>
          </w:tcPr>
          <w:p w14:paraId="655A44ED" w14:textId="77777777" w:rsidR="004E60C0" w:rsidRPr="00097A86" w:rsidRDefault="004E60C0" w:rsidP="00B25EE5">
            <w:pPr>
              <w:pStyle w:val="TableHeading"/>
              <w:keepLines/>
            </w:pPr>
            <w:r w:rsidRPr="00097A86">
              <w:t>k values</w:t>
            </w:r>
          </w:p>
        </w:tc>
      </w:tr>
      <w:tr w:rsidR="004E60C0" w:rsidRPr="00097A86" w14:paraId="51406114" w14:textId="77777777" w:rsidTr="00C20CC2">
        <w:tc>
          <w:tcPr>
            <w:tcW w:w="481" w:type="pct"/>
            <w:tcBorders>
              <w:top w:val="single" w:sz="12" w:space="0" w:color="auto"/>
            </w:tcBorders>
            <w:shd w:val="clear" w:color="auto" w:fill="auto"/>
          </w:tcPr>
          <w:p w14:paraId="232A363C" w14:textId="77777777" w:rsidR="004E60C0" w:rsidRPr="00097A86" w:rsidRDefault="004E60C0" w:rsidP="00B25EE5">
            <w:pPr>
              <w:pStyle w:val="Tabletext"/>
              <w:keepNext/>
              <w:keepLines/>
            </w:pPr>
            <w:r w:rsidRPr="00097A86">
              <w:t>1</w:t>
            </w:r>
          </w:p>
        </w:tc>
        <w:tc>
          <w:tcPr>
            <w:tcW w:w="1514" w:type="pct"/>
            <w:tcBorders>
              <w:top w:val="single" w:sz="12" w:space="0" w:color="auto"/>
            </w:tcBorders>
            <w:shd w:val="clear" w:color="auto" w:fill="auto"/>
          </w:tcPr>
          <w:p w14:paraId="256F5485" w14:textId="77777777" w:rsidR="004E60C0" w:rsidRPr="00097A86" w:rsidRDefault="004E60C0" w:rsidP="00B25EE5">
            <w:pPr>
              <w:pStyle w:val="Tabletext"/>
              <w:keepNext/>
              <w:keepLines/>
            </w:pPr>
            <w:r w:rsidRPr="00097A86">
              <w:t>Temperate dry</w:t>
            </w:r>
          </w:p>
        </w:tc>
        <w:tc>
          <w:tcPr>
            <w:tcW w:w="2345" w:type="pct"/>
            <w:tcBorders>
              <w:top w:val="single" w:sz="12" w:space="0" w:color="auto"/>
            </w:tcBorders>
            <w:shd w:val="clear" w:color="auto" w:fill="auto"/>
          </w:tcPr>
          <w:p w14:paraId="3B0A390D" w14:textId="77777777" w:rsidR="004E60C0" w:rsidRPr="00097A86" w:rsidRDefault="004E60C0" w:rsidP="00B25EE5">
            <w:pPr>
              <w:pStyle w:val="Tabletext"/>
              <w:keepNext/>
              <w:keepLines/>
            </w:pPr>
            <w:r w:rsidRPr="00097A86">
              <w:t>Food</w:t>
            </w:r>
          </w:p>
          <w:p w14:paraId="123B6D2F" w14:textId="77777777" w:rsidR="004E60C0" w:rsidRPr="00097A86" w:rsidRDefault="004E60C0" w:rsidP="00B25EE5">
            <w:pPr>
              <w:pStyle w:val="Tabletext"/>
              <w:keepNext/>
              <w:keepLines/>
            </w:pPr>
            <w:r w:rsidRPr="00097A86">
              <w:t>Paper and cardboard</w:t>
            </w:r>
          </w:p>
          <w:p w14:paraId="0CD8662A" w14:textId="77777777" w:rsidR="004E60C0" w:rsidRPr="00097A86" w:rsidRDefault="004E60C0" w:rsidP="00B25EE5">
            <w:pPr>
              <w:pStyle w:val="Tabletext"/>
              <w:keepNext/>
              <w:keepLines/>
            </w:pPr>
            <w:r w:rsidRPr="00097A86">
              <w:t>Garden and Green</w:t>
            </w:r>
          </w:p>
          <w:p w14:paraId="64D414AD" w14:textId="77777777" w:rsidR="004E60C0" w:rsidRPr="00097A86" w:rsidRDefault="004E60C0" w:rsidP="00B25EE5">
            <w:pPr>
              <w:pStyle w:val="Tabletext"/>
              <w:keepNext/>
              <w:keepLines/>
            </w:pPr>
            <w:r w:rsidRPr="00097A86">
              <w:t>Wood</w:t>
            </w:r>
          </w:p>
          <w:p w14:paraId="372A0C43" w14:textId="77777777" w:rsidR="004E60C0" w:rsidRPr="00097A86" w:rsidRDefault="004E60C0" w:rsidP="00B25EE5">
            <w:pPr>
              <w:pStyle w:val="Tabletext"/>
              <w:keepNext/>
              <w:keepLines/>
            </w:pPr>
            <w:r w:rsidRPr="00097A86">
              <w:t>Textiles</w:t>
            </w:r>
          </w:p>
          <w:p w14:paraId="632530E4" w14:textId="77777777" w:rsidR="004E60C0" w:rsidRPr="00097A86" w:rsidRDefault="004E60C0" w:rsidP="00B25EE5">
            <w:pPr>
              <w:pStyle w:val="Tabletext"/>
              <w:keepNext/>
              <w:keepLines/>
            </w:pPr>
            <w:r w:rsidRPr="00097A86">
              <w:t>Sludge</w:t>
            </w:r>
          </w:p>
          <w:p w14:paraId="24D190C4" w14:textId="77777777" w:rsidR="004E60C0" w:rsidRPr="00097A86" w:rsidRDefault="004E60C0" w:rsidP="00B25EE5">
            <w:pPr>
              <w:pStyle w:val="Tabletext"/>
              <w:keepNext/>
              <w:keepLines/>
            </w:pPr>
            <w:r w:rsidRPr="00097A86">
              <w:t>Nappies</w:t>
            </w:r>
          </w:p>
          <w:p w14:paraId="16AB854C" w14:textId="77777777" w:rsidR="004E60C0" w:rsidRPr="00097A86" w:rsidRDefault="004E60C0" w:rsidP="00B25EE5">
            <w:pPr>
              <w:pStyle w:val="Tabletext"/>
              <w:keepNext/>
              <w:keepLines/>
            </w:pPr>
            <w:r w:rsidRPr="00097A86">
              <w:t>Rubber and Leather</w:t>
            </w:r>
          </w:p>
          <w:p w14:paraId="4D258322" w14:textId="77777777" w:rsidR="004E60C0" w:rsidRPr="00097A86" w:rsidRDefault="004E60C0" w:rsidP="00B25EE5">
            <w:pPr>
              <w:pStyle w:val="Tabletext"/>
              <w:keepNext/>
              <w:keepLines/>
            </w:pPr>
            <w:r w:rsidRPr="00097A86">
              <w:t>Alternative waste treatment residue</w:t>
            </w:r>
          </w:p>
        </w:tc>
        <w:tc>
          <w:tcPr>
            <w:tcW w:w="660" w:type="pct"/>
            <w:tcBorders>
              <w:top w:val="single" w:sz="12" w:space="0" w:color="auto"/>
            </w:tcBorders>
            <w:shd w:val="clear" w:color="auto" w:fill="auto"/>
          </w:tcPr>
          <w:p w14:paraId="332496FA" w14:textId="77777777" w:rsidR="004E60C0" w:rsidRPr="00097A86" w:rsidRDefault="004E60C0" w:rsidP="00B25EE5">
            <w:pPr>
              <w:pStyle w:val="Tabletext"/>
              <w:keepNext/>
              <w:keepLines/>
            </w:pPr>
            <w:r w:rsidRPr="00097A86">
              <w:t>0.06</w:t>
            </w:r>
          </w:p>
          <w:p w14:paraId="1DC0D6AE" w14:textId="77777777" w:rsidR="004E60C0" w:rsidRPr="00097A86" w:rsidRDefault="004E60C0" w:rsidP="00B25EE5">
            <w:pPr>
              <w:pStyle w:val="Tabletext"/>
              <w:keepNext/>
              <w:keepLines/>
            </w:pPr>
            <w:r w:rsidRPr="00097A86">
              <w:t>0.04</w:t>
            </w:r>
          </w:p>
          <w:p w14:paraId="09F88D3B" w14:textId="77777777" w:rsidR="004E60C0" w:rsidRPr="00097A86" w:rsidRDefault="004E60C0" w:rsidP="00B25EE5">
            <w:pPr>
              <w:pStyle w:val="Tabletext"/>
              <w:keepNext/>
              <w:keepLines/>
            </w:pPr>
            <w:r w:rsidRPr="00097A86">
              <w:t>0.05</w:t>
            </w:r>
          </w:p>
          <w:p w14:paraId="1F4ED6DE" w14:textId="77777777" w:rsidR="004E60C0" w:rsidRPr="00097A86" w:rsidRDefault="004E60C0" w:rsidP="00B25EE5">
            <w:pPr>
              <w:pStyle w:val="Tabletext"/>
              <w:keepNext/>
              <w:keepLines/>
            </w:pPr>
            <w:r w:rsidRPr="00097A86">
              <w:t>0.02</w:t>
            </w:r>
          </w:p>
          <w:p w14:paraId="2E95D299" w14:textId="77777777" w:rsidR="004E60C0" w:rsidRPr="00097A86" w:rsidRDefault="004E60C0" w:rsidP="00B25EE5">
            <w:pPr>
              <w:pStyle w:val="Tabletext"/>
              <w:keepNext/>
              <w:keepLines/>
            </w:pPr>
            <w:r w:rsidRPr="00097A86">
              <w:t>0.04</w:t>
            </w:r>
          </w:p>
          <w:p w14:paraId="44BD0A27" w14:textId="77777777" w:rsidR="004E60C0" w:rsidRPr="00097A86" w:rsidRDefault="004E60C0" w:rsidP="00B25EE5">
            <w:pPr>
              <w:pStyle w:val="Tabletext"/>
              <w:keepNext/>
              <w:keepLines/>
            </w:pPr>
            <w:r w:rsidRPr="00097A86">
              <w:t>0.06</w:t>
            </w:r>
          </w:p>
          <w:p w14:paraId="233B5A74" w14:textId="77777777" w:rsidR="004E60C0" w:rsidRPr="00097A86" w:rsidRDefault="004E60C0" w:rsidP="00B25EE5">
            <w:pPr>
              <w:pStyle w:val="Tabletext"/>
              <w:keepNext/>
              <w:keepLines/>
            </w:pPr>
            <w:r w:rsidRPr="00097A86">
              <w:t>0.04</w:t>
            </w:r>
          </w:p>
          <w:p w14:paraId="3709D747" w14:textId="77777777" w:rsidR="004E60C0" w:rsidRPr="00097A86" w:rsidRDefault="004E60C0" w:rsidP="00B25EE5">
            <w:pPr>
              <w:pStyle w:val="Tabletext"/>
              <w:keepNext/>
              <w:keepLines/>
            </w:pPr>
            <w:r w:rsidRPr="00097A86">
              <w:t>0.04</w:t>
            </w:r>
          </w:p>
          <w:p w14:paraId="0F948F0B" w14:textId="77777777" w:rsidR="004E60C0" w:rsidRPr="00097A86" w:rsidRDefault="004E60C0" w:rsidP="00B25EE5">
            <w:pPr>
              <w:pStyle w:val="Tabletext"/>
              <w:keepNext/>
              <w:keepLines/>
            </w:pPr>
            <w:r w:rsidRPr="00097A86">
              <w:t>0.04</w:t>
            </w:r>
          </w:p>
        </w:tc>
      </w:tr>
      <w:tr w:rsidR="004E60C0" w:rsidRPr="00097A86" w14:paraId="3B287070" w14:textId="77777777" w:rsidTr="00C20CC2">
        <w:tc>
          <w:tcPr>
            <w:tcW w:w="481" w:type="pct"/>
            <w:shd w:val="clear" w:color="auto" w:fill="auto"/>
          </w:tcPr>
          <w:p w14:paraId="2DD90C11" w14:textId="77777777" w:rsidR="004E60C0" w:rsidRPr="00097A86" w:rsidRDefault="004E60C0" w:rsidP="004E60C0">
            <w:pPr>
              <w:pStyle w:val="Tabletext"/>
            </w:pPr>
            <w:r w:rsidRPr="00097A86">
              <w:t>2</w:t>
            </w:r>
          </w:p>
        </w:tc>
        <w:tc>
          <w:tcPr>
            <w:tcW w:w="1514" w:type="pct"/>
            <w:shd w:val="clear" w:color="auto" w:fill="auto"/>
          </w:tcPr>
          <w:p w14:paraId="7AB0ACCF" w14:textId="77777777" w:rsidR="004E60C0" w:rsidRPr="00097A86" w:rsidRDefault="004E60C0" w:rsidP="004E60C0">
            <w:pPr>
              <w:pStyle w:val="Tabletext"/>
            </w:pPr>
            <w:r w:rsidRPr="00097A86">
              <w:t>Temperate wet</w:t>
            </w:r>
          </w:p>
        </w:tc>
        <w:tc>
          <w:tcPr>
            <w:tcW w:w="2345" w:type="pct"/>
            <w:shd w:val="clear" w:color="auto" w:fill="auto"/>
          </w:tcPr>
          <w:p w14:paraId="66E269B9" w14:textId="77777777" w:rsidR="004E60C0" w:rsidRPr="00097A86" w:rsidRDefault="004E60C0" w:rsidP="004E60C0">
            <w:pPr>
              <w:pStyle w:val="Tabletext"/>
            </w:pPr>
            <w:r w:rsidRPr="00097A86">
              <w:t>Food</w:t>
            </w:r>
          </w:p>
          <w:p w14:paraId="16FEC709" w14:textId="77777777" w:rsidR="004E60C0" w:rsidRPr="00097A86" w:rsidRDefault="004E60C0" w:rsidP="004E60C0">
            <w:pPr>
              <w:pStyle w:val="Tabletext"/>
            </w:pPr>
            <w:r w:rsidRPr="00097A86">
              <w:t>Paper and cardboard</w:t>
            </w:r>
          </w:p>
          <w:p w14:paraId="47265C2A" w14:textId="77777777" w:rsidR="004E60C0" w:rsidRPr="00097A86" w:rsidRDefault="004E60C0" w:rsidP="004E60C0">
            <w:pPr>
              <w:pStyle w:val="Tabletext"/>
            </w:pPr>
            <w:r w:rsidRPr="00097A86">
              <w:lastRenderedPageBreak/>
              <w:t>Garden and Green</w:t>
            </w:r>
          </w:p>
          <w:p w14:paraId="25AAA46E" w14:textId="77777777" w:rsidR="004E60C0" w:rsidRPr="00097A86" w:rsidRDefault="004E60C0" w:rsidP="004E60C0">
            <w:pPr>
              <w:pStyle w:val="Tabletext"/>
            </w:pPr>
            <w:r w:rsidRPr="00097A86">
              <w:t>Wood</w:t>
            </w:r>
          </w:p>
          <w:p w14:paraId="1E72DC64" w14:textId="77777777" w:rsidR="004E60C0" w:rsidRPr="00097A86" w:rsidRDefault="004E60C0" w:rsidP="004E60C0">
            <w:pPr>
              <w:pStyle w:val="Tabletext"/>
            </w:pPr>
            <w:r w:rsidRPr="00097A86">
              <w:t>Textiles</w:t>
            </w:r>
          </w:p>
          <w:p w14:paraId="377DA64B" w14:textId="77777777" w:rsidR="004E60C0" w:rsidRPr="00097A86" w:rsidRDefault="004E60C0" w:rsidP="004E60C0">
            <w:pPr>
              <w:pStyle w:val="Tabletext"/>
            </w:pPr>
            <w:r w:rsidRPr="00097A86">
              <w:t>Sludge</w:t>
            </w:r>
          </w:p>
          <w:p w14:paraId="6A616D66" w14:textId="77777777" w:rsidR="004E60C0" w:rsidRPr="00097A86" w:rsidRDefault="004E60C0" w:rsidP="004E60C0">
            <w:pPr>
              <w:pStyle w:val="Tabletext"/>
            </w:pPr>
            <w:r w:rsidRPr="00097A86">
              <w:t>Nappies</w:t>
            </w:r>
          </w:p>
          <w:p w14:paraId="36AEE04F" w14:textId="77777777" w:rsidR="004E60C0" w:rsidRPr="00097A86" w:rsidRDefault="004E60C0" w:rsidP="004E60C0">
            <w:pPr>
              <w:pStyle w:val="Tabletext"/>
            </w:pPr>
            <w:r w:rsidRPr="00097A86">
              <w:t>Rubber and Leather</w:t>
            </w:r>
          </w:p>
          <w:p w14:paraId="6DE01302" w14:textId="77777777" w:rsidR="004E60C0" w:rsidRPr="00097A86" w:rsidRDefault="004E60C0" w:rsidP="004E60C0">
            <w:pPr>
              <w:pStyle w:val="Tabletext"/>
            </w:pPr>
            <w:r w:rsidRPr="00097A86">
              <w:t>Alternative waste treatment residue</w:t>
            </w:r>
          </w:p>
        </w:tc>
        <w:tc>
          <w:tcPr>
            <w:tcW w:w="660" w:type="pct"/>
            <w:shd w:val="clear" w:color="auto" w:fill="auto"/>
          </w:tcPr>
          <w:p w14:paraId="48462B89" w14:textId="77777777" w:rsidR="004E60C0" w:rsidRPr="00097A86" w:rsidRDefault="004E60C0" w:rsidP="004E60C0">
            <w:pPr>
              <w:pStyle w:val="Tabletext"/>
            </w:pPr>
            <w:r w:rsidRPr="00097A86">
              <w:lastRenderedPageBreak/>
              <w:t>0.185</w:t>
            </w:r>
          </w:p>
          <w:p w14:paraId="470111B1" w14:textId="77777777" w:rsidR="004E60C0" w:rsidRPr="00097A86" w:rsidRDefault="004E60C0" w:rsidP="004E60C0">
            <w:pPr>
              <w:pStyle w:val="Tabletext"/>
            </w:pPr>
            <w:r w:rsidRPr="00097A86">
              <w:t>0.06</w:t>
            </w:r>
          </w:p>
          <w:p w14:paraId="0F1094DC" w14:textId="77777777" w:rsidR="004E60C0" w:rsidRPr="00097A86" w:rsidRDefault="004E60C0" w:rsidP="004E60C0">
            <w:pPr>
              <w:pStyle w:val="Tabletext"/>
            </w:pPr>
            <w:r w:rsidRPr="00097A86">
              <w:lastRenderedPageBreak/>
              <w:t>0.10</w:t>
            </w:r>
          </w:p>
          <w:p w14:paraId="0A2B826F" w14:textId="77777777" w:rsidR="004E60C0" w:rsidRPr="00097A86" w:rsidRDefault="004E60C0" w:rsidP="004E60C0">
            <w:pPr>
              <w:pStyle w:val="Tabletext"/>
            </w:pPr>
            <w:r w:rsidRPr="00097A86">
              <w:t>0.03</w:t>
            </w:r>
          </w:p>
          <w:p w14:paraId="42378CE1" w14:textId="77777777" w:rsidR="004E60C0" w:rsidRPr="00097A86" w:rsidRDefault="004E60C0" w:rsidP="004E60C0">
            <w:pPr>
              <w:pStyle w:val="Tabletext"/>
            </w:pPr>
            <w:r w:rsidRPr="00097A86">
              <w:t>0.06</w:t>
            </w:r>
          </w:p>
          <w:p w14:paraId="68246230" w14:textId="77777777" w:rsidR="004E60C0" w:rsidRPr="00097A86" w:rsidRDefault="004E60C0" w:rsidP="004E60C0">
            <w:pPr>
              <w:pStyle w:val="Tabletext"/>
            </w:pPr>
            <w:r w:rsidRPr="00097A86">
              <w:t>0.185</w:t>
            </w:r>
          </w:p>
          <w:p w14:paraId="56D7AC18" w14:textId="77777777" w:rsidR="004E60C0" w:rsidRPr="00097A86" w:rsidRDefault="004E60C0" w:rsidP="004E60C0">
            <w:pPr>
              <w:pStyle w:val="Tabletext"/>
            </w:pPr>
            <w:r w:rsidRPr="00097A86">
              <w:t>0.06</w:t>
            </w:r>
          </w:p>
          <w:p w14:paraId="2AF1FAB3" w14:textId="77777777" w:rsidR="004E60C0" w:rsidRPr="00097A86" w:rsidRDefault="004E60C0" w:rsidP="004E60C0">
            <w:pPr>
              <w:pStyle w:val="Tabletext"/>
            </w:pPr>
            <w:r w:rsidRPr="00097A86">
              <w:t>0.06</w:t>
            </w:r>
          </w:p>
          <w:p w14:paraId="202B60AC" w14:textId="77777777" w:rsidR="004E60C0" w:rsidRPr="00097A86" w:rsidRDefault="004E60C0" w:rsidP="004E60C0">
            <w:pPr>
              <w:pStyle w:val="Tabletext"/>
            </w:pPr>
            <w:r w:rsidRPr="00097A86">
              <w:t>0.06</w:t>
            </w:r>
          </w:p>
        </w:tc>
      </w:tr>
      <w:tr w:rsidR="004E60C0" w:rsidRPr="00097A86" w14:paraId="331323C5" w14:textId="77777777" w:rsidTr="00C20CC2">
        <w:tc>
          <w:tcPr>
            <w:tcW w:w="481" w:type="pct"/>
            <w:tcBorders>
              <w:bottom w:val="single" w:sz="4" w:space="0" w:color="auto"/>
            </w:tcBorders>
            <w:shd w:val="clear" w:color="auto" w:fill="auto"/>
          </w:tcPr>
          <w:p w14:paraId="196E5D3E" w14:textId="77777777" w:rsidR="004E60C0" w:rsidRPr="00097A86" w:rsidRDefault="004E60C0" w:rsidP="004E60C0">
            <w:pPr>
              <w:pStyle w:val="Tabletext"/>
            </w:pPr>
            <w:r w:rsidRPr="00097A86">
              <w:lastRenderedPageBreak/>
              <w:t>3</w:t>
            </w:r>
          </w:p>
        </w:tc>
        <w:tc>
          <w:tcPr>
            <w:tcW w:w="1514" w:type="pct"/>
            <w:tcBorders>
              <w:bottom w:val="single" w:sz="4" w:space="0" w:color="auto"/>
            </w:tcBorders>
            <w:shd w:val="clear" w:color="auto" w:fill="auto"/>
          </w:tcPr>
          <w:p w14:paraId="39FBE439" w14:textId="77777777" w:rsidR="004E60C0" w:rsidRPr="00097A86" w:rsidRDefault="004E60C0" w:rsidP="004E60C0">
            <w:pPr>
              <w:pStyle w:val="Tabletext"/>
            </w:pPr>
            <w:r w:rsidRPr="00097A86">
              <w:t>Tropical dry</w:t>
            </w:r>
          </w:p>
        </w:tc>
        <w:tc>
          <w:tcPr>
            <w:tcW w:w="2345" w:type="pct"/>
            <w:tcBorders>
              <w:bottom w:val="single" w:sz="4" w:space="0" w:color="auto"/>
            </w:tcBorders>
            <w:shd w:val="clear" w:color="auto" w:fill="auto"/>
          </w:tcPr>
          <w:p w14:paraId="0F6F2A3D" w14:textId="77777777" w:rsidR="004E60C0" w:rsidRPr="00097A86" w:rsidRDefault="004E60C0" w:rsidP="004E60C0">
            <w:pPr>
              <w:pStyle w:val="Tabletext"/>
            </w:pPr>
            <w:r w:rsidRPr="00097A86">
              <w:t>Food</w:t>
            </w:r>
          </w:p>
          <w:p w14:paraId="36B41D3C" w14:textId="77777777" w:rsidR="004E60C0" w:rsidRPr="00097A86" w:rsidRDefault="004E60C0" w:rsidP="004E60C0">
            <w:pPr>
              <w:pStyle w:val="Tabletext"/>
            </w:pPr>
            <w:r w:rsidRPr="00097A86">
              <w:t>Paper and cardboard</w:t>
            </w:r>
          </w:p>
          <w:p w14:paraId="36D24DAE" w14:textId="77777777" w:rsidR="004E60C0" w:rsidRPr="00097A86" w:rsidRDefault="004E60C0" w:rsidP="004E60C0">
            <w:pPr>
              <w:pStyle w:val="Tabletext"/>
            </w:pPr>
            <w:r w:rsidRPr="00097A86">
              <w:t>Garden and Green</w:t>
            </w:r>
          </w:p>
          <w:p w14:paraId="3CFADF9B" w14:textId="77777777" w:rsidR="004E60C0" w:rsidRPr="00097A86" w:rsidRDefault="004E60C0" w:rsidP="004E60C0">
            <w:pPr>
              <w:pStyle w:val="Tabletext"/>
            </w:pPr>
            <w:r w:rsidRPr="00097A86">
              <w:t>Wood</w:t>
            </w:r>
          </w:p>
          <w:p w14:paraId="7F611D83" w14:textId="77777777" w:rsidR="004E60C0" w:rsidRPr="00097A86" w:rsidRDefault="004E60C0" w:rsidP="004E60C0">
            <w:pPr>
              <w:pStyle w:val="Tabletext"/>
            </w:pPr>
            <w:r w:rsidRPr="00097A86">
              <w:t>Textiles</w:t>
            </w:r>
          </w:p>
          <w:p w14:paraId="4BB6337C" w14:textId="77777777" w:rsidR="004E60C0" w:rsidRPr="00097A86" w:rsidRDefault="004E60C0" w:rsidP="004E60C0">
            <w:pPr>
              <w:pStyle w:val="Tabletext"/>
            </w:pPr>
            <w:r w:rsidRPr="00097A86">
              <w:t>Sludge</w:t>
            </w:r>
          </w:p>
          <w:p w14:paraId="27E1F07E" w14:textId="77777777" w:rsidR="004E60C0" w:rsidRPr="00097A86" w:rsidRDefault="004E60C0" w:rsidP="004E60C0">
            <w:pPr>
              <w:pStyle w:val="Tabletext"/>
            </w:pPr>
            <w:r w:rsidRPr="00097A86">
              <w:t>Nappies</w:t>
            </w:r>
          </w:p>
          <w:p w14:paraId="21D3E073" w14:textId="77777777" w:rsidR="004E60C0" w:rsidRPr="00097A86" w:rsidRDefault="004E60C0" w:rsidP="004E60C0">
            <w:pPr>
              <w:pStyle w:val="Tabletext"/>
            </w:pPr>
            <w:r w:rsidRPr="00097A86">
              <w:t>Rubber and Leather</w:t>
            </w:r>
          </w:p>
          <w:p w14:paraId="58566AFA" w14:textId="77777777" w:rsidR="004E60C0" w:rsidRPr="00097A86" w:rsidRDefault="004E60C0" w:rsidP="004E60C0">
            <w:pPr>
              <w:pStyle w:val="Tabletext"/>
            </w:pPr>
            <w:r w:rsidRPr="00097A86">
              <w:t>Alternative waste treatment residue</w:t>
            </w:r>
          </w:p>
        </w:tc>
        <w:tc>
          <w:tcPr>
            <w:tcW w:w="660" w:type="pct"/>
            <w:tcBorders>
              <w:bottom w:val="single" w:sz="4" w:space="0" w:color="auto"/>
            </w:tcBorders>
            <w:shd w:val="clear" w:color="auto" w:fill="auto"/>
          </w:tcPr>
          <w:p w14:paraId="0652D270" w14:textId="77777777" w:rsidR="004E60C0" w:rsidRPr="00097A86" w:rsidRDefault="004E60C0" w:rsidP="004E60C0">
            <w:pPr>
              <w:pStyle w:val="Tabletext"/>
            </w:pPr>
            <w:r w:rsidRPr="00097A86">
              <w:t>0.085</w:t>
            </w:r>
          </w:p>
          <w:p w14:paraId="325FCF75" w14:textId="77777777" w:rsidR="004E60C0" w:rsidRPr="00097A86" w:rsidRDefault="004E60C0" w:rsidP="004E60C0">
            <w:pPr>
              <w:pStyle w:val="Tabletext"/>
            </w:pPr>
            <w:r w:rsidRPr="00097A86">
              <w:t>0.045</w:t>
            </w:r>
          </w:p>
          <w:p w14:paraId="20A67AE5" w14:textId="77777777" w:rsidR="004E60C0" w:rsidRPr="00097A86" w:rsidRDefault="004E60C0" w:rsidP="004E60C0">
            <w:pPr>
              <w:pStyle w:val="Tabletext"/>
            </w:pPr>
            <w:r w:rsidRPr="00097A86">
              <w:t>0.065</w:t>
            </w:r>
          </w:p>
          <w:p w14:paraId="2DC5704B" w14:textId="77777777" w:rsidR="004E60C0" w:rsidRPr="00097A86" w:rsidRDefault="004E60C0" w:rsidP="004E60C0">
            <w:pPr>
              <w:pStyle w:val="Tabletext"/>
            </w:pPr>
            <w:r w:rsidRPr="00097A86">
              <w:t>0.025</w:t>
            </w:r>
          </w:p>
          <w:p w14:paraId="0A71C391" w14:textId="77777777" w:rsidR="004E60C0" w:rsidRPr="00097A86" w:rsidRDefault="004E60C0" w:rsidP="004E60C0">
            <w:pPr>
              <w:pStyle w:val="Tabletext"/>
            </w:pPr>
            <w:r w:rsidRPr="00097A86">
              <w:t>0.045</w:t>
            </w:r>
          </w:p>
          <w:p w14:paraId="49684EBE" w14:textId="77777777" w:rsidR="004E60C0" w:rsidRPr="00097A86" w:rsidRDefault="004E60C0" w:rsidP="004E60C0">
            <w:pPr>
              <w:pStyle w:val="Tabletext"/>
            </w:pPr>
            <w:r w:rsidRPr="00097A86">
              <w:t>0.085</w:t>
            </w:r>
          </w:p>
          <w:p w14:paraId="41A1AA49" w14:textId="77777777" w:rsidR="004E60C0" w:rsidRPr="00097A86" w:rsidRDefault="004E60C0" w:rsidP="004E60C0">
            <w:pPr>
              <w:pStyle w:val="Tabletext"/>
            </w:pPr>
            <w:r w:rsidRPr="00097A86">
              <w:t>0.045</w:t>
            </w:r>
          </w:p>
          <w:p w14:paraId="720E957F" w14:textId="77777777" w:rsidR="004E60C0" w:rsidRPr="00097A86" w:rsidRDefault="004E60C0" w:rsidP="004E60C0">
            <w:pPr>
              <w:pStyle w:val="Tabletext"/>
            </w:pPr>
            <w:r w:rsidRPr="00097A86">
              <w:t>0.045</w:t>
            </w:r>
          </w:p>
          <w:p w14:paraId="348A2751" w14:textId="77777777" w:rsidR="004E60C0" w:rsidRPr="00097A86" w:rsidRDefault="004E60C0" w:rsidP="004E60C0">
            <w:pPr>
              <w:pStyle w:val="Tabletext"/>
            </w:pPr>
            <w:r w:rsidRPr="00097A86">
              <w:t>0.045</w:t>
            </w:r>
          </w:p>
        </w:tc>
      </w:tr>
      <w:tr w:rsidR="004E60C0" w:rsidRPr="00097A86" w14:paraId="3695A589" w14:textId="77777777" w:rsidTr="00C20CC2">
        <w:trPr>
          <w:cantSplit/>
        </w:trPr>
        <w:tc>
          <w:tcPr>
            <w:tcW w:w="481" w:type="pct"/>
            <w:tcBorders>
              <w:bottom w:val="single" w:sz="12" w:space="0" w:color="auto"/>
            </w:tcBorders>
            <w:shd w:val="clear" w:color="auto" w:fill="auto"/>
          </w:tcPr>
          <w:p w14:paraId="00501224" w14:textId="77777777" w:rsidR="004E60C0" w:rsidRPr="00097A86" w:rsidRDefault="004E60C0" w:rsidP="004E60C0">
            <w:pPr>
              <w:pStyle w:val="Tabletext"/>
            </w:pPr>
            <w:r w:rsidRPr="00097A86">
              <w:t>4</w:t>
            </w:r>
          </w:p>
        </w:tc>
        <w:tc>
          <w:tcPr>
            <w:tcW w:w="1514" w:type="pct"/>
            <w:tcBorders>
              <w:bottom w:val="single" w:sz="12" w:space="0" w:color="auto"/>
            </w:tcBorders>
            <w:shd w:val="clear" w:color="auto" w:fill="auto"/>
          </w:tcPr>
          <w:p w14:paraId="1AD48CD4" w14:textId="77777777" w:rsidR="004E60C0" w:rsidRPr="00097A86" w:rsidRDefault="004E60C0" w:rsidP="004E60C0">
            <w:pPr>
              <w:pStyle w:val="Tabletext"/>
            </w:pPr>
            <w:r w:rsidRPr="00097A86">
              <w:t>Tropical wet</w:t>
            </w:r>
          </w:p>
        </w:tc>
        <w:tc>
          <w:tcPr>
            <w:tcW w:w="2345" w:type="pct"/>
            <w:tcBorders>
              <w:bottom w:val="single" w:sz="12" w:space="0" w:color="auto"/>
            </w:tcBorders>
            <w:shd w:val="clear" w:color="auto" w:fill="auto"/>
          </w:tcPr>
          <w:p w14:paraId="672B58C3" w14:textId="77777777" w:rsidR="004E60C0" w:rsidRPr="00097A86" w:rsidRDefault="004E60C0" w:rsidP="004E60C0">
            <w:pPr>
              <w:pStyle w:val="Tabletext"/>
            </w:pPr>
            <w:r w:rsidRPr="00097A86">
              <w:t>Food</w:t>
            </w:r>
          </w:p>
          <w:p w14:paraId="04F91E77" w14:textId="77777777" w:rsidR="004E60C0" w:rsidRPr="00097A86" w:rsidRDefault="004E60C0" w:rsidP="004E60C0">
            <w:pPr>
              <w:pStyle w:val="Tabletext"/>
            </w:pPr>
            <w:r w:rsidRPr="00097A86">
              <w:t>Paper and cardboard</w:t>
            </w:r>
          </w:p>
          <w:p w14:paraId="641264BD" w14:textId="77777777" w:rsidR="004E60C0" w:rsidRPr="00097A86" w:rsidRDefault="004E60C0" w:rsidP="004E60C0">
            <w:pPr>
              <w:pStyle w:val="Tabletext"/>
            </w:pPr>
            <w:r w:rsidRPr="00097A86">
              <w:t>Garden and Green</w:t>
            </w:r>
          </w:p>
          <w:p w14:paraId="30AF98A1" w14:textId="77777777" w:rsidR="004E60C0" w:rsidRPr="00097A86" w:rsidRDefault="004E60C0" w:rsidP="004E60C0">
            <w:pPr>
              <w:pStyle w:val="Tabletext"/>
            </w:pPr>
            <w:r w:rsidRPr="00097A86">
              <w:t>Wood</w:t>
            </w:r>
          </w:p>
          <w:p w14:paraId="5B7F1687" w14:textId="77777777" w:rsidR="004E60C0" w:rsidRPr="00097A86" w:rsidRDefault="004E60C0" w:rsidP="004E60C0">
            <w:pPr>
              <w:pStyle w:val="Tabletext"/>
            </w:pPr>
            <w:r w:rsidRPr="00097A86">
              <w:t>Textiles</w:t>
            </w:r>
          </w:p>
          <w:p w14:paraId="3590222B" w14:textId="77777777" w:rsidR="004E60C0" w:rsidRPr="00097A86" w:rsidRDefault="004E60C0" w:rsidP="004E60C0">
            <w:pPr>
              <w:pStyle w:val="Tabletext"/>
            </w:pPr>
            <w:r w:rsidRPr="00097A86">
              <w:t>Sludge</w:t>
            </w:r>
          </w:p>
          <w:p w14:paraId="757B9F63" w14:textId="77777777" w:rsidR="004E60C0" w:rsidRPr="00097A86" w:rsidRDefault="004E60C0" w:rsidP="004E60C0">
            <w:pPr>
              <w:pStyle w:val="Tabletext"/>
            </w:pPr>
            <w:r w:rsidRPr="00097A86">
              <w:t>Nappies</w:t>
            </w:r>
          </w:p>
          <w:p w14:paraId="229E9C04" w14:textId="77777777" w:rsidR="004E60C0" w:rsidRPr="00097A86" w:rsidRDefault="004E60C0" w:rsidP="004E60C0">
            <w:pPr>
              <w:pStyle w:val="Tabletext"/>
            </w:pPr>
            <w:r w:rsidRPr="00097A86">
              <w:t>Rubber and Leather</w:t>
            </w:r>
          </w:p>
          <w:p w14:paraId="39D41374" w14:textId="77777777" w:rsidR="004E60C0" w:rsidRPr="00097A86" w:rsidRDefault="004E60C0" w:rsidP="004E60C0">
            <w:pPr>
              <w:pStyle w:val="Tabletext"/>
            </w:pPr>
            <w:r w:rsidRPr="00097A86">
              <w:t>Alternative waste treatment residue</w:t>
            </w:r>
          </w:p>
        </w:tc>
        <w:tc>
          <w:tcPr>
            <w:tcW w:w="660" w:type="pct"/>
            <w:tcBorders>
              <w:bottom w:val="single" w:sz="12" w:space="0" w:color="auto"/>
            </w:tcBorders>
            <w:shd w:val="clear" w:color="auto" w:fill="auto"/>
          </w:tcPr>
          <w:p w14:paraId="17FB265B" w14:textId="77777777" w:rsidR="004E60C0" w:rsidRPr="00097A86" w:rsidRDefault="004E60C0" w:rsidP="004E60C0">
            <w:pPr>
              <w:pStyle w:val="Tabletext"/>
            </w:pPr>
            <w:r w:rsidRPr="00097A86">
              <w:t>0.4</w:t>
            </w:r>
          </w:p>
          <w:p w14:paraId="18FB230A" w14:textId="77777777" w:rsidR="004E60C0" w:rsidRPr="00097A86" w:rsidRDefault="004E60C0" w:rsidP="004E60C0">
            <w:pPr>
              <w:pStyle w:val="Tabletext"/>
            </w:pPr>
            <w:r w:rsidRPr="00097A86">
              <w:t>0.07</w:t>
            </w:r>
          </w:p>
          <w:p w14:paraId="757BF006" w14:textId="77777777" w:rsidR="004E60C0" w:rsidRPr="00097A86" w:rsidRDefault="004E60C0" w:rsidP="004E60C0">
            <w:pPr>
              <w:pStyle w:val="Tabletext"/>
            </w:pPr>
            <w:r w:rsidRPr="00097A86">
              <w:t>0.17</w:t>
            </w:r>
          </w:p>
          <w:p w14:paraId="2EB41BA1" w14:textId="77777777" w:rsidR="004E60C0" w:rsidRPr="00097A86" w:rsidRDefault="004E60C0" w:rsidP="004E60C0">
            <w:pPr>
              <w:pStyle w:val="Tabletext"/>
            </w:pPr>
            <w:r w:rsidRPr="00097A86">
              <w:t>0.035</w:t>
            </w:r>
          </w:p>
          <w:p w14:paraId="4E94B64C" w14:textId="77777777" w:rsidR="004E60C0" w:rsidRPr="00097A86" w:rsidRDefault="004E60C0" w:rsidP="004E60C0">
            <w:pPr>
              <w:pStyle w:val="Tabletext"/>
            </w:pPr>
            <w:r w:rsidRPr="00097A86">
              <w:t>0.07</w:t>
            </w:r>
          </w:p>
          <w:p w14:paraId="3A224E09" w14:textId="77777777" w:rsidR="004E60C0" w:rsidRPr="00097A86" w:rsidRDefault="004E60C0" w:rsidP="004E60C0">
            <w:pPr>
              <w:pStyle w:val="Tabletext"/>
            </w:pPr>
            <w:r w:rsidRPr="00097A86">
              <w:t>0.4</w:t>
            </w:r>
          </w:p>
          <w:p w14:paraId="51189399" w14:textId="77777777" w:rsidR="004E60C0" w:rsidRPr="00097A86" w:rsidRDefault="004E60C0" w:rsidP="004E60C0">
            <w:pPr>
              <w:pStyle w:val="Tabletext"/>
            </w:pPr>
            <w:r w:rsidRPr="00097A86">
              <w:t>0.07</w:t>
            </w:r>
          </w:p>
          <w:p w14:paraId="36E336BD" w14:textId="77777777" w:rsidR="004E60C0" w:rsidRPr="00097A86" w:rsidRDefault="004E60C0" w:rsidP="004E60C0">
            <w:pPr>
              <w:pStyle w:val="Tabletext"/>
            </w:pPr>
            <w:r w:rsidRPr="00097A86">
              <w:t>0.07</w:t>
            </w:r>
          </w:p>
          <w:p w14:paraId="45B7C88D" w14:textId="77777777" w:rsidR="004E60C0" w:rsidRPr="00097A86" w:rsidRDefault="004E60C0" w:rsidP="004E60C0">
            <w:pPr>
              <w:pStyle w:val="Tabletext"/>
            </w:pPr>
            <w:r w:rsidRPr="00097A86">
              <w:t>0.07</w:t>
            </w:r>
          </w:p>
        </w:tc>
      </w:tr>
    </w:tbl>
    <w:p w14:paraId="25FC4A38" w14:textId="77777777" w:rsidR="00C46CD8" w:rsidRPr="00097A86" w:rsidRDefault="00C46CD8" w:rsidP="00D22D3F">
      <w:pPr>
        <w:pStyle w:val="subsection"/>
      </w:pPr>
      <w:r w:rsidRPr="00097A86">
        <w:tab/>
        <w:t>(</w:t>
      </w:r>
      <w:r w:rsidR="004E60C0" w:rsidRPr="00097A86">
        <w:t>7</w:t>
      </w:r>
      <w:r w:rsidRPr="00097A86">
        <w:t>)</w:t>
      </w:r>
      <w:r w:rsidRPr="00097A86">
        <w:tab/>
        <w:t>In this section:</w:t>
      </w:r>
    </w:p>
    <w:p w14:paraId="5AB80AD4" w14:textId="77777777" w:rsidR="004E60C0" w:rsidRPr="00097A86" w:rsidRDefault="004E60C0" w:rsidP="004E60C0">
      <w:pPr>
        <w:pStyle w:val="Definition"/>
      </w:pPr>
      <w:r w:rsidRPr="00097A86">
        <w:rPr>
          <w:b/>
          <w:i/>
        </w:rPr>
        <w:t>Bureau of Meteorology Guideline</w:t>
      </w:r>
      <w:r w:rsidRPr="00097A86">
        <w:t xml:space="preserve"> means the document titled </w:t>
      </w:r>
      <w:r w:rsidRPr="00097A86">
        <w:rPr>
          <w:i/>
        </w:rPr>
        <w:t xml:space="preserve">Guidelines for the Siting and Exposure of Meteorological Instruments and Observing Facilities </w:t>
      </w:r>
      <w:r w:rsidRPr="00097A86">
        <w:t>(Observation Specification No.</w:t>
      </w:r>
      <w:r w:rsidR="00097A86">
        <w:t> </w:t>
      </w:r>
      <w:r w:rsidRPr="00097A86">
        <w:t>2013.1), published by the Bureau of Meteorology in January 1997.</w:t>
      </w:r>
    </w:p>
    <w:p w14:paraId="6184419A" w14:textId="77777777" w:rsidR="004E60C0" w:rsidRPr="00097A86" w:rsidRDefault="004E60C0" w:rsidP="004E60C0">
      <w:pPr>
        <w:pStyle w:val="notetext"/>
      </w:pPr>
      <w:r w:rsidRPr="00097A86">
        <w:t>Note:</w:t>
      </w:r>
      <w:r w:rsidRPr="00097A86">
        <w:tab/>
        <w:t>The Bureau of Meteorology Guideline is available at www.bom.gov.au.</w:t>
      </w:r>
    </w:p>
    <w:p w14:paraId="29D5A1F0" w14:textId="77777777" w:rsidR="004E60C0" w:rsidRPr="00097A86" w:rsidRDefault="004E60C0" w:rsidP="004E60C0">
      <w:pPr>
        <w:pStyle w:val="Definition"/>
      </w:pPr>
      <w:r w:rsidRPr="00097A86">
        <w:rPr>
          <w:b/>
          <w:i/>
        </w:rPr>
        <w:t>mean annual evaporation</w:t>
      </w:r>
      <w:r w:rsidRPr="00097A86">
        <w:t xml:space="preserve"> means the mean annual evaporation:</w:t>
      </w:r>
    </w:p>
    <w:p w14:paraId="03B24ABC" w14:textId="77777777" w:rsidR="004E60C0" w:rsidRPr="00097A86" w:rsidRDefault="004E60C0" w:rsidP="004E60C0">
      <w:pPr>
        <w:pStyle w:val="paragraph"/>
      </w:pPr>
      <w:r w:rsidRPr="00097A86">
        <w:tab/>
        <w:t>(a)</w:t>
      </w:r>
      <w:r w:rsidRPr="00097A86">
        <w:tab/>
        <w:t>recorded at the landfill by a meteorological station that is established and maintained in accordance with the Bureau of Meteorology Guideline; or</w:t>
      </w:r>
    </w:p>
    <w:p w14:paraId="69E9B9E7" w14:textId="77777777" w:rsidR="004E60C0" w:rsidRPr="00097A86" w:rsidRDefault="004E60C0" w:rsidP="004E60C0">
      <w:pPr>
        <w:pStyle w:val="paragraph"/>
      </w:pPr>
      <w:r w:rsidRPr="00097A86">
        <w:tab/>
        <w:t>(b)</w:t>
      </w:r>
      <w:r w:rsidRPr="00097A86">
        <w:tab/>
        <w:t xml:space="preserve">if </w:t>
      </w:r>
      <w:r w:rsidR="00097A86">
        <w:t>paragraph (</w:t>
      </w:r>
      <w:r w:rsidRPr="00097A86">
        <w:t>a) does not apply—recorded by a Bureau of Meteorology weather station that:</w:t>
      </w:r>
    </w:p>
    <w:p w14:paraId="468DC82E" w14:textId="77777777" w:rsidR="004E60C0" w:rsidRPr="00097A86" w:rsidRDefault="004E60C0" w:rsidP="004E60C0">
      <w:pPr>
        <w:pStyle w:val="paragraphsub"/>
      </w:pPr>
      <w:r w:rsidRPr="00097A86">
        <w:tab/>
        <w:t>(i)</w:t>
      </w:r>
      <w:r w:rsidRPr="00097A86">
        <w:tab/>
        <w:t>is located nearest to the landfill; and</w:t>
      </w:r>
    </w:p>
    <w:p w14:paraId="484570D1" w14:textId="77777777" w:rsidR="004E60C0" w:rsidRPr="00097A86" w:rsidRDefault="004E60C0" w:rsidP="004E60C0">
      <w:pPr>
        <w:pStyle w:val="paragraphsub"/>
      </w:pPr>
      <w:r w:rsidRPr="00097A86">
        <w:lastRenderedPageBreak/>
        <w:tab/>
        <w:t>(ii)</w:t>
      </w:r>
      <w:r w:rsidRPr="00097A86">
        <w:tab/>
        <w:t>records mean annual evaporation.</w:t>
      </w:r>
    </w:p>
    <w:p w14:paraId="2B05CF2E" w14:textId="77777777" w:rsidR="004E60C0" w:rsidRPr="00097A86" w:rsidRDefault="004E60C0" w:rsidP="004E60C0">
      <w:pPr>
        <w:pStyle w:val="Definition"/>
      </w:pPr>
      <w:r w:rsidRPr="00097A86">
        <w:rPr>
          <w:b/>
          <w:i/>
        </w:rPr>
        <w:t>mean annual precipitation</w:t>
      </w:r>
      <w:r w:rsidRPr="00097A86">
        <w:t xml:space="preserve"> means the mean annual precipitation:</w:t>
      </w:r>
    </w:p>
    <w:p w14:paraId="18E9D59B" w14:textId="77777777" w:rsidR="004E60C0" w:rsidRPr="00097A86" w:rsidRDefault="004E60C0" w:rsidP="004E60C0">
      <w:pPr>
        <w:pStyle w:val="paragraph"/>
      </w:pPr>
      <w:r w:rsidRPr="00097A86">
        <w:tab/>
        <w:t>(a)</w:t>
      </w:r>
      <w:r w:rsidRPr="00097A86">
        <w:tab/>
        <w:t>recorded at the landfill by a meteorological station that is established and maintained in accordance with the Bureau of Meteorology Guideline; or</w:t>
      </w:r>
    </w:p>
    <w:p w14:paraId="5DB45022" w14:textId="77777777" w:rsidR="004E60C0" w:rsidRPr="00097A86" w:rsidRDefault="004E60C0" w:rsidP="004E60C0">
      <w:pPr>
        <w:pStyle w:val="paragraph"/>
      </w:pPr>
      <w:r w:rsidRPr="00097A86">
        <w:tab/>
        <w:t>(b)</w:t>
      </w:r>
      <w:r w:rsidRPr="00097A86">
        <w:tab/>
        <w:t xml:space="preserve">if </w:t>
      </w:r>
      <w:r w:rsidR="00097A86">
        <w:t>paragraph (</w:t>
      </w:r>
      <w:r w:rsidRPr="00097A86">
        <w:t>a) does not apply—recorded by a Bureau of Meteorology weather station that:</w:t>
      </w:r>
    </w:p>
    <w:p w14:paraId="6973045C" w14:textId="77777777" w:rsidR="004E60C0" w:rsidRPr="00097A86" w:rsidRDefault="004E60C0" w:rsidP="004E60C0">
      <w:pPr>
        <w:pStyle w:val="paragraphsub"/>
      </w:pPr>
      <w:r w:rsidRPr="00097A86">
        <w:tab/>
        <w:t>(i)</w:t>
      </w:r>
      <w:r w:rsidRPr="00097A86">
        <w:tab/>
        <w:t>is located nearest to the landfill; and</w:t>
      </w:r>
    </w:p>
    <w:p w14:paraId="7C7B3FB8" w14:textId="77777777" w:rsidR="004E60C0" w:rsidRPr="00097A86" w:rsidRDefault="004E60C0" w:rsidP="004E60C0">
      <w:pPr>
        <w:pStyle w:val="paragraphsub"/>
      </w:pPr>
      <w:r w:rsidRPr="00097A86">
        <w:tab/>
        <w:t>(ii)</w:t>
      </w:r>
      <w:r w:rsidRPr="00097A86">
        <w:tab/>
        <w:t>records mean annual precipitation.</w:t>
      </w:r>
    </w:p>
    <w:p w14:paraId="1F48712E" w14:textId="77777777" w:rsidR="004E60C0" w:rsidRPr="00097A86" w:rsidRDefault="004E60C0" w:rsidP="004E60C0">
      <w:pPr>
        <w:pStyle w:val="Definition"/>
      </w:pPr>
      <w:r w:rsidRPr="00097A86">
        <w:rPr>
          <w:b/>
          <w:i/>
        </w:rPr>
        <w:t xml:space="preserve">mean annual temperature </w:t>
      </w:r>
      <w:r w:rsidRPr="00097A86">
        <w:t>means the mean annual temperature:</w:t>
      </w:r>
    </w:p>
    <w:p w14:paraId="392AA497" w14:textId="77777777" w:rsidR="004E60C0" w:rsidRPr="00097A86" w:rsidRDefault="004E60C0" w:rsidP="004E60C0">
      <w:pPr>
        <w:pStyle w:val="paragraph"/>
      </w:pPr>
      <w:r w:rsidRPr="00097A86">
        <w:tab/>
        <w:t>(a)</w:t>
      </w:r>
      <w:r w:rsidRPr="00097A86">
        <w:tab/>
        <w:t>recorded at the landfill by a meteorological station that is established and maintained in accordance with the Bureau of Meteorology Guideline; or</w:t>
      </w:r>
    </w:p>
    <w:p w14:paraId="33F8F525" w14:textId="77777777" w:rsidR="004E60C0" w:rsidRPr="00097A86" w:rsidRDefault="004E60C0" w:rsidP="004E60C0">
      <w:pPr>
        <w:pStyle w:val="paragraph"/>
      </w:pPr>
      <w:r w:rsidRPr="00097A86">
        <w:tab/>
        <w:t>(b)</w:t>
      </w:r>
      <w:r w:rsidRPr="00097A86">
        <w:tab/>
        <w:t xml:space="preserve">if </w:t>
      </w:r>
      <w:r w:rsidR="00097A86">
        <w:t>paragraph (</w:t>
      </w:r>
      <w:r w:rsidRPr="00097A86">
        <w:t>a) does not apply—recorded by a Bureau of Meteorology weather station that:</w:t>
      </w:r>
    </w:p>
    <w:p w14:paraId="70E1606F" w14:textId="77777777" w:rsidR="004E60C0" w:rsidRPr="00097A86" w:rsidRDefault="004E60C0" w:rsidP="004E60C0">
      <w:pPr>
        <w:pStyle w:val="paragraphsub"/>
      </w:pPr>
      <w:r w:rsidRPr="00097A86">
        <w:tab/>
        <w:t>(i)</w:t>
      </w:r>
      <w:r w:rsidRPr="00097A86">
        <w:tab/>
        <w:t>is located nearest to the landfill; and</w:t>
      </w:r>
    </w:p>
    <w:p w14:paraId="113D73EB" w14:textId="77777777" w:rsidR="004E60C0" w:rsidRPr="00097A86" w:rsidRDefault="004E60C0" w:rsidP="004E60C0">
      <w:pPr>
        <w:pStyle w:val="paragraphsub"/>
      </w:pPr>
      <w:r w:rsidRPr="00097A86">
        <w:tab/>
        <w:t>(ii)</w:t>
      </w:r>
      <w:r w:rsidRPr="00097A86">
        <w:tab/>
        <w:t>records mean annual temperature.</w:t>
      </w:r>
    </w:p>
    <w:p w14:paraId="7D94BFEE" w14:textId="77777777" w:rsidR="00C46CD8" w:rsidRPr="00097A86" w:rsidRDefault="00D22D3F" w:rsidP="00D22D3F">
      <w:pPr>
        <w:pStyle w:val="notetext"/>
      </w:pPr>
      <w:r w:rsidRPr="00097A86">
        <w:t>Note:</w:t>
      </w:r>
      <w:r w:rsidRPr="00097A86">
        <w:tab/>
      </w:r>
      <w:r w:rsidR="00C46CD8" w:rsidRPr="00097A86">
        <w:t xml:space="preserve">The Bureau of Meteorology weather station directory is available at </w:t>
      </w:r>
      <w:r w:rsidR="00C46CD8" w:rsidRPr="00097A86">
        <w:rPr>
          <w:u w:val="single"/>
        </w:rPr>
        <w:t>www.bom.gov.au.</w:t>
      </w:r>
    </w:p>
    <w:p w14:paraId="4E940B31" w14:textId="77777777" w:rsidR="00C46CD8" w:rsidRPr="00097A86" w:rsidRDefault="00C46CD8" w:rsidP="00D22D3F">
      <w:pPr>
        <w:pStyle w:val="Definition"/>
      </w:pPr>
      <w:r w:rsidRPr="00097A86">
        <w:rPr>
          <w:b/>
          <w:i/>
        </w:rPr>
        <w:t>temperate dry</w:t>
      </w:r>
      <w:r w:rsidRPr="00097A86">
        <w:t>, for a landfill, means that the landfill has:</w:t>
      </w:r>
    </w:p>
    <w:p w14:paraId="207E28D9" w14:textId="77777777" w:rsidR="00C46CD8" w:rsidRPr="00097A86" w:rsidRDefault="00C46CD8" w:rsidP="00D22D3F">
      <w:pPr>
        <w:pStyle w:val="paragraph"/>
      </w:pPr>
      <w:r w:rsidRPr="00097A86">
        <w:tab/>
        <w:t>(a)</w:t>
      </w:r>
      <w:r w:rsidRPr="00097A86">
        <w:tab/>
        <w:t>a mean annual temperature that is 20° centigrade or less; and</w:t>
      </w:r>
    </w:p>
    <w:p w14:paraId="22F1E2B4" w14:textId="77777777" w:rsidR="00C46CD8" w:rsidRPr="00097A86" w:rsidRDefault="00C46CD8" w:rsidP="00D22D3F">
      <w:pPr>
        <w:pStyle w:val="paragraph"/>
      </w:pPr>
      <w:r w:rsidRPr="00097A86">
        <w:tab/>
        <w:t>(b)</w:t>
      </w:r>
      <w:r w:rsidRPr="00097A86">
        <w:tab/>
        <w:t>a ratio of mean annual precipitation to mean annual evaporation that is less than 1.</w:t>
      </w:r>
    </w:p>
    <w:p w14:paraId="3492CD03" w14:textId="77777777" w:rsidR="00C46CD8" w:rsidRPr="00097A86" w:rsidRDefault="00C46CD8" w:rsidP="00D22D3F">
      <w:pPr>
        <w:pStyle w:val="Definition"/>
      </w:pPr>
      <w:r w:rsidRPr="00097A86">
        <w:rPr>
          <w:b/>
          <w:i/>
        </w:rPr>
        <w:t>temperate wet</w:t>
      </w:r>
      <w:r w:rsidRPr="00097A86">
        <w:t>, for a landfill, means that the landfill has:</w:t>
      </w:r>
    </w:p>
    <w:p w14:paraId="7ECFB9B6" w14:textId="77777777" w:rsidR="00C46CD8" w:rsidRPr="00097A86" w:rsidRDefault="00C46CD8" w:rsidP="00D22D3F">
      <w:pPr>
        <w:pStyle w:val="paragraph"/>
      </w:pPr>
      <w:r w:rsidRPr="00097A86">
        <w:tab/>
        <w:t>(a)</w:t>
      </w:r>
      <w:r w:rsidRPr="00097A86">
        <w:tab/>
        <w:t>a mean annual temperature that is 20° centigrade or less; and</w:t>
      </w:r>
    </w:p>
    <w:p w14:paraId="02148238" w14:textId="77777777" w:rsidR="00C46CD8" w:rsidRPr="00097A86" w:rsidRDefault="00C46CD8" w:rsidP="00D22D3F">
      <w:pPr>
        <w:pStyle w:val="paragraph"/>
      </w:pPr>
      <w:r w:rsidRPr="00097A86">
        <w:tab/>
        <w:t>(b)</w:t>
      </w:r>
      <w:r w:rsidRPr="00097A86">
        <w:tab/>
        <w:t>a ratio of mean annual precipitation to mean annual evaporation that is greater than 1.</w:t>
      </w:r>
    </w:p>
    <w:p w14:paraId="67D43EA3" w14:textId="77777777" w:rsidR="00C46CD8" w:rsidRPr="00097A86" w:rsidRDefault="00C46CD8" w:rsidP="00D22D3F">
      <w:pPr>
        <w:pStyle w:val="Definition"/>
      </w:pPr>
      <w:r w:rsidRPr="00097A86">
        <w:rPr>
          <w:b/>
          <w:i/>
        </w:rPr>
        <w:t>tropical dry</w:t>
      </w:r>
      <w:r w:rsidRPr="00097A86">
        <w:t>, for a landfill, means that the landfill has:</w:t>
      </w:r>
    </w:p>
    <w:p w14:paraId="5473D812" w14:textId="77777777" w:rsidR="00C46CD8" w:rsidRPr="00097A86" w:rsidRDefault="00C46CD8" w:rsidP="00D22D3F">
      <w:pPr>
        <w:pStyle w:val="paragraph"/>
      </w:pPr>
      <w:r w:rsidRPr="00097A86">
        <w:tab/>
        <w:t>(a)</w:t>
      </w:r>
      <w:r w:rsidRPr="00097A86">
        <w:tab/>
        <w:t>a mean annual temperature that is greater than 20° centigrade; and</w:t>
      </w:r>
    </w:p>
    <w:p w14:paraId="7B3507BF" w14:textId="77777777" w:rsidR="00C46CD8" w:rsidRPr="00097A86" w:rsidRDefault="00C46CD8" w:rsidP="00D22D3F">
      <w:pPr>
        <w:pStyle w:val="paragraph"/>
      </w:pPr>
      <w:r w:rsidRPr="00097A86">
        <w:tab/>
        <w:t>(b)</w:t>
      </w:r>
      <w:r w:rsidRPr="00097A86">
        <w:tab/>
        <w:t>a mean annual precipitation that is less than 1</w:t>
      </w:r>
      <w:r w:rsidR="00097A86">
        <w:t> </w:t>
      </w:r>
      <w:r w:rsidRPr="00097A86">
        <w:t>000 mm.</w:t>
      </w:r>
    </w:p>
    <w:p w14:paraId="3C772917" w14:textId="77777777" w:rsidR="00C46CD8" w:rsidRPr="00097A86" w:rsidRDefault="00C46CD8" w:rsidP="00D22D3F">
      <w:pPr>
        <w:pStyle w:val="Definition"/>
      </w:pPr>
      <w:r w:rsidRPr="00097A86">
        <w:rPr>
          <w:b/>
          <w:i/>
        </w:rPr>
        <w:t>tropical wet</w:t>
      </w:r>
      <w:r w:rsidRPr="00097A86">
        <w:t>, for a landfill, means that the landfill has:</w:t>
      </w:r>
    </w:p>
    <w:p w14:paraId="42703730" w14:textId="77777777" w:rsidR="00C46CD8" w:rsidRPr="00097A86" w:rsidRDefault="00C46CD8" w:rsidP="00D22D3F">
      <w:pPr>
        <w:pStyle w:val="paragraph"/>
      </w:pPr>
      <w:r w:rsidRPr="00097A86">
        <w:tab/>
        <w:t>(a)</w:t>
      </w:r>
      <w:r w:rsidRPr="00097A86">
        <w:tab/>
        <w:t>a mean annual temperature that is greater than 20° centigrade; and</w:t>
      </w:r>
    </w:p>
    <w:p w14:paraId="6602127D" w14:textId="77777777" w:rsidR="00C46CD8" w:rsidRPr="00097A86" w:rsidRDefault="00C46CD8" w:rsidP="00D22D3F">
      <w:pPr>
        <w:pStyle w:val="paragraph"/>
      </w:pPr>
      <w:r w:rsidRPr="00097A86">
        <w:tab/>
        <w:t>(b)</w:t>
      </w:r>
      <w:r w:rsidRPr="00097A86">
        <w:tab/>
        <w:t>a mean annual precipitation that is 1</w:t>
      </w:r>
      <w:r w:rsidR="00097A86">
        <w:t> </w:t>
      </w:r>
      <w:r w:rsidRPr="00097A86">
        <w:t>000 mm or more.</w:t>
      </w:r>
    </w:p>
    <w:p w14:paraId="788C2E62" w14:textId="77777777" w:rsidR="00B304D4" w:rsidRPr="00097A86" w:rsidRDefault="00B304D4" w:rsidP="00D22D3F">
      <w:pPr>
        <w:pStyle w:val="ActHead5"/>
      </w:pPr>
      <w:bookmarkStart w:id="537" w:name="_Toc13233969"/>
      <w:r w:rsidRPr="00097A86">
        <w:rPr>
          <w:rStyle w:val="CharSectno"/>
        </w:rPr>
        <w:t>5.14A</w:t>
      </w:r>
      <w:r w:rsidR="00D22D3F" w:rsidRPr="00097A86">
        <w:t xml:space="preserve">  </w:t>
      </w:r>
      <w:r w:rsidRPr="00097A86">
        <w:t>Fraction of degradable organic carbon dissimilated (DOC</w:t>
      </w:r>
      <w:r w:rsidRPr="00097A86">
        <w:rPr>
          <w:vertAlign w:val="subscript"/>
        </w:rPr>
        <w:t>F</w:t>
      </w:r>
      <w:r w:rsidRPr="00097A86">
        <w:t>)</w:t>
      </w:r>
      <w:bookmarkEnd w:id="537"/>
    </w:p>
    <w:p w14:paraId="34DC51CD" w14:textId="77777777" w:rsidR="00B304D4" w:rsidRPr="00097A86" w:rsidRDefault="00B304D4" w:rsidP="00D22D3F">
      <w:pPr>
        <w:pStyle w:val="subsection"/>
      </w:pPr>
      <w:r w:rsidRPr="00097A86">
        <w:tab/>
      </w:r>
      <w:r w:rsidRPr="00097A86">
        <w:tab/>
        <w:t xml:space="preserve">For </w:t>
      </w:r>
      <w:r w:rsidR="00C46CD8" w:rsidRPr="00097A86">
        <w:t>paragraph</w:t>
      </w:r>
      <w:r w:rsidR="00097A86">
        <w:t> </w:t>
      </w:r>
      <w:r w:rsidR="00C46CD8" w:rsidRPr="00097A86">
        <w:t xml:space="preserve">5.4A(f), </w:t>
      </w:r>
      <w:r w:rsidRPr="00097A86">
        <w:t>the fraction of organic carbon dissimilated (</w:t>
      </w:r>
      <w:r w:rsidRPr="00097A86">
        <w:rPr>
          <w:b/>
          <w:i/>
        </w:rPr>
        <w:t>DOC</w:t>
      </w:r>
      <w:r w:rsidRPr="00097A86">
        <w:rPr>
          <w:b/>
          <w:i/>
          <w:vertAlign w:val="subscript"/>
        </w:rPr>
        <w:t>F</w:t>
      </w:r>
      <w:r w:rsidRPr="00097A86">
        <w:t>) for a waste mix type mentioned in column 2 of an item of following the table is the value mentioned in column 3 for the item.</w:t>
      </w:r>
    </w:p>
    <w:p w14:paraId="033AE40B"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7"/>
        <w:gridCol w:w="6105"/>
        <w:gridCol w:w="1471"/>
      </w:tblGrid>
      <w:tr w:rsidR="00B304D4" w:rsidRPr="00097A86" w14:paraId="28F7D105" w14:textId="77777777" w:rsidTr="00C20CC2">
        <w:trPr>
          <w:tblHeader/>
        </w:trPr>
        <w:tc>
          <w:tcPr>
            <w:tcW w:w="443" w:type="pct"/>
            <w:tcBorders>
              <w:top w:val="single" w:sz="12" w:space="0" w:color="auto"/>
              <w:bottom w:val="single" w:sz="12" w:space="0" w:color="auto"/>
            </w:tcBorders>
            <w:shd w:val="clear" w:color="auto" w:fill="auto"/>
            <w:hideMark/>
          </w:tcPr>
          <w:p w14:paraId="054B20D0" w14:textId="77777777" w:rsidR="00B304D4" w:rsidRPr="00097A86" w:rsidRDefault="00B304D4" w:rsidP="00D22D3F">
            <w:pPr>
              <w:pStyle w:val="TableHeading"/>
            </w:pPr>
            <w:r w:rsidRPr="00097A86">
              <w:t>Item</w:t>
            </w:r>
          </w:p>
        </w:tc>
        <w:tc>
          <w:tcPr>
            <w:tcW w:w="3672" w:type="pct"/>
            <w:tcBorders>
              <w:top w:val="single" w:sz="12" w:space="0" w:color="auto"/>
              <w:bottom w:val="single" w:sz="12" w:space="0" w:color="auto"/>
            </w:tcBorders>
            <w:shd w:val="clear" w:color="auto" w:fill="auto"/>
            <w:hideMark/>
          </w:tcPr>
          <w:p w14:paraId="2E36827D" w14:textId="77777777" w:rsidR="00B304D4" w:rsidRPr="00097A86" w:rsidRDefault="00B304D4" w:rsidP="00D22D3F">
            <w:pPr>
              <w:pStyle w:val="TableHeading"/>
            </w:pPr>
            <w:r w:rsidRPr="00097A86">
              <w:t>Waste mix type</w:t>
            </w:r>
          </w:p>
        </w:tc>
        <w:tc>
          <w:tcPr>
            <w:tcW w:w="885" w:type="pct"/>
            <w:tcBorders>
              <w:top w:val="single" w:sz="12" w:space="0" w:color="auto"/>
              <w:bottom w:val="single" w:sz="12" w:space="0" w:color="auto"/>
            </w:tcBorders>
            <w:shd w:val="clear" w:color="auto" w:fill="auto"/>
            <w:hideMark/>
          </w:tcPr>
          <w:p w14:paraId="7C38C559" w14:textId="77777777" w:rsidR="00B304D4" w:rsidRPr="00097A86" w:rsidRDefault="00B304D4" w:rsidP="00D22D3F">
            <w:pPr>
              <w:pStyle w:val="TableHeading"/>
            </w:pPr>
            <w:r w:rsidRPr="00097A86">
              <w:t>DOC</w:t>
            </w:r>
            <w:r w:rsidRPr="00097A86">
              <w:rPr>
                <w:rFonts w:ascii="Arial Bold" w:hAnsi="Arial Bold"/>
                <w:vertAlign w:val="subscript"/>
              </w:rPr>
              <w:t>F</w:t>
            </w:r>
            <w:r w:rsidRPr="00097A86">
              <w:t xml:space="preserve"> value</w:t>
            </w:r>
          </w:p>
        </w:tc>
      </w:tr>
      <w:tr w:rsidR="00B304D4" w:rsidRPr="00097A86" w14:paraId="5BA61E77" w14:textId="77777777" w:rsidTr="00C20CC2">
        <w:tc>
          <w:tcPr>
            <w:tcW w:w="443" w:type="pct"/>
            <w:tcBorders>
              <w:top w:val="single" w:sz="12" w:space="0" w:color="auto"/>
            </w:tcBorders>
            <w:shd w:val="clear" w:color="auto" w:fill="auto"/>
            <w:hideMark/>
          </w:tcPr>
          <w:p w14:paraId="461A7B6B" w14:textId="77777777" w:rsidR="00B304D4" w:rsidRPr="00097A86" w:rsidRDefault="00B304D4" w:rsidP="00D22D3F">
            <w:pPr>
              <w:pStyle w:val="Tabletext"/>
            </w:pPr>
            <w:r w:rsidRPr="00097A86">
              <w:t>1</w:t>
            </w:r>
          </w:p>
        </w:tc>
        <w:tc>
          <w:tcPr>
            <w:tcW w:w="3672" w:type="pct"/>
            <w:tcBorders>
              <w:top w:val="single" w:sz="12" w:space="0" w:color="auto"/>
            </w:tcBorders>
            <w:shd w:val="clear" w:color="auto" w:fill="auto"/>
            <w:hideMark/>
          </w:tcPr>
          <w:p w14:paraId="00FD801B" w14:textId="77777777" w:rsidR="00B304D4" w:rsidRPr="00097A86" w:rsidRDefault="00B304D4" w:rsidP="00D22D3F">
            <w:pPr>
              <w:pStyle w:val="Tabletext"/>
            </w:pPr>
            <w:r w:rsidRPr="00097A86">
              <w:t>Food</w:t>
            </w:r>
          </w:p>
        </w:tc>
        <w:tc>
          <w:tcPr>
            <w:tcW w:w="885" w:type="pct"/>
            <w:tcBorders>
              <w:top w:val="single" w:sz="12" w:space="0" w:color="auto"/>
            </w:tcBorders>
            <w:shd w:val="clear" w:color="auto" w:fill="auto"/>
            <w:hideMark/>
          </w:tcPr>
          <w:p w14:paraId="1828432F" w14:textId="77777777" w:rsidR="00B304D4" w:rsidRPr="00097A86" w:rsidRDefault="00B304D4" w:rsidP="00D22D3F">
            <w:pPr>
              <w:pStyle w:val="Tabletext"/>
            </w:pPr>
            <w:r w:rsidRPr="00097A86">
              <w:t>0.84</w:t>
            </w:r>
          </w:p>
        </w:tc>
      </w:tr>
      <w:tr w:rsidR="00B304D4" w:rsidRPr="00097A86" w14:paraId="7BE10ACA" w14:textId="77777777" w:rsidTr="00C20CC2">
        <w:tc>
          <w:tcPr>
            <w:tcW w:w="443" w:type="pct"/>
            <w:shd w:val="clear" w:color="auto" w:fill="auto"/>
            <w:hideMark/>
          </w:tcPr>
          <w:p w14:paraId="0EEBB002" w14:textId="77777777" w:rsidR="00B304D4" w:rsidRPr="00097A86" w:rsidRDefault="00B304D4" w:rsidP="00D22D3F">
            <w:pPr>
              <w:pStyle w:val="Tabletext"/>
            </w:pPr>
            <w:r w:rsidRPr="00097A86">
              <w:t>2</w:t>
            </w:r>
          </w:p>
        </w:tc>
        <w:tc>
          <w:tcPr>
            <w:tcW w:w="3672" w:type="pct"/>
            <w:shd w:val="clear" w:color="auto" w:fill="auto"/>
            <w:hideMark/>
          </w:tcPr>
          <w:p w14:paraId="02CC06C3" w14:textId="77777777" w:rsidR="00B304D4" w:rsidRPr="00097A86" w:rsidRDefault="00B304D4" w:rsidP="00D22D3F">
            <w:pPr>
              <w:pStyle w:val="Tabletext"/>
            </w:pPr>
            <w:r w:rsidRPr="00097A86">
              <w:t>Paper and cardboard</w:t>
            </w:r>
          </w:p>
        </w:tc>
        <w:tc>
          <w:tcPr>
            <w:tcW w:w="885" w:type="pct"/>
            <w:shd w:val="clear" w:color="auto" w:fill="auto"/>
            <w:hideMark/>
          </w:tcPr>
          <w:p w14:paraId="682C05A2" w14:textId="77777777" w:rsidR="00B304D4" w:rsidRPr="00097A86" w:rsidRDefault="00B304D4" w:rsidP="00D22D3F">
            <w:pPr>
              <w:pStyle w:val="Tabletext"/>
            </w:pPr>
            <w:r w:rsidRPr="00097A86">
              <w:t>0.49</w:t>
            </w:r>
          </w:p>
        </w:tc>
      </w:tr>
      <w:tr w:rsidR="00B304D4" w:rsidRPr="00097A86" w14:paraId="0BD5DA11" w14:textId="77777777" w:rsidTr="00C20CC2">
        <w:tc>
          <w:tcPr>
            <w:tcW w:w="443" w:type="pct"/>
            <w:shd w:val="clear" w:color="auto" w:fill="auto"/>
            <w:hideMark/>
          </w:tcPr>
          <w:p w14:paraId="0367F0A8" w14:textId="77777777" w:rsidR="00B304D4" w:rsidRPr="00097A86" w:rsidRDefault="00B304D4" w:rsidP="00D22D3F">
            <w:pPr>
              <w:pStyle w:val="Tabletext"/>
            </w:pPr>
            <w:r w:rsidRPr="00097A86">
              <w:t>3</w:t>
            </w:r>
          </w:p>
        </w:tc>
        <w:tc>
          <w:tcPr>
            <w:tcW w:w="3672" w:type="pct"/>
            <w:shd w:val="clear" w:color="auto" w:fill="auto"/>
            <w:hideMark/>
          </w:tcPr>
          <w:p w14:paraId="45880784" w14:textId="77777777" w:rsidR="00B304D4" w:rsidRPr="00097A86" w:rsidRDefault="00B304D4" w:rsidP="00D22D3F">
            <w:pPr>
              <w:pStyle w:val="Tabletext"/>
            </w:pPr>
            <w:r w:rsidRPr="00097A86">
              <w:t>Garden and green</w:t>
            </w:r>
          </w:p>
        </w:tc>
        <w:tc>
          <w:tcPr>
            <w:tcW w:w="885" w:type="pct"/>
            <w:shd w:val="clear" w:color="auto" w:fill="auto"/>
            <w:hideMark/>
          </w:tcPr>
          <w:p w14:paraId="0E952C6C" w14:textId="77777777" w:rsidR="00B304D4" w:rsidRPr="00097A86" w:rsidRDefault="00B304D4" w:rsidP="00D22D3F">
            <w:pPr>
              <w:pStyle w:val="Tabletext"/>
            </w:pPr>
            <w:r w:rsidRPr="00097A86">
              <w:t>0.47</w:t>
            </w:r>
          </w:p>
        </w:tc>
      </w:tr>
      <w:tr w:rsidR="00B304D4" w:rsidRPr="00097A86" w14:paraId="7D563267" w14:textId="77777777" w:rsidTr="00C20CC2">
        <w:tc>
          <w:tcPr>
            <w:tcW w:w="443" w:type="pct"/>
            <w:shd w:val="clear" w:color="auto" w:fill="auto"/>
            <w:hideMark/>
          </w:tcPr>
          <w:p w14:paraId="261B85CF" w14:textId="77777777" w:rsidR="00B304D4" w:rsidRPr="00097A86" w:rsidRDefault="00B304D4" w:rsidP="00D22D3F">
            <w:pPr>
              <w:pStyle w:val="Tabletext"/>
            </w:pPr>
            <w:r w:rsidRPr="00097A86">
              <w:lastRenderedPageBreak/>
              <w:t>4</w:t>
            </w:r>
          </w:p>
        </w:tc>
        <w:tc>
          <w:tcPr>
            <w:tcW w:w="3672" w:type="pct"/>
            <w:shd w:val="clear" w:color="auto" w:fill="auto"/>
            <w:hideMark/>
          </w:tcPr>
          <w:p w14:paraId="08E9228E" w14:textId="77777777" w:rsidR="00B304D4" w:rsidRPr="00097A86" w:rsidRDefault="00B304D4" w:rsidP="00D22D3F">
            <w:pPr>
              <w:pStyle w:val="Tabletext"/>
            </w:pPr>
            <w:r w:rsidRPr="00097A86">
              <w:t>Wood</w:t>
            </w:r>
          </w:p>
        </w:tc>
        <w:tc>
          <w:tcPr>
            <w:tcW w:w="885" w:type="pct"/>
            <w:shd w:val="clear" w:color="auto" w:fill="auto"/>
            <w:hideMark/>
          </w:tcPr>
          <w:p w14:paraId="72DF5895" w14:textId="77777777" w:rsidR="00B304D4" w:rsidRPr="00097A86" w:rsidRDefault="00B304D4" w:rsidP="00D22D3F">
            <w:pPr>
              <w:pStyle w:val="Tabletext"/>
            </w:pPr>
            <w:r w:rsidRPr="00097A86">
              <w:t>0.23</w:t>
            </w:r>
          </w:p>
        </w:tc>
      </w:tr>
      <w:tr w:rsidR="00B304D4" w:rsidRPr="00097A86" w14:paraId="55D15762" w14:textId="77777777" w:rsidTr="00C20CC2">
        <w:tc>
          <w:tcPr>
            <w:tcW w:w="443" w:type="pct"/>
            <w:shd w:val="clear" w:color="auto" w:fill="auto"/>
            <w:hideMark/>
          </w:tcPr>
          <w:p w14:paraId="6ED8975F" w14:textId="77777777" w:rsidR="00B304D4" w:rsidRPr="00097A86" w:rsidRDefault="00B304D4" w:rsidP="00D22D3F">
            <w:pPr>
              <w:pStyle w:val="Tabletext"/>
            </w:pPr>
            <w:r w:rsidRPr="00097A86">
              <w:t>5</w:t>
            </w:r>
          </w:p>
        </w:tc>
        <w:tc>
          <w:tcPr>
            <w:tcW w:w="3672" w:type="pct"/>
            <w:shd w:val="clear" w:color="auto" w:fill="auto"/>
            <w:hideMark/>
          </w:tcPr>
          <w:p w14:paraId="0633FE64" w14:textId="77777777" w:rsidR="00B304D4" w:rsidRPr="00097A86" w:rsidRDefault="00B304D4" w:rsidP="00D22D3F">
            <w:pPr>
              <w:pStyle w:val="Tabletext"/>
            </w:pPr>
            <w:r w:rsidRPr="00097A86">
              <w:t>Textiles</w:t>
            </w:r>
          </w:p>
        </w:tc>
        <w:tc>
          <w:tcPr>
            <w:tcW w:w="885" w:type="pct"/>
            <w:shd w:val="clear" w:color="auto" w:fill="auto"/>
            <w:hideMark/>
          </w:tcPr>
          <w:p w14:paraId="13B304F1" w14:textId="77777777" w:rsidR="00B304D4" w:rsidRPr="00097A86" w:rsidRDefault="00B304D4" w:rsidP="00D22D3F">
            <w:pPr>
              <w:pStyle w:val="Tabletext"/>
            </w:pPr>
            <w:r w:rsidRPr="00097A86">
              <w:t>0.50</w:t>
            </w:r>
          </w:p>
        </w:tc>
      </w:tr>
      <w:tr w:rsidR="00B304D4" w:rsidRPr="00097A86" w14:paraId="074197D2" w14:textId="77777777" w:rsidTr="00C20CC2">
        <w:tc>
          <w:tcPr>
            <w:tcW w:w="443" w:type="pct"/>
            <w:shd w:val="clear" w:color="auto" w:fill="auto"/>
            <w:hideMark/>
          </w:tcPr>
          <w:p w14:paraId="5B122F87" w14:textId="77777777" w:rsidR="00B304D4" w:rsidRPr="00097A86" w:rsidRDefault="00B304D4" w:rsidP="00D22D3F">
            <w:pPr>
              <w:pStyle w:val="Tabletext"/>
            </w:pPr>
            <w:r w:rsidRPr="00097A86">
              <w:t>6</w:t>
            </w:r>
          </w:p>
        </w:tc>
        <w:tc>
          <w:tcPr>
            <w:tcW w:w="3672" w:type="pct"/>
            <w:shd w:val="clear" w:color="auto" w:fill="auto"/>
            <w:hideMark/>
          </w:tcPr>
          <w:p w14:paraId="63B64195" w14:textId="77777777" w:rsidR="00B304D4" w:rsidRPr="00097A86" w:rsidRDefault="00B304D4" w:rsidP="00D22D3F">
            <w:pPr>
              <w:pStyle w:val="Tabletext"/>
            </w:pPr>
            <w:r w:rsidRPr="00097A86">
              <w:t>Sludge</w:t>
            </w:r>
          </w:p>
        </w:tc>
        <w:tc>
          <w:tcPr>
            <w:tcW w:w="885" w:type="pct"/>
            <w:shd w:val="clear" w:color="auto" w:fill="auto"/>
            <w:hideMark/>
          </w:tcPr>
          <w:p w14:paraId="61FECE6A" w14:textId="77777777" w:rsidR="00B304D4" w:rsidRPr="00097A86" w:rsidRDefault="00B304D4" w:rsidP="00D22D3F">
            <w:pPr>
              <w:pStyle w:val="Tabletext"/>
            </w:pPr>
            <w:r w:rsidRPr="00097A86">
              <w:t>0.50</w:t>
            </w:r>
          </w:p>
        </w:tc>
      </w:tr>
      <w:tr w:rsidR="00B304D4" w:rsidRPr="00097A86" w14:paraId="2241C20A" w14:textId="77777777" w:rsidTr="00C20CC2">
        <w:tc>
          <w:tcPr>
            <w:tcW w:w="443" w:type="pct"/>
            <w:shd w:val="clear" w:color="auto" w:fill="auto"/>
            <w:hideMark/>
          </w:tcPr>
          <w:p w14:paraId="7A6A088F" w14:textId="77777777" w:rsidR="00B304D4" w:rsidRPr="00097A86" w:rsidRDefault="00B304D4" w:rsidP="00D22D3F">
            <w:pPr>
              <w:pStyle w:val="Tabletext"/>
            </w:pPr>
            <w:r w:rsidRPr="00097A86">
              <w:t>7</w:t>
            </w:r>
          </w:p>
        </w:tc>
        <w:tc>
          <w:tcPr>
            <w:tcW w:w="3672" w:type="pct"/>
            <w:shd w:val="clear" w:color="auto" w:fill="auto"/>
            <w:hideMark/>
          </w:tcPr>
          <w:p w14:paraId="50D75BC5" w14:textId="77777777" w:rsidR="00B304D4" w:rsidRPr="00097A86" w:rsidRDefault="00B304D4" w:rsidP="00D22D3F">
            <w:pPr>
              <w:pStyle w:val="Tabletext"/>
            </w:pPr>
            <w:r w:rsidRPr="00097A86">
              <w:t>Nappies</w:t>
            </w:r>
          </w:p>
        </w:tc>
        <w:tc>
          <w:tcPr>
            <w:tcW w:w="885" w:type="pct"/>
            <w:shd w:val="clear" w:color="auto" w:fill="auto"/>
            <w:hideMark/>
          </w:tcPr>
          <w:p w14:paraId="70E87E4A" w14:textId="77777777" w:rsidR="00B304D4" w:rsidRPr="00097A86" w:rsidRDefault="00B304D4" w:rsidP="00D22D3F">
            <w:pPr>
              <w:pStyle w:val="Tabletext"/>
            </w:pPr>
            <w:r w:rsidRPr="00097A86">
              <w:t>0.50</w:t>
            </w:r>
          </w:p>
        </w:tc>
      </w:tr>
      <w:tr w:rsidR="00B304D4" w:rsidRPr="00097A86" w14:paraId="039693DC" w14:textId="77777777" w:rsidTr="00C20CC2">
        <w:tc>
          <w:tcPr>
            <w:tcW w:w="443" w:type="pct"/>
            <w:tcBorders>
              <w:bottom w:val="single" w:sz="4" w:space="0" w:color="auto"/>
            </w:tcBorders>
            <w:shd w:val="clear" w:color="auto" w:fill="auto"/>
            <w:hideMark/>
          </w:tcPr>
          <w:p w14:paraId="4FBDB580" w14:textId="77777777" w:rsidR="00B304D4" w:rsidRPr="00097A86" w:rsidRDefault="00B304D4" w:rsidP="00D22D3F">
            <w:pPr>
              <w:pStyle w:val="Tabletext"/>
            </w:pPr>
            <w:r w:rsidRPr="00097A86">
              <w:t>8</w:t>
            </w:r>
          </w:p>
        </w:tc>
        <w:tc>
          <w:tcPr>
            <w:tcW w:w="3672" w:type="pct"/>
            <w:tcBorders>
              <w:bottom w:val="single" w:sz="4" w:space="0" w:color="auto"/>
            </w:tcBorders>
            <w:shd w:val="clear" w:color="auto" w:fill="auto"/>
            <w:hideMark/>
          </w:tcPr>
          <w:p w14:paraId="3BE8CE5C" w14:textId="77777777" w:rsidR="00B304D4" w:rsidRPr="00097A86" w:rsidRDefault="00B304D4" w:rsidP="00D22D3F">
            <w:pPr>
              <w:pStyle w:val="Tabletext"/>
            </w:pPr>
            <w:r w:rsidRPr="00097A86">
              <w:t>Rubber and leather</w:t>
            </w:r>
          </w:p>
        </w:tc>
        <w:tc>
          <w:tcPr>
            <w:tcW w:w="885" w:type="pct"/>
            <w:tcBorders>
              <w:bottom w:val="single" w:sz="4" w:space="0" w:color="auto"/>
            </w:tcBorders>
            <w:shd w:val="clear" w:color="auto" w:fill="auto"/>
            <w:hideMark/>
          </w:tcPr>
          <w:p w14:paraId="6D41779C" w14:textId="77777777" w:rsidR="00B304D4" w:rsidRPr="00097A86" w:rsidRDefault="00B304D4" w:rsidP="00D22D3F">
            <w:pPr>
              <w:pStyle w:val="Tabletext"/>
            </w:pPr>
            <w:r w:rsidRPr="00097A86">
              <w:t>0.50</w:t>
            </w:r>
          </w:p>
        </w:tc>
      </w:tr>
      <w:tr w:rsidR="00B304D4" w:rsidRPr="00097A86" w14:paraId="4DC6AC2A" w14:textId="77777777" w:rsidTr="00C20CC2">
        <w:tc>
          <w:tcPr>
            <w:tcW w:w="443" w:type="pct"/>
            <w:shd w:val="clear" w:color="auto" w:fill="auto"/>
            <w:hideMark/>
          </w:tcPr>
          <w:p w14:paraId="42B31FE3" w14:textId="77777777" w:rsidR="00B304D4" w:rsidRPr="00097A86" w:rsidRDefault="00B304D4" w:rsidP="00D22D3F">
            <w:pPr>
              <w:pStyle w:val="Tabletext"/>
            </w:pPr>
            <w:r w:rsidRPr="00097A86">
              <w:t>9</w:t>
            </w:r>
          </w:p>
        </w:tc>
        <w:tc>
          <w:tcPr>
            <w:tcW w:w="3672" w:type="pct"/>
            <w:shd w:val="clear" w:color="auto" w:fill="auto"/>
            <w:hideMark/>
          </w:tcPr>
          <w:p w14:paraId="6CDB0D72" w14:textId="77777777" w:rsidR="00B304D4" w:rsidRPr="00097A86" w:rsidRDefault="00EA45EE" w:rsidP="00D22D3F">
            <w:pPr>
              <w:pStyle w:val="Tabletext"/>
            </w:pPr>
            <w:r w:rsidRPr="00097A86">
              <w:t>Inert waste</w:t>
            </w:r>
          </w:p>
        </w:tc>
        <w:tc>
          <w:tcPr>
            <w:tcW w:w="885" w:type="pct"/>
            <w:shd w:val="clear" w:color="auto" w:fill="auto"/>
            <w:hideMark/>
          </w:tcPr>
          <w:p w14:paraId="2A9FC148" w14:textId="77777777" w:rsidR="00B304D4" w:rsidRPr="00097A86" w:rsidRDefault="00B304D4" w:rsidP="00D22D3F">
            <w:pPr>
              <w:pStyle w:val="Tabletext"/>
            </w:pPr>
            <w:r w:rsidRPr="00097A86">
              <w:t>0.00</w:t>
            </w:r>
          </w:p>
        </w:tc>
      </w:tr>
      <w:tr w:rsidR="00EA45EE" w:rsidRPr="00097A86" w14:paraId="6BF4974C" w14:textId="77777777" w:rsidTr="00C20CC2">
        <w:tc>
          <w:tcPr>
            <w:tcW w:w="443" w:type="pct"/>
            <w:tcBorders>
              <w:bottom w:val="single" w:sz="12" w:space="0" w:color="auto"/>
            </w:tcBorders>
            <w:shd w:val="clear" w:color="auto" w:fill="auto"/>
          </w:tcPr>
          <w:p w14:paraId="59C7AC43" w14:textId="77777777" w:rsidR="00EA45EE" w:rsidRPr="00097A86" w:rsidRDefault="00EA45EE" w:rsidP="00D22D3F">
            <w:pPr>
              <w:pStyle w:val="Tabletext"/>
            </w:pPr>
            <w:r w:rsidRPr="00097A86">
              <w:t>10</w:t>
            </w:r>
          </w:p>
        </w:tc>
        <w:tc>
          <w:tcPr>
            <w:tcW w:w="3672" w:type="pct"/>
            <w:tcBorders>
              <w:bottom w:val="single" w:sz="12" w:space="0" w:color="auto"/>
            </w:tcBorders>
            <w:shd w:val="clear" w:color="auto" w:fill="auto"/>
          </w:tcPr>
          <w:p w14:paraId="5C285A7C" w14:textId="77777777" w:rsidR="00EA45EE" w:rsidRPr="00097A86" w:rsidDel="00EA45EE" w:rsidRDefault="00EA45EE" w:rsidP="00D22D3F">
            <w:pPr>
              <w:pStyle w:val="Tabletext"/>
            </w:pPr>
            <w:r w:rsidRPr="00097A86">
              <w:t>Alternative waste treatment residues</w:t>
            </w:r>
          </w:p>
        </w:tc>
        <w:tc>
          <w:tcPr>
            <w:tcW w:w="885" w:type="pct"/>
            <w:tcBorders>
              <w:bottom w:val="single" w:sz="12" w:space="0" w:color="auto"/>
            </w:tcBorders>
            <w:shd w:val="clear" w:color="auto" w:fill="auto"/>
          </w:tcPr>
          <w:p w14:paraId="13242037" w14:textId="77777777" w:rsidR="00EA45EE" w:rsidRPr="00097A86" w:rsidRDefault="00EA45EE" w:rsidP="00D22D3F">
            <w:pPr>
              <w:pStyle w:val="Tabletext"/>
            </w:pPr>
            <w:r w:rsidRPr="00097A86">
              <w:t>0.50</w:t>
            </w:r>
          </w:p>
        </w:tc>
      </w:tr>
    </w:tbl>
    <w:p w14:paraId="215D3D17" w14:textId="77777777" w:rsidR="00C46CD8" w:rsidRPr="00097A86" w:rsidRDefault="00C46CD8" w:rsidP="00D22D3F">
      <w:pPr>
        <w:pStyle w:val="ActHead5"/>
      </w:pPr>
      <w:bookmarkStart w:id="538" w:name="_Toc13233970"/>
      <w:r w:rsidRPr="00097A86">
        <w:rPr>
          <w:rStyle w:val="CharSectno"/>
        </w:rPr>
        <w:t>5.14B</w:t>
      </w:r>
      <w:r w:rsidR="00D22D3F" w:rsidRPr="00097A86">
        <w:t xml:space="preserve">  </w:t>
      </w:r>
      <w:r w:rsidRPr="00097A86">
        <w:t>Methane correction factor (MCF) for aerobic decomposition</w:t>
      </w:r>
      <w:bookmarkEnd w:id="538"/>
    </w:p>
    <w:p w14:paraId="10FD6636" w14:textId="77777777" w:rsidR="00C46CD8" w:rsidRPr="00097A86" w:rsidRDefault="00C46CD8" w:rsidP="00D22D3F">
      <w:pPr>
        <w:pStyle w:val="subsection"/>
      </w:pPr>
      <w:r w:rsidRPr="00097A86">
        <w:tab/>
      </w:r>
      <w:r w:rsidRPr="00097A86">
        <w:tab/>
        <w:t>For paragraph</w:t>
      </w:r>
      <w:r w:rsidR="00097A86">
        <w:t> </w:t>
      </w:r>
      <w:r w:rsidRPr="00097A86">
        <w:t>5.4A(g), the methane correction factor for aerobic decomposition is 1.</w:t>
      </w:r>
    </w:p>
    <w:p w14:paraId="6446EAB3" w14:textId="77777777" w:rsidR="00C46CD8" w:rsidRPr="00097A86" w:rsidRDefault="00C46CD8" w:rsidP="00D22D3F">
      <w:pPr>
        <w:pStyle w:val="ActHead5"/>
      </w:pPr>
      <w:bookmarkStart w:id="539" w:name="_Toc13233971"/>
      <w:r w:rsidRPr="00097A86">
        <w:rPr>
          <w:rStyle w:val="CharSectno"/>
        </w:rPr>
        <w:t>5.14C</w:t>
      </w:r>
      <w:r w:rsidR="00D22D3F" w:rsidRPr="00097A86">
        <w:t xml:space="preserve">  </w:t>
      </w:r>
      <w:r w:rsidRPr="00097A86">
        <w:t>Fraction by volume generated in landfill gas that is methane (F)</w:t>
      </w:r>
      <w:bookmarkEnd w:id="539"/>
    </w:p>
    <w:p w14:paraId="0FA6C101" w14:textId="77777777" w:rsidR="00C46CD8" w:rsidRPr="00097A86" w:rsidRDefault="00C46CD8" w:rsidP="00D22D3F">
      <w:pPr>
        <w:pStyle w:val="subsection"/>
      </w:pPr>
      <w:r w:rsidRPr="00097A86">
        <w:tab/>
      </w:r>
      <w:r w:rsidRPr="00097A86">
        <w:tab/>
        <w:t>For paragraph</w:t>
      </w:r>
      <w:r w:rsidR="00097A86">
        <w:t> </w:t>
      </w:r>
      <w:r w:rsidRPr="00097A86">
        <w:t>5.4A</w:t>
      </w:r>
      <w:r w:rsidR="008A729A" w:rsidRPr="00097A86">
        <w:t>(</w:t>
      </w:r>
      <w:r w:rsidRPr="00097A86">
        <w:t>h), the fraction by volume of methane generated in landfill gas is 0.5.</w:t>
      </w:r>
    </w:p>
    <w:p w14:paraId="0B46ED07" w14:textId="77777777" w:rsidR="00C46CD8" w:rsidRPr="00097A86" w:rsidRDefault="00C46CD8" w:rsidP="00D22D3F">
      <w:pPr>
        <w:pStyle w:val="ActHead5"/>
      </w:pPr>
      <w:bookmarkStart w:id="540" w:name="_Toc13233972"/>
      <w:r w:rsidRPr="00097A86">
        <w:rPr>
          <w:rStyle w:val="CharSectno"/>
        </w:rPr>
        <w:t>5.14D</w:t>
      </w:r>
      <w:r w:rsidR="00D22D3F" w:rsidRPr="00097A86">
        <w:t xml:space="preserve">  </w:t>
      </w:r>
      <w:r w:rsidRPr="00097A86">
        <w:t>Number of months before methane generation at landfill commences</w:t>
      </w:r>
      <w:bookmarkEnd w:id="540"/>
    </w:p>
    <w:p w14:paraId="3AFFD8B8" w14:textId="77777777" w:rsidR="00C46CD8" w:rsidRPr="00097A86" w:rsidRDefault="00C46CD8" w:rsidP="00D22D3F">
      <w:pPr>
        <w:pStyle w:val="subsection"/>
      </w:pPr>
      <w:r w:rsidRPr="00097A86">
        <w:tab/>
      </w:r>
      <w:r w:rsidRPr="00097A86">
        <w:tab/>
        <w:t>For paragraph</w:t>
      </w:r>
      <w:r w:rsidR="00097A86">
        <w:t> </w:t>
      </w:r>
      <w:r w:rsidRPr="00097A86">
        <w:t>5.4A(i), the number of months that have ended before methane generation at the landfill commences is 6.</w:t>
      </w:r>
    </w:p>
    <w:p w14:paraId="0429E702" w14:textId="77777777" w:rsidR="00C46CD8" w:rsidRPr="00097A86" w:rsidRDefault="00D22D3F" w:rsidP="00D22D3F">
      <w:pPr>
        <w:pStyle w:val="notetext"/>
      </w:pPr>
      <w:r w:rsidRPr="00097A86">
        <w:t>Note:</w:t>
      </w:r>
      <w:r w:rsidRPr="00097A86">
        <w:tab/>
      </w:r>
      <w:r w:rsidR="00C46CD8" w:rsidRPr="00097A86">
        <w:t xml:space="preserve">To calculate the value of </w:t>
      </w:r>
      <w:r w:rsidR="00C46CD8" w:rsidRPr="00097A86">
        <w:rPr>
          <w:b/>
          <w:i/>
        </w:rPr>
        <w:t>M</w:t>
      </w:r>
      <w:r w:rsidR="00C46CD8" w:rsidRPr="00097A86">
        <w:t>, add 7 to the number of months mentioned in section</w:t>
      </w:r>
      <w:r w:rsidR="00097A86">
        <w:t> </w:t>
      </w:r>
      <w:r w:rsidR="00C46CD8" w:rsidRPr="00097A86">
        <w:t>5.14D. Using the number of months mentioned in section</w:t>
      </w:r>
      <w:r w:rsidR="00097A86">
        <w:t> </w:t>
      </w:r>
      <w:r w:rsidR="00C46CD8" w:rsidRPr="00097A86">
        <w:t xml:space="preserve">5.14D, the calculation would be 6 plus 7 and the value of </w:t>
      </w:r>
      <w:r w:rsidR="00C46CD8" w:rsidRPr="00097A86">
        <w:rPr>
          <w:b/>
          <w:i/>
        </w:rPr>
        <w:t>M</w:t>
      </w:r>
      <w:r w:rsidR="00C46CD8" w:rsidRPr="00097A86">
        <w:t xml:space="preserve"> would be 13.</w:t>
      </w:r>
    </w:p>
    <w:p w14:paraId="568FFB3C" w14:textId="77777777" w:rsidR="003F0D4E" w:rsidRPr="00097A86" w:rsidRDefault="003F0D4E" w:rsidP="00D22D3F">
      <w:pPr>
        <w:pStyle w:val="ActHead3"/>
        <w:pageBreakBefore/>
      </w:pPr>
      <w:bookmarkStart w:id="541" w:name="_Toc13233973"/>
      <w:r w:rsidRPr="00097A86">
        <w:rPr>
          <w:rStyle w:val="CharDivNo"/>
        </w:rPr>
        <w:lastRenderedPageBreak/>
        <w:t>Division</w:t>
      </w:r>
      <w:r w:rsidR="00097A86">
        <w:rPr>
          <w:rStyle w:val="CharDivNo"/>
        </w:rPr>
        <w:t> </w:t>
      </w:r>
      <w:r w:rsidRPr="00097A86">
        <w:rPr>
          <w:rStyle w:val="CharDivNo"/>
        </w:rPr>
        <w:t>5.2.3</w:t>
      </w:r>
      <w:r w:rsidR="00D22D3F" w:rsidRPr="00097A86">
        <w:t>—</w:t>
      </w:r>
      <w:r w:rsidRPr="00097A86">
        <w:rPr>
          <w:rStyle w:val="CharDivText"/>
        </w:rPr>
        <w:t>Method 2</w:t>
      </w:r>
      <w:r w:rsidR="00D22D3F" w:rsidRPr="00097A86">
        <w:rPr>
          <w:rStyle w:val="CharDivText"/>
        </w:rPr>
        <w:t>—</w:t>
      </w:r>
      <w:r w:rsidRPr="00097A86">
        <w:rPr>
          <w:rStyle w:val="CharDivText"/>
        </w:rPr>
        <w:t>emissions of methane released from landfills</w:t>
      </w:r>
      <w:bookmarkEnd w:id="541"/>
    </w:p>
    <w:p w14:paraId="6CA61FE2" w14:textId="77777777" w:rsidR="003F0D4E" w:rsidRPr="00097A86" w:rsidRDefault="003F0D4E" w:rsidP="00D22D3F">
      <w:pPr>
        <w:pStyle w:val="ActHead4"/>
      </w:pPr>
      <w:bookmarkStart w:id="542" w:name="_Toc13233974"/>
      <w:r w:rsidRPr="00097A86">
        <w:rPr>
          <w:rStyle w:val="CharSubdNo"/>
        </w:rPr>
        <w:t>Subdivision</w:t>
      </w:r>
      <w:r w:rsidR="00097A86">
        <w:rPr>
          <w:rStyle w:val="CharSubdNo"/>
        </w:rPr>
        <w:t> </w:t>
      </w:r>
      <w:r w:rsidRPr="00097A86">
        <w:rPr>
          <w:rStyle w:val="CharSubdNo"/>
        </w:rPr>
        <w:t>5.2.3.1</w:t>
      </w:r>
      <w:r w:rsidR="00D22D3F" w:rsidRPr="00097A86">
        <w:t>—</w:t>
      </w:r>
      <w:r w:rsidRPr="00097A86">
        <w:rPr>
          <w:rStyle w:val="CharSubdText"/>
        </w:rPr>
        <w:t>methane released from landfills</w:t>
      </w:r>
      <w:bookmarkEnd w:id="542"/>
    </w:p>
    <w:p w14:paraId="3C22214E" w14:textId="77777777" w:rsidR="00C46CD8" w:rsidRPr="00097A86" w:rsidRDefault="00C46CD8" w:rsidP="00D22D3F">
      <w:pPr>
        <w:pStyle w:val="ActHead5"/>
      </w:pPr>
      <w:bookmarkStart w:id="543" w:name="_Toc13233975"/>
      <w:r w:rsidRPr="00097A86">
        <w:rPr>
          <w:rStyle w:val="CharSectno"/>
        </w:rPr>
        <w:t>5.15</w:t>
      </w:r>
      <w:r w:rsidR="00D22D3F" w:rsidRPr="00097A86">
        <w:t xml:space="preserve">  </w:t>
      </w:r>
      <w:r w:rsidRPr="00097A86">
        <w:t>Method 2—methane released by landfill (other than from flaring of methane)</w:t>
      </w:r>
      <w:bookmarkEnd w:id="543"/>
    </w:p>
    <w:p w14:paraId="04647F16" w14:textId="77777777" w:rsidR="00C46CD8" w:rsidRPr="00097A86" w:rsidRDefault="00C46CD8" w:rsidP="00D22D3F">
      <w:pPr>
        <w:pStyle w:val="subsection"/>
      </w:pPr>
      <w:r w:rsidRPr="00097A86">
        <w:tab/>
        <w:t>(1)</w:t>
      </w:r>
      <w:r w:rsidRPr="00097A86">
        <w:tab/>
        <w:t>For subparagraph</w:t>
      </w:r>
      <w:r w:rsidR="00097A86">
        <w:t> </w:t>
      </w:r>
      <w:r w:rsidRPr="00097A86">
        <w:t>5.3(1)(a)(ii), method 2 is that the following calculations must be performed:</w:t>
      </w:r>
    </w:p>
    <w:p w14:paraId="1E6C28FD" w14:textId="77777777" w:rsidR="00C46CD8" w:rsidRPr="00097A86" w:rsidRDefault="00C46CD8" w:rsidP="00D22D3F">
      <w:pPr>
        <w:pStyle w:val="paragraph"/>
      </w:pPr>
      <w:r w:rsidRPr="00097A86">
        <w:tab/>
        <w:t>(a)</w:t>
      </w:r>
      <w:r w:rsidRPr="00097A86">
        <w:tab/>
        <w:t>calculate the amount of methane emissions released by the landfill during the reporting year, measured in CO</w:t>
      </w:r>
      <w:r w:rsidRPr="00097A86">
        <w:rPr>
          <w:vertAlign w:val="subscript"/>
        </w:rPr>
        <w:t>2</w:t>
      </w:r>
      <w:r w:rsidR="00097A86">
        <w:noBreakHyphen/>
      </w:r>
      <w:r w:rsidRPr="00097A86">
        <w:t>e tonnes, using the following equation:</w:t>
      </w:r>
    </w:p>
    <w:p w14:paraId="366D3C04" w14:textId="77777777" w:rsidR="00C46CD8" w:rsidRPr="00097A86" w:rsidRDefault="00D22D3F" w:rsidP="00D22D3F">
      <w:pPr>
        <w:pStyle w:val="paragraph"/>
        <w:spacing w:before="120" w:after="120"/>
      </w:pPr>
      <w:r w:rsidRPr="00097A86">
        <w:rPr>
          <w:b/>
          <w:i/>
        </w:rPr>
        <w:tab/>
      </w:r>
      <w:r w:rsidRPr="00097A86">
        <w:rPr>
          <w:b/>
          <w:i/>
        </w:rPr>
        <w:tab/>
      </w:r>
      <w:r w:rsidR="00C46CD8" w:rsidRPr="00097A86">
        <w:rPr>
          <w:b/>
          <w:i/>
        </w:rPr>
        <w:t>E</w:t>
      </w:r>
      <w:r w:rsidR="00C46CD8" w:rsidRPr="00097A86">
        <w:rPr>
          <w:b/>
          <w:i/>
          <w:vertAlign w:val="subscript"/>
        </w:rPr>
        <w:t>j</w:t>
      </w:r>
      <w:r w:rsidR="00C46CD8" w:rsidRPr="00097A86">
        <w:t xml:space="preserve"> = </w:t>
      </w:r>
      <w:r w:rsidR="00C46CD8" w:rsidRPr="00097A86">
        <w:rPr>
          <w:b/>
          <w:i/>
        </w:rPr>
        <w:t>∑</w:t>
      </w:r>
      <w:r w:rsidR="00C46CD8" w:rsidRPr="00097A86">
        <w:rPr>
          <w:rFonts w:ascii="Times New Roman Bold Italic" w:hAnsi="Times New Roman Bold Italic"/>
          <w:b/>
          <w:i/>
          <w:vertAlign w:val="subscript"/>
        </w:rPr>
        <w:t>z</w:t>
      </w:r>
      <w:r w:rsidR="00C46CD8" w:rsidRPr="00097A86">
        <w:rPr>
          <w:b/>
          <w:i/>
        </w:rPr>
        <w:t xml:space="preserve"> E</w:t>
      </w:r>
      <w:r w:rsidR="00C46CD8" w:rsidRPr="00097A86">
        <w:rPr>
          <w:rFonts w:ascii="Times New Roman Bold Italic" w:hAnsi="Times New Roman Bold Italic"/>
          <w:b/>
          <w:i/>
          <w:vertAlign w:val="subscript"/>
        </w:rPr>
        <w:t>jz</w:t>
      </w:r>
      <w:r w:rsidR="00C46CD8" w:rsidRPr="00097A86">
        <w:t>; and</w:t>
      </w:r>
    </w:p>
    <w:p w14:paraId="17A43195" w14:textId="77777777" w:rsidR="00C46CD8" w:rsidRPr="00097A86" w:rsidRDefault="00C46CD8" w:rsidP="00D22D3F">
      <w:pPr>
        <w:pStyle w:val="paragraph"/>
      </w:pPr>
      <w:r w:rsidRPr="00097A86">
        <w:tab/>
        <w:t>(b)</w:t>
      </w:r>
      <w:r w:rsidRPr="00097A86">
        <w:tab/>
        <w:t>calculate the amount of emissions of methane released by the landfill from a sub</w:t>
      </w:r>
      <w:r w:rsidR="00097A86">
        <w:noBreakHyphen/>
      </w:r>
      <w:r w:rsidRPr="00097A86">
        <w:t>facility zone during the reporting year, measured in CO</w:t>
      </w:r>
      <w:r w:rsidRPr="00097A86">
        <w:rPr>
          <w:vertAlign w:val="subscript"/>
        </w:rPr>
        <w:t>2</w:t>
      </w:r>
      <w:r w:rsidR="00097A86">
        <w:noBreakHyphen/>
      </w:r>
      <w:r w:rsidRPr="00097A86">
        <w:t>e tonnes, using the following equation:</w:t>
      </w:r>
    </w:p>
    <w:p w14:paraId="110EE996" w14:textId="77777777" w:rsidR="00C46CD8" w:rsidRPr="00097A86" w:rsidRDefault="00D22D3F" w:rsidP="00D22D3F">
      <w:pPr>
        <w:pStyle w:val="paragraph"/>
        <w:spacing w:before="120" w:after="120"/>
      </w:pPr>
      <w:r w:rsidRPr="00097A86">
        <w:rPr>
          <w:b/>
          <w:i/>
        </w:rPr>
        <w:tab/>
      </w:r>
      <w:r w:rsidRPr="00097A86">
        <w:rPr>
          <w:b/>
          <w:i/>
        </w:rPr>
        <w:tab/>
      </w:r>
      <w:r w:rsidR="00C46CD8" w:rsidRPr="00097A86">
        <w:rPr>
          <w:b/>
          <w:i/>
        </w:rPr>
        <w:t>E</w:t>
      </w:r>
      <w:r w:rsidR="00C46CD8" w:rsidRPr="00097A86">
        <w:rPr>
          <w:rFonts w:ascii="Times New Roman Bold Italic" w:hAnsi="Times New Roman Bold Italic"/>
          <w:b/>
          <w:i/>
          <w:vertAlign w:val="subscript"/>
        </w:rPr>
        <w:t>jz</w:t>
      </w:r>
      <w:r w:rsidR="00C46CD8" w:rsidRPr="00097A86">
        <w:t xml:space="preserve"> = [CH</w:t>
      </w:r>
      <w:r w:rsidR="00C46CD8" w:rsidRPr="00097A86">
        <w:rPr>
          <w:vertAlign w:val="subscript"/>
        </w:rPr>
        <w:t>4</w:t>
      </w:r>
      <w:r w:rsidR="00C46CD8" w:rsidRPr="00097A86">
        <w:rPr>
          <w:i/>
          <w:vertAlign w:val="subscript"/>
        </w:rPr>
        <w:t>genz</w:t>
      </w:r>
      <w:r w:rsidR="00C46CD8" w:rsidRPr="00097A86">
        <w:t xml:space="preserve"> – γ(Q</w:t>
      </w:r>
      <w:r w:rsidR="00C46CD8" w:rsidRPr="00097A86">
        <w:rPr>
          <w:i/>
          <w:vertAlign w:val="subscript"/>
        </w:rPr>
        <w:t>capz</w:t>
      </w:r>
      <w:r w:rsidR="00C46CD8" w:rsidRPr="00097A86">
        <w:t>+ Q</w:t>
      </w:r>
      <w:r w:rsidR="00C46CD8" w:rsidRPr="00097A86">
        <w:rPr>
          <w:i/>
          <w:vertAlign w:val="subscript"/>
        </w:rPr>
        <w:t>flaredz</w:t>
      </w:r>
      <w:r w:rsidR="00C46CD8" w:rsidRPr="00097A86">
        <w:rPr>
          <w:rFonts w:ascii="Times New Roman Bold Italic" w:hAnsi="Times New Roman Bold Italic"/>
          <w:vertAlign w:val="subscript"/>
        </w:rPr>
        <w:t xml:space="preserve"> </w:t>
      </w:r>
      <w:r w:rsidR="00C46CD8" w:rsidRPr="00097A86">
        <w:t>+ Q</w:t>
      </w:r>
      <w:r w:rsidR="00C46CD8" w:rsidRPr="00097A86">
        <w:rPr>
          <w:i/>
          <w:vertAlign w:val="subscript"/>
        </w:rPr>
        <w:t>trz</w:t>
      </w:r>
      <w:r w:rsidR="00C46CD8" w:rsidRPr="00097A86">
        <w:t xml:space="preserve">)] </w:t>
      </w:r>
      <w:r w:rsidR="00C46CD8" w:rsidRPr="00097A86">
        <w:sym w:font="Wingdings 2" w:char="F0CD"/>
      </w:r>
      <w:r w:rsidR="00C46CD8" w:rsidRPr="00097A86">
        <w:t xml:space="preserve"> (1 − OF)</w:t>
      </w:r>
    </w:p>
    <w:p w14:paraId="0423EBC6" w14:textId="77777777" w:rsidR="00C46CD8" w:rsidRPr="00097A86" w:rsidRDefault="00C46CD8" w:rsidP="00D22D3F">
      <w:pPr>
        <w:pStyle w:val="subsection2"/>
      </w:pPr>
      <w:r w:rsidRPr="00097A86">
        <w:t>where:</w:t>
      </w:r>
    </w:p>
    <w:p w14:paraId="7118BAF5" w14:textId="77777777" w:rsidR="00C46CD8" w:rsidRPr="00097A86" w:rsidRDefault="00C46CD8" w:rsidP="00D22D3F">
      <w:pPr>
        <w:pStyle w:val="Definition"/>
      </w:pPr>
      <w:r w:rsidRPr="00097A86">
        <w:rPr>
          <w:b/>
          <w:i/>
        </w:rPr>
        <w:t>E</w:t>
      </w:r>
      <w:r w:rsidRPr="00097A86">
        <w:rPr>
          <w:rStyle w:val="charSubscript"/>
          <w:b/>
          <w:i/>
        </w:rPr>
        <w:t>j</w:t>
      </w:r>
      <w:r w:rsidRPr="00097A86">
        <w:rPr>
          <w:b/>
          <w:i/>
        </w:rPr>
        <w:t xml:space="preserve"> </w:t>
      </w:r>
      <w:r w:rsidRPr="00097A86">
        <w:t>is the emissions of methane released by the landfill during the reporting year, measured in CO</w:t>
      </w:r>
      <w:r w:rsidRPr="00097A86">
        <w:rPr>
          <w:vertAlign w:val="subscript"/>
        </w:rPr>
        <w:t>2</w:t>
      </w:r>
      <w:r w:rsidR="00097A86">
        <w:noBreakHyphen/>
      </w:r>
      <w:r w:rsidRPr="00097A86">
        <w:t>e tonnes.</w:t>
      </w:r>
    </w:p>
    <w:p w14:paraId="5CC93367" w14:textId="77777777" w:rsidR="00C46CD8" w:rsidRPr="00097A86" w:rsidRDefault="00C46CD8" w:rsidP="00D22D3F">
      <w:pPr>
        <w:pStyle w:val="Definition"/>
      </w:pPr>
      <w:r w:rsidRPr="00097A86">
        <w:rPr>
          <w:b/>
          <w:i/>
        </w:rPr>
        <w:t>E</w:t>
      </w:r>
      <w:r w:rsidRPr="00097A86">
        <w:rPr>
          <w:rFonts w:ascii="Times New Roman Bold Italic" w:hAnsi="Times New Roman Bold Italic"/>
          <w:b/>
          <w:i/>
          <w:vertAlign w:val="subscript"/>
        </w:rPr>
        <w:t xml:space="preserve">jz </w:t>
      </w:r>
      <w:r w:rsidRPr="00097A86">
        <w:t>is the emissions of methane released by the landfill from a sub</w:t>
      </w:r>
      <w:r w:rsidR="00097A86">
        <w:noBreakHyphen/>
      </w:r>
      <w:r w:rsidRPr="00097A86">
        <w:t>facility zone during the reporting year, measured in CO</w:t>
      </w:r>
      <w:r w:rsidRPr="00097A86">
        <w:rPr>
          <w:vertAlign w:val="subscript"/>
        </w:rPr>
        <w:t>2</w:t>
      </w:r>
      <w:r w:rsidR="00097A86">
        <w:noBreakHyphen/>
      </w:r>
      <w:r w:rsidRPr="00097A86">
        <w:t>e tonnes.</w:t>
      </w:r>
    </w:p>
    <w:p w14:paraId="2DC5CD90" w14:textId="77777777" w:rsidR="00C46CD8" w:rsidRPr="00097A86" w:rsidRDefault="00C46CD8" w:rsidP="00D22D3F">
      <w:pPr>
        <w:pStyle w:val="Definition"/>
      </w:pPr>
      <w:r w:rsidRPr="00097A86">
        <w:rPr>
          <w:b/>
          <w:i/>
        </w:rPr>
        <w:t>CH</w:t>
      </w:r>
      <w:r w:rsidRPr="00097A86">
        <w:rPr>
          <w:b/>
          <w:i/>
          <w:vertAlign w:val="subscript"/>
        </w:rPr>
        <w:t>4genz</w:t>
      </w:r>
      <w:r w:rsidRPr="00097A86">
        <w:rPr>
          <w:b/>
          <w:i/>
        </w:rPr>
        <w:t xml:space="preserve"> </w:t>
      </w:r>
      <w:r w:rsidRPr="00097A86">
        <w:t>is the estimated quantity of methane in landfill gas generated by the landfill from a sub</w:t>
      </w:r>
      <w:r w:rsidR="00097A86">
        <w:noBreakHyphen/>
      </w:r>
      <w:r w:rsidRPr="00097A86">
        <w:t xml:space="preserve">facility zone during the reporting year, worked out in accordance with </w:t>
      </w:r>
      <w:r w:rsidR="00097A86">
        <w:t>subsection (</w:t>
      </w:r>
      <w:r w:rsidRPr="00097A86">
        <w:t>2), measured in CO</w:t>
      </w:r>
      <w:r w:rsidRPr="00097A86">
        <w:rPr>
          <w:vertAlign w:val="subscript"/>
        </w:rPr>
        <w:t>2</w:t>
      </w:r>
      <w:r w:rsidR="00097A86">
        <w:noBreakHyphen/>
      </w:r>
      <w:r w:rsidRPr="00097A86">
        <w:t>e tonnes.</w:t>
      </w:r>
    </w:p>
    <w:p w14:paraId="186BCA4F" w14:textId="77777777" w:rsidR="00C46CD8" w:rsidRPr="00097A86" w:rsidRDefault="00C46CD8" w:rsidP="00D22D3F">
      <w:pPr>
        <w:pStyle w:val="Definition"/>
      </w:pPr>
      <w:r w:rsidRPr="00097A86">
        <w:rPr>
          <w:b/>
          <w:i/>
        </w:rPr>
        <w:t xml:space="preserve">γ </w:t>
      </w:r>
      <w:r w:rsidRPr="00097A86">
        <w:t xml:space="preserve">is the factor 6.784 </w:t>
      </w:r>
      <w:r w:rsidRPr="00097A86">
        <w:sym w:font="Wingdings 2" w:char="F0CD"/>
      </w:r>
      <w:r w:rsidRPr="00097A86">
        <w:t xml:space="preserve"> 10</w:t>
      </w:r>
      <w:r w:rsidR="00097A86">
        <w:rPr>
          <w:vertAlign w:val="superscript"/>
        </w:rPr>
        <w:noBreakHyphen/>
      </w:r>
      <w:r w:rsidRPr="00097A86">
        <w:rPr>
          <w:vertAlign w:val="superscript"/>
        </w:rPr>
        <w:t xml:space="preserve">4 </w:t>
      </w:r>
      <w:r w:rsidRPr="00097A86">
        <w:sym w:font="Wingdings 2" w:char="F0CD"/>
      </w:r>
      <w:r w:rsidRPr="00097A86">
        <w:t xml:space="preserve"> </w:t>
      </w:r>
      <w:r w:rsidR="00B25EE5" w:rsidRPr="00097A86">
        <w:t>25</w:t>
      </w:r>
      <w:r w:rsidRPr="00097A86">
        <w:t xml:space="preserve"> converting cubic metres of methane at standard conditions measured to CO</w:t>
      </w:r>
      <w:r w:rsidRPr="00097A86">
        <w:rPr>
          <w:vertAlign w:val="subscript"/>
        </w:rPr>
        <w:t>2</w:t>
      </w:r>
      <w:r w:rsidR="00097A86">
        <w:noBreakHyphen/>
      </w:r>
      <w:r w:rsidRPr="00097A86">
        <w:t>e tonnes.</w:t>
      </w:r>
    </w:p>
    <w:p w14:paraId="7A3CE6A1" w14:textId="77777777" w:rsidR="00C46CD8" w:rsidRPr="00097A86" w:rsidRDefault="00C46CD8" w:rsidP="00D22D3F">
      <w:pPr>
        <w:pStyle w:val="Definition"/>
      </w:pPr>
      <w:r w:rsidRPr="00097A86">
        <w:rPr>
          <w:b/>
          <w:i/>
        </w:rPr>
        <w:t>Q</w:t>
      </w:r>
      <w:r w:rsidRPr="00097A86">
        <w:rPr>
          <w:b/>
          <w:i/>
          <w:vertAlign w:val="subscript"/>
        </w:rPr>
        <w:t>capz</w:t>
      </w:r>
      <w:r w:rsidRPr="00097A86">
        <w:rPr>
          <w:b/>
          <w:i/>
        </w:rPr>
        <w:t xml:space="preserve"> </w:t>
      </w:r>
      <w:r w:rsidRPr="00097A86">
        <w:t>is the quantity of methane in landfill gas captured for combustion by the landfill from a sub</w:t>
      </w:r>
      <w:r w:rsidR="00097A86">
        <w:noBreakHyphen/>
      </w:r>
      <w:r w:rsidRPr="00097A86">
        <w:t>facility zone during the reporting year, measured in cubic metres in accordance with Division</w:t>
      </w:r>
      <w:r w:rsidR="00097A86">
        <w:t> </w:t>
      </w:r>
      <w:r w:rsidRPr="00097A86">
        <w:t>2.3.6.</w:t>
      </w:r>
    </w:p>
    <w:p w14:paraId="0D689598" w14:textId="77777777" w:rsidR="00C46CD8" w:rsidRPr="00097A86" w:rsidRDefault="00C46CD8" w:rsidP="00D22D3F">
      <w:pPr>
        <w:pStyle w:val="Definition"/>
        <w:rPr>
          <w:b/>
          <w:i/>
        </w:rPr>
      </w:pPr>
      <w:r w:rsidRPr="00097A86">
        <w:rPr>
          <w:b/>
          <w:i/>
        </w:rPr>
        <w:t>Q</w:t>
      </w:r>
      <w:r w:rsidRPr="00097A86">
        <w:rPr>
          <w:b/>
          <w:i/>
          <w:vertAlign w:val="subscript"/>
        </w:rPr>
        <w:t xml:space="preserve">flaredz </w:t>
      </w:r>
      <w:r w:rsidRPr="00097A86">
        <w:t>is the quantity of methane in landfill gas flared by the landfill from a sub</w:t>
      </w:r>
      <w:r w:rsidR="00097A86">
        <w:noBreakHyphen/>
      </w:r>
      <w:r w:rsidRPr="00097A86">
        <w:t>facility zone during the reporting year, measured in cubic metres in accordance with Division</w:t>
      </w:r>
      <w:r w:rsidR="00097A86">
        <w:t> </w:t>
      </w:r>
      <w:r w:rsidRPr="00097A86">
        <w:t>2.3.6.</w:t>
      </w:r>
    </w:p>
    <w:p w14:paraId="003F994D" w14:textId="77777777" w:rsidR="00C46CD8" w:rsidRPr="00097A86" w:rsidRDefault="00C46CD8" w:rsidP="00D22D3F">
      <w:pPr>
        <w:pStyle w:val="Definition"/>
      </w:pPr>
      <w:r w:rsidRPr="00097A86">
        <w:rPr>
          <w:b/>
          <w:i/>
        </w:rPr>
        <w:t>Q</w:t>
      </w:r>
      <w:r w:rsidRPr="00097A86">
        <w:rPr>
          <w:b/>
          <w:i/>
          <w:vertAlign w:val="subscript"/>
        </w:rPr>
        <w:t>trz</w:t>
      </w:r>
      <w:r w:rsidRPr="00097A86">
        <w:rPr>
          <w:b/>
          <w:i/>
        </w:rPr>
        <w:t xml:space="preserve"> </w:t>
      </w:r>
      <w:r w:rsidRPr="00097A86">
        <w:t>is the quantity of methane in landfill gas transferred out of the landfill from a sub</w:t>
      </w:r>
      <w:r w:rsidR="00097A86">
        <w:noBreakHyphen/>
      </w:r>
      <w:r w:rsidRPr="00097A86">
        <w:t>facility zone during the reporting year, measured in cubic metres in accordance with Division</w:t>
      </w:r>
      <w:r w:rsidR="00097A86">
        <w:t> </w:t>
      </w:r>
      <w:r w:rsidRPr="00097A86">
        <w:t>2.3.6.</w:t>
      </w:r>
    </w:p>
    <w:p w14:paraId="22E8D17A" w14:textId="77777777" w:rsidR="00C46CD8" w:rsidRPr="00097A86" w:rsidRDefault="00C46CD8" w:rsidP="00D22D3F">
      <w:pPr>
        <w:pStyle w:val="Definition"/>
      </w:pPr>
      <w:r w:rsidRPr="00097A86">
        <w:rPr>
          <w:b/>
          <w:i/>
        </w:rPr>
        <w:t xml:space="preserve">OF </w:t>
      </w:r>
      <w:r w:rsidRPr="00097A86">
        <w:t>is the oxidation factor (0.1) for near surface methane in the landfill.</w:t>
      </w:r>
    </w:p>
    <w:p w14:paraId="58B8F921" w14:textId="77777777" w:rsidR="00C46CD8" w:rsidRPr="00097A86" w:rsidRDefault="00C46CD8" w:rsidP="00D22D3F">
      <w:pPr>
        <w:pStyle w:val="Definition"/>
      </w:pPr>
      <w:r w:rsidRPr="00097A86">
        <w:rPr>
          <w:b/>
          <w:i/>
        </w:rPr>
        <w:t>∑</w:t>
      </w:r>
      <w:r w:rsidRPr="00097A86">
        <w:rPr>
          <w:rFonts w:ascii="Times New Roman Bold Italic" w:hAnsi="Times New Roman Bold Italic"/>
          <w:b/>
          <w:i/>
          <w:vertAlign w:val="subscript"/>
        </w:rPr>
        <w:t>z</w:t>
      </w:r>
      <w:r w:rsidRPr="00097A86">
        <w:rPr>
          <w:b/>
          <w:i/>
          <w:vertAlign w:val="subscript"/>
        </w:rPr>
        <w:t xml:space="preserve"> </w:t>
      </w:r>
      <w:r w:rsidRPr="00097A86">
        <w:t>is sum for all sub</w:t>
      </w:r>
      <w:r w:rsidR="00097A86">
        <w:noBreakHyphen/>
      </w:r>
      <w:r w:rsidRPr="00097A86">
        <w:t>facility zones.</w:t>
      </w:r>
    </w:p>
    <w:p w14:paraId="4B3A5DF9" w14:textId="77777777" w:rsidR="00C46CD8" w:rsidRPr="00097A86" w:rsidRDefault="00C46CD8" w:rsidP="00D22D3F">
      <w:pPr>
        <w:pStyle w:val="subsection"/>
      </w:pPr>
      <w:r w:rsidRPr="00097A86">
        <w:tab/>
        <w:t>(2)</w:t>
      </w:r>
      <w:r w:rsidRPr="00097A86">
        <w:tab/>
        <w:t xml:space="preserve">For </w:t>
      </w:r>
      <w:r w:rsidR="00097A86">
        <w:t>paragraph (</w:t>
      </w:r>
      <w:r w:rsidRPr="00097A86">
        <w:t xml:space="preserve">1)(b), </w:t>
      </w:r>
      <w:r w:rsidRPr="00097A86">
        <w:rPr>
          <w:b/>
          <w:i/>
        </w:rPr>
        <w:t>CH</w:t>
      </w:r>
      <w:r w:rsidRPr="00097A86">
        <w:rPr>
          <w:b/>
          <w:i/>
          <w:vertAlign w:val="subscript"/>
        </w:rPr>
        <w:t>4genz</w:t>
      </w:r>
      <w:r w:rsidRPr="00097A86">
        <w:t xml:space="preserve"> for each </w:t>
      </w:r>
      <w:r w:rsidRPr="00097A86">
        <w:rPr>
          <w:szCs w:val="22"/>
        </w:rPr>
        <w:t>sub</w:t>
      </w:r>
      <w:r w:rsidR="00097A86">
        <w:rPr>
          <w:szCs w:val="22"/>
        </w:rPr>
        <w:noBreakHyphen/>
      </w:r>
      <w:r w:rsidRPr="00097A86">
        <w:rPr>
          <w:szCs w:val="22"/>
        </w:rPr>
        <w:t>facility</w:t>
      </w:r>
      <w:r w:rsidRPr="00097A86">
        <w:t xml:space="preserve"> zone must be worked out:</w:t>
      </w:r>
    </w:p>
    <w:p w14:paraId="19340462" w14:textId="77777777" w:rsidR="00C46CD8" w:rsidRPr="00097A86" w:rsidRDefault="00C46CD8" w:rsidP="00D22D3F">
      <w:pPr>
        <w:pStyle w:val="paragraph"/>
      </w:pPr>
      <w:r w:rsidRPr="00097A86">
        <w:lastRenderedPageBreak/>
        <w:tab/>
        <w:t>(a)</w:t>
      </w:r>
      <w:r w:rsidRPr="00097A86">
        <w:tab/>
        <w:t>using the estimates mentioned in section</w:t>
      </w:r>
      <w:r w:rsidR="00097A86">
        <w:t> </w:t>
      </w:r>
      <w:r w:rsidRPr="00097A86">
        <w:t>5.4A and the equations mentioned in sections</w:t>
      </w:r>
      <w:r w:rsidR="00097A86">
        <w:t> </w:t>
      </w:r>
      <w:r w:rsidRPr="00097A86">
        <w:t>5.4B, 5.4C and 5.4D; and</w:t>
      </w:r>
    </w:p>
    <w:p w14:paraId="7B98DECB" w14:textId="77777777" w:rsidR="00C46CD8" w:rsidRPr="00097A86" w:rsidRDefault="00C46CD8" w:rsidP="00D22D3F">
      <w:pPr>
        <w:pStyle w:val="paragraph"/>
      </w:pPr>
      <w:r w:rsidRPr="00097A86">
        <w:tab/>
        <w:t>(b)</w:t>
      </w:r>
      <w:r w:rsidRPr="00097A86">
        <w:tab/>
        <w:t>for each waste mix type mentioned in column 3 of the table in subsection</w:t>
      </w:r>
      <w:r w:rsidR="00097A86">
        <w:t> </w:t>
      </w:r>
      <w:r w:rsidRPr="00097A86">
        <w:t>5.14(6)—using the method for working out the methane generation constant and the formula for calculating the adjusted methane generation constant mentioned in section</w:t>
      </w:r>
      <w:r w:rsidR="00097A86">
        <w:t> </w:t>
      </w:r>
      <w:r w:rsidRPr="00097A86">
        <w:t>5.17L.</w:t>
      </w:r>
    </w:p>
    <w:p w14:paraId="32A7FE9E" w14:textId="77777777" w:rsidR="00C46CD8" w:rsidRPr="00097A86" w:rsidRDefault="00C46CD8" w:rsidP="00D22D3F">
      <w:pPr>
        <w:pStyle w:val="subsection"/>
      </w:pPr>
      <w:r w:rsidRPr="00097A86">
        <w:tab/>
        <w:t>(3)</w:t>
      </w:r>
      <w:r w:rsidRPr="00097A86">
        <w:tab/>
        <w:t xml:space="preserve">For </w:t>
      </w:r>
      <w:r w:rsidR="00097A86">
        <w:t>subsection (</w:t>
      </w:r>
      <w:r w:rsidRPr="00097A86">
        <w:t>1), for a landfill, if:</w:t>
      </w:r>
    </w:p>
    <w:p w14:paraId="71DFCA63" w14:textId="77777777" w:rsidR="00C46CD8" w:rsidRPr="00097A86" w:rsidRDefault="00D22D3F" w:rsidP="00D22D3F">
      <w:pPr>
        <w:pStyle w:val="subsection"/>
        <w:spacing w:before="120" w:after="120"/>
      </w:pPr>
      <w:r w:rsidRPr="00097A86">
        <w:tab/>
      </w:r>
      <w:r w:rsidRPr="00097A86">
        <w:tab/>
      </w:r>
      <w:r w:rsidR="009E1F90">
        <w:rPr>
          <w:noProof/>
        </w:rPr>
        <w:drawing>
          <wp:inline distT="0" distB="0" distL="0" distR="0" wp14:anchorId="1E95B6C8" wp14:editId="7091DE5C">
            <wp:extent cx="1533525" cy="4953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p w14:paraId="316433BF" w14:textId="77777777" w:rsidR="00C46CD8" w:rsidRPr="00097A86" w:rsidRDefault="00C46CD8" w:rsidP="00D22D3F">
      <w:pPr>
        <w:pStyle w:val="subsection2"/>
      </w:pPr>
      <w:r w:rsidRPr="00097A86">
        <w:t xml:space="preserve">is less than or equal to </w:t>
      </w:r>
      <w:r w:rsidR="00EA45EE" w:rsidRPr="00097A86">
        <w:t>the collection efficiency amount for the landfill calculated in accordance with section</w:t>
      </w:r>
      <w:r w:rsidR="00097A86">
        <w:t> </w:t>
      </w:r>
      <w:r w:rsidR="00EA45EE" w:rsidRPr="00097A86">
        <w:t>5.15C</w:t>
      </w:r>
      <w:r w:rsidRPr="00097A86">
        <w:t>, then:</w:t>
      </w:r>
    </w:p>
    <w:p w14:paraId="6C2202EC" w14:textId="77777777" w:rsidR="00C46CD8" w:rsidRPr="00097A86" w:rsidRDefault="009E1F90" w:rsidP="00D22D3F">
      <w:pPr>
        <w:pStyle w:val="subsection2"/>
        <w:spacing w:before="120" w:after="120"/>
      </w:pPr>
      <w:r>
        <w:rPr>
          <w:noProof/>
        </w:rPr>
        <w:drawing>
          <wp:inline distT="0" distB="0" distL="0" distR="0" wp14:anchorId="270C691B" wp14:editId="22290A0D">
            <wp:extent cx="981075" cy="2952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p>
    <w:p w14:paraId="6FD6FE15" w14:textId="77777777" w:rsidR="00C46CD8" w:rsidRPr="00097A86" w:rsidRDefault="00C46CD8" w:rsidP="00D22D3F">
      <w:pPr>
        <w:pStyle w:val="subsection2"/>
      </w:pPr>
      <w:r w:rsidRPr="00097A86">
        <w:t>where:</w:t>
      </w:r>
    </w:p>
    <w:p w14:paraId="25DE70A1" w14:textId="77777777" w:rsidR="00C46CD8" w:rsidRPr="00097A86" w:rsidRDefault="00C46CD8"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landfill gas captured for combustion from the landfill during the year, measured in cubic metres in accordance with Division</w:t>
      </w:r>
      <w:r w:rsidR="00097A86">
        <w:t> </w:t>
      </w:r>
      <w:r w:rsidRPr="00097A86">
        <w:t>2.3.6.</w:t>
      </w:r>
    </w:p>
    <w:p w14:paraId="619393D9" w14:textId="77777777" w:rsidR="00C46CD8" w:rsidRPr="00097A86" w:rsidRDefault="00C46CD8" w:rsidP="00D22D3F">
      <w:pPr>
        <w:pStyle w:val="Definition"/>
      </w:pPr>
      <w:r w:rsidRPr="00097A86">
        <w:rPr>
          <w:b/>
          <w:i/>
        </w:rPr>
        <w:t>Q</w:t>
      </w:r>
      <w:r w:rsidRPr="00097A86">
        <w:rPr>
          <w:b/>
          <w:i/>
          <w:vertAlign w:val="subscript"/>
        </w:rPr>
        <w:t xml:space="preserve">flared </w:t>
      </w:r>
      <w:r w:rsidRPr="00097A86">
        <w:t>is the quantity of methane in landfill gas flared from the landfill during the year, measured in cubic metres in accordance with Division</w:t>
      </w:r>
      <w:r w:rsidR="00097A86">
        <w:t> </w:t>
      </w:r>
      <w:r w:rsidRPr="00097A86">
        <w:t>2.3.6.</w:t>
      </w:r>
    </w:p>
    <w:p w14:paraId="759BD0FB" w14:textId="77777777" w:rsidR="00C46CD8" w:rsidRPr="00097A86" w:rsidRDefault="00C46CD8" w:rsidP="00D22D3F">
      <w:pPr>
        <w:pStyle w:val="Definition"/>
      </w:pPr>
      <w:r w:rsidRPr="00097A86">
        <w:rPr>
          <w:b/>
          <w:i/>
        </w:rPr>
        <w:t>Q</w:t>
      </w:r>
      <w:r w:rsidRPr="00097A86">
        <w:rPr>
          <w:b/>
          <w:i/>
          <w:vertAlign w:val="subscript"/>
        </w:rPr>
        <w:t>tr</w:t>
      </w:r>
      <w:r w:rsidRPr="00097A86">
        <w:rPr>
          <w:b/>
          <w:i/>
        </w:rPr>
        <w:t xml:space="preserve"> </w:t>
      </w:r>
      <w:r w:rsidRPr="00097A86">
        <w:t>is the quantity of methane in landfill gas transferred out of the landfill during the year, measured in cubic metres in accordance with Division</w:t>
      </w:r>
      <w:r w:rsidR="00097A86">
        <w:t> </w:t>
      </w:r>
      <w:r w:rsidRPr="00097A86">
        <w:t>2.3.6.</w:t>
      </w:r>
    </w:p>
    <w:p w14:paraId="75AD35A0" w14:textId="77777777" w:rsidR="00C46CD8" w:rsidRPr="00097A86" w:rsidRDefault="00C46CD8" w:rsidP="00D22D3F">
      <w:pPr>
        <w:pStyle w:val="Definition"/>
      </w:pPr>
      <w:r w:rsidRPr="00097A86">
        <w:rPr>
          <w:b/>
          <w:i/>
        </w:rPr>
        <w:t>CH</w:t>
      </w:r>
      <w:r w:rsidRPr="00097A86">
        <w:rPr>
          <w:b/>
          <w:i/>
          <w:vertAlign w:val="subscript"/>
        </w:rPr>
        <w:t>4</w:t>
      </w:r>
      <w:r w:rsidR="00097A86" w:rsidRPr="00097A86">
        <w:rPr>
          <w:b/>
          <w:i/>
          <w:position w:val="6"/>
          <w:sz w:val="16"/>
          <w:vertAlign w:val="superscript"/>
        </w:rPr>
        <w:t>*</w:t>
      </w:r>
      <w:r w:rsidRPr="00097A86">
        <w:rPr>
          <w:b/>
          <w:i/>
          <w:vertAlign w:val="superscript"/>
        </w:rPr>
        <w:t xml:space="preserve"> </w:t>
      </w:r>
      <w:r w:rsidRPr="00097A86">
        <w:t>is the estimated quantity of methane in landfill gas generated by the landfill during the year, measured in CO</w:t>
      </w:r>
      <w:r w:rsidRPr="00097A86">
        <w:rPr>
          <w:vertAlign w:val="subscript"/>
        </w:rPr>
        <w:t>2</w:t>
      </w:r>
      <w:r w:rsidR="00097A86">
        <w:noBreakHyphen/>
      </w:r>
      <w:r w:rsidRPr="00097A86">
        <w:t>e tonnes.</w:t>
      </w:r>
    </w:p>
    <w:p w14:paraId="10EF327D" w14:textId="77777777" w:rsidR="00C46CD8" w:rsidRPr="00097A86" w:rsidRDefault="00C46CD8" w:rsidP="00D22D3F">
      <w:pPr>
        <w:pStyle w:val="Definition"/>
      </w:pPr>
      <w:r w:rsidRPr="00097A86">
        <w:rPr>
          <w:b/>
          <w:i/>
        </w:rPr>
        <w:t>CH</w:t>
      </w:r>
      <w:r w:rsidRPr="00097A86">
        <w:rPr>
          <w:b/>
          <w:i/>
          <w:vertAlign w:val="subscript"/>
        </w:rPr>
        <w:t>4gen</w:t>
      </w:r>
      <w:r w:rsidRPr="00097A86">
        <w:rPr>
          <w:b/>
          <w:i/>
        </w:rPr>
        <w:t xml:space="preserve"> </w:t>
      </w:r>
      <w:r w:rsidRPr="00097A86">
        <w:t>is the quantity of methane in landfill gas generation released from the landfill during the year estimated in accordance with subsection</w:t>
      </w:r>
      <w:r w:rsidR="00097A86">
        <w:t> </w:t>
      </w:r>
      <w:r w:rsidRPr="00097A86">
        <w:t>5.4(5) and measured in CO</w:t>
      </w:r>
      <w:r w:rsidRPr="00097A86">
        <w:rPr>
          <w:vertAlign w:val="subscript"/>
        </w:rPr>
        <w:t>2</w:t>
      </w:r>
      <w:r w:rsidR="00097A86">
        <w:noBreakHyphen/>
      </w:r>
      <w:r w:rsidRPr="00097A86">
        <w:t>e tonnes.</w:t>
      </w:r>
    </w:p>
    <w:p w14:paraId="4370A686" w14:textId="77777777" w:rsidR="00EA45EE" w:rsidRPr="00097A86" w:rsidRDefault="00EA45EE" w:rsidP="00EA45EE">
      <w:pPr>
        <w:pStyle w:val="subsection"/>
      </w:pPr>
      <w:r w:rsidRPr="00097A86">
        <w:tab/>
        <w:t>(4)</w:t>
      </w:r>
      <w:r w:rsidRPr="00097A86">
        <w:tab/>
        <w:t xml:space="preserve">For </w:t>
      </w:r>
      <w:r w:rsidR="00097A86">
        <w:t>subsection (</w:t>
      </w:r>
      <w:r w:rsidRPr="00097A86">
        <w:t>1), if:</w:t>
      </w:r>
    </w:p>
    <w:bookmarkStart w:id="544" w:name="BKCheck15B_27"/>
    <w:bookmarkEnd w:id="544"/>
    <w:p w14:paraId="53B13699" w14:textId="77777777" w:rsidR="00EA45EE" w:rsidRPr="00097A86" w:rsidRDefault="00EA45EE" w:rsidP="00EA45EE">
      <w:pPr>
        <w:pStyle w:val="subsection2"/>
      </w:pPr>
      <w:r w:rsidRPr="00097A86">
        <w:object w:dxaOrig="2340" w:dyaOrig="1040" w14:anchorId="1B735504">
          <v:shape id="_x0000_i1046" type="#_x0000_t75" style="width:117pt;height:52.5pt" o:ole="">
            <v:imagedata r:id="rId193" o:title=""/>
          </v:shape>
          <o:OLEObject Type="Embed" ProgID="Equation.DSMT4" ShapeID="_x0000_i1046" DrawAspect="Content" ObjectID="_1624711050" r:id="rId194"/>
        </w:object>
      </w:r>
    </w:p>
    <w:p w14:paraId="50887634" w14:textId="77777777" w:rsidR="00EA45EE" w:rsidRPr="00097A86" w:rsidRDefault="00EA45EE" w:rsidP="00EA45EE">
      <w:pPr>
        <w:pStyle w:val="subsection2"/>
      </w:pPr>
      <w:r w:rsidRPr="00097A86">
        <w:t>is more than the collection efficiency amount for the landfill calculated in accordance with section</w:t>
      </w:r>
      <w:r w:rsidR="00097A86">
        <w:t> </w:t>
      </w:r>
      <w:r w:rsidRPr="00097A86">
        <w:t>5.15C, then:</w:t>
      </w:r>
    </w:p>
    <w:p w14:paraId="1E2B94F1" w14:textId="77777777" w:rsidR="00EA45EE" w:rsidRPr="00097A86" w:rsidRDefault="00EA45EE" w:rsidP="00EA45EE">
      <w:pPr>
        <w:pStyle w:val="subsection"/>
      </w:pPr>
      <w:r w:rsidRPr="00097A86">
        <w:tab/>
      </w:r>
      <w:r w:rsidRPr="00097A86">
        <w:tab/>
      </w:r>
      <w:bookmarkStart w:id="545" w:name="BKCheck15B_28"/>
      <w:bookmarkEnd w:id="545"/>
      <w:r w:rsidRPr="00097A86">
        <w:rPr>
          <w:position w:val="-36"/>
        </w:rPr>
        <w:object w:dxaOrig="3879" w:dyaOrig="820" w14:anchorId="32912816">
          <v:shape id="_x0000_i1047" type="#_x0000_t75" style="width:194.25pt;height:41.25pt" o:ole="">
            <v:imagedata r:id="rId195" o:title=""/>
          </v:shape>
          <o:OLEObject Type="Embed" ProgID="Equation.DSMT4" ShapeID="_x0000_i1047" DrawAspect="Content" ObjectID="_1624711051" r:id="rId196"/>
        </w:object>
      </w:r>
    </w:p>
    <w:p w14:paraId="08FD922F" w14:textId="77777777" w:rsidR="00EA45EE" w:rsidRPr="00097A86" w:rsidRDefault="00EA45EE" w:rsidP="00EA45EE">
      <w:pPr>
        <w:pStyle w:val="subsection2"/>
      </w:pPr>
      <w:r w:rsidRPr="00097A86">
        <w:t>where:</w:t>
      </w:r>
    </w:p>
    <w:p w14:paraId="02DDC422" w14:textId="77777777" w:rsidR="00EA45EE" w:rsidRPr="00097A86" w:rsidRDefault="00EA45EE" w:rsidP="00EA45EE">
      <w:pPr>
        <w:pStyle w:val="Definition"/>
      </w:pPr>
      <w:r w:rsidRPr="00097A86">
        <w:rPr>
          <w:b/>
          <w:i/>
        </w:rPr>
        <w:lastRenderedPageBreak/>
        <w:t>γ</w:t>
      </w:r>
      <w:r w:rsidRPr="00097A86">
        <w:t xml:space="preserve"> is the factor 6.784 </w:t>
      </w:r>
      <w:r w:rsidRPr="00097A86">
        <w:sym w:font="Wingdings 2" w:char="F0CD"/>
      </w:r>
      <w:r w:rsidRPr="00097A86">
        <w:t xml:space="preserve"> 10</w:t>
      </w:r>
      <w:r w:rsidR="00097A86">
        <w:rPr>
          <w:vertAlign w:val="superscript"/>
        </w:rPr>
        <w:noBreakHyphen/>
      </w:r>
      <w:r w:rsidRPr="00097A86">
        <w:rPr>
          <w:vertAlign w:val="superscript"/>
        </w:rPr>
        <w:t xml:space="preserve">4 </w:t>
      </w:r>
      <w:r w:rsidRPr="00097A86">
        <w:sym w:font="Wingdings 2" w:char="F0CD"/>
      </w:r>
      <w:r w:rsidRPr="00097A86">
        <w:t xml:space="preserve"> </w:t>
      </w:r>
      <w:r w:rsidR="00B25EE5" w:rsidRPr="00097A86">
        <w:t>25</w:t>
      </w:r>
      <w:r w:rsidRPr="00097A86">
        <w:t xml:space="preserve"> converting cubic metres of methane at standard conditions measured to CO</w:t>
      </w:r>
      <w:r w:rsidRPr="00097A86">
        <w:rPr>
          <w:vertAlign w:val="subscript"/>
        </w:rPr>
        <w:t>2</w:t>
      </w:r>
      <w:r w:rsidR="00097A86">
        <w:noBreakHyphen/>
      </w:r>
      <w:r w:rsidRPr="00097A86">
        <w:t>e tonnes.</w:t>
      </w:r>
    </w:p>
    <w:p w14:paraId="10BA0287" w14:textId="77777777" w:rsidR="00EA45EE" w:rsidRPr="00097A86" w:rsidRDefault="00EA45EE" w:rsidP="00EA45EE">
      <w:pPr>
        <w:pStyle w:val="Definition"/>
      </w:pPr>
      <w:r w:rsidRPr="00097A86">
        <w:rPr>
          <w:b/>
          <w:i/>
        </w:rPr>
        <w:t>CEA</w:t>
      </w:r>
      <w:r w:rsidRPr="00097A86">
        <w:t xml:space="preserve"> is the collection efficiency amount for the landfill calculated in accordance with section</w:t>
      </w:r>
      <w:r w:rsidR="00097A86">
        <w:t> </w:t>
      </w:r>
      <w:r w:rsidRPr="00097A86">
        <w:t>5.15C.</w:t>
      </w:r>
    </w:p>
    <w:p w14:paraId="4AFFB509" w14:textId="77777777" w:rsidR="00EA45EE" w:rsidRPr="00097A86" w:rsidRDefault="00EA45EE" w:rsidP="00EA45EE">
      <w:pPr>
        <w:pStyle w:val="Definition"/>
      </w:pPr>
      <w:r w:rsidRPr="00097A86">
        <w:rPr>
          <w:b/>
          <w:i/>
        </w:rPr>
        <w:t>CH</w:t>
      </w:r>
      <w:r w:rsidRPr="00097A86">
        <w:rPr>
          <w:b/>
          <w:i/>
          <w:vertAlign w:val="subscript"/>
        </w:rPr>
        <w:t>4</w:t>
      </w:r>
      <w:r w:rsidR="00097A86" w:rsidRPr="00097A86">
        <w:rPr>
          <w:b/>
          <w:i/>
          <w:position w:val="6"/>
          <w:sz w:val="16"/>
          <w:vertAlign w:val="superscript"/>
        </w:rPr>
        <w:t>*</w:t>
      </w:r>
      <w:r w:rsidRPr="00097A86">
        <w:rPr>
          <w:i/>
          <w:vertAlign w:val="subscript"/>
        </w:rPr>
        <w:t>z</w:t>
      </w:r>
      <w:r w:rsidRPr="00097A86">
        <w:t xml:space="preserve"> is the estimated quantity of methane in landfill gas generated by the sub</w:t>
      </w:r>
      <w:r w:rsidR="00097A86">
        <w:noBreakHyphen/>
      </w:r>
      <w:r w:rsidRPr="00097A86">
        <w:t>facility zone during the year, measured in CO</w:t>
      </w:r>
      <w:r w:rsidRPr="00097A86">
        <w:rPr>
          <w:vertAlign w:val="subscript"/>
        </w:rPr>
        <w:t>2</w:t>
      </w:r>
      <w:r w:rsidR="00097A86">
        <w:noBreakHyphen/>
      </w:r>
      <w:r w:rsidRPr="00097A86">
        <w:t>e tonnes.</w:t>
      </w:r>
    </w:p>
    <w:p w14:paraId="4ED0E965" w14:textId="77777777" w:rsidR="00EA45EE" w:rsidRPr="00097A86" w:rsidRDefault="00EA45EE" w:rsidP="00EA45EE">
      <w:pPr>
        <w:pStyle w:val="Definition"/>
      </w:pPr>
      <w:r w:rsidRPr="00097A86">
        <w:rPr>
          <w:b/>
          <w:i/>
        </w:rPr>
        <w:t>CH</w:t>
      </w:r>
      <w:r w:rsidRPr="00097A86">
        <w:rPr>
          <w:b/>
          <w:i/>
          <w:vertAlign w:val="subscript"/>
        </w:rPr>
        <w:t>4gen</w:t>
      </w:r>
      <w:r w:rsidRPr="00097A86">
        <w:t xml:space="preserve"> is the quantity of methane in landfill gas generation released from the landfill during the year, estimated in accordance with subsection</w:t>
      </w:r>
      <w:r w:rsidR="00097A86">
        <w:t> </w:t>
      </w:r>
      <w:r w:rsidRPr="00097A86">
        <w:t>5.4(5) and measured in CO2</w:t>
      </w:r>
      <w:r w:rsidR="00097A86">
        <w:noBreakHyphen/>
      </w:r>
      <w:r w:rsidRPr="00097A86">
        <w:t>e tonnes.</w:t>
      </w:r>
    </w:p>
    <w:p w14:paraId="3F969A56" w14:textId="77777777" w:rsidR="00EA45EE" w:rsidRPr="00097A86" w:rsidRDefault="00EA45EE" w:rsidP="00EA45EE">
      <w:pPr>
        <w:pStyle w:val="Definition"/>
      </w:pPr>
      <w:r w:rsidRPr="00097A86">
        <w:rPr>
          <w:b/>
          <w:i/>
        </w:rPr>
        <w:t>Q</w:t>
      </w:r>
      <w:r w:rsidRPr="00097A86">
        <w:rPr>
          <w:b/>
          <w:i/>
          <w:vertAlign w:val="subscript"/>
        </w:rPr>
        <w:t>cap</w:t>
      </w:r>
      <w:r w:rsidRPr="00097A86">
        <w:t xml:space="preserve"> is the quantity of methane in landfill gas captured for combustion from the landfill during the year, measured in cubic metres in accordance with Division</w:t>
      </w:r>
      <w:r w:rsidR="00097A86">
        <w:t> </w:t>
      </w:r>
      <w:r w:rsidRPr="00097A86">
        <w:t>2.3.6.</w:t>
      </w:r>
    </w:p>
    <w:p w14:paraId="0FABBC7F" w14:textId="77777777" w:rsidR="00EA45EE" w:rsidRPr="00097A86" w:rsidRDefault="00EA45EE" w:rsidP="00EA45EE">
      <w:pPr>
        <w:pStyle w:val="Definition"/>
      </w:pPr>
      <w:r w:rsidRPr="00097A86">
        <w:rPr>
          <w:b/>
          <w:i/>
        </w:rPr>
        <w:t>Q</w:t>
      </w:r>
      <w:r w:rsidRPr="00097A86">
        <w:rPr>
          <w:b/>
          <w:i/>
          <w:vertAlign w:val="subscript"/>
        </w:rPr>
        <w:t>capz</w:t>
      </w:r>
      <w:r w:rsidRPr="00097A86">
        <w:t xml:space="preserve"> is the quantity of methane in landfill gas captured for combustion by the landfill from a sub</w:t>
      </w:r>
      <w:r w:rsidR="00097A86">
        <w:noBreakHyphen/>
      </w:r>
      <w:r w:rsidRPr="00097A86">
        <w:t>facility zone during the reporting year, measured in cubic metres in accordance with Division</w:t>
      </w:r>
      <w:r w:rsidR="00097A86">
        <w:t> </w:t>
      </w:r>
      <w:r w:rsidRPr="00097A86">
        <w:t>2.3.6.</w:t>
      </w:r>
    </w:p>
    <w:p w14:paraId="4A6B1327" w14:textId="77777777" w:rsidR="00EA45EE" w:rsidRPr="00097A86" w:rsidRDefault="00EA45EE" w:rsidP="00EA45EE">
      <w:pPr>
        <w:pStyle w:val="Definition"/>
      </w:pPr>
      <w:r w:rsidRPr="00097A86">
        <w:rPr>
          <w:b/>
          <w:i/>
        </w:rPr>
        <w:t>Q</w:t>
      </w:r>
      <w:r w:rsidRPr="00097A86">
        <w:rPr>
          <w:b/>
          <w:i/>
          <w:vertAlign w:val="subscript"/>
        </w:rPr>
        <w:t>flared</w:t>
      </w:r>
      <w:r w:rsidRPr="00097A86">
        <w:t xml:space="preserve"> is the quantity of methane in landfill gas flared from the landfill during the year, measured in cubic metres in accordance with Division</w:t>
      </w:r>
      <w:r w:rsidR="00097A86">
        <w:t> </w:t>
      </w:r>
      <w:r w:rsidRPr="00097A86">
        <w:t>2.3.6.</w:t>
      </w:r>
    </w:p>
    <w:p w14:paraId="08CA8FCB" w14:textId="77777777" w:rsidR="00EA45EE" w:rsidRPr="00097A86" w:rsidRDefault="00EA45EE" w:rsidP="00EA45EE">
      <w:pPr>
        <w:pStyle w:val="Definition"/>
      </w:pPr>
      <w:r w:rsidRPr="00097A86">
        <w:rPr>
          <w:b/>
          <w:i/>
        </w:rPr>
        <w:t>Q</w:t>
      </w:r>
      <w:r w:rsidRPr="00097A86">
        <w:rPr>
          <w:b/>
          <w:i/>
          <w:vertAlign w:val="subscript"/>
        </w:rPr>
        <w:t>flaredz</w:t>
      </w:r>
      <w:r w:rsidRPr="00097A86">
        <w:t xml:space="preserve"> is the quantity of methane in landfill gas flared by the landfill from a sub</w:t>
      </w:r>
      <w:r w:rsidR="00097A86">
        <w:noBreakHyphen/>
      </w:r>
      <w:r w:rsidRPr="00097A86">
        <w:t>facility zone during the reporting year, measured in cubic metres in accordance with Division</w:t>
      </w:r>
      <w:r w:rsidR="00097A86">
        <w:t> </w:t>
      </w:r>
      <w:r w:rsidRPr="00097A86">
        <w:t>2.3.6.</w:t>
      </w:r>
    </w:p>
    <w:p w14:paraId="5DFB234E" w14:textId="77777777" w:rsidR="00EA45EE" w:rsidRPr="00097A86" w:rsidRDefault="00EA45EE" w:rsidP="00EA45EE">
      <w:pPr>
        <w:pStyle w:val="Definition"/>
      </w:pPr>
      <w:r w:rsidRPr="00097A86">
        <w:rPr>
          <w:b/>
          <w:i/>
        </w:rPr>
        <w:t>Q</w:t>
      </w:r>
      <w:r w:rsidRPr="00097A86">
        <w:rPr>
          <w:b/>
          <w:i/>
          <w:vertAlign w:val="subscript"/>
        </w:rPr>
        <w:t>tr</w:t>
      </w:r>
      <w:r w:rsidRPr="00097A86">
        <w:t xml:space="preserve"> is the quantity of methane in landfill gas transferred out of the landfill during the year, measured in cubic metres in accordance with Division</w:t>
      </w:r>
      <w:r w:rsidR="00097A86">
        <w:t> </w:t>
      </w:r>
      <w:r w:rsidRPr="00097A86">
        <w:t>2.3.6.</w:t>
      </w:r>
    </w:p>
    <w:p w14:paraId="068648E5" w14:textId="77777777" w:rsidR="00EA45EE" w:rsidRPr="00097A86" w:rsidRDefault="00EA45EE" w:rsidP="00EA45EE">
      <w:pPr>
        <w:pStyle w:val="Definition"/>
      </w:pPr>
      <w:r w:rsidRPr="00097A86">
        <w:rPr>
          <w:b/>
          <w:i/>
        </w:rPr>
        <w:t>Q</w:t>
      </w:r>
      <w:r w:rsidRPr="00097A86">
        <w:rPr>
          <w:b/>
          <w:i/>
          <w:vertAlign w:val="subscript"/>
        </w:rPr>
        <w:t>trz</w:t>
      </w:r>
      <w:r w:rsidRPr="00097A86">
        <w:rPr>
          <w:b/>
          <w:i/>
        </w:rPr>
        <w:t xml:space="preserve"> </w:t>
      </w:r>
      <w:r w:rsidRPr="00097A86">
        <w:t>is the quantity of methane in landfill gas transferred out of the landfill from a sub</w:t>
      </w:r>
      <w:r w:rsidR="00097A86">
        <w:noBreakHyphen/>
      </w:r>
      <w:r w:rsidRPr="00097A86">
        <w:t>facility zone during the reporting year, measured in cubic metres in accordance with Division</w:t>
      </w:r>
      <w:r w:rsidR="00097A86">
        <w:t> </w:t>
      </w:r>
      <w:r w:rsidRPr="00097A86">
        <w:t>2.3.6.</w:t>
      </w:r>
    </w:p>
    <w:p w14:paraId="68A73FB2" w14:textId="77777777" w:rsidR="00C46CD8" w:rsidRPr="00097A86" w:rsidRDefault="00C46CD8" w:rsidP="00D22D3F">
      <w:pPr>
        <w:pStyle w:val="subsection"/>
      </w:pPr>
      <w:r w:rsidRPr="00097A86">
        <w:tab/>
        <w:t>(5)</w:t>
      </w:r>
      <w:r w:rsidRPr="00097A86">
        <w:tab/>
        <w:t xml:space="preserve">For </w:t>
      </w:r>
      <w:r w:rsidR="00097A86">
        <w:t>subsection (</w:t>
      </w:r>
      <w:r w:rsidRPr="00097A86">
        <w:t xml:space="preserve">1), if the result of the first equation in </w:t>
      </w:r>
      <w:r w:rsidR="00097A86">
        <w:t>subsection (</w:t>
      </w:r>
      <w:r w:rsidRPr="00097A86">
        <w:t xml:space="preserve">4) is, for the reporting year for which the result is calculated (the </w:t>
      </w:r>
      <w:r w:rsidRPr="00097A86">
        <w:rPr>
          <w:b/>
          <w:i/>
        </w:rPr>
        <w:t>current reporting year</w:t>
      </w:r>
      <w:r w:rsidRPr="00097A86">
        <w:t xml:space="preserve">), greater </w:t>
      </w:r>
      <w:r w:rsidR="00EA45EE" w:rsidRPr="00097A86">
        <w:t>than the collection efficiency amount for the landfill calculated in accordance with section</w:t>
      </w:r>
      <w:r w:rsidR="00097A86">
        <w:t> </w:t>
      </w:r>
      <w:r w:rsidR="00EA45EE" w:rsidRPr="00097A86">
        <w:t>5.15C</w:t>
      </w:r>
      <w:r w:rsidRPr="00097A86">
        <w:t>:</w:t>
      </w:r>
    </w:p>
    <w:p w14:paraId="73438CF1" w14:textId="77777777" w:rsidR="00C46CD8" w:rsidRPr="00097A86" w:rsidRDefault="00C46CD8" w:rsidP="00D22D3F">
      <w:pPr>
        <w:pStyle w:val="paragraph"/>
        <w:rPr>
          <w:spacing w:val="-1"/>
        </w:rPr>
      </w:pPr>
      <w:r w:rsidRPr="00097A86">
        <w:tab/>
        <w:t>(a)</w:t>
      </w:r>
      <w:r w:rsidRPr="00097A86">
        <w:tab/>
        <w:t xml:space="preserve">the change in the quantity of the opening stock of decomposable degradable organic carbon </w:t>
      </w:r>
      <w:r w:rsidRPr="00097A86">
        <w:rPr>
          <w:spacing w:val="1"/>
        </w:rPr>
        <w:t>(</w:t>
      </w:r>
      <w:r w:rsidRPr="00097A86">
        <w:t>∆</w:t>
      </w:r>
      <w:r w:rsidRPr="00097A86">
        <w:rPr>
          <w:spacing w:val="1"/>
        </w:rPr>
        <w:t>C</w:t>
      </w:r>
      <w:r w:rsidRPr="00097A86">
        <w:rPr>
          <w:position w:val="-3"/>
          <w:sz w:val="14"/>
          <w:szCs w:val="14"/>
        </w:rPr>
        <w:t>o</w:t>
      </w:r>
      <w:r w:rsidRPr="00097A86">
        <w:rPr>
          <w:spacing w:val="1"/>
          <w:position w:val="-3"/>
          <w:sz w:val="14"/>
          <w:szCs w:val="14"/>
        </w:rPr>
        <w:t>s</w:t>
      </w:r>
      <w:r w:rsidRPr="00097A86">
        <w:rPr>
          <w:vertAlign w:val="subscript"/>
        </w:rPr>
        <w:t>t</w:t>
      </w:r>
      <w:r w:rsidRPr="00097A86">
        <w:rPr>
          <w:spacing w:val="-1"/>
        </w:rPr>
        <w:t>) must be calculated using the equation mentioned in section</w:t>
      </w:r>
      <w:r w:rsidR="00097A86">
        <w:rPr>
          <w:spacing w:val="-1"/>
        </w:rPr>
        <w:t> </w:t>
      </w:r>
      <w:r w:rsidRPr="00097A86">
        <w:rPr>
          <w:spacing w:val="-1"/>
        </w:rPr>
        <w:t>5.15A; and</w:t>
      </w:r>
    </w:p>
    <w:p w14:paraId="0182EE5E" w14:textId="77777777" w:rsidR="00C46CD8" w:rsidRPr="00097A86" w:rsidRDefault="00C46CD8" w:rsidP="00D22D3F">
      <w:pPr>
        <w:pStyle w:val="paragraph"/>
      </w:pPr>
      <w:r w:rsidRPr="00097A86">
        <w:tab/>
        <w:t>(b)</w:t>
      </w:r>
      <w:r w:rsidRPr="00097A86">
        <w:tab/>
        <w:t xml:space="preserve">the quantity of the closing stock of decomposable degradable organic carbon </w:t>
      </w:r>
      <w:r w:rsidRPr="00097A86">
        <w:rPr>
          <w:spacing w:val="1"/>
        </w:rPr>
        <w:t>(</w:t>
      </w:r>
      <w:r w:rsidRPr="00097A86">
        <w:t>∆</w:t>
      </w:r>
      <w:r w:rsidRPr="00097A86">
        <w:rPr>
          <w:spacing w:val="1"/>
        </w:rPr>
        <w:t>C</w:t>
      </w:r>
      <w:r w:rsidRPr="00097A86">
        <w:rPr>
          <w:position w:val="-3"/>
          <w:sz w:val="14"/>
          <w:szCs w:val="14"/>
        </w:rPr>
        <w:t>c</w:t>
      </w:r>
      <w:r w:rsidRPr="00097A86">
        <w:rPr>
          <w:spacing w:val="1"/>
          <w:position w:val="-3"/>
          <w:sz w:val="14"/>
          <w:szCs w:val="14"/>
        </w:rPr>
        <w:t>s</w:t>
      </w:r>
      <w:r w:rsidRPr="00097A86">
        <w:rPr>
          <w:vertAlign w:val="subscript"/>
        </w:rPr>
        <w:t>t</w:t>
      </w:r>
      <w:r w:rsidRPr="00097A86">
        <w:t>) must be calculated using the equation mentioned in section</w:t>
      </w:r>
      <w:r w:rsidR="00097A86">
        <w:t> </w:t>
      </w:r>
      <w:r w:rsidRPr="00097A86">
        <w:t>5.15B.</w:t>
      </w:r>
    </w:p>
    <w:p w14:paraId="16FF4685" w14:textId="77777777" w:rsidR="00C46CD8" w:rsidRPr="00097A86" w:rsidRDefault="00C46CD8" w:rsidP="00D22D3F">
      <w:pPr>
        <w:pStyle w:val="subsection"/>
      </w:pPr>
      <w:r w:rsidRPr="00097A86">
        <w:rPr>
          <w:szCs w:val="22"/>
        </w:rPr>
        <w:tab/>
        <w:t>(6)</w:t>
      </w:r>
      <w:r w:rsidRPr="00097A86">
        <w:rPr>
          <w:szCs w:val="22"/>
        </w:rPr>
        <w:tab/>
        <w:t>This method may be used only if specific information is available on the waste mix types at the landfill.</w:t>
      </w:r>
    </w:p>
    <w:p w14:paraId="5A4122E6" w14:textId="77777777" w:rsidR="00C46CD8" w:rsidRPr="00097A86" w:rsidRDefault="00D22D3F" w:rsidP="00D22D3F">
      <w:pPr>
        <w:pStyle w:val="notetext"/>
      </w:pPr>
      <w:r w:rsidRPr="00097A86">
        <w:t>Note 1:</w:t>
      </w:r>
      <w:r w:rsidRPr="00097A86">
        <w:tab/>
      </w:r>
      <w:r w:rsidR="00C46CD8" w:rsidRPr="00097A86">
        <w:t xml:space="preserve">For the definition of </w:t>
      </w:r>
      <w:r w:rsidR="00C46CD8" w:rsidRPr="00097A86">
        <w:rPr>
          <w:b/>
          <w:i/>
        </w:rPr>
        <w:t>reporting year</w:t>
      </w:r>
      <w:r w:rsidR="00C46CD8" w:rsidRPr="00097A86">
        <w:t xml:space="preserve">, see the </w:t>
      </w:r>
      <w:r w:rsidR="00C46CD8" w:rsidRPr="00097A86">
        <w:rPr>
          <w:i/>
        </w:rPr>
        <w:t>National Greenhouse and Energy Reporting Regulations</w:t>
      </w:r>
      <w:r w:rsidR="00097A86">
        <w:rPr>
          <w:i/>
        </w:rPr>
        <w:t> </w:t>
      </w:r>
      <w:r w:rsidR="00C46CD8" w:rsidRPr="00097A86">
        <w:rPr>
          <w:i/>
        </w:rPr>
        <w:t>2008</w:t>
      </w:r>
      <w:r w:rsidR="00C46CD8" w:rsidRPr="00097A86">
        <w:t>.</w:t>
      </w:r>
    </w:p>
    <w:p w14:paraId="0FE4BAF2" w14:textId="77777777" w:rsidR="00C46CD8" w:rsidRPr="00097A86" w:rsidRDefault="00D22D3F" w:rsidP="00D22D3F">
      <w:pPr>
        <w:pStyle w:val="notetext"/>
      </w:pPr>
      <w:r w:rsidRPr="00097A86">
        <w:lastRenderedPageBreak/>
        <w:t>Note 2:</w:t>
      </w:r>
      <w:r w:rsidRPr="00097A86">
        <w:tab/>
      </w:r>
      <w:r w:rsidR="00C46CD8" w:rsidRPr="00097A86">
        <w:t>For provisions regarding the selection and requirements of representative zones, see sections</w:t>
      </w:r>
      <w:r w:rsidR="00097A86">
        <w:t> </w:t>
      </w:r>
      <w:r w:rsidR="00C46CD8" w:rsidRPr="00097A86">
        <w:t>5.16 to 5.17I.</w:t>
      </w:r>
    </w:p>
    <w:p w14:paraId="54E48891" w14:textId="77777777" w:rsidR="00C46CD8" w:rsidRPr="00097A86" w:rsidRDefault="00D22D3F" w:rsidP="00D22D3F">
      <w:pPr>
        <w:pStyle w:val="notetext"/>
      </w:pPr>
      <w:r w:rsidRPr="00097A86">
        <w:t>Note 3:</w:t>
      </w:r>
      <w:r w:rsidRPr="00097A86">
        <w:tab/>
      </w:r>
      <w:r w:rsidR="00C46CD8" w:rsidRPr="00097A86">
        <w:t>Section</w:t>
      </w:r>
      <w:r w:rsidR="00097A86">
        <w:t> </w:t>
      </w:r>
      <w:r w:rsidR="00C46CD8" w:rsidRPr="00097A86">
        <w:t>5.17AA sets out, for a landfill operator using method 2 in Division</w:t>
      </w:r>
      <w:r w:rsidR="00097A86">
        <w:t> </w:t>
      </w:r>
      <w:r w:rsidR="00C46CD8" w:rsidRPr="00097A86">
        <w:t>5.2.3 or method 3 in Division</w:t>
      </w:r>
      <w:r w:rsidR="00097A86">
        <w:t> </w:t>
      </w:r>
      <w:r w:rsidR="00C46CD8" w:rsidRPr="00097A86">
        <w:t>5.2.4, the number of sub</w:t>
      </w:r>
      <w:r w:rsidR="00097A86">
        <w:rPr>
          <w:szCs w:val="22"/>
        </w:rPr>
        <w:noBreakHyphen/>
      </w:r>
      <w:r w:rsidR="00C46CD8" w:rsidRPr="00097A86">
        <w:t>facility zones that the landfill operator may select and the requirements for sub</w:t>
      </w:r>
      <w:r w:rsidR="00097A86">
        <w:rPr>
          <w:szCs w:val="22"/>
        </w:rPr>
        <w:noBreakHyphen/>
      </w:r>
      <w:r w:rsidR="00C46CD8" w:rsidRPr="00097A86">
        <w:t>facility zones that the landfill operator must comply with.</w:t>
      </w:r>
    </w:p>
    <w:p w14:paraId="5E57F46C" w14:textId="77777777" w:rsidR="00C46CD8" w:rsidRPr="00097A86" w:rsidRDefault="00C46CD8" w:rsidP="00D22D3F">
      <w:pPr>
        <w:pStyle w:val="ActHead5"/>
      </w:pPr>
      <w:bookmarkStart w:id="546" w:name="_Toc13233976"/>
      <w:r w:rsidRPr="00097A86">
        <w:rPr>
          <w:rStyle w:val="CharSectno"/>
        </w:rPr>
        <w:t>5.15A</w:t>
      </w:r>
      <w:r w:rsidR="00D22D3F" w:rsidRPr="00097A86">
        <w:t xml:space="preserve">  </w:t>
      </w:r>
      <w:r w:rsidRPr="00097A86">
        <w:t xml:space="preserve">Equation—change in quantity of particular opening stock at landfill for calculating </w:t>
      </w:r>
      <w:r w:rsidRPr="00097A86">
        <w:rPr>
          <w:sz w:val="22"/>
          <w:szCs w:val="22"/>
        </w:rPr>
        <w:t>CH</w:t>
      </w:r>
      <w:r w:rsidRPr="00097A86">
        <w:rPr>
          <w:rStyle w:val="charSubscript"/>
          <w:sz w:val="22"/>
          <w:szCs w:val="22"/>
        </w:rPr>
        <w:t>4gen</w:t>
      </w:r>
      <w:bookmarkEnd w:id="546"/>
    </w:p>
    <w:p w14:paraId="6F48B397" w14:textId="77777777" w:rsidR="00C46CD8" w:rsidRPr="00097A86" w:rsidRDefault="00C46CD8" w:rsidP="00D22D3F">
      <w:pPr>
        <w:pStyle w:val="subsection"/>
      </w:pPr>
      <w:r w:rsidRPr="00097A86">
        <w:tab/>
        <w:t>(1)</w:t>
      </w:r>
      <w:r w:rsidRPr="00097A86">
        <w:tab/>
        <w:t>For paragraph</w:t>
      </w:r>
      <w:r w:rsidR="00097A86">
        <w:t> </w:t>
      </w:r>
      <w:r w:rsidRPr="00097A86">
        <w:t>5.15(5)(a), this section applies if the result of the first equation in subsection</w:t>
      </w:r>
      <w:r w:rsidR="00097A86">
        <w:t> </w:t>
      </w:r>
      <w:r w:rsidRPr="00097A86">
        <w:t xml:space="preserve">5.15(4) is, for the reporting year for which the result is calculated (the </w:t>
      </w:r>
      <w:r w:rsidRPr="00097A86">
        <w:rPr>
          <w:b/>
          <w:i/>
        </w:rPr>
        <w:t>current reporting year</w:t>
      </w:r>
      <w:r w:rsidRPr="00097A86">
        <w:t xml:space="preserve">), greater than </w:t>
      </w:r>
      <w:r w:rsidR="00EA45EE" w:rsidRPr="00097A86">
        <w:t>the collection efficiency amount for the landfill calculated in accordance with section</w:t>
      </w:r>
      <w:r w:rsidR="00097A86">
        <w:t> </w:t>
      </w:r>
      <w:r w:rsidR="00EA45EE" w:rsidRPr="00097A86">
        <w:t>5.15C</w:t>
      </w:r>
      <w:r w:rsidRPr="00097A86">
        <w:t>.</w:t>
      </w:r>
    </w:p>
    <w:p w14:paraId="531E9852" w14:textId="77777777" w:rsidR="00C46CD8" w:rsidRPr="00097A86" w:rsidRDefault="00C46CD8" w:rsidP="00D22D3F">
      <w:pPr>
        <w:pStyle w:val="subsection"/>
      </w:pPr>
      <w:r w:rsidRPr="00097A86">
        <w:tab/>
        <w:t>(2)</w:t>
      </w:r>
      <w:r w:rsidRPr="00097A86">
        <w:tab/>
        <w:t xml:space="preserve">The change in the quantity of the opening stock of decomposable degradable organic carbon </w:t>
      </w:r>
      <w:r w:rsidRPr="00097A86">
        <w:rPr>
          <w:spacing w:val="1"/>
        </w:rPr>
        <w:t>(</w:t>
      </w:r>
      <w:r w:rsidRPr="00097A86">
        <w:rPr>
          <w:b/>
          <w:i/>
        </w:rPr>
        <w:t>∆</w:t>
      </w:r>
      <w:r w:rsidRPr="00097A86">
        <w:rPr>
          <w:b/>
          <w:i/>
          <w:spacing w:val="1"/>
        </w:rPr>
        <w:t>C</w:t>
      </w:r>
      <w:r w:rsidRPr="00097A86">
        <w:rPr>
          <w:b/>
          <w:i/>
          <w:position w:val="-3"/>
          <w:szCs w:val="14"/>
        </w:rPr>
        <w:t>o</w:t>
      </w:r>
      <w:r w:rsidRPr="00097A86">
        <w:rPr>
          <w:b/>
          <w:i/>
          <w:spacing w:val="1"/>
          <w:position w:val="-3"/>
          <w:szCs w:val="14"/>
        </w:rPr>
        <w:t>s</w:t>
      </w:r>
      <w:r w:rsidRPr="00097A86">
        <w:rPr>
          <w:b/>
          <w:i/>
          <w:vertAlign w:val="subscript"/>
        </w:rPr>
        <w:t>t</w:t>
      </w:r>
      <w:r w:rsidRPr="00097A86">
        <w:rPr>
          <w:spacing w:val="-1"/>
        </w:rPr>
        <w:t xml:space="preserve">) </w:t>
      </w:r>
      <w:r w:rsidRPr="00097A86">
        <w:t>that is:</w:t>
      </w:r>
    </w:p>
    <w:p w14:paraId="57C6745A" w14:textId="77777777" w:rsidR="00C46CD8" w:rsidRPr="00097A86" w:rsidRDefault="00C46CD8" w:rsidP="00D22D3F">
      <w:pPr>
        <w:pStyle w:val="paragraph"/>
      </w:pPr>
      <w:r w:rsidRPr="00097A86">
        <w:tab/>
        <w:t>(a)</w:t>
      </w:r>
      <w:r w:rsidRPr="00097A86">
        <w:tab/>
        <w:t>located in the landfill during the reporting year; and</w:t>
      </w:r>
    </w:p>
    <w:p w14:paraId="736A967B" w14:textId="77777777" w:rsidR="00C46CD8" w:rsidRPr="00097A86" w:rsidRDefault="00C46CD8" w:rsidP="00D22D3F">
      <w:pPr>
        <w:pStyle w:val="paragraph"/>
      </w:pPr>
      <w:r w:rsidRPr="00097A86">
        <w:tab/>
        <w:t>(b)</w:t>
      </w:r>
      <w:r w:rsidRPr="00097A86">
        <w:tab/>
        <w:t>measured in tonnes; and</w:t>
      </w:r>
    </w:p>
    <w:p w14:paraId="5B1BDB34" w14:textId="77777777" w:rsidR="00C46CD8" w:rsidRPr="00097A86" w:rsidRDefault="00C46CD8" w:rsidP="00D22D3F">
      <w:pPr>
        <w:pStyle w:val="paragraph"/>
      </w:pPr>
      <w:r w:rsidRPr="00097A86">
        <w:tab/>
        <w:t>(c)</w:t>
      </w:r>
      <w:r w:rsidRPr="00097A86">
        <w:tab/>
        <w:t>lost through decomposition;</w:t>
      </w:r>
    </w:p>
    <w:p w14:paraId="56B530BB" w14:textId="77777777" w:rsidR="00C46CD8" w:rsidRPr="00097A86" w:rsidRDefault="00C46CD8" w:rsidP="00D22D3F">
      <w:pPr>
        <w:pStyle w:val="subsection2"/>
      </w:pPr>
      <w:r w:rsidRPr="00097A86">
        <w:t xml:space="preserve">must be calculated using the equation mentioned in </w:t>
      </w:r>
      <w:r w:rsidR="00097A86">
        <w:t>subsection (</w:t>
      </w:r>
      <w:r w:rsidRPr="00097A86">
        <w:t>3).</w:t>
      </w:r>
    </w:p>
    <w:p w14:paraId="001B63C8" w14:textId="77777777" w:rsidR="00C46CD8" w:rsidRPr="00097A86" w:rsidRDefault="00C46CD8" w:rsidP="00D22D3F">
      <w:pPr>
        <w:pStyle w:val="subsection"/>
      </w:pPr>
      <w:r w:rsidRPr="00097A86">
        <w:tab/>
        <w:t>(3)</w:t>
      </w:r>
      <w:r w:rsidRPr="00097A86">
        <w:tab/>
        <w:t xml:space="preserve">For </w:t>
      </w:r>
      <w:r w:rsidR="00097A86">
        <w:t>subsection (</w:t>
      </w:r>
      <w:r w:rsidRPr="00097A86">
        <w:t>2), the equation is:</w:t>
      </w:r>
    </w:p>
    <w:p w14:paraId="35CFAE13" w14:textId="77777777" w:rsidR="00B25EE5" w:rsidRPr="00097A86" w:rsidRDefault="00B25EE5" w:rsidP="00B25EE5">
      <w:pPr>
        <w:pStyle w:val="subsection2"/>
      </w:pPr>
      <w:r w:rsidRPr="00097A86">
        <w:rPr>
          <w:position w:val="-32"/>
        </w:rPr>
        <w:object w:dxaOrig="2160" w:dyaOrig="780" w14:anchorId="05BB9F39">
          <v:shape id="_x0000_i1048" type="#_x0000_t75" style="width:108.75pt;height:39pt" o:ole="">
            <v:imagedata r:id="rId197" o:title=""/>
          </v:shape>
          <o:OLEObject Type="Embed" ProgID="Equation.DSMT4" ShapeID="_x0000_i1048" DrawAspect="Content" ObjectID="_1624711052" r:id="rId198"/>
        </w:object>
      </w:r>
    </w:p>
    <w:p w14:paraId="7B55CE24" w14:textId="77777777" w:rsidR="00C46CD8" w:rsidRPr="00097A86" w:rsidRDefault="00C46CD8" w:rsidP="00D22D3F">
      <w:pPr>
        <w:pStyle w:val="subsection2"/>
      </w:pPr>
      <w:r w:rsidRPr="00097A86">
        <w:t>where:</w:t>
      </w:r>
    </w:p>
    <w:p w14:paraId="25D22EFE" w14:textId="77777777" w:rsidR="00C46CD8" w:rsidRPr="00097A86" w:rsidRDefault="00C46CD8" w:rsidP="00D22D3F">
      <w:pPr>
        <w:pStyle w:val="Definition"/>
      </w:pPr>
      <w:r w:rsidRPr="00097A86">
        <w:rPr>
          <w:b/>
          <w:i/>
        </w:rPr>
        <w:t xml:space="preserve">t </w:t>
      </w:r>
      <w:r w:rsidRPr="00097A86">
        <w:t>is the reporting year.</w:t>
      </w:r>
    </w:p>
    <w:p w14:paraId="0B61A01E" w14:textId="77777777" w:rsidR="00C46CD8" w:rsidRPr="00097A86" w:rsidRDefault="00C46CD8" w:rsidP="00D22D3F">
      <w:pPr>
        <w:pStyle w:val="Definition"/>
      </w:pPr>
      <w:r w:rsidRPr="00097A86">
        <w:rPr>
          <w:b/>
          <w:i/>
          <w:iCs/>
        </w:rPr>
        <w:t xml:space="preserve">F </w:t>
      </w:r>
      <w:r w:rsidRPr="00097A86">
        <w:t>is the fraction of methane generated in landfill gas estimated in accordance with section</w:t>
      </w:r>
      <w:r w:rsidR="00097A86">
        <w:t> </w:t>
      </w:r>
      <w:r w:rsidRPr="00097A86">
        <w:t>5.14C.</w:t>
      </w:r>
    </w:p>
    <w:p w14:paraId="3B484A35" w14:textId="77777777" w:rsidR="00C46CD8" w:rsidRPr="00097A86" w:rsidRDefault="00D22D3F" w:rsidP="00D22D3F">
      <w:pPr>
        <w:pStyle w:val="notetext"/>
      </w:pPr>
      <w:r w:rsidRPr="00097A86">
        <w:t>Note 1:</w:t>
      </w:r>
      <w:r w:rsidRPr="00097A86">
        <w:tab/>
      </w:r>
      <w:r w:rsidR="00C46CD8" w:rsidRPr="00097A86">
        <w:t xml:space="preserve">For the definition of </w:t>
      </w:r>
      <w:r w:rsidR="00C46CD8" w:rsidRPr="00097A86">
        <w:rPr>
          <w:b/>
          <w:i/>
        </w:rPr>
        <w:t>reporting year</w:t>
      </w:r>
      <w:r w:rsidR="00C46CD8" w:rsidRPr="00097A86">
        <w:t xml:space="preserve">, see the </w:t>
      </w:r>
      <w:r w:rsidR="00C46CD8" w:rsidRPr="00097A86">
        <w:rPr>
          <w:i/>
        </w:rPr>
        <w:t>National Greenhouse and Energy Reporting Regulations</w:t>
      </w:r>
      <w:r w:rsidR="00097A86">
        <w:rPr>
          <w:i/>
        </w:rPr>
        <w:t> </w:t>
      </w:r>
      <w:r w:rsidR="00C46CD8" w:rsidRPr="00097A86">
        <w:rPr>
          <w:i/>
        </w:rPr>
        <w:t>2008</w:t>
      </w:r>
      <w:r w:rsidR="00C46CD8" w:rsidRPr="00097A86">
        <w:t>.</w:t>
      </w:r>
    </w:p>
    <w:p w14:paraId="5F53ACA4" w14:textId="77777777" w:rsidR="00C46CD8" w:rsidRPr="00097A86" w:rsidRDefault="00D22D3F" w:rsidP="00D22D3F">
      <w:pPr>
        <w:pStyle w:val="notetext"/>
      </w:pPr>
      <w:r w:rsidRPr="00097A86">
        <w:t>Note 2:</w:t>
      </w:r>
      <w:r w:rsidRPr="00097A86">
        <w:tab/>
      </w:r>
      <w:r w:rsidR="00C46CD8" w:rsidRPr="00097A86">
        <w:t>If the result of the first equation in subsection</w:t>
      </w:r>
      <w:r w:rsidR="00097A86">
        <w:t> </w:t>
      </w:r>
      <w:r w:rsidR="00C46CD8" w:rsidRPr="00097A86">
        <w:t>5.15(4):</w:t>
      </w:r>
    </w:p>
    <w:p w14:paraId="2813042B" w14:textId="77777777" w:rsidR="00C46CD8" w:rsidRPr="00097A86" w:rsidRDefault="00C46CD8" w:rsidP="00D22D3F">
      <w:pPr>
        <w:pStyle w:val="notepara"/>
      </w:pPr>
      <w:r w:rsidRPr="00097A86">
        <w:t>(a)</w:t>
      </w:r>
      <w:r w:rsidRPr="00097A86">
        <w:tab/>
        <w:t xml:space="preserve">was, for a previous reporting year or years, greater than </w:t>
      </w:r>
      <w:r w:rsidR="008911C0" w:rsidRPr="00097A86">
        <w:t>the collection efficiency amount for the landfill calculated in accordance with section</w:t>
      </w:r>
      <w:r w:rsidR="00097A86">
        <w:t> </w:t>
      </w:r>
      <w:r w:rsidR="008911C0" w:rsidRPr="00097A86">
        <w:t>5.15C</w:t>
      </w:r>
      <w:r w:rsidRPr="00097A86">
        <w:t>; and</w:t>
      </w:r>
    </w:p>
    <w:p w14:paraId="7C93B15F" w14:textId="77777777" w:rsidR="00C46CD8" w:rsidRPr="00097A86" w:rsidRDefault="00C46CD8" w:rsidP="00D22D3F">
      <w:pPr>
        <w:pStyle w:val="notepara"/>
      </w:pPr>
      <w:r w:rsidRPr="00097A86">
        <w:t>(b)</w:t>
      </w:r>
      <w:r w:rsidRPr="00097A86">
        <w:tab/>
        <w:t xml:space="preserve">is, for the current reporting year, less than or equal to </w:t>
      </w:r>
      <w:r w:rsidR="008911C0" w:rsidRPr="00097A86">
        <w:t>the collection efficiency amount for the landfill calculated in accordance with section</w:t>
      </w:r>
      <w:r w:rsidR="00097A86">
        <w:t> </w:t>
      </w:r>
      <w:r w:rsidR="008911C0" w:rsidRPr="00097A86">
        <w:t>5.15C</w:t>
      </w:r>
      <w:r w:rsidRPr="00097A86">
        <w:t>;</w:t>
      </w:r>
    </w:p>
    <w:p w14:paraId="49087BDA" w14:textId="77777777" w:rsidR="00C46CD8" w:rsidRPr="00097A86" w:rsidRDefault="00C16C54" w:rsidP="00D22D3F">
      <w:pPr>
        <w:pStyle w:val="notetext"/>
      </w:pPr>
      <w:r w:rsidRPr="00097A86">
        <w:tab/>
      </w:r>
      <w:r w:rsidR="00C46CD8" w:rsidRPr="00097A86">
        <w:t>use:</w:t>
      </w:r>
    </w:p>
    <w:p w14:paraId="65843B3A" w14:textId="77777777" w:rsidR="00C46CD8" w:rsidRPr="00097A86" w:rsidRDefault="00C46CD8" w:rsidP="00D22D3F">
      <w:pPr>
        <w:pStyle w:val="notepara"/>
      </w:pPr>
      <w:r w:rsidRPr="00097A86">
        <w:t>(c)</w:t>
      </w:r>
      <w:r w:rsidRPr="00097A86">
        <w:tab/>
        <w:t>the calculation in section</w:t>
      </w:r>
      <w:r w:rsidR="00097A86">
        <w:t> </w:t>
      </w:r>
      <w:r w:rsidRPr="00097A86">
        <w:t xml:space="preserve">5.15A to calculate the change in the opening stock of carbon for the final reporting year in which the result of that equation is greater than </w:t>
      </w:r>
      <w:r w:rsidR="00B25EE5" w:rsidRPr="00097A86">
        <w:t>the collection efficiency amount for the landfill calculated in accordance with section</w:t>
      </w:r>
      <w:r w:rsidR="00097A86">
        <w:t> </w:t>
      </w:r>
      <w:r w:rsidR="00B25EE5" w:rsidRPr="00097A86">
        <w:t>5.15C</w:t>
      </w:r>
      <w:r w:rsidRPr="00097A86">
        <w:t>; and</w:t>
      </w:r>
    </w:p>
    <w:p w14:paraId="1CE10287" w14:textId="77777777" w:rsidR="00C46CD8" w:rsidRPr="00097A86" w:rsidRDefault="00C46CD8" w:rsidP="00D22D3F">
      <w:pPr>
        <w:pStyle w:val="notepara"/>
      </w:pPr>
      <w:r w:rsidRPr="00097A86">
        <w:t>(d)</w:t>
      </w:r>
      <w:r w:rsidRPr="00097A86">
        <w:tab/>
        <w:t>the calculation in section</w:t>
      </w:r>
      <w:r w:rsidR="00097A86">
        <w:t> </w:t>
      </w:r>
      <w:r w:rsidRPr="00097A86">
        <w:t>5.15B to calculate the closing stock for that reporting year.</w:t>
      </w:r>
    </w:p>
    <w:p w14:paraId="7F2AC271" w14:textId="77777777" w:rsidR="00C46CD8" w:rsidRPr="00097A86" w:rsidRDefault="00C46CD8" w:rsidP="00D22D3F">
      <w:pPr>
        <w:pStyle w:val="ActHead5"/>
      </w:pPr>
      <w:bookmarkStart w:id="547" w:name="_Toc13233977"/>
      <w:r w:rsidRPr="00097A86">
        <w:rPr>
          <w:rStyle w:val="CharSectno"/>
        </w:rPr>
        <w:lastRenderedPageBreak/>
        <w:t>5.15B</w:t>
      </w:r>
      <w:r w:rsidR="00D22D3F" w:rsidRPr="00097A86">
        <w:t xml:space="preserve">  </w:t>
      </w:r>
      <w:r w:rsidRPr="00097A86">
        <w:t>Equation—quantity of closing stock at landfill in particular reporting year</w:t>
      </w:r>
      <w:bookmarkEnd w:id="547"/>
    </w:p>
    <w:p w14:paraId="26725B3E" w14:textId="77777777" w:rsidR="00C46CD8" w:rsidRPr="00097A86" w:rsidRDefault="00C46CD8" w:rsidP="00D22D3F">
      <w:pPr>
        <w:pStyle w:val="subsection"/>
      </w:pPr>
      <w:r w:rsidRPr="00097A86">
        <w:tab/>
        <w:t>(1)</w:t>
      </w:r>
      <w:r w:rsidRPr="00097A86">
        <w:tab/>
        <w:t>For paragraph</w:t>
      </w:r>
      <w:r w:rsidR="00097A86">
        <w:t> </w:t>
      </w:r>
      <w:r w:rsidRPr="00097A86">
        <w:t>5.15(5)(b), this section applies if the result of the first equation in subsection</w:t>
      </w:r>
      <w:r w:rsidR="00097A86">
        <w:t> </w:t>
      </w:r>
      <w:r w:rsidRPr="00097A86">
        <w:t xml:space="preserve">5.15(4) is, for the reporting year for which the result is calculated (the </w:t>
      </w:r>
      <w:r w:rsidRPr="00097A86">
        <w:rPr>
          <w:b/>
          <w:i/>
        </w:rPr>
        <w:t>current reporting year</w:t>
      </w:r>
      <w:r w:rsidRPr="00097A86">
        <w:t xml:space="preserve">), greater than </w:t>
      </w:r>
      <w:r w:rsidR="008911C0" w:rsidRPr="00097A86">
        <w:t>the collection efficiency amount for the landfill calculated in accordance with section</w:t>
      </w:r>
      <w:r w:rsidR="00097A86">
        <w:t> </w:t>
      </w:r>
      <w:r w:rsidR="008911C0" w:rsidRPr="00097A86">
        <w:t>5.15C</w:t>
      </w:r>
      <w:r w:rsidRPr="00097A86">
        <w:t>.</w:t>
      </w:r>
    </w:p>
    <w:p w14:paraId="0C232C79" w14:textId="77777777" w:rsidR="00C46CD8" w:rsidRPr="00097A86" w:rsidRDefault="00C46CD8" w:rsidP="00D22D3F">
      <w:pPr>
        <w:pStyle w:val="subsection"/>
      </w:pPr>
      <w:r w:rsidRPr="00097A86">
        <w:tab/>
        <w:t>(2)</w:t>
      </w:r>
      <w:r w:rsidRPr="00097A86">
        <w:tab/>
        <w:t xml:space="preserve">The quantity of closing stock of decomposable degradable organic carbon </w:t>
      </w:r>
      <w:r w:rsidRPr="00097A86">
        <w:rPr>
          <w:spacing w:val="1"/>
        </w:rPr>
        <w:t>(</w:t>
      </w:r>
      <w:r w:rsidRPr="00097A86">
        <w:t>C</w:t>
      </w:r>
      <w:r w:rsidRPr="00097A86">
        <w:rPr>
          <w:vertAlign w:val="subscript"/>
        </w:rPr>
        <w:t>cst</w:t>
      </w:r>
      <w:r w:rsidRPr="00097A86">
        <w:rPr>
          <w:spacing w:val="-1"/>
        </w:rPr>
        <w:t xml:space="preserve">) </w:t>
      </w:r>
      <w:r w:rsidRPr="00097A86">
        <w:t>in the most recent year to which subsection</w:t>
      </w:r>
      <w:r w:rsidR="00097A86">
        <w:t> </w:t>
      </w:r>
      <w:r w:rsidRPr="00097A86">
        <w:t>5.15(4) applies:</w:t>
      </w:r>
    </w:p>
    <w:p w14:paraId="3C6DD45B" w14:textId="77777777" w:rsidR="00C46CD8" w:rsidRPr="00097A86" w:rsidRDefault="00C46CD8" w:rsidP="00D22D3F">
      <w:pPr>
        <w:pStyle w:val="paragraph"/>
      </w:pPr>
      <w:r w:rsidRPr="00097A86">
        <w:tab/>
        <w:t>(a)</w:t>
      </w:r>
      <w:r w:rsidRPr="00097A86">
        <w:tab/>
        <w:t>located in the landfill during the reporting year; and</w:t>
      </w:r>
    </w:p>
    <w:p w14:paraId="5C787BF3" w14:textId="77777777" w:rsidR="00C46CD8" w:rsidRPr="00097A86" w:rsidRDefault="00C46CD8" w:rsidP="00D22D3F">
      <w:pPr>
        <w:pStyle w:val="paragraph"/>
      </w:pPr>
      <w:r w:rsidRPr="00097A86">
        <w:tab/>
        <w:t>(b)</w:t>
      </w:r>
      <w:r w:rsidRPr="00097A86">
        <w:tab/>
        <w:t>measured in tonnes;</w:t>
      </w:r>
    </w:p>
    <w:p w14:paraId="153811C4" w14:textId="77777777" w:rsidR="00C46CD8" w:rsidRPr="00097A86" w:rsidRDefault="00C46CD8" w:rsidP="00D22D3F">
      <w:pPr>
        <w:pStyle w:val="subsection2"/>
      </w:pPr>
      <w:r w:rsidRPr="00097A86">
        <w:t xml:space="preserve">must be calculated using the equation mentioned in </w:t>
      </w:r>
      <w:r w:rsidR="00097A86">
        <w:t>subsection (</w:t>
      </w:r>
      <w:r w:rsidRPr="00097A86">
        <w:t>3).</w:t>
      </w:r>
    </w:p>
    <w:p w14:paraId="230E42AE" w14:textId="77777777" w:rsidR="00C46CD8" w:rsidRPr="00097A86" w:rsidRDefault="00C46CD8" w:rsidP="00D22D3F">
      <w:pPr>
        <w:pStyle w:val="subsection"/>
      </w:pPr>
      <w:r w:rsidRPr="00097A86">
        <w:tab/>
        <w:t>(3)</w:t>
      </w:r>
      <w:r w:rsidRPr="00097A86">
        <w:tab/>
        <w:t xml:space="preserve">For </w:t>
      </w:r>
      <w:r w:rsidR="00097A86">
        <w:t>subsection (</w:t>
      </w:r>
      <w:r w:rsidRPr="00097A86">
        <w:t>2), the equation is:</w:t>
      </w:r>
    </w:p>
    <w:p w14:paraId="7520C2B5" w14:textId="77777777" w:rsidR="00C46CD8" w:rsidRPr="00097A86" w:rsidRDefault="00D22D3F" w:rsidP="00D22D3F">
      <w:pPr>
        <w:pStyle w:val="subsection"/>
        <w:spacing w:before="120" w:after="120"/>
      </w:pPr>
      <w:r w:rsidRPr="00097A86">
        <w:tab/>
      </w:r>
      <w:r w:rsidRPr="00097A86">
        <w:tab/>
      </w:r>
      <w:r w:rsidR="009E1F90">
        <w:rPr>
          <w:noProof/>
        </w:rPr>
        <w:drawing>
          <wp:inline distT="0" distB="0" distL="0" distR="0" wp14:anchorId="09D80F46" wp14:editId="40CEA16F">
            <wp:extent cx="1066800" cy="2381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p w14:paraId="04DA8E1F" w14:textId="77777777" w:rsidR="00C46CD8" w:rsidRPr="00097A86" w:rsidRDefault="00C46CD8" w:rsidP="00D22D3F">
      <w:pPr>
        <w:pStyle w:val="subsection2"/>
      </w:pPr>
      <w:r w:rsidRPr="00097A86">
        <w:t>where:</w:t>
      </w:r>
    </w:p>
    <w:p w14:paraId="4F8AF22F" w14:textId="77777777" w:rsidR="00C46CD8" w:rsidRPr="00097A86" w:rsidRDefault="00C46CD8" w:rsidP="00D22D3F">
      <w:pPr>
        <w:pStyle w:val="Definition"/>
      </w:pPr>
      <w:r w:rsidRPr="00097A86">
        <w:rPr>
          <w:b/>
          <w:i/>
          <w:spacing w:val="1"/>
          <w:position w:val="3"/>
        </w:rPr>
        <w:t>C</w:t>
      </w:r>
      <w:r w:rsidRPr="00097A86">
        <w:rPr>
          <w:b/>
          <w:i/>
          <w:sz w:val="14"/>
          <w:szCs w:val="14"/>
        </w:rPr>
        <w:t>c</w:t>
      </w:r>
      <w:r w:rsidRPr="00097A86">
        <w:rPr>
          <w:b/>
          <w:i/>
          <w:spacing w:val="1"/>
          <w:sz w:val="14"/>
          <w:szCs w:val="14"/>
        </w:rPr>
        <w:t>s</w:t>
      </w:r>
      <w:r w:rsidRPr="00097A86">
        <w:rPr>
          <w:b/>
          <w:i/>
          <w:sz w:val="14"/>
          <w:szCs w:val="14"/>
        </w:rPr>
        <w:t xml:space="preserve">t </w:t>
      </w:r>
      <w:r w:rsidRPr="00097A86">
        <w:t>is the closing stock of carbon in the last year in which subsection</w:t>
      </w:r>
      <w:r w:rsidR="00097A86">
        <w:t> </w:t>
      </w:r>
      <w:r w:rsidRPr="00097A86">
        <w:t>5.15(4) was used to calculate emissions.</w:t>
      </w:r>
    </w:p>
    <w:p w14:paraId="2079D463" w14:textId="77777777" w:rsidR="00C46CD8" w:rsidRPr="00097A86" w:rsidRDefault="00C46CD8" w:rsidP="00D22D3F">
      <w:pPr>
        <w:pStyle w:val="Definition"/>
      </w:pPr>
      <w:r w:rsidRPr="00097A86">
        <w:rPr>
          <w:b/>
          <w:i/>
          <w:spacing w:val="1"/>
          <w:position w:val="3"/>
        </w:rPr>
        <w:t>C</w:t>
      </w:r>
      <w:r w:rsidRPr="00097A86">
        <w:rPr>
          <w:b/>
          <w:i/>
          <w:sz w:val="14"/>
          <w:szCs w:val="14"/>
        </w:rPr>
        <w:t>o</w:t>
      </w:r>
      <w:r w:rsidRPr="00097A86">
        <w:rPr>
          <w:b/>
          <w:i/>
          <w:spacing w:val="3"/>
          <w:sz w:val="14"/>
          <w:szCs w:val="14"/>
        </w:rPr>
        <w:t>s</w:t>
      </w:r>
      <w:r w:rsidRPr="00097A86">
        <w:rPr>
          <w:b/>
          <w:i/>
          <w:sz w:val="14"/>
          <w:szCs w:val="14"/>
        </w:rPr>
        <w:t>t</w:t>
      </w:r>
      <w:r w:rsidRPr="00097A86">
        <w:rPr>
          <w:b/>
          <w:i/>
          <w:spacing w:val="23"/>
          <w:sz w:val="14"/>
          <w:szCs w:val="14"/>
        </w:rPr>
        <w:t xml:space="preserve"> </w:t>
      </w:r>
      <w:r w:rsidRPr="00097A86">
        <w:t>is the opening stock of carbon in the first year in which 5.15(4) was used to calculate emissions.</w:t>
      </w:r>
    </w:p>
    <w:p w14:paraId="7CD58F3C" w14:textId="77777777" w:rsidR="00C46CD8" w:rsidRPr="00097A86" w:rsidRDefault="00C46CD8" w:rsidP="00D22D3F">
      <w:pPr>
        <w:pStyle w:val="Definition"/>
      </w:pPr>
      <w:r w:rsidRPr="00097A86">
        <w:rPr>
          <w:b/>
          <w:i/>
          <w:position w:val="3"/>
        </w:rPr>
        <w:t>∆</w:t>
      </w:r>
      <w:r w:rsidRPr="00097A86">
        <w:rPr>
          <w:b/>
          <w:i/>
          <w:spacing w:val="1"/>
          <w:position w:val="3"/>
        </w:rPr>
        <w:t>C</w:t>
      </w:r>
      <w:r w:rsidRPr="00097A86">
        <w:rPr>
          <w:b/>
          <w:i/>
          <w:sz w:val="14"/>
          <w:szCs w:val="14"/>
        </w:rPr>
        <w:t>o</w:t>
      </w:r>
      <w:r w:rsidRPr="00097A86">
        <w:rPr>
          <w:b/>
          <w:i/>
          <w:spacing w:val="3"/>
          <w:sz w:val="14"/>
          <w:szCs w:val="14"/>
        </w:rPr>
        <w:t xml:space="preserve">st </w:t>
      </w:r>
      <w:r w:rsidRPr="00097A86">
        <w:t>is the change in carbon stock for all years in which 5.15(4) applies and is estimated in accordance with 5.15A</w:t>
      </w:r>
    </w:p>
    <w:p w14:paraId="27E4F69F" w14:textId="77777777" w:rsidR="00C46CD8" w:rsidRPr="00097A86" w:rsidRDefault="00D22D3F" w:rsidP="00D22D3F">
      <w:pPr>
        <w:pStyle w:val="notetext"/>
      </w:pPr>
      <w:r w:rsidRPr="00097A86">
        <w:t>Note:</w:t>
      </w:r>
      <w:r w:rsidRPr="00097A86">
        <w:tab/>
      </w:r>
      <w:r w:rsidR="00C46CD8" w:rsidRPr="00097A86">
        <w:t>The quantity of closing stock calculated in accordance with this section is the same as the quantity of opening stock for the current reporting year.</w:t>
      </w:r>
    </w:p>
    <w:p w14:paraId="15D5F520" w14:textId="77777777" w:rsidR="008911C0" w:rsidRPr="00097A86" w:rsidRDefault="008911C0" w:rsidP="008911C0">
      <w:pPr>
        <w:pStyle w:val="ActHead5"/>
      </w:pPr>
      <w:bookmarkStart w:id="548" w:name="_Toc13233978"/>
      <w:r w:rsidRPr="00097A86">
        <w:rPr>
          <w:rStyle w:val="CharSectno"/>
        </w:rPr>
        <w:t>5.15C</w:t>
      </w:r>
      <w:r w:rsidRPr="00097A86">
        <w:t xml:space="preserve">  Equation—collection efficiency limit at landfill in particular reporting year</w:t>
      </w:r>
      <w:bookmarkEnd w:id="548"/>
    </w:p>
    <w:p w14:paraId="4C298B6A" w14:textId="77777777" w:rsidR="008911C0" w:rsidRPr="00097A86" w:rsidRDefault="008911C0" w:rsidP="008911C0">
      <w:pPr>
        <w:pStyle w:val="subsection"/>
      </w:pPr>
      <w:r w:rsidRPr="00097A86">
        <w:tab/>
        <w:t>(1)</w:t>
      </w:r>
      <w:r w:rsidRPr="00097A86">
        <w:tab/>
        <w:t xml:space="preserve">Subject to </w:t>
      </w:r>
      <w:r w:rsidR="00097A86">
        <w:t>subsection (</w:t>
      </w:r>
      <w:r w:rsidRPr="00097A86">
        <w:t>2), the collection efficiency limit for a landfill is calculated using the following formula:</w:t>
      </w:r>
    </w:p>
    <w:bookmarkStart w:id="549" w:name="BKCheck15B_29"/>
    <w:bookmarkEnd w:id="549"/>
    <w:p w14:paraId="70D64396" w14:textId="77777777" w:rsidR="008911C0" w:rsidRPr="00097A86" w:rsidRDefault="008911C0" w:rsidP="008911C0">
      <w:pPr>
        <w:pStyle w:val="subsection2"/>
      </w:pPr>
      <w:r w:rsidRPr="00097A86">
        <w:object w:dxaOrig="3580" w:dyaOrig="760" w14:anchorId="5213F138">
          <v:shape id="_x0000_i1049" type="#_x0000_t75" style="width:179.25pt;height:39pt" o:ole="">
            <v:imagedata r:id="rId199" o:title=""/>
          </v:shape>
          <o:OLEObject Type="Embed" ProgID="Equation.DSMT4" ShapeID="_x0000_i1049" DrawAspect="Content" ObjectID="_1624711053" r:id="rId200"/>
        </w:object>
      </w:r>
    </w:p>
    <w:p w14:paraId="66EBC8C7" w14:textId="77777777" w:rsidR="008911C0" w:rsidRPr="00097A86" w:rsidRDefault="008911C0" w:rsidP="008911C0">
      <w:pPr>
        <w:pStyle w:val="subsection2"/>
      </w:pPr>
      <w:r w:rsidRPr="00097A86">
        <w:t>where:</w:t>
      </w:r>
    </w:p>
    <w:p w14:paraId="7E825AB9" w14:textId="77777777" w:rsidR="008911C0" w:rsidRPr="00097A86" w:rsidRDefault="008911C0" w:rsidP="008911C0">
      <w:pPr>
        <w:pStyle w:val="Definition"/>
      </w:pPr>
      <w:r w:rsidRPr="00097A86">
        <w:rPr>
          <w:b/>
          <w:i/>
        </w:rPr>
        <w:t>A2</w:t>
      </w:r>
      <w:r w:rsidRPr="00097A86">
        <w:t xml:space="preserve"> is the area of the landfill in square metres, regardless of cover type, without active gas collection.</w:t>
      </w:r>
    </w:p>
    <w:p w14:paraId="69DF62A4" w14:textId="77777777" w:rsidR="008911C0" w:rsidRPr="00097A86" w:rsidRDefault="008911C0" w:rsidP="008911C0">
      <w:pPr>
        <w:pStyle w:val="Definition"/>
      </w:pPr>
      <w:r w:rsidRPr="00097A86">
        <w:rPr>
          <w:b/>
          <w:i/>
        </w:rPr>
        <w:t>A3</w:t>
      </w:r>
      <w:r w:rsidRPr="00097A86">
        <w:t xml:space="preserve"> is the area of the landfill in square metres that has daily soil cover and active gas collection.</w:t>
      </w:r>
    </w:p>
    <w:p w14:paraId="39D81C19" w14:textId="77777777" w:rsidR="008911C0" w:rsidRPr="00097A86" w:rsidRDefault="008911C0" w:rsidP="008911C0">
      <w:pPr>
        <w:pStyle w:val="Definition"/>
      </w:pPr>
      <w:r w:rsidRPr="00097A86">
        <w:rPr>
          <w:b/>
          <w:i/>
        </w:rPr>
        <w:t>A4</w:t>
      </w:r>
      <w:r w:rsidRPr="00097A86">
        <w:t xml:space="preserve"> is the area of the landfill in square metres that has active gas collection and:</w:t>
      </w:r>
    </w:p>
    <w:p w14:paraId="32BAC1DA" w14:textId="77777777" w:rsidR="008911C0" w:rsidRPr="00097A86" w:rsidRDefault="008911C0" w:rsidP="008911C0">
      <w:pPr>
        <w:pStyle w:val="paragraph"/>
      </w:pPr>
      <w:r w:rsidRPr="00097A86">
        <w:tab/>
        <w:t>(a)</w:t>
      </w:r>
      <w:r w:rsidRPr="00097A86">
        <w:tab/>
        <w:t>a top cover that is an intermediate type; or</w:t>
      </w:r>
    </w:p>
    <w:p w14:paraId="41AB88B5" w14:textId="77777777" w:rsidR="008911C0" w:rsidRPr="00097A86" w:rsidRDefault="008911C0" w:rsidP="008911C0">
      <w:pPr>
        <w:pStyle w:val="paragraph"/>
      </w:pPr>
      <w:r w:rsidRPr="00097A86">
        <w:tab/>
        <w:t>(b)</w:t>
      </w:r>
      <w:r w:rsidRPr="00097A86">
        <w:tab/>
        <w:t>a final cover of clay that is less than 1 metre thick; or</w:t>
      </w:r>
    </w:p>
    <w:p w14:paraId="6CA870A7" w14:textId="77777777" w:rsidR="008911C0" w:rsidRPr="00097A86" w:rsidRDefault="008911C0" w:rsidP="008911C0">
      <w:pPr>
        <w:pStyle w:val="paragraph"/>
      </w:pPr>
      <w:r w:rsidRPr="00097A86">
        <w:lastRenderedPageBreak/>
        <w:tab/>
        <w:t>(c)</w:t>
      </w:r>
      <w:r w:rsidRPr="00097A86">
        <w:tab/>
        <w:t>a phytocap layer that is at least 1 metre thick.</w:t>
      </w:r>
    </w:p>
    <w:p w14:paraId="14F69BE6" w14:textId="77777777" w:rsidR="008911C0" w:rsidRPr="00097A86" w:rsidRDefault="008911C0" w:rsidP="008911C0">
      <w:pPr>
        <w:pStyle w:val="Definition"/>
      </w:pPr>
      <w:r w:rsidRPr="00097A86">
        <w:rPr>
          <w:b/>
          <w:i/>
        </w:rPr>
        <w:t>A5</w:t>
      </w:r>
      <w:r w:rsidRPr="00097A86">
        <w:t xml:space="preserve"> is the area of the landfill in square metres</w:t>
      </w:r>
      <w:r w:rsidRPr="00097A86">
        <w:rPr>
          <w:vertAlign w:val="superscript"/>
        </w:rPr>
        <w:t xml:space="preserve"> </w:t>
      </w:r>
      <w:r w:rsidRPr="00097A86">
        <w:t>that has active gas collection and:</w:t>
      </w:r>
    </w:p>
    <w:p w14:paraId="53C78951" w14:textId="77777777" w:rsidR="008911C0" w:rsidRPr="00097A86" w:rsidRDefault="008911C0" w:rsidP="008911C0">
      <w:pPr>
        <w:pStyle w:val="paragraph"/>
      </w:pPr>
      <w:r w:rsidRPr="00097A86">
        <w:tab/>
        <w:t>(a)</w:t>
      </w:r>
      <w:r w:rsidRPr="00097A86">
        <w:tab/>
        <w:t>a final cover of clay that is at least 1 metre thick; or</w:t>
      </w:r>
    </w:p>
    <w:p w14:paraId="28EBBC33" w14:textId="77777777" w:rsidR="008911C0" w:rsidRPr="00097A86" w:rsidRDefault="008911C0" w:rsidP="008911C0">
      <w:pPr>
        <w:pStyle w:val="paragraph"/>
      </w:pPr>
      <w:r w:rsidRPr="00097A86">
        <w:tab/>
        <w:t>(b)</w:t>
      </w:r>
      <w:r w:rsidRPr="00097A86">
        <w:tab/>
        <w:t>a geo</w:t>
      </w:r>
      <w:r w:rsidR="00097A86">
        <w:noBreakHyphen/>
      </w:r>
      <w:r w:rsidRPr="00097A86">
        <w:t>membrane cover system.</w:t>
      </w:r>
    </w:p>
    <w:p w14:paraId="769FA6D9" w14:textId="77777777" w:rsidR="008911C0" w:rsidRPr="00097A86" w:rsidRDefault="008911C0" w:rsidP="008911C0">
      <w:pPr>
        <w:pStyle w:val="subsection"/>
      </w:pPr>
      <w:r w:rsidRPr="00097A86">
        <w:tab/>
        <w:t>(2)</w:t>
      </w:r>
      <w:r w:rsidRPr="00097A86">
        <w:tab/>
        <w:t xml:space="preserve">Where a landfill operator is unable to specify the areas for the factors A2, A3, A4 and A5 in </w:t>
      </w:r>
      <w:r w:rsidR="00097A86">
        <w:t>subsection (</w:t>
      </w:r>
      <w:r w:rsidRPr="00097A86">
        <w:t>1), the collection efficiency limit for the landfill is calculated using the following formula:</w:t>
      </w:r>
    </w:p>
    <w:bookmarkStart w:id="550" w:name="BKCheck15B_30"/>
    <w:bookmarkEnd w:id="550"/>
    <w:p w14:paraId="65D0C71E" w14:textId="77777777" w:rsidR="008911C0" w:rsidRPr="00097A86" w:rsidRDefault="008911C0" w:rsidP="008911C0">
      <w:pPr>
        <w:pStyle w:val="subsection2"/>
      </w:pPr>
      <w:r w:rsidRPr="00097A86">
        <w:object w:dxaOrig="5380" w:dyaOrig="300" w14:anchorId="6219DFA3">
          <v:shape id="_x0000_i1050" type="#_x0000_t75" style="width:270pt;height:15.75pt" o:ole="">
            <v:imagedata r:id="rId201" o:title=""/>
          </v:shape>
          <o:OLEObject Type="Embed" ProgID="Equation.DSMT4" ShapeID="_x0000_i1050" DrawAspect="Content" ObjectID="_1624711054" r:id="rId202"/>
        </w:object>
      </w:r>
    </w:p>
    <w:p w14:paraId="1573C682" w14:textId="77777777" w:rsidR="002C7A17" w:rsidRPr="00097A86" w:rsidRDefault="002C7A17" w:rsidP="00D22D3F">
      <w:pPr>
        <w:pStyle w:val="ActHead4"/>
        <w:rPr>
          <w:i/>
        </w:rPr>
      </w:pPr>
      <w:bookmarkStart w:id="551" w:name="_Toc13233979"/>
      <w:r w:rsidRPr="00097A86">
        <w:rPr>
          <w:rStyle w:val="CharSubdNo"/>
        </w:rPr>
        <w:t>Subdivision</w:t>
      </w:r>
      <w:r w:rsidR="00097A86">
        <w:rPr>
          <w:rStyle w:val="CharSubdNo"/>
        </w:rPr>
        <w:t> </w:t>
      </w:r>
      <w:r w:rsidRPr="00097A86">
        <w:rPr>
          <w:rStyle w:val="CharSubdNo"/>
        </w:rPr>
        <w:t>5.2.3.2</w:t>
      </w:r>
      <w:r w:rsidR="00D22D3F" w:rsidRPr="00097A86">
        <w:t>—</w:t>
      </w:r>
      <w:r w:rsidRPr="00097A86">
        <w:rPr>
          <w:rStyle w:val="CharSubdText"/>
        </w:rPr>
        <w:t>Requirements for calculating the methane generation constant (k)</w:t>
      </w:r>
      <w:bookmarkEnd w:id="551"/>
    </w:p>
    <w:p w14:paraId="15931F54" w14:textId="77777777" w:rsidR="002C7A17" w:rsidRPr="00097A86" w:rsidRDefault="002C7A17" w:rsidP="00D22D3F">
      <w:pPr>
        <w:pStyle w:val="ActHead5"/>
      </w:pPr>
      <w:bookmarkStart w:id="552" w:name="_Toc13233980"/>
      <w:r w:rsidRPr="00097A86">
        <w:rPr>
          <w:rStyle w:val="CharSectno"/>
        </w:rPr>
        <w:t>5.16</w:t>
      </w:r>
      <w:r w:rsidR="00D22D3F" w:rsidRPr="00097A86">
        <w:t xml:space="preserve">  </w:t>
      </w:r>
      <w:r w:rsidRPr="00097A86">
        <w:t>Procedures for selecting representative zone</w:t>
      </w:r>
      <w:bookmarkEnd w:id="552"/>
    </w:p>
    <w:p w14:paraId="48259289" w14:textId="77777777" w:rsidR="002C7A17" w:rsidRPr="00097A86" w:rsidRDefault="002C7A17" w:rsidP="00D22D3F">
      <w:pPr>
        <w:pStyle w:val="subsection"/>
      </w:pPr>
      <w:r w:rsidRPr="00097A86">
        <w:tab/>
      </w:r>
      <w:r w:rsidRPr="00097A86">
        <w:tab/>
      </w:r>
      <w:r w:rsidR="00C46CD8" w:rsidRPr="00097A86">
        <w:t xml:space="preserve">The operator </w:t>
      </w:r>
      <w:r w:rsidRPr="00097A86">
        <w:t>of the landfill must select a representative zone in accordance with sections</w:t>
      </w:r>
      <w:r w:rsidR="00097A86">
        <w:t> </w:t>
      </w:r>
      <w:r w:rsidRPr="00097A86">
        <w:t>5.17 to 5.17B for the purpose of estimating the methane generated from the landfill.</w:t>
      </w:r>
    </w:p>
    <w:p w14:paraId="64737460" w14:textId="77777777" w:rsidR="00C46CD8" w:rsidRPr="00097A86" w:rsidRDefault="00C46CD8" w:rsidP="00D22D3F">
      <w:pPr>
        <w:pStyle w:val="ActHead5"/>
      </w:pPr>
      <w:bookmarkStart w:id="553" w:name="_Toc13233981"/>
      <w:r w:rsidRPr="00097A86">
        <w:rPr>
          <w:rStyle w:val="CharSectno"/>
        </w:rPr>
        <w:t>5.17</w:t>
      </w:r>
      <w:r w:rsidR="00D22D3F" w:rsidRPr="00097A86">
        <w:t xml:space="preserve">  </w:t>
      </w:r>
      <w:r w:rsidRPr="00097A86">
        <w:t>Site plan—preparation and requirements</w:t>
      </w:r>
      <w:bookmarkEnd w:id="553"/>
    </w:p>
    <w:p w14:paraId="3C446237" w14:textId="77777777" w:rsidR="00C46CD8" w:rsidRPr="00097A86" w:rsidRDefault="00C46CD8" w:rsidP="00D22D3F">
      <w:pPr>
        <w:pStyle w:val="subsection"/>
      </w:pPr>
      <w:r w:rsidRPr="00097A86">
        <w:tab/>
        <w:t>(1)</w:t>
      </w:r>
      <w:r w:rsidRPr="00097A86">
        <w:tab/>
        <w:t>Before selecting a representative zone, the operator of a landfill must prepare a site plan of the landfill.</w:t>
      </w:r>
    </w:p>
    <w:p w14:paraId="26789B91" w14:textId="77777777" w:rsidR="00C46CD8" w:rsidRPr="00097A86" w:rsidRDefault="00C46CD8" w:rsidP="00D22D3F">
      <w:pPr>
        <w:pStyle w:val="subsection"/>
      </w:pPr>
      <w:r w:rsidRPr="00097A86">
        <w:tab/>
        <w:t>(2)</w:t>
      </w:r>
      <w:r w:rsidRPr="00097A86">
        <w:tab/>
        <w:t>The site plan must:</w:t>
      </w:r>
    </w:p>
    <w:p w14:paraId="7BF4DD5E" w14:textId="77777777" w:rsidR="00C46CD8" w:rsidRPr="00097A86" w:rsidRDefault="00C46CD8" w:rsidP="00D22D3F">
      <w:pPr>
        <w:pStyle w:val="paragraph"/>
      </w:pPr>
      <w:r w:rsidRPr="00097A86">
        <w:tab/>
        <w:t>(a)</w:t>
      </w:r>
      <w:r w:rsidRPr="00097A86">
        <w:tab/>
        <w:t xml:space="preserve">be consistent with the provisions relating to landfill site plans included in the document entitled </w:t>
      </w:r>
      <w:r w:rsidRPr="00097A86">
        <w:rPr>
          <w:i/>
        </w:rPr>
        <w:t>Technical Guidelines for the estimation of greenhouse gas emissions by facilities in Australia</w:t>
      </w:r>
      <w:r w:rsidRPr="00097A86">
        <w:t>, published by the Department of Climate Change and Energy Efficiency in July 2011; and</w:t>
      </w:r>
    </w:p>
    <w:p w14:paraId="7BDD5B3A" w14:textId="77777777" w:rsidR="00C46CD8" w:rsidRPr="00097A86" w:rsidRDefault="00C46CD8" w:rsidP="00D22D3F">
      <w:pPr>
        <w:pStyle w:val="paragraph"/>
      </w:pPr>
      <w:r w:rsidRPr="00097A86">
        <w:tab/>
        <w:t>(b)</w:t>
      </w:r>
      <w:r w:rsidRPr="00097A86">
        <w:tab/>
        <w:t>if the landfill has more than one sub</w:t>
      </w:r>
      <w:r w:rsidR="00097A86">
        <w:noBreakHyphen/>
      </w:r>
      <w:r w:rsidRPr="00097A86">
        <w:t>facility zone—show the boundaries of each sub</w:t>
      </w:r>
      <w:r w:rsidR="00097A86">
        <w:noBreakHyphen/>
      </w:r>
      <w:r w:rsidRPr="00097A86">
        <w:t>facility zone.</w:t>
      </w:r>
    </w:p>
    <w:p w14:paraId="7601B87A" w14:textId="77777777" w:rsidR="00C46CD8" w:rsidRPr="00097A86" w:rsidRDefault="00D22D3F" w:rsidP="00D22D3F">
      <w:pPr>
        <w:pStyle w:val="notetext"/>
      </w:pPr>
      <w:r w:rsidRPr="00097A86">
        <w:t>Note:</w:t>
      </w:r>
      <w:r w:rsidRPr="00097A86">
        <w:tab/>
      </w:r>
      <w:r w:rsidR="00C46CD8" w:rsidRPr="00097A86">
        <w:t xml:space="preserve">The </w:t>
      </w:r>
      <w:r w:rsidR="00C46CD8" w:rsidRPr="00097A86">
        <w:rPr>
          <w:i/>
        </w:rPr>
        <w:t>Technical Guidelines for the estimation of greenhouse gas emissions by facilities in Australia</w:t>
      </w:r>
      <w:r w:rsidR="00C46CD8" w:rsidRPr="00097A86">
        <w:t xml:space="preserve"> are available at </w:t>
      </w:r>
      <w:r w:rsidR="00C46CD8" w:rsidRPr="00097A86">
        <w:rPr>
          <w:u w:val="single"/>
        </w:rPr>
        <w:t>www.climatechange.gov.au</w:t>
      </w:r>
      <w:r w:rsidR="00C46CD8" w:rsidRPr="00097A86">
        <w:t>.</w:t>
      </w:r>
    </w:p>
    <w:p w14:paraId="3B0F1CA1" w14:textId="77777777" w:rsidR="00C46CD8" w:rsidRPr="00097A86" w:rsidRDefault="00C46CD8" w:rsidP="00D22D3F">
      <w:pPr>
        <w:pStyle w:val="ActHead5"/>
      </w:pPr>
      <w:bookmarkStart w:id="554" w:name="_Toc13233982"/>
      <w:r w:rsidRPr="00097A86">
        <w:rPr>
          <w:rStyle w:val="CharSectno"/>
        </w:rPr>
        <w:t>5.17AA</w:t>
      </w:r>
      <w:r w:rsidR="00D22D3F" w:rsidRPr="00097A86">
        <w:t xml:space="preserve">  </w:t>
      </w:r>
      <w:r w:rsidRPr="00097A86">
        <w:t>Sub</w:t>
      </w:r>
      <w:r w:rsidR="00097A86">
        <w:noBreakHyphen/>
      </w:r>
      <w:r w:rsidRPr="00097A86">
        <w:t>facility zones—maximum number and requirements</w:t>
      </w:r>
      <w:bookmarkEnd w:id="554"/>
    </w:p>
    <w:p w14:paraId="4DCA0D27" w14:textId="77777777" w:rsidR="00C46CD8" w:rsidRPr="00097A86" w:rsidRDefault="00C46CD8" w:rsidP="00D22D3F">
      <w:pPr>
        <w:pStyle w:val="subsection"/>
      </w:pPr>
      <w:r w:rsidRPr="00097A86">
        <w:tab/>
        <w:t>(1)</w:t>
      </w:r>
      <w:r w:rsidRPr="00097A86">
        <w:tab/>
        <w:t>After preparing a site plan, the landfill operator may select sub</w:t>
      </w:r>
      <w:r w:rsidR="00097A86">
        <w:noBreakHyphen/>
      </w:r>
      <w:r w:rsidRPr="00097A86">
        <w:t>facility zones for the site plan.</w:t>
      </w:r>
    </w:p>
    <w:p w14:paraId="5B6761A4" w14:textId="77777777" w:rsidR="00C46CD8" w:rsidRPr="00097A86" w:rsidRDefault="00C46CD8" w:rsidP="00D22D3F">
      <w:pPr>
        <w:pStyle w:val="subsection"/>
      </w:pPr>
      <w:r w:rsidRPr="00097A86">
        <w:tab/>
        <w:t>(2)</w:t>
      </w:r>
      <w:r w:rsidRPr="00097A86">
        <w:tab/>
        <w:t>The number of sub</w:t>
      </w:r>
      <w:r w:rsidR="00097A86">
        <w:noBreakHyphen/>
      </w:r>
      <w:r w:rsidRPr="00097A86">
        <w:t>facility zones the landfill operator may select:</w:t>
      </w:r>
    </w:p>
    <w:p w14:paraId="2819AD91" w14:textId="77777777" w:rsidR="00C46CD8" w:rsidRPr="00097A86" w:rsidRDefault="00C46CD8" w:rsidP="00D22D3F">
      <w:pPr>
        <w:pStyle w:val="paragraph"/>
      </w:pPr>
      <w:r w:rsidRPr="00097A86">
        <w:tab/>
        <w:t>(a)</w:t>
      </w:r>
      <w:r w:rsidRPr="00097A86">
        <w:tab/>
        <w:t>for sub</w:t>
      </w:r>
      <w:r w:rsidR="00097A86">
        <w:noBreakHyphen/>
      </w:r>
      <w:r w:rsidRPr="00097A86">
        <w:t>facility zones that contain only waste mix of the type mentioned in paragraph</w:t>
      </w:r>
      <w:r w:rsidR="00097A86">
        <w:t> </w:t>
      </w:r>
      <w:r w:rsidRPr="00097A86">
        <w:t>5.11(1)(i)—is unlimited; and</w:t>
      </w:r>
    </w:p>
    <w:p w14:paraId="7C24571C" w14:textId="77777777" w:rsidR="00C46CD8" w:rsidRPr="00097A86" w:rsidRDefault="00C46CD8" w:rsidP="00D22D3F">
      <w:pPr>
        <w:pStyle w:val="paragraph"/>
      </w:pPr>
      <w:r w:rsidRPr="00097A86">
        <w:tab/>
        <w:t>(b)</w:t>
      </w:r>
      <w:r w:rsidRPr="00097A86">
        <w:tab/>
        <w:t>for all other sub</w:t>
      </w:r>
      <w:r w:rsidR="00097A86">
        <w:noBreakHyphen/>
      </w:r>
      <w:r w:rsidRPr="00097A86">
        <w:t>facility zones—must not exceed 4.</w:t>
      </w:r>
    </w:p>
    <w:p w14:paraId="192EB94C" w14:textId="77777777" w:rsidR="00C46CD8" w:rsidRPr="00097A86" w:rsidRDefault="00C46CD8" w:rsidP="00D22D3F">
      <w:pPr>
        <w:pStyle w:val="subsection"/>
      </w:pPr>
      <w:r w:rsidRPr="00097A86">
        <w:tab/>
        <w:t>(3)</w:t>
      </w:r>
      <w:r w:rsidRPr="00097A86">
        <w:tab/>
        <w:t>A sub</w:t>
      </w:r>
      <w:r w:rsidR="00097A86">
        <w:noBreakHyphen/>
      </w:r>
      <w:r w:rsidRPr="00097A86">
        <w:t>facility zone:</w:t>
      </w:r>
    </w:p>
    <w:p w14:paraId="30875048" w14:textId="77777777" w:rsidR="00C46CD8" w:rsidRPr="00097A86" w:rsidRDefault="00C46CD8" w:rsidP="00D22D3F">
      <w:pPr>
        <w:pStyle w:val="paragraph"/>
      </w:pPr>
      <w:r w:rsidRPr="00097A86">
        <w:tab/>
        <w:t>(a)</w:t>
      </w:r>
      <w:r w:rsidRPr="00097A86">
        <w:tab/>
        <w:t>must cover an area of at least 1 hectare; and</w:t>
      </w:r>
    </w:p>
    <w:p w14:paraId="521FB26C" w14:textId="77777777" w:rsidR="00C46CD8" w:rsidRPr="00097A86" w:rsidRDefault="00C46CD8" w:rsidP="00D22D3F">
      <w:pPr>
        <w:pStyle w:val="paragraph"/>
      </w:pPr>
      <w:r w:rsidRPr="00097A86">
        <w:tab/>
        <w:t>(b)</w:t>
      </w:r>
      <w:r w:rsidRPr="00097A86">
        <w:tab/>
        <w:t>must be a single area within the landfill; and</w:t>
      </w:r>
    </w:p>
    <w:p w14:paraId="250CB207" w14:textId="77777777" w:rsidR="00C46CD8" w:rsidRPr="00097A86" w:rsidRDefault="00C46CD8" w:rsidP="00D22D3F">
      <w:pPr>
        <w:pStyle w:val="paragraph"/>
      </w:pPr>
      <w:r w:rsidRPr="00097A86">
        <w:lastRenderedPageBreak/>
        <w:tab/>
        <w:t>(c)</w:t>
      </w:r>
      <w:r w:rsidRPr="00097A86">
        <w:tab/>
        <w:t>must have a uniform composition of waste mix types so that the estimates of the methane generated by the sub</w:t>
      </w:r>
      <w:r w:rsidR="00097A86">
        <w:noBreakHyphen/>
      </w:r>
      <w:r w:rsidRPr="00097A86">
        <w:t>facility zone are in accordance with section</w:t>
      </w:r>
      <w:r w:rsidR="00097A86">
        <w:t> </w:t>
      </w:r>
      <w:r w:rsidRPr="00097A86">
        <w:t>1.13; and</w:t>
      </w:r>
    </w:p>
    <w:p w14:paraId="73167362" w14:textId="77777777" w:rsidR="00C46CD8" w:rsidRPr="00097A86" w:rsidRDefault="00C46CD8" w:rsidP="00D22D3F">
      <w:pPr>
        <w:pStyle w:val="paragraph"/>
      </w:pPr>
      <w:r w:rsidRPr="00097A86">
        <w:tab/>
        <w:t>(d)</w:t>
      </w:r>
      <w:r w:rsidRPr="00097A86">
        <w:tab/>
        <w:t>must not be subject to:</w:t>
      </w:r>
    </w:p>
    <w:p w14:paraId="3F556353" w14:textId="77777777" w:rsidR="00C46CD8" w:rsidRPr="00097A86" w:rsidRDefault="00C46CD8" w:rsidP="00D22D3F">
      <w:pPr>
        <w:pStyle w:val="paragraphsub"/>
      </w:pPr>
      <w:r w:rsidRPr="00097A86">
        <w:tab/>
        <w:t>(i)</w:t>
      </w:r>
      <w:r w:rsidRPr="00097A86">
        <w:tab/>
        <w:t>landfill gas inflow from another sub</w:t>
      </w:r>
      <w:r w:rsidR="00097A86">
        <w:noBreakHyphen/>
      </w:r>
      <w:r w:rsidRPr="00097A86">
        <w:t>facility zone; or</w:t>
      </w:r>
    </w:p>
    <w:p w14:paraId="49D03035" w14:textId="77777777" w:rsidR="00C46CD8" w:rsidRPr="00097A86" w:rsidRDefault="00C46CD8" w:rsidP="00D22D3F">
      <w:pPr>
        <w:pStyle w:val="paragraphsub"/>
      </w:pPr>
      <w:r w:rsidRPr="00097A86">
        <w:tab/>
        <w:t>(ii)</w:t>
      </w:r>
      <w:r w:rsidRPr="00097A86">
        <w:tab/>
        <w:t>landfill gas outflow to another sub</w:t>
      </w:r>
      <w:r w:rsidR="00097A86">
        <w:noBreakHyphen/>
      </w:r>
      <w:r w:rsidRPr="00097A86">
        <w:t>facility zone.</w:t>
      </w:r>
    </w:p>
    <w:p w14:paraId="52D63EEA" w14:textId="77777777" w:rsidR="00C46CD8" w:rsidRPr="00097A86" w:rsidRDefault="00C46CD8" w:rsidP="00D22D3F">
      <w:pPr>
        <w:pStyle w:val="subsection"/>
      </w:pPr>
      <w:r w:rsidRPr="00097A86">
        <w:tab/>
        <w:t>(4)</w:t>
      </w:r>
      <w:r w:rsidRPr="00097A86">
        <w:tab/>
        <w:t>At least one sub</w:t>
      </w:r>
      <w:r w:rsidR="00097A86">
        <w:noBreakHyphen/>
      </w:r>
      <w:r w:rsidRPr="00097A86">
        <w:t>facility zone must contain a representative zone.</w:t>
      </w:r>
    </w:p>
    <w:p w14:paraId="003872CD" w14:textId="77777777" w:rsidR="00AF7BC6" w:rsidRPr="00097A86" w:rsidRDefault="00AF7BC6" w:rsidP="00AF7BC6">
      <w:pPr>
        <w:pStyle w:val="notetext"/>
      </w:pPr>
      <w:r w:rsidRPr="00097A86">
        <w:t>Note:</w:t>
      </w:r>
      <w:r w:rsidRPr="00097A86">
        <w:tab/>
        <w:t>Section</w:t>
      </w:r>
      <w:r w:rsidR="00097A86">
        <w:t> </w:t>
      </w:r>
      <w:r w:rsidRPr="00097A86">
        <w:t>5.22A sets out, for a landfill operator using method 1 in Division</w:t>
      </w:r>
      <w:r w:rsidR="00097A86">
        <w:t> </w:t>
      </w:r>
      <w:r w:rsidRPr="00097A86">
        <w:t>5.2.2 to estimate emissions of methane released from legacy waste in a landfill, options and requirements related to sub</w:t>
      </w:r>
      <w:r w:rsidR="00097A86">
        <w:noBreakHyphen/>
      </w:r>
      <w:r w:rsidRPr="00097A86">
        <w:t>facility zones.</w:t>
      </w:r>
    </w:p>
    <w:p w14:paraId="1098C325" w14:textId="77777777" w:rsidR="00C46CD8" w:rsidRPr="00097A86" w:rsidRDefault="00C46CD8" w:rsidP="00D22D3F">
      <w:pPr>
        <w:pStyle w:val="ActHead5"/>
      </w:pPr>
      <w:bookmarkStart w:id="555" w:name="_Toc13233983"/>
      <w:r w:rsidRPr="00097A86">
        <w:rPr>
          <w:rStyle w:val="CharSectno"/>
        </w:rPr>
        <w:t>5.17A</w:t>
      </w:r>
      <w:r w:rsidR="00D22D3F" w:rsidRPr="00097A86">
        <w:t xml:space="preserve">  </w:t>
      </w:r>
      <w:r w:rsidRPr="00097A86">
        <w:t>Representative zones—selection and requirements</w:t>
      </w:r>
      <w:bookmarkEnd w:id="555"/>
    </w:p>
    <w:p w14:paraId="4F831D69" w14:textId="77777777" w:rsidR="00C46CD8" w:rsidRPr="00097A86" w:rsidRDefault="00C46CD8" w:rsidP="00D22D3F">
      <w:pPr>
        <w:pStyle w:val="subsection"/>
      </w:pPr>
      <w:r w:rsidRPr="00097A86">
        <w:tab/>
      </w:r>
      <w:r w:rsidRPr="00097A86">
        <w:tab/>
        <w:t>After preparing a site plan, the operator of the landfill must select a representative zone that:</w:t>
      </w:r>
    </w:p>
    <w:p w14:paraId="740C2B7A" w14:textId="77777777" w:rsidR="00C46CD8" w:rsidRPr="00097A86" w:rsidRDefault="00C46CD8" w:rsidP="00D22D3F">
      <w:pPr>
        <w:pStyle w:val="paragraph"/>
      </w:pPr>
      <w:r w:rsidRPr="00097A86">
        <w:tab/>
        <w:t>(a)</w:t>
      </w:r>
      <w:r w:rsidRPr="00097A86">
        <w:tab/>
        <w:t>covers an area of at least one hectare; and</w:t>
      </w:r>
    </w:p>
    <w:p w14:paraId="11ECCDAD" w14:textId="77777777" w:rsidR="00C46CD8" w:rsidRPr="00097A86" w:rsidRDefault="00C46CD8" w:rsidP="00D22D3F">
      <w:pPr>
        <w:pStyle w:val="paragraph"/>
      </w:pPr>
      <w:r w:rsidRPr="00097A86">
        <w:tab/>
        <w:t>(b)</w:t>
      </w:r>
      <w:r w:rsidRPr="00097A86">
        <w:tab/>
        <w:t>is a single area within the sub</w:t>
      </w:r>
      <w:r w:rsidR="00097A86">
        <w:noBreakHyphen/>
      </w:r>
      <w:r w:rsidRPr="00097A86">
        <w:t>facility zone; and</w:t>
      </w:r>
    </w:p>
    <w:p w14:paraId="449B1E1E" w14:textId="77777777" w:rsidR="00C46CD8" w:rsidRPr="00097A86" w:rsidRDefault="00C46CD8" w:rsidP="00D22D3F">
      <w:pPr>
        <w:pStyle w:val="paragraph"/>
      </w:pPr>
      <w:r w:rsidRPr="00097A86">
        <w:tab/>
        <w:t>(c)</w:t>
      </w:r>
      <w:r w:rsidRPr="00097A86">
        <w:tab/>
        <w:t>has a uniform composition of waste mix types so that the estimates of the methane generated by the representative zone comply with section</w:t>
      </w:r>
      <w:r w:rsidR="00097A86">
        <w:t> </w:t>
      </w:r>
      <w:r w:rsidRPr="00097A86">
        <w:t>1.13; and</w:t>
      </w:r>
    </w:p>
    <w:p w14:paraId="0DDF4E8D" w14:textId="77777777" w:rsidR="00C46CD8" w:rsidRPr="00097A86" w:rsidRDefault="00C46CD8" w:rsidP="00D22D3F">
      <w:pPr>
        <w:pStyle w:val="paragraph"/>
      </w:pPr>
      <w:r w:rsidRPr="00097A86">
        <w:tab/>
        <w:t>(d)</w:t>
      </w:r>
      <w:r w:rsidRPr="00097A86">
        <w:tab/>
        <w:t>contains a number of operating gas collection wells that is sufficient to enable accurate and representative estimates of the methane being generated by the representative zone to be obtained; and</w:t>
      </w:r>
    </w:p>
    <w:p w14:paraId="4AD52F0B" w14:textId="77777777" w:rsidR="00C46CD8" w:rsidRPr="00097A86" w:rsidRDefault="00C46CD8" w:rsidP="00D22D3F">
      <w:pPr>
        <w:pStyle w:val="paragraph"/>
      </w:pPr>
      <w:r w:rsidRPr="00097A86">
        <w:tab/>
        <w:t>(e)</w:t>
      </w:r>
      <w:r w:rsidRPr="00097A86">
        <w:tab/>
        <w:t>contains only waste that has been undisturbed:</w:t>
      </w:r>
    </w:p>
    <w:p w14:paraId="6F7A9F32" w14:textId="77777777" w:rsidR="00C46CD8" w:rsidRPr="00097A86" w:rsidRDefault="00C46CD8" w:rsidP="00D22D3F">
      <w:pPr>
        <w:pStyle w:val="paragraphsub"/>
      </w:pPr>
      <w:r w:rsidRPr="00097A86">
        <w:tab/>
        <w:t>(i)</w:t>
      </w:r>
      <w:r w:rsidRPr="00097A86">
        <w:tab/>
        <w:t>for at least 12 months before any methane generation is measured in accordance with section</w:t>
      </w:r>
      <w:r w:rsidR="00097A86">
        <w:t> </w:t>
      </w:r>
      <w:r w:rsidRPr="00097A86">
        <w:t>5.17H; or</w:t>
      </w:r>
    </w:p>
    <w:p w14:paraId="4E3A3813" w14:textId="77777777" w:rsidR="00C46CD8" w:rsidRPr="00097A86" w:rsidRDefault="00C46CD8" w:rsidP="00D22D3F">
      <w:pPr>
        <w:pStyle w:val="paragraphsub"/>
      </w:pPr>
      <w:r w:rsidRPr="00097A86">
        <w:tab/>
        <w:t>(ii)</w:t>
      </w:r>
      <w:r w:rsidRPr="00097A86">
        <w:tab/>
        <w:t>if the representative zone is on landfill that recirculates leachate or adds moisture through the waste to promote methane generation—for the period determined by an independent expert; and</w:t>
      </w:r>
    </w:p>
    <w:p w14:paraId="2A8614EF" w14:textId="77777777" w:rsidR="00C46CD8" w:rsidRPr="00097A86" w:rsidRDefault="00C46CD8" w:rsidP="00D22D3F">
      <w:pPr>
        <w:pStyle w:val="paragraph"/>
      </w:pPr>
      <w:r w:rsidRPr="00097A86">
        <w:tab/>
        <w:t>(f)</w:t>
      </w:r>
      <w:r w:rsidRPr="00097A86">
        <w:tab/>
        <w:t>has a low permeability basal liner that includes:</w:t>
      </w:r>
    </w:p>
    <w:p w14:paraId="74DDDB1B" w14:textId="77777777" w:rsidR="00C46CD8" w:rsidRPr="00097A86" w:rsidRDefault="00C46CD8" w:rsidP="00D22D3F">
      <w:pPr>
        <w:pStyle w:val="paragraphsub"/>
      </w:pPr>
      <w:r w:rsidRPr="00097A86">
        <w:tab/>
        <w:t>(i)</w:t>
      </w:r>
      <w:r w:rsidRPr="00097A86">
        <w:tab/>
        <w:t>a compacted clay base; or</w:t>
      </w:r>
    </w:p>
    <w:p w14:paraId="7E2B832E" w14:textId="77777777" w:rsidR="00C46CD8" w:rsidRPr="00097A86" w:rsidRDefault="00C46CD8" w:rsidP="00D22D3F">
      <w:pPr>
        <w:pStyle w:val="paragraphsub"/>
      </w:pPr>
      <w:r w:rsidRPr="00097A86">
        <w:tab/>
        <w:t>(ii)</w:t>
      </w:r>
      <w:r w:rsidRPr="00097A86">
        <w:tab/>
        <w:t>a geomembrane base; or</w:t>
      </w:r>
    </w:p>
    <w:p w14:paraId="66547CF6" w14:textId="77777777" w:rsidR="00C46CD8" w:rsidRPr="00097A86" w:rsidRDefault="00C46CD8" w:rsidP="00D22D3F">
      <w:pPr>
        <w:pStyle w:val="paragraphsub"/>
      </w:pPr>
      <w:r w:rsidRPr="00097A86">
        <w:tab/>
        <w:t>(iii)</w:t>
      </w:r>
      <w:r w:rsidRPr="00097A86">
        <w:tab/>
        <w:t>another demonstrated low permeability base; and</w:t>
      </w:r>
    </w:p>
    <w:p w14:paraId="524ACFF1" w14:textId="77777777" w:rsidR="008911C0" w:rsidRPr="00097A86" w:rsidRDefault="008911C0" w:rsidP="008911C0">
      <w:pPr>
        <w:pStyle w:val="paragraph"/>
      </w:pPr>
      <w:r w:rsidRPr="00097A86">
        <w:tab/>
        <w:t>(g)</w:t>
      </w:r>
      <w:r w:rsidRPr="00097A86">
        <w:tab/>
        <w:t>is confined on:</w:t>
      </w:r>
    </w:p>
    <w:p w14:paraId="1B1843F1" w14:textId="77777777" w:rsidR="008911C0" w:rsidRPr="00097A86" w:rsidRDefault="008911C0" w:rsidP="008911C0">
      <w:pPr>
        <w:pStyle w:val="paragraphsub"/>
      </w:pPr>
      <w:r w:rsidRPr="00097A86">
        <w:tab/>
        <w:t>(i)</w:t>
      </w:r>
      <w:r w:rsidRPr="00097A86">
        <w:tab/>
        <w:t>4 sides by low permeability barriers, including:</w:t>
      </w:r>
    </w:p>
    <w:p w14:paraId="0CF343E7" w14:textId="77777777" w:rsidR="008911C0" w:rsidRPr="00097A86" w:rsidRDefault="008911C0" w:rsidP="008911C0">
      <w:pPr>
        <w:pStyle w:val="paragraphsub-sub"/>
      </w:pPr>
      <w:r w:rsidRPr="00097A86">
        <w:tab/>
        <w:t>(A)</w:t>
      </w:r>
      <w:r w:rsidRPr="00097A86">
        <w:tab/>
        <w:t>capped areas; or</w:t>
      </w:r>
    </w:p>
    <w:p w14:paraId="6B80B61A" w14:textId="77777777" w:rsidR="008911C0" w:rsidRPr="00097A86" w:rsidRDefault="008911C0" w:rsidP="008911C0">
      <w:pPr>
        <w:pStyle w:val="paragraphsub-sub"/>
      </w:pPr>
      <w:r w:rsidRPr="00097A86">
        <w:tab/>
        <w:t>(B)</w:t>
      </w:r>
      <w:r w:rsidRPr="00097A86">
        <w:tab/>
        <w:t>a landfill cell lining; or</w:t>
      </w:r>
    </w:p>
    <w:p w14:paraId="43D704B2" w14:textId="77777777" w:rsidR="008911C0" w:rsidRPr="00097A86" w:rsidRDefault="008911C0" w:rsidP="008911C0">
      <w:pPr>
        <w:pStyle w:val="paragraphsub-sub"/>
      </w:pPr>
      <w:r w:rsidRPr="00097A86">
        <w:tab/>
        <w:t>(C)</w:t>
      </w:r>
      <w:r w:rsidRPr="00097A86">
        <w:tab/>
        <w:t>if the representative zone does not have a landfill cell lining—a demonstrated low gas permeability strata; or</w:t>
      </w:r>
    </w:p>
    <w:p w14:paraId="2ADC073E" w14:textId="77777777" w:rsidR="008911C0" w:rsidRPr="00097A86" w:rsidRDefault="008911C0" w:rsidP="008911C0">
      <w:pPr>
        <w:pStyle w:val="paragraphsub"/>
      </w:pPr>
      <w:r w:rsidRPr="00097A86">
        <w:tab/>
        <w:t>(ii)</w:t>
      </w:r>
      <w:r w:rsidRPr="00097A86">
        <w:tab/>
        <w:t>3 sides by low permeability barrier and one side by an active gas collection system; and</w:t>
      </w:r>
    </w:p>
    <w:p w14:paraId="560EA28C" w14:textId="77777777" w:rsidR="00C46CD8" w:rsidRPr="00097A86" w:rsidRDefault="00C46CD8" w:rsidP="00D22D3F">
      <w:pPr>
        <w:pStyle w:val="paragraph"/>
      </w:pPr>
      <w:r w:rsidRPr="00097A86">
        <w:tab/>
        <w:t>(i)</w:t>
      </w:r>
      <w:r w:rsidRPr="00097A86">
        <w:tab/>
        <w:t>includes a gas extraction system that:</w:t>
      </w:r>
    </w:p>
    <w:p w14:paraId="0A7ECA93" w14:textId="77777777" w:rsidR="00C46CD8" w:rsidRPr="00097A86" w:rsidRDefault="00C46CD8" w:rsidP="00D22D3F">
      <w:pPr>
        <w:pStyle w:val="paragraphsub"/>
      </w:pPr>
      <w:r w:rsidRPr="00097A86">
        <w:tab/>
        <w:t>(i)</w:t>
      </w:r>
      <w:r w:rsidRPr="00097A86">
        <w:tab/>
        <w:t>forms the boundary of the fourth side; and</w:t>
      </w:r>
    </w:p>
    <w:p w14:paraId="3D2E2A97" w14:textId="77777777" w:rsidR="00C46CD8" w:rsidRPr="00097A86" w:rsidRDefault="00C46CD8" w:rsidP="00D22D3F">
      <w:pPr>
        <w:pStyle w:val="paragraphsub"/>
      </w:pPr>
      <w:r w:rsidRPr="00097A86">
        <w:tab/>
        <w:t>(ii)</w:t>
      </w:r>
      <w:r w:rsidRPr="00097A86">
        <w:tab/>
        <w:t>extends beyond the boundary of the representative zone; and</w:t>
      </w:r>
    </w:p>
    <w:p w14:paraId="2F24BDBF" w14:textId="77777777" w:rsidR="00C46CD8" w:rsidRPr="00097A86" w:rsidRDefault="00C46CD8" w:rsidP="00D22D3F">
      <w:pPr>
        <w:pStyle w:val="paragraph"/>
      </w:pPr>
      <w:r w:rsidRPr="00097A86">
        <w:tab/>
        <w:t>(j)</w:t>
      </w:r>
      <w:r w:rsidRPr="00097A86">
        <w:tab/>
        <w:t>has a top cover that is a final type or an intermediate type.</w:t>
      </w:r>
    </w:p>
    <w:p w14:paraId="2F900887" w14:textId="77777777" w:rsidR="002C7A17" w:rsidRPr="00097A86" w:rsidRDefault="002C7A17" w:rsidP="00D22D3F">
      <w:pPr>
        <w:pStyle w:val="ActHead5"/>
      </w:pPr>
      <w:bookmarkStart w:id="556" w:name="_Toc13233984"/>
      <w:r w:rsidRPr="00097A86">
        <w:rPr>
          <w:rStyle w:val="CharSectno"/>
        </w:rPr>
        <w:lastRenderedPageBreak/>
        <w:t>5.17B</w:t>
      </w:r>
      <w:r w:rsidR="00D22D3F" w:rsidRPr="00097A86">
        <w:t xml:space="preserve">  </w:t>
      </w:r>
      <w:r w:rsidRPr="00097A86">
        <w:t>Independent verification</w:t>
      </w:r>
      <w:bookmarkEnd w:id="556"/>
    </w:p>
    <w:p w14:paraId="43A3E91A" w14:textId="77777777" w:rsidR="00922922" w:rsidRPr="00097A86" w:rsidRDefault="00922922" w:rsidP="00D22D3F">
      <w:pPr>
        <w:pStyle w:val="subsection"/>
      </w:pPr>
      <w:r w:rsidRPr="00097A86">
        <w:tab/>
        <w:t>(1)</w:t>
      </w:r>
      <w:r w:rsidRPr="00097A86">
        <w:tab/>
        <w:t>After the operator of the landfill has selected a representative zone for a sub</w:t>
      </w:r>
      <w:r w:rsidR="00097A86">
        <w:noBreakHyphen/>
      </w:r>
      <w:r w:rsidRPr="00097A86">
        <w:t>facility zone, the operator of the landfill must arrange for an independent expert to certify, in writing, that:</w:t>
      </w:r>
    </w:p>
    <w:p w14:paraId="02325DEB" w14:textId="77777777" w:rsidR="00922922" w:rsidRPr="00097A86" w:rsidRDefault="00922922" w:rsidP="00D22D3F">
      <w:pPr>
        <w:pStyle w:val="paragraph"/>
      </w:pPr>
      <w:r w:rsidRPr="00097A86">
        <w:tab/>
        <w:t>(a)</w:t>
      </w:r>
      <w:r w:rsidRPr="00097A86">
        <w:tab/>
        <w:t>the boundaries of the representative zone are appropriate for the purpose of obtaining accurate and representative estimates of the methane being generated by the representative zone; and</w:t>
      </w:r>
    </w:p>
    <w:p w14:paraId="6149C12F" w14:textId="77777777" w:rsidR="00922922" w:rsidRPr="00097A86" w:rsidRDefault="00922922" w:rsidP="00D22D3F">
      <w:pPr>
        <w:pStyle w:val="paragraph"/>
      </w:pPr>
      <w:r w:rsidRPr="00097A86">
        <w:tab/>
        <w:t>(b)</w:t>
      </w:r>
      <w:r w:rsidRPr="00097A86">
        <w:tab/>
        <w:t>the representative zone is representative of the sub</w:t>
      </w:r>
      <w:r w:rsidR="00097A86">
        <w:noBreakHyphen/>
      </w:r>
      <w:r w:rsidRPr="00097A86">
        <w:t>facility zone.</w:t>
      </w:r>
    </w:p>
    <w:p w14:paraId="6585067C" w14:textId="77777777" w:rsidR="002C7A17" w:rsidRPr="00097A86" w:rsidRDefault="002C7A17" w:rsidP="00D22D3F">
      <w:pPr>
        <w:pStyle w:val="subsection"/>
      </w:pPr>
      <w:r w:rsidRPr="00097A86">
        <w:tab/>
        <w:t>(2)</w:t>
      </w:r>
      <w:r w:rsidRPr="00097A86">
        <w:tab/>
        <w:t>The independent expert must also prepare a written report for the zone.</w:t>
      </w:r>
    </w:p>
    <w:p w14:paraId="3B56AECB" w14:textId="77777777" w:rsidR="002C7A17" w:rsidRPr="00097A86" w:rsidRDefault="002C7A17" w:rsidP="00D22D3F">
      <w:pPr>
        <w:pStyle w:val="subsection"/>
      </w:pPr>
      <w:r w:rsidRPr="00097A86">
        <w:tab/>
        <w:t>(3)</w:t>
      </w:r>
      <w:r w:rsidRPr="00097A86">
        <w:tab/>
        <w:t>The report must include the details specified in the technical guidelines in relation to expert reports.</w:t>
      </w:r>
    </w:p>
    <w:p w14:paraId="077C833B" w14:textId="77777777" w:rsidR="002C7A17" w:rsidRPr="00097A86" w:rsidRDefault="002C7A17" w:rsidP="00D22D3F">
      <w:pPr>
        <w:pStyle w:val="ActHead5"/>
      </w:pPr>
      <w:bookmarkStart w:id="557" w:name="_Toc13233985"/>
      <w:r w:rsidRPr="00097A86">
        <w:rPr>
          <w:rStyle w:val="CharSectno"/>
        </w:rPr>
        <w:t>5.17C</w:t>
      </w:r>
      <w:r w:rsidR="00D22D3F" w:rsidRPr="00097A86">
        <w:t xml:space="preserve">  </w:t>
      </w:r>
      <w:r w:rsidRPr="00097A86">
        <w:t>Estimation of waste and degradable organic content in representative zone</w:t>
      </w:r>
      <w:bookmarkEnd w:id="557"/>
    </w:p>
    <w:p w14:paraId="4EC32DF9" w14:textId="77777777" w:rsidR="002C7A17" w:rsidRPr="00097A86" w:rsidRDefault="002C7A17" w:rsidP="00D22D3F">
      <w:pPr>
        <w:pStyle w:val="subsection"/>
      </w:pPr>
      <w:r w:rsidRPr="00097A86">
        <w:tab/>
      </w:r>
      <w:r w:rsidRPr="00097A86">
        <w:tab/>
        <w:t>The amount of waste, and the amount of degradable organic content in the waste, disposed of in the representative zone must be estimated in accordance with sections</w:t>
      </w:r>
      <w:r w:rsidR="00097A86">
        <w:t> </w:t>
      </w:r>
      <w:r w:rsidRPr="00097A86">
        <w:t>5.5 to 5.12 for each reporting year that waste is disposed of in the representative zone.</w:t>
      </w:r>
    </w:p>
    <w:p w14:paraId="30C7847F" w14:textId="77777777" w:rsidR="002C7A17" w:rsidRPr="00097A86" w:rsidRDefault="002C7A17" w:rsidP="00D22D3F">
      <w:pPr>
        <w:pStyle w:val="ActHead5"/>
      </w:pPr>
      <w:bookmarkStart w:id="558" w:name="_Toc13233986"/>
      <w:r w:rsidRPr="00097A86">
        <w:rPr>
          <w:rStyle w:val="CharSectno"/>
        </w:rPr>
        <w:t>5.17D</w:t>
      </w:r>
      <w:r w:rsidR="00D22D3F" w:rsidRPr="00097A86">
        <w:t xml:space="preserve">  </w:t>
      </w:r>
      <w:r w:rsidRPr="00097A86">
        <w:t>Estimation of gas collected at the representative zone</w:t>
      </w:r>
      <w:bookmarkEnd w:id="558"/>
    </w:p>
    <w:p w14:paraId="7132CA36" w14:textId="77777777" w:rsidR="002C7A17" w:rsidRPr="00097A86" w:rsidRDefault="002C7A17" w:rsidP="00D22D3F">
      <w:pPr>
        <w:pStyle w:val="subsection"/>
      </w:pPr>
      <w:r w:rsidRPr="00097A86">
        <w:tab/>
        <w:t>(1)</w:t>
      </w:r>
      <w:r w:rsidRPr="00097A86">
        <w:tab/>
        <w:t xml:space="preserve">The operator of the landfill must estimate the total amount, and concentration, of landfill gas </w:t>
      </w:r>
      <w:r w:rsidR="00922922" w:rsidRPr="00097A86">
        <w:t xml:space="preserve">measured in tonnes of methane per year </w:t>
      </w:r>
      <w:r w:rsidRPr="00097A86">
        <w:t>collected by all of the landfill gas collection wells located within the representative zone.</w:t>
      </w:r>
    </w:p>
    <w:p w14:paraId="44845DCC" w14:textId="77777777" w:rsidR="002C7A17" w:rsidRPr="00097A86" w:rsidRDefault="002C7A17" w:rsidP="00D22D3F">
      <w:pPr>
        <w:pStyle w:val="subsection"/>
      </w:pPr>
      <w:r w:rsidRPr="00097A86">
        <w:tab/>
        <w:t>(2)</w:t>
      </w:r>
      <w:r w:rsidRPr="00097A86">
        <w:tab/>
        <w:t xml:space="preserve">Measurement of the landfill gas flow rate for each well must be undertaken in accordance </w:t>
      </w:r>
      <w:r w:rsidR="00922922" w:rsidRPr="00097A86">
        <w:t xml:space="preserve">with </w:t>
      </w:r>
      <w:r w:rsidRPr="00097A86">
        <w:t>Division</w:t>
      </w:r>
      <w:r w:rsidR="00097A86">
        <w:t> </w:t>
      </w:r>
      <w:r w:rsidRPr="00097A86">
        <w:t>2.3.6.</w:t>
      </w:r>
    </w:p>
    <w:p w14:paraId="250F2F68" w14:textId="77777777" w:rsidR="002C7A17" w:rsidRPr="00097A86" w:rsidRDefault="002C7A17" w:rsidP="00D22D3F">
      <w:pPr>
        <w:pStyle w:val="subsection"/>
      </w:pPr>
      <w:r w:rsidRPr="00097A86">
        <w:tab/>
        <w:t>(3)</w:t>
      </w:r>
      <w:r w:rsidRPr="00097A86">
        <w:tab/>
        <w:t>The methane concentration of the landfill gas from the representative zone:</w:t>
      </w:r>
    </w:p>
    <w:p w14:paraId="529A6985" w14:textId="77777777" w:rsidR="002C7A17" w:rsidRPr="00097A86" w:rsidRDefault="002C7A17" w:rsidP="00D22D3F">
      <w:pPr>
        <w:pStyle w:val="paragraph"/>
      </w:pPr>
      <w:r w:rsidRPr="00097A86">
        <w:tab/>
        <w:t>(a)</w:t>
      </w:r>
      <w:r w:rsidRPr="00097A86">
        <w:tab/>
        <w:t>may be estimated from measurements of landfill gas obtained at each gas collection well located within the representative zone using industry standard landfill gas analysers that are calibrated to the manufacturer’s specifications; or</w:t>
      </w:r>
    </w:p>
    <w:p w14:paraId="08CEEAC3" w14:textId="77777777" w:rsidR="002C7A17" w:rsidRPr="00097A86" w:rsidRDefault="002C7A17" w:rsidP="00D22D3F">
      <w:pPr>
        <w:pStyle w:val="paragraph"/>
      </w:pPr>
      <w:r w:rsidRPr="00097A86">
        <w:tab/>
        <w:t>(b)</w:t>
      </w:r>
      <w:r w:rsidRPr="00097A86">
        <w:tab/>
        <w:t>may be assumed to be the methane concentration for the landfill as analysed under Subdivision</w:t>
      </w:r>
      <w:r w:rsidR="00097A86">
        <w:t> </w:t>
      </w:r>
      <w:r w:rsidRPr="00097A86">
        <w:t>2.3.3.2.</w:t>
      </w:r>
    </w:p>
    <w:p w14:paraId="0510ED58" w14:textId="77777777" w:rsidR="002C7A17" w:rsidRPr="00097A86" w:rsidRDefault="002C7A17" w:rsidP="00D22D3F">
      <w:pPr>
        <w:pStyle w:val="subsection"/>
      </w:pPr>
      <w:r w:rsidRPr="00097A86">
        <w:tab/>
        <w:t>(4)</w:t>
      </w:r>
      <w:r w:rsidRPr="00097A86">
        <w:tab/>
        <w:t>Data about the methane gas flow rates at each well in the representative zone must be:</w:t>
      </w:r>
    </w:p>
    <w:p w14:paraId="756E0CC7" w14:textId="77777777" w:rsidR="002C7A17" w:rsidRPr="00097A86" w:rsidRDefault="002C7A17" w:rsidP="00D22D3F">
      <w:pPr>
        <w:pStyle w:val="paragraph"/>
      </w:pPr>
      <w:r w:rsidRPr="00097A86">
        <w:tab/>
        <w:t>(a)</w:t>
      </w:r>
      <w:r w:rsidRPr="00097A86">
        <w:tab/>
        <w:t>the data used for operational purposes; and</w:t>
      </w:r>
    </w:p>
    <w:p w14:paraId="19ED16E5" w14:textId="77777777" w:rsidR="002C7A17" w:rsidRPr="00097A86" w:rsidRDefault="002C7A17" w:rsidP="00D22D3F">
      <w:pPr>
        <w:pStyle w:val="paragraph"/>
      </w:pPr>
      <w:r w:rsidRPr="00097A86">
        <w:tab/>
        <w:t>(b)</w:t>
      </w:r>
      <w:r w:rsidRPr="00097A86">
        <w:tab/>
        <w:t xml:space="preserve">recorded at least once a </w:t>
      </w:r>
      <w:r w:rsidR="005E463D" w:rsidRPr="00097A86">
        <w:t xml:space="preserve">month </w:t>
      </w:r>
      <w:r w:rsidRPr="00097A86">
        <w:t>for a period of at least 12 months.</w:t>
      </w:r>
    </w:p>
    <w:p w14:paraId="3794188C" w14:textId="77777777" w:rsidR="002C7A17" w:rsidRPr="00097A86" w:rsidRDefault="002C7A17" w:rsidP="00D22D3F">
      <w:pPr>
        <w:pStyle w:val="subsection"/>
      </w:pPr>
      <w:r w:rsidRPr="00097A86">
        <w:tab/>
        <w:t>(5)</w:t>
      </w:r>
      <w:r w:rsidRPr="00097A86">
        <w:tab/>
        <w:t>Fuel flow meter equipment and gas composition monitoring equipment used to measure and analyse the landfill gas must be calibrated in accordance with:</w:t>
      </w:r>
    </w:p>
    <w:p w14:paraId="477E8608" w14:textId="77777777" w:rsidR="002C7A17" w:rsidRPr="00097A86" w:rsidRDefault="002C7A17" w:rsidP="00D22D3F">
      <w:pPr>
        <w:pStyle w:val="paragraph"/>
      </w:pPr>
      <w:r w:rsidRPr="00097A86">
        <w:tab/>
        <w:t>(a)</w:t>
      </w:r>
      <w:r w:rsidRPr="00097A86">
        <w:tab/>
        <w:t>a standard specified in section</w:t>
      </w:r>
      <w:r w:rsidR="00097A86">
        <w:t> </w:t>
      </w:r>
      <w:r w:rsidRPr="00097A86">
        <w:t xml:space="preserve">2.24 or an equivalent standard; or </w:t>
      </w:r>
    </w:p>
    <w:p w14:paraId="5BE8AC35" w14:textId="77777777" w:rsidR="002C7A17" w:rsidRPr="00097A86" w:rsidRDefault="002C7A17" w:rsidP="00D22D3F">
      <w:pPr>
        <w:pStyle w:val="paragraph"/>
      </w:pPr>
      <w:r w:rsidRPr="00097A86">
        <w:lastRenderedPageBreak/>
        <w:tab/>
        <w:t>(b)</w:t>
      </w:r>
      <w:r w:rsidRPr="00097A86">
        <w:tab/>
        <w:t>the calibration procedures specified, and at the frequencies recommended, by the manufacturer of the equipment.</w:t>
      </w:r>
    </w:p>
    <w:p w14:paraId="08235C27" w14:textId="77777777" w:rsidR="002C7A17" w:rsidRPr="00097A86" w:rsidRDefault="002C7A17" w:rsidP="00D22D3F">
      <w:pPr>
        <w:pStyle w:val="subsection"/>
      </w:pPr>
      <w:r w:rsidRPr="00097A86">
        <w:tab/>
        <w:t>(6)</w:t>
      </w:r>
      <w:r w:rsidRPr="00097A86">
        <w:tab/>
        <w:t>Fuel flow meter equipment and gas composition monitoring equipment must be recalibrated:</w:t>
      </w:r>
    </w:p>
    <w:p w14:paraId="4F92F10D" w14:textId="77777777" w:rsidR="002C7A17" w:rsidRPr="00097A86" w:rsidRDefault="002C7A17" w:rsidP="00D22D3F">
      <w:pPr>
        <w:pStyle w:val="paragraph"/>
      </w:pPr>
      <w:r w:rsidRPr="00097A86">
        <w:tab/>
        <w:t>(a)</w:t>
      </w:r>
      <w:r w:rsidRPr="00097A86">
        <w:tab/>
        <w:t>at the frequency specified by the manufacturer of the equipment; or</w:t>
      </w:r>
    </w:p>
    <w:p w14:paraId="533651FE" w14:textId="77777777" w:rsidR="002C7A17" w:rsidRPr="00097A86" w:rsidRDefault="002C7A17" w:rsidP="00D22D3F">
      <w:pPr>
        <w:pStyle w:val="paragraph"/>
      </w:pPr>
      <w:r w:rsidRPr="00097A86">
        <w:tab/>
        <w:t>(b)</w:t>
      </w:r>
      <w:r w:rsidRPr="00097A86">
        <w:tab/>
        <w:t>if the manufacturer does not specify a recalibration period for the equipment</w:t>
      </w:r>
      <w:r w:rsidR="00D22D3F" w:rsidRPr="00097A86">
        <w:t>—</w:t>
      </w:r>
      <w:r w:rsidRPr="00097A86">
        <w:t>annually.</w:t>
      </w:r>
    </w:p>
    <w:p w14:paraId="65F4680B" w14:textId="77777777" w:rsidR="002C7A17" w:rsidRPr="00097A86" w:rsidRDefault="002C7A17" w:rsidP="00D22D3F">
      <w:pPr>
        <w:pStyle w:val="subsection"/>
      </w:pPr>
      <w:r w:rsidRPr="00097A86">
        <w:tab/>
        <w:t>(7)</w:t>
      </w:r>
      <w:r w:rsidRPr="00097A86">
        <w:tab/>
        <w:t>Estimates of gas flow must be converted from cubic metres to mass by using the formula in subsection</w:t>
      </w:r>
      <w:r w:rsidR="00097A86">
        <w:t> </w:t>
      </w:r>
      <w:r w:rsidRPr="00097A86">
        <w:t>1.21(1).</w:t>
      </w:r>
    </w:p>
    <w:p w14:paraId="6C4867FA" w14:textId="77777777" w:rsidR="002C7A17" w:rsidRPr="00097A86" w:rsidRDefault="002C7A17" w:rsidP="00D22D3F">
      <w:pPr>
        <w:pStyle w:val="ActHead5"/>
      </w:pPr>
      <w:bookmarkStart w:id="559" w:name="_Toc13233987"/>
      <w:r w:rsidRPr="00097A86">
        <w:rPr>
          <w:rStyle w:val="CharSectno"/>
        </w:rPr>
        <w:t>5.17E</w:t>
      </w:r>
      <w:r w:rsidR="00D22D3F" w:rsidRPr="00097A86">
        <w:t xml:space="preserve">  </w:t>
      </w:r>
      <w:r w:rsidRPr="00097A86">
        <w:t>Estimating methane generated but not collected in the representative zone</w:t>
      </w:r>
      <w:bookmarkEnd w:id="559"/>
    </w:p>
    <w:p w14:paraId="30C9D6EF" w14:textId="77777777" w:rsidR="002C7A17" w:rsidRPr="00097A86" w:rsidRDefault="002C7A17" w:rsidP="00D22D3F">
      <w:pPr>
        <w:pStyle w:val="subsection"/>
      </w:pPr>
      <w:r w:rsidRPr="00097A86">
        <w:tab/>
        <w:t>(1)</w:t>
      </w:r>
      <w:r w:rsidRPr="00097A86">
        <w:tab/>
        <w:t>The operator must estimate the amount of emissions of methane in the representative zone that is not collected by the collection wells in the zone.</w:t>
      </w:r>
    </w:p>
    <w:p w14:paraId="4A476511" w14:textId="77777777" w:rsidR="002C7A17" w:rsidRPr="00097A86" w:rsidRDefault="002C7A17" w:rsidP="00D22D3F">
      <w:pPr>
        <w:pStyle w:val="subsection"/>
      </w:pPr>
      <w:r w:rsidRPr="00097A86">
        <w:tab/>
        <w:t>(2)</w:t>
      </w:r>
      <w:r w:rsidRPr="00097A86">
        <w:tab/>
        <w:t>Estimates must be obtained by using the procedures in sections</w:t>
      </w:r>
      <w:r w:rsidR="00097A86">
        <w:t> </w:t>
      </w:r>
      <w:r w:rsidRPr="00097A86">
        <w:t>5.17F to 5.17H.</w:t>
      </w:r>
    </w:p>
    <w:p w14:paraId="2FFD19A3" w14:textId="77777777" w:rsidR="002C7A17" w:rsidRPr="00097A86" w:rsidRDefault="002C7A17" w:rsidP="00D22D3F">
      <w:pPr>
        <w:pStyle w:val="ActHead5"/>
      </w:pPr>
      <w:bookmarkStart w:id="560" w:name="_Toc13233988"/>
      <w:r w:rsidRPr="00097A86">
        <w:rPr>
          <w:rStyle w:val="CharSectno"/>
        </w:rPr>
        <w:t>5.17F</w:t>
      </w:r>
      <w:r w:rsidR="00D22D3F" w:rsidRPr="00097A86">
        <w:t xml:space="preserve">  </w:t>
      </w:r>
      <w:r w:rsidRPr="00097A86">
        <w:t>Walkover survey</w:t>
      </w:r>
      <w:bookmarkEnd w:id="560"/>
    </w:p>
    <w:p w14:paraId="1BCD619A" w14:textId="77777777" w:rsidR="002C7A17" w:rsidRPr="00097A86" w:rsidRDefault="002C7A17" w:rsidP="00D22D3F">
      <w:pPr>
        <w:pStyle w:val="subsection"/>
      </w:pPr>
      <w:r w:rsidRPr="00097A86">
        <w:tab/>
        <w:t>(1)</w:t>
      </w:r>
      <w:r w:rsidRPr="00097A86">
        <w:tab/>
        <w:t>The operator of the landfill must arrange for an independent expert to conduct</w:t>
      </w:r>
      <w:r w:rsidR="005E463D" w:rsidRPr="00097A86">
        <w:t>, at least every 3 months,</w:t>
      </w:r>
      <w:r w:rsidRPr="00097A86">
        <w:t xml:space="preserve"> a walkover survey of the representative zone using a portable gas measurement device in order to:</w:t>
      </w:r>
    </w:p>
    <w:p w14:paraId="31260D30" w14:textId="77777777" w:rsidR="002C7A17" w:rsidRPr="00097A86" w:rsidRDefault="002C7A17" w:rsidP="00D22D3F">
      <w:pPr>
        <w:pStyle w:val="paragraph"/>
      </w:pPr>
      <w:r w:rsidRPr="00097A86">
        <w:tab/>
        <w:t>(a)</w:t>
      </w:r>
      <w:r w:rsidRPr="00097A86">
        <w:tab/>
        <w:t xml:space="preserve">determine the near surface gas concentrations in the representative zone and in the immediately surrounding area; and </w:t>
      </w:r>
    </w:p>
    <w:p w14:paraId="1BD4C5C7" w14:textId="77777777" w:rsidR="005E463D" w:rsidRPr="00097A86" w:rsidRDefault="005E463D" w:rsidP="00D22D3F">
      <w:pPr>
        <w:pStyle w:val="paragraph"/>
      </w:pPr>
      <w:r w:rsidRPr="00097A86">
        <w:tab/>
        <w:t>(b)</w:t>
      </w:r>
      <w:r w:rsidRPr="00097A86">
        <w:tab/>
        <w:t>identify locations within the representative zone that have:</w:t>
      </w:r>
    </w:p>
    <w:p w14:paraId="4CB426E1" w14:textId="77777777" w:rsidR="005E463D" w:rsidRPr="00097A86" w:rsidRDefault="005E463D" w:rsidP="00D22D3F">
      <w:pPr>
        <w:pStyle w:val="paragraphsub"/>
      </w:pPr>
      <w:r w:rsidRPr="00097A86">
        <w:tab/>
        <w:t>(i)</w:t>
      </w:r>
      <w:r w:rsidRPr="00097A86">
        <w:tab/>
        <w:t>low methane emissions; and</w:t>
      </w:r>
    </w:p>
    <w:p w14:paraId="3644596F" w14:textId="77777777" w:rsidR="005E463D" w:rsidRPr="00097A86" w:rsidRDefault="005E463D" w:rsidP="00D22D3F">
      <w:pPr>
        <w:pStyle w:val="paragraphsub"/>
      </w:pPr>
      <w:r w:rsidRPr="00097A86">
        <w:tab/>
        <w:t>(ii)</w:t>
      </w:r>
      <w:r w:rsidRPr="00097A86">
        <w:tab/>
        <w:t>intermediate methane emissions; and</w:t>
      </w:r>
    </w:p>
    <w:p w14:paraId="7727CD0A" w14:textId="77777777" w:rsidR="005E463D" w:rsidRPr="00097A86" w:rsidRDefault="005E463D" w:rsidP="00D22D3F">
      <w:pPr>
        <w:pStyle w:val="paragraphsub"/>
      </w:pPr>
      <w:r w:rsidRPr="00097A86">
        <w:tab/>
        <w:t>(iii)</w:t>
      </w:r>
      <w:r w:rsidRPr="00097A86">
        <w:tab/>
        <w:t>elevated methane emissions; and</w:t>
      </w:r>
    </w:p>
    <w:p w14:paraId="4CF1F10B" w14:textId="77777777" w:rsidR="005E463D" w:rsidRPr="00097A86" w:rsidRDefault="005E463D" w:rsidP="00D22D3F">
      <w:pPr>
        <w:pStyle w:val="paragraphsub"/>
      </w:pPr>
      <w:r w:rsidRPr="00097A86">
        <w:tab/>
        <w:t>(iv)</w:t>
      </w:r>
      <w:r w:rsidRPr="00097A86">
        <w:tab/>
        <w:t>high methane emissions; and</w:t>
      </w:r>
    </w:p>
    <w:p w14:paraId="78B908F0" w14:textId="77777777" w:rsidR="005E463D" w:rsidRPr="00097A86" w:rsidRDefault="005E463D" w:rsidP="00D22D3F">
      <w:pPr>
        <w:pStyle w:val="paragraph"/>
      </w:pPr>
      <w:r w:rsidRPr="00097A86">
        <w:tab/>
        <w:t>(c)</w:t>
      </w:r>
      <w:r w:rsidRPr="00097A86">
        <w:tab/>
        <w:t>scan the representative zone by scanning along multiple transects that are less than 25 metres wide; and</w:t>
      </w:r>
    </w:p>
    <w:p w14:paraId="6D98C623" w14:textId="77777777" w:rsidR="005E463D" w:rsidRPr="00097A86" w:rsidRDefault="005E463D" w:rsidP="00D22D3F">
      <w:pPr>
        <w:pStyle w:val="paragraph"/>
      </w:pPr>
      <w:r w:rsidRPr="00097A86">
        <w:tab/>
        <w:t>(d)</w:t>
      </w:r>
      <w:r w:rsidRPr="00097A86">
        <w:tab/>
        <w:t>if the scan detects an area within the representative zone that has high methane emissions—scan along multiple transects 1 metre wide; and</w:t>
      </w:r>
    </w:p>
    <w:p w14:paraId="18F61CBC" w14:textId="77777777" w:rsidR="005E463D" w:rsidRPr="00097A86" w:rsidRDefault="005E463D" w:rsidP="00D22D3F">
      <w:pPr>
        <w:pStyle w:val="paragraph"/>
      </w:pPr>
      <w:r w:rsidRPr="00097A86">
        <w:tab/>
        <w:t>(e)</w:t>
      </w:r>
      <w:r w:rsidRPr="00097A86">
        <w:tab/>
        <w:t>record the results; and</w:t>
      </w:r>
    </w:p>
    <w:p w14:paraId="34B9210E" w14:textId="77777777" w:rsidR="005E463D" w:rsidRPr="00097A86" w:rsidRDefault="005E463D" w:rsidP="00D22D3F">
      <w:pPr>
        <w:pStyle w:val="paragraph"/>
      </w:pPr>
      <w:r w:rsidRPr="00097A86">
        <w:tab/>
        <w:t>(f)</w:t>
      </w:r>
      <w:r w:rsidRPr="00097A86">
        <w:tab/>
        <w:t>map the results against the site plan prepared in accordance with section</w:t>
      </w:r>
      <w:r w:rsidR="00097A86">
        <w:t> </w:t>
      </w:r>
      <w:r w:rsidRPr="00097A86">
        <w:t>5.17.</w:t>
      </w:r>
    </w:p>
    <w:p w14:paraId="3D35D7E0" w14:textId="77777777" w:rsidR="002C7A17" w:rsidRPr="00097A86" w:rsidRDefault="002C7A17" w:rsidP="00D22D3F">
      <w:pPr>
        <w:pStyle w:val="subsection"/>
      </w:pPr>
      <w:r w:rsidRPr="00097A86">
        <w:tab/>
        <w:t>(2)</w:t>
      </w:r>
      <w:r w:rsidRPr="00097A86">
        <w:tab/>
        <w:t>The portable gas measurement device must be capable of detecting hydrocarbons at 10 parts per million.</w:t>
      </w:r>
    </w:p>
    <w:p w14:paraId="55A77248" w14:textId="77777777" w:rsidR="005E463D" w:rsidRPr="00097A86" w:rsidRDefault="005E463D" w:rsidP="00D22D3F">
      <w:pPr>
        <w:pStyle w:val="subsection"/>
      </w:pPr>
      <w:r w:rsidRPr="00097A86">
        <w:tab/>
        <w:t>(3)</w:t>
      </w:r>
      <w:r w:rsidRPr="00097A86">
        <w:tab/>
        <w:t>In this section:</w:t>
      </w:r>
    </w:p>
    <w:p w14:paraId="13D8200E" w14:textId="77777777" w:rsidR="005E463D" w:rsidRPr="00097A86" w:rsidRDefault="005E463D" w:rsidP="00D22D3F">
      <w:pPr>
        <w:pStyle w:val="Definition"/>
      </w:pPr>
      <w:r w:rsidRPr="00097A86">
        <w:rPr>
          <w:b/>
          <w:i/>
        </w:rPr>
        <w:t xml:space="preserve">low methane emissions </w:t>
      </w:r>
      <w:r w:rsidRPr="00097A86">
        <w:t>means methane emissions that the results of a scan performed in accordance with this section indicate are equal to or less than 50 parts per million.</w:t>
      </w:r>
    </w:p>
    <w:p w14:paraId="65528224" w14:textId="77777777" w:rsidR="005E463D" w:rsidRPr="00097A86" w:rsidRDefault="005E463D" w:rsidP="00D22D3F">
      <w:pPr>
        <w:pStyle w:val="Definition"/>
      </w:pPr>
      <w:r w:rsidRPr="00097A86">
        <w:rPr>
          <w:b/>
          <w:i/>
        </w:rPr>
        <w:lastRenderedPageBreak/>
        <w:t xml:space="preserve">intermediate methane emissions </w:t>
      </w:r>
      <w:r w:rsidRPr="00097A86">
        <w:t>means emissions that the results of a scan performed in accordance with this section indicate are greater than 50 parts per million and equal to or less than 100 parts per million.</w:t>
      </w:r>
    </w:p>
    <w:p w14:paraId="29577CBD" w14:textId="77777777" w:rsidR="005E463D" w:rsidRPr="00097A86" w:rsidRDefault="005E463D" w:rsidP="00D22D3F">
      <w:pPr>
        <w:pStyle w:val="Definition"/>
      </w:pPr>
      <w:r w:rsidRPr="00097A86">
        <w:rPr>
          <w:b/>
          <w:i/>
        </w:rPr>
        <w:t xml:space="preserve">elevated methane emissions </w:t>
      </w:r>
      <w:r w:rsidRPr="00097A86">
        <w:t>means methane emissions that the results of a scan performed in accordance with this section indicate are greater than 100 parts per million and less than 500 parts per million.</w:t>
      </w:r>
    </w:p>
    <w:p w14:paraId="1C593A73" w14:textId="77777777" w:rsidR="005E463D" w:rsidRPr="00097A86" w:rsidRDefault="005E463D" w:rsidP="00D22D3F">
      <w:pPr>
        <w:pStyle w:val="Definition"/>
      </w:pPr>
      <w:r w:rsidRPr="00097A86">
        <w:rPr>
          <w:b/>
          <w:i/>
        </w:rPr>
        <w:t xml:space="preserve">high methane emissions </w:t>
      </w:r>
      <w:r w:rsidRPr="00097A86">
        <w:t>means methane emissions that the results of a scan performed in accordance with this section indicate are equal to or greater than 500 parts per million.</w:t>
      </w:r>
    </w:p>
    <w:p w14:paraId="262414D0" w14:textId="77777777" w:rsidR="002C7A17" w:rsidRPr="00097A86" w:rsidRDefault="002C7A17" w:rsidP="00D22D3F">
      <w:pPr>
        <w:pStyle w:val="ActHead5"/>
      </w:pPr>
      <w:bookmarkStart w:id="561" w:name="_Toc13233989"/>
      <w:r w:rsidRPr="00097A86">
        <w:rPr>
          <w:rStyle w:val="CharSectno"/>
        </w:rPr>
        <w:t>5.17G</w:t>
      </w:r>
      <w:r w:rsidR="00D22D3F" w:rsidRPr="00097A86">
        <w:t xml:space="preserve">  </w:t>
      </w:r>
      <w:r w:rsidRPr="00097A86">
        <w:t>Installation of flux boxes in representative zone</w:t>
      </w:r>
      <w:bookmarkEnd w:id="561"/>
    </w:p>
    <w:p w14:paraId="513F2A88" w14:textId="77777777" w:rsidR="002C7A17" w:rsidRPr="00097A86" w:rsidRDefault="002C7A17" w:rsidP="00D22D3F">
      <w:pPr>
        <w:pStyle w:val="subsection"/>
      </w:pPr>
      <w:r w:rsidRPr="00097A86">
        <w:tab/>
        <w:t>(1)</w:t>
      </w:r>
      <w:r w:rsidRPr="00097A86">
        <w:tab/>
        <w:t>After the walkover survey has been completed, the operator of the landfill must arrange for the installation of flux boxes in the representative zone.</w:t>
      </w:r>
    </w:p>
    <w:p w14:paraId="7F4F7B5E" w14:textId="77777777" w:rsidR="002C7A17" w:rsidRPr="00097A86" w:rsidRDefault="002C7A17" w:rsidP="00D22D3F">
      <w:pPr>
        <w:pStyle w:val="subsection"/>
      </w:pPr>
      <w:r w:rsidRPr="00097A86">
        <w:tab/>
        <w:t>(2)</w:t>
      </w:r>
      <w:r w:rsidRPr="00097A86">
        <w:tab/>
        <w:t>The number of flux boxes must be at least the minimum number identified during the walkover survey.</w:t>
      </w:r>
    </w:p>
    <w:p w14:paraId="273CCECB" w14:textId="77777777" w:rsidR="002C7A17" w:rsidRPr="00097A86" w:rsidRDefault="002C7A17" w:rsidP="00D22D3F">
      <w:pPr>
        <w:pStyle w:val="subsection"/>
      </w:pPr>
      <w:r w:rsidRPr="00097A86">
        <w:tab/>
        <w:t>(3)</w:t>
      </w:r>
      <w:r w:rsidRPr="00097A86">
        <w:tab/>
        <w:t>The flux boxes must be installed at the locations identified in the walkover survey.</w:t>
      </w:r>
    </w:p>
    <w:p w14:paraId="62D60F25" w14:textId="77777777" w:rsidR="002C7A17" w:rsidRPr="00097A86" w:rsidRDefault="002C7A17" w:rsidP="00D22D3F">
      <w:pPr>
        <w:pStyle w:val="subsection"/>
      </w:pPr>
      <w:r w:rsidRPr="00097A86">
        <w:tab/>
        <w:t>(4)</w:t>
      </w:r>
      <w:r w:rsidRPr="00097A86">
        <w:tab/>
        <w:t>If the operator installs the flux boxes, the operator must ensure that an independent expert certifies, in writing, that the boxes have been correctly installed and located.</w:t>
      </w:r>
    </w:p>
    <w:p w14:paraId="490FF0A2" w14:textId="77777777" w:rsidR="002C7A17" w:rsidRPr="00097A86" w:rsidRDefault="002C7A17" w:rsidP="00D22D3F">
      <w:pPr>
        <w:pStyle w:val="subsection"/>
      </w:pPr>
      <w:r w:rsidRPr="00097A86">
        <w:tab/>
        <w:t>(5)</w:t>
      </w:r>
      <w:r w:rsidRPr="00097A86">
        <w:tab/>
        <w:t>If the operator arranges for some other person to install the flux boxes, the other person must be an independent expert.</w:t>
      </w:r>
    </w:p>
    <w:p w14:paraId="038F49CD" w14:textId="77777777" w:rsidR="005E463D" w:rsidRPr="00097A86" w:rsidRDefault="005E463D" w:rsidP="00D22D3F">
      <w:pPr>
        <w:pStyle w:val="subsection"/>
      </w:pPr>
      <w:r w:rsidRPr="00097A86">
        <w:tab/>
        <w:t>(6)</w:t>
      </w:r>
      <w:r w:rsidRPr="00097A86">
        <w:tab/>
        <w:t>If an independent expert identifies an area within a representative zone that has low methane emissions, the landfill operator must:</w:t>
      </w:r>
    </w:p>
    <w:p w14:paraId="2B0EF3DF" w14:textId="77777777" w:rsidR="005E463D" w:rsidRPr="00097A86" w:rsidRDefault="005E463D" w:rsidP="00D22D3F">
      <w:pPr>
        <w:pStyle w:val="paragraph"/>
      </w:pPr>
      <w:r w:rsidRPr="00097A86">
        <w:tab/>
        <w:t>(a)</w:t>
      </w:r>
      <w:r w:rsidRPr="00097A86">
        <w:tab/>
        <w:t>calculate the methane gas flow rate of the area by using a rate of 0.01g CH</w:t>
      </w:r>
      <w:r w:rsidRPr="00097A86">
        <w:rPr>
          <w:vertAlign w:val="subscript"/>
        </w:rPr>
        <w:t>4</w:t>
      </w:r>
      <w:r w:rsidRPr="00097A86">
        <w:t xml:space="preserve"> per square metre per hour; or</w:t>
      </w:r>
    </w:p>
    <w:p w14:paraId="77AE86E7" w14:textId="77777777" w:rsidR="005E463D" w:rsidRPr="00097A86" w:rsidRDefault="005E463D" w:rsidP="00D22D3F">
      <w:pPr>
        <w:pStyle w:val="paragraph"/>
      </w:pPr>
      <w:r w:rsidRPr="00097A86">
        <w:tab/>
        <w:t>(b)</w:t>
      </w:r>
      <w:r w:rsidRPr="00097A86">
        <w:tab/>
        <w:t xml:space="preserve">take all reasonable steps to ensure that the independent expert performs the calculation mentioned in </w:t>
      </w:r>
      <w:r w:rsidR="00097A86">
        <w:t>paragraph (</w:t>
      </w:r>
      <w:r w:rsidRPr="00097A86">
        <w:t>a).</w:t>
      </w:r>
    </w:p>
    <w:p w14:paraId="7D7A4466" w14:textId="77777777" w:rsidR="005E463D" w:rsidRPr="00097A86" w:rsidRDefault="005E463D" w:rsidP="00D22D3F">
      <w:pPr>
        <w:pStyle w:val="subsection"/>
      </w:pPr>
      <w:r w:rsidRPr="00097A86">
        <w:tab/>
        <w:t>(7)</w:t>
      </w:r>
      <w:r w:rsidRPr="00097A86">
        <w:tab/>
        <w:t>If an independent expert identifies an area within a representative zone that has intermediate methane emissions, the landfill operator must:</w:t>
      </w:r>
    </w:p>
    <w:p w14:paraId="569F0041" w14:textId="77777777" w:rsidR="005E463D" w:rsidRPr="00097A86" w:rsidRDefault="005E463D" w:rsidP="00D22D3F">
      <w:pPr>
        <w:pStyle w:val="paragraph"/>
      </w:pPr>
      <w:r w:rsidRPr="00097A86">
        <w:tab/>
        <w:t>(a)</w:t>
      </w:r>
      <w:r w:rsidRPr="00097A86">
        <w:tab/>
        <w:t>calculate the methane gas flow rate of the area by using a rate of 0.12g CH</w:t>
      </w:r>
      <w:r w:rsidRPr="00097A86">
        <w:rPr>
          <w:vertAlign w:val="subscript"/>
        </w:rPr>
        <w:t>4</w:t>
      </w:r>
      <w:r w:rsidRPr="00097A86">
        <w:t xml:space="preserve"> per square metre per hour; or</w:t>
      </w:r>
    </w:p>
    <w:p w14:paraId="2CD9998D" w14:textId="77777777" w:rsidR="005E463D" w:rsidRPr="00097A86" w:rsidRDefault="005E463D" w:rsidP="00D22D3F">
      <w:pPr>
        <w:pStyle w:val="paragraph"/>
      </w:pPr>
      <w:r w:rsidRPr="00097A86">
        <w:tab/>
        <w:t>(b)</w:t>
      </w:r>
      <w:r w:rsidRPr="00097A86">
        <w:tab/>
        <w:t xml:space="preserve">take all reasonable steps to ensure that the independent expert performs the calculation mentioned in </w:t>
      </w:r>
      <w:r w:rsidR="00097A86">
        <w:t>paragraph (</w:t>
      </w:r>
      <w:r w:rsidRPr="00097A86">
        <w:t>a).</w:t>
      </w:r>
    </w:p>
    <w:p w14:paraId="32E48B31" w14:textId="77777777" w:rsidR="005E463D" w:rsidRPr="00097A86" w:rsidRDefault="005E463D" w:rsidP="00D22D3F">
      <w:pPr>
        <w:pStyle w:val="subsection"/>
      </w:pPr>
      <w:r w:rsidRPr="00097A86">
        <w:tab/>
        <w:t>(8)</w:t>
      </w:r>
      <w:r w:rsidRPr="00097A86">
        <w:tab/>
        <w:t>If an independent expert identifies an area within a representative zone that has elevated methane emissions, the landfill operator must:</w:t>
      </w:r>
    </w:p>
    <w:p w14:paraId="04BCAFE5" w14:textId="77777777" w:rsidR="005E463D" w:rsidRPr="00097A86" w:rsidRDefault="005E463D" w:rsidP="00D22D3F">
      <w:pPr>
        <w:pStyle w:val="paragraph"/>
      </w:pPr>
      <w:r w:rsidRPr="00097A86">
        <w:tab/>
        <w:t>(a)</w:t>
      </w:r>
      <w:r w:rsidRPr="00097A86">
        <w:tab/>
        <w:t>calculate the methane gas flow rate for the area by using a rate of 4.3 g CH</w:t>
      </w:r>
      <w:r w:rsidRPr="00097A86">
        <w:rPr>
          <w:vertAlign w:val="subscript"/>
        </w:rPr>
        <w:t xml:space="preserve">4 </w:t>
      </w:r>
      <w:r w:rsidRPr="00097A86">
        <w:t>per square metre per hour; or</w:t>
      </w:r>
    </w:p>
    <w:p w14:paraId="55B4968B" w14:textId="77777777" w:rsidR="005E463D" w:rsidRPr="00097A86" w:rsidRDefault="005E463D" w:rsidP="00D22D3F">
      <w:pPr>
        <w:pStyle w:val="paragraph"/>
      </w:pPr>
      <w:r w:rsidRPr="00097A86">
        <w:tab/>
        <w:t>(b)</w:t>
      </w:r>
      <w:r w:rsidRPr="00097A86">
        <w:tab/>
        <w:t xml:space="preserve">take all reasonable steps to ensure that the independent expert performs the calculation mentioned in </w:t>
      </w:r>
      <w:r w:rsidR="00097A86">
        <w:t>paragraph (</w:t>
      </w:r>
      <w:r w:rsidRPr="00097A86">
        <w:t>a); or</w:t>
      </w:r>
    </w:p>
    <w:p w14:paraId="0C002EBC" w14:textId="77777777" w:rsidR="005E463D" w:rsidRPr="00097A86" w:rsidRDefault="005E463D" w:rsidP="00D22D3F">
      <w:pPr>
        <w:pStyle w:val="paragraph"/>
      </w:pPr>
      <w:r w:rsidRPr="00097A86">
        <w:lastRenderedPageBreak/>
        <w:tab/>
        <w:t>(c)</w:t>
      </w:r>
      <w:r w:rsidRPr="00097A86">
        <w:tab/>
        <w:t>take all reasonable steps to ensure that the independent expert works out the minimum number of flux boxes for the area by using the following formula:</w:t>
      </w:r>
    </w:p>
    <w:p w14:paraId="7E0DACC6" w14:textId="77777777" w:rsidR="005E463D" w:rsidRPr="00097A86" w:rsidRDefault="00D22D3F" w:rsidP="00D22D3F">
      <w:pPr>
        <w:pStyle w:val="paragraph"/>
        <w:spacing w:before="120" w:after="120"/>
      </w:pPr>
      <w:r w:rsidRPr="00097A86">
        <w:tab/>
      </w:r>
      <w:r w:rsidRPr="00097A86">
        <w:tab/>
      </w:r>
      <w:r w:rsidR="009E1F90">
        <w:rPr>
          <w:noProof/>
        </w:rPr>
        <w:drawing>
          <wp:inline distT="0" distB="0" distL="0" distR="0" wp14:anchorId="15A55871" wp14:editId="033EB3EE">
            <wp:extent cx="981075" cy="2190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p>
    <w:p w14:paraId="6DAA16E5" w14:textId="77777777" w:rsidR="005E463D" w:rsidRPr="00097A86" w:rsidRDefault="005E463D" w:rsidP="00D22D3F">
      <w:pPr>
        <w:pStyle w:val="subsection2"/>
      </w:pPr>
      <w:r w:rsidRPr="00097A86">
        <w:t>where:</w:t>
      </w:r>
    </w:p>
    <w:p w14:paraId="313D4FD8" w14:textId="77777777" w:rsidR="005E463D" w:rsidRPr="00097A86" w:rsidRDefault="005E463D" w:rsidP="00D22D3F">
      <w:pPr>
        <w:pStyle w:val="Definition"/>
      </w:pPr>
      <w:r w:rsidRPr="00097A86">
        <w:rPr>
          <w:b/>
          <w:i/>
        </w:rPr>
        <w:t xml:space="preserve">Z </w:t>
      </w:r>
      <w:r w:rsidRPr="00097A86">
        <w:t>is the size of the area within the representative zone that has elevated methane emissions, measured in square metres.</w:t>
      </w:r>
    </w:p>
    <w:p w14:paraId="182CE6AA" w14:textId="77777777" w:rsidR="005E463D" w:rsidRPr="00097A86" w:rsidRDefault="005E463D" w:rsidP="00D22D3F">
      <w:pPr>
        <w:pStyle w:val="subsection"/>
      </w:pPr>
      <w:r w:rsidRPr="00097A86">
        <w:tab/>
        <w:t>(9)</w:t>
      </w:r>
      <w:r w:rsidRPr="00097A86">
        <w:tab/>
        <w:t>If an independent expert identifies an area within a representative zone that has high methane emissions, the landfill operator must:</w:t>
      </w:r>
    </w:p>
    <w:p w14:paraId="0D99CF65" w14:textId="77777777" w:rsidR="005E463D" w:rsidRPr="00097A86" w:rsidRDefault="005E463D" w:rsidP="00D22D3F">
      <w:pPr>
        <w:pStyle w:val="paragraph"/>
      </w:pPr>
      <w:r w:rsidRPr="00097A86">
        <w:tab/>
        <w:t>(a)</w:t>
      </w:r>
      <w:r w:rsidRPr="00097A86">
        <w:tab/>
        <w:t>calculate the methane gas flow rate of the area by using a rate of 75 g CH</w:t>
      </w:r>
      <w:r w:rsidRPr="00097A86">
        <w:rPr>
          <w:vertAlign w:val="subscript"/>
        </w:rPr>
        <w:t xml:space="preserve">4 </w:t>
      </w:r>
      <w:r w:rsidRPr="00097A86">
        <w:t>per square metre per hour; or</w:t>
      </w:r>
    </w:p>
    <w:p w14:paraId="60B5FBAE" w14:textId="77777777" w:rsidR="005E463D" w:rsidRPr="00097A86" w:rsidRDefault="005E463D" w:rsidP="00D22D3F">
      <w:pPr>
        <w:pStyle w:val="paragraph"/>
      </w:pPr>
      <w:r w:rsidRPr="00097A86">
        <w:tab/>
        <w:t>(b)</w:t>
      </w:r>
      <w:r w:rsidRPr="00097A86">
        <w:tab/>
        <w:t xml:space="preserve">take all reasonable steps to ensure that the independent expert performs the calculation mentioned in </w:t>
      </w:r>
      <w:r w:rsidR="00097A86">
        <w:t>paragraph (</w:t>
      </w:r>
      <w:r w:rsidRPr="00097A86">
        <w:t>a); or</w:t>
      </w:r>
    </w:p>
    <w:p w14:paraId="40851F92" w14:textId="77777777" w:rsidR="005E463D" w:rsidRPr="00097A86" w:rsidRDefault="005E463D" w:rsidP="00D22D3F">
      <w:pPr>
        <w:pStyle w:val="paragraph"/>
      </w:pPr>
      <w:r w:rsidRPr="00097A86">
        <w:tab/>
        <w:t>(c)</w:t>
      </w:r>
      <w:r w:rsidRPr="00097A86">
        <w:tab/>
        <w:t>take all reasonable steps to ensure that the independent expert works out the minimum number of flux boxes for the area by using the following formula:</w:t>
      </w:r>
    </w:p>
    <w:p w14:paraId="4E190A51" w14:textId="77777777" w:rsidR="005E463D" w:rsidRPr="00097A86" w:rsidRDefault="00D22D3F" w:rsidP="00D22D3F">
      <w:pPr>
        <w:pStyle w:val="paragraph"/>
        <w:spacing w:before="120" w:after="120"/>
      </w:pPr>
      <w:r w:rsidRPr="00097A86">
        <w:tab/>
      </w:r>
      <w:r w:rsidRPr="00097A86">
        <w:tab/>
      </w:r>
      <w:r w:rsidR="009E1F90">
        <w:rPr>
          <w:noProof/>
        </w:rPr>
        <w:drawing>
          <wp:inline distT="0" distB="0" distL="0" distR="0" wp14:anchorId="178972E0" wp14:editId="0F08C4CF">
            <wp:extent cx="981075" cy="2190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p>
    <w:p w14:paraId="31AD9CF1" w14:textId="77777777" w:rsidR="005E463D" w:rsidRPr="00097A86" w:rsidRDefault="005E463D" w:rsidP="00D22D3F">
      <w:pPr>
        <w:pStyle w:val="subsection2"/>
      </w:pPr>
      <w:r w:rsidRPr="00097A86">
        <w:t>where:</w:t>
      </w:r>
    </w:p>
    <w:p w14:paraId="6C6AA962" w14:textId="77777777" w:rsidR="005E463D" w:rsidRPr="00097A86" w:rsidRDefault="005E463D" w:rsidP="00D22D3F">
      <w:pPr>
        <w:pStyle w:val="Definition"/>
      </w:pPr>
      <w:r w:rsidRPr="00097A86">
        <w:rPr>
          <w:b/>
          <w:i/>
        </w:rPr>
        <w:t xml:space="preserve">Z </w:t>
      </w:r>
      <w:r w:rsidRPr="00097A86">
        <w:t>is the size of the area within the representative zone that has high methane emissions, measured in square metres.</w:t>
      </w:r>
    </w:p>
    <w:p w14:paraId="52F0FAA7" w14:textId="77777777" w:rsidR="005E463D" w:rsidRPr="00097A86" w:rsidRDefault="005E463D" w:rsidP="00D22D3F">
      <w:pPr>
        <w:pStyle w:val="subsection"/>
      </w:pPr>
      <w:r w:rsidRPr="00097A86">
        <w:tab/>
        <w:t>(10)</w:t>
      </w:r>
      <w:r w:rsidRPr="00097A86">
        <w:tab/>
        <w:t>In this section:</w:t>
      </w:r>
    </w:p>
    <w:p w14:paraId="01CCC1CC" w14:textId="77777777" w:rsidR="005E463D" w:rsidRPr="00097A86" w:rsidRDefault="005E463D" w:rsidP="00D22D3F">
      <w:pPr>
        <w:pStyle w:val="Definition"/>
      </w:pPr>
      <w:r w:rsidRPr="00097A86">
        <w:rPr>
          <w:b/>
          <w:i/>
        </w:rPr>
        <w:t xml:space="preserve">low methane emissions </w:t>
      </w:r>
      <w:r w:rsidRPr="00097A86">
        <w:t>means methane emissions that the results of a scan performed in accordance with this section indicate are equal to or less than 50 parts per million.</w:t>
      </w:r>
    </w:p>
    <w:p w14:paraId="27335C85" w14:textId="77777777" w:rsidR="005E463D" w:rsidRPr="00097A86" w:rsidRDefault="005E463D" w:rsidP="00D22D3F">
      <w:pPr>
        <w:pStyle w:val="Definition"/>
      </w:pPr>
      <w:r w:rsidRPr="00097A86">
        <w:rPr>
          <w:b/>
          <w:i/>
        </w:rPr>
        <w:t xml:space="preserve">intermediate methane emissions </w:t>
      </w:r>
      <w:r w:rsidRPr="00097A86">
        <w:t>means emissions that the results of a scan performed in accordance with this section indicate are greater than 50 parts per million and equal to or less than 100 parts per million.</w:t>
      </w:r>
    </w:p>
    <w:p w14:paraId="787110A3" w14:textId="77777777" w:rsidR="005E463D" w:rsidRPr="00097A86" w:rsidRDefault="005E463D" w:rsidP="00D22D3F">
      <w:pPr>
        <w:pStyle w:val="Definition"/>
      </w:pPr>
      <w:r w:rsidRPr="00097A86">
        <w:rPr>
          <w:b/>
          <w:i/>
        </w:rPr>
        <w:t xml:space="preserve">elevated methane emissions </w:t>
      </w:r>
      <w:r w:rsidRPr="00097A86">
        <w:t>means methane emissions that the results of a scan performed in accordance with this section indicate are greater than 100 parts per million and less than 500 parts per million.</w:t>
      </w:r>
    </w:p>
    <w:p w14:paraId="24984882" w14:textId="77777777" w:rsidR="005E463D" w:rsidRPr="00097A86" w:rsidRDefault="005E463D" w:rsidP="00D22D3F">
      <w:pPr>
        <w:pStyle w:val="Definition"/>
      </w:pPr>
      <w:r w:rsidRPr="00097A86">
        <w:rPr>
          <w:b/>
          <w:i/>
        </w:rPr>
        <w:t xml:space="preserve">high methane emissions </w:t>
      </w:r>
      <w:r w:rsidRPr="00097A86">
        <w:t>means methane emissions that the results of a scan performed in accordance with this section indicate are equal to or greater than 500 parts per million.</w:t>
      </w:r>
    </w:p>
    <w:p w14:paraId="0122707B" w14:textId="77777777" w:rsidR="002C7A17" w:rsidRPr="00097A86" w:rsidRDefault="002C7A17" w:rsidP="00D22D3F">
      <w:pPr>
        <w:pStyle w:val="ActHead5"/>
      </w:pPr>
      <w:bookmarkStart w:id="562" w:name="_Toc13233990"/>
      <w:r w:rsidRPr="00097A86">
        <w:rPr>
          <w:rStyle w:val="CharSectno"/>
        </w:rPr>
        <w:t>5.17H</w:t>
      </w:r>
      <w:r w:rsidR="00D22D3F" w:rsidRPr="00097A86">
        <w:t xml:space="preserve">  </w:t>
      </w:r>
      <w:r w:rsidRPr="00097A86">
        <w:t>Flux box measurements</w:t>
      </w:r>
      <w:bookmarkEnd w:id="562"/>
    </w:p>
    <w:p w14:paraId="2141DC94" w14:textId="77777777" w:rsidR="002C7A17" w:rsidRPr="00097A86" w:rsidRDefault="002C7A17" w:rsidP="00D22D3F">
      <w:pPr>
        <w:pStyle w:val="subsection"/>
      </w:pPr>
      <w:r w:rsidRPr="00097A86">
        <w:tab/>
        <w:t>(1)</w:t>
      </w:r>
      <w:r w:rsidRPr="00097A86">
        <w:tab/>
        <w:t>After the flux boxes have been installed in the representative zone, the operator must:</w:t>
      </w:r>
    </w:p>
    <w:p w14:paraId="76B7CE97" w14:textId="77777777" w:rsidR="002C7A17" w:rsidRPr="00097A86" w:rsidRDefault="002C7A17" w:rsidP="00D22D3F">
      <w:pPr>
        <w:pStyle w:val="paragraph"/>
      </w:pPr>
      <w:r w:rsidRPr="00097A86">
        <w:lastRenderedPageBreak/>
        <w:tab/>
        <w:t>(a)</w:t>
      </w:r>
      <w:r w:rsidRPr="00097A86">
        <w:tab/>
        <w:t>measure the flow of methane in each flux box and arrange for an independent expert to certify, in writing, that the measurements are accurate and were correctly measured; or</w:t>
      </w:r>
    </w:p>
    <w:p w14:paraId="047D5E5F" w14:textId="77777777" w:rsidR="002C7A17" w:rsidRPr="00097A86" w:rsidRDefault="002C7A17" w:rsidP="00D22D3F">
      <w:pPr>
        <w:pStyle w:val="paragraph"/>
      </w:pPr>
      <w:r w:rsidRPr="00097A86">
        <w:tab/>
        <w:t>(b)</w:t>
      </w:r>
      <w:r w:rsidRPr="00097A86">
        <w:tab/>
        <w:t>arrange for an independent expert to take the measurements.</w:t>
      </w:r>
    </w:p>
    <w:p w14:paraId="589A26C5" w14:textId="77777777" w:rsidR="002C7A17" w:rsidRPr="00097A86" w:rsidRDefault="00D22D3F" w:rsidP="00D22D3F">
      <w:pPr>
        <w:pStyle w:val="notetext"/>
      </w:pPr>
      <w:r w:rsidRPr="00097A86">
        <w:t>Note:</w:t>
      </w:r>
      <w:r w:rsidRPr="00097A86">
        <w:tab/>
      </w:r>
      <w:r w:rsidR="002C7A17" w:rsidRPr="00097A86">
        <w:t xml:space="preserve">AS/NZS 4323.4—2009 and the publication entitled </w:t>
      </w:r>
      <w:r w:rsidR="002C7A17" w:rsidRPr="00097A86">
        <w:rPr>
          <w:i/>
        </w:rPr>
        <w:t xml:space="preserve">Guidance on monitoring landfill gas surface emissions </w:t>
      </w:r>
      <w:r w:rsidR="002C7A17" w:rsidRPr="00097A86">
        <w:t>published by the Environment Agency of the United Kingdom in September 2004 contain guidance on how to take measurements in flux boxes.</w:t>
      </w:r>
    </w:p>
    <w:p w14:paraId="2CCE3F9D" w14:textId="77777777" w:rsidR="002C7A17" w:rsidRPr="00097A86" w:rsidRDefault="002C7A17" w:rsidP="00D22D3F">
      <w:pPr>
        <w:pStyle w:val="subsection"/>
      </w:pPr>
      <w:r w:rsidRPr="00097A86">
        <w:tab/>
        <w:t>(2)</w:t>
      </w:r>
      <w:r w:rsidRPr="00097A86">
        <w:tab/>
        <w:t>The flow of methane from each flux box must be calculated in accordance with the following formula:</w:t>
      </w:r>
    </w:p>
    <w:p w14:paraId="7F6B4106" w14:textId="77777777" w:rsidR="002C7A17" w:rsidRPr="00097A86" w:rsidRDefault="00D22D3F" w:rsidP="00D22D3F">
      <w:pPr>
        <w:pStyle w:val="subsection"/>
        <w:spacing w:before="120" w:after="120"/>
      </w:pPr>
      <w:r w:rsidRPr="00097A86">
        <w:tab/>
      </w:r>
      <w:r w:rsidRPr="00097A86">
        <w:tab/>
      </w:r>
      <w:r w:rsidR="009E1F90">
        <w:rPr>
          <w:noProof/>
        </w:rPr>
        <w:drawing>
          <wp:inline distT="0" distB="0" distL="0" distR="0" wp14:anchorId="5E7303FA" wp14:editId="7D6C724C">
            <wp:extent cx="1028700" cy="5905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p>
    <w:p w14:paraId="50AA7EF6" w14:textId="77777777" w:rsidR="002C7A17" w:rsidRPr="00097A86" w:rsidRDefault="002C7A17" w:rsidP="00D22D3F">
      <w:pPr>
        <w:pStyle w:val="subsection2"/>
      </w:pPr>
      <w:r w:rsidRPr="00097A86">
        <w:t>where:</w:t>
      </w:r>
    </w:p>
    <w:p w14:paraId="37D57FE8" w14:textId="77777777" w:rsidR="002C7A17" w:rsidRPr="00097A86" w:rsidRDefault="002C7A17" w:rsidP="00D22D3F">
      <w:pPr>
        <w:pStyle w:val="Definition"/>
      </w:pPr>
      <w:r w:rsidRPr="00097A86">
        <w:rPr>
          <w:b/>
          <w:i/>
        </w:rPr>
        <w:t xml:space="preserve">Q </w:t>
      </w:r>
      <w:r w:rsidRPr="00097A86">
        <w:t>is the flow density of the gas in the flux box, measured in milligrams of methane per square metre per second.</w:t>
      </w:r>
    </w:p>
    <w:p w14:paraId="1498A746" w14:textId="77777777" w:rsidR="002C7A17" w:rsidRPr="00097A86" w:rsidRDefault="002C7A17" w:rsidP="00D22D3F">
      <w:pPr>
        <w:pStyle w:val="Definition"/>
      </w:pPr>
      <w:r w:rsidRPr="00097A86">
        <w:rPr>
          <w:b/>
          <w:i/>
        </w:rPr>
        <w:t xml:space="preserve">V </w:t>
      </w:r>
      <w:r w:rsidRPr="00097A86">
        <w:t>is the volume of the flux box, measured in cubic metres.</w:t>
      </w:r>
    </w:p>
    <w:tbl>
      <w:tblPr>
        <w:tblW w:w="5000" w:type="pct"/>
        <w:tblLook w:val="0000" w:firstRow="0" w:lastRow="0" w:firstColumn="0" w:lastColumn="0" w:noHBand="0" w:noVBand="0"/>
      </w:tblPr>
      <w:tblGrid>
        <w:gridCol w:w="652"/>
        <w:gridCol w:w="7661"/>
      </w:tblGrid>
      <w:tr w:rsidR="002C7A17" w:rsidRPr="00097A86" w14:paraId="42BE2340" w14:textId="77777777" w:rsidTr="00C20CC2">
        <w:trPr>
          <w:trHeight w:val="610"/>
        </w:trPr>
        <w:tc>
          <w:tcPr>
            <w:tcW w:w="392" w:type="pct"/>
            <w:shd w:val="clear" w:color="auto" w:fill="auto"/>
          </w:tcPr>
          <w:p w14:paraId="3F55E08D" w14:textId="77777777" w:rsidR="002C7A17" w:rsidRPr="00097A86" w:rsidRDefault="009E1F90" w:rsidP="00FA3259">
            <w:pPr>
              <w:pStyle w:val="TableHeading"/>
              <w:keepNext w:val="0"/>
              <w:spacing w:before="120" w:after="60"/>
            </w:pPr>
            <w:r>
              <w:rPr>
                <w:noProof/>
              </w:rPr>
              <w:drawing>
                <wp:inline distT="0" distB="0" distL="0" distR="0" wp14:anchorId="4469BDB4" wp14:editId="279F720B">
                  <wp:extent cx="219075" cy="3905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tc>
        <w:tc>
          <w:tcPr>
            <w:tcW w:w="4608" w:type="pct"/>
            <w:shd w:val="clear" w:color="auto" w:fill="auto"/>
            <w:vAlign w:val="center"/>
          </w:tcPr>
          <w:p w14:paraId="5C945CEF" w14:textId="77777777" w:rsidR="002C7A17" w:rsidRPr="00097A86" w:rsidRDefault="002C7A17" w:rsidP="003E177F">
            <w:pPr>
              <w:pStyle w:val="TableHeading"/>
              <w:keepNext w:val="0"/>
              <w:spacing w:before="120"/>
              <w:ind w:left="-109"/>
              <w:rPr>
                <w:b w:val="0"/>
                <w:sz w:val="22"/>
                <w:szCs w:val="22"/>
              </w:rPr>
            </w:pPr>
            <w:r w:rsidRPr="00097A86">
              <w:rPr>
                <w:b w:val="0"/>
                <w:sz w:val="22"/>
                <w:szCs w:val="22"/>
              </w:rPr>
              <w:t>is the rate of change of gas concentration in the flux boxes over time, measured in milligrams per cubic metre per second.</w:t>
            </w:r>
          </w:p>
        </w:tc>
      </w:tr>
    </w:tbl>
    <w:p w14:paraId="135B33B5" w14:textId="77777777" w:rsidR="002C7A17" w:rsidRPr="00097A86" w:rsidRDefault="002C7A17" w:rsidP="00FA3259">
      <w:pPr>
        <w:pStyle w:val="Definition"/>
        <w:spacing w:before="120"/>
      </w:pPr>
      <w:r w:rsidRPr="00097A86">
        <w:rPr>
          <w:b/>
          <w:i/>
        </w:rPr>
        <w:t xml:space="preserve">A </w:t>
      </w:r>
      <w:r w:rsidRPr="00097A86">
        <w:t>is the area covered by the flux box, measured in square metres.</w:t>
      </w:r>
    </w:p>
    <w:p w14:paraId="2CDB57FC" w14:textId="77777777" w:rsidR="002C7A17" w:rsidRPr="00097A86" w:rsidRDefault="002C7A17" w:rsidP="00D22D3F">
      <w:pPr>
        <w:pStyle w:val="subsection"/>
      </w:pPr>
      <w:r w:rsidRPr="00097A86">
        <w:tab/>
        <w:t>(3)</w:t>
      </w:r>
      <w:r w:rsidRPr="00097A86">
        <w:tab/>
        <w:t>The total gas flow rate for the representative zone is to be obtained by using geospatial interpolation techniques.</w:t>
      </w:r>
    </w:p>
    <w:p w14:paraId="75CB1EFB" w14:textId="77777777" w:rsidR="002C7A17" w:rsidRPr="00097A86" w:rsidRDefault="002C7A17" w:rsidP="00D22D3F">
      <w:pPr>
        <w:pStyle w:val="subsection"/>
      </w:pPr>
      <w:r w:rsidRPr="00097A86">
        <w:tab/>
        <w:t>(4)</w:t>
      </w:r>
      <w:r w:rsidRPr="00097A86">
        <w:tab/>
        <w:t xml:space="preserve">The amount of methane generated, but not collected, in the representative zone must be estimated by dividing the total gas flow rate obtained in accordance with </w:t>
      </w:r>
      <w:r w:rsidR="00097A86">
        <w:t>subsection (</w:t>
      </w:r>
      <w:r w:rsidRPr="00097A86">
        <w:t>3) by:</w:t>
      </w:r>
    </w:p>
    <w:p w14:paraId="0C708B7B" w14:textId="77777777" w:rsidR="002C7A17" w:rsidRPr="00097A86" w:rsidRDefault="00D22D3F" w:rsidP="00D22D3F">
      <w:pPr>
        <w:pStyle w:val="subsection"/>
        <w:spacing w:before="120" w:after="120"/>
      </w:pPr>
      <w:r w:rsidRPr="00097A86">
        <w:tab/>
      </w:r>
      <w:r w:rsidRPr="00097A86">
        <w:tab/>
      </w:r>
      <w:r w:rsidR="009E1F90">
        <w:rPr>
          <w:noProof/>
        </w:rPr>
        <w:drawing>
          <wp:inline distT="0" distB="0" distL="0" distR="0" wp14:anchorId="2AE6C6B2" wp14:editId="72616511">
            <wp:extent cx="523875" cy="1809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p w14:paraId="54A3B0BE" w14:textId="77777777" w:rsidR="002C7A17" w:rsidRPr="00097A86" w:rsidRDefault="002C7A17" w:rsidP="00D22D3F">
      <w:pPr>
        <w:pStyle w:val="subsection2"/>
      </w:pPr>
      <w:r w:rsidRPr="00097A86">
        <w:t>where:</w:t>
      </w:r>
    </w:p>
    <w:p w14:paraId="26C058AB" w14:textId="77777777" w:rsidR="002C7A17" w:rsidRPr="00097A86" w:rsidRDefault="002C7A17" w:rsidP="00D22D3F">
      <w:pPr>
        <w:pStyle w:val="subsection2"/>
      </w:pPr>
      <w:r w:rsidRPr="00097A86">
        <w:rPr>
          <w:b/>
          <w:i/>
        </w:rPr>
        <w:t>OF</w:t>
      </w:r>
      <w:r w:rsidRPr="00097A86">
        <w:t xml:space="preserve"> is the oxidation factor mentioned in subsection</w:t>
      </w:r>
      <w:r w:rsidR="00097A86">
        <w:t> </w:t>
      </w:r>
      <w:r w:rsidRPr="00097A86">
        <w:t>5.15(1).</w:t>
      </w:r>
    </w:p>
    <w:p w14:paraId="3C166453" w14:textId="77777777" w:rsidR="002C7A17" w:rsidRPr="00097A86" w:rsidRDefault="002C7A17" w:rsidP="00D22D3F">
      <w:pPr>
        <w:pStyle w:val="subsection"/>
      </w:pPr>
      <w:r w:rsidRPr="00097A86">
        <w:tab/>
        <w:t>(5)</w:t>
      </w:r>
      <w:r w:rsidRPr="00097A86">
        <w:tab/>
        <w:t xml:space="preserve">The measurement of methane obtained under the formula in </w:t>
      </w:r>
      <w:r w:rsidR="00097A86">
        <w:t>subsection (</w:t>
      </w:r>
      <w:r w:rsidRPr="00097A86">
        <w:t>2) must be converted from milligrams of methane per square metre per second to tonnes of methane for the surface area of the representative zone for the reporting year.</w:t>
      </w:r>
    </w:p>
    <w:p w14:paraId="42139394" w14:textId="77777777" w:rsidR="002C7A17" w:rsidRPr="00097A86" w:rsidRDefault="002C7A17" w:rsidP="00D22D3F">
      <w:pPr>
        <w:pStyle w:val="subsection"/>
      </w:pPr>
      <w:r w:rsidRPr="00097A86">
        <w:tab/>
        <w:t>(6)</w:t>
      </w:r>
      <w:r w:rsidRPr="00097A86">
        <w:tab/>
        <w:t>Estimates of gas flow must be converted from cubic metres to mass by using the formula in subsection</w:t>
      </w:r>
      <w:r w:rsidR="00097A86">
        <w:t> </w:t>
      </w:r>
      <w:r w:rsidRPr="00097A86">
        <w:t>1.21(1).</w:t>
      </w:r>
    </w:p>
    <w:p w14:paraId="04115CED" w14:textId="77777777" w:rsidR="002C7A17" w:rsidRPr="00097A86" w:rsidRDefault="002C7A17" w:rsidP="00D22D3F">
      <w:pPr>
        <w:pStyle w:val="ActHead5"/>
      </w:pPr>
      <w:bookmarkStart w:id="563" w:name="_Toc13233991"/>
      <w:r w:rsidRPr="00097A86">
        <w:rPr>
          <w:rStyle w:val="CharSectno"/>
        </w:rPr>
        <w:t>5.17I</w:t>
      </w:r>
      <w:r w:rsidR="00D22D3F" w:rsidRPr="00097A86">
        <w:t xml:space="preserve">  </w:t>
      </w:r>
      <w:r w:rsidRPr="00097A86">
        <w:t>When flux box measurements must be taken</w:t>
      </w:r>
      <w:bookmarkEnd w:id="563"/>
    </w:p>
    <w:p w14:paraId="2926A081" w14:textId="77777777" w:rsidR="002C7A17" w:rsidRPr="00097A86" w:rsidRDefault="002C7A17" w:rsidP="00D22D3F">
      <w:pPr>
        <w:pStyle w:val="subsection"/>
      </w:pPr>
      <w:r w:rsidRPr="00097A86">
        <w:tab/>
        <w:t>(1)</w:t>
      </w:r>
      <w:r w:rsidRPr="00097A86">
        <w:tab/>
        <w:t>Flux box measurements must be taken during the normal operating times of the gas collection wells in the representative zone.</w:t>
      </w:r>
    </w:p>
    <w:p w14:paraId="49E83560" w14:textId="77777777" w:rsidR="002C7A17" w:rsidRPr="00097A86" w:rsidRDefault="002C7A17" w:rsidP="00D22D3F">
      <w:pPr>
        <w:pStyle w:val="subsection"/>
      </w:pPr>
      <w:r w:rsidRPr="00097A86">
        <w:tab/>
        <w:t>(2)</w:t>
      </w:r>
      <w:r w:rsidRPr="00097A86">
        <w:tab/>
        <w:t>The measurements must be completed within 3 days.</w:t>
      </w:r>
    </w:p>
    <w:p w14:paraId="6C548CC6" w14:textId="77777777" w:rsidR="002C7A17" w:rsidRPr="00097A86" w:rsidRDefault="002C7A17" w:rsidP="00D22D3F">
      <w:pPr>
        <w:pStyle w:val="ActHead5"/>
      </w:pPr>
      <w:bookmarkStart w:id="564" w:name="_Toc13233992"/>
      <w:r w:rsidRPr="00097A86">
        <w:rPr>
          <w:rStyle w:val="CharSectno"/>
        </w:rPr>
        <w:lastRenderedPageBreak/>
        <w:t>5.17J</w:t>
      </w:r>
      <w:r w:rsidR="00D22D3F" w:rsidRPr="00097A86">
        <w:t xml:space="preserve">  </w:t>
      </w:r>
      <w:r w:rsidRPr="00097A86">
        <w:t>Restrictions on taking flux box measurements</w:t>
      </w:r>
      <w:bookmarkEnd w:id="564"/>
    </w:p>
    <w:p w14:paraId="02A96D29" w14:textId="77777777" w:rsidR="002C7A17" w:rsidRPr="00097A86" w:rsidRDefault="002C7A17" w:rsidP="00D22D3F">
      <w:pPr>
        <w:pStyle w:val="subsection"/>
      </w:pPr>
      <w:r w:rsidRPr="00097A86">
        <w:tab/>
        <w:t>(1)</w:t>
      </w:r>
      <w:r w:rsidRPr="00097A86">
        <w:tab/>
        <w:t>Flux box measurements must not be taken:</w:t>
      </w:r>
    </w:p>
    <w:p w14:paraId="38CD80A8" w14:textId="77777777" w:rsidR="002C7A17" w:rsidRPr="00097A86" w:rsidRDefault="002C7A17" w:rsidP="00D22D3F">
      <w:pPr>
        <w:pStyle w:val="paragraph"/>
      </w:pPr>
      <w:r w:rsidRPr="00097A86">
        <w:tab/>
        <w:t>(a)</w:t>
      </w:r>
      <w:r w:rsidRPr="00097A86">
        <w:tab/>
        <w:t>within 2 days of heavy rainfall over the representative area; or</w:t>
      </w:r>
    </w:p>
    <w:p w14:paraId="3ECD80CE" w14:textId="77777777" w:rsidR="002C7A17" w:rsidRPr="00097A86" w:rsidRDefault="002C7A17" w:rsidP="00D22D3F">
      <w:pPr>
        <w:pStyle w:val="paragraph"/>
      </w:pPr>
      <w:r w:rsidRPr="00097A86">
        <w:tab/>
        <w:t>(b)</w:t>
      </w:r>
      <w:r w:rsidRPr="00097A86">
        <w:tab/>
        <w:t>if barometric pressure at the landfill site is rising or falling sharply; or</w:t>
      </w:r>
    </w:p>
    <w:p w14:paraId="6CD32C29" w14:textId="77777777" w:rsidR="002C7A17" w:rsidRPr="00097A86" w:rsidRDefault="002C7A17" w:rsidP="00D22D3F">
      <w:pPr>
        <w:pStyle w:val="paragraph"/>
      </w:pPr>
      <w:r w:rsidRPr="00097A86">
        <w:tab/>
        <w:t>(c)</w:t>
      </w:r>
      <w:r w:rsidRPr="00097A86">
        <w:tab/>
        <w:t>during frost conditions; or</w:t>
      </w:r>
    </w:p>
    <w:p w14:paraId="7C520C1D" w14:textId="77777777" w:rsidR="002C7A17" w:rsidRPr="00097A86" w:rsidRDefault="002C7A17" w:rsidP="00D22D3F">
      <w:pPr>
        <w:pStyle w:val="paragraph"/>
      </w:pPr>
      <w:r w:rsidRPr="00097A86">
        <w:tab/>
        <w:t>(d)</w:t>
      </w:r>
      <w:r w:rsidRPr="00097A86">
        <w:tab/>
        <w:t>in any other meteorological conditions that may significantly affect the accuracy of the measurements; or</w:t>
      </w:r>
    </w:p>
    <w:p w14:paraId="72A7B20A" w14:textId="77777777" w:rsidR="002C7A17" w:rsidRPr="00097A86" w:rsidRDefault="002C7A17" w:rsidP="00D22D3F">
      <w:pPr>
        <w:pStyle w:val="paragraph"/>
      </w:pPr>
      <w:r w:rsidRPr="00097A86">
        <w:tab/>
        <w:t>(e)</w:t>
      </w:r>
      <w:r w:rsidRPr="00097A86">
        <w:tab/>
        <w:t>in areas where there is standing water.</w:t>
      </w:r>
    </w:p>
    <w:p w14:paraId="26660D11" w14:textId="77777777" w:rsidR="002C7A17" w:rsidRPr="00097A86" w:rsidRDefault="00D22D3F" w:rsidP="00D22D3F">
      <w:pPr>
        <w:pStyle w:val="notetext"/>
      </w:pPr>
      <w:r w:rsidRPr="00097A86">
        <w:t>Note:</w:t>
      </w:r>
      <w:r w:rsidRPr="00097A86">
        <w:tab/>
      </w:r>
      <w:r w:rsidR="002C7A17" w:rsidRPr="00097A86">
        <w:t xml:space="preserve">AS/NZS 4323.4—2009 and the publication entitled </w:t>
      </w:r>
      <w:r w:rsidR="002C7A17" w:rsidRPr="00097A86">
        <w:rPr>
          <w:i/>
        </w:rPr>
        <w:t xml:space="preserve">Guidance on monitoring landfill gas surface emissions </w:t>
      </w:r>
      <w:r w:rsidR="002C7A17" w:rsidRPr="00097A86">
        <w:t>published by the Environment Agency of the United Kingdom in September 2004 contain guidance on good measurement practice.</w:t>
      </w:r>
    </w:p>
    <w:p w14:paraId="340FFA27" w14:textId="77777777" w:rsidR="002C7A17" w:rsidRPr="00097A86" w:rsidRDefault="002C7A17" w:rsidP="00D22D3F">
      <w:pPr>
        <w:pStyle w:val="subsection"/>
      </w:pPr>
      <w:r w:rsidRPr="00097A86">
        <w:tab/>
        <w:t>(2)</w:t>
      </w:r>
      <w:r w:rsidRPr="00097A86">
        <w:tab/>
        <w:t xml:space="preserve">For </w:t>
      </w:r>
      <w:r w:rsidR="00097A86">
        <w:t>subsection (</w:t>
      </w:r>
      <w:r w:rsidRPr="00097A86">
        <w:t xml:space="preserve">1), there is </w:t>
      </w:r>
      <w:r w:rsidRPr="00097A86">
        <w:rPr>
          <w:b/>
          <w:i/>
        </w:rPr>
        <w:t>heavy rainfall</w:t>
      </w:r>
      <w:r w:rsidRPr="00097A86">
        <w:t xml:space="preserve"> over a representative area on any day of a month if the amount of rain that is recorded:</w:t>
      </w:r>
    </w:p>
    <w:p w14:paraId="63FC6DC0" w14:textId="77777777" w:rsidR="002C7A17" w:rsidRPr="00097A86" w:rsidRDefault="002C7A17" w:rsidP="00D22D3F">
      <w:pPr>
        <w:pStyle w:val="paragraph"/>
      </w:pPr>
      <w:r w:rsidRPr="00097A86">
        <w:tab/>
        <w:t>(a)</w:t>
      </w:r>
      <w:r w:rsidRPr="00097A86">
        <w:tab/>
        <w:t>at the landfill on that day; or</w:t>
      </w:r>
    </w:p>
    <w:p w14:paraId="660B58CE" w14:textId="77777777" w:rsidR="002C7A17" w:rsidRPr="00097A86" w:rsidRDefault="002C7A17" w:rsidP="00D22D3F">
      <w:pPr>
        <w:pStyle w:val="paragraph"/>
      </w:pPr>
      <w:r w:rsidRPr="00097A86">
        <w:tab/>
        <w:t>(b)</w:t>
      </w:r>
      <w:r w:rsidRPr="00097A86">
        <w:tab/>
        <w:t>if rainfall is not recorded at the landfill</w:t>
      </w:r>
      <w:r w:rsidR="00D22D3F" w:rsidRPr="00097A86">
        <w:t>—</w:t>
      </w:r>
      <w:r w:rsidRPr="00097A86">
        <w:t>at the nearest Bureau of Meteorology weather station to the landfill on that day;</w:t>
      </w:r>
    </w:p>
    <w:p w14:paraId="5C5AD2EA" w14:textId="77777777" w:rsidR="002C7A17" w:rsidRPr="00097A86" w:rsidRDefault="002C7A17" w:rsidP="00D22D3F">
      <w:pPr>
        <w:pStyle w:val="subsection2"/>
      </w:pPr>
      <w:r w:rsidRPr="00097A86">
        <w:t>exceeds the heavy rainfall benchmark, as calculated in accordance with the following formula:</w:t>
      </w:r>
    </w:p>
    <w:p w14:paraId="235A536B" w14:textId="77777777" w:rsidR="002C7A17" w:rsidRPr="00097A86" w:rsidRDefault="009E1F90" w:rsidP="00D22D3F">
      <w:pPr>
        <w:pStyle w:val="subsection2"/>
        <w:spacing w:before="120" w:after="120"/>
      </w:pPr>
      <w:r>
        <w:rPr>
          <w:noProof/>
        </w:rPr>
        <w:drawing>
          <wp:inline distT="0" distB="0" distL="0" distR="0" wp14:anchorId="1D6F252E" wp14:editId="4BF20DAF">
            <wp:extent cx="1257300" cy="3905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14:paraId="5B3F05BD" w14:textId="77777777" w:rsidR="002C7A17" w:rsidRPr="00097A86" w:rsidRDefault="002C7A17" w:rsidP="00D22D3F">
      <w:pPr>
        <w:pStyle w:val="subsection2"/>
      </w:pPr>
      <w:r w:rsidRPr="00097A86">
        <w:t>where:</w:t>
      </w:r>
    </w:p>
    <w:p w14:paraId="1BCC03A5" w14:textId="77777777" w:rsidR="002C7A17" w:rsidRPr="00097A86" w:rsidRDefault="002C7A17" w:rsidP="00D22D3F">
      <w:pPr>
        <w:pStyle w:val="Definition"/>
      </w:pPr>
      <w:r w:rsidRPr="00097A86">
        <w:rPr>
          <w:b/>
          <w:i/>
        </w:rPr>
        <w:t xml:space="preserve">HRF </w:t>
      </w:r>
      <w:r w:rsidRPr="00097A86">
        <w:t>is the heavy rainfall benchmark.</w:t>
      </w:r>
    </w:p>
    <w:p w14:paraId="7CB49E90" w14:textId="77777777" w:rsidR="002C7A17" w:rsidRPr="00097A86" w:rsidRDefault="002C7A17" w:rsidP="00D22D3F">
      <w:pPr>
        <w:pStyle w:val="Definition"/>
      </w:pPr>
      <w:r w:rsidRPr="00097A86">
        <w:rPr>
          <w:b/>
          <w:i/>
        </w:rPr>
        <w:t xml:space="preserve">RF </w:t>
      </w:r>
      <w:r w:rsidRPr="00097A86">
        <w:t>is the mean monthly rainfall for the month at the landfill or nearest Bureau of Meteorology weather station.</w:t>
      </w:r>
    </w:p>
    <w:p w14:paraId="38340169" w14:textId="77777777" w:rsidR="002C7A17" w:rsidRPr="00097A86" w:rsidRDefault="002C7A17" w:rsidP="00D22D3F">
      <w:pPr>
        <w:pStyle w:val="Definition"/>
      </w:pPr>
      <w:r w:rsidRPr="00097A86">
        <w:rPr>
          <w:b/>
          <w:i/>
        </w:rPr>
        <w:t xml:space="preserve">MRD </w:t>
      </w:r>
      <w:r w:rsidRPr="00097A86">
        <w:t xml:space="preserve">is the mean rainfall days for the month at the nearest Bureau of Meteorology weather station as recorded in the publication published by the Bureau of Meteorology and known as </w:t>
      </w:r>
      <w:r w:rsidRPr="00097A86">
        <w:rPr>
          <w:i/>
        </w:rPr>
        <w:t>Climate statistics for Australian locations</w:t>
      </w:r>
      <w:r w:rsidRPr="00097A86">
        <w:t>.</w:t>
      </w:r>
    </w:p>
    <w:p w14:paraId="3E26DFCD" w14:textId="77777777" w:rsidR="002C7A17" w:rsidRPr="00097A86" w:rsidRDefault="002C7A17" w:rsidP="00D22D3F">
      <w:pPr>
        <w:pStyle w:val="ActHead5"/>
      </w:pPr>
      <w:bookmarkStart w:id="565" w:name="_Toc13233993"/>
      <w:r w:rsidRPr="00097A86">
        <w:rPr>
          <w:rStyle w:val="CharSectno"/>
        </w:rPr>
        <w:t>5.17K</w:t>
      </w:r>
      <w:r w:rsidR="00D22D3F" w:rsidRPr="00097A86">
        <w:t xml:space="preserve">  </w:t>
      </w:r>
      <w:r w:rsidRPr="00097A86">
        <w:t>Frequency of measurement</w:t>
      </w:r>
      <w:bookmarkEnd w:id="565"/>
    </w:p>
    <w:p w14:paraId="7464A053" w14:textId="77777777" w:rsidR="002C7A17" w:rsidRPr="00097A86" w:rsidRDefault="002C7A17" w:rsidP="00D22D3F">
      <w:pPr>
        <w:pStyle w:val="subsection"/>
      </w:pPr>
      <w:r w:rsidRPr="00097A86">
        <w:tab/>
      </w:r>
      <w:r w:rsidRPr="00097A86">
        <w:tab/>
        <w:t>The measurement of emissions by flux boxes must be undertaken on a quarterly basis for a period of at least 12 months.</w:t>
      </w:r>
    </w:p>
    <w:p w14:paraId="53677CB9" w14:textId="77777777" w:rsidR="005E463D" w:rsidRPr="00097A86" w:rsidRDefault="005E463D" w:rsidP="00D22D3F">
      <w:pPr>
        <w:pStyle w:val="ActHead5"/>
      </w:pPr>
      <w:bookmarkStart w:id="566" w:name="_Toc13233994"/>
      <w:r w:rsidRPr="00097A86">
        <w:rPr>
          <w:rStyle w:val="CharSectno"/>
        </w:rPr>
        <w:t>5.17L</w:t>
      </w:r>
      <w:r w:rsidR="00D22D3F" w:rsidRPr="00097A86">
        <w:t xml:space="preserve">  </w:t>
      </w:r>
      <w:r w:rsidRPr="00097A86">
        <w:t>Calculating the methane generation constant (</w:t>
      </w:r>
      <w:r w:rsidRPr="00097A86">
        <w:rPr>
          <w:i/>
        </w:rPr>
        <w:t>k</w:t>
      </w:r>
      <w:r w:rsidRPr="00097A86">
        <w:rPr>
          <w:i/>
          <w:vertAlign w:val="subscript"/>
        </w:rPr>
        <w:t>i</w:t>
      </w:r>
      <w:r w:rsidRPr="00097A86">
        <w:t>) for certain waste mix types</w:t>
      </w:r>
      <w:bookmarkEnd w:id="566"/>
    </w:p>
    <w:p w14:paraId="4428A6B0" w14:textId="77777777" w:rsidR="005E463D" w:rsidRPr="00097A86" w:rsidRDefault="005E463D" w:rsidP="00D22D3F">
      <w:pPr>
        <w:pStyle w:val="subsection"/>
      </w:pPr>
      <w:r w:rsidRPr="00097A86">
        <w:tab/>
        <w:t>(1)</w:t>
      </w:r>
      <w:r w:rsidRPr="00097A86">
        <w:tab/>
        <w:t>In this section:</w:t>
      </w:r>
    </w:p>
    <w:p w14:paraId="668F93D7" w14:textId="77777777" w:rsidR="005E463D" w:rsidRPr="00097A86" w:rsidRDefault="005E463D" w:rsidP="00D22D3F">
      <w:pPr>
        <w:pStyle w:val="Definition"/>
      </w:pPr>
      <w:r w:rsidRPr="00097A86">
        <w:rPr>
          <w:b/>
          <w:i/>
        </w:rPr>
        <w:t>k</w:t>
      </w:r>
      <w:r w:rsidRPr="00097A86">
        <w:rPr>
          <w:b/>
          <w:i/>
          <w:vertAlign w:val="subscript"/>
        </w:rPr>
        <w:t>i</w:t>
      </w:r>
      <w:r w:rsidRPr="00097A86">
        <w:rPr>
          <w:b/>
          <w:i/>
        </w:rPr>
        <w:t xml:space="preserve"> </w:t>
      </w:r>
      <w:r w:rsidRPr="00097A86">
        <w:t>means the methane generation constant for each waste mix type:</w:t>
      </w:r>
    </w:p>
    <w:p w14:paraId="2D277A25" w14:textId="77777777" w:rsidR="005E463D" w:rsidRPr="00097A86" w:rsidRDefault="005E463D" w:rsidP="00D22D3F">
      <w:pPr>
        <w:pStyle w:val="paragraph"/>
      </w:pPr>
      <w:r w:rsidRPr="00097A86">
        <w:tab/>
        <w:t>(a)</w:t>
      </w:r>
      <w:r w:rsidRPr="00097A86">
        <w:tab/>
        <w:t>mentioned in column 3 of the table in subsection</w:t>
      </w:r>
      <w:r w:rsidR="00097A86">
        <w:t> </w:t>
      </w:r>
      <w:r w:rsidRPr="00097A86">
        <w:t>5.14(6); and</w:t>
      </w:r>
    </w:p>
    <w:p w14:paraId="5E85AB84" w14:textId="77777777" w:rsidR="005E463D" w:rsidRPr="00097A86" w:rsidRDefault="005E463D" w:rsidP="00D22D3F">
      <w:pPr>
        <w:pStyle w:val="paragraph"/>
      </w:pPr>
      <w:r w:rsidRPr="00097A86">
        <w:tab/>
        <w:t>(b)</w:t>
      </w:r>
      <w:r w:rsidRPr="00097A86">
        <w:tab/>
        <w:t xml:space="preserve">worked out by performing the steps set out in </w:t>
      </w:r>
      <w:r w:rsidR="00097A86">
        <w:t>subsection (</w:t>
      </w:r>
      <w:r w:rsidRPr="00097A86">
        <w:t>2).</w:t>
      </w:r>
    </w:p>
    <w:p w14:paraId="4911CB22" w14:textId="77777777" w:rsidR="005E463D" w:rsidRPr="00097A86" w:rsidRDefault="005E463D" w:rsidP="00D22D3F">
      <w:pPr>
        <w:pStyle w:val="Definition"/>
      </w:pPr>
      <w:r w:rsidRPr="00097A86">
        <w:rPr>
          <w:rFonts w:ascii="TimesNewRomanPS-ItalicMT" w:hAnsi="TimesNewRomanPS-ItalicMT" w:cs="TimesNewRomanPS-ItalicMT"/>
          <w:b/>
          <w:i/>
        </w:rPr>
        <w:t>Q</w:t>
      </w:r>
      <w:r w:rsidRPr="00097A86">
        <w:rPr>
          <w:rFonts w:ascii="TimesNewRomanPS-ItalicMT" w:hAnsi="TimesNewRomanPS-ItalicMT" w:cs="TimesNewRomanPS-ItalicMT"/>
          <w:b/>
          <w:i/>
          <w:vertAlign w:val="subscript"/>
        </w:rPr>
        <w:t>z</w:t>
      </w:r>
      <w:r w:rsidRPr="00097A86">
        <w:rPr>
          <w:b/>
          <w:i/>
        </w:rPr>
        <w:t xml:space="preserve"> </w:t>
      </w:r>
      <w:r w:rsidRPr="00097A86">
        <w:t>means the gas flow rate for the representative zone.</w:t>
      </w:r>
    </w:p>
    <w:p w14:paraId="4AAAAB92" w14:textId="77777777" w:rsidR="005E463D" w:rsidRPr="00097A86" w:rsidRDefault="005E463D" w:rsidP="00D22D3F">
      <w:pPr>
        <w:pStyle w:val="Definition"/>
      </w:pPr>
      <w:r w:rsidRPr="00097A86">
        <w:rPr>
          <w:b/>
          <w:i/>
        </w:rPr>
        <w:lastRenderedPageBreak/>
        <w:t>CH</w:t>
      </w:r>
      <w:r w:rsidRPr="00097A86">
        <w:rPr>
          <w:b/>
          <w:i/>
          <w:vertAlign w:val="subscript"/>
        </w:rPr>
        <w:t>4gen</w:t>
      </w:r>
      <w:r w:rsidRPr="00097A86">
        <w:rPr>
          <w:b/>
          <w:i/>
        </w:rPr>
        <w:t xml:space="preserve"> </w:t>
      </w:r>
      <w:r w:rsidRPr="00097A86">
        <w:t>is the quantity of methane generated by the landfill as calculated under this section and measured in CO</w:t>
      </w:r>
      <w:r w:rsidRPr="00097A86">
        <w:rPr>
          <w:vertAlign w:val="subscript"/>
        </w:rPr>
        <w:t>2</w:t>
      </w:r>
      <w:r w:rsidR="00097A86">
        <w:noBreakHyphen/>
      </w:r>
      <w:r w:rsidRPr="00097A86">
        <w:t>e tonnes.</w:t>
      </w:r>
    </w:p>
    <w:p w14:paraId="1084E02D" w14:textId="77777777" w:rsidR="005E463D" w:rsidRPr="00097A86" w:rsidRDefault="005E463D" w:rsidP="009776A1">
      <w:pPr>
        <w:pStyle w:val="subsection"/>
        <w:spacing w:after="60"/>
      </w:pPr>
      <w:r w:rsidRPr="00097A86">
        <w:tab/>
        <w:t>(2)</w:t>
      </w:r>
      <w:r w:rsidRPr="00097A86">
        <w:tab/>
        <w:t xml:space="preserve">For </w:t>
      </w:r>
      <w:r w:rsidR="00097A86">
        <w:t>subsection (</w:t>
      </w:r>
      <w:r w:rsidRPr="00097A86">
        <w:t>1), the steps are.</w:t>
      </w:r>
    </w:p>
    <w:tbl>
      <w:tblPr>
        <w:tblW w:w="5000" w:type="pct"/>
        <w:tblLook w:val="04A0" w:firstRow="1" w:lastRow="0" w:firstColumn="1" w:lastColumn="0" w:noHBand="0" w:noVBand="1"/>
      </w:tblPr>
      <w:tblGrid>
        <w:gridCol w:w="946"/>
        <w:gridCol w:w="7367"/>
      </w:tblGrid>
      <w:tr w:rsidR="009776A1" w:rsidRPr="00097A86" w14:paraId="31D6DA73" w14:textId="77777777" w:rsidTr="00C20CC2">
        <w:trPr>
          <w:cantSplit/>
          <w:trHeight w:val="80"/>
        </w:trPr>
        <w:tc>
          <w:tcPr>
            <w:tcW w:w="569" w:type="pct"/>
            <w:hideMark/>
          </w:tcPr>
          <w:p w14:paraId="5498D38C" w14:textId="77777777" w:rsidR="009776A1" w:rsidRPr="00097A86" w:rsidRDefault="009776A1" w:rsidP="003D679E">
            <w:pPr>
              <w:pStyle w:val="TableText0"/>
              <w:keepLines/>
              <w:rPr>
                <w:szCs w:val="22"/>
              </w:rPr>
            </w:pPr>
            <w:r w:rsidRPr="00097A86">
              <w:rPr>
                <w:szCs w:val="22"/>
              </w:rPr>
              <w:t>Step 1</w:t>
            </w:r>
          </w:p>
        </w:tc>
        <w:tc>
          <w:tcPr>
            <w:tcW w:w="4431" w:type="pct"/>
            <w:hideMark/>
          </w:tcPr>
          <w:p w14:paraId="05F87A5B" w14:textId="77777777" w:rsidR="009776A1" w:rsidRPr="00097A86" w:rsidRDefault="009776A1" w:rsidP="00617697">
            <w:pPr>
              <w:pStyle w:val="TableText0"/>
              <w:keepLines/>
              <w:rPr>
                <w:szCs w:val="22"/>
              </w:rPr>
            </w:pPr>
            <w:r w:rsidRPr="00097A86">
              <w:rPr>
                <w:szCs w:val="22"/>
              </w:rPr>
              <w:t>Identify the total amount of methane:</w:t>
            </w:r>
          </w:p>
          <w:p w14:paraId="287A9607" w14:textId="77777777" w:rsidR="009776A1" w:rsidRPr="00097A86" w:rsidRDefault="009776A1" w:rsidP="00617697">
            <w:pPr>
              <w:pStyle w:val="TableP1a"/>
              <w:keepLines/>
              <w:rPr>
                <w:szCs w:val="22"/>
              </w:rPr>
            </w:pPr>
            <w:r w:rsidRPr="00097A86">
              <w:rPr>
                <w:szCs w:val="22"/>
              </w:rPr>
              <w:tab/>
              <w:t>(a)</w:t>
            </w:r>
            <w:r w:rsidRPr="00097A86">
              <w:rPr>
                <w:szCs w:val="22"/>
              </w:rPr>
              <w:tab/>
              <w:t>estimated in accordance with section</w:t>
            </w:r>
            <w:r w:rsidR="00097A86">
              <w:rPr>
                <w:szCs w:val="22"/>
              </w:rPr>
              <w:t> </w:t>
            </w:r>
            <w:r w:rsidRPr="00097A86">
              <w:rPr>
                <w:szCs w:val="22"/>
              </w:rPr>
              <w:t>5.17D; and</w:t>
            </w:r>
          </w:p>
          <w:p w14:paraId="01DA6164" w14:textId="77777777" w:rsidR="009776A1" w:rsidRPr="00097A86" w:rsidRDefault="009776A1" w:rsidP="00617697">
            <w:pPr>
              <w:pStyle w:val="TableP1a"/>
              <w:keepLines/>
              <w:rPr>
                <w:szCs w:val="22"/>
              </w:rPr>
            </w:pPr>
            <w:r w:rsidRPr="00097A86">
              <w:rPr>
                <w:szCs w:val="22"/>
              </w:rPr>
              <w:tab/>
              <w:t>(b)</w:t>
            </w:r>
            <w:r w:rsidRPr="00097A86">
              <w:rPr>
                <w:szCs w:val="22"/>
              </w:rPr>
              <w:tab/>
              <w:t>collected at the gas collection wells in the representative zone.</w:t>
            </w:r>
          </w:p>
        </w:tc>
      </w:tr>
      <w:tr w:rsidR="009776A1" w:rsidRPr="00097A86" w14:paraId="43E69DE3" w14:textId="77777777" w:rsidTr="00C20CC2">
        <w:trPr>
          <w:cantSplit/>
          <w:trHeight w:val="80"/>
        </w:trPr>
        <w:tc>
          <w:tcPr>
            <w:tcW w:w="569" w:type="pct"/>
            <w:hideMark/>
          </w:tcPr>
          <w:p w14:paraId="1A872C33" w14:textId="77777777" w:rsidR="009776A1" w:rsidRPr="00097A86" w:rsidRDefault="009776A1" w:rsidP="003D679E">
            <w:pPr>
              <w:pStyle w:val="TableText0"/>
              <w:keepLines/>
              <w:rPr>
                <w:szCs w:val="22"/>
              </w:rPr>
            </w:pPr>
            <w:r w:rsidRPr="00097A86">
              <w:rPr>
                <w:szCs w:val="22"/>
              </w:rPr>
              <w:t>Step 2</w:t>
            </w:r>
          </w:p>
        </w:tc>
        <w:tc>
          <w:tcPr>
            <w:tcW w:w="4431" w:type="pct"/>
            <w:hideMark/>
          </w:tcPr>
          <w:p w14:paraId="4EB75068" w14:textId="77777777" w:rsidR="009776A1" w:rsidRPr="00097A86" w:rsidRDefault="009776A1" w:rsidP="00617697">
            <w:pPr>
              <w:pStyle w:val="TableText0"/>
              <w:keepLines/>
              <w:rPr>
                <w:szCs w:val="22"/>
              </w:rPr>
            </w:pPr>
            <w:r w:rsidRPr="00097A86">
              <w:rPr>
                <w:szCs w:val="22"/>
              </w:rPr>
              <w:t>Identify the total amount of methane generated by the representative zone:</w:t>
            </w:r>
          </w:p>
          <w:p w14:paraId="6994823E" w14:textId="77777777" w:rsidR="009776A1" w:rsidRPr="00097A86" w:rsidRDefault="009776A1" w:rsidP="00617697">
            <w:pPr>
              <w:pStyle w:val="TableP1a"/>
              <w:keepLines/>
              <w:rPr>
                <w:szCs w:val="22"/>
              </w:rPr>
            </w:pPr>
            <w:r w:rsidRPr="00097A86">
              <w:rPr>
                <w:szCs w:val="22"/>
              </w:rPr>
              <w:tab/>
              <w:t>(a)</w:t>
            </w:r>
            <w:r w:rsidRPr="00097A86">
              <w:rPr>
                <w:szCs w:val="22"/>
              </w:rPr>
              <w:tab/>
              <w:t>measured in accordance with section</w:t>
            </w:r>
            <w:r w:rsidR="00097A86">
              <w:rPr>
                <w:szCs w:val="22"/>
              </w:rPr>
              <w:t> </w:t>
            </w:r>
            <w:r w:rsidRPr="00097A86">
              <w:rPr>
                <w:szCs w:val="22"/>
              </w:rPr>
              <w:t>5.17H; and</w:t>
            </w:r>
          </w:p>
          <w:p w14:paraId="015563E9" w14:textId="77777777" w:rsidR="009776A1" w:rsidRPr="00097A86" w:rsidRDefault="009776A1" w:rsidP="00FA3259">
            <w:pPr>
              <w:pStyle w:val="TableP1a"/>
              <w:keepLines/>
              <w:rPr>
                <w:szCs w:val="22"/>
              </w:rPr>
            </w:pPr>
            <w:r w:rsidRPr="00097A86">
              <w:rPr>
                <w:szCs w:val="22"/>
              </w:rPr>
              <w:tab/>
              <w:t>(b)</w:t>
            </w:r>
            <w:r w:rsidRPr="00097A86">
              <w:rPr>
                <w:szCs w:val="22"/>
              </w:rPr>
              <w:tab/>
              <w:t>converted in accordance with subsection</w:t>
            </w:r>
            <w:r w:rsidR="00097A86">
              <w:rPr>
                <w:szCs w:val="22"/>
              </w:rPr>
              <w:t> </w:t>
            </w:r>
            <w:r w:rsidRPr="00097A86">
              <w:rPr>
                <w:szCs w:val="22"/>
              </w:rPr>
              <w:t>5.17H(5).</w:t>
            </w:r>
          </w:p>
        </w:tc>
      </w:tr>
      <w:tr w:rsidR="009776A1" w:rsidRPr="00097A86" w14:paraId="2E53D125" w14:textId="77777777" w:rsidTr="00C20CC2">
        <w:trPr>
          <w:cantSplit/>
          <w:trHeight w:val="80"/>
        </w:trPr>
        <w:tc>
          <w:tcPr>
            <w:tcW w:w="569" w:type="pct"/>
            <w:hideMark/>
          </w:tcPr>
          <w:p w14:paraId="0143E8CF" w14:textId="77777777" w:rsidR="009776A1" w:rsidRPr="00097A86" w:rsidRDefault="009776A1" w:rsidP="003D679E">
            <w:pPr>
              <w:pStyle w:val="TableText0"/>
              <w:keepLines/>
              <w:rPr>
                <w:szCs w:val="22"/>
              </w:rPr>
            </w:pPr>
            <w:r w:rsidRPr="00097A86">
              <w:rPr>
                <w:szCs w:val="22"/>
              </w:rPr>
              <w:t>Step 3</w:t>
            </w:r>
          </w:p>
        </w:tc>
        <w:tc>
          <w:tcPr>
            <w:tcW w:w="4431" w:type="pct"/>
            <w:hideMark/>
          </w:tcPr>
          <w:p w14:paraId="2546F5E3" w14:textId="77777777" w:rsidR="009776A1" w:rsidRPr="00097A86" w:rsidRDefault="009776A1" w:rsidP="00617697">
            <w:pPr>
              <w:pStyle w:val="TableText0"/>
              <w:keepLines/>
              <w:rPr>
                <w:szCs w:val="22"/>
              </w:rPr>
            </w:pPr>
            <w:r w:rsidRPr="00097A86">
              <w:rPr>
                <w:szCs w:val="22"/>
              </w:rPr>
              <w:t>Identify Q</w:t>
            </w:r>
            <w:r w:rsidRPr="00097A86">
              <w:rPr>
                <w:szCs w:val="22"/>
                <w:vertAlign w:val="subscript"/>
              </w:rPr>
              <w:t>z</w:t>
            </w:r>
            <w:r w:rsidRPr="00097A86">
              <w:rPr>
                <w:szCs w:val="22"/>
              </w:rPr>
              <w:t xml:space="preserve"> by adding the amount identified under step 1 to the amount identified under step 2.</w:t>
            </w:r>
          </w:p>
        </w:tc>
      </w:tr>
      <w:tr w:rsidR="009776A1" w:rsidRPr="00097A86" w14:paraId="67E7A5D3" w14:textId="77777777" w:rsidTr="00C20CC2">
        <w:trPr>
          <w:cantSplit/>
          <w:trHeight w:val="80"/>
        </w:trPr>
        <w:tc>
          <w:tcPr>
            <w:tcW w:w="569" w:type="pct"/>
            <w:hideMark/>
          </w:tcPr>
          <w:p w14:paraId="608B48F3" w14:textId="77777777" w:rsidR="009776A1" w:rsidRPr="00097A86" w:rsidRDefault="009776A1" w:rsidP="003D679E">
            <w:pPr>
              <w:pStyle w:val="TableText0"/>
              <w:keepLines/>
              <w:rPr>
                <w:szCs w:val="22"/>
              </w:rPr>
            </w:pPr>
            <w:r w:rsidRPr="00097A86">
              <w:rPr>
                <w:szCs w:val="22"/>
              </w:rPr>
              <w:t>Step 4</w:t>
            </w:r>
          </w:p>
        </w:tc>
        <w:tc>
          <w:tcPr>
            <w:tcW w:w="4431" w:type="pct"/>
            <w:hideMark/>
          </w:tcPr>
          <w:p w14:paraId="5A7A85EE" w14:textId="77777777" w:rsidR="009776A1" w:rsidRPr="00097A86" w:rsidRDefault="009776A1" w:rsidP="00617697">
            <w:pPr>
              <w:pStyle w:val="TableText0"/>
              <w:keepLines/>
              <w:rPr>
                <w:szCs w:val="22"/>
              </w:rPr>
            </w:pPr>
            <w:r w:rsidRPr="00097A86">
              <w:rPr>
                <w:szCs w:val="22"/>
              </w:rPr>
              <w:t>Calculate CH</w:t>
            </w:r>
            <w:r w:rsidRPr="00097A86">
              <w:rPr>
                <w:szCs w:val="22"/>
                <w:vertAlign w:val="subscript"/>
              </w:rPr>
              <w:t>4gen</w:t>
            </w:r>
            <w:r w:rsidRPr="00097A86">
              <w:rPr>
                <w:szCs w:val="22"/>
              </w:rPr>
              <w:t xml:space="preserve"> to within ± 0.001 of Q</w:t>
            </w:r>
            <w:r w:rsidRPr="00097A86">
              <w:rPr>
                <w:szCs w:val="22"/>
                <w:vertAlign w:val="subscript"/>
              </w:rPr>
              <w:t>z</w:t>
            </w:r>
            <w:r w:rsidRPr="00097A86">
              <w:rPr>
                <w:szCs w:val="22"/>
              </w:rPr>
              <w:t>, using the amount identified under step 3 and the equation mentioned in section</w:t>
            </w:r>
            <w:r w:rsidR="00097A86">
              <w:rPr>
                <w:szCs w:val="22"/>
              </w:rPr>
              <w:t> </w:t>
            </w:r>
            <w:r w:rsidRPr="00097A86">
              <w:rPr>
                <w:szCs w:val="22"/>
              </w:rPr>
              <w:t>5.4D, by adjusting incrementally each default methane generation constant for each of those waste mix types using the following formula:</w:t>
            </w:r>
          </w:p>
          <w:p w14:paraId="2970CFFB" w14:textId="77777777" w:rsidR="009776A1" w:rsidRPr="00097A86" w:rsidRDefault="009776A1" w:rsidP="003D679E">
            <w:pPr>
              <w:pStyle w:val="Formula"/>
              <w:keepLines/>
              <w:spacing w:before="120" w:after="120"/>
              <w:ind w:left="34"/>
              <w:jc w:val="both"/>
              <w:rPr>
                <w:sz w:val="22"/>
                <w:szCs w:val="22"/>
              </w:rPr>
            </w:pPr>
            <w:r w:rsidRPr="00097A86">
              <w:rPr>
                <w:sz w:val="22"/>
                <w:szCs w:val="22"/>
              </w:rPr>
              <w:t>k</w:t>
            </w:r>
            <w:r w:rsidRPr="00097A86">
              <w:rPr>
                <w:sz w:val="22"/>
                <w:szCs w:val="22"/>
                <w:vertAlign w:val="subscript"/>
              </w:rPr>
              <w:t>iadj</w:t>
            </w:r>
            <w:r w:rsidRPr="00097A86">
              <w:rPr>
                <w:sz w:val="22"/>
                <w:szCs w:val="22"/>
              </w:rPr>
              <w:t xml:space="preserve"> = k</w:t>
            </w:r>
            <w:r w:rsidRPr="00097A86">
              <w:rPr>
                <w:sz w:val="22"/>
                <w:szCs w:val="22"/>
                <w:vertAlign w:val="subscript"/>
              </w:rPr>
              <w:t>idef</w:t>
            </w:r>
            <w:r w:rsidRPr="00097A86">
              <w:rPr>
                <w:sz w:val="22"/>
                <w:szCs w:val="22"/>
              </w:rPr>
              <w:t xml:space="preserve"> </w:t>
            </w:r>
            <w:r w:rsidRPr="00097A86">
              <w:rPr>
                <w:sz w:val="22"/>
                <w:szCs w:val="22"/>
              </w:rPr>
              <w:sym w:font="Wingdings 2" w:char="F0CD"/>
            </w:r>
            <w:r w:rsidRPr="00097A86">
              <w:rPr>
                <w:sz w:val="22"/>
                <w:szCs w:val="22"/>
              </w:rPr>
              <w:t xml:space="preserve"> (1 + incr</w:t>
            </w:r>
            <w:r w:rsidRPr="00097A86">
              <w:rPr>
                <w:sz w:val="22"/>
                <w:szCs w:val="22"/>
                <w:vertAlign w:val="subscript"/>
              </w:rPr>
              <w:t>%</w:t>
            </w:r>
            <w:r w:rsidRPr="00097A86">
              <w:rPr>
                <w:sz w:val="22"/>
                <w:szCs w:val="22"/>
              </w:rPr>
              <w:t>)</w:t>
            </w:r>
          </w:p>
        </w:tc>
      </w:tr>
      <w:tr w:rsidR="009776A1" w:rsidRPr="00097A86" w14:paraId="3C2B7A2F" w14:textId="77777777" w:rsidTr="00C20CC2">
        <w:trPr>
          <w:cantSplit/>
          <w:trHeight w:val="80"/>
        </w:trPr>
        <w:tc>
          <w:tcPr>
            <w:tcW w:w="569" w:type="pct"/>
            <w:hideMark/>
          </w:tcPr>
          <w:p w14:paraId="3CD18118" w14:textId="77777777" w:rsidR="009776A1" w:rsidRPr="00097A86" w:rsidRDefault="009776A1" w:rsidP="00617697">
            <w:pPr>
              <w:keepLines/>
              <w:spacing w:before="60" w:after="60"/>
              <w:rPr>
                <w:i/>
                <w:szCs w:val="22"/>
              </w:rPr>
            </w:pPr>
          </w:p>
        </w:tc>
        <w:tc>
          <w:tcPr>
            <w:tcW w:w="4431" w:type="pct"/>
            <w:hideMark/>
          </w:tcPr>
          <w:p w14:paraId="4C524FB5" w14:textId="77777777" w:rsidR="009776A1" w:rsidRPr="00097A86" w:rsidRDefault="009776A1" w:rsidP="00617697">
            <w:pPr>
              <w:pStyle w:val="ZRcN"/>
              <w:keepLines/>
              <w:ind w:left="0"/>
              <w:rPr>
                <w:sz w:val="22"/>
                <w:szCs w:val="22"/>
              </w:rPr>
            </w:pPr>
            <w:r w:rsidRPr="00097A86">
              <w:rPr>
                <w:sz w:val="22"/>
                <w:szCs w:val="22"/>
              </w:rPr>
              <w:t>where:</w:t>
            </w:r>
          </w:p>
          <w:p w14:paraId="0CC8B25E" w14:textId="77777777" w:rsidR="009776A1" w:rsidRPr="00097A86" w:rsidRDefault="009776A1" w:rsidP="00617697">
            <w:pPr>
              <w:pStyle w:val="definition0"/>
              <w:keepLines/>
              <w:ind w:left="0"/>
              <w:jc w:val="left"/>
              <w:rPr>
                <w:rFonts w:ascii="Arial" w:hAnsi="Arial" w:cs="Arial"/>
                <w:sz w:val="22"/>
                <w:szCs w:val="22"/>
              </w:rPr>
            </w:pPr>
            <w:r w:rsidRPr="00097A86">
              <w:rPr>
                <w:b/>
                <w:i/>
                <w:sz w:val="22"/>
                <w:szCs w:val="22"/>
              </w:rPr>
              <w:t>k</w:t>
            </w:r>
            <w:r w:rsidRPr="00097A86">
              <w:rPr>
                <w:b/>
                <w:i/>
                <w:sz w:val="22"/>
                <w:szCs w:val="22"/>
                <w:vertAlign w:val="subscript"/>
              </w:rPr>
              <w:t xml:space="preserve">iadj </w:t>
            </w:r>
            <w:r w:rsidRPr="00097A86">
              <w:rPr>
                <w:sz w:val="22"/>
                <w:szCs w:val="22"/>
              </w:rPr>
              <w:t>is the adjusted methane generation constant for each waste mix type mentioned in column 3 of the table in subsection</w:t>
            </w:r>
            <w:r w:rsidR="00097A86">
              <w:rPr>
                <w:sz w:val="22"/>
                <w:szCs w:val="22"/>
              </w:rPr>
              <w:t> </w:t>
            </w:r>
            <w:r w:rsidRPr="00097A86">
              <w:rPr>
                <w:sz w:val="22"/>
                <w:szCs w:val="22"/>
              </w:rPr>
              <w:t>5.14(6).</w:t>
            </w:r>
          </w:p>
          <w:p w14:paraId="0A6F6AF0" w14:textId="77777777" w:rsidR="009776A1" w:rsidRPr="00097A86" w:rsidRDefault="009776A1" w:rsidP="00617697">
            <w:pPr>
              <w:pStyle w:val="definition0"/>
              <w:keepLines/>
              <w:ind w:left="0"/>
              <w:jc w:val="left"/>
              <w:rPr>
                <w:rFonts w:ascii="Arial" w:hAnsi="Arial" w:cs="Arial"/>
                <w:sz w:val="22"/>
                <w:szCs w:val="22"/>
              </w:rPr>
            </w:pPr>
            <w:r w:rsidRPr="00097A86">
              <w:rPr>
                <w:b/>
                <w:i/>
                <w:sz w:val="22"/>
                <w:szCs w:val="22"/>
              </w:rPr>
              <w:t>k</w:t>
            </w:r>
            <w:r w:rsidRPr="00097A86">
              <w:rPr>
                <w:b/>
                <w:i/>
                <w:sz w:val="22"/>
                <w:szCs w:val="22"/>
                <w:vertAlign w:val="subscript"/>
              </w:rPr>
              <w:t>idef</w:t>
            </w:r>
            <w:r w:rsidRPr="00097A86">
              <w:rPr>
                <w:b/>
                <w:i/>
                <w:sz w:val="22"/>
                <w:szCs w:val="22"/>
              </w:rPr>
              <w:t xml:space="preserve"> </w:t>
            </w:r>
            <w:r w:rsidRPr="00097A86">
              <w:rPr>
                <w:sz w:val="22"/>
                <w:szCs w:val="22"/>
              </w:rPr>
              <w:t>is the default methane generation constant for each waste mix type mentioned in column 3 of the table in subsection</w:t>
            </w:r>
            <w:r w:rsidR="00097A86">
              <w:rPr>
                <w:sz w:val="22"/>
                <w:szCs w:val="22"/>
              </w:rPr>
              <w:t> </w:t>
            </w:r>
            <w:r w:rsidRPr="00097A86">
              <w:rPr>
                <w:sz w:val="22"/>
                <w:szCs w:val="22"/>
              </w:rPr>
              <w:t>5.14(6).</w:t>
            </w:r>
          </w:p>
          <w:p w14:paraId="6F6621CC" w14:textId="77777777" w:rsidR="009776A1" w:rsidRPr="00097A86" w:rsidRDefault="009776A1" w:rsidP="00617697">
            <w:pPr>
              <w:pStyle w:val="definition0"/>
              <w:keepLines/>
              <w:spacing w:after="120"/>
              <w:ind w:left="0"/>
              <w:jc w:val="left"/>
              <w:rPr>
                <w:rFonts w:ascii="Arial" w:hAnsi="Arial" w:cs="Arial"/>
                <w:sz w:val="22"/>
                <w:szCs w:val="22"/>
              </w:rPr>
            </w:pPr>
            <w:r w:rsidRPr="00097A86">
              <w:rPr>
                <w:b/>
                <w:i/>
                <w:sz w:val="22"/>
                <w:szCs w:val="22"/>
              </w:rPr>
              <w:t>incr</w:t>
            </w:r>
            <w:r w:rsidRPr="00097A86">
              <w:rPr>
                <w:b/>
                <w:i/>
                <w:sz w:val="22"/>
                <w:szCs w:val="22"/>
                <w:vertAlign w:val="subscript"/>
              </w:rPr>
              <w:t>%</w:t>
            </w:r>
            <w:r w:rsidRPr="00097A86">
              <w:rPr>
                <w:b/>
                <w:sz w:val="22"/>
                <w:szCs w:val="22"/>
              </w:rPr>
              <w:t xml:space="preserve"> </w:t>
            </w:r>
            <w:r w:rsidRPr="00097A86">
              <w:rPr>
                <w:sz w:val="22"/>
                <w:szCs w:val="22"/>
              </w:rPr>
              <w:t>is the incremental percentage (≤ 1%).</w:t>
            </w:r>
          </w:p>
        </w:tc>
      </w:tr>
    </w:tbl>
    <w:p w14:paraId="6AFB2647" w14:textId="77777777" w:rsidR="005E463D" w:rsidRPr="00097A86" w:rsidRDefault="005E463D" w:rsidP="00D22D3F">
      <w:pPr>
        <w:pStyle w:val="subsection"/>
      </w:pPr>
      <w:r w:rsidRPr="00097A86">
        <w:tab/>
        <w:t>(3)</w:t>
      </w:r>
      <w:r w:rsidRPr="00097A86">
        <w:tab/>
        <w:t xml:space="preserve">For </w:t>
      </w:r>
      <w:r w:rsidR="00097A86">
        <w:t>subsection (</w:t>
      </w:r>
      <w:r w:rsidRPr="00097A86">
        <w:t>1):</w:t>
      </w:r>
    </w:p>
    <w:p w14:paraId="3FF85D64" w14:textId="77777777" w:rsidR="005E463D" w:rsidRPr="00097A86" w:rsidRDefault="005E463D" w:rsidP="00D22D3F">
      <w:pPr>
        <w:pStyle w:val="paragraph"/>
      </w:pPr>
      <w:r w:rsidRPr="00097A86">
        <w:tab/>
        <w:t>(a)</w:t>
      </w:r>
      <w:r w:rsidRPr="00097A86">
        <w:tab/>
        <w:t>CH</w:t>
      </w:r>
      <w:r w:rsidRPr="00097A86">
        <w:rPr>
          <w:vertAlign w:val="subscript"/>
        </w:rPr>
        <w:t>4gen</w:t>
      </w:r>
      <w:r w:rsidRPr="00097A86">
        <w:t xml:space="preserve"> for each representative zone must be worked out:</w:t>
      </w:r>
    </w:p>
    <w:p w14:paraId="362398E0" w14:textId="77777777" w:rsidR="005E463D" w:rsidRPr="00097A86" w:rsidRDefault="005E463D" w:rsidP="00D22D3F">
      <w:pPr>
        <w:pStyle w:val="paragraphsub"/>
      </w:pPr>
      <w:r w:rsidRPr="00097A86">
        <w:tab/>
        <w:t>(i)</w:t>
      </w:r>
      <w:r w:rsidRPr="00097A86">
        <w:tab/>
        <w:t>using the estimates mentioned in section</w:t>
      </w:r>
      <w:r w:rsidR="00097A86">
        <w:t> </w:t>
      </w:r>
      <w:r w:rsidRPr="00097A86">
        <w:t>5.4A and the equations mentioned in sections</w:t>
      </w:r>
      <w:r w:rsidR="00097A86">
        <w:t> </w:t>
      </w:r>
      <w:r w:rsidRPr="00097A86">
        <w:t>5.4B, 5.4C and 5.4D; and</w:t>
      </w:r>
    </w:p>
    <w:p w14:paraId="0EAC9129" w14:textId="77777777" w:rsidR="005E463D" w:rsidRPr="00097A86" w:rsidRDefault="005E463D" w:rsidP="00D22D3F">
      <w:pPr>
        <w:pStyle w:val="paragraphsub"/>
      </w:pPr>
      <w:r w:rsidRPr="00097A86">
        <w:tab/>
        <w:t>(ii)</w:t>
      </w:r>
      <w:r w:rsidRPr="00097A86">
        <w:tab/>
        <w:t>for each waste mix type mentioned in column 3 of the table in subsection</w:t>
      </w:r>
      <w:r w:rsidR="00097A86">
        <w:t> </w:t>
      </w:r>
      <w:r w:rsidRPr="00097A86">
        <w:t>5.14</w:t>
      </w:r>
      <w:r w:rsidR="008A729A" w:rsidRPr="00097A86">
        <w:t>(</w:t>
      </w:r>
      <w:r w:rsidRPr="00097A86">
        <w:t>6)—using the formula for calculating k</w:t>
      </w:r>
      <w:r w:rsidRPr="00097A86">
        <w:rPr>
          <w:vertAlign w:val="subscript"/>
        </w:rPr>
        <w:t>iadj</w:t>
      </w:r>
      <w:r w:rsidRPr="00097A86">
        <w:t xml:space="preserve"> and the method of working out k</w:t>
      </w:r>
      <w:r w:rsidRPr="00097A86">
        <w:rPr>
          <w:vertAlign w:val="subscript"/>
        </w:rPr>
        <w:t>i</w:t>
      </w:r>
      <w:r w:rsidRPr="00097A86">
        <w:t xml:space="preserve"> in this section; and</w:t>
      </w:r>
    </w:p>
    <w:p w14:paraId="0D4985D3" w14:textId="77777777" w:rsidR="005E463D" w:rsidRPr="00097A86" w:rsidRDefault="005E463D" w:rsidP="00D22D3F">
      <w:pPr>
        <w:pStyle w:val="paragraph"/>
      </w:pPr>
      <w:r w:rsidRPr="00097A86">
        <w:tab/>
        <w:t>(b)</w:t>
      </w:r>
      <w:r w:rsidRPr="00097A86">
        <w:tab/>
        <w:t>it is sufficient if CH</w:t>
      </w:r>
      <w:r w:rsidRPr="00097A86">
        <w:rPr>
          <w:vertAlign w:val="subscript"/>
        </w:rPr>
        <w:t>4gen</w:t>
      </w:r>
      <w:r w:rsidRPr="00097A86">
        <w:t xml:space="preserve"> is within ± 0.001 of Q</w:t>
      </w:r>
      <w:r w:rsidRPr="00097A86">
        <w:rPr>
          <w:vertAlign w:val="subscript"/>
        </w:rPr>
        <w:t>z</w:t>
      </w:r>
      <w:r w:rsidRPr="00097A86">
        <w:t>.</w:t>
      </w:r>
    </w:p>
    <w:p w14:paraId="589F9E68" w14:textId="77777777" w:rsidR="005E463D" w:rsidRPr="00097A86" w:rsidRDefault="005E463D" w:rsidP="00D22D3F">
      <w:pPr>
        <w:pStyle w:val="subsection"/>
      </w:pPr>
      <w:r w:rsidRPr="00097A86">
        <w:tab/>
        <w:t>(4)</w:t>
      </w:r>
      <w:r w:rsidRPr="00097A86">
        <w:tab/>
      </w:r>
      <w:r w:rsidR="00097A86">
        <w:t>Subsection (</w:t>
      </w:r>
      <w:r w:rsidRPr="00097A86">
        <w:t>6) applies if:</w:t>
      </w:r>
    </w:p>
    <w:p w14:paraId="7E8CE2CE" w14:textId="77777777" w:rsidR="005E463D" w:rsidRPr="00097A86" w:rsidRDefault="005E463D" w:rsidP="00D22D3F">
      <w:pPr>
        <w:pStyle w:val="paragraph"/>
      </w:pPr>
      <w:r w:rsidRPr="00097A86">
        <w:tab/>
        <w:t>(a)</w:t>
      </w:r>
      <w:r w:rsidRPr="00097A86">
        <w:tab/>
        <w:t>in the previous reporting year, a methane generation constant for each waste mix type mentioned in column 3 of a table in section</w:t>
      </w:r>
      <w:r w:rsidR="00097A86">
        <w:t> </w:t>
      </w:r>
      <w:r w:rsidRPr="00097A86">
        <w:t>5.14 is selected from one of those tables for the purpose of estimating methane emissions from the solid waste located in a sub</w:t>
      </w:r>
      <w:r w:rsidR="00097A86">
        <w:noBreakHyphen/>
      </w:r>
      <w:r w:rsidRPr="00097A86">
        <w:t>facility zone; and</w:t>
      </w:r>
    </w:p>
    <w:p w14:paraId="7DE5EFAB" w14:textId="77777777" w:rsidR="005E463D" w:rsidRPr="00097A86" w:rsidRDefault="005E463D" w:rsidP="00D22D3F">
      <w:pPr>
        <w:pStyle w:val="paragraph"/>
      </w:pPr>
      <w:r w:rsidRPr="00097A86">
        <w:tab/>
        <w:t>(b)</w:t>
      </w:r>
      <w:r w:rsidRPr="00097A86">
        <w:tab/>
        <w:t>k</w:t>
      </w:r>
      <w:r w:rsidRPr="00097A86">
        <w:rPr>
          <w:vertAlign w:val="subscript"/>
        </w:rPr>
        <w:t xml:space="preserve">i </w:t>
      </w:r>
      <w:r w:rsidRPr="00097A86">
        <w:t>is worked out before 1</w:t>
      </w:r>
      <w:r w:rsidR="00097A86">
        <w:t> </w:t>
      </w:r>
      <w:r w:rsidRPr="00097A86">
        <w:t>October 2013 for each waste mix type mentioned in column 3 of the table in subsection</w:t>
      </w:r>
      <w:r w:rsidR="00097A86">
        <w:t> </w:t>
      </w:r>
      <w:r w:rsidRPr="00097A86">
        <w:t>5.14(6).</w:t>
      </w:r>
    </w:p>
    <w:p w14:paraId="7928769E" w14:textId="77777777" w:rsidR="005E463D" w:rsidRPr="00097A86" w:rsidRDefault="005E463D" w:rsidP="00D22D3F">
      <w:pPr>
        <w:pStyle w:val="subsection"/>
      </w:pPr>
      <w:r w:rsidRPr="00097A86">
        <w:tab/>
        <w:t>(5)</w:t>
      </w:r>
      <w:r w:rsidRPr="00097A86">
        <w:tab/>
        <w:t xml:space="preserve">However, </w:t>
      </w:r>
      <w:r w:rsidR="00097A86">
        <w:t>subsection (</w:t>
      </w:r>
      <w:r w:rsidRPr="00097A86">
        <w:t>6) does not apply to solid waste of a waste mix type mentioned in column 3 of the table in subsection</w:t>
      </w:r>
      <w:r w:rsidR="00097A86">
        <w:t> </w:t>
      </w:r>
      <w:r w:rsidRPr="00097A86">
        <w:t>5.14(6) if:</w:t>
      </w:r>
    </w:p>
    <w:p w14:paraId="205B8336" w14:textId="77777777" w:rsidR="005E463D" w:rsidRPr="00097A86" w:rsidRDefault="005E463D" w:rsidP="00D22D3F">
      <w:pPr>
        <w:pStyle w:val="paragraph"/>
      </w:pPr>
      <w:r w:rsidRPr="00097A86">
        <w:lastRenderedPageBreak/>
        <w:tab/>
        <w:t>(a)</w:t>
      </w:r>
      <w:r w:rsidRPr="00097A86">
        <w:tab/>
        <w:t>the waste has been deposited in a sub</w:t>
      </w:r>
      <w:r w:rsidR="00097A86">
        <w:noBreakHyphen/>
      </w:r>
      <w:r w:rsidRPr="00097A86">
        <w:t>facility zone; and</w:t>
      </w:r>
    </w:p>
    <w:p w14:paraId="71C5732D" w14:textId="77777777" w:rsidR="005E463D" w:rsidRPr="00097A86" w:rsidRDefault="005E463D" w:rsidP="00D22D3F">
      <w:pPr>
        <w:pStyle w:val="paragraph"/>
      </w:pPr>
      <w:r w:rsidRPr="00097A86">
        <w:tab/>
        <w:t>(b)</w:t>
      </w:r>
      <w:r w:rsidRPr="00097A86">
        <w:tab/>
        <w:t>a methane generation constant for the solid waste has been:</w:t>
      </w:r>
    </w:p>
    <w:p w14:paraId="3EE066E8" w14:textId="77777777" w:rsidR="005E463D" w:rsidRPr="00097A86" w:rsidRDefault="005E463D" w:rsidP="00D22D3F">
      <w:pPr>
        <w:pStyle w:val="paragraphsub"/>
      </w:pPr>
      <w:r w:rsidRPr="00097A86">
        <w:tab/>
        <w:t>(i)</w:t>
      </w:r>
      <w:r w:rsidRPr="00097A86">
        <w:tab/>
        <w:t>estimated under method 2; and</w:t>
      </w:r>
    </w:p>
    <w:p w14:paraId="41D898F0" w14:textId="77777777" w:rsidR="005E463D" w:rsidRPr="00097A86" w:rsidRDefault="005E463D" w:rsidP="00D22D3F">
      <w:pPr>
        <w:pStyle w:val="paragraphsub"/>
      </w:pPr>
      <w:r w:rsidRPr="00097A86">
        <w:tab/>
        <w:t>(ii)</w:t>
      </w:r>
      <w:r w:rsidRPr="00097A86">
        <w:tab/>
        <w:t>used in the previous reporting year.</w:t>
      </w:r>
    </w:p>
    <w:p w14:paraId="2D70140B" w14:textId="77777777" w:rsidR="005E463D" w:rsidRPr="00097A86" w:rsidRDefault="005E463D" w:rsidP="00D22D3F">
      <w:pPr>
        <w:pStyle w:val="subsection"/>
      </w:pPr>
      <w:r w:rsidRPr="00097A86">
        <w:tab/>
        <w:t>(6)</w:t>
      </w:r>
      <w:r w:rsidRPr="00097A86">
        <w:tab/>
        <w:t>For each waste mix type mentioned in column 3 of the table in subsection</w:t>
      </w:r>
      <w:r w:rsidR="00097A86">
        <w:t> </w:t>
      </w:r>
      <w:r w:rsidR="00FA3259" w:rsidRPr="00097A86">
        <w:t>5.14</w:t>
      </w:r>
      <w:r w:rsidRPr="00097A86">
        <w:t>(6), k</w:t>
      </w:r>
      <w:r w:rsidRPr="00097A86">
        <w:rPr>
          <w:vertAlign w:val="subscript"/>
        </w:rPr>
        <w:t>i</w:t>
      </w:r>
      <w:r w:rsidRPr="00097A86">
        <w:t xml:space="preserve"> must be applied in the calculation of methane:</w:t>
      </w:r>
    </w:p>
    <w:p w14:paraId="3FBDB034" w14:textId="77777777" w:rsidR="005E463D" w:rsidRPr="00097A86" w:rsidRDefault="005E463D" w:rsidP="00D22D3F">
      <w:pPr>
        <w:pStyle w:val="paragraph"/>
      </w:pPr>
      <w:r w:rsidRPr="00097A86">
        <w:tab/>
        <w:t>(a)</w:t>
      </w:r>
      <w:r w:rsidRPr="00097A86">
        <w:tab/>
        <w:t>generated from solid waste deposited in a representative zone in a reporting year; and</w:t>
      </w:r>
    </w:p>
    <w:p w14:paraId="6B1D9C4C" w14:textId="77777777" w:rsidR="005E463D" w:rsidRPr="00097A86" w:rsidRDefault="005E463D" w:rsidP="00D22D3F">
      <w:pPr>
        <w:pStyle w:val="paragraph"/>
      </w:pPr>
      <w:r w:rsidRPr="00097A86">
        <w:tab/>
        <w:t>(b)</w:t>
      </w:r>
      <w:r w:rsidRPr="00097A86">
        <w:tab/>
        <w:t>generated from solid waste deposited in every sub</w:t>
      </w:r>
      <w:r w:rsidR="00097A86">
        <w:noBreakHyphen/>
      </w:r>
      <w:r w:rsidRPr="00097A86">
        <w:t>facility zone in each reporting year for which an independent expert has certified, in accordance with section</w:t>
      </w:r>
      <w:r w:rsidR="00097A86">
        <w:t> </w:t>
      </w:r>
      <w:r w:rsidRPr="00097A86">
        <w:t>5.17B, that the representative zone is representative of the sub</w:t>
      </w:r>
      <w:r w:rsidR="00097A86">
        <w:noBreakHyphen/>
      </w:r>
      <w:r w:rsidRPr="00097A86">
        <w:t>facility zone; and</w:t>
      </w:r>
    </w:p>
    <w:p w14:paraId="6A01EE8B" w14:textId="77777777" w:rsidR="005E463D" w:rsidRPr="00097A86" w:rsidRDefault="005E463D" w:rsidP="00D22D3F">
      <w:pPr>
        <w:pStyle w:val="paragraph"/>
      </w:pPr>
      <w:r w:rsidRPr="00097A86">
        <w:rPr>
          <w:szCs w:val="22"/>
        </w:rPr>
        <w:tab/>
      </w:r>
      <w:r w:rsidRPr="00097A86">
        <w:t>(c)</w:t>
      </w:r>
      <w:r w:rsidRPr="00097A86">
        <w:tab/>
        <w:t>if the methane is calculated using the estimates mentioned in paragraph</w:t>
      </w:r>
      <w:r w:rsidR="00097A86">
        <w:t> </w:t>
      </w:r>
      <w:r w:rsidRPr="00097A86">
        <w:t>5.14A(a), (b), (c) or (d) and all of the following:</w:t>
      </w:r>
    </w:p>
    <w:p w14:paraId="672929BA" w14:textId="77777777" w:rsidR="005E463D" w:rsidRPr="00097A86" w:rsidRDefault="005E463D" w:rsidP="00D22D3F">
      <w:pPr>
        <w:pStyle w:val="paragraphsub"/>
      </w:pPr>
      <w:r w:rsidRPr="00097A86">
        <w:tab/>
        <w:t>(i)</w:t>
      </w:r>
      <w:r w:rsidRPr="00097A86">
        <w:tab/>
        <w:t>the fraction of organic carbon dissimilated mentioned in column 3 of the table in section</w:t>
      </w:r>
      <w:r w:rsidR="00097A86">
        <w:t> </w:t>
      </w:r>
      <w:r w:rsidRPr="00097A86">
        <w:t>5.14A;</w:t>
      </w:r>
    </w:p>
    <w:p w14:paraId="3132BF9B" w14:textId="77777777" w:rsidR="005E463D" w:rsidRPr="00097A86" w:rsidRDefault="005E463D" w:rsidP="00D22D3F">
      <w:pPr>
        <w:pStyle w:val="paragraphsub"/>
      </w:pPr>
      <w:r w:rsidRPr="00097A86">
        <w:tab/>
        <w:t>(ii)</w:t>
      </w:r>
      <w:r w:rsidRPr="00097A86">
        <w:tab/>
        <w:t>the methane correction factor for aerobic decomposition mentioned in section</w:t>
      </w:r>
      <w:r w:rsidR="00097A86">
        <w:t> </w:t>
      </w:r>
      <w:r w:rsidRPr="00097A86">
        <w:t>5.14B;</w:t>
      </w:r>
    </w:p>
    <w:p w14:paraId="02ED5A87" w14:textId="77777777" w:rsidR="005E463D" w:rsidRPr="00097A86" w:rsidRDefault="005E463D" w:rsidP="00D22D3F">
      <w:pPr>
        <w:pStyle w:val="paragraphsub"/>
      </w:pPr>
      <w:r w:rsidRPr="00097A86">
        <w:tab/>
        <w:t>(iii)</w:t>
      </w:r>
      <w:r w:rsidRPr="00097A86">
        <w:tab/>
        <w:t>the fraction by volume of methane generated in landfill gas mentioned in section</w:t>
      </w:r>
      <w:r w:rsidR="00097A86">
        <w:t> </w:t>
      </w:r>
      <w:r w:rsidRPr="00097A86">
        <w:t>5.14C.</w:t>
      </w:r>
    </w:p>
    <w:p w14:paraId="66B6AFE1" w14:textId="77777777" w:rsidR="005E463D" w:rsidRPr="00097A86" w:rsidRDefault="00D22D3F" w:rsidP="00D22D3F">
      <w:pPr>
        <w:pStyle w:val="notetext"/>
      </w:pPr>
      <w:r w:rsidRPr="00097A86">
        <w:t>Note 1:</w:t>
      </w:r>
      <w:r w:rsidRPr="00097A86">
        <w:tab/>
      </w:r>
      <w:r w:rsidR="005E463D" w:rsidRPr="00097A86">
        <w:t>For provisions regarding the selection and requirements of representative zones, see sections</w:t>
      </w:r>
      <w:r w:rsidR="00097A86">
        <w:t> </w:t>
      </w:r>
      <w:r w:rsidR="005E463D" w:rsidRPr="00097A86">
        <w:t>5.16 to 5.17I.</w:t>
      </w:r>
    </w:p>
    <w:p w14:paraId="0986257C" w14:textId="77777777" w:rsidR="005E463D" w:rsidRPr="00097A86" w:rsidRDefault="00D22D3F" w:rsidP="00D22D3F">
      <w:pPr>
        <w:pStyle w:val="notetext"/>
      </w:pPr>
      <w:r w:rsidRPr="00097A86">
        <w:t>Note 2:</w:t>
      </w:r>
      <w:r w:rsidRPr="00097A86">
        <w:tab/>
      </w:r>
      <w:r w:rsidR="005E463D" w:rsidRPr="00097A86">
        <w:t>Section</w:t>
      </w:r>
      <w:r w:rsidR="00097A86">
        <w:t> </w:t>
      </w:r>
      <w:r w:rsidR="005E463D" w:rsidRPr="00097A86">
        <w:t>5.17AA sets out, for a landfill operator using method 2 in Division</w:t>
      </w:r>
      <w:r w:rsidR="00097A86">
        <w:t> </w:t>
      </w:r>
      <w:r w:rsidR="005E463D" w:rsidRPr="00097A86">
        <w:t>5.2.3 or method 3 in Division</w:t>
      </w:r>
      <w:r w:rsidR="00097A86">
        <w:t> </w:t>
      </w:r>
      <w:r w:rsidR="005E463D" w:rsidRPr="00097A86">
        <w:t>5.2.4, the number of sub</w:t>
      </w:r>
      <w:r w:rsidR="00097A86">
        <w:rPr>
          <w:szCs w:val="22"/>
        </w:rPr>
        <w:noBreakHyphen/>
      </w:r>
      <w:r w:rsidR="005E463D" w:rsidRPr="00097A86">
        <w:t>facility zones that the landfill operator may select and the requirements for sub</w:t>
      </w:r>
      <w:r w:rsidR="00097A86">
        <w:rPr>
          <w:szCs w:val="22"/>
        </w:rPr>
        <w:noBreakHyphen/>
      </w:r>
      <w:r w:rsidR="005E463D" w:rsidRPr="00097A86">
        <w:t>facility zones that the landfill operator must comply with.</w:t>
      </w:r>
    </w:p>
    <w:p w14:paraId="7A58A8E3" w14:textId="77777777" w:rsidR="00AF7BC6" w:rsidRPr="00097A86" w:rsidRDefault="00AF7BC6" w:rsidP="00AF7BC6">
      <w:pPr>
        <w:pStyle w:val="notetext"/>
      </w:pPr>
      <w:r w:rsidRPr="00097A86">
        <w:t>Note 3:</w:t>
      </w:r>
      <w:r w:rsidRPr="00097A86">
        <w:tab/>
        <w:t>Section</w:t>
      </w:r>
      <w:r w:rsidR="00097A86">
        <w:t> </w:t>
      </w:r>
      <w:r w:rsidRPr="00097A86">
        <w:t>5.22A sets out, for a landfill operator using method 1 in Division</w:t>
      </w:r>
      <w:r w:rsidR="00097A86">
        <w:t> </w:t>
      </w:r>
      <w:r w:rsidRPr="00097A86">
        <w:t>5.2.2 to estimate emissions of methane released from legacy waste in a landfill, options and requirements related to sub</w:t>
      </w:r>
      <w:r w:rsidR="00097A86">
        <w:noBreakHyphen/>
      </w:r>
      <w:r w:rsidRPr="00097A86">
        <w:t>facility zones.</w:t>
      </w:r>
    </w:p>
    <w:p w14:paraId="3653F810" w14:textId="77777777" w:rsidR="00AF7BC6" w:rsidRPr="00097A86" w:rsidRDefault="00AF7BC6" w:rsidP="00D22D3F">
      <w:pPr>
        <w:pStyle w:val="notetext"/>
      </w:pPr>
    </w:p>
    <w:p w14:paraId="4E60515B" w14:textId="77777777" w:rsidR="003F0D4E" w:rsidRPr="00097A86" w:rsidRDefault="003F0D4E" w:rsidP="004C53FA">
      <w:pPr>
        <w:pStyle w:val="ActHead3"/>
        <w:pageBreakBefore/>
      </w:pPr>
      <w:bookmarkStart w:id="567" w:name="_Toc13233995"/>
      <w:r w:rsidRPr="00097A86">
        <w:rPr>
          <w:rStyle w:val="CharDivNo"/>
        </w:rPr>
        <w:lastRenderedPageBreak/>
        <w:t>Division</w:t>
      </w:r>
      <w:r w:rsidR="00097A86">
        <w:rPr>
          <w:rStyle w:val="CharDivNo"/>
        </w:rPr>
        <w:t> </w:t>
      </w:r>
      <w:r w:rsidRPr="00097A86">
        <w:rPr>
          <w:rStyle w:val="CharDivNo"/>
        </w:rPr>
        <w:t>5.2.4</w:t>
      </w:r>
      <w:r w:rsidR="00D22D3F" w:rsidRPr="00097A86">
        <w:t>—</w:t>
      </w:r>
      <w:r w:rsidRPr="00097A86">
        <w:rPr>
          <w:rStyle w:val="CharDivText"/>
        </w:rPr>
        <w:t>Method 3</w:t>
      </w:r>
      <w:r w:rsidR="00D22D3F" w:rsidRPr="00097A86">
        <w:rPr>
          <w:rStyle w:val="CharDivText"/>
        </w:rPr>
        <w:t>—</w:t>
      </w:r>
      <w:r w:rsidRPr="00097A86">
        <w:rPr>
          <w:rStyle w:val="CharDivText"/>
        </w:rPr>
        <w:t>emissions of methane released from solid waste at landfills</w:t>
      </w:r>
      <w:bookmarkEnd w:id="567"/>
    </w:p>
    <w:p w14:paraId="601DFE34" w14:textId="77777777" w:rsidR="003F0D4E" w:rsidRPr="00097A86" w:rsidRDefault="003F0D4E" w:rsidP="00D22D3F">
      <w:pPr>
        <w:pStyle w:val="ActHead5"/>
      </w:pPr>
      <w:bookmarkStart w:id="568" w:name="_Toc13233996"/>
      <w:r w:rsidRPr="00097A86">
        <w:rPr>
          <w:rStyle w:val="CharSectno"/>
        </w:rPr>
        <w:t>5.18</w:t>
      </w:r>
      <w:r w:rsidR="00D22D3F" w:rsidRPr="00097A86">
        <w:t xml:space="preserve">  </w:t>
      </w:r>
      <w:r w:rsidRPr="00097A86">
        <w:t>Method 3</w:t>
      </w:r>
      <w:r w:rsidR="00D22D3F" w:rsidRPr="00097A86">
        <w:t>—</w:t>
      </w:r>
      <w:r w:rsidRPr="00097A86">
        <w:t>methane released from solid waste at landfills (other than from flaring of methane)</w:t>
      </w:r>
      <w:bookmarkEnd w:id="568"/>
    </w:p>
    <w:p w14:paraId="79ADEB2D" w14:textId="77777777" w:rsidR="003F0D4E" w:rsidRPr="00097A86" w:rsidRDefault="003F0D4E" w:rsidP="00D22D3F">
      <w:pPr>
        <w:pStyle w:val="subsection"/>
      </w:pPr>
      <w:r w:rsidRPr="00097A86">
        <w:tab/>
        <w:t>(1)</w:t>
      </w:r>
      <w:r w:rsidRPr="00097A86">
        <w:tab/>
        <w:t>For subparagraph</w:t>
      </w:r>
      <w:r w:rsidR="00097A86">
        <w:t> </w:t>
      </w:r>
      <w:r w:rsidRPr="00097A86">
        <w:t>5.3</w:t>
      </w:r>
      <w:r w:rsidR="00FA3259" w:rsidRPr="00097A86">
        <w:t>(1)(a)</w:t>
      </w:r>
      <w:r w:rsidRPr="00097A86">
        <w:t xml:space="preserve">(iii) and subject to </w:t>
      </w:r>
      <w:r w:rsidR="00097A86">
        <w:t>subsection (</w:t>
      </w:r>
      <w:r w:rsidRPr="00097A86">
        <w:t>2), method 3 is the same as method 2 under section</w:t>
      </w:r>
      <w:r w:rsidR="00097A86">
        <w:t> </w:t>
      </w:r>
      <w:r w:rsidRPr="00097A86">
        <w:t>5.15.</w:t>
      </w:r>
    </w:p>
    <w:p w14:paraId="202418D5" w14:textId="77777777" w:rsidR="008911C0" w:rsidRPr="00097A86" w:rsidRDefault="008911C0" w:rsidP="008911C0">
      <w:pPr>
        <w:pStyle w:val="subsection"/>
      </w:pPr>
      <w:r w:rsidRPr="00097A86">
        <w:tab/>
        <w:t>(2)</w:t>
      </w:r>
      <w:r w:rsidRPr="00097A86">
        <w:tab/>
        <w:t>In applying method 2 under section</w:t>
      </w:r>
      <w:r w:rsidR="00097A86">
        <w:t> </w:t>
      </w:r>
      <w:r w:rsidRPr="00097A86">
        <w:t>5.15, the gas flow rate must be estimated from sampling undertaken during the year in accordance with USEPA Method 2E—</w:t>
      </w:r>
      <w:r w:rsidRPr="00097A86">
        <w:rPr>
          <w:i/>
        </w:rPr>
        <w:t>Determination of landfill gas production flow rate</w:t>
      </w:r>
      <w:r w:rsidRPr="00097A86">
        <w:t>, as set out in Appendix A</w:t>
      </w:r>
      <w:r w:rsidR="00097A86">
        <w:noBreakHyphen/>
      </w:r>
      <w:r w:rsidRPr="00097A86">
        <w:t>1 of Title 40, Part</w:t>
      </w:r>
      <w:r w:rsidR="00097A86">
        <w:t> </w:t>
      </w:r>
      <w:r w:rsidRPr="00097A86">
        <w:t>60 of the Code of Federal Regulations, United States of America, or an equivalent Australian or international standard.</w:t>
      </w:r>
    </w:p>
    <w:p w14:paraId="23D9640B" w14:textId="77777777" w:rsidR="003F0D4E" w:rsidRPr="00097A86" w:rsidRDefault="003F0D4E" w:rsidP="00D22D3F">
      <w:pPr>
        <w:pStyle w:val="ActHead3"/>
        <w:pageBreakBefore/>
      </w:pPr>
      <w:bookmarkStart w:id="569" w:name="_Toc13233997"/>
      <w:r w:rsidRPr="00097A86">
        <w:rPr>
          <w:rStyle w:val="CharDivNo"/>
        </w:rPr>
        <w:lastRenderedPageBreak/>
        <w:t>Division</w:t>
      </w:r>
      <w:r w:rsidR="00097A86">
        <w:rPr>
          <w:rStyle w:val="CharDivNo"/>
        </w:rPr>
        <w:t> </w:t>
      </w:r>
      <w:r w:rsidRPr="00097A86">
        <w:rPr>
          <w:rStyle w:val="CharDivNo"/>
        </w:rPr>
        <w:t>5.2.5</w:t>
      </w:r>
      <w:r w:rsidR="00D22D3F" w:rsidRPr="00097A86">
        <w:t>—</w:t>
      </w:r>
      <w:r w:rsidRPr="00097A86">
        <w:rPr>
          <w:rStyle w:val="CharDivText"/>
        </w:rPr>
        <w:t>Solid waste at landfills</w:t>
      </w:r>
      <w:r w:rsidR="00D22D3F" w:rsidRPr="00097A86">
        <w:rPr>
          <w:rStyle w:val="CharDivText"/>
        </w:rPr>
        <w:t>—</w:t>
      </w:r>
      <w:r w:rsidRPr="00097A86">
        <w:rPr>
          <w:rStyle w:val="CharDivText"/>
        </w:rPr>
        <w:t>Flaring</w:t>
      </w:r>
      <w:bookmarkEnd w:id="569"/>
    </w:p>
    <w:p w14:paraId="65DFCA78" w14:textId="77777777" w:rsidR="003F0D4E" w:rsidRPr="00097A86" w:rsidRDefault="003F0D4E" w:rsidP="00D22D3F">
      <w:pPr>
        <w:pStyle w:val="ActHead5"/>
      </w:pPr>
      <w:bookmarkStart w:id="570" w:name="_Toc13233998"/>
      <w:r w:rsidRPr="00097A86">
        <w:rPr>
          <w:rStyle w:val="CharSectno"/>
        </w:rPr>
        <w:t>5.19</w:t>
      </w:r>
      <w:r w:rsidR="00D22D3F" w:rsidRPr="00097A86">
        <w:t xml:space="preserve">  </w:t>
      </w:r>
      <w:r w:rsidRPr="00097A86">
        <w:t>Method 1</w:t>
      </w:r>
      <w:r w:rsidR="00D22D3F" w:rsidRPr="00097A86">
        <w:t>—</w:t>
      </w:r>
      <w:r w:rsidRPr="00097A86">
        <w:t>landfill gas flared</w:t>
      </w:r>
      <w:bookmarkEnd w:id="570"/>
    </w:p>
    <w:p w14:paraId="55673A94" w14:textId="77777777" w:rsidR="003F0D4E" w:rsidRPr="00097A86" w:rsidRDefault="003F0D4E" w:rsidP="00D22D3F">
      <w:pPr>
        <w:pStyle w:val="subsection"/>
      </w:pPr>
      <w:r w:rsidRPr="00097A86">
        <w:tab/>
        <w:t>(1)</w:t>
      </w:r>
      <w:r w:rsidRPr="00097A86">
        <w:tab/>
        <w:t>For subparagraph</w:t>
      </w:r>
      <w:r w:rsidR="00097A86">
        <w:t> </w:t>
      </w:r>
      <w:r w:rsidRPr="00097A86">
        <w:t>5.3</w:t>
      </w:r>
      <w:r w:rsidR="008A729A" w:rsidRPr="00097A86">
        <w:t>(</w:t>
      </w:r>
      <w:r w:rsidRPr="00097A86">
        <w:t>b)</w:t>
      </w:r>
      <w:r w:rsidR="008A729A" w:rsidRPr="00097A86">
        <w:t>(</w:t>
      </w:r>
      <w:r w:rsidRPr="00097A86">
        <w:t>i), method 1 is:</w:t>
      </w:r>
    </w:p>
    <w:p w14:paraId="743F2990"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2003C05A" wp14:editId="4AF70500">
            <wp:extent cx="2181225" cy="4095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362A656F" w14:textId="77777777" w:rsidR="003F0D4E" w:rsidRPr="00097A86" w:rsidRDefault="003F0D4E" w:rsidP="00D22D3F">
      <w:pPr>
        <w:pStyle w:val="subsection2"/>
      </w:pPr>
      <w:r w:rsidRPr="00097A86">
        <w:t>where:</w:t>
      </w:r>
    </w:p>
    <w:p w14:paraId="1382315D" w14:textId="77777777" w:rsidR="003F0D4E" w:rsidRPr="00097A86" w:rsidRDefault="003F0D4E" w:rsidP="00D22D3F">
      <w:pPr>
        <w:pStyle w:val="Definition"/>
        <w:rPr>
          <w:vertAlign w:val="subscript"/>
        </w:rPr>
      </w:pPr>
      <w:r w:rsidRPr="00097A86">
        <w:rPr>
          <w:b/>
          <w:i/>
        </w:rPr>
        <w:t>E</w:t>
      </w:r>
      <w:r w:rsidRPr="00097A86">
        <w:rPr>
          <w:b/>
          <w:i/>
          <w:vertAlign w:val="subscript"/>
        </w:rPr>
        <w:t>j</w:t>
      </w:r>
      <w:r w:rsidRPr="00097A86">
        <w:rPr>
          <w:b/>
          <w:i/>
        </w:rPr>
        <w:t xml:space="preserve"> </w:t>
      </w:r>
      <w:r w:rsidRPr="00097A86">
        <w:rPr>
          <w:b/>
          <w:i/>
          <w:vertAlign w:val="subscript"/>
        </w:rPr>
        <w:t xml:space="preserve">flared </w:t>
      </w:r>
      <w:r w:rsidRPr="00097A86">
        <w:t>is the emissions of gas type (</w:t>
      </w:r>
      <w:r w:rsidRPr="00097A86">
        <w:rPr>
          <w:b/>
          <w:i/>
        </w:rPr>
        <w:t>j</w:t>
      </w:r>
      <w:r w:rsidRPr="00097A86">
        <w:t>), being methane and nitrous oxide, released from the landfill from flaring of the methane in landfill gas during the year measured in CO</w:t>
      </w:r>
      <w:r w:rsidRPr="00097A86">
        <w:rPr>
          <w:vertAlign w:val="subscript"/>
        </w:rPr>
        <w:t>2</w:t>
      </w:r>
      <w:r w:rsidR="00097A86">
        <w:noBreakHyphen/>
      </w:r>
      <w:r w:rsidRPr="00097A86">
        <w:t>e tonnes.</w:t>
      </w:r>
    </w:p>
    <w:p w14:paraId="04AC6EB1"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landfill gas flared during the year measured in cubic metres in accordance with Division</w:t>
      </w:r>
      <w:r w:rsidR="00097A86">
        <w:t> </w:t>
      </w:r>
      <w:r w:rsidRPr="00097A86">
        <w:t>2.3.6.</w:t>
      </w:r>
    </w:p>
    <w:p w14:paraId="661F2EBA" w14:textId="77777777" w:rsidR="003F0D4E" w:rsidRPr="00097A86" w:rsidRDefault="003F0D4E" w:rsidP="00D22D3F">
      <w:pPr>
        <w:pStyle w:val="Definition"/>
      </w:pPr>
      <w:r w:rsidRPr="00097A86">
        <w:rPr>
          <w:b/>
          <w:i/>
        </w:rPr>
        <w:t>EC</w:t>
      </w:r>
      <w:r w:rsidRPr="00097A86">
        <w:rPr>
          <w:b/>
          <w:i/>
          <w:vertAlign w:val="subscript"/>
        </w:rPr>
        <w:t xml:space="preserve">i </w:t>
      </w:r>
      <w:r w:rsidRPr="00097A86">
        <w:t>is the energy content</w:t>
      </w:r>
      <w:r w:rsidR="005E463D" w:rsidRPr="00097A86">
        <w:t xml:space="preserve"> factor</w:t>
      </w:r>
      <w:r w:rsidRPr="00097A86">
        <w:t xml:space="preserve"> of methane in landfill gas in gigajoules per cubic metre (see Schedule</w:t>
      </w:r>
      <w:r w:rsidR="00097A86">
        <w:t> </w:t>
      </w:r>
      <w:r w:rsidRPr="00097A86">
        <w:t>1).</w:t>
      </w:r>
    </w:p>
    <w:p w14:paraId="555078C6"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relevant emission factor for gas type (</w:t>
      </w:r>
      <w:r w:rsidRPr="00097A86">
        <w:rPr>
          <w:b/>
          <w:i/>
        </w:rPr>
        <w:t>j</w:t>
      </w:r>
      <w:r w:rsidRPr="00097A86">
        <w:t>), being methane and nitrous oxide, from the combustion of landfill gas in kilograms of CO</w:t>
      </w:r>
      <w:r w:rsidRPr="00097A86">
        <w:rPr>
          <w:vertAlign w:val="subscript"/>
        </w:rPr>
        <w:t>2</w:t>
      </w:r>
      <w:r w:rsidR="00097A86">
        <w:noBreakHyphen/>
      </w:r>
      <w:r w:rsidRPr="00097A86">
        <w:t>e per gigajoule (see Schedule</w:t>
      </w:r>
      <w:r w:rsidR="00097A86">
        <w:t> </w:t>
      </w:r>
      <w:r w:rsidRPr="00097A86">
        <w:t>1).</w:t>
      </w:r>
    </w:p>
    <w:p w14:paraId="0B3630A7" w14:textId="77777777" w:rsidR="003F0D4E" w:rsidRPr="00097A86" w:rsidRDefault="003F0D4E" w:rsidP="00D22D3F">
      <w:pPr>
        <w:pStyle w:val="subsection"/>
      </w:pPr>
      <w:r w:rsidRPr="00097A86">
        <w:tab/>
        <w:t>(2)</w:t>
      </w:r>
      <w:r w:rsidRPr="00097A86">
        <w:tab/>
        <w:t xml:space="preserve">For </w:t>
      </w:r>
      <w:r w:rsidRPr="00097A86">
        <w:rPr>
          <w:b/>
          <w:i/>
        </w:rPr>
        <w:t>Q</w:t>
      </w:r>
      <w:r w:rsidRPr="00097A86">
        <w:rPr>
          <w:b/>
          <w:i/>
          <w:vertAlign w:val="subscript"/>
        </w:rPr>
        <w:t>flared</w:t>
      </w:r>
      <w:r w:rsidRPr="00097A86">
        <w:t xml:space="preserve"> in </w:t>
      </w:r>
      <w:r w:rsidR="00097A86">
        <w:t>subsection (</w:t>
      </w:r>
      <w:r w:rsidRPr="00097A86">
        <w:t>1), the methane in landfill gas is taken to constitute 50% of the landfill gas.</w:t>
      </w:r>
    </w:p>
    <w:p w14:paraId="38F53FA6" w14:textId="77777777" w:rsidR="003F0D4E" w:rsidRPr="00097A86" w:rsidRDefault="003F0D4E" w:rsidP="00D22D3F">
      <w:pPr>
        <w:pStyle w:val="ActHead5"/>
      </w:pPr>
      <w:bookmarkStart w:id="571" w:name="_Toc13233999"/>
      <w:r w:rsidRPr="00097A86">
        <w:rPr>
          <w:rStyle w:val="CharSectno"/>
        </w:rPr>
        <w:t>5.20</w:t>
      </w:r>
      <w:r w:rsidR="00D22D3F" w:rsidRPr="00097A86">
        <w:t xml:space="preserve">  </w:t>
      </w:r>
      <w:r w:rsidRPr="00097A86">
        <w:t>Method 2</w:t>
      </w:r>
      <w:r w:rsidR="00D22D3F" w:rsidRPr="00097A86">
        <w:t>—</w:t>
      </w:r>
      <w:r w:rsidRPr="00097A86">
        <w:t>landfill gas flared</w:t>
      </w:r>
      <w:bookmarkEnd w:id="571"/>
    </w:p>
    <w:p w14:paraId="339799FF" w14:textId="77777777" w:rsidR="003F0D4E" w:rsidRPr="00097A86" w:rsidRDefault="003F0D4E" w:rsidP="00D22D3F">
      <w:pPr>
        <w:pStyle w:val="subsection"/>
      </w:pPr>
      <w:r w:rsidRPr="00097A86">
        <w:tab/>
        <w:t>(1)</w:t>
      </w:r>
      <w:r w:rsidRPr="00097A86">
        <w:tab/>
        <w:t>For subparagraph</w:t>
      </w:r>
      <w:r w:rsidR="00097A86">
        <w:t> </w:t>
      </w:r>
      <w:r w:rsidRPr="00097A86">
        <w:t>5.3(1)(b)(ii) and subject to this section, method 2 is the same as method 1 under section</w:t>
      </w:r>
      <w:r w:rsidR="00097A86">
        <w:t> </w:t>
      </w:r>
      <w:r w:rsidRPr="00097A86">
        <w:t>5.19.</w:t>
      </w:r>
    </w:p>
    <w:p w14:paraId="59FBAB8B"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5.19, </w:t>
      </w:r>
      <w:r w:rsidRPr="00097A86">
        <w:rPr>
          <w:b/>
          <w:i/>
        </w:rPr>
        <w:t>Q</w:t>
      </w:r>
      <w:r w:rsidRPr="00097A86">
        <w:rPr>
          <w:b/>
          <w:i/>
          <w:vertAlign w:val="subscript"/>
        </w:rPr>
        <w:t>flared</w:t>
      </w:r>
      <w:r w:rsidRPr="00097A86">
        <w:t xml:space="preserve"> must be determined in accordance with the sampling and analysis requirements in Subdivision</w:t>
      </w:r>
      <w:r w:rsidR="00097A86">
        <w:t> </w:t>
      </w:r>
      <w:r w:rsidRPr="00097A86">
        <w:t>2.3.3.2 and the measurement requirements in Division</w:t>
      </w:r>
      <w:r w:rsidR="00097A86">
        <w:t> </w:t>
      </w:r>
      <w:r w:rsidRPr="00097A86">
        <w:t>2.3.6.</w:t>
      </w:r>
    </w:p>
    <w:p w14:paraId="26F0E085" w14:textId="77777777" w:rsidR="003F0D4E" w:rsidRPr="00097A86" w:rsidRDefault="003F0D4E" w:rsidP="00D22D3F">
      <w:pPr>
        <w:pStyle w:val="ActHead5"/>
      </w:pPr>
      <w:bookmarkStart w:id="572" w:name="_Toc13234000"/>
      <w:r w:rsidRPr="00097A86">
        <w:rPr>
          <w:rStyle w:val="CharSectno"/>
        </w:rPr>
        <w:t>5.21</w:t>
      </w:r>
      <w:r w:rsidR="00D22D3F" w:rsidRPr="00097A86">
        <w:t xml:space="preserve">  </w:t>
      </w:r>
      <w:r w:rsidRPr="00097A86">
        <w:t>Method 3</w:t>
      </w:r>
      <w:r w:rsidR="00D22D3F" w:rsidRPr="00097A86">
        <w:t>—</w:t>
      </w:r>
      <w:r w:rsidRPr="00097A86">
        <w:t>landfill gas flared</w:t>
      </w:r>
      <w:bookmarkEnd w:id="572"/>
    </w:p>
    <w:p w14:paraId="01E20CD0" w14:textId="77777777" w:rsidR="003F0D4E" w:rsidRPr="00097A86" w:rsidRDefault="003F0D4E" w:rsidP="00D22D3F">
      <w:pPr>
        <w:pStyle w:val="subsection"/>
      </w:pPr>
      <w:r w:rsidRPr="00097A86">
        <w:tab/>
        <w:t>(1)</w:t>
      </w:r>
      <w:r w:rsidRPr="00097A86">
        <w:tab/>
        <w:t>For subparagraph</w:t>
      </w:r>
      <w:r w:rsidR="00097A86">
        <w:t> </w:t>
      </w:r>
      <w:r w:rsidRPr="00097A86">
        <w:t>5.3(1)(b)(iii) and subject to this section, method 3 is the same as method 1 under section</w:t>
      </w:r>
      <w:r w:rsidR="00097A86">
        <w:t> </w:t>
      </w:r>
      <w:r w:rsidRPr="00097A86">
        <w:t>5.19.</w:t>
      </w:r>
    </w:p>
    <w:p w14:paraId="58122768"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5.19, </w:t>
      </w:r>
      <w:r w:rsidRPr="00097A86">
        <w:rPr>
          <w:b/>
          <w:i/>
        </w:rPr>
        <w:t>Q</w:t>
      </w:r>
      <w:r w:rsidRPr="00097A86">
        <w:rPr>
          <w:b/>
          <w:i/>
          <w:vertAlign w:val="subscript"/>
        </w:rPr>
        <w:t>flared</w:t>
      </w:r>
      <w:r w:rsidRPr="00097A86">
        <w:t xml:space="preserve"> must be determined in accordance with the sampling and analysis requirements in Division</w:t>
      </w:r>
      <w:r w:rsidR="00097A86">
        <w:t> </w:t>
      </w:r>
      <w:r w:rsidRPr="00097A86">
        <w:t>2.3.4 and the measurement requirements in Division</w:t>
      </w:r>
      <w:r w:rsidR="00097A86">
        <w:t> </w:t>
      </w:r>
      <w:r w:rsidRPr="00097A86">
        <w:t>2.3.6.</w:t>
      </w:r>
    </w:p>
    <w:p w14:paraId="4B7EA231" w14:textId="77777777" w:rsidR="003F0D4E" w:rsidRPr="00097A86" w:rsidRDefault="003F0D4E" w:rsidP="00D22D3F">
      <w:pPr>
        <w:pStyle w:val="ActHead3"/>
        <w:pageBreakBefore/>
      </w:pPr>
      <w:bookmarkStart w:id="573" w:name="_Toc13234001"/>
      <w:r w:rsidRPr="00097A86">
        <w:rPr>
          <w:rStyle w:val="CharDivNo"/>
        </w:rPr>
        <w:lastRenderedPageBreak/>
        <w:t>Division</w:t>
      </w:r>
      <w:r w:rsidR="00097A86">
        <w:rPr>
          <w:rStyle w:val="CharDivNo"/>
        </w:rPr>
        <w:t> </w:t>
      </w:r>
      <w:r w:rsidRPr="00097A86">
        <w:rPr>
          <w:rStyle w:val="CharDivNo"/>
        </w:rPr>
        <w:t>5.2.6</w:t>
      </w:r>
      <w:r w:rsidR="00D22D3F" w:rsidRPr="00097A86">
        <w:t>—</w:t>
      </w:r>
      <w:r w:rsidRPr="00097A86">
        <w:rPr>
          <w:rStyle w:val="CharDivText"/>
        </w:rPr>
        <w:t>Biological treatment of solid waste</w:t>
      </w:r>
      <w:bookmarkEnd w:id="573"/>
    </w:p>
    <w:p w14:paraId="54210160" w14:textId="77777777" w:rsidR="001948E5" w:rsidRPr="00097A86" w:rsidRDefault="001948E5" w:rsidP="001948E5">
      <w:pPr>
        <w:pStyle w:val="ActHead5"/>
      </w:pPr>
      <w:bookmarkStart w:id="574" w:name="_Toc13234002"/>
      <w:r w:rsidRPr="00097A86">
        <w:rPr>
          <w:rStyle w:val="CharSectno"/>
        </w:rPr>
        <w:t>5.22</w:t>
      </w:r>
      <w:r w:rsidRPr="00097A86">
        <w:t xml:space="preserve">  Method 1—emissions of methane and nitrous oxide from biological treatment of solid waste</w:t>
      </w:r>
      <w:bookmarkEnd w:id="574"/>
    </w:p>
    <w:p w14:paraId="113E95F9" w14:textId="77777777" w:rsidR="008911C0" w:rsidRPr="00097A86" w:rsidRDefault="008911C0" w:rsidP="008911C0">
      <w:pPr>
        <w:pStyle w:val="subsection"/>
      </w:pPr>
      <w:r w:rsidRPr="00097A86">
        <w:tab/>
        <w:t>(1)</w:t>
      </w:r>
      <w:r w:rsidRPr="00097A86">
        <w:tab/>
        <w:t>For subparagraph</w:t>
      </w:r>
      <w:r w:rsidR="00097A86">
        <w:t> </w:t>
      </w:r>
      <w:r w:rsidRPr="00097A86">
        <w:t>5.3(1)(c)(i) and paragraph</w:t>
      </w:r>
      <w:r w:rsidR="00097A86">
        <w:t> </w:t>
      </w:r>
      <w:r w:rsidRPr="00097A86">
        <w:t>5.3(1)(d), method 1 is:</w:t>
      </w:r>
    </w:p>
    <w:bookmarkStart w:id="575" w:name="BKCheck15B_31"/>
    <w:bookmarkEnd w:id="575"/>
    <w:p w14:paraId="290C199F" w14:textId="77777777" w:rsidR="008911C0" w:rsidRPr="00097A86" w:rsidRDefault="008911C0" w:rsidP="008911C0">
      <w:pPr>
        <w:pStyle w:val="subsection2"/>
      </w:pPr>
      <w:r w:rsidRPr="00097A86">
        <w:rPr>
          <w:position w:val="-12"/>
        </w:rPr>
        <w:object w:dxaOrig="1980" w:dyaOrig="460" w14:anchorId="0187B5B5">
          <v:shape id="_x0000_i1051" type="#_x0000_t75" style="width:99pt;height:23.25pt" o:ole="">
            <v:imagedata r:id="rId210" o:title=""/>
          </v:shape>
          <o:OLEObject Type="Embed" ProgID="Equation.DSMT4" ShapeID="_x0000_i1051" DrawAspect="Content" ObjectID="_1624711055" r:id="rId211"/>
        </w:object>
      </w:r>
    </w:p>
    <w:p w14:paraId="503FAA06" w14:textId="77777777" w:rsidR="008911C0" w:rsidRPr="00097A86" w:rsidRDefault="008911C0" w:rsidP="008911C0">
      <w:pPr>
        <w:pStyle w:val="subsection2"/>
      </w:pPr>
      <w:r w:rsidRPr="00097A86">
        <w:t>where:</w:t>
      </w:r>
    </w:p>
    <w:p w14:paraId="356A8A09" w14:textId="77777777" w:rsidR="008911C0" w:rsidRPr="00097A86" w:rsidRDefault="008911C0" w:rsidP="008911C0">
      <w:pPr>
        <w:pStyle w:val="Definition"/>
      </w:pPr>
      <w:r w:rsidRPr="00097A86">
        <w:rPr>
          <w:b/>
          <w:i/>
        </w:rPr>
        <w:t>EF</w:t>
      </w:r>
      <w:r w:rsidRPr="00097A86">
        <w:rPr>
          <w:b/>
          <w:i/>
          <w:vertAlign w:val="subscript"/>
        </w:rPr>
        <w:t>i</w:t>
      </w:r>
      <w:r w:rsidRPr="00097A86">
        <w:t xml:space="preserve"> is the emission factor for each gas type (</w:t>
      </w:r>
      <w:r w:rsidRPr="00097A86">
        <w:rPr>
          <w:b/>
          <w:i/>
        </w:rPr>
        <w:t>j</w:t>
      </w:r>
      <w:r w:rsidRPr="00097A86">
        <w:t>), being methane or nitrous oxide, released from the biological treatment type (</w:t>
      </w:r>
      <w:r w:rsidRPr="00097A86">
        <w:rPr>
          <w:b/>
          <w:i/>
        </w:rPr>
        <w:t>i</w:t>
      </w:r>
      <w:r w:rsidRPr="00097A86">
        <w:t>) measured in tonnes of CO</w:t>
      </w:r>
      <w:r w:rsidRPr="00097A86">
        <w:rPr>
          <w:vertAlign w:val="subscript"/>
        </w:rPr>
        <w:t>2</w:t>
      </w:r>
      <w:r w:rsidR="00097A86">
        <w:noBreakHyphen/>
      </w:r>
      <w:r w:rsidRPr="00097A86">
        <w:t>e per tonne of waste processed.</w:t>
      </w:r>
    </w:p>
    <w:p w14:paraId="533E5DA6" w14:textId="77777777" w:rsidR="008911C0" w:rsidRPr="00097A86" w:rsidRDefault="008911C0" w:rsidP="008911C0">
      <w:pPr>
        <w:pStyle w:val="Definition"/>
      </w:pPr>
      <w:r w:rsidRPr="00097A86">
        <w:rPr>
          <w:b/>
          <w:i/>
        </w:rPr>
        <w:t>E</w:t>
      </w:r>
      <w:r w:rsidRPr="00097A86">
        <w:rPr>
          <w:b/>
          <w:i/>
          <w:vertAlign w:val="subscript"/>
        </w:rPr>
        <w:t>ij</w:t>
      </w:r>
      <w:r w:rsidRPr="00097A86">
        <w:t xml:space="preserve"> is the emissions of the gas type (</w:t>
      </w:r>
      <w:r w:rsidRPr="00097A86">
        <w:rPr>
          <w:b/>
          <w:i/>
        </w:rPr>
        <w:t>j</w:t>
      </w:r>
      <w:r w:rsidRPr="00097A86">
        <w:t xml:space="preserve">), being methane or nitrous oxide, released from the </w:t>
      </w:r>
      <w:r w:rsidR="001948E5" w:rsidRPr="00097A86">
        <w:t>facility</w:t>
      </w:r>
      <w:r w:rsidRPr="00097A86">
        <w:t xml:space="preserve"> during the year from the biological treatment type (</w:t>
      </w:r>
      <w:r w:rsidRPr="00097A86">
        <w:rPr>
          <w:b/>
          <w:i/>
        </w:rPr>
        <w:t>i</w:t>
      </w:r>
      <w:r w:rsidRPr="00097A86">
        <w:t>) measured in CO</w:t>
      </w:r>
      <w:r w:rsidRPr="00097A86">
        <w:rPr>
          <w:vertAlign w:val="subscript"/>
        </w:rPr>
        <w:t>2</w:t>
      </w:r>
      <w:r w:rsidR="00097A86">
        <w:noBreakHyphen/>
      </w:r>
      <w:r w:rsidRPr="00097A86">
        <w:t>e tonnes.</w:t>
      </w:r>
    </w:p>
    <w:p w14:paraId="1A9B961A" w14:textId="77777777" w:rsidR="008911C0" w:rsidRPr="00097A86" w:rsidRDefault="008911C0" w:rsidP="008911C0">
      <w:pPr>
        <w:pStyle w:val="Definition"/>
      </w:pPr>
      <w:r w:rsidRPr="00097A86">
        <w:rPr>
          <w:b/>
          <w:i/>
        </w:rPr>
        <w:t>M</w:t>
      </w:r>
      <w:r w:rsidRPr="00097A86">
        <w:rPr>
          <w:b/>
          <w:i/>
          <w:vertAlign w:val="subscript"/>
        </w:rPr>
        <w:t>i</w:t>
      </w:r>
      <w:r w:rsidRPr="00097A86">
        <w:t xml:space="preserve"> is the mass of waste treated by biological treatment type (</w:t>
      </w:r>
      <w:r w:rsidRPr="00097A86">
        <w:rPr>
          <w:b/>
          <w:i/>
        </w:rPr>
        <w:t>i</w:t>
      </w:r>
      <w:r w:rsidRPr="00097A86">
        <w:t>) during the year measured in tonnes of waste.</w:t>
      </w:r>
    </w:p>
    <w:p w14:paraId="5DDA3364" w14:textId="77777777" w:rsidR="008911C0" w:rsidRPr="00097A86" w:rsidRDefault="008911C0" w:rsidP="008911C0">
      <w:pPr>
        <w:pStyle w:val="Definition"/>
      </w:pPr>
      <w:r w:rsidRPr="00097A86">
        <w:rPr>
          <w:b/>
          <w:i/>
        </w:rPr>
        <w:t xml:space="preserve">R </w:t>
      </w:r>
      <w:r w:rsidRPr="00097A86">
        <w:t>is:</w:t>
      </w:r>
    </w:p>
    <w:p w14:paraId="16F27C44" w14:textId="77777777" w:rsidR="008911C0" w:rsidRPr="00097A86" w:rsidRDefault="008911C0" w:rsidP="008911C0">
      <w:pPr>
        <w:pStyle w:val="paragraph"/>
      </w:pPr>
      <w:r w:rsidRPr="00097A86">
        <w:tab/>
        <w:t>(a)</w:t>
      </w:r>
      <w:r w:rsidRPr="00097A86">
        <w:tab/>
        <w:t xml:space="preserve">for the gas type methane—the total amount of methane recovered during the year at the </w:t>
      </w:r>
      <w:r w:rsidR="001948E5" w:rsidRPr="00097A86">
        <w:t>facility</w:t>
      </w:r>
      <w:r w:rsidRPr="00097A86">
        <w:t xml:space="preserve"> from the biological treatment of solid waste measured in tonnes of CO</w:t>
      </w:r>
      <w:r w:rsidRPr="00097A86">
        <w:rPr>
          <w:vertAlign w:val="subscript"/>
        </w:rPr>
        <w:t>2</w:t>
      </w:r>
      <w:r w:rsidR="00097A86">
        <w:noBreakHyphen/>
      </w:r>
      <w:r w:rsidRPr="00097A86">
        <w:t>e; or</w:t>
      </w:r>
    </w:p>
    <w:p w14:paraId="6F95F69F" w14:textId="77777777" w:rsidR="008911C0" w:rsidRPr="00097A86" w:rsidRDefault="008911C0" w:rsidP="008911C0">
      <w:pPr>
        <w:pStyle w:val="paragraph"/>
      </w:pPr>
      <w:r w:rsidRPr="00097A86">
        <w:tab/>
        <w:t>(b)</w:t>
      </w:r>
      <w:r w:rsidRPr="00097A86">
        <w:tab/>
        <w:t>for the gas type nitrous oxide—zero.</w:t>
      </w:r>
    </w:p>
    <w:p w14:paraId="67231B42" w14:textId="77777777" w:rsidR="008911C0" w:rsidRPr="00097A86" w:rsidRDefault="008911C0" w:rsidP="008911C0">
      <w:pPr>
        <w:pStyle w:val="subsection"/>
      </w:pPr>
      <w:r w:rsidRPr="00097A86">
        <w:tab/>
        <w:t>(2)</w:t>
      </w:r>
      <w:r w:rsidRPr="00097A86">
        <w:tab/>
        <w:t xml:space="preserve">For </w:t>
      </w:r>
      <w:r w:rsidRPr="00097A86">
        <w:rPr>
          <w:b/>
          <w:i/>
        </w:rPr>
        <w:t>EF</w:t>
      </w:r>
      <w:r w:rsidRPr="00097A86">
        <w:rPr>
          <w:b/>
          <w:i/>
          <w:vertAlign w:val="subscript"/>
        </w:rPr>
        <w:t>i</w:t>
      </w:r>
      <w:r w:rsidRPr="00097A86">
        <w:t xml:space="preserve"> in </w:t>
      </w:r>
      <w:r w:rsidR="00097A86">
        <w:t>subsection (</w:t>
      </w:r>
      <w:r w:rsidRPr="00097A86">
        <w:t>1), the emission factor for each gas type released from the biological treatment type is set out in the following table:</w:t>
      </w:r>
    </w:p>
    <w:p w14:paraId="48D9A996" w14:textId="77777777" w:rsidR="008911C0" w:rsidRPr="00097A86" w:rsidRDefault="008911C0" w:rsidP="008911C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3"/>
        <w:gridCol w:w="3959"/>
        <w:gridCol w:w="1701"/>
        <w:gridCol w:w="1940"/>
      </w:tblGrid>
      <w:tr w:rsidR="008911C0" w:rsidRPr="00097A86" w14:paraId="34283FFD" w14:textId="77777777" w:rsidTr="00C20CC2">
        <w:trPr>
          <w:tblHeader/>
        </w:trPr>
        <w:tc>
          <w:tcPr>
            <w:tcW w:w="5000" w:type="pct"/>
            <w:gridSpan w:val="4"/>
            <w:tcBorders>
              <w:top w:val="single" w:sz="12" w:space="0" w:color="auto"/>
              <w:bottom w:val="single" w:sz="6" w:space="0" w:color="auto"/>
            </w:tcBorders>
            <w:shd w:val="clear" w:color="auto" w:fill="auto"/>
          </w:tcPr>
          <w:p w14:paraId="614BCDEF" w14:textId="77777777" w:rsidR="008911C0" w:rsidRPr="00097A86" w:rsidRDefault="008911C0" w:rsidP="008911C0">
            <w:pPr>
              <w:pStyle w:val="TableHeading"/>
            </w:pPr>
            <w:r w:rsidRPr="00097A86">
              <w:t>Emission factor for type of gas and biological treatment</w:t>
            </w:r>
          </w:p>
        </w:tc>
      </w:tr>
      <w:tr w:rsidR="008911C0" w:rsidRPr="00097A86" w14:paraId="6F409C18" w14:textId="77777777" w:rsidTr="00C20CC2">
        <w:trPr>
          <w:tblHeader/>
        </w:trPr>
        <w:tc>
          <w:tcPr>
            <w:tcW w:w="429" w:type="pct"/>
            <w:tcBorders>
              <w:top w:val="single" w:sz="6" w:space="0" w:color="auto"/>
              <w:bottom w:val="nil"/>
            </w:tcBorders>
            <w:shd w:val="clear" w:color="auto" w:fill="auto"/>
          </w:tcPr>
          <w:p w14:paraId="072B918C" w14:textId="77777777" w:rsidR="008911C0" w:rsidRPr="00097A86" w:rsidRDefault="008911C0" w:rsidP="008911C0">
            <w:pPr>
              <w:pStyle w:val="TableHeading"/>
            </w:pPr>
            <w:r w:rsidRPr="00097A86">
              <w:t>Item</w:t>
            </w:r>
          </w:p>
        </w:tc>
        <w:tc>
          <w:tcPr>
            <w:tcW w:w="2381" w:type="pct"/>
            <w:tcBorders>
              <w:top w:val="single" w:sz="6" w:space="0" w:color="auto"/>
              <w:bottom w:val="nil"/>
            </w:tcBorders>
            <w:shd w:val="clear" w:color="auto" w:fill="auto"/>
          </w:tcPr>
          <w:p w14:paraId="2D7B6A06" w14:textId="77777777" w:rsidR="008911C0" w:rsidRPr="00097A86" w:rsidRDefault="008911C0" w:rsidP="008911C0">
            <w:pPr>
              <w:pStyle w:val="TableHeading"/>
            </w:pPr>
            <w:r w:rsidRPr="00097A86">
              <w:t xml:space="preserve">Biological treatment </w:t>
            </w:r>
          </w:p>
        </w:tc>
        <w:tc>
          <w:tcPr>
            <w:tcW w:w="2190" w:type="pct"/>
            <w:gridSpan w:val="2"/>
            <w:tcBorders>
              <w:top w:val="single" w:sz="6" w:space="0" w:color="auto"/>
              <w:bottom w:val="single" w:sz="4" w:space="0" w:color="auto"/>
            </w:tcBorders>
            <w:shd w:val="clear" w:color="auto" w:fill="auto"/>
          </w:tcPr>
          <w:p w14:paraId="729F2A90" w14:textId="77777777" w:rsidR="008911C0" w:rsidRPr="00097A86" w:rsidRDefault="008911C0" w:rsidP="008911C0">
            <w:pPr>
              <w:pStyle w:val="TableHeading"/>
              <w:jc w:val="center"/>
            </w:pPr>
            <w:r w:rsidRPr="00097A86">
              <w:t>Emission factor</w:t>
            </w:r>
          </w:p>
          <w:p w14:paraId="5F30D3F7" w14:textId="77777777" w:rsidR="008911C0" w:rsidRPr="00097A86" w:rsidRDefault="008911C0" w:rsidP="008911C0">
            <w:pPr>
              <w:pStyle w:val="Tabletext"/>
              <w:jc w:val="center"/>
              <w:rPr>
                <w:b/>
              </w:rPr>
            </w:pPr>
            <w:r w:rsidRPr="00097A86">
              <w:rPr>
                <w:b/>
              </w:rPr>
              <w:t>tonnes CO</w:t>
            </w:r>
            <w:r w:rsidRPr="00097A86">
              <w:rPr>
                <w:b/>
                <w:vertAlign w:val="subscript"/>
              </w:rPr>
              <w:t>2</w:t>
            </w:r>
            <w:r w:rsidR="00097A86">
              <w:rPr>
                <w:b/>
              </w:rPr>
              <w:noBreakHyphen/>
            </w:r>
            <w:r w:rsidRPr="00097A86">
              <w:rPr>
                <w:b/>
              </w:rPr>
              <w:t>e/tonne of waste treated</w:t>
            </w:r>
          </w:p>
        </w:tc>
      </w:tr>
      <w:tr w:rsidR="008911C0" w:rsidRPr="00097A86" w14:paraId="381BF8CB" w14:textId="77777777" w:rsidTr="00C20CC2">
        <w:trPr>
          <w:tblHeader/>
        </w:trPr>
        <w:tc>
          <w:tcPr>
            <w:tcW w:w="429" w:type="pct"/>
            <w:tcBorders>
              <w:top w:val="nil"/>
              <w:bottom w:val="single" w:sz="12" w:space="0" w:color="auto"/>
            </w:tcBorders>
            <w:shd w:val="clear" w:color="auto" w:fill="auto"/>
          </w:tcPr>
          <w:p w14:paraId="1CB13E1B" w14:textId="77777777" w:rsidR="008911C0" w:rsidRPr="00097A86" w:rsidRDefault="008911C0" w:rsidP="008911C0">
            <w:pPr>
              <w:pStyle w:val="TableHeading"/>
            </w:pPr>
          </w:p>
        </w:tc>
        <w:tc>
          <w:tcPr>
            <w:tcW w:w="2381" w:type="pct"/>
            <w:tcBorders>
              <w:top w:val="nil"/>
              <w:bottom w:val="single" w:sz="12" w:space="0" w:color="auto"/>
            </w:tcBorders>
            <w:shd w:val="clear" w:color="auto" w:fill="auto"/>
          </w:tcPr>
          <w:p w14:paraId="56A84F2C" w14:textId="77777777" w:rsidR="008911C0" w:rsidRPr="00097A86" w:rsidRDefault="008911C0" w:rsidP="008911C0">
            <w:pPr>
              <w:pStyle w:val="TableHeading"/>
            </w:pPr>
          </w:p>
        </w:tc>
        <w:tc>
          <w:tcPr>
            <w:tcW w:w="1023" w:type="pct"/>
            <w:tcBorders>
              <w:top w:val="single" w:sz="4" w:space="0" w:color="auto"/>
              <w:bottom w:val="single" w:sz="12" w:space="0" w:color="auto"/>
            </w:tcBorders>
            <w:shd w:val="clear" w:color="auto" w:fill="auto"/>
          </w:tcPr>
          <w:p w14:paraId="11F24220" w14:textId="77777777" w:rsidR="008911C0" w:rsidRPr="00097A86" w:rsidRDefault="008911C0" w:rsidP="008911C0">
            <w:pPr>
              <w:pStyle w:val="TableHeading"/>
            </w:pPr>
            <w:r w:rsidRPr="00097A86">
              <w:t>Methane</w:t>
            </w:r>
          </w:p>
        </w:tc>
        <w:tc>
          <w:tcPr>
            <w:tcW w:w="1167" w:type="pct"/>
            <w:tcBorders>
              <w:top w:val="single" w:sz="4" w:space="0" w:color="auto"/>
              <w:bottom w:val="single" w:sz="12" w:space="0" w:color="auto"/>
            </w:tcBorders>
            <w:shd w:val="clear" w:color="auto" w:fill="auto"/>
          </w:tcPr>
          <w:p w14:paraId="15DF71C3" w14:textId="77777777" w:rsidR="008911C0" w:rsidRPr="00097A86" w:rsidRDefault="008911C0" w:rsidP="008911C0">
            <w:pPr>
              <w:pStyle w:val="TableHeading"/>
            </w:pPr>
            <w:r w:rsidRPr="00097A86">
              <w:t>Nitrous Oxide</w:t>
            </w:r>
          </w:p>
        </w:tc>
      </w:tr>
      <w:tr w:rsidR="00B25EE5" w:rsidRPr="00097A86" w14:paraId="659B6CA5" w14:textId="77777777" w:rsidTr="00C20CC2">
        <w:tc>
          <w:tcPr>
            <w:tcW w:w="429" w:type="pct"/>
            <w:shd w:val="clear" w:color="auto" w:fill="auto"/>
          </w:tcPr>
          <w:p w14:paraId="24244B01" w14:textId="77777777" w:rsidR="00B25EE5" w:rsidRPr="00097A86" w:rsidRDefault="00B25EE5" w:rsidP="008911C0">
            <w:pPr>
              <w:pStyle w:val="Tabletext"/>
            </w:pPr>
            <w:r w:rsidRPr="00097A86">
              <w:t>1</w:t>
            </w:r>
          </w:p>
        </w:tc>
        <w:tc>
          <w:tcPr>
            <w:tcW w:w="2381" w:type="pct"/>
            <w:shd w:val="clear" w:color="auto" w:fill="auto"/>
          </w:tcPr>
          <w:p w14:paraId="1F5E353D" w14:textId="77777777" w:rsidR="00B25EE5" w:rsidRPr="00097A86" w:rsidRDefault="00B25EE5" w:rsidP="008911C0">
            <w:pPr>
              <w:pStyle w:val="Tabletext"/>
            </w:pPr>
            <w:r w:rsidRPr="00097A86">
              <w:t xml:space="preserve">Composting at the </w:t>
            </w:r>
            <w:r w:rsidR="001948E5" w:rsidRPr="00097A86">
              <w:t>facility</w:t>
            </w:r>
          </w:p>
        </w:tc>
        <w:tc>
          <w:tcPr>
            <w:tcW w:w="1023" w:type="pct"/>
            <w:shd w:val="clear" w:color="auto" w:fill="auto"/>
          </w:tcPr>
          <w:p w14:paraId="7C2D30C2" w14:textId="77777777" w:rsidR="00B25EE5" w:rsidRPr="00097A86" w:rsidRDefault="00B25EE5" w:rsidP="008911C0">
            <w:pPr>
              <w:pStyle w:val="Tabletext"/>
            </w:pPr>
            <w:r w:rsidRPr="00097A86">
              <w:t>0.019</w:t>
            </w:r>
          </w:p>
        </w:tc>
        <w:tc>
          <w:tcPr>
            <w:tcW w:w="1167" w:type="pct"/>
            <w:shd w:val="clear" w:color="auto" w:fill="auto"/>
          </w:tcPr>
          <w:p w14:paraId="6CB48D3E" w14:textId="77777777" w:rsidR="00B25EE5" w:rsidRPr="00097A86" w:rsidRDefault="00B25EE5" w:rsidP="008911C0">
            <w:pPr>
              <w:pStyle w:val="Tabletext"/>
            </w:pPr>
            <w:r w:rsidRPr="00097A86">
              <w:t>0.029</w:t>
            </w:r>
          </w:p>
        </w:tc>
      </w:tr>
      <w:tr w:rsidR="00B25EE5" w:rsidRPr="00097A86" w14:paraId="5115D862" w14:textId="77777777" w:rsidTr="00C20CC2">
        <w:tc>
          <w:tcPr>
            <w:tcW w:w="429" w:type="pct"/>
            <w:tcBorders>
              <w:bottom w:val="single" w:sz="12" w:space="0" w:color="auto"/>
            </w:tcBorders>
            <w:shd w:val="clear" w:color="auto" w:fill="auto"/>
          </w:tcPr>
          <w:p w14:paraId="16A3F027" w14:textId="77777777" w:rsidR="00B25EE5" w:rsidRPr="00097A86" w:rsidRDefault="00B25EE5" w:rsidP="008911C0">
            <w:pPr>
              <w:pStyle w:val="Tabletext"/>
            </w:pPr>
            <w:r w:rsidRPr="00097A86">
              <w:t>2</w:t>
            </w:r>
          </w:p>
        </w:tc>
        <w:tc>
          <w:tcPr>
            <w:tcW w:w="2381" w:type="pct"/>
            <w:tcBorders>
              <w:bottom w:val="single" w:sz="12" w:space="0" w:color="auto"/>
            </w:tcBorders>
            <w:shd w:val="clear" w:color="auto" w:fill="auto"/>
          </w:tcPr>
          <w:p w14:paraId="2A40C576" w14:textId="77777777" w:rsidR="00B25EE5" w:rsidRPr="00097A86" w:rsidRDefault="00B25EE5" w:rsidP="008911C0">
            <w:pPr>
              <w:pStyle w:val="Tabletext"/>
            </w:pPr>
            <w:r w:rsidRPr="00097A86">
              <w:t xml:space="preserve">Anaerobic digestion at the </w:t>
            </w:r>
            <w:r w:rsidR="001948E5" w:rsidRPr="00097A86">
              <w:t>facility</w:t>
            </w:r>
          </w:p>
        </w:tc>
        <w:tc>
          <w:tcPr>
            <w:tcW w:w="1023" w:type="pct"/>
            <w:tcBorders>
              <w:bottom w:val="single" w:sz="12" w:space="0" w:color="auto"/>
            </w:tcBorders>
            <w:shd w:val="clear" w:color="auto" w:fill="auto"/>
          </w:tcPr>
          <w:p w14:paraId="11E409AD" w14:textId="77777777" w:rsidR="00B25EE5" w:rsidRPr="00097A86" w:rsidRDefault="00B25EE5" w:rsidP="008911C0">
            <w:pPr>
              <w:pStyle w:val="Tabletext"/>
            </w:pPr>
            <w:r w:rsidRPr="00097A86">
              <w:t>0.025</w:t>
            </w:r>
          </w:p>
        </w:tc>
        <w:tc>
          <w:tcPr>
            <w:tcW w:w="1167" w:type="pct"/>
            <w:tcBorders>
              <w:bottom w:val="single" w:sz="12" w:space="0" w:color="auto"/>
            </w:tcBorders>
            <w:shd w:val="clear" w:color="auto" w:fill="auto"/>
          </w:tcPr>
          <w:p w14:paraId="7453E219" w14:textId="77777777" w:rsidR="00B25EE5" w:rsidRPr="00097A86" w:rsidRDefault="00B25EE5" w:rsidP="008911C0">
            <w:pPr>
              <w:pStyle w:val="Tabletext"/>
            </w:pPr>
            <w:r w:rsidRPr="00097A86">
              <w:t>0</w:t>
            </w:r>
          </w:p>
        </w:tc>
      </w:tr>
    </w:tbl>
    <w:p w14:paraId="4E1B18D1" w14:textId="77777777" w:rsidR="0081564C" w:rsidRPr="00097A86" w:rsidRDefault="0081564C" w:rsidP="0081564C">
      <w:pPr>
        <w:pStyle w:val="ActHead5"/>
      </w:pPr>
      <w:bookmarkStart w:id="576" w:name="_Toc13234003"/>
      <w:r w:rsidRPr="00097A86">
        <w:rPr>
          <w:rStyle w:val="CharSectno"/>
        </w:rPr>
        <w:t>5.22AA</w:t>
      </w:r>
      <w:r w:rsidRPr="00097A86">
        <w:t xml:space="preserve">  Method 4—emissions of methane and nitrous oxide from biological treatment of solid waste</w:t>
      </w:r>
      <w:bookmarkEnd w:id="576"/>
    </w:p>
    <w:p w14:paraId="0093F561" w14:textId="77777777" w:rsidR="008911C0" w:rsidRPr="00097A86" w:rsidRDefault="008911C0" w:rsidP="008911C0">
      <w:pPr>
        <w:pStyle w:val="subsection"/>
      </w:pPr>
      <w:r w:rsidRPr="00097A86">
        <w:tab/>
      </w:r>
      <w:r w:rsidRPr="00097A86">
        <w:tab/>
        <w:t>For subparagraph</w:t>
      </w:r>
      <w:r w:rsidR="00097A86">
        <w:t> </w:t>
      </w:r>
      <w:r w:rsidRPr="00097A86">
        <w:t>5.3(1)(c)(ii), method 4 is as set out in Part</w:t>
      </w:r>
      <w:r w:rsidR="00097A86">
        <w:t> </w:t>
      </w:r>
      <w:r w:rsidRPr="00097A86">
        <w:t>1.3.</w:t>
      </w:r>
    </w:p>
    <w:p w14:paraId="4739297C" w14:textId="77777777" w:rsidR="0072411C" w:rsidRPr="00097A86" w:rsidRDefault="0072411C" w:rsidP="00126FFB">
      <w:pPr>
        <w:pStyle w:val="ActHead3"/>
        <w:pageBreakBefore/>
      </w:pPr>
      <w:bookmarkStart w:id="577" w:name="_Toc13234004"/>
      <w:r w:rsidRPr="00097A86">
        <w:rPr>
          <w:rStyle w:val="CharDivNo"/>
        </w:rPr>
        <w:lastRenderedPageBreak/>
        <w:t>Division</w:t>
      </w:r>
      <w:r w:rsidR="00097A86">
        <w:rPr>
          <w:rStyle w:val="CharDivNo"/>
        </w:rPr>
        <w:t> </w:t>
      </w:r>
      <w:r w:rsidRPr="00097A86">
        <w:rPr>
          <w:rStyle w:val="CharDivNo"/>
        </w:rPr>
        <w:t>5.2.7</w:t>
      </w:r>
      <w:r w:rsidRPr="00097A86">
        <w:t>—</w:t>
      </w:r>
      <w:r w:rsidRPr="00097A86">
        <w:rPr>
          <w:rStyle w:val="CharDivText"/>
        </w:rPr>
        <w:t>Legacy emissions and non</w:t>
      </w:r>
      <w:r w:rsidR="00097A86">
        <w:rPr>
          <w:rStyle w:val="CharDivText"/>
        </w:rPr>
        <w:noBreakHyphen/>
      </w:r>
      <w:r w:rsidRPr="00097A86">
        <w:rPr>
          <w:rStyle w:val="CharDivText"/>
        </w:rPr>
        <w:t>legacy emissions</w:t>
      </w:r>
      <w:bookmarkEnd w:id="577"/>
    </w:p>
    <w:p w14:paraId="76F94A12" w14:textId="77777777" w:rsidR="0072411C" w:rsidRPr="00097A86" w:rsidRDefault="0072411C" w:rsidP="0072411C">
      <w:pPr>
        <w:pStyle w:val="ActHead5"/>
      </w:pPr>
      <w:bookmarkStart w:id="578" w:name="_Toc13234005"/>
      <w:r w:rsidRPr="00097A86">
        <w:rPr>
          <w:rStyle w:val="CharSectno"/>
        </w:rPr>
        <w:t>5.22A</w:t>
      </w:r>
      <w:r w:rsidRPr="00097A86">
        <w:t xml:space="preserve">  Legacy emissions estimated using method 1—sub</w:t>
      </w:r>
      <w:r w:rsidR="00097A86">
        <w:noBreakHyphen/>
      </w:r>
      <w:r w:rsidRPr="00097A86">
        <w:t>facility zone options</w:t>
      </w:r>
      <w:bookmarkEnd w:id="578"/>
    </w:p>
    <w:p w14:paraId="549B798B" w14:textId="77777777" w:rsidR="0072411C" w:rsidRPr="00097A86" w:rsidRDefault="0072411C" w:rsidP="0072411C">
      <w:pPr>
        <w:pStyle w:val="subsection"/>
      </w:pPr>
      <w:r w:rsidRPr="00097A86">
        <w:tab/>
        <w:t>(1)</w:t>
      </w:r>
      <w:r w:rsidRPr="00097A86">
        <w:tab/>
        <w:t>If a landfill operator estimates emissions of methane released from legacy waste in a landfill using method 1 in Division</w:t>
      </w:r>
      <w:r w:rsidR="00097A86">
        <w:t> </w:t>
      </w:r>
      <w:r w:rsidRPr="00097A86">
        <w:t>5.2.2, the landfill operator may:</w:t>
      </w:r>
    </w:p>
    <w:p w14:paraId="6B929DA3" w14:textId="77777777" w:rsidR="0072411C" w:rsidRPr="00097A86" w:rsidRDefault="0072411C" w:rsidP="0072411C">
      <w:pPr>
        <w:pStyle w:val="paragraph"/>
      </w:pPr>
      <w:r w:rsidRPr="00097A86">
        <w:tab/>
        <w:t>(a)</w:t>
      </w:r>
      <w:r w:rsidRPr="00097A86">
        <w:tab/>
        <w:t>take the whole landfill to be a sub</w:t>
      </w:r>
      <w:r w:rsidR="00097A86">
        <w:noBreakHyphen/>
      </w:r>
      <w:r w:rsidRPr="00097A86">
        <w:t>facility zone; or</w:t>
      </w:r>
    </w:p>
    <w:p w14:paraId="72B675BD" w14:textId="77777777" w:rsidR="0072411C" w:rsidRPr="00097A86" w:rsidRDefault="0072411C" w:rsidP="0072411C">
      <w:pPr>
        <w:pStyle w:val="paragraph"/>
        <w:rPr>
          <w:bCs/>
        </w:rPr>
      </w:pPr>
      <w:r w:rsidRPr="00097A86">
        <w:tab/>
      </w:r>
      <w:r w:rsidRPr="00097A86">
        <w:rPr>
          <w:bCs/>
        </w:rPr>
        <w:t>(b)</w:t>
      </w:r>
      <w:r w:rsidRPr="00097A86">
        <w:rPr>
          <w:bCs/>
        </w:rPr>
        <w:tab/>
        <w:t>select sub</w:t>
      </w:r>
      <w:r w:rsidR="00097A86">
        <w:rPr>
          <w:bCs/>
        </w:rPr>
        <w:noBreakHyphen/>
      </w:r>
      <w:r w:rsidRPr="00097A86">
        <w:rPr>
          <w:bCs/>
        </w:rPr>
        <w:t xml:space="preserve">facility zones in accordance with </w:t>
      </w:r>
      <w:r w:rsidR="00097A86">
        <w:rPr>
          <w:bCs/>
        </w:rPr>
        <w:t>subsections (</w:t>
      </w:r>
      <w:r w:rsidRPr="00097A86">
        <w:rPr>
          <w:bCs/>
        </w:rPr>
        <w:t>2) and (3).</w:t>
      </w:r>
    </w:p>
    <w:p w14:paraId="5CCFD9DB" w14:textId="77777777" w:rsidR="0072411C" w:rsidRPr="00097A86" w:rsidRDefault="0072411C" w:rsidP="0072411C">
      <w:pPr>
        <w:pStyle w:val="subsection"/>
      </w:pPr>
      <w:r w:rsidRPr="00097A86">
        <w:tab/>
        <w:t>(2)</w:t>
      </w:r>
      <w:r w:rsidRPr="00097A86">
        <w:tab/>
        <w:t>The number of sub</w:t>
      </w:r>
      <w:r w:rsidR="00097A86">
        <w:noBreakHyphen/>
      </w:r>
      <w:r w:rsidRPr="00097A86">
        <w:t>facility zones the landfill operator may select:</w:t>
      </w:r>
    </w:p>
    <w:p w14:paraId="2CE58CB0" w14:textId="77777777" w:rsidR="0072411C" w:rsidRPr="00097A86" w:rsidRDefault="0072411C" w:rsidP="0072411C">
      <w:pPr>
        <w:pStyle w:val="paragraph"/>
      </w:pPr>
      <w:r w:rsidRPr="00097A86">
        <w:tab/>
        <w:t>(a)</w:t>
      </w:r>
      <w:r w:rsidRPr="00097A86">
        <w:tab/>
        <w:t>for sub</w:t>
      </w:r>
      <w:r w:rsidR="00097A86">
        <w:noBreakHyphen/>
      </w:r>
      <w:r w:rsidRPr="00097A86">
        <w:t>facility zones that contain only waste mix of the type mentioned in paragraph</w:t>
      </w:r>
      <w:r w:rsidR="00097A86">
        <w:t> </w:t>
      </w:r>
      <w:r w:rsidRPr="00097A86">
        <w:t>5.11(1)(i)—is unlimited; and</w:t>
      </w:r>
    </w:p>
    <w:p w14:paraId="7D530583" w14:textId="77777777" w:rsidR="0072411C" w:rsidRPr="00097A86" w:rsidRDefault="0072411C" w:rsidP="0072411C">
      <w:pPr>
        <w:pStyle w:val="paragraph"/>
      </w:pPr>
      <w:r w:rsidRPr="00097A86">
        <w:tab/>
        <w:t>(b)</w:t>
      </w:r>
      <w:r w:rsidRPr="00097A86">
        <w:tab/>
        <w:t>for all other sub</w:t>
      </w:r>
      <w:r w:rsidR="00097A86">
        <w:noBreakHyphen/>
      </w:r>
      <w:r w:rsidRPr="00097A86">
        <w:t>facility zones—must not exceed 4.</w:t>
      </w:r>
    </w:p>
    <w:p w14:paraId="75078107" w14:textId="77777777" w:rsidR="0072411C" w:rsidRPr="00097A86" w:rsidRDefault="0072411C" w:rsidP="0072411C">
      <w:pPr>
        <w:pStyle w:val="subsection"/>
      </w:pPr>
      <w:r w:rsidRPr="00097A86">
        <w:tab/>
        <w:t>(3)</w:t>
      </w:r>
      <w:r w:rsidRPr="00097A86">
        <w:tab/>
        <w:t>A sub</w:t>
      </w:r>
      <w:r w:rsidR="00097A86">
        <w:noBreakHyphen/>
      </w:r>
      <w:r w:rsidRPr="00097A86">
        <w:t>facility zone:</w:t>
      </w:r>
    </w:p>
    <w:p w14:paraId="3BEDCEEC" w14:textId="77777777" w:rsidR="0072411C" w:rsidRPr="00097A86" w:rsidRDefault="0072411C" w:rsidP="0072411C">
      <w:pPr>
        <w:pStyle w:val="paragraph"/>
      </w:pPr>
      <w:r w:rsidRPr="00097A86">
        <w:tab/>
        <w:t>(a)</w:t>
      </w:r>
      <w:r w:rsidRPr="00097A86">
        <w:tab/>
        <w:t>must cover an area of at least 1 hectare; and</w:t>
      </w:r>
    </w:p>
    <w:p w14:paraId="2D28046F" w14:textId="77777777" w:rsidR="0072411C" w:rsidRPr="00097A86" w:rsidRDefault="0072411C" w:rsidP="0072411C">
      <w:pPr>
        <w:pStyle w:val="paragraph"/>
      </w:pPr>
      <w:r w:rsidRPr="00097A86">
        <w:tab/>
        <w:t>(b)</w:t>
      </w:r>
      <w:r w:rsidRPr="00097A86">
        <w:tab/>
        <w:t>must be a single area within the landfill; and</w:t>
      </w:r>
    </w:p>
    <w:p w14:paraId="733EE1D9" w14:textId="77777777" w:rsidR="0072411C" w:rsidRPr="00097A86" w:rsidRDefault="0072411C" w:rsidP="0072411C">
      <w:pPr>
        <w:pStyle w:val="paragraph"/>
      </w:pPr>
      <w:r w:rsidRPr="00097A86">
        <w:tab/>
        <w:t>(c)</w:t>
      </w:r>
      <w:r w:rsidRPr="00097A86">
        <w:tab/>
        <w:t>must have a uniform composition of waste mix types so that the estimates of the methane generated by the sub</w:t>
      </w:r>
      <w:r w:rsidR="00097A86">
        <w:noBreakHyphen/>
      </w:r>
      <w:r w:rsidRPr="00097A86">
        <w:t>facility zone are in accordance with section</w:t>
      </w:r>
      <w:r w:rsidR="00097A86">
        <w:t> </w:t>
      </w:r>
      <w:r w:rsidRPr="00097A86">
        <w:t>1.13; and</w:t>
      </w:r>
    </w:p>
    <w:p w14:paraId="4E6B45A1" w14:textId="77777777" w:rsidR="0072411C" w:rsidRPr="00097A86" w:rsidRDefault="0072411C" w:rsidP="0072411C">
      <w:pPr>
        <w:pStyle w:val="paragraph"/>
      </w:pPr>
      <w:r w:rsidRPr="00097A86">
        <w:tab/>
        <w:t>(d)</w:t>
      </w:r>
      <w:r w:rsidRPr="00097A86">
        <w:tab/>
        <w:t>must not be subject to:</w:t>
      </w:r>
    </w:p>
    <w:p w14:paraId="045B1ED0" w14:textId="77777777" w:rsidR="0072411C" w:rsidRPr="00097A86" w:rsidRDefault="0072411C" w:rsidP="0072411C">
      <w:pPr>
        <w:pStyle w:val="paragraphsub"/>
      </w:pPr>
      <w:r w:rsidRPr="00097A86">
        <w:tab/>
        <w:t>(i)</w:t>
      </w:r>
      <w:r w:rsidRPr="00097A86">
        <w:tab/>
        <w:t>landfill gas inflow from another sub</w:t>
      </w:r>
      <w:r w:rsidR="00097A86">
        <w:noBreakHyphen/>
      </w:r>
      <w:r w:rsidRPr="00097A86">
        <w:t>facility zone; or</w:t>
      </w:r>
    </w:p>
    <w:p w14:paraId="36B9C590" w14:textId="77777777" w:rsidR="0072411C" w:rsidRPr="00097A86" w:rsidRDefault="0072411C" w:rsidP="0072411C">
      <w:pPr>
        <w:pStyle w:val="paragraphsub"/>
      </w:pPr>
      <w:r w:rsidRPr="00097A86">
        <w:tab/>
        <w:t>(ii)</w:t>
      </w:r>
      <w:r w:rsidRPr="00097A86">
        <w:tab/>
        <w:t>landfill gas outflow to another sub</w:t>
      </w:r>
      <w:r w:rsidR="00097A86">
        <w:noBreakHyphen/>
      </w:r>
      <w:r w:rsidRPr="00097A86">
        <w:t>facility zone.</w:t>
      </w:r>
    </w:p>
    <w:p w14:paraId="0FDD0167" w14:textId="77777777" w:rsidR="0072411C" w:rsidRPr="00097A86" w:rsidRDefault="0072411C" w:rsidP="0072411C">
      <w:pPr>
        <w:pStyle w:val="notetext"/>
      </w:pPr>
      <w:r w:rsidRPr="00097A86">
        <w:t>Note:</w:t>
      </w:r>
      <w:r w:rsidRPr="00097A86">
        <w:tab/>
        <w:t>Section</w:t>
      </w:r>
      <w:r w:rsidR="00097A86">
        <w:t> </w:t>
      </w:r>
      <w:r w:rsidRPr="00097A86">
        <w:t>5.17AA sets out, for a landfill operator using method 2 in Division</w:t>
      </w:r>
      <w:r w:rsidR="00097A86">
        <w:t> </w:t>
      </w:r>
      <w:r w:rsidRPr="00097A86">
        <w:t>5.2.3 or method 3 in Division</w:t>
      </w:r>
      <w:r w:rsidR="00097A86">
        <w:t> </w:t>
      </w:r>
      <w:r w:rsidRPr="00097A86">
        <w:t>5.2.4, the number of sub</w:t>
      </w:r>
      <w:r w:rsidR="00097A86">
        <w:rPr>
          <w:szCs w:val="22"/>
        </w:rPr>
        <w:noBreakHyphen/>
      </w:r>
      <w:r w:rsidRPr="00097A86">
        <w:t>facility zones that the landfill operator may select and the requirements for sub</w:t>
      </w:r>
      <w:r w:rsidR="00097A86">
        <w:rPr>
          <w:szCs w:val="22"/>
        </w:rPr>
        <w:noBreakHyphen/>
      </w:r>
      <w:r w:rsidRPr="00097A86">
        <w:t>facility zones that the landfill operator must comply with.</w:t>
      </w:r>
    </w:p>
    <w:p w14:paraId="2C8B88F6" w14:textId="77777777" w:rsidR="0072411C" w:rsidRPr="00097A86" w:rsidRDefault="0072411C" w:rsidP="0072411C">
      <w:pPr>
        <w:pStyle w:val="ActHead5"/>
      </w:pPr>
      <w:bookmarkStart w:id="579" w:name="_Toc13234006"/>
      <w:r w:rsidRPr="00097A86">
        <w:rPr>
          <w:rStyle w:val="CharSectno"/>
        </w:rPr>
        <w:t>5.22B</w:t>
      </w:r>
      <w:r w:rsidRPr="00097A86">
        <w:t xml:space="preserve">  Legacy emissions—formula and unit of measurement</w:t>
      </w:r>
      <w:bookmarkEnd w:id="579"/>
    </w:p>
    <w:p w14:paraId="00121638" w14:textId="77777777" w:rsidR="0072411C" w:rsidRPr="00097A86" w:rsidRDefault="0072411C" w:rsidP="0072411C">
      <w:pPr>
        <w:pStyle w:val="subsection"/>
      </w:pPr>
      <w:r w:rsidRPr="00097A86">
        <w:tab/>
        <w:t>(1)</w:t>
      </w:r>
      <w:r w:rsidRPr="00097A86">
        <w:tab/>
        <w:t xml:space="preserve">Emissions (the </w:t>
      </w:r>
      <w:r w:rsidRPr="00097A86">
        <w:rPr>
          <w:b/>
          <w:i/>
        </w:rPr>
        <w:t>legacy emissions</w:t>
      </w:r>
      <w:r w:rsidRPr="00097A86">
        <w:t>) from legacy waste must be estimated in tonnes of CO</w:t>
      </w:r>
      <w:r w:rsidRPr="00097A86">
        <w:rPr>
          <w:vertAlign w:val="subscript"/>
        </w:rPr>
        <w:t>2</w:t>
      </w:r>
      <w:r w:rsidR="00097A86">
        <w:noBreakHyphen/>
      </w:r>
      <w:r w:rsidRPr="00097A86">
        <w:t>e using the following formula:</w:t>
      </w:r>
    </w:p>
    <w:p w14:paraId="50EB1572" w14:textId="77777777" w:rsidR="0072411C" w:rsidRPr="00097A86" w:rsidRDefault="0072411C" w:rsidP="0072411C">
      <w:pPr>
        <w:pStyle w:val="subsection2"/>
      </w:pPr>
      <w:r w:rsidRPr="00097A86">
        <w:rPr>
          <w:position w:val="-4"/>
        </w:rPr>
        <w:object w:dxaOrig="160" w:dyaOrig="240" w14:anchorId="4E529906">
          <v:shape id="_x0000_i1052" type="#_x0000_t75" style="width:9pt;height:12pt" o:ole="">
            <v:imagedata r:id="rId212" o:title=""/>
          </v:shape>
          <o:OLEObject Type="Embed" ProgID="Equation.DSMT4" ShapeID="_x0000_i1052" DrawAspect="Content" ObjectID="_1624711056" r:id="rId213"/>
        </w:object>
      </w:r>
      <w:r w:rsidRPr="00097A86">
        <w:rPr>
          <w:position w:val="-16"/>
        </w:rPr>
        <w:object w:dxaOrig="4680" w:dyaOrig="540" w14:anchorId="51C564D4">
          <v:shape id="_x0000_i1053" type="#_x0000_t75" style="width:234pt;height:27pt" o:ole="">
            <v:imagedata r:id="rId214" o:title=""/>
          </v:shape>
          <o:OLEObject Type="Embed" ProgID="Equation.DSMT4" ShapeID="_x0000_i1053" DrawAspect="Content" ObjectID="_1624711057" r:id="rId215"/>
        </w:object>
      </w:r>
    </w:p>
    <w:p w14:paraId="65A28B9B" w14:textId="77777777" w:rsidR="0072411C" w:rsidRPr="00097A86" w:rsidRDefault="0072411C" w:rsidP="0072411C">
      <w:pPr>
        <w:pStyle w:val="subsection2"/>
      </w:pPr>
      <w:r w:rsidRPr="00097A86">
        <w:t>where:</w:t>
      </w:r>
    </w:p>
    <w:p w14:paraId="27D2B4F1" w14:textId="77777777" w:rsidR="0072411C" w:rsidRPr="00097A86" w:rsidRDefault="0072411C" w:rsidP="0072411C">
      <w:pPr>
        <w:pStyle w:val="Definition"/>
      </w:pPr>
      <w:r w:rsidRPr="00097A86">
        <w:rPr>
          <w:b/>
          <w:i/>
        </w:rPr>
        <w:t>E</w:t>
      </w:r>
      <w:r w:rsidRPr="00097A86">
        <w:rPr>
          <w:b/>
          <w:i/>
          <w:vertAlign w:val="subscript"/>
        </w:rPr>
        <w:t>lw</w:t>
      </w:r>
      <w:r w:rsidRPr="00097A86">
        <w:t xml:space="preserve"> is the quantity of methane released by the landfill from legacy waste, measured in CO</w:t>
      </w:r>
      <w:r w:rsidRPr="00097A86">
        <w:rPr>
          <w:vertAlign w:val="subscript"/>
        </w:rPr>
        <w:t>2</w:t>
      </w:r>
      <w:r w:rsidR="00097A86">
        <w:noBreakHyphen/>
      </w:r>
      <w:r w:rsidRPr="00097A86">
        <w:t>e tonnes.</w:t>
      </w:r>
    </w:p>
    <w:p w14:paraId="59745026" w14:textId="77777777" w:rsidR="0072411C" w:rsidRPr="00097A86" w:rsidRDefault="0072411C" w:rsidP="0072411C">
      <w:pPr>
        <w:pStyle w:val="Definition"/>
      </w:pPr>
      <w:r w:rsidRPr="00097A86">
        <w:rPr>
          <w:b/>
          <w:i/>
        </w:rPr>
        <w:t>CH</w:t>
      </w:r>
      <w:r w:rsidRPr="00097A86">
        <w:rPr>
          <w:b/>
          <w:i/>
          <w:vertAlign w:val="subscript"/>
        </w:rPr>
        <w:t>4genlw</w:t>
      </w:r>
      <w:r w:rsidRPr="00097A86">
        <w:t xml:space="preserve"> is the quantity of methane generated from legacy waste, measured in CO</w:t>
      </w:r>
      <w:r w:rsidRPr="00097A86">
        <w:rPr>
          <w:vertAlign w:val="subscript"/>
        </w:rPr>
        <w:t>2</w:t>
      </w:r>
      <w:r w:rsidR="00097A86">
        <w:noBreakHyphen/>
      </w:r>
      <w:r w:rsidRPr="00097A86">
        <w:t>e tonnes.</w:t>
      </w:r>
    </w:p>
    <w:p w14:paraId="5E33B066" w14:textId="77777777" w:rsidR="0072411C" w:rsidRPr="00097A86" w:rsidRDefault="0072411C" w:rsidP="0072411C">
      <w:pPr>
        <w:pStyle w:val="Definition"/>
      </w:pPr>
      <w:r w:rsidRPr="00097A86">
        <w:rPr>
          <w:b/>
          <w:i/>
        </w:rPr>
        <w:t>γ</w:t>
      </w:r>
      <w:r w:rsidRPr="00097A86">
        <w:t xml:space="preserve"> is the factor 6.784 × 10</w:t>
      </w:r>
      <w:r w:rsidR="00097A86">
        <w:noBreakHyphen/>
      </w:r>
      <w:r w:rsidRPr="00097A86">
        <w:t>4 × 25 converting cubic metres of methane at standard conditions measured to CO</w:t>
      </w:r>
      <w:r w:rsidRPr="00097A86">
        <w:rPr>
          <w:vertAlign w:val="subscript"/>
        </w:rPr>
        <w:t>2</w:t>
      </w:r>
      <w:r w:rsidR="00097A86">
        <w:noBreakHyphen/>
      </w:r>
      <w:r w:rsidRPr="00097A86">
        <w:t>e tonnes.</w:t>
      </w:r>
    </w:p>
    <w:p w14:paraId="000316CB" w14:textId="77777777" w:rsidR="0072411C" w:rsidRPr="00097A86" w:rsidRDefault="0072411C" w:rsidP="0072411C">
      <w:pPr>
        <w:pStyle w:val="Definition"/>
      </w:pPr>
      <w:r w:rsidRPr="00097A86">
        <w:rPr>
          <w:b/>
          <w:i/>
        </w:rPr>
        <w:t>Q</w:t>
      </w:r>
      <w:r w:rsidRPr="00097A86">
        <w:rPr>
          <w:b/>
          <w:i/>
          <w:vertAlign w:val="subscript"/>
        </w:rPr>
        <w:t>caplw</w:t>
      </w:r>
      <w:r w:rsidRPr="00097A86">
        <w:t xml:space="preserve"> is the quantity of methane captured for combustion from landfill legacy waste during a reporting year and estimated in accordance with section</w:t>
      </w:r>
      <w:r w:rsidR="00097A86">
        <w:t> </w:t>
      </w:r>
      <w:r w:rsidRPr="00097A86">
        <w:t>5.22C.</w:t>
      </w:r>
    </w:p>
    <w:p w14:paraId="118E2624" w14:textId="77777777" w:rsidR="0072411C" w:rsidRPr="00097A86" w:rsidRDefault="0072411C" w:rsidP="0072411C">
      <w:pPr>
        <w:pStyle w:val="Definition"/>
      </w:pPr>
      <w:r w:rsidRPr="00097A86">
        <w:rPr>
          <w:b/>
          <w:i/>
        </w:rPr>
        <w:lastRenderedPageBreak/>
        <w:t>Q</w:t>
      </w:r>
      <w:r w:rsidRPr="00097A86">
        <w:rPr>
          <w:b/>
          <w:i/>
          <w:vertAlign w:val="subscript"/>
        </w:rPr>
        <w:t>fllw</w:t>
      </w:r>
      <w:r w:rsidRPr="00097A86">
        <w:t xml:space="preserve"> is the quantity of methane flared from landfill legacy waste during the reporting year and estimated in accordance with section</w:t>
      </w:r>
      <w:r w:rsidR="00097A86">
        <w:t> </w:t>
      </w:r>
      <w:r w:rsidRPr="00097A86">
        <w:t>5.22D.</w:t>
      </w:r>
    </w:p>
    <w:p w14:paraId="1559F5FE" w14:textId="77777777" w:rsidR="0072411C" w:rsidRPr="00097A86" w:rsidRDefault="0072411C" w:rsidP="0072411C">
      <w:pPr>
        <w:pStyle w:val="Definition"/>
      </w:pPr>
      <w:r w:rsidRPr="00097A86">
        <w:rPr>
          <w:b/>
          <w:i/>
        </w:rPr>
        <w:t>Q</w:t>
      </w:r>
      <w:r w:rsidRPr="00097A86">
        <w:rPr>
          <w:b/>
          <w:i/>
          <w:vertAlign w:val="subscript"/>
        </w:rPr>
        <w:t>trlw</w:t>
      </w:r>
      <w:r w:rsidRPr="00097A86">
        <w:t xml:space="preserve"> is the quantity of methane captured for transfer out of the landfill from landfill legacy waste during the reporting year and estimated according to section</w:t>
      </w:r>
      <w:r w:rsidR="00097A86">
        <w:t> </w:t>
      </w:r>
      <w:r w:rsidRPr="00097A86">
        <w:t>5.22E.</w:t>
      </w:r>
    </w:p>
    <w:p w14:paraId="373EDA71" w14:textId="77777777" w:rsidR="0072411C" w:rsidRPr="00097A86" w:rsidRDefault="0072411C" w:rsidP="0072411C">
      <w:pPr>
        <w:pStyle w:val="Definition"/>
      </w:pPr>
      <w:r w:rsidRPr="00097A86">
        <w:rPr>
          <w:b/>
          <w:i/>
        </w:rPr>
        <w:t>OF</w:t>
      </w:r>
      <w:r w:rsidRPr="00097A86">
        <w:t xml:space="preserve"> is the oxidation factor (0.1) for near surface methane in the landfill.</w:t>
      </w:r>
    </w:p>
    <w:p w14:paraId="014EF5FC" w14:textId="77777777" w:rsidR="0072411C" w:rsidRPr="00097A86" w:rsidRDefault="0072411C" w:rsidP="0072411C">
      <w:pPr>
        <w:pStyle w:val="subsection"/>
      </w:pPr>
      <w:r w:rsidRPr="00097A86">
        <w:tab/>
        <w:t>(2)</w:t>
      </w:r>
      <w:r w:rsidRPr="00097A86">
        <w:tab/>
        <w:t xml:space="preserve">Work out the ratio of methane generated by legacy waste deposited in a </w:t>
      </w:r>
      <w:r w:rsidRPr="00097A86">
        <w:rPr>
          <w:szCs w:val="22"/>
        </w:rPr>
        <w:t>sub</w:t>
      </w:r>
      <w:r w:rsidR="00097A86">
        <w:rPr>
          <w:szCs w:val="22"/>
        </w:rPr>
        <w:noBreakHyphen/>
      </w:r>
      <w:r w:rsidRPr="00097A86">
        <w:rPr>
          <w:szCs w:val="22"/>
        </w:rPr>
        <w:t>facility zone to methane generated by all waste deposited in a sub</w:t>
      </w:r>
      <w:r w:rsidR="00097A86">
        <w:rPr>
          <w:szCs w:val="22"/>
        </w:rPr>
        <w:noBreakHyphen/>
      </w:r>
      <w:r w:rsidRPr="00097A86">
        <w:rPr>
          <w:szCs w:val="22"/>
        </w:rPr>
        <w:t xml:space="preserve">facility zone </w:t>
      </w:r>
      <w:r w:rsidRPr="00097A86">
        <w:t xml:space="preserve">using the default ratio mentioned in </w:t>
      </w:r>
      <w:r w:rsidR="00097A86">
        <w:t>subsection (</w:t>
      </w:r>
      <w:r w:rsidRPr="00097A86">
        <w:t xml:space="preserve">3) or the method described in </w:t>
      </w:r>
      <w:r w:rsidR="00097A86">
        <w:t>subsection (</w:t>
      </w:r>
      <w:r w:rsidRPr="00097A86">
        <w:t>4).</w:t>
      </w:r>
    </w:p>
    <w:p w14:paraId="4D3F86EF" w14:textId="77777777" w:rsidR="0072411C" w:rsidRPr="00097A86" w:rsidRDefault="0072411C" w:rsidP="0072411C">
      <w:pPr>
        <w:pStyle w:val="SubsectionHead"/>
      </w:pPr>
      <w:r w:rsidRPr="00097A86">
        <w:t>Default ratios</w:t>
      </w:r>
    </w:p>
    <w:p w14:paraId="1928561F" w14:textId="77777777" w:rsidR="0072411C" w:rsidRPr="00097A86" w:rsidRDefault="0072411C" w:rsidP="0072411C">
      <w:pPr>
        <w:pStyle w:val="subsection"/>
      </w:pPr>
      <w:r w:rsidRPr="00097A86">
        <w:tab/>
        <w:t>(3)</w:t>
      </w:r>
      <w:r w:rsidRPr="00097A86">
        <w:tab/>
        <w:t>The default ratio of methane generated by landfill legacy waste deposited in a sub</w:t>
      </w:r>
      <w:r w:rsidR="00097A86">
        <w:noBreakHyphen/>
      </w:r>
      <w:r w:rsidRPr="00097A86">
        <w:t>facility zone to methane generated by all waste deposited in a sub</w:t>
      </w:r>
      <w:r w:rsidR="00097A86">
        <w:noBreakHyphen/>
      </w:r>
      <w:r w:rsidRPr="00097A86">
        <w:t>facility zone is:</w:t>
      </w:r>
    </w:p>
    <w:p w14:paraId="3B7C934B" w14:textId="77777777" w:rsidR="0072411C" w:rsidRPr="00097A86" w:rsidRDefault="0072411C" w:rsidP="0072411C">
      <w:pPr>
        <w:pStyle w:val="paragraph"/>
      </w:pPr>
      <w:r w:rsidRPr="00097A86">
        <w:tab/>
        <w:t>(a)</w:t>
      </w:r>
      <w:r w:rsidRPr="00097A86">
        <w:tab/>
        <w:t>if all of the waste in the sub</w:t>
      </w:r>
      <w:r w:rsidR="00097A86">
        <w:noBreakHyphen/>
      </w:r>
      <w:r w:rsidRPr="00097A86">
        <w:t>facility zone is legacy waste—1; or</w:t>
      </w:r>
    </w:p>
    <w:p w14:paraId="352B6848" w14:textId="77777777" w:rsidR="0072411C" w:rsidRPr="00097A86" w:rsidRDefault="0072411C" w:rsidP="0072411C">
      <w:pPr>
        <w:pStyle w:val="paragraph"/>
        <w:rPr>
          <w:szCs w:val="22"/>
        </w:rPr>
      </w:pPr>
      <w:r w:rsidRPr="00097A86">
        <w:tab/>
      </w:r>
      <w:r w:rsidRPr="00097A86">
        <w:rPr>
          <w:szCs w:val="22"/>
        </w:rPr>
        <w:t>(b)</w:t>
      </w:r>
      <w:r w:rsidRPr="00097A86">
        <w:rPr>
          <w:szCs w:val="22"/>
        </w:rPr>
        <w:tab/>
        <w:t>if none of the waste in the sub</w:t>
      </w:r>
      <w:r w:rsidR="00097A86">
        <w:rPr>
          <w:szCs w:val="22"/>
        </w:rPr>
        <w:noBreakHyphen/>
      </w:r>
      <w:r w:rsidRPr="00097A86">
        <w:rPr>
          <w:szCs w:val="22"/>
        </w:rPr>
        <w:t>facility zone is legacy waste—0.</w:t>
      </w:r>
    </w:p>
    <w:p w14:paraId="5D4C694C" w14:textId="77777777" w:rsidR="0072411C" w:rsidRPr="00097A86" w:rsidRDefault="0072411C" w:rsidP="0072411C">
      <w:pPr>
        <w:pStyle w:val="SubsectionHead"/>
        <w:rPr>
          <w:szCs w:val="24"/>
        </w:rPr>
      </w:pPr>
      <w:r w:rsidRPr="00097A86">
        <w:t>Method of working out ratio</w:t>
      </w:r>
    </w:p>
    <w:p w14:paraId="57706BF7" w14:textId="77777777" w:rsidR="0072411C" w:rsidRPr="00097A86" w:rsidRDefault="0072411C" w:rsidP="0072411C">
      <w:pPr>
        <w:pStyle w:val="subsection"/>
      </w:pPr>
      <w:r w:rsidRPr="00097A86">
        <w:tab/>
        <w:t>(4)</w:t>
      </w:r>
      <w:r w:rsidRPr="00097A86">
        <w:tab/>
        <w:t>Work out the ratio of methane generated by legacy waste deposited in a sub</w:t>
      </w:r>
      <w:r w:rsidR="00097A86">
        <w:noBreakHyphen/>
      </w:r>
      <w:r w:rsidRPr="00097A86">
        <w:t>facility zone to methane generated by all waste deposited in a sub</w:t>
      </w:r>
      <w:r w:rsidR="00097A86">
        <w:noBreakHyphen/>
      </w:r>
      <w:r w:rsidRPr="00097A86">
        <w:t>facility zone using the following formula:</w:t>
      </w:r>
    </w:p>
    <w:p w14:paraId="0EEAB707" w14:textId="77777777" w:rsidR="0072411C" w:rsidRPr="00097A86" w:rsidRDefault="0072411C" w:rsidP="0072411C">
      <w:pPr>
        <w:pStyle w:val="subsection2"/>
      </w:pPr>
      <w:r w:rsidRPr="00097A86">
        <w:rPr>
          <w:position w:val="-14"/>
        </w:rPr>
        <w:object w:dxaOrig="2220" w:dyaOrig="499" w14:anchorId="1CBA02AB">
          <v:shape id="_x0000_i1054" type="#_x0000_t75" style="width:111.75pt;height:25.5pt" o:ole="">
            <v:imagedata r:id="rId216" o:title=""/>
          </v:shape>
          <o:OLEObject Type="Embed" ProgID="Equation.DSMT4" ShapeID="_x0000_i1054" DrawAspect="Content" ObjectID="_1624711058" r:id="rId217"/>
        </w:object>
      </w:r>
    </w:p>
    <w:p w14:paraId="5D7C4848" w14:textId="77777777" w:rsidR="0072411C" w:rsidRPr="00097A86" w:rsidRDefault="0072411C" w:rsidP="0072411C">
      <w:pPr>
        <w:pStyle w:val="subsection2"/>
        <w:rPr>
          <w:vertAlign w:val="subscript"/>
        </w:rPr>
      </w:pPr>
      <w:r w:rsidRPr="00097A86">
        <w:t>where:</w:t>
      </w:r>
    </w:p>
    <w:p w14:paraId="03EDC99A" w14:textId="77777777" w:rsidR="0072411C" w:rsidRPr="00097A86" w:rsidRDefault="0072411C" w:rsidP="0072411C">
      <w:pPr>
        <w:pStyle w:val="Definition"/>
      </w:pPr>
      <w:r w:rsidRPr="00097A86">
        <w:rPr>
          <w:b/>
          <w:i/>
        </w:rPr>
        <w:t>Lr</w:t>
      </w:r>
      <w:r w:rsidRPr="00097A86">
        <w:rPr>
          <w:b/>
          <w:i/>
          <w:vertAlign w:val="subscript"/>
        </w:rPr>
        <w:t>z</w:t>
      </w:r>
      <w:r w:rsidRPr="00097A86">
        <w:t xml:space="preserve"> is the ratio of methane generated by legacy waste deposited in a sub</w:t>
      </w:r>
      <w:r w:rsidR="00097A86">
        <w:noBreakHyphen/>
      </w:r>
      <w:r w:rsidRPr="00097A86">
        <w:t>facility zone to methane generated by all waste deposited in a sub</w:t>
      </w:r>
      <w:r w:rsidR="00097A86">
        <w:noBreakHyphen/>
      </w:r>
      <w:r w:rsidRPr="00097A86">
        <w:t>facility zone.</w:t>
      </w:r>
    </w:p>
    <w:p w14:paraId="545BCB72" w14:textId="77777777" w:rsidR="0072411C" w:rsidRPr="00097A86" w:rsidRDefault="0072411C" w:rsidP="0072411C">
      <w:pPr>
        <w:pStyle w:val="Definition"/>
      </w:pPr>
      <w:r w:rsidRPr="00097A86">
        <w:rPr>
          <w:b/>
          <w:i/>
        </w:rPr>
        <w:t>CH</w:t>
      </w:r>
      <w:r w:rsidRPr="00097A86">
        <w:rPr>
          <w:b/>
          <w:i/>
          <w:vertAlign w:val="subscript"/>
        </w:rPr>
        <w:t>4genlwz</w:t>
      </w:r>
      <w:r w:rsidRPr="00097A86">
        <w:t xml:space="preserve"> is the quantity of methane generated from legacy waste in a sub</w:t>
      </w:r>
      <w:r w:rsidR="00097A86">
        <w:noBreakHyphen/>
      </w:r>
      <w:r w:rsidRPr="00097A86">
        <w:t>facility zone, measured in CO</w:t>
      </w:r>
      <w:r w:rsidRPr="00097A86">
        <w:rPr>
          <w:vertAlign w:val="subscript"/>
        </w:rPr>
        <w:t>2</w:t>
      </w:r>
      <w:r w:rsidR="00097A86">
        <w:noBreakHyphen/>
      </w:r>
      <w:r w:rsidRPr="00097A86">
        <w:t>e tonnes.</w:t>
      </w:r>
    </w:p>
    <w:p w14:paraId="6098BE96" w14:textId="77777777" w:rsidR="0072411C" w:rsidRPr="00097A86" w:rsidRDefault="0072411C" w:rsidP="0072411C">
      <w:pPr>
        <w:pStyle w:val="Definition"/>
      </w:pPr>
      <w:r w:rsidRPr="00097A86">
        <w:rPr>
          <w:b/>
          <w:i/>
        </w:rPr>
        <w:t>CH4</w:t>
      </w:r>
      <w:r w:rsidRPr="00097A86">
        <w:rPr>
          <w:b/>
          <w:i/>
          <w:vertAlign w:val="subscript"/>
        </w:rPr>
        <w:t>genz</w:t>
      </w:r>
      <w:r w:rsidRPr="00097A86">
        <w:t xml:space="preserve"> is the methane generated from total waste deposited in a sub</w:t>
      </w:r>
      <w:r w:rsidR="00097A86">
        <w:noBreakHyphen/>
      </w:r>
      <w:r w:rsidRPr="00097A86">
        <w:t>facility zone, measured in CO</w:t>
      </w:r>
      <w:r w:rsidRPr="00097A86">
        <w:rPr>
          <w:vertAlign w:val="subscript"/>
        </w:rPr>
        <w:t>2</w:t>
      </w:r>
      <w:r w:rsidR="00097A86">
        <w:noBreakHyphen/>
      </w:r>
      <w:r w:rsidRPr="00097A86">
        <w:t>e tonnes.</w:t>
      </w:r>
    </w:p>
    <w:p w14:paraId="5ED46917" w14:textId="77777777" w:rsidR="0072411C" w:rsidRPr="00097A86" w:rsidRDefault="0072411C" w:rsidP="0072411C">
      <w:pPr>
        <w:pStyle w:val="ActHead5"/>
      </w:pPr>
      <w:bookmarkStart w:id="580" w:name="_Toc13234007"/>
      <w:r w:rsidRPr="00097A86">
        <w:rPr>
          <w:rStyle w:val="CharSectno"/>
        </w:rPr>
        <w:t>5.22C</w:t>
      </w:r>
      <w:r w:rsidRPr="00097A86">
        <w:t xml:space="preserve">  How to estimate quantity of methane captured for combustion from legacy waste for each sub</w:t>
      </w:r>
      <w:r w:rsidR="00097A86">
        <w:noBreakHyphen/>
      </w:r>
      <w:r w:rsidRPr="00097A86">
        <w:t>facility zone</w:t>
      </w:r>
      <w:bookmarkEnd w:id="580"/>
    </w:p>
    <w:p w14:paraId="15D08714" w14:textId="77777777" w:rsidR="0072411C" w:rsidRPr="00097A86" w:rsidRDefault="0072411C" w:rsidP="0072411C">
      <w:pPr>
        <w:pStyle w:val="subsection"/>
      </w:pPr>
      <w:r w:rsidRPr="00097A86">
        <w:tab/>
      </w:r>
      <w:r w:rsidRPr="00097A86">
        <w:tab/>
        <w:t>The quantity of methane captured for combustion from legacy waste during the reporting year for each sub</w:t>
      </w:r>
      <w:r w:rsidR="00097A86">
        <w:noBreakHyphen/>
      </w:r>
      <w:r w:rsidRPr="00097A86">
        <w:t>facility zone must be estimated using the following formula:</w:t>
      </w:r>
    </w:p>
    <w:p w14:paraId="7BDAB712" w14:textId="77777777" w:rsidR="0072411C" w:rsidRPr="00097A86" w:rsidRDefault="0072411C" w:rsidP="0072411C">
      <w:pPr>
        <w:pStyle w:val="subsection2"/>
      </w:pPr>
      <w:r w:rsidRPr="00097A86">
        <w:rPr>
          <w:position w:val="-12"/>
        </w:rPr>
        <w:object w:dxaOrig="1880" w:dyaOrig="440" w14:anchorId="270511F2">
          <v:shape id="_x0000_i1055" type="#_x0000_t75" style="width:93.75pt;height:21.75pt" o:ole="">
            <v:imagedata r:id="rId218" o:title=""/>
          </v:shape>
          <o:OLEObject Type="Embed" ProgID="Equation.DSMT4" ShapeID="_x0000_i1055" DrawAspect="Content" ObjectID="_1624711059" r:id="rId219"/>
        </w:object>
      </w:r>
    </w:p>
    <w:p w14:paraId="10AE1F35" w14:textId="77777777" w:rsidR="0072411C" w:rsidRPr="00097A86" w:rsidRDefault="0072411C" w:rsidP="0072411C">
      <w:pPr>
        <w:pStyle w:val="subsection2"/>
      </w:pPr>
      <w:r w:rsidRPr="00097A86">
        <w:t>where:</w:t>
      </w:r>
    </w:p>
    <w:p w14:paraId="02EFFCDD" w14:textId="77777777" w:rsidR="0072411C" w:rsidRPr="00097A86" w:rsidRDefault="0072411C" w:rsidP="0072411C">
      <w:pPr>
        <w:pStyle w:val="Definition"/>
      </w:pPr>
      <w:r w:rsidRPr="00097A86">
        <w:rPr>
          <w:b/>
          <w:i/>
        </w:rPr>
        <w:lastRenderedPageBreak/>
        <w:t>Q</w:t>
      </w:r>
      <w:r w:rsidRPr="00097A86">
        <w:rPr>
          <w:b/>
          <w:i/>
          <w:vertAlign w:val="subscript"/>
        </w:rPr>
        <w:t>caplw z</w:t>
      </w:r>
      <w:r w:rsidRPr="00097A86">
        <w:t xml:space="preserve"> is the quantity of methane captured for combustion from landfill legacy waste in each sub</w:t>
      </w:r>
      <w:r w:rsidR="00097A86">
        <w:noBreakHyphen/>
      </w:r>
      <w:r w:rsidRPr="00097A86">
        <w:t>facility zone during a reporting year.</w:t>
      </w:r>
    </w:p>
    <w:p w14:paraId="4BC45E23" w14:textId="77777777" w:rsidR="0072411C" w:rsidRPr="00097A86" w:rsidRDefault="0072411C" w:rsidP="0072411C">
      <w:pPr>
        <w:pStyle w:val="Definition"/>
      </w:pPr>
      <w:r w:rsidRPr="00097A86">
        <w:rPr>
          <w:b/>
          <w:i/>
        </w:rPr>
        <w:t>Q</w:t>
      </w:r>
      <w:r w:rsidRPr="00097A86">
        <w:rPr>
          <w:b/>
          <w:i/>
          <w:vertAlign w:val="subscript"/>
        </w:rPr>
        <w:t>cap z</w:t>
      </w:r>
      <w:r w:rsidRPr="00097A86">
        <w:t xml:space="preserve"> is the total quantity of methane in landfill gas captured for combustion from the sub</w:t>
      </w:r>
      <w:r w:rsidR="00097A86">
        <w:noBreakHyphen/>
      </w:r>
      <w:r w:rsidRPr="00097A86">
        <w:t>facility zone during the reporting year, measured in cubic metres in accordance with Division</w:t>
      </w:r>
      <w:r w:rsidR="00097A86">
        <w:t> </w:t>
      </w:r>
      <w:r w:rsidRPr="00097A86">
        <w:t>2.3.6.</w:t>
      </w:r>
    </w:p>
    <w:p w14:paraId="475C32DE" w14:textId="77777777" w:rsidR="0072411C" w:rsidRPr="00097A86" w:rsidRDefault="0072411C" w:rsidP="0072411C">
      <w:pPr>
        <w:pStyle w:val="Definition"/>
      </w:pPr>
      <w:r w:rsidRPr="00097A86">
        <w:rPr>
          <w:b/>
          <w:i/>
        </w:rPr>
        <w:t>Lr</w:t>
      </w:r>
      <w:r w:rsidRPr="00097A86">
        <w:rPr>
          <w:b/>
          <w:i/>
          <w:vertAlign w:val="subscript"/>
        </w:rPr>
        <w:t>z</w:t>
      </w:r>
      <w:r w:rsidRPr="00097A86">
        <w:t xml:space="preserve"> is the ratio of methane generated by legacy waste deposited in a sub</w:t>
      </w:r>
      <w:r w:rsidR="00097A86">
        <w:noBreakHyphen/>
      </w:r>
      <w:r w:rsidRPr="00097A86">
        <w:t>facility zone to methane generated by all waste deposited in a sub</w:t>
      </w:r>
      <w:r w:rsidR="00097A86">
        <w:noBreakHyphen/>
      </w:r>
      <w:r w:rsidRPr="00097A86">
        <w:t>facility zone.</w:t>
      </w:r>
    </w:p>
    <w:p w14:paraId="37184A70" w14:textId="77777777" w:rsidR="0072411C" w:rsidRPr="00097A86" w:rsidRDefault="0072411C" w:rsidP="0072411C">
      <w:pPr>
        <w:pStyle w:val="ActHead5"/>
      </w:pPr>
      <w:bookmarkStart w:id="581" w:name="_Toc13234008"/>
      <w:r w:rsidRPr="00097A86">
        <w:rPr>
          <w:rStyle w:val="CharSectno"/>
        </w:rPr>
        <w:t>5.22D</w:t>
      </w:r>
      <w:r w:rsidRPr="00097A86">
        <w:t xml:space="preserve">  How to estimate quantity of methane in landfill gas flared from legacy waste in a sub</w:t>
      </w:r>
      <w:r w:rsidR="00097A86">
        <w:rPr>
          <w:szCs w:val="22"/>
        </w:rPr>
        <w:noBreakHyphen/>
      </w:r>
      <w:r w:rsidRPr="00097A86">
        <w:t>facility zone</w:t>
      </w:r>
      <w:bookmarkEnd w:id="581"/>
    </w:p>
    <w:p w14:paraId="39EC71B8" w14:textId="77777777" w:rsidR="0072411C" w:rsidRPr="00097A86" w:rsidRDefault="0072411C" w:rsidP="0072411C">
      <w:pPr>
        <w:pStyle w:val="subsection"/>
      </w:pPr>
      <w:r w:rsidRPr="00097A86">
        <w:tab/>
      </w:r>
      <w:r w:rsidRPr="00097A86">
        <w:tab/>
        <w:t>The quantity of methane in landfill gas flared from landfill legacy waste during the reporting year for each sub</w:t>
      </w:r>
      <w:r w:rsidR="00097A86">
        <w:noBreakHyphen/>
      </w:r>
      <w:r w:rsidRPr="00097A86">
        <w:t>facility zone must be estimated using the following formula:</w:t>
      </w:r>
    </w:p>
    <w:p w14:paraId="3ED3812D" w14:textId="77777777" w:rsidR="0072411C" w:rsidRPr="00097A86" w:rsidRDefault="0072411C" w:rsidP="0072411C">
      <w:pPr>
        <w:pStyle w:val="subsection2"/>
      </w:pPr>
      <w:r w:rsidRPr="00097A86">
        <w:rPr>
          <w:position w:val="-10"/>
        </w:rPr>
        <w:object w:dxaOrig="1700" w:dyaOrig="420" w14:anchorId="088E30C2">
          <v:shape id="_x0000_i1056" type="#_x0000_t75" style="width:85.5pt;height:21pt" o:ole="">
            <v:imagedata r:id="rId220" o:title=""/>
          </v:shape>
          <o:OLEObject Type="Embed" ProgID="Equation.DSMT4" ShapeID="_x0000_i1056" DrawAspect="Content" ObjectID="_1624711060" r:id="rId221"/>
        </w:object>
      </w:r>
    </w:p>
    <w:p w14:paraId="530F7350" w14:textId="77777777" w:rsidR="0072411C" w:rsidRPr="00097A86" w:rsidRDefault="0072411C" w:rsidP="0072411C">
      <w:pPr>
        <w:pStyle w:val="subsection2"/>
      </w:pPr>
      <w:r w:rsidRPr="00097A86">
        <w:t>where:</w:t>
      </w:r>
    </w:p>
    <w:p w14:paraId="12C7A758" w14:textId="77777777" w:rsidR="0072411C" w:rsidRPr="00097A86" w:rsidRDefault="0072411C" w:rsidP="0072411C">
      <w:pPr>
        <w:pStyle w:val="Definition"/>
      </w:pPr>
      <w:r w:rsidRPr="00097A86">
        <w:rPr>
          <w:b/>
          <w:i/>
        </w:rPr>
        <w:t>Q</w:t>
      </w:r>
      <w:r w:rsidRPr="00097A86">
        <w:rPr>
          <w:b/>
          <w:i/>
          <w:vertAlign w:val="subscript"/>
        </w:rPr>
        <w:t>fllw z</w:t>
      </w:r>
      <w:r w:rsidRPr="00097A86">
        <w:t xml:space="preserve"> is the estimated quantity of methane in landfill gas flared from landfill legacy waste during the reporting year for each sub</w:t>
      </w:r>
      <w:r w:rsidR="00097A86">
        <w:noBreakHyphen/>
      </w:r>
      <w:r w:rsidRPr="00097A86">
        <w:t>facility zone.</w:t>
      </w:r>
    </w:p>
    <w:p w14:paraId="106BA84C" w14:textId="77777777" w:rsidR="0072411C" w:rsidRPr="00097A86" w:rsidRDefault="0072411C" w:rsidP="0072411C">
      <w:pPr>
        <w:pStyle w:val="Definition"/>
      </w:pPr>
      <w:r w:rsidRPr="00097A86">
        <w:rPr>
          <w:b/>
          <w:i/>
        </w:rPr>
        <w:t>Q</w:t>
      </w:r>
      <w:r w:rsidRPr="00097A86">
        <w:rPr>
          <w:b/>
          <w:i/>
          <w:vertAlign w:val="subscript"/>
        </w:rPr>
        <w:t>fl z</w:t>
      </w:r>
      <w:r w:rsidRPr="00097A86">
        <w:t xml:space="preserve"> is the total quantity of methane in landfill gas flared from the sub</w:t>
      </w:r>
      <w:r w:rsidR="00097A86">
        <w:noBreakHyphen/>
      </w:r>
      <w:r w:rsidRPr="00097A86">
        <w:t>facility zone during the reporting year, measured in cubic metres in accordance with Division</w:t>
      </w:r>
      <w:r w:rsidR="00097A86">
        <w:t> </w:t>
      </w:r>
      <w:r w:rsidRPr="00097A86">
        <w:t>2.3.6.</w:t>
      </w:r>
    </w:p>
    <w:p w14:paraId="0D243079" w14:textId="77777777" w:rsidR="0072411C" w:rsidRPr="00097A86" w:rsidRDefault="0072411C" w:rsidP="0072411C">
      <w:pPr>
        <w:pStyle w:val="Definition"/>
      </w:pPr>
      <w:r w:rsidRPr="00097A86">
        <w:rPr>
          <w:b/>
          <w:i/>
        </w:rPr>
        <w:t>Lr</w:t>
      </w:r>
      <w:r w:rsidRPr="00097A86">
        <w:rPr>
          <w:b/>
          <w:i/>
          <w:vertAlign w:val="subscript"/>
        </w:rPr>
        <w:t>z</w:t>
      </w:r>
      <w:r w:rsidRPr="00097A86">
        <w:t xml:space="preserve"> is the ratio of methane generated by legacy waste deposited in a sub</w:t>
      </w:r>
      <w:r w:rsidR="00097A86">
        <w:noBreakHyphen/>
      </w:r>
      <w:r w:rsidRPr="00097A86">
        <w:t>facility zone to methane generated by all waste deposited in a sub</w:t>
      </w:r>
      <w:r w:rsidR="00097A86">
        <w:noBreakHyphen/>
      </w:r>
      <w:r w:rsidRPr="00097A86">
        <w:t>facility zone.</w:t>
      </w:r>
    </w:p>
    <w:p w14:paraId="406442A9" w14:textId="77777777" w:rsidR="0072411C" w:rsidRPr="00097A86" w:rsidRDefault="0072411C" w:rsidP="0072411C">
      <w:pPr>
        <w:pStyle w:val="ActHead5"/>
      </w:pPr>
      <w:bookmarkStart w:id="582" w:name="_Toc13234009"/>
      <w:r w:rsidRPr="00097A86">
        <w:rPr>
          <w:rStyle w:val="CharSectno"/>
        </w:rPr>
        <w:t>5.22E</w:t>
      </w:r>
      <w:r w:rsidRPr="00097A86">
        <w:t xml:space="preserve">  How to estimate quantity of methane captured for transfer out of landfill from legacy waste for each </w:t>
      </w:r>
      <w:r w:rsidRPr="00097A86">
        <w:rPr>
          <w:szCs w:val="22"/>
        </w:rPr>
        <w:t>sub</w:t>
      </w:r>
      <w:r w:rsidR="00097A86">
        <w:rPr>
          <w:szCs w:val="22"/>
        </w:rPr>
        <w:noBreakHyphen/>
      </w:r>
      <w:r w:rsidRPr="00097A86">
        <w:rPr>
          <w:szCs w:val="22"/>
        </w:rPr>
        <w:t>facility zone</w:t>
      </w:r>
      <w:bookmarkEnd w:id="582"/>
    </w:p>
    <w:p w14:paraId="615E29C8" w14:textId="77777777" w:rsidR="0072411C" w:rsidRPr="00097A86" w:rsidRDefault="0072411C" w:rsidP="0072411C">
      <w:pPr>
        <w:pStyle w:val="subsection"/>
      </w:pPr>
      <w:r w:rsidRPr="00097A86">
        <w:tab/>
      </w:r>
      <w:r w:rsidRPr="00097A86">
        <w:tab/>
        <w:t>The quantity of methane captured for transfer out of the landfill from legacy waste for each sub</w:t>
      </w:r>
      <w:r w:rsidR="00097A86">
        <w:noBreakHyphen/>
      </w:r>
      <w:r w:rsidRPr="00097A86">
        <w:t>facility zone must be estimated using the following formula:</w:t>
      </w:r>
    </w:p>
    <w:p w14:paraId="7475B612" w14:textId="77777777" w:rsidR="0072411C" w:rsidRPr="00097A86" w:rsidRDefault="0072411C" w:rsidP="0072411C">
      <w:pPr>
        <w:pStyle w:val="subsection2"/>
      </w:pPr>
      <w:r w:rsidRPr="00097A86">
        <w:rPr>
          <w:position w:val="-10"/>
        </w:rPr>
        <w:object w:dxaOrig="1719" w:dyaOrig="420" w14:anchorId="51F12CA9">
          <v:shape id="_x0000_i1057" type="#_x0000_t75" style="width:86.25pt;height:21pt" o:ole="">
            <v:imagedata r:id="rId222" o:title=""/>
          </v:shape>
          <o:OLEObject Type="Embed" ProgID="Equation.DSMT4" ShapeID="_x0000_i1057" DrawAspect="Content" ObjectID="_1624711061" r:id="rId223"/>
        </w:object>
      </w:r>
    </w:p>
    <w:p w14:paraId="62D6B744" w14:textId="77777777" w:rsidR="0072411C" w:rsidRPr="00097A86" w:rsidRDefault="0072411C" w:rsidP="0072411C">
      <w:pPr>
        <w:pStyle w:val="subsection2"/>
      </w:pPr>
      <w:r w:rsidRPr="00097A86">
        <w:t>where:</w:t>
      </w:r>
    </w:p>
    <w:p w14:paraId="624186BD" w14:textId="77777777" w:rsidR="0072411C" w:rsidRPr="00097A86" w:rsidRDefault="0072411C" w:rsidP="0072411C">
      <w:pPr>
        <w:pStyle w:val="Definition"/>
      </w:pPr>
      <w:r w:rsidRPr="00097A86">
        <w:rPr>
          <w:b/>
          <w:i/>
        </w:rPr>
        <w:t>Q</w:t>
      </w:r>
      <w:r w:rsidRPr="00097A86">
        <w:rPr>
          <w:b/>
          <w:i/>
          <w:vertAlign w:val="subscript"/>
        </w:rPr>
        <w:t>trlw z</w:t>
      </w:r>
      <w:r w:rsidRPr="00097A86">
        <w:t xml:space="preserve"> is the estimated quantity of methane captured for transfer out of the landfill from legacy waste for each sub</w:t>
      </w:r>
      <w:r w:rsidR="00097A86">
        <w:noBreakHyphen/>
      </w:r>
      <w:r w:rsidRPr="00097A86">
        <w:t>facility zone.</w:t>
      </w:r>
    </w:p>
    <w:p w14:paraId="06DAF51A" w14:textId="77777777" w:rsidR="0072411C" w:rsidRPr="00097A86" w:rsidRDefault="0072411C" w:rsidP="0072411C">
      <w:pPr>
        <w:pStyle w:val="Definition"/>
      </w:pPr>
      <w:r w:rsidRPr="00097A86">
        <w:rPr>
          <w:b/>
          <w:i/>
        </w:rPr>
        <w:t>Q</w:t>
      </w:r>
      <w:r w:rsidRPr="00097A86">
        <w:rPr>
          <w:b/>
          <w:i/>
          <w:vertAlign w:val="subscript"/>
        </w:rPr>
        <w:t>tr z</w:t>
      </w:r>
      <w:r w:rsidRPr="00097A86">
        <w:t xml:space="preserve"> is the total quantity of methane in landfill gas transferred out of the sub</w:t>
      </w:r>
      <w:r w:rsidR="00097A86">
        <w:noBreakHyphen/>
      </w:r>
      <w:r w:rsidRPr="00097A86">
        <w:t>facility zone during the reporting year, measured in cubic metres in accordance with Division</w:t>
      </w:r>
      <w:r w:rsidR="00097A86">
        <w:t> </w:t>
      </w:r>
      <w:r w:rsidRPr="00097A86">
        <w:t>2.3.6.</w:t>
      </w:r>
    </w:p>
    <w:p w14:paraId="18F9A444" w14:textId="77777777" w:rsidR="0072411C" w:rsidRPr="00097A86" w:rsidRDefault="0072411C" w:rsidP="0072411C">
      <w:pPr>
        <w:pStyle w:val="Definition"/>
      </w:pPr>
      <w:r w:rsidRPr="00097A86">
        <w:rPr>
          <w:b/>
          <w:i/>
        </w:rPr>
        <w:t>Lr</w:t>
      </w:r>
      <w:r w:rsidRPr="00097A86">
        <w:rPr>
          <w:b/>
          <w:i/>
          <w:vertAlign w:val="subscript"/>
        </w:rPr>
        <w:t>z</w:t>
      </w:r>
      <w:r w:rsidRPr="00097A86">
        <w:t xml:space="preserve"> is the ratio of methane generated by legacy waste deposited in a sub</w:t>
      </w:r>
      <w:r w:rsidR="00097A86">
        <w:noBreakHyphen/>
      </w:r>
      <w:r w:rsidRPr="00097A86">
        <w:t>facility zone to methane generated by all waste deposited in a sub</w:t>
      </w:r>
      <w:r w:rsidR="00097A86">
        <w:noBreakHyphen/>
      </w:r>
      <w:r w:rsidRPr="00097A86">
        <w:t>facility zone.</w:t>
      </w:r>
    </w:p>
    <w:p w14:paraId="3C1F728F" w14:textId="77777777" w:rsidR="0072411C" w:rsidRPr="00097A86" w:rsidRDefault="0072411C" w:rsidP="0072411C">
      <w:pPr>
        <w:pStyle w:val="ActHead5"/>
      </w:pPr>
      <w:bookmarkStart w:id="583" w:name="_Toc13234010"/>
      <w:r w:rsidRPr="00097A86">
        <w:rPr>
          <w:rStyle w:val="CharSectno"/>
        </w:rPr>
        <w:lastRenderedPageBreak/>
        <w:t>5.22F</w:t>
      </w:r>
      <w:r w:rsidRPr="00097A86">
        <w:t xml:space="preserve">  How to calculate the quantity of methane generated from legacy waste for a sub</w:t>
      </w:r>
      <w:r w:rsidR="00097A86">
        <w:noBreakHyphen/>
      </w:r>
      <w:r w:rsidRPr="00097A86">
        <w:t xml:space="preserve">facility zone </w:t>
      </w:r>
      <w:r w:rsidRPr="00097A86">
        <w:rPr>
          <w:rFonts w:cs="Arial"/>
        </w:rPr>
        <w:t>(CH</w:t>
      </w:r>
      <w:r w:rsidRPr="00097A86">
        <w:rPr>
          <w:rFonts w:cs="Arial"/>
          <w:vertAlign w:val="subscript"/>
        </w:rPr>
        <w:t>4gen</w:t>
      </w:r>
      <w:r w:rsidRPr="00097A86">
        <w:rPr>
          <w:rFonts w:cs="Arial"/>
          <w:szCs w:val="22"/>
          <w:vertAlign w:val="subscript"/>
        </w:rPr>
        <w:t>lw</w:t>
      </w:r>
      <w:r w:rsidRPr="00097A86">
        <w:rPr>
          <w:rFonts w:cs="Arial"/>
          <w:szCs w:val="22"/>
        </w:rPr>
        <w:t xml:space="preserve"> </w:t>
      </w:r>
      <w:r w:rsidRPr="00097A86">
        <w:rPr>
          <w:rFonts w:cs="Arial"/>
          <w:szCs w:val="22"/>
          <w:vertAlign w:val="subscript"/>
        </w:rPr>
        <w:t>z</w:t>
      </w:r>
      <w:r w:rsidRPr="00097A86">
        <w:rPr>
          <w:rFonts w:cs="Arial"/>
        </w:rPr>
        <w:t>)</w:t>
      </w:r>
      <w:bookmarkEnd w:id="583"/>
    </w:p>
    <w:p w14:paraId="1D7AB816" w14:textId="77777777" w:rsidR="0072411C" w:rsidRPr="00097A86" w:rsidRDefault="0072411C" w:rsidP="0072411C">
      <w:pPr>
        <w:pStyle w:val="subsection"/>
      </w:pPr>
      <w:r w:rsidRPr="00097A86">
        <w:tab/>
      </w:r>
      <w:r w:rsidRPr="00097A86">
        <w:tab/>
        <w:t xml:space="preserve">Calculate </w:t>
      </w:r>
      <w:r w:rsidRPr="00097A86">
        <w:rPr>
          <w:rFonts w:ascii="TimesNewRomanPS-ItalicMT" w:hAnsi="TimesNewRomanPS-ItalicMT" w:cs="TimesNewRomanPS-ItalicMT"/>
        </w:rPr>
        <w:t>CH</w:t>
      </w:r>
      <w:r w:rsidRPr="00097A86">
        <w:rPr>
          <w:rFonts w:ascii="TimesNewRomanPS-ItalicMT" w:hAnsi="TimesNewRomanPS-ItalicMT" w:cs="TimesNewRomanPS-ItalicMT"/>
          <w:vertAlign w:val="subscript"/>
        </w:rPr>
        <w:t>4gen</w:t>
      </w:r>
      <w:r w:rsidRPr="00097A86">
        <w:rPr>
          <w:vertAlign w:val="subscript"/>
        </w:rPr>
        <w:t>lw</w:t>
      </w:r>
      <w:r w:rsidRPr="00097A86">
        <w:t xml:space="preserve"> </w:t>
      </w:r>
      <w:r w:rsidRPr="00097A86">
        <w:rPr>
          <w:vertAlign w:val="subscript"/>
        </w:rPr>
        <w:t>z</w:t>
      </w:r>
      <w:r w:rsidRPr="00097A86">
        <w:t>:</w:t>
      </w:r>
    </w:p>
    <w:p w14:paraId="07F4D932" w14:textId="77777777" w:rsidR="0072411C" w:rsidRPr="00097A86" w:rsidRDefault="0072411C" w:rsidP="0072411C">
      <w:pPr>
        <w:pStyle w:val="paragraph"/>
      </w:pPr>
      <w:r w:rsidRPr="00097A86">
        <w:tab/>
        <w:t>(a)</w:t>
      </w:r>
      <w:r w:rsidRPr="00097A86">
        <w:tab/>
        <w:t>using the estimates, equations and methods set out in sections</w:t>
      </w:r>
      <w:r w:rsidR="00097A86">
        <w:t> </w:t>
      </w:r>
      <w:r w:rsidRPr="00097A86">
        <w:t>5.4 to 5.22K; and</w:t>
      </w:r>
    </w:p>
    <w:p w14:paraId="573D054A" w14:textId="77777777" w:rsidR="0072411C" w:rsidRPr="00097A86" w:rsidRDefault="0072411C" w:rsidP="0072411C">
      <w:pPr>
        <w:pStyle w:val="paragraph"/>
      </w:pPr>
      <w:r w:rsidRPr="00097A86">
        <w:tab/>
        <w:t>(b)</w:t>
      </w:r>
      <w:r w:rsidRPr="00097A86">
        <w:tab/>
        <w:t>when using those estimates, equations and methods—by replacing:</w:t>
      </w:r>
    </w:p>
    <w:p w14:paraId="5B00D594" w14:textId="77777777" w:rsidR="0072411C" w:rsidRPr="00097A86" w:rsidRDefault="0072411C" w:rsidP="0072411C">
      <w:pPr>
        <w:pStyle w:val="paragraphsub"/>
      </w:pPr>
      <w:r w:rsidRPr="00097A86">
        <w:tab/>
        <w:t>(i)</w:t>
      </w:r>
      <w:r w:rsidRPr="00097A86">
        <w:tab/>
        <w:t>waste deposited in a landfill with legacy waste deposited in a sub</w:t>
      </w:r>
      <w:r w:rsidR="00097A86">
        <w:noBreakHyphen/>
      </w:r>
      <w:r w:rsidRPr="00097A86">
        <w:t>facility zone; and</w:t>
      </w:r>
    </w:p>
    <w:p w14:paraId="4A0E659B" w14:textId="77777777" w:rsidR="0072411C" w:rsidRPr="00097A86" w:rsidRDefault="0072411C" w:rsidP="0072411C">
      <w:pPr>
        <w:pStyle w:val="paragraphsub"/>
      </w:pPr>
      <w:r w:rsidRPr="00097A86">
        <w:tab/>
        <w:t>(ii)</w:t>
      </w:r>
      <w:r w:rsidRPr="00097A86">
        <w:tab/>
        <w:t>the quantity of methane in landfill gas captured for combustion from the landfill with the quantity of methane in landfill gas captured for combustion from legacy waste in the sub</w:t>
      </w:r>
      <w:r w:rsidR="00097A86">
        <w:noBreakHyphen/>
      </w:r>
      <w:r w:rsidRPr="00097A86">
        <w:t>facility zone; and</w:t>
      </w:r>
    </w:p>
    <w:p w14:paraId="255CD928" w14:textId="77777777" w:rsidR="0072411C" w:rsidRPr="00097A86" w:rsidRDefault="0072411C" w:rsidP="0072411C">
      <w:pPr>
        <w:pStyle w:val="paragraphsub"/>
      </w:pPr>
      <w:r w:rsidRPr="00097A86">
        <w:tab/>
        <w:t>(iii)</w:t>
      </w:r>
      <w:r w:rsidRPr="00097A86">
        <w:tab/>
        <w:t>the quantity of methane in landfill gas flared from the landfill with the quantity of methane in landfill gas flared from legacy waste in the sub</w:t>
      </w:r>
      <w:r w:rsidR="00097A86">
        <w:noBreakHyphen/>
      </w:r>
      <w:r w:rsidRPr="00097A86">
        <w:t>facility zone; and</w:t>
      </w:r>
    </w:p>
    <w:p w14:paraId="760391F2" w14:textId="77777777" w:rsidR="0072411C" w:rsidRPr="00097A86" w:rsidRDefault="0072411C" w:rsidP="0072411C">
      <w:pPr>
        <w:pStyle w:val="paragraphsub"/>
      </w:pPr>
      <w:r w:rsidRPr="00097A86">
        <w:tab/>
        <w:t>(iv)</w:t>
      </w:r>
      <w:r w:rsidRPr="00097A86">
        <w:tab/>
        <w:t>the quantity of methane in landfill gas captured for transfer out of the landfill with the quantity of methane in landfill gas captured for transfer out of the landfill from legacy waste in the sub</w:t>
      </w:r>
      <w:r w:rsidR="00097A86">
        <w:noBreakHyphen/>
      </w:r>
      <w:r w:rsidRPr="00097A86">
        <w:t>facility zone.</w:t>
      </w:r>
    </w:p>
    <w:p w14:paraId="0202D685" w14:textId="77777777" w:rsidR="0072411C" w:rsidRPr="00097A86" w:rsidRDefault="0072411C" w:rsidP="0072411C">
      <w:pPr>
        <w:pStyle w:val="ActHead5"/>
      </w:pPr>
      <w:bookmarkStart w:id="584" w:name="_Toc13234011"/>
      <w:r w:rsidRPr="00097A86">
        <w:rPr>
          <w:rStyle w:val="CharSectno"/>
        </w:rPr>
        <w:t>5.22G</w:t>
      </w:r>
      <w:r w:rsidRPr="00097A86">
        <w:t xml:space="preserve">  How to calculate total methane generated from legacy waste</w:t>
      </w:r>
      <w:bookmarkEnd w:id="584"/>
    </w:p>
    <w:p w14:paraId="41EC6B7B" w14:textId="77777777" w:rsidR="0072411C" w:rsidRPr="00097A86" w:rsidRDefault="0072411C" w:rsidP="0072411C">
      <w:pPr>
        <w:pStyle w:val="subsection"/>
      </w:pPr>
      <w:r w:rsidRPr="00097A86">
        <w:tab/>
      </w:r>
      <w:r w:rsidRPr="00097A86">
        <w:tab/>
        <w:t>Total methane generated from legacy waste is equal to the sum of methane generated from legacy waste for all sub</w:t>
      </w:r>
      <w:r w:rsidR="00097A86">
        <w:noBreakHyphen/>
      </w:r>
      <w:r w:rsidRPr="00097A86">
        <w:t>facility zones and is calculated using the following formula:</w:t>
      </w:r>
    </w:p>
    <w:p w14:paraId="25E42C3F" w14:textId="77777777" w:rsidR="0072411C" w:rsidRPr="00097A86" w:rsidRDefault="0072411C" w:rsidP="0072411C">
      <w:pPr>
        <w:pStyle w:val="subsection2"/>
      </w:pPr>
      <w:r w:rsidRPr="00097A86">
        <w:rPr>
          <w:position w:val="-14"/>
        </w:rPr>
        <w:object w:dxaOrig="2079" w:dyaOrig="480" w14:anchorId="2C4B335A">
          <v:shape id="_x0000_i1058" type="#_x0000_t75" style="width:105pt;height:24pt" o:ole="">
            <v:imagedata r:id="rId224" o:title=""/>
          </v:shape>
          <o:OLEObject Type="Embed" ProgID="Equation.DSMT4" ShapeID="_x0000_i1058" DrawAspect="Content" ObjectID="_1624711062" r:id="rId225"/>
        </w:object>
      </w:r>
    </w:p>
    <w:p w14:paraId="3D824035" w14:textId="77777777" w:rsidR="0072411C" w:rsidRPr="00097A86" w:rsidRDefault="0072411C" w:rsidP="0072411C">
      <w:pPr>
        <w:pStyle w:val="subsection2"/>
      </w:pPr>
      <w:r w:rsidRPr="00097A86">
        <w:t>where:</w:t>
      </w:r>
    </w:p>
    <w:p w14:paraId="48E60A7E" w14:textId="77777777" w:rsidR="0072411C" w:rsidRPr="00097A86" w:rsidRDefault="0072411C" w:rsidP="0072411C">
      <w:pPr>
        <w:pStyle w:val="Definition"/>
      </w:pPr>
      <w:r w:rsidRPr="00097A86">
        <w:rPr>
          <w:b/>
          <w:i/>
        </w:rPr>
        <w:t>CH4</w:t>
      </w:r>
      <w:r w:rsidRPr="00097A86">
        <w:rPr>
          <w:b/>
          <w:i/>
          <w:vertAlign w:val="subscript"/>
        </w:rPr>
        <w:t>genlw</w:t>
      </w:r>
      <w:r w:rsidRPr="00097A86">
        <w:t xml:space="preserve"> is the methane generated from legacy waste deposited at the landfill, measured in CO</w:t>
      </w:r>
      <w:r w:rsidRPr="00097A86">
        <w:rPr>
          <w:vertAlign w:val="subscript"/>
        </w:rPr>
        <w:t>2</w:t>
      </w:r>
      <w:r w:rsidR="00097A86">
        <w:noBreakHyphen/>
      </w:r>
      <w:r w:rsidRPr="00097A86">
        <w:t>e tonnes.</w:t>
      </w:r>
    </w:p>
    <w:p w14:paraId="3C2D6A6D" w14:textId="77777777" w:rsidR="0072411C" w:rsidRPr="00097A86" w:rsidRDefault="0072411C" w:rsidP="0072411C">
      <w:pPr>
        <w:pStyle w:val="Definition"/>
      </w:pPr>
      <w:r w:rsidRPr="00097A86">
        <w:rPr>
          <w:b/>
          <w:i/>
        </w:rPr>
        <w:t>∑</w:t>
      </w:r>
      <w:r w:rsidRPr="00097A86">
        <w:rPr>
          <w:b/>
          <w:i/>
          <w:vertAlign w:val="subscript"/>
        </w:rPr>
        <w:t>z</w:t>
      </w:r>
      <w:r w:rsidRPr="00097A86">
        <w:t xml:space="preserve"> is the sum of all sub</w:t>
      </w:r>
      <w:r w:rsidR="00097A86">
        <w:noBreakHyphen/>
      </w:r>
      <w:r w:rsidRPr="00097A86">
        <w:t>facility zones.</w:t>
      </w:r>
    </w:p>
    <w:p w14:paraId="3558AB98" w14:textId="77777777" w:rsidR="0072411C" w:rsidRPr="00097A86" w:rsidRDefault="0072411C" w:rsidP="0072411C">
      <w:pPr>
        <w:pStyle w:val="Definition"/>
      </w:pPr>
      <w:r w:rsidRPr="00097A86">
        <w:rPr>
          <w:b/>
          <w:i/>
        </w:rPr>
        <w:t>CH</w:t>
      </w:r>
      <w:r w:rsidRPr="00097A86">
        <w:rPr>
          <w:b/>
          <w:i/>
          <w:vertAlign w:val="subscript"/>
        </w:rPr>
        <w:t>4genlw z</w:t>
      </w:r>
      <w:r w:rsidRPr="00097A86">
        <w:t xml:space="preserve"> is the quantity of methane generated from legacy waste in a sub</w:t>
      </w:r>
      <w:r w:rsidR="00097A86">
        <w:noBreakHyphen/>
      </w:r>
      <w:r w:rsidRPr="00097A86">
        <w:t>facility zone, measured in CO</w:t>
      </w:r>
      <w:r w:rsidRPr="00097A86">
        <w:rPr>
          <w:vertAlign w:val="subscript"/>
        </w:rPr>
        <w:t>2</w:t>
      </w:r>
      <w:r w:rsidR="00097A86">
        <w:noBreakHyphen/>
      </w:r>
      <w:r w:rsidRPr="00097A86">
        <w:t>e tonnes, calculated in accordance with section</w:t>
      </w:r>
      <w:r w:rsidR="00097A86">
        <w:t> </w:t>
      </w:r>
      <w:r w:rsidRPr="00097A86">
        <w:t>5.22F.</w:t>
      </w:r>
    </w:p>
    <w:p w14:paraId="25BBB173" w14:textId="77777777" w:rsidR="0072411C" w:rsidRPr="00097A86" w:rsidRDefault="0072411C" w:rsidP="0072411C">
      <w:pPr>
        <w:pStyle w:val="ActHead5"/>
      </w:pPr>
      <w:bookmarkStart w:id="585" w:name="_Toc13234012"/>
      <w:r w:rsidRPr="00097A86">
        <w:rPr>
          <w:rStyle w:val="CharSectno"/>
        </w:rPr>
        <w:t>5.22H</w:t>
      </w:r>
      <w:r w:rsidRPr="00097A86">
        <w:t xml:space="preserve">  How to calculate total methane captured and combusted from methane generated from legacy waste</w:t>
      </w:r>
      <w:bookmarkEnd w:id="585"/>
    </w:p>
    <w:p w14:paraId="2C934A57" w14:textId="77777777" w:rsidR="0072411C" w:rsidRPr="00097A86" w:rsidRDefault="0072411C" w:rsidP="0072411C">
      <w:pPr>
        <w:pStyle w:val="subsection"/>
      </w:pPr>
      <w:r w:rsidRPr="00097A86">
        <w:tab/>
      </w:r>
      <w:r w:rsidRPr="00097A86">
        <w:tab/>
        <w:t>Total methane captured and combusted from methane generated from legacy waste is equal to the sum of methane captured and combusted from methane generated from legacy waste for all sub</w:t>
      </w:r>
      <w:r w:rsidR="00097A86">
        <w:noBreakHyphen/>
      </w:r>
      <w:r w:rsidRPr="00097A86">
        <w:t>facility zones and is calculated using the following formula:</w:t>
      </w:r>
    </w:p>
    <w:p w14:paraId="2997C2F9" w14:textId="77777777" w:rsidR="0072411C" w:rsidRPr="00097A86" w:rsidRDefault="0072411C" w:rsidP="0072411C">
      <w:pPr>
        <w:pStyle w:val="subsection2"/>
      </w:pPr>
      <w:r w:rsidRPr="00097A86">
        <w:rPr>
          <w:position w:val="-14"/>
        </w:rPr>
        <w:object w:dxaOrig="1680" w:dyaOrig="480" w14:anchorId="5BFDC302">
          <v:shape id="_x0000_i1059" type="#_x0000_t75" style="width:84pt;height:24pt" o:ole="">
            <v:imagedata r:id="rId226" o:title=""/>
          </v:shape>
          <o:OLEObject Type="Embed" ProgID="Equation.DSMT4" ShapeID="_x0000_i1059" DrawAspect="Content" ObjectID="_1624711063" r:id="rId227"/>
        </w:object>
      </w:r>
    </w:p>
    <w:p w14:paraId="3E1F9C5B" w14:textId="77777777" w:rsidR="0072411C" w:rsidRPr="00097A86" w:rsidRDefault="0072411C" w:rsidP="0072411C">
      <w:pPr>
        <w:pStyle w:val="subsection2"/>
      </w:pPr>
      <w:r w:rsidRPr="00097A86">
        <w:t>where:</w:t>
      </w:r>
    </w:p>
    <w:p w14:paraId="5DBE16FD" w14:textId="77777777" w:rsidR="0072411C" w:rsidRPr="00097A86" w:rsidRDefault="0072411C" w:rsidP="0072411C">
      <w:pPr>
        <w:pStyle w:val="Definition"/>
      </w:pPr>
      <w:r w:rsidRPr="00097A86">
        <w:rPr>
          <w:b/>
          <w:i/>
        </w:rPr>
        <w:lastRenderedPageBreak/>
        <w:t>Q</w:t>
      </w:r>
      <w:r w:rsidRPr="00097A86">
        <w:rPr>
          <w:b/>
          <w:i/>
          <w:vertAlign w:val="subscript"/>
        </w:rPr>
        <w:t>caplw</w:t>
      </w:r>
      <w:r w:rsidRPr="00097A86">
        <w:t xml:space="preserve"> is the quantity of methane captured for combustion from landfill legacy waste during a reporting year.</w:t>
      </w:r>
    </w:p>
    <w:p w14:paraId="6084D022" w14:textId="77777777" w:rsidR="0072411C" w:rsidRPr="00097A86" w:rsidRDefault="0072411C" w:rsidP="0072411C">
      <w:pPr>
        <w:pStyle w:val="Definition"/>
      </w:pPr>
      <w:r w:rsidRPr="00097A86">
        <w:rPr>
          <w:b/>
          <w:i/>
        </w:rPr>
        <w:t>∑</w:t>
      </w:r>
      <w:r w:rsidRPr="00097A86">
        <w:rPr>
          <w:b/>
          <w:i/>
          <w:vertAlign w:val="subscript"/>
        </w:rPr>
        <w:t>z</w:t>
      </w:r>
      <w:r w:rsidRPr="00097A86">
        <w:t xml:space="preserve"> is the sum of all sub</w:t>
      </w:r>
      <w:r w:rsidR="00097A86">
        <w:noBreakHyphen/>
      </w:r>
      <w:r w:rsidRPr="00097A86">
        <w:t>facility zones.</w:t>
      </w:r>
    </w:p>
    <w:p w14:paraId="62319B97" w14:textId="77777777" w:rsidR="0072411C" w:rsidRPr="00097A86" w:rsidRDefault="0072411C" w:rsidP="0072411C">
      <w:pPr>
        <w:pStyle w:val="Definition"/>
      </w:pPr>
      <w:r w:rsidRPr="00097A86">
        <w:rPr>
          <w:b/>
          <w:i/>
        </w:rPr>
        <w:t>Q</w:t>
      </w:r>
      <w:r w:rsidRPr="00097A86">
        <w:rPr>
          <w:b/>
          <w:i/>
          <w:vertAlign w:val="subscript"/>
        </w:rPr>
        <w:t>caplw z</w:t>
      </w:r>
      <w:r w:rsidRPr="00097A86">
        <w:t xml:space="preserve"> is the quantity of methane captured for combustion from each sub</w:t>
      </w:r>
      <w:r w:rsidR="00097A86">
        <w:noBreakHyphen/>
      </w:r>
      <w:r w:rsidRPr="00097A86">
        <w:t>facility zone during a reporting year, estimated in accordance with section</w:t>
      </w:r>
      <w:r w:rsidR="00097A86">
        <w:t> </w:t>
      </w:r>
      <w:r w:rsidRPr="00097A86">
        <w:t>5.22C.</w:t>
      </w:r>
    </w:p>
    <w:p w14:paraId="242AD7A2" w14:textId="77777777" w:rsidR="0072411C" w:rsidRPr="00097A86" w:rsidRDefault="0072411C" w:rsidP="0072411C">
      <w:pPr>
        <w:pStyle w:val="ActHead5"/>
      </w:pPr>
      <w:bookmarkStart w:id="586" w:name="_Toc13234013"/>
      <w:r w:rsidRPr="00097A86">
        <w:rPr>
          <w:rStyle w:val="CharSectno"/>
        </w:rPr>
        <w:t>5.22J</w:t>
      </w:r>
      <w:r w:rsidRPr="00097A86">
        <w:t xml:space="preserve">  How to calculate total methane captured and transferred offsite from methane generated from legacy waste</w:t>
      </w:r>
      <w:bookmarkEnd w:id="586"/>
    </w:p>
    <w:p w14:paraId="1A9F2B49" w14:textId="77777777" w:rsidR="0072411C" w:rsidRPr="00097A86" w:rsidRDefault="0072411C" w:rsidP="0072411C">
      <w:pPr>
        <w:pStyle w:val="subsection"/>
      </w:pPr>
      <w:r w:rsidRPr="00097A86">
        <w:tab/>
      </w:r>
      <w:r w:rsidRPr="00097A86">
        <w:tab/>
        <w:t>Total methane captured and transferred offsite from methane generated from legacy waste is equal to the sum of methane captured and transferred offsite from methane generated from legacy waste for all sub</w:t>
      </w:r>
      <w:r w:rsidR="00097A86">
        <w:noBreakHyphen/>
      </w:r>
      <w:r w:rsidRPr="00097A86">
        <w:t>facility zones and is calculated using the following formula:</w:t>
      </w:r>
    </w:p>
    <w:p w14:paraId="674C434B" w14:textId="77777777" w:rsidR="0072411C" w:rsidRPr="00097A86" w:rsidRDefault="0072411C" w:rsidP="0072411C">
      <w:pPr>
        <w:pStyle w:val="subsection2"/>
      </w:pPr>
      <w:r w:rsidRPr="00097A86">
        <w:rPr>
          <w:position w:val="-14"/>
        </w:rPr>
        <w:object w:dxaOrig="1500" w:dyaOrig="480" w14:anchorId="312F1039">
          <v:shape id="_x0000_i1060" type="#_x0000_t75" style="width:75pt;height:24pt" o:ole="">
            <v:imagedata r:id="rId228" o:title=""/>
          </v:shape>
          <o:OLEObject Type="Embed" ProgID="Equation.DSMT4" ShapeID="_x0000_i1060" DrawAspect="Content" ObjectID="_1624711064" r:id="rId229"/>
        </w:object>
      </w:r>
    </w:p>
    <w:p w14:paraId="73BE81CA" w14:textId="77777777" w:rsidR="0072411C" w:rsidRPr="00097A86" w:rsidRDefault="0072411C" w:rsidP="0072411C">
      <w:pPr>
        <w:pStyle w:val="subsection2"/>
      </w:pPr>
      <w:r w:rsidRPr="00097A86">
        <w:t>where:</w:t>
      </w:r>
    </w:p>
    <w:p w14:paraId="6E8611A6" w14:textId="77777777" w:rsidR="0072411C" w:rsidRPr="00097A86" w:rsidRDefault="0072411C" w:rsidP="0072411C">
      <w:pPr>
        <w:pStyle w:val="Definition"/>
      </w:pPr>
      <w:r w:rsidRPr="00097A86">
        <w:rPr>
          <w:b/>
          <w:i/>
        </w:rPr>
        <w:t>Q</w:t>
      </w:r>
      <w:r w:rsidRPr="00097A86">
        <w:rPr>
          <w:b/>
          <w:i/>
          <w:vertAlign w:val="subscript"/>
        </w:rPr>
        <w:t>trlw</w:t>
      </w:r>
      <w:r w:rsidRPr="00097A86">
        <w:t xml:space="preserve"> is the total methane captured and transferred offsite from methane generated from legacy waste deposited at the landfill.</w:t>
      </w:r>
    </w:p>
    <w:p w14:paraId="28600378" w14:textId="77777777" w:rsidR="0072411C" w:rsidRPr="00097A86" w:rsidRDefault="0072411C" w:rsidP="0072411C">
      <w:pPr>
        <w:pStyle w:val="Definition"/>
      </w:pPr>
      <w:r w:rsidRPr="00097A86">
        <w:rPr>
          <w:b/>
          <w:i/>
        </w:rPr>
        <w:t>∑</w:t>
      </w:r>
      <w:r w:rsidRPr="00097A86">
        <w:rPr>
          <w:b/>
          <w:i/>
          <w:vertAlign w:val="subscript"/>
        </w:rPr>
        <w:t>z</w:t>
      </w:r>
      <w:r w:rsidRPr="00097A86">
        <w:t xml:space="preserve"> is the sum of all sub</w:t>
      </w:r>
      <w:r w:rsidR="00097A86">
        <w:noBreakHyphen/>
      </w:r>
      <w:r w:rsidRPr="00097A86">
        <w:t>facility zones.</w:t>
      </w:r>
    </w:p>
    <w:p w14:paraId="0671D74F" w14:textId="77777777" w:rsidR="0072411C" w:rsidRPr="00097A86" w:rsidRDefault="0072411C" w:rsidP="0072411C">
      <w:pPr>
        <w:pStyle w:val="Definition"/>
      </w:pPr>
      <w:r w:rsidRPr="00097A86">
        <w:rPr>
          <w:b/>
          <w:i/>
        </w:rPr>
        <w:t>Q</w:t>
      </w:r>
      <w:r w:rsidRPr="00097A86">
        <w:rPr>
          <w:b/>
          <w:i/>
          <w:vertAlign w:val="subscript"/>
        </w:rPr>
        <w:t>trlw z</w:t>
      </w:r>
      <w:r w:rsidRPr="00097A86">
        <w:t xml:space="preserve"> is the estimated quantity of methane captured for transfer out of the landfill from legacy waste for each sub</w:t>
      </w:r>
      <w:r w:rsidR="00097A86">
        <w:noBreakHyphen/>
      </w:r>
      <w:r w:rsidRPr="00097A86">
        <w:t>facility zone, estimated in accordance with section</w:t>
      </w:r>
      <w:r w:rsidR="00097A86">
        <w:t> </w:t>
      </w:r>
      <w:r w:rsidRPr="00097A86">
        <w:t>5.22E.</w:t>
      </w:r>
    </w:p>
    <w:p w14:paraId="585D9477" w14:textId="77777777" w:rsidR="0072411C" w:rsidRPr="00097A86" w:rsidRDefault="0072411C" w:rsidP="0072411C">
      <w:pPr>
        <w:pStyle w:val="ActHead5"/>
      </w:pPr>
      <w:bookmarkStart w:id="587" w:name="_Toc13234014"/>
      <w:r w:rsidRPr="00097A86">
        <w:rPr>
          <w:rStyle w:val="CharSectno"/>
        </w:rPr>
        <w:t>5.22K</w:t>
      </w:r>
      <w:r w:rsidRPr="00097A86">
        <w:t xml:space="preserve">  How to calculate total methane flared from methane generated from legacy waste</w:t>
      </w:r>
      <w:bookmarkEnd w:id="587"/>
    </w:p>
    <w:p w14:paraId="19157DDD" w14:textId="77777777" w:rsidR="0072411C" w:rsidRPr="00097A86" w:rsidRDefault="0072411C" w:rsidP="0072411C">
      <w:pPr>
        <w:pStyle w:val="subsection"/>
      </w:pPr>
      <w:r w:rsidRPr="00097A86">
        <w:tab/>
      </w:r>
      <w:r w:rsidRPr="00097A86">
        <w:tab/>
        <w:t>Total methane flared from methane generated from legacy waste is equal to the sum of methane flared from methane generated from legacy waste for all sub</w:t>
      </w:r>
      <w:r w:rsidR="00097A86">
        <w:noBreakHyphen/>
      </w:r>
      <w:r w:rsidRPr="00097A86">
        <w:t>facility zones and is calculated using the following formula:</w:t>
      </w:r>
    </w:p>
    <w:p w14:paraId="688A3896" w14:textId="77777777" w:rsidR="0072411C" w:rsidRPr="00097A86" w:rsidRDefault="0072411C" w:rsidP="0072411C">
      <w:pPr>
        <w:pStyle w:val="subsection2"/>
      </w:pPr>
      <w:r w:rsidRPr="00097A86">
        <w:rPr>
          <w:position w:val="-14"/>
        </w:rPr>
        <w:object w:dxaOrig="1500" w:dyaOrig="480" w14:anchorId="758E3524">
          <v:shape id="_x0000_i1061" type="#_x0000_t75" style="width:75pt;height:24pt" o:ole="">
            <v:imagedata r:id="rId230" o:title=""/>
          </v:shape>
          <o:OLEObject Type="Embed" ProgID="Equation.DSMT4" ShapeID="_x0000_i1061" DrawAspect="Content" ObjectID="_1624711065" r:id="rId231"/>
        </w:object>
      </w:r>
    </w:p>
    <w:p w14:paraId="19A9C044" w14:textId="77777777" w:rsidR="0072411C" w:rsidRPr="00097A86" w:rsidRDefault="0072411C" w:rsidP="0072411C">
      <w:pPr>
        <w:pStyle w:val="subsection2"/>
      </w:pPr>
      <w:r w:rsidRPr="00097A86">
        <w:t>where:</w:t>
      </w:r>
    </w:p>
    <w:p w14:paraId="2041A827" w14:textId="77777777" w:rsidR="0072411C" w:rsidRPr="00097A86" w:rsidRDefault="0072411C" w:rsidP="0072411C">
      <w:pPr>
        <w:pStyle w:val="Definition"/>
      </w:pPr>
      <w:r w:rsidRPr="00097A86">
        <w:rPr>
          <w:b/>
          <w:i/>
        </w:rPr>
        <w:t>Q</w:t>
      </w:r>
      <w:r w:rsidRPr="00097A86">
        <w:rPr>
          <w:b/>
          <w:i/>
          <w:vertAlign w:val="subscript"/>
        </w:rPr>
        <w:t>fllw</w:t>
      </w:r>
      <w:r w:rsidRPr="00097A86">
        <w:t xml:space="preserve"> is the quantity of methane flared from landfill legacy waste during the reporting year.</w:t>
      </w:r>
    </w:p>
    <w:p w14:paraId="11DCA388" w14:textId="77777777" w:rsidR="0072411C" w:rsidRPr="00097A86" w:rsidRDefault="0072411C" w:rsidP="0072411C">
      <w:pPr>
        <w:pStyle w:val="Definition"/>
      </w:pPr>
      <w:r w:rsidRPr="00097A86">
        <w:rPr>
          <w:b/>
          <w:i/>
        </w:rPr>
        <w:t>∑</w:t>
      </w:r>
      <w:r w:rsidRPr="00097A86">
        <w:rPr>
          <w:b/>
          <w:i/>
          <w:vertAlign w:val="subscript"/>
        </w:rPr>
        <w:t>z</w:t>
      </w:r>
      <w:r w:rsidRPr="00097A86">
        <w:t xml:space="preserve"> is the sum of all sub</w:t>
      </w:r>
      <w:r w:rsidR="00097A86">
        <w:noBreakHyphen/>
      </w:r>
      <w:r w:rsidRPr="00097A86">
        <w:t>facility zones.</w:t>
      </w:r>
    </w:p>
    <w:p w14:paraId="587A5732" w14:textId="77777777" w:rsidR="0072411C" w:rsidRPr="00097A86" w:rsidRDefault="0072411C" w:rsidP="0072411C">
      <w:pPr>
        <w:pStyle w:val="Definition"/>
        <w:rPr>
          <w:b/>
          <w:i/>
        </w:rPr>
      </w:pPr>
      <w:r w:rsidRPr="00097A86">
        <w:rPr>
          <w:b/>
          <w:i/>
        </w:rPr>
        <w:t>Q</w:t>
      </w:r>
      <w:r w:rsidRPr="00097A86">
        <w:rPr>
          <w:b/>
          <w:i/>
          <w:vertAlign w:val="subscript"/>
        </w:rPr>
        <w:t>fllw z</w:t>
      </w:r>
      <w:r w:rsidRPr="00097A86">
        <w:t xml:space="preserve"> is the quantity of methane in landfill gas from landfill legacy waste for each sub</w:t>
      </w:r>
      <w:r w:rsidR="00097A86">
        <w:noBreakHyphen/>
      </w:r>
      <w:r w:rsidRPr="00097A86">
        <w:t>facility zone during the reporting year, estimated in accordance with section</w:t>
      </w:r>
      <w:r w:rsidR="00097A86">
        <w:t> </w:t>
      </w:r>
      <w:r w:rsidRPr="00097A86">
        <w:t>5.22D.</w:t>
      </w:r>
    </w:p>
    <w:p w14:paraId="686FFB3E" w14:textId="77777777" w:rsidR="0072411C" w:rsidRPr="00097A86" w:rsidRDefault="0072411C" w:rsidP="0072411C">
      <w:pPr>
        <w:pStyle w:val="ActHead5"/>
      </w:pPr>
      <w:bookmarkStart w:id="588" w:name="_Toc13234015"/>
      <w:r w:rsidRPr="00097A86">
        <w:rPr>
          <w:rStyle w:val="CharSectno"/>
        </w:rPr>
        <w:t>5.22L</w:t>
      </w:r>
      <w:r w:rsidRPr="00097A86">
        <w:t xml:space="preserve">  How to calculate methane generated in landfill gas from non</w:t>
      </w:r>
      <w:r w:rsidR="00097A86">
        <w:rPr>
          <w:i/>
        </w:rPr>
        <w:noBreakHyphen/>
      </w:r>
      <w:r w:rsidRPr="00097A86">
        <w:t>legacy waste</w:t>
      </w:r>
      <w:bookmarkEnd w:id="588"/>
    </w:p>
    <w:p w14:paraId="2B0670D0" w14:textId="77777777" w:rsidR="0072411C" w:rsidRPr="00097A86" w:rsidRDefault="0072411C" w:rsidP="0072411C">
      <w:pPr>
        <w:pStyle w:val="subsection"/>
      </w:pPr>
      <w:r w:rsidRPr="00097A86">
        <w:tab/>
        <w:t>(1)</w:t>
      </w:r>
      <w:r w:rsidRPr="00097A86">
        <w:tab/>
        <w:t>Methane generated in landfill gas from non</w:t>
      </w:r>
      <w:r w:rsidR="00097A86">
        <w:noBreakHyphen/>
      </w:r>
      <w:r w:rsidRPr="00097A86">
        <w:t>legacy waste must be calculated using the following formula:</w:t>
      </w:r>
    </w:p>
    <w:p w14:paraId="312295A2" w14:textId="77777777" w:rsidR="0072411C" w:rsidRPr="00097A86" w:rsidRDefault="0072411C" w:rsidP="0072411C">
      <w:pPr>
        <w:pStyle w:val="subsection2"/>
      </w:pPr>
      <w:r w:rsidRPr="00097A86">
        <w:rPr>
          <w:position w:val="-12"/>
        </w:rPr>
        <w:object w:dxaOrig="2620" w:dyaOrig="440" w14:anchorId="6B99AF7F">
          <v:shape id="_x0000_i1062" type="#_x0000_t75" style="width:130.5pt;height:21.75pt" o:ole="">
            <v:imagedata r:id="rId232" o:title=""/>
          </v:shape>
          <o:OLEObject Type="Embed" ProgID="Equation.DSMT4" ShapeID="_x0000_i1062" DrawAspect="Content" ObjectID="_1624711066" r:id="rId233"/>
        </w:object>
      </w:r>
    </w:p>
    <w:p w14:paraId="16D338ED" w14:textId="77777777" w:rsidR="0072411C" w:rsidRPr="00097A86" w:rsidRDefault="0072411C" w:rsidP="0072411C">
      <w:pPr>
        <w:pStyle w:val="subsection2"/>
      </w:pPr>
      <w:r w:rsidRPr="00097A86">
        <w:t>where:</w:t>
      </w:r>
    </w:p>
    <w:p w14:paraId="403BA41B" w14:textId="77777777" w:rsidR="0072411C" w:rsidRPr="00097A86" w:rsidRDefault="0072411C" w:rsidP="0072411C">
      <w:pPr>
        <w:pStyle w:val="Definition"/>
      </w:pPr>
      <w:r w:rsidRPr="00097A86">
        <w:rPr>
          <w:b/>
          <w:i/>
        </w:rPr>
        <w:t>CH</w:t>
      </w:r>
      <w:r w:rsidRPr="00097A86">
        <w:rPr>
          <w:b/>
          <w:i/>
          <w:vertAlign w:val="subscript"/>
        </w:rPr>
        <w:t>4gennlw</w:t>
      </w:r>
      <w:r w:rsidRPr="00097A86">
        <w:t xml:space="preserve"> is the methane generated in landfill gas from non</w:t>
      </w:r>
      <w:r w:rsidR="00097A86">
        <w:noBreakHyphen/>
      </w:r>
      <w:r w:rsidRPr="00097A86">
        <w:t>legacy waste, measured in CO</w:t>
      </w:r>
      <w:r w:rsidRPr="00097A86">
        <w:rPr>
          <w:vertAlign w:val="subscript"/>
        </w:rPr>
        <w:t>2</w:t>
      </w:r>
      <w:r w:rsidR="00097A86">
        <w:noBreakHyphen/>
      </w:r>
      <w:r w:rsidRPr="00097A86">
        <w:t>e tonnes.</w:t>
      </w:r>
    </w:p>
    <w:p w14:paraId="4B1368A3" w14:textId="77777777" w:rsidR="0072411C" w:rsidRPr="00097A86" w:rsidRDefault="0072411C" w:rsidP="0072411C">
      <w:pPr>
        <w:pStyle w:val="Definition"/>
      </w:pPr>
      <w:r w:rsidRPr="00097A86">
        <w:rPr>
          <w:b/>
          <w:i/>
        </w:rPr>
        <w:t>CH</w:t>
      </w:r>
      <w:r w:rsidRPr="00097A86">
        <w:rPr>
          <w:b/>
          <w:i/>
          <w:vertAlign w:val="subscript"/>
        </w:rPr>
        <w:t>4genj</w:t>
      </w:r>
      <w:r w:rsidRPr="00097A86">
        <w:t xml:space="preserve"> is the methane generated in landfill gas from total waste deposited at the landfill, measured in CO</w:t>
      </w:r>
      <w:r w:rsidRPr="00097A86">
        <w:rPr>
          <w:vertAlign w:val="subscript"/>
        </w:rPr>
        <w:t>2</w:t>
      </w:r>
      <w:r w:rsidR="00097A86">
        <w:noBreakHyphen/>
      </w:r>
      <w:r w:rsidRPr="00097A86">
        <w:t>e tonnes.</w:t>
      </w:r>
    </w:p>
    <w:p w14:paraId="42A22455" w14:textId="77777777" w:rsidR="0072411C" w:rsidRPr="00097A86" w:rsidRDefault="0072411C" w:rsidP="0072411C">
      <w:pPr>
        <w:pStyle w:val="Definition"/>
        <w:rPr>
          <w:sz w:val="24"/>
          <w:szCs w:val="24"/>
        </w:rPr>
      </w:pPr>
      <w:r w:rsidRPr="00097A86">
        <w:rPr>
          <w:b/>
          <w:i/>
        </w:rPr>
        <w:t>CH4</w:t>
      </w:r>
      <w:r w:rsidRPr="00097A86">
        <w:rPr>
          <w:b/>
          <w:i/>
          <w:vertAlign w:val="subscript"/>
        </w:rPr>
        <w:t>genlw</w:t>
      </w:r>
      <w:r w:rsidRPr="00097A86">
        <w:t xml:space="preserve"> is the methane generated in landfill gas from legacy waste deposited at the landfill, measured in CO</w:t>
      </w:r>
      <w:r w:rsidRPr="00097A86">
        <w:rPr>
          <w:vertAlign w:val="subscript"/>
        </w:rPr>
        <w:t>2</w:t>
      </w:r>
      <w:r w:rsidR="00097A86">
        <w:noBreakHyphen/>
      </w:r>
      <w:r w:rsidRPr="00097A86">
        <w:t>e tonnes.</w:t>
      </w:r>
    </w:p>
    <w:p w14:paraId="6158B907" w14:textId="77777777" w:rsidR="0072411C" w:rsidRPr="00097A86" w:rsidRDefault="0072411C" w:rsidP="0072411C">
      <w:pPr>
        <w:pStyle w:val="subsection"/>
      </w:pPr>
      <w:r w:rsidRPr="00097A86">
        <w:tab/>
        <w:t>(2)</w:t>
      </w:r>
      <w:r w:rsidRPr="00097A86">
        <w:tab/>
        <w:t>Emissions from non</w:t>
      </w:r>
      <w:r w:rsidR="00097A86">
        <w:rPr>
          <w:i/>
        </w:rPr>
        <w:noBreakHyphen/>
      </w:r>
      <w:r w:rsidRPr="00097A86">
        <w:t>legacy waste must be calculated using the following formula, measured in CO</w:t>
      </w:r>
      <w:r w:rsidRPr="00097A86">
        <w:rPr>
          <w:vertAlign w:val="subscript"/>
        </w:rPr>
        <w:t>2</w:t>
      </w:r>
      <w:r w:rsidR="00097A86">
        <w:noBreakHyphen/>
      </w:r>
      <w:r w:rsidRPr="00097A86">
        <w:t>e tonnes:</w:t>
      </w:r>
    </w:p>
    <w:p w14:paraId="23BF2DD1" w14:textId="77777777" w:rsidR="0072411C" w:rsidRPr="00097A86" w:rsidRDefault="0072411C" w:rsidP="0072411C">
      <w:pPr>
        <w:pStyle w:val="subsection2"/>
      </w:pPr>
      <w:r w:rsidRPr="00097A86">
        <w:rPr>
          <w:position w:val="-12"/>
        </w:rPr>
        <w:object w:dxaOrig="1520" w:dyaOrig="440" w14:anchorId="01EE7A13">
          <v:shape id="_x0000_i1063" type="#_x0000_t75" style="width:76.5pt;height:23.25pt" o:ole="">
            <v:imagedata r:id="rId234" o:title=""/>
          </v:shape>
          <o:OLEObject Type="Embed" ProgID="Equation.DSMT4" ShapeID="_x0000_i1063" DrawAspect="Content" ObjectID="_1624711067" r:id="rId235"/>
        </w:object>
      </w:r>
    </w:p>
    <w:p w14:paraId="784D7075" w14:textId="77777777" w:rsidR="0072411C" w:rsidRPr="00097A86" w:rsidRDefault="0072411C" w:rsidP="0072411C">
      <w:pPr>
        <w:pStyle w:val="subsection2"/>
      </w:pPr>
      <w:r w:rsidRPr="00097A86">
        <w:t>where:</w:t>
      </w:r>
    </w:p>
    <w:p w14:paraId="4DE027EC" w14:textId="77777777" w:rsidR="0072411C" w:rsidRPr="00097A86" w:rsidRDefault="0072411C" w:rsidP="0072411C">
      <w:pPr>
        <w:pStyle w:val="Definition"/>
      </w:pPr>
      <w:r w:rsidRPr="00097A86">
        <w:rPr>
          <w:b/>
          <w:i/>
        </w:rPr>
        <w:t>E</w:t>
      </w:r>
      <w:r w:rsidRPr="00097A86">
        <w:rPr>
          <w:b/>
          <w:i/>
          <w:vertAlign w:val="subscript"/>
        </w:rPr>
        <w:t>nlw</w:t>
      </w:r>
      <w:r w:rsidRPr="00097A86">
        <w:t xml:space="preserve"> are the emissions from non</w:t>
      </w:r>
      <w:r w:rsidR="00097A86">
        <w:noBreakHyphen/>
      </w:r>
      <w:r w:rsidRPr="00097A86">
        <w:t>legacy waste.</w:t>
      </w:r>
    </w:p>
    <w:p w14:paraId="2B686679" w14:textId="77777777" w:rsidR="0072411C" w:rsidRPr="00097A86" w:rsidRDefault="0072411C" w:rsidP="0072411C">
      <w:pPr>
        <w:pStyle w:val="Definition"/>
      </w:pPr>
      <w:r w:rsidRPr="00097A86">
        <w:rPr>
          <w:b/>
          <w:i/>
        </w:rPr>
        <w:t>E</w:t>
      </w:r>
      <w:r w:rsidRPr="00097A86">
        <w:rPr>
          <w:b/>
          <w:i/>
          <w:vertAlign w:val="subscript"/>
        </w:rPr>
        <w:t>j</w:t>
      </w:r>
      <w:r w:rsidRPr="00097A86">
        <w:t xml:space="preserve"> is the quantity of methane from waste deposited at the landfill, measured in CO</w:t>
      </w:r>
      <w:r w:rsidRPr="00097A86">
        <w:rPr>
          <w:vertAlign w:val="subscript"/>
        </w:rPr>
        <w:t>2</w:t>
      </w:r>
      <w:r w:rsidR="00097A86">
        <w:noBreakHyphen/>
      </w:r>
      <w:r w:rsidRPr="00097A86">
        <w:t>e tonnes:</w:t>
      </w:r>
    </w:p>
    <w:p w14:paraId="5F2FEC59" w14:textId="77777777" w:rsidR="0072411C" w:rsidRPr="00097A86" w:rsidRDefault="0072411C" w:rsidP="0072411C">
      <w:pPr>
        <w:pStyle w:val="Definition"/>
      </w:pPr>
      <w:r w:rsidRPr="00097A86">
        <w:rPr>
          <w:b/>
          <w:i/>
        </w:rPr>
        <w:t>E</w:t>
      </w:r>
      <w:r w:rsidRPr="00097A86">
        <w:rPr>
          <w:b/>
          <w:i/>
          <w:vertAlign w:val="subscript"/>
        </w:rPr>
        <w:t>lw</w:t>
      </w:r>
      <w:r w:rsidRPr="00097A86">
        <w:t xml:space="preserve"> is the quantity of methane from legacy waste deposited at the landfill, measured in CO</w:t>
      </w:r>
      <w:r w:rsidRPr="00097A86">
        <w:rPr>
          <w:vertAlign w:val="subscript"/>
        </w:rPr>
        <w:t>2</w:t>
      </w:r>
      <w:r w:rsidR="00097A86">
        <w:noBreakHyphen/>
      </w:r>
      <w:r w:rsidRPr="00097A86">
        <w:t>e tonnes.</w:t>
      </w:r>
    </w:p>
    <w:p w14:paraId="4C8AFB9B" w14:textId="77777777" w:rsidR="0072411C" w:rsidRPr="00097A86" w:rsidRDefault="0072411C" w:rsidP="0072411C">
      <w:pPr>
        <w:pStyle w:val="ActHead5"/>
        <w:rPr>
          <w:rFonts w:eastAsia="Arial"/>
        </w:rPr>
      </w:pPr>
      <w:bookmarkStart w:id="589" w:name="_Toc13234016"/>
      <w:r w:rsidRPr="00097A86">
        <w:rPr>
          <w:rStyle w:val="CharSectno"/>
          <w:rFonts w:eastAsia="Arial"/>
        </w:rPr>
        <w:t>5.22M</w:t>
      </w:r>
      <w:r w:rsidRPr="00097A86">
        <w:rPr>
          <w:rFonts w:eastAsia="Arial"/>
        </w:rPr>
        <w:t xml:space="preserve">  Calculating amount of total waste deposited at landfill</w:t>
      </w:r>
      <w:bookmarkEnd w:id="589"/>
    </w:p>
    <w:p w14:paraId="0AE34B05" w14:textId="77777777" w:rsidR="0072411C" w:rsidRPr="00097A86" w:rsidRDefault="0072411C" w:rsidP="0072411C">
      <w:pPr>
        <w:pStyle w:val="subsection"/>
        <w:rPr>
          <w:b/>
        </w:rPr>
      </w:pPr>
      <w:r w:rsidRPr="00097A86">
        <w:tab/>
      </w:r>
      <w:r w:rsidRPr="00097A86">
        <w:tab/>
        <w:t>To calculate the amount of total waste deposited at a landfill, add the amount of legacy waste deposited at the landfill to the amount of non</w:t>
      </w:r>
      <w:r w:rsidR="00097A86">
        <w:noBreakHyphen/>
      </w:r>
      <w:r w:rsidRPr="00097A86">
        <w:t>legacy waste deposited at the landfill.</w:t>
      </w:r>
    </w:p>
    <w:p w14:paraId="4CC1ACE6" w14:textId="77777777" w:rsidR="00272544" w:rsidRPr="00097A86" w:rsidRDefault="00272544" w:rsidP="00D22D3F">
      <w:pPr>
        <w:pStyle w:val="ActHead2"/>
        <w:pageBreakBefore/>
      </w:pPr>
      <w:bookmarkStart w:id="590" w:name="_Toc13234017"/>
      <w:r w:rsidRPr="00097A86">
        <w:rPr>
          <w:rStyle w:val="CharPartNo"/>
        </w:rPr>
        <w:lastRenderedPageBreak/>
        <w:t>Part</w:t>
      </w:r>
      <w:r w:rsidR="00097A86">
        <w:rPr>
          <w:rStyle w:val="CharPartNo"/>
        </w:rPr>
        <w:t> </w:t>
      </w:r>
      <w:r w:rsidRPr="00097A86">
        <w:rPr>
          <w:rStyle w:val="CharPartNo"/>
        </w:rPr>
        <w:t>5.3</w:t>
      </w:r>
      <w:r w:rsidR="00D22D3F" w:rsidRPr="00097A86">
        <w:t>—</w:t>
      </w:r>
      <w:r w:rsidRPr="00097A86">
        <w:rPr>
          <w:rStyle w:val="CharPartText"/>
        </w:rPr>
        <w:t>Wastewater handling (domestic and commercial)</w:t>
      </w:r>
      <w:bookmarkEnd w:id="590"/>
    </w:p>
    <w:p w14:paraId="3D12C23B" w14:textId="77777777" w:rsidR="003F0D4E" w:rsidRPr="00097A86" w:rsidRDefault="003F0D4E" w:rsidP="00D22D3F">
      <w:pPr>
        <w:pStyle w:val="ActHead3"/>
      </w:pPr>
      <w:bookmarkStart w:id="591" w:name="_Toc13234018"/>
      <w:r w:rsidRPr="00097A86">
        <w:rPr>
          <w:rStyle w:val="CharDivNo"/>
        </w:rPr>
        <w:t>Division</w:t>
      </w:r>
      <w:r w:rsidR="00097A86">
        <w:rPr>
          <w:rStyle w:val="CharDivNo"/>
        </w:rPr>
        <w:t> </w:t>
      </w:r>
      <w:r w:rsidRPr="00097A86">
        <w:rPr>
          <w:rStyle w:val="CharDivNo"/>
        </w:rPr>
        <w:t>5.3.1</w:t>
      </w:r>
      <w:r w:rsidR="00D22D3F" w:rsidRPr="00097A86">
        <w:t>—</w:t>
      </w:r>
      <w:r w:rsidRPr="00097A86">
        <w:rPr>
          <w:rStyle w:val="CharDivText"/>
        </w:rPr>
        <w:t>Preliminary</w:t>
      </w:r>
      <w:bookmarkEnd w:id="591"/>
    </w:p>
    <w:p w14:paraId="13B220A3" w14:textId="77777777" w:rsidR="00516D27" w:rsidRPr="00097A86" w:rsidRDefault="00516D27" w:rsidP="00D22D3F">
      <w:pPr>
        <w:pStyle w:val="ActHead5"/>
      </w:pPr>
      <w:bookmarkStart w:id="592" w:name="_Toc13234019"/>
      <w:r w:rsidRPr="00097A86">
        <w:rPr>
          <w:rStyle w:val="CharSectno"/>
        </w:rPr>
        <w:t>5.23</w:t>
      </w:r>
      <w:r w:rsidR="00D22D3F" w:rsidRPr="00097A86">
        <w:t xml:space="preserve">  </w:t>
      </w:r>
      <w:r w:rsidRPr="00097A86">
        <w:t>Application</w:t>
      </w:r>
      <w:bookmarkEnd w:id="592"/>
    </w:p>
    <w:p w14:paraId="339AC078" w14:textId="77777777" w:rsidR="00516D27" w:rsidRPr="00097A86" w:rsidRDefault="00516D27" w:rsidP="00D22D3F">
      <w:pPr>
        <w:pStyle w:val="subsection"/>
      </w:pPr>
      <w:r w:rsidRPr="00097A86">
        <w:tab/>
        <w:t>(1)</w:t>
      </w:r>
      <w:r w:rsidRPr="00097A86">
        <w:tab/>
        <w:t>This Part applies to emissions released from the decomposition of organic material, nitrification and denitrification processes, and flaring of sludge biogas, resulting from the handling of domestic or commercial wastewater through:</w:t>
      </w:r>
    </w:p>
    <w:p w14:paraId="52D6785C" w14:textId="77777777" w:rsidR="00516D27" w:rsidRPr="00097A86" w:rsidRDefault="00516D27" w:rsidP="00D22D3F">
      <w:pPr>
        <w:pStyle w:val="paragraph"/>
      </w:pPr>
      <w:r w:rsidRPr="00097A86">
        <w:tab/>
        <w:t>(a)</w:t>
      </w:r>
      <w:r w:rsidRPr="00097A86">
        <w:tab/>
        <w:t>treatment in wastewater collection and treatment systems; or</w:t>
      </w:r>
    </w:p>
    <w:p w14:paraId="08D4472E" w14:textId="77777777" w:rsidR="00516D27" w:rsidRDefault="00516D27" w:rsidP="00D22D3F">
      <w:pPr>
        <w:pStyle w:val="paragraph"/>
      </w:pPr>
      <w:r w:rsidRPr="00097A86">
        <w:tab/>
        <w:t>(b)</w:t>
      </w:r>
      <w:r w:rsidRPr="00097A86">
        <w:tab/>
        <w:t>discharge into surface waters.</w:t>
      </w:r>
    </w:p>
    <w:p w14:paraId="52BB5673" w14:textId="77777777" w:rsidR="007F06ED" w:rsidRDefault="007F06ED" w:rsidP="002827A0">
      <w:pPr>
        <w:pStyle w:val="subsection"/>
      </w:pPr>
      <w:r>
        <w:tab/>
        <w:t>(1A)</w:t>
      </w:r>
      <w:r>
        <w:tab/>
        <w:t>However, this Part is</w:t>
      </w:r>
      <w:r w:rsidRPr="00A16E99">
        <w:t xml:space="preserve"> </w:t>
      </w:r>
      <w:r>
        <w:t xml:space="preserve">not </w:t>
      </w:r>
      <w:r w:rsidRPr="00A16E99">
        <w:t xml:space="preserve">applicable to </w:t>
      </w:r>
      <w:r>
        <w:t>a person providing a report to the Regulator under the Act</w:t>
      </w:r>
      <w:r w:rsidRPr="00A16E99">
        <w:t xml:space="preserve"> whose primary activities lie </w:t>
      </w:r>
      <w:r>
        <w:t>outside of item 192, Water supply, s</w:t>
      </w:r>
      <w:r w:rsidRPr="00A16E99">
        <w:t xml:space="preserve">ewerage and drainage services (ANZSIC code 281), </w:t>
      </w:r>
      <w:r>
        <w:t xml:space="preserve">in </w:t>
      </w:r>
      <w:r w:rsidRPr="00A16E99">
        <w:t xml:space="preserve">Schedule 2 </w:t>
      </w:r>
      <w:r>
        <w:t>of the</w:t>
      </w:r>
      <w:r w:rsidRPr="00A16E99">
        <w:t xml:space="preserve"> Regulations.</w:t>
      </w:r>
    </w:p>
    <w:p w14:paraId="77F05017" w14:textId="77777777" w:rsidR="00516D27" w:rsidRPr="00097A86" w:rsidRDefault="007F06ED" w:rsidP="00D22D3F">
      <w:pPr>
        <w:pStyle w:val="subsection"/>
      </w:pPr>
      <w:r>
        <w:tab/>
      </w:r>
      <w:r w:rsidR="00516D27" w:rsidRPr="00097A86">
        <w:t>(2)</w:t>
      </w:r>
      <w:r w:rsidR="00516D27" w:rsidRPr="00097A86">
        <w:tab/>
        <w:t xml:space="preserve">In this section, </w:t>
      </w:r>
      <w:r w:rsidR="00516D27" w:rsidRPr="00097A86">
        <w:rPr>
          <w:b/>
          <w:i/>
        </w:rPr>
        <w:t>domestic or commercial wastewater</w:t>
      </w:r>
      <w:r w:rsidR="00516D27" w:rsidRPr="00097A86">
        <w:t xml:space="preserve"> means liquid wastes and sludge (including human waste) from housing or commercial premises.</w:t>
      </w:r>
    </w:p>
    <w:p w14:paraId="593D8C26" w14:textId="77777777" w:rsidR="003F0D4E" w:rsidRPr="00097A86" w:rsidRDefault="003F0D4E" w:rsidP="00D22D3F">
      <w:pPr>
        <w:pStyle w:val="ActHead5"/>
      </w:pPr>
      <w:bookmarkStart w:id="593" w:name="_Toc13234020"/>
      <w:r w:rsidRPr="00097A86">
        <w:rPr>
          <w:rStyle w:val="CharSectno"/>
        </w:rPr>
        <w:t>5.24</w:t>
      </w:r>
      <w:r w:rsidR="00D22D3F" w:rsidRPr="00097A86">
        <w:t xml:space="preserve">  </w:t>
      </w:r>
      <w:r w:rsidRPr="00097A86">
        <w:t>Available methods</w:t>
      </w:r>
      <w:bookmarkEnd w:id="593"/>
    </w:p>
    <w:p w14:paraId="29366925" w14:textId="77777777" w:rsidR="003F0D4E" w:rsidRPr="00097A86" w:rsidRDefault="003F0D4E" w:rsidP="00D22D3F">
      <w:pPr>
        <w:pStyle w:val="subsection"/>
      </w:pPr>
      <w:r w:rsidRPr="00097A86">
        <w:tab/>
        <w:t>(1)</w:t>
      </w:r>
      <w:r w:rsidRPr="00097A86">
        <w:tab/>
        <w:t>Subject to section</w:t>
      </w:r>
      <w:r w:rsidR="00097A86">
        <w:t> </w:t>
      </w:r>
      <w:r w:rsidRPr="00097A86">
        <w:t xml:space="preserve">1.18, for estimating emissions released from the operation of a facility that is constituted by wastewater handling (domestic and commercial) (the </w:t>
      </w:r>
      <w:r w:rsidRPr="00097A86">
        <w:rPr>
          <w:b/>
          <w:i/>
        </w:rPr>
        <w:t>plant</w:t>
      </w:r>
      <w:r w:rsidRPr="00097A86">
        <w:t>) during a year:</w:t>
      </w:r>
    </w:p>
    <w:p w14:paraId="276C7407" w14:textId="77777777" w:rsidR="003F0D4E" w:rsidRPr="00097A86" w:rsidRDefault="003F0D4E" w:rsidP="00D22D3F">
      <w:pPr>
        <w:pStyle w:val="paragraph"/>
      </w:pPr>
      <w:r w:rsidRPr="00097A86">
        <w:tab/>
        <w:t>(a)</w:t>
      </w:r>
      <w:r w:rsidRPr="00097A86">
        <w:tab/>
        <w:t>one of the following methods must be used for emissions of methane from the plant (other than from flaring of methane):</w:t>
      </w:r>
    </w:p>
    <w:p w14:paraId="06AC043E" w14:textId="77777777" w:rsidR="003F0D4E" w:rsidRPr="00097A86" w:rsidRDefault="003F0D4E" w:rsidP="00D22D3F">
      <w:pPr>
        <w:pStyle w:val="paragraphsub"/>
      </w:pPr>
      <w:r w:rsidRPr="00097A86">
        <w:tab/>
        <w:t>(i)</w:t>
      </w:r>
      <w:r w:rsidRPr="00097A86">
        <w:tab/>
        <w:t>method 1 under section</w:t>
      </w:r>
      <w:r w:rsidR="00097A86">
        <w:t> </w:t>
      </w:r>
      <w:r w:rsidRPr="00097A86">
        <w:t>5.25;</w:t>
      </w:r>
    </w:p>
    <w:p w14:paraId="102B6DE2" w14:textId="77777777" w:rsidR="003F0D4E" w:rsidRPr="00097A86" w:rsidRDefault="003F0D4E" w:rsidP="00D22D3F">
      <w:pPr>
        <w:pStyle w:val="paragraphsub"/>
      </w:pPr>
      <w:r w:rsidRPr="00097A86">
        <w:tab/>
        <w:t>(ii)</w:t>
      </w:r>
      <w:r w:rsidRPr="00097A86">
        <w:tab/>
        <w:t>method 2 under section</w:t>
      </w:r>
      <w:r w:rsidR="00097A86">
        <w:t> </w:t>
      </w:r>
      <w:r w:rsidRPr="00097A86">
        <w:t>5.26;</w:t>
      </w:r>
    </w:p>
    <w:p w14:paraId="6D2322C8" w14:textId="77777777" w:rsidR="003F0D4E" w:rsidRPr="00097A86" w:rsidRDefault="003F0D4E" w:rsidP="00D22D3F">
      <w:pPr>
        <w:pStyle w:val="paragraphsub"/>
      </w:pPr>
      <w:r w:rsidRPr="00097A86">
        <w:tab/>
        <w:t>(iii)</w:t>
      </w:r>
      <w:r w:rsidRPr="00097A86">
        <w:tab/>
        <w:t>method 3 under section</w:t>
      </w:r>
      <w:r w:rsidR="00097A86">
        <w:t> </w:t>
      </w:r>
      <w:r w:rsidRPr="00097A86">
        <w:t>5.30; and</w:t>
      </w:r>
    </w:p>
    <w:p w14:paraId="77FA4EE2" w14:textId="77777777" w:rsidR="003F0D4E" w:rsidRPr="00097A86" w:rsidRDefault="003F0D4E" w:rsidP="00D22D3F">
      <w:pPr>
        <w:pStyle w:val="paragraph"/>
      </w:pPr>
      <w:r w:rsidRPr="00097A86">
        <w:tab/>
        <w:t>(b)</w:t>
      </w:r>
      <w:r w:rsidRPr="00097A86">
        <w:tab/>
        <w:t>one of the following methods must be used for emissions of nitrous oxide from the plant (other than from flaring of methane):</w:t>
      </w:r>
    </w:p>
    <w:p w14:paraId="58B13A99" w14:textId="77777777" w:rsidR="003F0D4E" w:rsidRPr="00097A86" w:rsidRDefault="003F0D4E" w:rsidP="00D22D3F">
      <w:pPr>
        <w:pStyle w:val="paragraphsub"/>
      </w:pPr>
      <w:r w:rsidRPr="00097A86">
        <w:tab/>
        <w:t>(i)</w:t>
      </w:r>
      <w:r w:rsidRPr="00097A86">
        <w:tab/>
        <w:t>method 1 under section</w:t>
      </w:r>
      <w:r w:rsidR="00097A86">
        <w:t> </w:t>
      </w:r>
      <w:r w:rsidRPr="00097A86">
        <w:t>5.31;</w:t>
      </w:r>
    </w:p>
    <w:p w14:paraId="2221DB39" w14:textId="77777777" w:rsidR="003F0D4E" w:rsidRPr="00097A86" w:rsidRDefault="003F0D4E" w:rsidP="00D22D3F">
      <w:pPr>
        <w:pStyle w:val="paragraphsub"/>
      </w:pPr>
      <w:r w:rsidRPr="00097A86">
        <w:tab/>
        <w:t>(ii)</w:t>
      </w:r>
      <w:r w:rsidRPr="00097A86">
        <w:tab/>
        <w:t>method 2 under section</w:t>
      </w:r>
      <w:r w:rsidR="00097A86">
        <w:t> </w:t>
      </w:r>
      <w:r w:rsidRPr="00097A86">
        <w:t>5.32;</w:t>
      </w:r>
    </w:p>
    <w:p w14:paraId="07E3D2CE" w14:textId="77777777" w:rsidR="003F0D4E" w:rsidRPr="00097A86" w:rsidRDefault="003F0D4E" w:rsidP="00D22D3F">
      <w:pPr>
        <w:pStyle w:val="paragraphsub"/>
      </w:pPr>
      <w:r w:rsidRPr="00097A86">
        <w:tab/>
        <w:t>(iii)</w:t>
      </w:r>
      <w:r w:rsidRPr="00097A86">
        <w:tab/>
        <w:t>method 3 under section</w:t>
      </w:r>
      <w:r w:rsidR="00097A86">
        <w:t> </w:t>
      </w:r>
      <w:r w:rsidRPr="00097A86">
        <w:t>5.36; and</w:t>
      </w:r>
    </w:p>
    <w:p w14:paraId="4A1AEC0C" w14:textId="77777777" w:rsidR="003F0D4E" w:rsidRPr="00097A86" w:rsidRDefault="003F0D4E" w:rsidP="00D22D3F">
      <w:pPr>
        <w:pStyle w:val="paragraph"/>
      </w:pPr>
      <w:r w:rsidRPr="00097A86">
        <w:tab/>
        <w:t>(c)</w:t>
      </w:r>
      <w:r w:rsidRPr="00097A86">
        <w:tab/>
        <w:t>one of the following methods must be used for emissions for each gas type as a result of methane flared from the plant:</w:t>
      </w:r>
    </w:p>
    <w:p w14:paraId="05DE5F94" w14:textId="77777777" w:rsidR="003F0D4E" w:rsidRPr="00097A86" w:rsidRDefault="003F0D4E" w:rsidP="00D22D3F">
      <w:pPr>
        <w:pStyle w:val="paragraphsub"/>
      </w:pPr>
      <w:r w:rsidRPr="00097A86">
        <w:tab/>
        <w:t>(i)</w:t>
      </w:r>
      <w:r w:rsidRPr="00097A86">
        <w:tab/>
        <w:t>method 1 under section</w:t>
      </w:r>
      <w:r w:rsidR="00097A86">
        <w:t> </w:t>
      </w:r>
      <w:r w:rsidRPr="00097A86">
        <w:t>5.37;</w:t>
      </w:r>
    </w:p>
    <w:p w14:paraId="3F0574BA" w14:textId="77777777" w:rsidR="003F0D4E" w:rsidRPr="00097A86" w:rsidRDefault="003F0D4E" w:rsidP="00D22D3F">
      <w:pPr>
        <w:pStyle w:val="paragraphsub"/>
      </w:pPr>
      <w:r w:rsidRPr="00097A86">
        <w:tab/>
        <w:t>(ii)</w:t>
      </w:r>
      <w:r w:rsidRPr="00097A86">
        <w:tab/>
        <w:t>method 2 under section</w:t>
      </w:r>
      <w:r w:rsidR="00097A86">
        <w:t> </w:t>
      </w:r>
      <w:r w:rsidRPr="00097A86">
        <w:t>5.38;</w:t>
      </w:r>
    </w:p>
    <w:p w14:paraId="4F5BD3BE" w14:textId="77777777" w:rsidR="003F0D4E" w:rsidRPr="00097A86" w:rsidRDefault="003F0D4E" w:rsidP="00D22D3F">
      <w:pPr>
        <w:pStyle w:val="paragraphsub"/>
      </w:pPr>
      <w:r w:rsidRPr="00097A86">
        <w:tab/>
        <w:t>(iii)</w:t>
      </w:r>
      <w:r w:rsidRPr="00097A86">
        <w:tab/>
        <w:t>method 3 under section</w:t>
      </w:r>
      <w:r w:rsidR="00097A86">
        <w:t> </w:t>
      </w:r>
      <w:r w:rsidRPr="00097A86">
        <w:t>5.39.</w:t>
      </w:r>
    </w:p>
    <w:p w14:paraId="10D70781" w14:textId="77777777" w:rsidR="003F0D4E" w:rsidRPr="00097A86" w:rsidRDefault="003F0D4E" w:rsidP="00D22D3F">
      <w:pPr>
        <w:pStyle w:val="subsection"/>
      </w:pPr>
      <w:r w:rsidRPr="00097A86">
        <w:tab/>
        <w:t>(2)</w:t>
      </w:r>
      <w:r w:rsidRPr="00097A86">
        <w:tab/>
        <w:t xml:space="preserve">Under </w:t>
      </w:r>
      <w:r w:rsidR="00097A86">
        <w:t>paragraph (</w:t>
      </w:r>
      <w:r w:rsidRPr="00097A86">
        <w:t>1)(c), the same method must be used for estimating emissions of each gas type.</w:t>
      </w:r>
    </w:p>
    <w:p w14:paraId="24478D6C" w14:textId="77777777" w:rsidR="003F0D4E" w:rsidRPr="00097A86" w:rsidRDefault="003F0D4E" w:rsidP="00D22D3F">
      <w:pPr>
        <w:pStyle w:val="subsection"/>
      </w:pPr>
      <w:r w:rsidRPr="00097A86">
        <w:tab/>
        <w:t>(3)</w:t>
      </w:r>
      <w:r w:rsidRPr="00097A86">
        <w:tab/>
        <w:t xml:space="preserve">For </w:t>
      </w:r>
      <w:r w:rsidR="008F5A20" w:rsidRPr="00097A86">
        <w:t>incidental emissions</w:t>
      </w:r>
      <w:r w:rsidRPr="00097A86">
        <w:t xml:space="preserve"> another method may be used that is consistent with the principles in section</w:t>
      </w:r>
      <w:r w:rsidR="00097A86">
        <w:t> </w:t>
      </w:r>
      <w:r w:rsidRPr="00097A86">
        <w:t>1.13.</w:t>
      </w:r>
    </w:p>
    <w:p w14:paraId="68092C7E" w14:textId="77777777" w:rsidR="003F0D4E" w:rsidRPr="00097A86" w:rsidRDefault="00D22D3F" w:rsidP="00D22D3F">
      <w:pPr>
        <w:pStyle w:val="notetext"/>
      </w:pPr>
      <w:r w:rsidRPr="00097A86">
        <w:t>Note:</w:t>
      </w:r>
      <w:r w:rsidRPr="00097A86">
        <w:tab/>
      </w:r>
      <w:r w:rsidR="003F0D4E" w:rsidRPr="00097A86">
        <w:t xml:space="preserve">There is no method 4 for </w:t>
      </w:r>
      <w:r w:rsidR="00097A86">
        <w:t>paragraphs (</w:t>
      </w:r>
      <w:r w:rsidR="003F0D4E" w:rsidRPr="00097A86">
        <w:t>1)</w:t>
      </w:r>
      <w:r w:rsidR="00B46E63" w:rsidRPr="00097A86">
        <w:t>(</w:t>
      </w:r>
      <w:r w:rsidR="003F0D4E" w:rsidRPr="00097A86">
        <w:t>a), (b) and (c).</w:t>
      </w:r>
    </w:p>
    <w:p w14:paraId="42FCC9D2" w14:textId="77777777" w:rsidR="003F0D4E" w:rsidRPr="00097A86" w:rsidRDefault="003F0D4E" w:rsidP="004C53FA">
      <w:pPr>
        <w:pStyle w:val="ActHead3"/>
        <w:pageBreakBefore/>
      </w:pPr>
      <w:bookmarkStart w:id="594" w:name="_Toc13234021"/>
      <w:r w:rsidRPr="00097A86">
        <w:rPr>
          <w:rStyle w:val="CharDivNo"/>
        </w:rPr>
        <w:lastRenderedPageBreak/>
        <w:t>Division</w:t>
      </w:r>
      <w:r w:rsidR="00097A86">
        <w:rPr>
          <w:rStyle w:val="CharDivNo"/>
        </w:rPr>
        <w:t> </w:t>
      </w:r>
      <w:r w:rsidRPr="00097A86">
        <w:rPr>
          <w:rStyle w:val="CharDivNo"/>
        </w:rPr>
        <w:t>5.3.2</w:t>
      </w:r>
      <w:r w:rsidR="00D22D3F" w:rsidRPr="00097A86">
        <w:t>—</w:t>
      </w:r>
      <w:r w:rsidRPr="00097A86">
        <w:rPr>
          <w:rStyle w:val="CharDivText"/>
        </w:rPr>
        <w:t>Method 1</w:t>
      </w:r>
      <w:r w:rsidR="00D22D3F" w:rsidRPr="00097A86">
        <w:rPr>
          <w:rStyle w:val="CharDivText"/>
        </w:rPr>
        <w:t>—</w:t>
      </w:r>
      <w:r w:rsidRPr="00097A86">
        <w:rPr>
          <w:rStyle w:val="CharDivText"/>
        </w:rPr>
        <w:t>methane released from wastewater handling (domestic and commercial)</w:t>
      </w:r>
      <w:bookmarkEnd w:id="594"/>
    </w:p>
    <w:p w14:paraId="76D75447" w14:textId="77777777" w:rsidR="003F0D4E" w:rsidRPr="00097A86" w:rsidRDefault="003F0D4E" w:rsidP="00D22D3F">
      <w:pPr>
        <w:pStyle w:val="ActHead5"/>
      </w:pPr>
      <w:bookmarkStart w:id="595" w:name="_Toc13234022"/>
      <w:r w:rsidRPr="00097A86">
        <w:rPr>
          <w:rStyle w:val="CharSectno"/>
        </w:rPr>
        <w:t>5.25</w:t>
      </w:r>
      <w:r w:rsidR="00D22D3F" w:rsidRPr="00097A86">
        <w:t xml:space="preserve">  </w:t>
      </w:r>
      <w:r w:rsidRPr="00097A86">
        <w:t>Method 1</w:t>
      </w:r>
      <w:r w:rsidR="00D22D3F" w:rsidRPr="00097A86">
        <w:t>—</w:t>
      </w:r>
      <w:r w:rsidRPr="00097A86">
        <w:t>methane released from wastewater handling (domestic and commercial)</w:t>
      </w:r>
      <w:bookmarkEnd w:id="595"/>
    </w:p>
    <w:p w14:paraId="3DC92393" w14:textId="77777777" w:rsidR="003F0D4E" w:rsidRPr="00097A86" w:rsidRDefault="003F0D4E" w:rsidP="00D22D3F">
      <w:pPr>
        <w:pStyle w:val="subsection"/>
      </w:pPr>
      <w:r w:rsidRPr="00097A86">
        <w:tab/>
        <w:t>(1)</w:t>
      </w:r>
      <w:r w:rsidRPr="00097A86">
        <w:tab/>
        <w:t>For subparagraph</w:t>
      </w:r>
      <w:r w:rsidR="00097A86">
        <w:t> </w:t>
      </w:r>
      <w:r w:rsidRPr="00097A86">
        <w:t>5.24(1)(a)(i), method 1 is:</w:t>
      </w:r>
    </w:p>
    <w:p w14:paraId="68669AF0"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34CDE3C6" wp14:editId="59A7F79A">
            <wp:extent cx="2419350" cy="3238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19350" cy="323850"/>
                    </a:xfrm>
                    <a:prstGeom prst="rect">
                      <a:avLst/>
                    </a:prstGeom>
                    <a:noFill/>
                    <a:ln>
                      <a:noFill/>
                    </a:ln>
                  </pic:spPr>
                </pic:pic>
              </a:graphicData>
            </a:graphic>
          </wp:inline>
        </w:drawing>
      </w:r>
    </w:p>
    <w:p w14:paraId="4352CF8A" w14:textId="77777777" w:rsidR="003F0D4E" w:rsidRPr="00097A86" w:rsidRDefault="003F0D4E" w:rsidP="00D22D3F">
      <w:pPr>
        <w:pStyle w:val="subsection2"/>
      </w:pPr>
      <w:r w:rsidRPr="00097A86">
        <w:t>where:</w:t>
      </w:r>
    </w:p>
    <w:p w14:paraId="5AF0BF9E" w14:textId="77777777" w:rsidR="003F0D4E" w:rsidRPr="00097A86" w:rsidRDefault="003F0D4E" w:rsidP="00D22D3F">
      <w:pPr>
        <w:pStyle w:val="Definition"/>
      </w:pPr>
      <w:r w:rsidRPr="00097A86">
        <w:rPr>
          <w:b/>
          <w:i/>
        </w:rPr>
        <w:t>E</w:t>
      </w:r>
      <w:r w:rsidRPr="00097A86">
        <w:rPr>
          <w:rStyle w:val="charSubscript"/>
          <w:b/>
          <w:i/>
        </w:rPr>
        <w:t>j</w:t>
      </w:r>
      <w:r w:rsidRPr="00097A86">
        <w:rPr>
          <w:b/>
          <w:i/>
        </w:rPr>
        <w:t xml:space="preserve"> </w:t>
      </w:r>
      <w:r w:rsidRPr="00097A86">
        <w:t>is the emissions of methane released by the plant during the year measured in CO</w:t>
      </w:r>
      <w:r w:rsidRPr="00097A86">
        <w:rPr>
          <w:vertAlign w:val="subscript"/>
        </w:rPr>
        <w:t>2</w:t>
      </w:r>
      <w:r w:rsidR="00097A86">
        <w:noBreakHyphen/>
      </w:r>
      <w:r w:rsidRPr="00097A86">
        <w:t>e tonnes.</w:t>
      </w:r>
    </w:p>
    <w:p w14:paraId="60F3EC1C" w14:textId="77777777" w:rsidR="003F0D4E" w:rsidRPr="00097A86" w:rsidRDefault="003F0D4E" w:rsidP="00D22D3F">
      <w:pPr>
        <w:pStyle w:val="Definition"/>
      </w:pPr>
      <w:r w:rsidRPr="00097A86">
        <w:rPr>
          <w:b/>
          <w:i/>
        </w:rPr>
        <w:t>CH</w:t>
      </w:r>
      <w:r w:rsidRPr="00097A86">
        <w:rPr>
          <w:b/>
          <w:i/>
          <w:vertAlign w:val="subscript"/>
        </w:rPr>
        <w:t>4</w:t>
      </w:r>
      <w:r w:rsidR="00097A86" w:rsidRPr="00097A86">
        <w:rPr>
          <w:b/>
          <w:i/>
          <w:position w:val="6"/>
          <w:sz w:val="16"/>
          <w:vertAlign w:val="superscript"/>
        </w:rPr>
        <w:t>*</w:t>
      </w:r>
      <w:r w:rsidRPr="00097A86">
        <w:rPr>
          <w:b/>
          <w:i/>
          <w:vertAlign w:val="superscript"/>
        </w:rPr>
        <w:t xml:space="preserve"> </w:t>
      </w:r>
      <w:r w:rsidRPr="00097A86">
        <w:t>is the estimated quantity of methane in sludge biogas released by the plant during the year measured in CO</w:t>
      </w:r>
      <w:r w:rsidRPr="00097A86">
        <w:rPr>
          <w:vertAlign w:val="subscript"/>
        </w:rPr>
        <w:t>2</w:t>
      </w:r>
      <w:r w:rsidR="00097A86">
        <w:noBreakHyphen/>
      </w:r>
      <w:r w:rsidRPr="00097A86">
        <w:t xml:space="preserve">e tonnes as determined under </w:t>
      </w:r>
      <w:r w:rsidR="00097A86">
        <w:t>subsections (</w:t>
      </w:r>
      <w:r w:rsidRPr="00097A86">
        <w:t>2) and (3).</w:t>
      </w:r>
    </w:p>
    <w:p w14:paraId="08B5D49A" w14:textId="77777777" w:rsidR="003F0D4E" w:rsidRPr="00097A86" w:rsidRDefault="003F0D4E" w:rsidP="00D22D3F">
      <w:pPr>
        <w:pStyle w:val="Definition"/>
      </w:pPr>
      <w:r w:rsidRPr="00097A86">
        <w:rPr>
          <w:b/>
          <w:i/>
        </w:rPr>
        <w:t xml:space="preserve">γ </w:t>
      </w:r>
      <w:r w:rsidRPr="00097A86">
        <w:t>is the factor 6.784 x 10</w:t>
      </w:r>
      <w:r w:rsidR="00097A86">
        <w:rPr>
          <w:vertAlign w:val="superscript"/>
        </w:rPr>
        <w:noBreakHyphen/>
      </w:r>
      <w:r w:rsidRPr="00097A86">
        <w:rPr>
          <w:vertAlign w:val="superscript"/>
        </w:rPr>
        <w:t xml:space="preserve">4 </w:t>
      </w:r>
      <w:r w:rsidRPr="00097A86">
        <w:t xml:space="preserve">x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42A9D709" w14:textId="77777777" w:rsidR="003F0D4E" w:rsidRPr="00097A86" w:rsidRDefault="003F0D4E"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sludge biogas captured for combustion for use by the plant during the year measured in cubic metres in accordance with Division</w:t>
      </w:r>
      <w:r w:rsidR="00097A86">
        <w:t> </w:t>
      </w:r>
      <w:r w:rsidRPr="00097A86">
        <w:t>2.3.6.</w:t>
      </w:r>
    </w:p>
    <w:p w14:paraId="08AB4BDD"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sludge biogas flared during the year by the plant measured in cubic metres in accordance with Division</w:t>
      </w:r>
      <w:r w:rsidR="00097A86">
        <w:t> </w:t>
      </w:r>
      <w:r w:rsidRPr="00097A86">
        <w:t>2.3.6.</w:t>
      </w:r>
    </w:p>
    <w:p w14:paraId="2E8A1DBA" w14:textId="77777777" w:rsidR="003F0D4E" w:rsidRPr="00097A86" w:rsidRDefault="003F0D4E" w:rsidP="00D22D3F">
      <w:pPr>
        <w:pStyle w:val="Definition"/>
      </w:pPr>
      <w:r w:rsidRPr="00097A86">
        <w:rPr>
          <w:b/>
          <w:i/>
        </w:rPr>
        <w:t>Q</w:t>
      </w:r>
      <w:r w:rsidRPr="00097A86">
        <w:rPr>
          <w:b/>
          <w:i/>
          <w:vertAlign w:val="subscript"/>
        </w:rPr>
        <w:t>tr</w:t>
      </w:r>
      <w:r w:rsidRPr="00097A86">
        <w:rPr>
          <w:b/>
          <w:i/>
        </w:rPr>
        <w:t xml:space="preserve"> </w:t>
      </w:r>
      <w:r w:rsidRPr="00097A86">
        <w:t>is the quantity of methane in sludge biogas transferred out of the plant during the year measured in cubic metres in accordance with Division</w:t>
      </w:r>
      <w:r w:rsidR="00097A86">
        <w:t> </w:t>
      </w:r>
      <w:r w:rsidRPr="00097A86">
        <w:t>2.3.6.</w:t>
      </w:r>
    </w:p>
    <w:p w14:paraId="03A32424" w14:textId="77777777" w:rsidR="00FD3B49" w:rsidRPr="00097A86" w:rsidRDefault="00FD3B49" w:rsidP="00D22D3F">
      <w:pPr>
        <w:pStyle w:val="subsection"/>
      </w:pPr>
      <w:r w:rsidRPr="00097A86">
        <w:tab/>
        <w:t>(2)</w:t>
      </w:r>
      <w:r w:rsidRPr="00097A86">
        <w:tab/>
        <w:t xml:space="preserve">For </w:t>
      </w:r>
      <w:r w:rsidR="00097A86">
        <w:t>subsection (</w:t>
      </w:r>
      <w:r w:rsidRPr="00097A86">
        <w:t>1), if:</w:t>
      </w:r>
    </w:p>
    <w:p w14:paraId="24AE3C11" w14:textId="77777777" w:rsidR="00FD3B49" w:rsidRPr="00097A86" w:rsidRDefault="00D22D3F" w:rsidP="00D22D3F">
      <w:pPr>
        <w:pStyle w:val="subsection"/>
        <w:spacing w:before="120" w:after="120"/>
      </w:pPr>
      <w:r w:rsidRPr="00097A86">
        <w:tab/>
      </w:r>
      <w:r w:rsidRPr="00097A86">
        <w:tab/>
      </w:r>
      <w:r w:rsidR="009E1F90">
        <w:rPr>
          <w:noProof/>
        </w:rPr>
        <w:drawing>
          <wp:inline distT="0" distB="0" distL="0" distR="0" wp14:anchorId="1BD2A32B" wp14:editId="7ACA6263">
            <wp:extent cx="1485900" cy="495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4B431A7D" w14:textId="77777777" w:rsidR="00FD3B49" w:rsidRPr="00097A86" w:rsidRDefault="00FD3B49" w:rsidP="00D22D3F">
      <w:pPr>
        <w:pStyle w:val="subsection2"/>
      </w:pPr>
      <w:r w:rsidRPr="00097A86">
        <w:t>is less than or equal to 0.75, then:</w:t>
      </w:r>
    </w:p>
    <w:p w14:paraId="685BFDBB" w14:textId="77777777" w:rsidR="00FD3B49" w:rsidRPr="00097A86" w:rsidRDefault="009E1F90" w:rsidP="00D22D3F">
      <w:pPr>
        <w:pStyle w:val="subsection2"/>
        <w:spacing w:before="120" w:after="120"/>
      </w:pPr>
      <w:r>
        <w:rPr>
          <w:noProof/>
        </w:rPr>
        <w:drawing>
          <wp:inline distT="0" distB="0" distL="0" distR="0" wp14:anchorId="412D71E4" wp14:editId="07771079">
            <wp:extent cx="1000125" cy="24765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14:paraId="2C21E459" w14:textId="77777777" w:rsidR="00FD3B49" w:rsidRPr="00097A86" w:rsidRDefault="00FD3B49" w:rsidP="00D22D3F">
      <w:pPr>
        <w:pStyle w:val="subsection2"/>
      </w:pPr>
      <w:r w:rsidRPr="00097A86">
        <w:t>where:</w:t>
      </w:r>
    </w:p>
    <w:p w14:paraId="2B41F603" w14:textId="77777777" w:rsidR="00FD3B49" w:rsidRPr="00097A86" w:rsidRDefault="00FD3B49" w:rsidP="00D22D3F">
      <w:pPr>
        <w:pStyle w:val="Definition"/>
      </w:pPr>
      <w:r w:rsidRPr="00097A86">
        <w:rPr>
          <w:b/>
          <w:i/>
        </w:rPr>
        <w:t>CH</w:t>
      </w:r>
      <w:r w:rsidRPr="00097A86">
        <w:rPr>
          <w:b/>
          <w:i/>
          <w:vertAlign w:val="subscript"/>
        </w:rPr>
        <w:t>4gen</w:t>
      </w:r>
      <w:r w:rsidRPr="00097A86">
        <w:rPr>
          <w:b/>
          <w:i/>
        </w:rPr>
        <w:t xml:space="preserve"> </w:t>
      </w:r>
      <w:r w:rsidRPr="00097A86">
        <w:t xml:space="preserve">is the quantity of methane in sludge biogas produced by the plant during the year, estimated in accordance with </w:t>
      </w:r>
      <w:r w:rsidR="00097A86">
        <w:t>subsection (</w:t>
      </w:r>
      <w:r w:rsidRPr="00097A86">
        <w:t>5) and measured in CO</w:t>
      </w:r>
      <w:r w:rsidRPr="00097A86">
        <w:rPr>
          <w:vertAlign w:val="subscript"/>
        </w:rPr>
        <w:t>2</w:t>
      </w:r>
      <w:r w:rsidR="00097A86">
        <w:noBreakHyphen/>
      </w:r>
      <w:r w:rsidRPr="00097A86">
        <w:t>e tonnes.</w:t>
      </w:r>
    </w:p>
    <w:p w14:paraId="1C87961A" w14:textId="77777777" w:rsidR="00FD3B49" w:rsidRPr="00097A86" w:rsidRDefault="00FD3B49" w:rsidP="00D22D3F">
      <w:pPr>
        <w:pStyle w:val="subsection"/>
      </w:pPr>
      <w:r w:rsidRPr="00097A86">
        <w:tab/>
        <w:t>(3)</w:t>
      </w:r>
      <w:r w:rsidRPr="00097A86">
        <w:tab/>
        <w:t xml:space="preserve">For </w:t>
      </w:r>
      <w:r w:rsidR="00097A86">
        <w:t>subsection (</w:t>
      </w:r>
      <w:r w:rsidRPr="00097A86">
        <w:t>1), if:</w:t>
      </w:r>
    </w:p>
    <w:p w14:paraId="18962217" w14:textId="77777777" w:rsidR="00FD3B49" w:rsidRPr="00097A86" w:rsidRDefault="00D22D3F" w:rsidP="00D22D3F">
      <w:pPr>
        <w:pStyle w:val="subsection"/>
        <w:spacing w:before="120" w:after="120"/>
      </w:pPr>
      <w:r w:rsidRPr="00097A86">
        <w:lastRenderedPageBreak/>
        <w:tab/>
      </w:r>
      <w:r w:rsidRPr="00097A86">
        <w:tab/>
      </w:r>
      <w:r w:rsidR="009E1F90">
        <w:rPr>
          <w:noProof/>
        </w:rPr>
        <w:drawing>
          <wp:inline distT="0" distB="0" distL="0" distR="0" wp14:anchorId="7DBFA0DC" wp14:editId="3B8B0CE3">
            <wp:extent cx="1485900" cy="495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52A67A23" w14:textId="77777777" w:rsidR="00FD3B49" w:rsidRPr="00097A86" w:rsidRDefault="00FD3B49" w:rsidP="00D22D3F">
      <w:pPr>
        <w:pStyle w:val="subsection2"/>
      </w:pPr>
      <w:r w:rsidRPr="00097A86">
        <w:t>is greater than 0.75, then:</w:t>
      </w:r>
    </w:p>
    <w:p w14:paraId="57A869E1" w14:textId="77777777" w:rsidR="00FD3B49" w:rsidRPr="00097A86" w:rsidRDefault="009E1F90" w:rsidP="00D22D3F">
      <w:pPr>
        <w:pStyle w:val="subsection2"/>
        <w:spacing w:before="120" w:after="120"/>
      </w:pPr>
      <w:r>
        <w:rPr>
          <w:noProof/>
        </w:rPr>
        <w:drawing>
          <wp:inline distT="0" distB="0" distL="0" distR="0" wp14:anchorId="607A28C5" wp14:editId="497AF245">
            <wp:extent cx="2619375" cy="4953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14:paraId="72F2BC6B" w14:textId="77777777" w:rsidR="00FD3B49" w:rsidRPr="00097A86" w:rsidRDefault="00FD3B49" w:rsidP="00D22D3F">
      <w:pPr>
        <w:pStyle w:val="subsection2"/>
      </w:pPr>
      <w:r w:rsidRPr="00097A86">
        <w:t>where:</w:t>
      </w:r>
    </w:p>
    <w:p w14:paraId="65335359" w14:textId="77777777" w:rsidR="00FD3B49" w:rsidRPr="00097A86" w:rsidRDefault="00FD3B49" w:rsidP="00D22D3F">
      <w:pPr>
        <w:pStyle w:val="Definition"/>
      </w:pPr>
      <w:r w:rsidRPr="00097A86">
        <w:rPr>
          <w:b/>
          <w:i/>
        </w:rPr>
        <w:t xml:space="preserve">γ </w:t>
      </w:r>
      <w:r w:rsidRPr="00097A86">
        <w:t>is the factor 6.784 x 10</w:t>
      </w:r>
      <w:r w:rsidR="00097A86">
        <w:rPr>
          <w:vertAlign w:val="superscript"/>
        </w:rPr>
        <w:noBreakHyphen/>
      </w:r>
      <w:r w:rsidRPr="00097A86">
        <w:rPr>
          <w:vertAlign w:val="superscript"/>
        </w:rPr>
        <w:t xml:space="preserve">4 </w:t>
      </w:r>
      <w:r w:rsidRPr="00097A86">
        <w:t xml:space="preserve">x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7D116E8C" w14:textId="77777777" w:rsidR="00FD3B49" w:rsidRPr="00097A86" w:rsidRDefault="00FD3B49"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sludge biogas captured for combustion by the plant, measured in cubic metres in accordance with Division</w:t>
      </w:r>
      <w:r w:rsidR="00097A86">
        <w:t> </w:t>
      </w:r>
      <w:r w:rsidRPr="00097A86">
        <w:t>2.3.6.</w:t>
      </w:r>
    </w:p>
    <w:p w14:paraId="20CADC4F" w14:textId="77777777" w:rsidR="003F0D4E" w:rsidRPr="00097A86" w:rsidRDefault="003F0D4E" w:rsidP="00D22D3F">
      <w:pPr>
        <w:pStyle w:val="subsection"/>
      </w:pPr>
      <w:r w:rsidRPr="00097A86">
        <w:tab/>
        <w:t>(4)</w:t>
      </w:r>
      <w:r w:rsidRPr="00097A86">
        <w:tab/>
        <w:t xml:space="preserve">For </w:t>
      </w:r>
      <w:r w:rsidR="00097A86">
        <w:t>subsections (</w:t>
      </w:r>
      <w:r w:rsidRPr="00097A86">
        <w:t xml:space="preserve">1) and (3), </w:t>
      </w:r>
      <w:r w:rsidRPr="00097A86">
        <w:rPr>
          <w:b/>
          <w:i/>
        </w:rPr>
        <w:t>Q</w:t>
      </w:r>
      <w:r w:rsidRPr="00097A86">
        <w:rPr>
          <w:b/>
          <w:i/>
          <w:vertAlign w:val="subscript"/>
        </w:rPr>
        <w:t>cap</w:t>
      </w:r>
      <w:r w:rsidRPr="00097A86">
        <w:t xml:space="preserve"> is to be calculated in accordance with Division</w:t>
      </w:r>
      <w:r w:rsidR="00097A86">
        <w:t> </w:t>
      </w:r>
      <w:r w:rsidRPr="00097A86">
        <w:t>2.3.6.</w:t>
      </w:r>
    </w:p>
    <w:p w14:paraId="21728876" w14:textId="77777777" w:rsidR="003F0D4E" w:rsidRPr="00097A86" w:rsidRDefault="003F0D4E" w:rsidP="00D22D3F">
      <w:pPr>
        <w:pStyle w:val="subsection"/>
      </w:pPr>
      <w:r w:rsidRPr="00097A86">
        <w:tab/>
        <w:t>(5)</w:t>
      </w:r>
      <w:r w:rsidRPr="00097A86">
        <w:tab/>
        <w:t xml:space="preserve">For </w:t>
      </w:r>
      <w:r w:rsidR="00097A86">
        <w:t>subsection (</w:t>
      </w:r>
      <w:r w:rsidRPr="00097A86">
        <w:t>2):</w:t>
      </w:r>
    </w:p>
    <w:p w14:paraId="41E9CE77" w14:textId="77777777" w:rsidR="0090313D" w:rsidRPr="00097A86" w:rsidRDefault="00D22D3F" w:rsidP="00D22D3F">
      <w:pPr>
        <w:pStyle w:val="subsection"/>
        <w:spacing w:before="120" w:after="120"/>
      </w:pPr>
      <w:r w:rsidRPr="00097A86">
        <w:tab/>
      </w:r>
      <w:r w:rsidRPr="00097A86">
        <w:tab/>
      </w:r>
      <w:r w:rsidR="009E1F90">
        <w:rPr>
          <w:noProof/>
        </w:rPr>
        <w:drawing>
          <wp:inline distT="0" distB="0" distL="0" distR="0" wp14:anchorId="0CAD1FB4" wp14:editId="68A5FFAD">
            <wp:extent cx="3686175" cy="56197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686175" cy="561975"/>
                    </a:xfrm>
                    <a:prstGeom prst="rect">
                      <a:avLst/>
                    </a:prstGeom>
                    <a:noFill/>
                    <a:ln>
                      <a:noFill/>
                    </a:ln>
                  </pic:spPr>
                </pic:pic>
              </a:graphicData>
            </a:graphic>
          </wp:inline>
        </w:drawing>
      </w:r>
    </w:p>
    <w:p w14:paraId="41A27C87" w14:textId="77777777" w:rsidR="003F0D4E" w:rsidRPr="00097A86" w:rsidRDefault="003F0D4E" w:rsidP="00D22D3F">
      <w:pPr>
        <w:pStyle w:val="Definition"/>
      </w:pPr>
      <w:r w:rsidRPr="00097A86">
        <w:t>where:</w:t>
      </w:r>
    </w:p>
    <w:p w14:paraId="119023F5" w14:textId="77777777" w:rsidR="003F0D4E" w:rsidRPr="00097A86" w:rsidRDefault="003F0D4E" w:rsidP="00D22D3F">
      <w:pPr>
        <w:pStyle w:val="Definition"/>
      </w:pPr>
      <w:r w:rsidRPr="00097A86">
        <w:rPr>
          <w:b/>
          <w:i/>
        </w:rPr>
        <w:t>COD</w:t>
      </w:r>
      <w:r w:rsidRPr="00097A86">
        <w:rPr>
          <w:b/>
          <w:i/>
          <w:vertAlign w:val="subscript"/>
        </w:rPr>
        <w:t>W</w:t>
      </w:r>
      <w:r w:rsidRPr="00097A86">
        <w:rPr>
          <w:b/>
          <w:i/>
        </w:rPr>
        <w:t xml:space="preserve"> </w:t>
      </w:r>
      <w:r w:rsidRPr="00097A86">
        <w:t>is the factor worked out as follows:</w:t>
      </w:r>
    </w:p>
    <w:p w14:paraId="61C02A78" w14:textId="77777777" w:rsidR="003F0D4E" w:rsidRPr="00097A86" w:rsidRDefault="009E1F90" w:rsidP="00D22D3F">
      <w:pPr>
        <w:pStyle w:val="Definition"/>
        <w:spacing w:before="120" w:after="120"/>
        <w:rPr>
          <w:vertAlign w:val="subscript"/>
        </w:rPr>
      </w:pPr>
      <w:r>
        <w:rPr>
          <w:noProof/>
          <w:vertAlign w:val="subscript"/>
        </w:rPr>
        <w:drawing>
          <wp:inline distT="0" distB="0" distL="0" distR="0" wp14:anchorId="434E6E08" wp14:editId="32E00F1C">
            <wp:extent cx="1381125" cy="2381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p w14:paraId="242A2DD7" w14:textId="77777777" w:rsidR="003F0D4E" w:rsidRPr="00097A86" w:rsidRDefault="003F0D4E" w:rsidP="007056D9">
      <w:pPr>
        <w:pStyle w:val="Definition"/>
        <w:ind w:left="1701"/>
      </w:pPr>
      <w:r w:rsidRPr="00097A86">
        <w:t>where:</w:t>
      </w:r>
    </w:p>
    <w:p w14:paraId="012D4855" w14:textId="77777777" w:rsidR="003F0D4E" w:rsidRPr="00097A86" w:rsidRDefault="003F0D4E" w:rsidP="007056D9">
      <w:pPr>
        <w:pStyle w:val="Definition"/>
        <w:ind w:left="1701"/>
      </w:pPr>
      <w:r w:rsidRPr="00097A86">
        <w:rPr>
          <w:b/>
          <w:i/>
        </w:rPr>
        <w:t xml:space="preserve">P </w:t>
      </w:r>
      <w:r w:rsidRPr="00097A86">
        <w:t>is the population served by the operation of the plant during the year and measured in numbers of persons.</w:t>
      </w:r>
    </w:p>
    <w:p w14:paraId="413C9356" w14:textId="77777777" w:rsidR="003F0D4E" w:rsidRPr="00097A86" w:rsidRDefault="003F0D4E" w:rsidP="007056D9">
      <w:pPr>
        <w:pStyle w:val="Definition"/>
        <w:ind w:left="1701"/>
      </w:pPr>
      <w:r w:rsidRPr="00097A86">
        <w:rPr>
          <w:b/>
          <w:i/>
        </w:rPr>
        <w:t>DC</w:t>
      </w:r>
      <w:r w:rsidRPr="00097A86">
        <w:rPr>
          <w:rStyle w:val="charSubscript"/>
          <w:b/>
          <w:i/>
        </w:rPr>
        <w:t>w</w:t>
      </w:r>
      <w:r w:rsidRPr="00097A86">
        <w:rPr>
          <w:b/>
          <w:i/>
        </w:rPr>
        <w:t xml:space="preserve"> </w:t>
      </w:r>
      <w:r w:rsidRPr="00097A86">
        <w:t xml:space="preserve">is the quantity in </w:t>
      </w:r>
      <w:r w:rsidR="009369D1" w:rsidRPr="00097A86">
        <w:t>tonnes</w:t>
      </w:r>
      <w:r w:rsidRPr="00097A86">
        <w:t xml:space="preserve"> of COD per capita of wastewater for a year using a default of 0.0585 tonnes per person.</w:t>
      </w:r>
    </w:p>
    <w:p w14:paraId="4BED1565" w14:textId="77777777" w:rsidR="003F0D4E" w:rsidRPr="00097A86" w:rsidRDefault="003F0D4E" w:rsidP="00D22D3F">
      <w:pPr>
        <w:pStyle w:val="Definition"/>
      </w:pPr>
      <w:r w:rsidRPr="00097A86">
        <w:rPr>
          <w:b/>
          <w:i/>
        </w:rPr>
        <w:t>CH</w:t>
      </w:r>
      <w:r w:rsidRPr="00097A86">
        <w:rPr>
          <w:b/>
          <w:i/>
          <w:vertAlign w:val="subscript"/>
        </w:rPr>
        <w:t>4gen</w:t>
      </w:r>
      <w:r w:rsidRPr="00097A86">
        <w:rPr>
          <w:rStyle w:val="charSubscript"/>
          <w:b/>
          <w:i/>
          <w:iCs/>
        </w:rPr>
        <w:t xml:space="preserve"> </w:t>
      </w:r>
      <w:r w:rsidRPr="00097A86">
        <w:t>is the methane generated from commercial wastewater and sludge treatment by the plant during the year measured in CO</w:t>
      </w:r>
      <w:r w:rsidRPr="00097A86">
        <w:rPr>
          <w:vertAlign w:val="subscript"/>
        </w:rPr>
        <w:t>2</w:t>
      </w:r>
      <w:r w:rsidR="00097A86">
        <w:noBreakHyphen/>
      </w:r>
      <w:r w:rsidRPr="00097A86">
        <w:t>e tonnes.</w:t>
      </w:r>
    </w:p>
    <w:p w14:paraId="615AB01C" w14:textId="77777777" w:rsidR="003F0D4E" w:rsidRPr="00097A86" w:rsidRDefault="003F0D4E" w:rsidP="00D22D3F">
      <w:pPr>
        <w:pStyle w:val="Definition"/>
      </w:pPr>
      <w:r w:rsidRPr="00097A86">
        <w:rPr>
          <w:b/>
          <w:i/>
        </w:rPr>
        <w:t>COD</w:t>
      </w:r>
      <w:r w:rsidRPr="00097A86">
        <w:rPr>
          <w:rStyle w:val="charSubscript"/>
          <w:b/>
          <w:i/>
        </w:rPr>
        <w:t>w</w:t>
      </w:r>
      <w:r w:rsidRPr="00097A86">
        <w:rPr>
          <w:b/>
          <w:i/>
        </w:rPr>
        <w:t xml:space="preserve"> </w:t>
      </w:r>
      <w:r w:rsidRPr="00097A86">
        <w:t>is the chemical oxygen demand (</w:t>
      </w:r>
      <w:r w:rsidRPr="00097A86">
        <w:rPr>
          <w:b/>
          <w:i/>
        </w:rPr>
        <w:t>COD</w:t>
      </w:r>
      <w:r w:rsidRPr="00097A86">
        <w:t>) in wastewater entering the plant during the year measured in tonnes.</w:t>
      </w:r>
    </w:p>
    <w:p w14:paraId="6F231C01" w14:textId="77777777" w:rsidR="00055093" w:rsidRPr="00097A86" w:rsidRDefault="00055093" w:rsidP="00D22D3F">
      <w:pPr>
        <w:pStyle w:val="Definition"/>
      </w:pPr>
      <w:r w:rsidRPr="00097A86">
        <w:rPr>
          <w:b/>
          <w:i/>
        </w:rPr>
        <w:t>COD</w:t>
      </w:r>
      <w:r w:rsidRPr="00097A86">
        <w:rPr>
          <w:b/>
          <w:i/>
          <w:vertAlign w:val="subscript"/>
        </w:rPr>
        <w:t>sl</w:t>
      </w:r>
      <w:r w:rsidRPr="00097A86">
        <w:rPr>
          <w:b/>
          <w:i/>
        </w:rPr>
        <w:t xml:space="preserve"> </w:t>
      </w:r>
      <w:r w:rsidRPr="00097A86">
        <w:t>is the quantity of COD removed as sludge from wastewater and treated in the plant measured in tonnes of COD and worked out as follows:</w:t>
      </w:r>
    </w:p>
    <w:p w14:paraId="30F6398A" w14:textId="77777777" w:rsidR="00055093" w:rsidRPr="00097A86" w:rsidRDefault="009E1F90" w:rsidP="00D22D3F">
      <w:pPr>
        <w:pStyle w:val="Definition"/>
        <w:spacing w:before="120" w:after="120"/>
      </w:pPr>
      <w:r>
        <w:rPr>
          <w:noProof/>
        </w:rPr>
        <w:drawing>
          <wp:inline distT="0" distB="0" distL="0" distR="0" wp14:anchorId="58B075B8" wp14:editId="04A0F7CD">
            <wp:extent cx="1685925" cy="2381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p w14:paraId="710A419D" w14:textId="77777777" w:rsidR="00055093" w:rsidRPr="00097A86" w:rsidRDefault="00055093" w:rsidP="007056D9">
      <w:pPr>
        <w:pStyle w:val="Definition"/>
        <w:ind w:left="1701"/>
      </w:pPr>
      <w:r w:rsidRPr="00097A86">
        <w:t>where:</w:t>
      </w:r>
    </w:p>
    <w:p w14:paraId="3184261D" w14:textId="77777777" w:rsidR="00055093" w:rsidRPr="00097A86" w:rsidRDefault="00055093" w:rsidP="007056D9">
      <w:pPr>
        <w:pStyle w:val="Definition"/>
        <w:ind w:left="1701"/>
      </w:pPr>
      <w:r w:rsidRPr="00097A86">
        <w:rPr>
          <w:b/>
          <w:i/>
        </w:rPr>
        <w:lastRenderedPageBreak/>
        <w:t>COD</w:t>
      </w:r>
      <w:r w:rsidRPr="00097A86">
        <w:rPr>
          <w:b/>
          <w:i/>
          <w:vertAlign w:val="subscript"/>
        </w:rPr>
        <w:t>psl</w:t>
      </w:r>
      <w:r w:rsidRPr="00097A86">
        <w:rPr>
          <w:b/>
          <w:i/>
          <w:sz w:val="28"/>
        </w:rPr>
        <w:t xml:space="preserve"> </w:t>
      </w:r>
      <w:r w:rsidRPr="00097A86">
        <w:t xml:space="preserve">is the quantity of COD removed as primary sludge from wastewater and treated in the plant measured in tonnes of COD and estimated under </w:t>
      </w:r>
      <w:r w:rsidR="00097A86">
        <w:t>subsection (</w:t>
      </w:r>
      <w:r w:rsidRPr="00097A86">
        <w:t>7).</w:t>
      </w:r>
    </w:p>
    <w:p w14:paraId="35B6E69A" w14:textId="77777777" w:rsidR="00055093" w:rsidRPr="00097A86" w:rsidRDefault="00055093" w:rsidP="007056D9">
      <w:pPr>
        <w:pStyle w:val="Definition"/>
        <w:ind w:left="1701"/>
      </w:pPr>
      <w:r w:rsidRPr="00097A86">
        <w:rPr>
          <w:b/>
          <w:i/>
        </w:rPr>
        <w:t>COD</w:t>
      </w:r>
      <w:r w:rsidRPr="00097A86">
        <w:rPr>
          <w:b/>
          <w:i/>
          <w:vertAlign w:val="subscript"/>
        </w:rPr>
        <w:t>wasl</w:t>
      </w:r>
      <w:r w:rsidRPr="00097A86">
        <w:rPr>
          <w:b/>
          <w:i/>
          <w:sz w:val="28"/>
        </w:rPr>
        <w:t xml:space="preserve"> </w:t>
      </w:r>
      <w:r w:rsidRPr="00097A86">
        <w:t xml:space="preserve">is the quantity of COD removed as waste activated sludge from wastewater and treated in the plant measured in tonnes of COD and estimated under </w:t>
      </w:r>
      <w:r w:rsidR="00097A86">
        <w:t>subsection (</w:t>
      </w:r>
      <w:r w:rsidRPr="00097A86">
        <w:t>8).</w:t>
      </w:r>
    </w:p>
    <w:p w14:paraId="44B96109" w14:textId="77777777" w:rsidR="003F0D4E" w:rsidRPr="00097A86" w:rsidRDefault="003F0D4E" w:rsidP="007056D9">
      <w:pPr>
        <w:pStyle w:val="Definition"/>
      </w:pPr>
      <w:r w:rsidRPr="00097A86">
        <w:rPr>
          <w:b/>
          <w:i/>
        </w:rPr>
        <w:t>COD</w:t>
      </w:r>
      <w:r w:rsidRPr="00097A86">
        <w:rPr>
          <w:b/>
          <w:i/>
          <w:vertAlign w:val="subscript"/>
        </w:rPr>
        <w:t>eff</w:t>
      </w:r>
      <w:r w:rsidRPr="00097A86">
        <w:rPr>
          <w:b/>
          <w:i/>
        </w:rPr>
        <w:t xml:space="preserve"> </w:t>
      </w:r>
      <w:r w:rsidRPr="00097A86">
        <w:t>is the quantity of COD in effluent leaving the plant during the year measured in tonnes.</w:t>
      </w:r>
    </w:p>
    <w:p w14:paraId="16CC6DDD" w14:textId="77777777" w:rsidR="0090313D" w:rsidRPr="00097A86" w:rsidRDefault="0090313D" w:rsidP="00D22D3F">
      <w:pPr>
        <w:pStyle w:val="Definition"/>
      </w:pPr>
      <w:r w:rsidRPr="00097A86">
        <w:rPr>
          <w:b/>
          <w:i/>
        </w:rPr>
        <w:t>MCF</w:t>
      </w:r>
      <w:r w:rsidRPr="00097A86">
        <w:rPr>
          <w:rStyle w:val="charSubscript"/>
          <w:b/>
          <w:i/>
        </w:rPr>
        <w:t>ww</w:t>
      </w:r>
      <w:r w:rsidRPr="00097A86">
        <w:rPr>
          <w:b/>
          <w:i/>
        </w:rPr>
        <w:t xml:space="preserve"> </w:t>
      </w:r>
      <w:r w:rsidRPr="00097A86">
        <w:t>is the methane correction factor for wastewater treated at the plant during the year.</w:t>
      </w:r>
    </w:p>
    <w:p w14:paraId="3B9F77B9" w14:textId="77777777" w:rsidR="0090313D" w:rsidRPr="00097A86" w:rsidRDefault="00D22D3F" w:rsidP="00D22D3F">
      <w:pPr>
        <w:pStyle w:val="notetext"/>
      </w:pPr>
      <w:r w:rsidRPr="00097A86">
        <w:t>Note:</w:t>
      </w:r>
      <w:r w:rsidRPr="00097A86">
        <w:tab/>
      </w:r>
      <w:r w:rsidR="0090313D" w:rsidRPr="00097A86">
        <w:t>IPCC default methane correction factors for various types of treatment are:</w:t>
      </w:r>
    </w:p>
    <w:p w14:paraId="6FC0D623" w14:textId="77777777" w:rsidR="0090313D" w:rsidRPr="00097A86" w:rsidRDefault="0090313D" w:rsidP="00D22D3F">
      <w:pPr>
        <w:pStyle w:val="notepara"/>
      </w:pPr>
      <w:r w:rsidRPr="00097A86">
        <w:sym w:font="Symbol" w:char="00B7"/>
      </w:r>
      <w:r w:rsidRPr="00097A86">
        <w:tab/>
        <w:t>managed aerobic treatment: 0</w:t>
      </w:r>
    </w:p>
    <w:p w14:paraId="53E3E610" w14:textId="77777777" w:rsidR="0090313D" w:rsidRPr="00097A86" w:rsidRDefault="0090313D" w:rsidP="00D22D3F">
      <w:pPr>
        <w:pStyle w:val="notepara"/>
      </w:pPr>
      <w:r w:rsidRPr="00097A86">
        <w:sym w:font="Symbol" w:char="00B7"/>
      </w:r>
      <w:r w:rsidRPr="00097A86">
        <w:tab/>
        <w:t>unmanaged aerobic treatment: 0.3</w:t>
      </w:r>
    </w:p>
    <w:p w14:paraId="68FDDCA3" w14:textId="77777777" w:rsidR="0090313D" w:rsidRPr="00097A86" w:rsidRDefault="0090313D" w:rsidP="00D22D3F">
      <w:pPr>
        <w:pStyle w:val="notepara"/>
      </w:pPr>
      <w:r w:rsidRPr="00097A86">
        <w:sym w:font="Symbol" w:char="00B7"/>
      </w:r>
      <w:r w:rsidRPr="00097A86">
        <w:tab/>
        <w:t>anaerobic digester/reactor: 0.8</w:t>
      </w:r>
    </w:p>
    <w:p w14:paraId="6E063779" w14:textId="77777777" w:rsidR="0090313D" w:rsidRPr="00097A86" w:rsidRDefault="0090313D" w:rsidP="00D22D3F">
      <w:pPr>
        <w:pStyle w:val="notepara"/>
      </w:pPr>
      <w:r w:rsidRPr="00097A86">
        <w:sym w:font="Symbol" w:char="00B7"/>
      </w:r>
      <w:r w:rsidRPr="00097A86">
        <w:tab/>
        <w:t>shallow anaerobic lagoon (&lt;2 metres): 0.2</w:t>
      </w:r>
    </w:p>
    <w:p w14:paraId="7F8B0A20" w14:textId="77777777" w:rsidR="0090313D" w:rsidRPr="00097A86" w:rsidRDefault="0090313D" w:rsidP="00D22D3F">
      <w:pPr>
        <w:pStyle w:val="notepara"/>
      </w:pPr>
      <w:r w:rsidRPr="00097A86">
        <w:sym w:font="Symbol" w:char="00B7"/>
      </w:r>
      <w:r w:rsidRPr="00097A86">
        <w:tab/>
        <w:t>deep anaerobic lagoon (&gt;2 metres): 0.8.</w:t>
      </w:r>
    </w:p>
    <w:p w14:paraId="1410607E" w14:textId="77777777" w:rsidR="003F0D4E" w:rsidRPr="00097A86" w:rsidRDefault="003F0D4E" w:rsidP="00D22D3F">
      <w:pPr>
        <w:pStyle w:val="Definition"/>
      </w:pPr>
      <w:r w:rsidRPr="00097A86">
        <w:rPr>
          <w:b/>
          <w:i/>
        </w:rPr>
        <w:t>EF</w:t>
      </w:r>
      <w:r w:rsidRPr="00097A86">
        <w:rPr>
          <w:rStyle w:val="charSubscript"/>
          <w:b/>
          <w:i/>
        </w:rPr>
        <w:t>wij</w:t>
      </w:r>
      <w:r w:rsidRPr="00097A86">
        <w:rPr>
          <w:b/>
          <w:i/>
        </w:rPr>
        <w:t xml:space="preserve"> </w:t>
      </w:r>
      <w:r w:rsidRPr="00097A86">
        <w:t xml:space="preserve">is the default methane emission factor for wastewater with a value of </w:t>
      </w:r>
      <w:r w:rsidR="00B25EE5" w:rsidRPr="00097A86">
        <w:t>6.3</w:t>
      </w:r>
      <w:r w:rsidRPr="00097A86">
        <w:t xml:space="preserve"> CO</w:t>
      </w:r>
      <w:r w:rsidRPr="00097A86">
        <w:rPr>
          <w:vertAlign w:val="subscript"/>
        </w:rPr>
        <w:t>2</w:t>
      </w:r>
      <w:r w:rsidR="00097A86">
        <w:noBreakHyphen/>
      </w:r>
      <w:r w:rsidRPr="00097A86">
        <w:t>e tonnes per tonne COD.</w:t>
      </w:r>
    </w:p>
    <w:p w14:paraId="535286C8" w14:textId="77777777" w:rsidR="003F0D4E" w:rsidRPr="00097A86" w:rsidRDefault="003F0D4E" w:rsidP="00D22D3F">
      <w:pPr>
        <w:pStyle w:val="Definition"/>
      </w:pPr>
      <w:r w:rsidRPr="00097A86">
        <w:rPr>
          <w:b/>
          <w:i/>
        </w:rPr>
        <w:t>COD</w:t>
      </w:r>
      <w:r w:rsidRPr="00097A86">
        <w:rPr>
          <w:rStyle w:val="charSubscript"/>
          <w:b/>
          <w:i/>
        </w:rPr>
        <w:t>trl</w:t>
      </w:r>
      <w:r w:rsidRPr="00097A86">
        <w:rPr>
          <w:b/>
          <w:i/>
        </w:rPr>
        <w:t xml:space="preserve"> </w:t>
      </w:r>
      <w:r w:rsidRPr="00097A86">
        <w:t>is the quantity of COD in sludge transferred out of the plant and removed to landfill measured in tonnes of COD.</w:t>
      </w:r>
    </w:p>
    <w:p w14:paraId="20098BA9" w14:textId="77777777" w:rsidR="003F0D4E" w:rsidRPr="00097A86" w:rsidRDefault="003F0D4E" w:rsidP="00D22D3F">
      <w:pPr>
        <w:pStyle w:val="Definition"/>
      </w:pPr>
      <w:r w:rsidRPr="00097A86">
        <w:rPr>
          <w:b/>
          <w:i/>
        </w:rPr>
        <w:t>COD</w:t>
      </w:r>
      <w:r w:rsidRPr="00097A86">
        <w:rPr>
          <w:rStyle w:val="charSubscript"/>
          <w:b/>
          <w:i/>
        </w:rPr>
        <w:t>tro</w:t>
      </w:r>
      <w:r w:rsidRPr="00097A86">
        <w:rPr>
          <w:b/>
          <w:i/>
        </w:rPr>
        <w:t xml:space="preserve"> </w:t>
      </w:r>
      <w:r w:rsidRPr="00097A86">
        <w:t>is the quantity of COD in sludge transferred out of the plant and removed to a site other than landfill measured in tonnes of COD.</w:t>
      </w:r>
    </w:p>
    <w:p w14:paraId="293FA68A" w14:textId="77777777" w:rsidR="0090313D" w:rsidRPr="00097A86" w:rsidRDefault="0090313D" w:rsidP="00D22D3F">
      <w:pPr>
        <w:pStyle w:val="Definition"/>
      </w:pPr>
      <w:r w:rsidRPr="00097A86">
        <w:rPr>
          <w:b/>
          <w:i/>
        </w:rPr>
        <w:t>MCF</w:t>
      </w:r>
      <w:r w:rsidRPr="00097A86">
        <w:rPr>
          <w:rStyle w:val="charSubscript"/>
          <w:b/>
          <w:i/>
        </w:rPr>
        <w:t xml:space="preserve">sl </w:t>
      </w:r>
      <w:r w:rsidRPr="00097A86">
        <w:t>is the methane correction factor for sludge treated at the plant during the year.</w:t>
      </w:r>
    </w:p>
    <w:p w14:paraId="09E4D54D" w14:textId="77777777" w:rsidR="0090313D" w:rsidRPr="00097A86" w:rsidRDefault="00D22D3F" w:rsidP="00D22D3F">
      <w:pPr>
        <w:pStyle w:val="notetext"/>
      </w:pPr>
      <w:r w:rsidRPr="00097A86">
        <w:t>Note:</w:t>
      </w:r>
      <w:r w:rsidRPr="00097A86">
        <w:tab/>
      </w:r>
      <w:r w:rsidR="0090313D" w:rsidRPr="00097A86">
        <w:t>IPCC default</w:t>
      </w:r>
      <w:r w:rsidR="0090313D" w:rsidRPr="00097A86">
        <w:rPr>
          <w:i/>
        </w:rPr>
        <w:t xml:space="preserve"> </w:t>
      </w:r>
      <w:r w:rsidR="0090313D" w:rsidRPr="00097A86">
        <w:t>methane correction factors for various types of treatment are:</w:t>
      </w:r>
    </w:p>
    <w:p w14:paraId="2AD7A44B" w14:textId="77777777" w:rsidR="0090313D" w:rsidRPr="00097A86" w:rsidRDefault="0090313D" w:rsidP="00D22D3F">
      <w:pPr>
        <w:pStyle w:val="notepara"/>
      </w:pPr>
      <w:r w:rsidRPr="00097A86">
        <w:sym w:font="Symbol" w:char="00B7"/>
      </w:r>
      <w:r w:rsidRPr="00097A86">
        <w:tab/>
        <w:t>managed aerobic treatment: 0</w:t>
      </w:r>
    </w:p>
    <w:p w14:paraId="2DC6A95D" w14:textId="77777777" w:rsidR="0090313D" w:rsidRPr="00097A86" w:rsidRDefault="0090313D" w:rsidP="00D22D3F">
      <w:pPr>
        <w:pStyle w:val="notepara"/>
      </w:pPr>
      <w:r w:rsidRPr="00097A86">
        <w:sym w:font="Symbol" w:char="00B7"/>
      </w:r>
      <w:r w:rsidRPr="00097A86">
        <w:tab/>
        <w:t>unmanaged aerobic treatment: 0.3</w:t>
      </w:r>
    </w:p>
    <w:p w14:paraId="395C1FA4" w14:textId="77777777" w:rsidR="0090313D" w:rsidRPr="00097A86" w:rsidRDefault="0090313D" w:rsidP="00D22D3F">
      <w:pPr>
        <w:pStyle w:val="notepara"/>
      </w:pPr>
      <w:r w:rsidRPr="00097A86">
        <w:sym w:font="Symbol" w:char="00B7"/>
      </w:r>
      <w:r w:rsidRPr="00097A86">
        <w:tab/>
        <w:t>anaerobic digester/reactor: 0.8</w:t>
      </w:r>
    </w:p>
    <w:p w14:paraId="1E369BAA" w14:textId="77777777" w:rsidR="0090313D" w:rsidRPr="00097A86" w:rsidRDefault="0090313D" w:rsidP="00D22D3F">
      <w:pPr>
        <w:pStyle w:val="notepara"/>
      </w:pPr>
      <w:r w:rsidRPr="00097A86">
        <w:sym w:font="Symbol" w:char="00B7"/>
      </w:r>
      <w:r w:rsidRPr="00097A86">
        <w:tab/>
        <w:t>shallow anaerobic lagoon (&lt;2 metres): 0.2</w:t>
      </w:r>
    </w:p>
    <w:p w14:paraId="2FFE8E5E" w14:textId="77777777" w:rsidR="0090313D" w:rsidRPr="00097A86" w:rsidRDefault="0090313D" w:rsidP="00D22D3F">
      <w:pPr>
        <w:pStyle w:val="notepara"/>
      </w:pPr>
      <w:r w:rsidRPr="00097A86">
        <w:sym w:font="Symbol" w:char="00B7"/>
      </w:r>
      <w:r w:rsidRPr="00097A86">
        <w:tab/>
        <w:t>deep anaerobic lagoon (&gt;2 metres): 0.8.</w:t>
      </w:r>
    </w:p>
    <w:p w14:paraId="53A87C2C" w14:textId="77777777" w:rsidR="003F0D4E" w:rsidRPr="00097A86" w:rsidRDefault="003F0D4E" w:rsidP="00D22D3F">
      <w:pPr>
        <w:pStyle w:val="Definition"/>
      </w:pPr>
      <w:r w:rsidRPr="00097A86">
        <w:rPr>
          <w:b/>
          <w:i/>
        </w:rPr>
        <w:t>EF</w:t>
      </w:r>
      <w:r w:rsidRPr="00097A86">
        <w:rPr>
          <w:rStyle w:val="charSubscript"/>
          <w:b/>
          <w:i/>
        </w:rPr>
        <w:t>slij</w:t>
      </w:r>
      <w:r w:rsidRPr="00097A86">
        <w:rPr>
          <w:b/>
          <w:i/>
        </w:rPr>
        <w:t xml:space="preserve"> </w:t>
      </w:r>
      <w:r w:rsidRPr="00097A86">
        <w:t xml:space="preserve">is the default methane emission factor for sludge with a value of </w:t>
      </w:r>
      <w:r w:rsidR="00B25EE5" w:rsidRPr="00097A86">
        <w:t>6.3</w:t>
      </w:r>
      <w:r w:rsidRPr="00097A86">
        <w:t xml:space="preserve"> CO</w:t>
      </w:r>
      <w:r w:rsidRPr="00097A86">
        <w:rPr>
          <w:vertAlign w:val="subscript"/>
        </w:rPr>
        <w:t>2</w:t>
      </w:r>
      <w:r w:rsidR="00097A86">
        <w:noBreakHyphen/>
      </w:r>
      <w:r w:rsidRPr="00097A86">
        <w:t>e tonnes per tonne COD (sludge).</w:t>
      </w:r>
    </w:p>
    <w:p w14:paraId="01B07D87" w14:textId="77777777" w:rsidR="003F0D4E" w:rsidRPr="00097A86" w:rsidRDefault="003F0D4E" w:rsidP="00D22D3F">
      <w:pPr>
        <w:pStyle w:val="subsection"/>
      </w:pPr>
      <w:r w:rsidRPr="00097A86">
        <w:tab/>
        <w:t>(6)</w:t>
      </w:r>
      <w:r w:rsidRPr="00097A86">
        <w:tab/>
        <w:t xml:space="preserve">For </w:t>
      </w:r>
      <w:r w:rsidR="00097A86">
        <w:t>subsection (</w:t>
      </w:r>
      <w:r w:rsidRPr="00097A86">
        <w:t xml:space="preserve">5), an operator of the plant must choose a treatment for </w:t>
      </w:r>
      <w:r w:rsidR="00F322D3" w:rsidRPr="00097A86">
        <w:rPr>
          <w:b/>
          <w:i/>
        </w:rPr>
        <w:t>MCF</w:t>
      </w:r>
      <w:r w:rsidR="00F322D3" w:rsidRPr="00097A86">
        <w:rPr>
          <w:b/>
          <w:i/>
          <w:szCs w:val="22"/>
          <w:vertAlign w:val="subscript"/>
        </w:rPr>
        <w:t>w</w:t>
      </w:r>
      <w:r w:rsidR="00F322D3" w:rsidRPr="00097A86">
        <w:rPr>
          <w:rStyle w:val="charSubscript"/>
          <w:b/>
          <w:i/>
          <w:sz w:val="22"/>
          <w:szCs w:val="22"/>
        </w:rPr>
        <w:t>w</w:t>
      </w:r>
      <w:r w:rsidR="005D30B5" w:rsidRPr="00097A86">
        <w:rPr>
          <w:rStyle w:val="charSubscript"/>
          <w:b/>
          <w:i/>
          <w:sz w:val="22"/>
          <w:szCs w:val="22"/>
        </w:rPr>
        <w:t xml:space="preserve">  </w:t>
      </w:r>
      <w:r w:rsidRPr="00097A86">
        <w:t xml:space="preserve">and estimate the quantity of COD removed from the wastewater as sludge </w:t>
      </w:r>
      <w:r w:rsidRPr="00097A86">
        <w:rPr>
          <w:i/>
        </w:rPr>
        <w:t>(</w:t>
      </w:r>
      <w:r w:rsidRPr="00097A86">
        <w:rPr>
          <w:b/>
          <w:i/>
        </w:rPr>
        <w:t>COD</w:t>
      </w:r>
      <w:r w:rsidRPr="00097A86">
        <w:rPr>
          <w:rStyle w:val="charSubscript"/>
          <w:b/>
          <w:i/>
          <w:sz w:val="22"/>
        </w:rPr>
        <w:t>sl</w:t>
      </w:r>
      <w:r w:rsidRPr="00097A86">
        <w:rPr>
          <w:rStyle w:val="charSubscript"/>
          <w:sz w:val="22"/>
        </w:rPr>
        <w:t>)</w:t>
      </w:r>
      <w:r w:rsidRPr="00097A86">
        <w:t>.</w:t>
      </w:r>
    </w:p>
    <w:p w14:paraId="6ACC59D7" w14:textId="77777777" w:rsidR="00055093" w:rsidRPr="00097A86" w:rsidRDefault="00055093" w:rsidP="00D22D3F">
      <w:pPr>
        <w:pStyle w:val="subsection"/>
      </w:pPr>
      <w:r w:rsidRPr="00097A86">
        <w:tab/>
        <w:t>(7)</w:t>
      </w:r>
      <w:r w:rsidRPr="00097A86">
        <w:tab/>
        <w:t xml:space="preserve">For </w:t>
      </w:r>
      <w:r w:rsidR="00097A86">
        <w:t>subsection (</w:t>
      </w:r>
      <w:r w:rsidRPr="00097A86">
        <w:t>5), COD</w:t>
      </w:r>
      <w:r w:rsidRPr="00097A86">
        <w:rPr>
          <w:vertAlign w:val="subscript"/>
        </w:rPr>
        <w:t>psl</w:t>
      </w:r>
      <w:r w:rsidRPr="00097A86">
        <w:t xml:space="preserve"> may be estimated using the following formula:</w:t>
      </w:r>
    </w:p>
    <w:p w14:paraId="3C9F76FB" w14:textId="77777777" w:rsidR="00055093" w:rsidRPr="00097A86" w:rsidRDefault="00D22D3F" w:rsidP="00D22D3F">
      <w:pPr>
        <w:pStyle w:val="subsection"/>
        <w:spacing w:before="120" w:after="120"/>
      </w:pPr>
      <w:r w:rsidRPr="00097A86">
        <w:tab/>
      </w:r>
      <w:r w:rsidRPr="00097A86">
        <w:tab/>
      </w:r>
      <w:r w:rsidR="009E1F90">
        <w:rPr>
          <w:noProof/>
        </w:rPr>
        <w:drawing>
          <wp:inline distT="0" distB="0" distL="0" distR="0" wp14:anchorId="2E4F32CA" wp14:editId="2F5C3584">
            <wp:extent cx="771525" cy="2381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p w14:paraId="4CA45EEA" w14:textId="77777777" w:rsidR="00055093" w:rsidRPr="00097A86" w:rsidRDefault="00055093" w:rsidP="00D22D3F">
      <w:pPr>
        <w:pStyle w:val="subsection2"/>
      </w:pPr>
      <w:r w:rsidRPr="00097A86">
        <w:t>where:</w:t>
      </w:r>
    </w:p>
    <w:p w14:paraId="58DA07C8" w14:textId="77777777" w:rsidR="00055093" w:rsidRPr="00097A86" w:rsidRDefault="00055093" w:rsidP="00D22D3F">
      <w:pPr>
        <w:pStyle w:val="Definition"/>
        <w:rPr>
          <w:rFonts w:ascii="Arial" w:hAnsi="Arial" w:cs="Arial"/>
        </w:rPr>
      </w:pPr>
      <w:r w:rsidRPr="00097A86">
        <w:rPr>
          <w:rFonts w:ascii="TimesNewRoman,BoldItalic" w:hAnsi="TimesNewRoman,BoldItalic" w:cs="TimesNewRoman,BoldItalic"/>
          <w:b/>
          <w:bCs/>
          <w:i/>
          <w:iCs/>
        </w:rPr>
        <w:t>VS</w:t>
      </w:r>
      <w:r w:rsidRPr="00097A86">
        <w:rPr>
          <w:rFonts w:ascii="TimesNewRoman,BoldItalic" w:hAnsi="TimesNewRoman,BoldItalic" w:cs="TimesNewRoman,BoldItalic"/>
          <w:b/>
          <w:bCs/>
          <w:i/>
          <w:iCs/>
          <w:vertAlign w:val="subscript"/>
        </w:rPr>
        <w:t xml:space="preserve">psl </w:t>
      </w:r>
      <w:r w:rsidRPr="00097A86">
        <w:t>is the estimated volatile solids in the primary sludge</w:t>
      </w:r>
      <w:r w:rsidRPr="00097A86">
        <w:rPr>
          <w:rFonts w:ascii="Arial" w:hAnsi="Arial" w:cs="Arial"/>
        </w:rPr>
        <w:t>.</w:t>
      </w:r>
    </w:p>
    <w:p w14:paraId="3F695627" w14:textId="77777777" w:rsidR="00055093" w:rsidRPr="00097A86" w:rsidRDefault="00055093" w:rsidP="00D22D3F">
      <w:pPr>
        <w:pStyle w:val="subsection"/>
      </w:pPr>
      <w:r w:rsidRPr="00097A86">
        <w:lastRenderedPageBreak/>
        <w:tab/>
        <w:t>(8)</w:t>
      </w:r>
      <w:r w:rsidRPr="00097A86">
        <w:tab/>
        <w:t xml:space="preserve">For </w:t>
      </w:r>
      <w:r w:rsidR="00097A86">
        <w:t>subsection (</w:t>
      </w:r>
      <w:r w:rsidRPr="00097A86">
        <w:t>5), COD</w:t>
      </w:r>
      <w:r w:rsidRPr="00097A86">
        <w:rPr>
          <w:vertAlign w:val="subscript"/>
        </w:rPr>
        <w:t>wasl</w:t>
      </w:r>
      <w:r w:rsidRPr="00097A86">
        <w:t xml:space="preserve"> may be estimated using the following formula:</w:t>
      </w:r>
    </w:p>
    <w:p w14:paraId="471AEF7B" w14:textId="77777777" w:rsidR="00055093" w:rsidRPr="00097A86" w:rsidRDefault="00D22D3F" w:rsidP="00D22D3F">
      <w:pPr>
        <w:pStyle w:val="subsection"/>
        <w:spacing w:before="120" w:after="120"/>
      </w:pPr>
      <w:r w:rsidRPr="00097A86">
        <w:tab/>
      </w:r>
      <w:r w:rsidRPr="00097A86">
        <w:tab/>
      </w:r>
      <w:r w:rsidR="009E1F90">
        <w:rPr>
          <w:noProof/>
        </w:rPr>
        <w:drawing>
          <wp:inline distT="0" distB="0" distL="0" distR="0" wp14:anchorId="7F7DE363" wp14:editId="1B895663">
            <wp:extent cx="847725" cy="238125"/>
            <wp:effectExtent l="0" t="0" r="9525" b="9525"/>
            <wp:docPr id="4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p w14:paraId="6F622F4D" w14:textId="77777777" w:rsidR="00055093" w:rsidRPr="00097A86" w:rsidRDefault="00055093" w:rsidP="00D22D3F">
      <w:pPr>
        <w:pStyle w:val="subsection2"/>
      </w:pPr>
      <w:r w:rsidRPr="00097A86">
        <w:t>where:</w:t>
      </w:r>
    </w:p>
    <w:p w14:paraId="24BD9336" w14:textId="77777777" w:rsidR="00055093" w:rsidRPr="00097A86" w:rsidRDefault="00055093" w:rsidP="00D22D3F">
      <w:pPr>
        <w:pStyle w:val="Definition"/>
        <w:rPr>
          <w:rFonts w:ascii="Arial" w:hAnsi="Arial" w:cs="Arial"/>
        </w:rPr>
      </w:pPr>
      <w:r w:rsidRPr="00097A86">
        <w:rPr>
          <w:rFonts w:ascii="TimesNewRoman,BoldItalic" w:hAnsi="TimesNewRoman,BoldItalic" w:cs="TimesNewRoman,BoldItalic"/>
          <w:b/>
          <w:bCs/>
          <w:i/>
          <w:iCs/>
        </w:rPr>
        <w:t>VS</w:t>
      </w:r>
      <w:r w:rsidRPr="00097A86">
        <w:rPr>
          <w:rFonts w:ascii="TimesNewRoman,BoldItalic" w:hAnsi="TimesNewRoman,BoldItalic" w:cs="TimesNewRoman,BoldItalic"/>
          <w:b/>
          <w:bCs/>
          <w:i/>
          <w:iCs/>
          <w:vertAlign w:val="subscript"/>
        </w:rPr>
        <w:t xml:space="preserve">wasl </w:t>
      </w:r>
      <w:r w:rsidRPr="00097A86">
        <w:t>is the estimated volatile solids in the waste activated sludge</w:t>
      </w:r>
      <w:r w:rsidRPr="00097A86">
        <w:rPr>
          <w:rFonts w:ascii="Arial" w:hAnsi="Arial" w:cs="Arial"/>
        </w:rPr>
        <w:t>.</w:t>
      </w:r>
    </w:p>
    <w:p w14:paraId="17C54A5F" w14:textId="77777777" w:rsidR="00055093" w:rsidRPr="00097A86" w:rsidRDefault="00055093" w:rsidP="00D22D3F">
      <w:pPr>
        <w:pStyle w:val="subsection"/>
      </w:pPr>
      <w:r w:rsidRPr="00097A86">
        <w:tab/>
        <w:t>(9)</w:t>
      </w:r>
      <w:r w:rsidRPr="00097A86">
        <w:tab/>
        <w:t>In this section:</w:t>
      </w:r>
    </w:p>
    <w:p w14:paraId="06C2EA7E" w14:textId="77777777" w:rsidR="0090313D" w:rsidRPr="00097A86" w:rsidRDefault="0090313D" w:rsidP="00D22D3F">
      <w:pPr>
        <w:pStyle w:val="Definition"/>
      </w:pPr>
      <w:r w:rsidRPr="00097A86">
        <w:rPr>
          <w:b/>
          <w:i/>
        </w:rPr>
        <w:t xml:space="preserve">methane correction factor </w:t>
      </w:r>
      <w:r w:rsidRPr="00097A86">
        <w:t>is the fraction of COD anaerobically treated.</w:t>
      </w:r>
    </w:p>
    <w:p w14:paraId="7EAA9E4A" w14:textId="77777777" w:rsidR="00055093" w:rsidRPr="00097A86" w:rsidRDefault="00055093" w:rsidP="00D22D3F">
      <w:pPr>
        <w:pStyle w:val="Definition"/>
      </w:pPr>
      <w:r w:rsidRPr="00097A86">
        <w:rPr>
          <w:b/>
          <w:i/>
        </w:rPr>
        <w:t xml:space="preserve">primary sludge </w:t>
      </w:r>
      <w:r w:rsidRPr="00097A86">
        <w:t>means sludge from the first major treatment process in a wastewater treatment facility that is designed primarily to remove a substantial amount of suspended matter but little or no colloidal or dissolved matter.</w:t>
      </w:r>
    </w:p>
    <w:p w14:paraId="728777C3" w14:textId="77777777" w:rsidR="00055093" w:rsidRPr="00097A86" w:rsidRDefault="00055093" w:rsidP="00D22D3F">
      <w:pPr>
        <w:pStyle w:val="Definition"/>
      </w:pPr>
      <w:r w:rsidRPr="00097A86">
        <w:rPr>
          <w:b/>
          <w:i/>
        </w:rPr>
        <w:t xml:space="preserve">waste activated sludge </w:t>
      </w:r>
      <w:r w:rsidRPr="00097A86">
        <w:t>means sludge from a secondary treatment process in a wastewater treatment facility involving aeration and active biological material.</w:t>
      </w:r>
    </w:p>
    <w:p w14:paraId="520A6FD8" w14:textId="77777777" w:rsidR="003F0D4E" w:rsidRPr="00097A86" w:rsidRDefault="003F0D4E" w:rsidP="004C53FA">
      <w:pPr>
        <w:pStyle w:val="ActHead3"/>
        <w:pageBreakBefore/>
      </w:pPr>
      <w:bookmarkStart w:id="596" w:name="_Toc13234023"/>
      <w:r w:rsidRPr="00097A86">
        <w:rPr>
          <w:rStyle w:val="CharDivNo"/>
        </w:rPr>
        <w:lastRenderedPageBreak/>
        <w:t>Division</w:t>
      </w:r>
      <w:r w:rsidR="00097A86">
        <w:rPr>
          <w:rStyle w:val="CharDivNo"/>
        </w:rPr>
        <w:t> </w:t>
      </w:r>
      <w:r w:rsidRPr="00097A86">
        <w:rPr>
          <w:rStyle w:val="CharDivNo"/>
        </w:rPr>
        <w:t>5.3.3</w:t>
      </w:r>
      <w:r w:rsidR="00D22D3F" w:rsidRPr="00097A86">
        <w:t>—</w:t>
      </w:r>
      <w:r w:rsidRPr="00097A86">
        <w:rPr>
          <w:rStyle w:val="CharDivText"/>
        </w:rPr>
        <w:t>Method 2</w:t>
      </w:r>
      <w:r w:rsidR="00D22D3F" w:rsidRPr="00097A86">
        <w:rPr>
          <w:rStyle w:val="CharDivText"/>
        </w:rPr>
        <w:t>—</w:t>
      </w:r>
      <w:r w:rsidRPr="00097A86">
        <w:rPr>
          <w:rStyle w:val="CharDivText"/>
        </w:rPr>
        <w:t>methane released from wastewater handling (domestic and commercial)</w:t>
      </w:r>
      <w:bookmarkEnd w:id="596"/>
    </w:p>
    <w:p w14:paraId="7571A2FB" w14:textId="77777777" w:rsidR="009924B1" w:rsidRPr="00097A86" w:rsidRDefault="009924B1" w:rsidP="009924B1">
      <w:pPr>
        <w:pStyle w:val="ActHead5"/>
      </w:pPr>
      <w:bookmarkStart w:id="597" w:name="_Toc13234024"/>
      <w:r w:rsidRPr="00097A86">
        <w:rPr>
          <w:rStyle w:val="CharSectno"/>
        </w:rPr>
        <w:t>5.26</w:t>
      </w:r>
      <w:r w:rsidRPr="00097A86">
        <w:t xml:space="preserve">  Method 2—methane released from wastewater handling (domestic and commercial)</w:t>
      </w:r>
      <w:bookmarkEnd w:id="597"/>
    </w:p>
    <w:p w14:paraId="23867E82" w14:textId="77777777" w:rsidR="009924B1" w:rsidRPr="00097A86" w:rsidRDefault="009924B1" w:rsidP="009924B1">
      <w:pPr>
        <w:pStyle w:val="subsection"/>
      </w:pPr>
      <w:r w:rsidRPr="00097A86">
        <w:tab/>
        <w:t>(1)</w:t>
      </w:r>
      <w:r w:rsidRPr="00097A86">
        <w:tab/>
        <w:t>Method 2 is:</w:t>
      </w:r>
    </w:p>
    <w:p w14:paraId="79AFF67F" w14:textId="77777777" w:rsidR="009924B1" w:rsidRPr="00097A86" w:rsidRDefault="009924B1" w:rsidP="009924B1">
      <w:pPr>
        <w:pStyle w:val="BoxStep"/>
      </w:pPr>
      <w:r w:rsidRPr="00097A86">
        <w:t>Step 1.</w:t>
      </w:r>
      <w:r w:rsidRPr="00097A86">
        <w:tab/>
        <w:t>Calculate the amount of emissions of methane released for each sub</w:t>
      </w:r>
      <w:r w:rsidR="00097A86">
        <w:noBreakHyphen/>
      </w:r>
      <w:r w:rsidRPr="00097A86">
        <w:t>facility of a plant during the reporting year, measured in CO</w:t>
      </w:r>
      <w:r w:rsidRPr="00097A86">
        <w:rPr>
          <w:vertAlign w:val="subscript"/>
        </w:rPr>
        <w:t>2</w:t>
      </w:r>
      <w:r w:rsidR="00097A86">
        <w:noBreakHyphen/>
      </w:r>
      <w:r w:rsidRPr="00097A86">
        <w:t>e tonnes, using the equation:</w:t>
      </w:r>
    </w:p>
    <w:p w14:paraId="6E906BF5" w14:textId="77777777" w:rsidR="009924B1" w:rsidRPr="00097A86" w:rsidRDefault="009924B1" w:rsidP="009924B1">
      <w:pPr>
        <w:pStyle w:val="BoxStep"/>
      </w:pPr>
      <w:r w:rsidRPr="00097A86">
        <w:tab/>
      </w:r>
      <w:r w:rsidRPr="00097A86">
        <w:rPr>
          <w:position w:val="-24"/>
        </w:rPr>
        <w:object w:dxaOrig="3060" w:dyaOrig="580" w14:anchorId="7EC3CC88">
          <v:shape id="_x0000_i1064" type="#_x0000_t75" style="width:153pt;height:29.25pt" o:ole="">
            <v:imagedata r:id="rId244" o:title=""/>
          </v:shape>
          <o:OLEObject Type="Embed" ProgID="Equation.DSMT4" ShapeID="_x0000_i1064" DrawAspect="Content" ObjectID="_1624711068" r:id="rId245"/>
        </w:object>
      </w:r>
    </w:p>
    <w:p w14:paraId="358A7FBB" w14:textId="77777777" w:rsidR="009924B1" w:rsidRPr="00097A86" w:rsidRDefault="009924B1" w:rsidP="009924B1">
      <w:pPr>
        <w:pStyle w:val="BoxStep"/>
      </w:pPr>
      <w:r w:rsidRPr="00097A86">
        <w:tab/>
        <w:t>where:</w:t>
      </w:r>
    </w:p>
    <w:p w14:paraId="1D52E7CD" w14:textId="77777777" w:rsidR="009924B1" w:rsidRPr="00097A86" w:rsidRDefault="009924B1" w:rsidP="009924B1">
      <w:pPr>
        <w:pStyle w:val="BoxStep"/>
      </w:pPr>
      <w:r w:rsidRPr="00097A86">
        <w:tab/>
      </w:r>
      <w:r w:rsidRPr="00097A86">
        <w:rPr>
          <w:b/>
          <w:i/>
        </w:rPr>
        <w:t>γ</w:t>
      </w:r>
      <w:r w:rsidRPr="00097A86">
        <w:t xml:space="preserve"> is the factor 6.784 x 10</w:t>
      </w:r>
      <w:r w:rsidR="00097A86">
        <w:rPr>
          <w:vertAlign w:val="superscript"/>
        </w:rPr>
        <w:noBreakHyphen/>
      </w:r>
      <w:r w:rsidRPr="00097A86">
        <w:rPr>
          <w:vertAlign w:val="superscript"/>
        </w:rPr>
        <w:t xml:space="preserve">4 </w:t>
      </w:r>
      <w:r w:rsidRPr="00097A86">
        <w:t xml:space="preserve">x </w:t>
      </w:r>
      <w:r w:rsidR="00B25EE5" w:rsidRPr="00097A86">
        <w:t>25</w:t>
      </w:r>
      <w:r w:rsidRPr="00097A86">
        <w:t xml:space="preserve"> for converting cubic metres of methane at standard conditions to CO</w:t>
      </w:r>
      <w:r w:rsidRPr="00097A86">
        <w:rPr>
          <w:vertAlign w:val="subscript"/>
        </w:rPr>
        <w:t>2</w:t>
      </w:r>
      <w:r w:rsidR="00097A86">
        <w:noBreakHyphen/>
      </w:r>
      <w:r w:rsidRPr="00097A86">
        <w:t>e tonnes.</w:t>
      </w:r>
    </w:p>
    <w:p w14:paraId="10936629" w14:textId="77777777" w:rsidR="009924B1" w:rsidRPr="00097A86" w:rsidRDefault="009924B1" w:rsidP="009924B1">
      <w:pPr>
        <w:pStyle w:val="BoxStep"/>
      </w:pPr>
      <w:r w:rsidRPr="00097A86">
        <w:tab/>
      </w:r>
      <w:r w:rsidRPr="00097A86">
        <w:rPr>
          <w:b/>
          <w:i/>
        </w:rPr>
        <w:t>CH</w:t>
      </w:r>
      <w:r w:rsidRPr="00097A86">
        <w:rPr>
          <w:b/>
          <w:i/>
          <w:vertAlign w:val="subscript"/>
        </w:rPr>
        <w:t>4genz</w:t>
      </w:r>
      <w:r w:rsidRPr="00097A86">
        <w:t xml:space="preserve"> is the estimated quantity of methane in sludge biogas generated by the sub</w:t>
      </w:r>
      <w:r w:rsidR="00097A86">
        <w:noBreakHyphen/>
      </w:r>
      <w:r w:rsidRPr="00097A86">
        <w:t xml:space="preserve">facility during the reporting year, worked out in accordance with </w:t>
      </w:r>
      <w:r w:rsidR="00097A86">
        <w:t>subsection (</w:t>
      </w:r>
      <w:r w:rsidRPr="00097A86">
        <w:t>2), measured in CO</w:t>
      </w:r>
      <w:r w:rsidRPr="00097A86">
        <w:rPr>
          <w:vertAlign w:val="subscript"/>
        </w:rPr>
        <w:t>2</w:t>
      </w:r>
      <w:r w:rsidR="00097A86">
        <w:noBreakHyphen/>
      </w:r>
      <w:r w:rsidRPr="00097A86">
        <w:t>e tonnes.</w:t>
      </w:r>
    </w:p>
    <w:p w14:paraId="01C2FFB3" w14:textId="77777777" w:rsidR="009924B1" w:rsidRPr="00097A86" w:rsidRDefault="009924B1" w:rsidP="009924B1">
      <w:pPr>
        <w:pStyle w:val="BoxStep"/>
      </w:pPr>
      <w:r w:rsidRPr="00097A86">
        <w:tab/>
      </w:r>
      <w:r w:rsidRPr="00097A86">
        <w:rPr>
          <w:b/>
          <w:i/>
        </w:rPr>
        <w:t>Q</w:t>
      </w:r>
      <w:r w:rsidRPr="00097A86">
        <w:rPr>
          <w:b/>
          <w:i/>
          <w:vertAlign w:val="subscript"/>
        </w:rPr>
        <w:t>capz</w:t>
      </w:r>
      <w:r w:rsidRPr="00097A86">
        <w:t xml:space="preserve"> is the quantity of methane in sludge biogas that is captured for combustion by the sub</w:t>
      </w:r>
      <w:r w:rsidR="00097A86">
        <w:noBreakHyphen/>
      </w:r>
      <w:r w:rsidRPr="00097A86">
        <w:t>facility during the reporting year, measured in cubic metres in accordance with Division</w:t>
      </w:r>
      <w:r w:rsidR="00097A86">
        <w:t> </w:t>
      </w:r>
      <w:r w:rsidRPr="00097A86">
        <w:t>2.3.6.</w:t>
      </w:r>
    </w:p>
    <w:p w14:paraId="30D83079" w14:textId="77777777" w:rsidR="009924B1" w:rsidRPr="00097A86" w:rsidRDefault="009924B1" w:rsidP="009924B1">
      <w:pPr>
        <w:pStyle w:val="BoxStep"/>
      </w:pPr>
      <w:r w:rsidRPr="00097A86">
        <w:tab/>
      </w:r>
      <w:r w:rsidRPr="00097A86">
        <w:rPr>
          <w:b/>
          <w:i/>
        </w:rPr>
        <w:t>Q</w:t>
      </w:r>
      <w:r w:rsidRPr="00097A86">
        <w:rPr>
          <w:b/>
          <w:i/>
          <w:vertAlign w:val="subscript"/>
        </w:rPr>
        <w:t>flaredz</w:t>
      </w:r>
      <w:r w:rsidRPr="00097A86">
        <w:t xml:space="preserve"> is the quantity of methane in sludge biogas flared by the sub</w:t>
      </w:r>
      <w:r w:rsidR="00097A86">
        <w:noBreakHyphen/>
      </w:r>
      <w:r w:rsidRPr="00097A86">
        <w:t>facility during the reporting year, measured in cubic metres in accordance with Division</w:t>
      </w:r>
      <w:r w:rsidR="00097A86">
        <w:t> </w:t>
      </w:r>
      <w:r w:rsidRPr="00097A86">
        <w:t>2.3.6.</w:t>
      </w:r>
    </w:p>
    <w:p w14:paraId="70C85F82" w14:textId="77777777" w:rsidR="009924B1" w:rsidRPr="00097A86" w:rsidRDefault="009924B1" w:rsidP="009924B1">
      <w:pPr>
        <w:pStyle w:val="BoxStep"/>
      </w:pPr>
      <w:r w:rsidRPr="00097A86">
        <w:tab/>
      </w:r>
      <w:r w:rsidRPr="00097A86">
        <w:rPr>
          <w:b/>
          <w:i/>
        </w:rPr>
        <w:t>Q</w:t>
      </w:r>
      <w:r w:rsidRPr="00097A86">
        <w:rPr>
          <w:b/>
          <w:i/>
          <w:vertAlign w:val="subscript"/>
        </w:rPr>
        <w:t>trz</w:t>
      </w:r>
      <w:r w:rsidRPr="00097A86">
        <w:t xml:space="preserve"> is the quantity of methane in sludge biogas transferred out of the plant during the reporting year by the sub</w:t>
      </w:r>
      <w:r w:rsidR="00097A86">
        <w:noBreakHyphen/>
      </w:r>
      <w:r w:rsidRPr="00097A86">
        <w:t>facility, measured in cubic metres in accordance with Division</w:t>
      </w:r>
      <w:r w:rsidR="00097A86">
        <w:t> </w:t>
      </w:r>
      <w:r w:rsidRPr="00097A86">
        <w:t>2.3.6.</w:t>
      </w:r>
    </w:p>
    <w:p w14:paraId="5204EEFE" w14:textId="77777777" w:rsidR="009924B1" w:rsidRPr="00097A86" w:rsidRDefault="009924B1" w:rsidP="009924B1">
      <w:pPr>
        <w:pStyle w:val="BoxNote"/>
      </w:pPr>
      <w:r w:rsidRPr="00097A86">
        <w:tab/>
        <w:t>Note:</w:t>
      </w:r>
      <w:r w:rsidRPr="00097A86">
        <w:tab/>
        <w:t>For the number of sub</w:t>
      </w:r>
      <w:r w:rsidR="00097A86">
        <w:noBreakHyphen/>
      </w:r>
      <w:r w:rsidRPr="00097A86">
        <w:t>facilities a plant operator may select and requirements in relation to each sub</w:t>
      </w:r>
      <w:r w:rsidR="00097A86">
        <w:noBreakHyphen/>
      </w:r>
      <w:r w:rsidRPr="00097A86">
        <w:t>facility, see section</w:t>
      </w:r>
      <w:r w:rsidR="00097A86">
        <w:t> </w:t>
      </w:r>
      <w:r w:rsidRPr="00097A86">
        <w:t>5.26A.</w:t>
      </w:r>
    </w:p>
    <w:p w14:paraId="22516E5A" w14:textId="77777777" w:rsidR="009924B1" w:rsidRPr="00097A86" w:rsidRDefault="009924B1" w:rsidP="009924B1">
      <w:pPr>
        <w:pStyle w:val="BoxStep"/>
      </w:pPr>
      <w:r w:rsidRPr="00097A86">
        <w:t>Step 2.</w:t>
      </w:r>
      <w:r w:rsidRPr="00097A86">
        <w:tab/>
        <w:t>To calculate the amount of methane emissions released by the plant during the reporting year, measured in CO</w:t>
      </w:r>
      <w:r w:rsidRPr="00097A86">
        <w:rPr>
          <w:vertAlign w:val="subscript"/>
        </w:rPr>
        <w:t>2</w:t>
      </w:r>
      <w:r w:rsidR="00097A86">
        <w:noBreakHyphen/>
      </w:r>
      <w:r w:rsidRPr="00097A86">
        <w:t>e tonnes, add together the amount worked out for each sub</w:t>
      </w:r>
      <w:r w:rsidR="00097A86">
        <w:noBreakHyphen/>
      </w:r>
      <w:r w:rsidRPr="00097A86">
        <w:t>facility under step 1.</w:t>
      </w:r>
    </w:p>
    <w:p w14:paraId="290331A3" w14:textId="77777777" w:rsidR="009924B1" w:rsidRPr="00097A86" w:rsidRDefault="009924B1" w:rsidP="009924B1">
      <w:pPr>
        <w:pStyle w:val="subsection"/>
      </w:pPr>
      <w:r w:rsidRPr="00097A86">
        <w:tab/>
        <w:t>(2)</w:t>
      </w:r>
      <w:r w:rsidRPr="00097A86">
        <w:tab/>
        <w:t xml:space="preserve">Subject to </w:t>
      </w:r>
      <w:r w:rsidR="00097A86">
        <w:t>subsection (</w:t>
      </w:r>
      <w:r w:rsidRPr="00097A86">
        <w:t xml:space="preserve">8), the factor </w:t>
      </w:r>
      <w:r w:rsidRPr="00097A86">
        <w:rPr>
          <w:b/>
          <w:i/>
        </w:rPr>
        <w:t>CH</w:t>
      </w:r>
      <w:r w:rsidRPr="00097A86">
        <w:rPr>
          <w:b/>
          <w:i/>
          <w:vertAlign w:val="subscript"/>
        </w:rPr>
        <w:t>4genz</w:t>
      </w:r>
      <w:r w:rsidRPr="00097A86">
        <w:t xml:space="preserve"> in </w:t>
      </w:r>
      <w:r w:rsidR="00097A86">
        <w:t>subsection (</w:t>
      </w:r>
      <w:r w:rsidRPr="00097A86">
        <w:t>1) is worked out for a sub</w:t>
      </w:r>
      <w:r w:rsidR="00097A86">
        <w:noBreakHyphen/>
      </w:r>
      <w:r w:rsidRPr="00097A86">
        <w:t>facility as follows:</w:t>
      </w:r>
    </w:p>
    <w:p w14:paraId="7A9403DE" w14:textId="77777777" w:rsidR="009924B1" w:rsidRPr="00097A86" w:rsidRDefault="009924B1" w:rsidP="00B25EE5">
      <w:pPr>
        <w:pStyle w:val="BoxStep"/>
        <w:keepNext/>
        <w:keepLines/>
      </w:pPr>
      <w:r w:rsidRPr="00097A86">
        <w:lastRenderedPageBreak/>
        <w:t>Step 1.</w:t>
      </w:r>
      <w:r w:rsidRPr="00097A86">
        <w:tab/>
        <w:t>Calculate the following for the sub</w:t>
      </w:r>
      <w:r w:rsidR="00097A86">
        <w:noBreakHyphen/>
      </w:r>
      <w:r w:rsidRPr="00097A86">
        <w:t>facility:</w:t>
      </w:r>
    </w:p>
    <w:p w14:paraId="1B654AB2" w14:textId="77777777" w:rsidR="009924B1" w:rsidRPr="00097A86" w:rsidRDefault="009924B1" w:rsidP="009924B1">
      <w:pPr>
        <w:pStyle w:val="BoxStep"/>
      </w:pPr>
      <w:r w:rsidRPr="00097A86">
        <w:tab/>
      </w:r>
      <w:r w:rsidRPr="00097A86">
        <w:rPr>
          <w:position w:val="-112"/>
        </w:rPr>
        <w:object w:dxaOrig="4819" w:dyaOrig="1719" w14:anchorId="388A82EE">
          <v:shape id="_x0000_i1065" type="#_x0000_t75" style="width:241.5pt;height:86.25pt" o:ole="">
            <v:imagedata r:id="rId246" o:title=""/>
          </v:shape>
          <o:OLEObject Type="Embed" ProgID="Equation.DSMT4" ShapeID="_x0000_i1065" DrawAspect="Content" ObjectID="_1624711069" r:id="rId247"/>
        </w:object>
      </w:r>
    </w:p>
    <w:p w14:paraId="17EF49A3" w14:textId="77777777" w:rsidR="009924B1" w:rsidRPr="00097A86" w:rsidRDefault="009924B1" w:rsidP="009924B1">
      <w:pPr>
        <w:pStyle w:val="BoxStep"/>
      </w:pPr>
      <w:r w:rsidRPr="00097A86">
        <w:tab/>
        <w:t>where:</w:t>
      </w:r>
    </w:p>
    <w:p w14:paraId="51E8A3D1" w14:textId="77777777" w:rsidR="009924B1" w:rsidRPr="00097A86" w:rsidRDefault="009924B1" w:rsidP="009924B1">
      <w:pPr>
        <w:pStyle w:val="BoxStep"/>
      </w:pPr>
      <w:r w:rsidRPr="00097A86">
        <w:tab/>
      </w:r>
      <w:r w:rsidRPr="00097A86">
        <w:rPr>
          <w:b/>
          <w:i/>
        </w:rPr>
        <w:t>γ</w:t>
      </w:r>
      <w:r w:rsidRPr="00097A86">
        <w:t xml:space="preserve"> has the same meaning as in step 1 in </w:t>
      </w:r>
      <w:r w:rsidR="00097A86">
        <w:t>subsection (</w:t>
      </w:r>
      <w:r w:rsidRPr="00097A86">
        <w:t>1).</w:t>
      </w:r>
    </w:p>
    <w:p w14:paraId="64E16C34" w14:textId="77777777" w:rsidR="009924B1" w:rsidRPr="00097A86" w:rsidRDefault="009924B1" w:rsidP="009924B1">
      <w:pPr>
        <w:pStyle w:val="BoxStep"/>
      </w:pPr>
      <w:r w:rsidRPr="00097A86">
        <w:tab/>
      </w:r>
      <w:r w:rsidRPr="00097A86">
        <w:rPr>
          <w:b/>
          <w:i/>
        </w:rPr>
        <w:t>COD</w:t>
      </w:r>
      <w:r w:rsidRPr="00097A86">
        <w:rPr>
          <w:b/>
          <w:i/>
          <w:vertAlign w:val="subscript"/>
        </w:rPr>
        <w:t>effz</w:t>
      </w:r>
      <w:r w:rsidRPr="00097A86">
        <w:t xml:space="preserve"> is the quantity of COD in effluent leaving the sub</w:t>
      </w:r>
      <w:r w:rsidR="00097A86">
        <w:noBreakHyphen/>
      </w:r>
      <w:r w:rsidRPr="00097A86">
        <w:t>facility during the reporting year, measured in tonnes of COD and calculated by using:</w:t>
      </w:r>
    </w:p>
    <w:p w14:paraId="3700FA95" w14:textId="77777777" w:rsidR="009924B1" w:rsidRPr="00097A86" w:rsidRDefault="009924B1" w:rsidP="009924B1">
      <w:pPr>
        <w:pStyle w:val="BoxPara"/>
      </w:pPr>
      <w:r w:rsidRPr="00097A86">
        <w:tab/>
        <w:t>(a)</w:t>
      </w:r>
      <w:r w:rsidRPr="00097A86">
        <w:tab/>
        <w:t>facility operating data that measures the volumetric effluent rate and the effluent rate of COD concentration; or</w:t>
      </w:r>
    </w:p>
    <w:p w14:paraId="3B99EAFD" w14:textId="77777777" w:rsidR="009924B1" w:rsidRPr="00097A86" w:rsidRDefault="009924B1" w:rsidP="009924B1">
      <w:pPr>
        <w:pStyle w:val="BoxPara"/>
      </w:pPr>
      <w:r w:rsidRPr="00097A86">
        <w:tab/>
        <w:t>(b)</w:t>
      </w:r>
      <w:r w:rsidRPr="00097A86">
        <w:tab/>
        <w:t>if data is available on the biochemical oxygen demand (</w:t>
      </w:r>
      <w:r w:rsidRPr="00097A86">
        <w:rPr>
          <w:b/>
          <w:i/>
        </w:rPr>
        <w:t>BOD</w:t>
      </w:r>
      <w:r w:rsidRPr="00097A86">
        <w:t>) in the effluent—that data converted to COD in accordance with the following formula:</w:t>
      </w:r>
    </w:p>
    <w:p w14:paraId="1AD8C2FB" w14:textId="77777777" w:rsidR="009924B1" w:rsidRPr="00097A86" w:rsidRDefault="009924B1" w:rsidP="009924B1">
      <w:pPr>
        <w:pStyle w:val="BoxPara"/>
      </w:pPr>
      <w:r w:rsidRPr="00097A86">
        <w:tab/>
      </w:r>
      <w:r w:rsidRPr="00097A86">
        <w:tab/>
      </w:r>
      <w:r w:rsidRPr="00097A86">
        <w:rPr>
          <w:position w:val="-24"/>
        </w:rPr>
        <w:object w:dxaOrig="1860" w:dyaOrig="580" w14:anchorId="34CDB250">
          <v:shape id="_x0000_i1066" type="#_x0000_t75" style="width:92.25pt;height:29.25pt" o:ole="">
            <v:imagedata r:id="rId248" o:title=""/>
          </v:shape>
          <o:OLEObject Type="Embed" ProgID="Equation.DSMT4" ShapeID="_x0000_i1066" DrawAspect="Content" ObjectID="_1624711070" r:id="rId249"/>
        </w:object>
      </w:r>
    </w:p>
    <w:p w14:paraId="08BCCD36" w14:textId="77777777" w:rsidR="009924B1" w:rsidRPr="00097A86" w:rsidRDefault="009924B1" w:rsidP="009924B1">
      <w:pPr>
        <w:pStyle w:val="BoxStep"/>
      </w:pPr>
      <w:r w:rsidRPr="00097A86">
        <w:tab/>
      </w:r>
      <w:r w:rsidRPr="00097A86">
        <w:rPr>
          <w:b/>
          <w:i/>
        </w:rPr>
        <w:t>COD</w:t>
      </w:r>
      <w:r w:rsidRPr="00097A86">
        <w:rPr>
          <w:b/>
          <w:i/>
          <w:vertAlign w:val="subscript"/>
        </w:rPr>
        <w:t>slz</w:t>
      </w:r>
      <w:r w:rsidRPr="00097A86">
        <w:t xml:space="preserve"> is the quantity of COD removed as sludge from wastewater and treated in the sub</w:t>
      </w:r>
      <w:r w:rsidR="00097A86">
        <w:noBreakHyphen/>
      </w:r>
      <w:r w:rsidRPr="00097A86">
        <w:t xml:space="preserve">facility, measured in tonnes of COD and worked out using the formula mentioned in </w:t>
      </w:r>
      <w:r w:rsidR="00097A86">
        <w:t>subsection (</w:t>
      </w:r>
      <w:r w:rsidRPr="00097A86">
        <w:t>4).</w:t>
      </w:r>
    </w:p>
    <w:p w14:paraId="4E1942AB" w14:textId="77777777" w:rsidR="009924B1" w:rsidRPr="00097A86" w:rsidRDefault="009924B1" w:rsidP="009924B1">
      <w:pPr>
        <w:pStyle w:val="BoxStep"/>
      </w:pPr>
      <w:r w:rsidRPr="00097A86">
        <w:rPr>
          <w:b/>
          <w:i/>
        </w:rPr>
        <w:tab/>
        <w:t>COD</w:t>
      </w:r>
      <w:r w:rsidRPr="00097A86">
        <w:rPr>
          <w:b/>
          <w:i/>
          <w:vertAlign w:val="subscript"/>
        </w:rPr>
        <w:t>trlz</w:t>
      </w:r>
      <w:r w:rsidRPr="00097A86">
        <w:t xml:space="preserve"> is the quantity of COD in sludge transferred out of the sub</w:t>
      </w:r>
      <w:r w:rsidR="00097A86">
        <w:noBreakHyphen/>
      </w:r>
      <w:r w:rsidRPr="00097A86">
        <w:t>facility and removed to landfill, measured in tonnes of COD.</w:t>
      </w:r>
    </w:p>
    <w:p w14:paraId="3A1F80D9" w14:textId="77777777" w:rsidR="009924B1" w:rsidRPr="00097A86" w:rsidRDefault="009924B1" w:rsidP="009924B1">
      <w:pPr>
        <w:pStyle w:val="BoxStep"/>
      </w:pPr>
      <w:r w:rsidRPr="00097A86">
        <w:tab/>
      </w:r>
      <w:r w:rsidRPr="00097A86">
        <w:rPr>
          <w:b/>
          <w:i/>
        </w:rPr>
        <w:t>COD</w:t>
      </w:r>
      <w:r w:rsidRPr="00097A86">
        <w:rPr>
          <w:b/>
          <w:i/>
          <w:vertAlign w:val="subscript"/>
        </w:rPr>
        <w:t>troz</w:t>
      </w:r>
      <w:r w:rsidRPr="00097A86">
        <w:t xml:space="preserve"> is the quantity of COD in sludge transferred out of the sub</w:t>
      </w:r>
      <w:r w:rsidR="00097A86">
        <w:noBreakHyphen/>
      </w:r>
      <w:r w:rsidRPr="00097A86">
        <w:t>facility and removed to a site other than landfill, measured in tonnes of COD.</w:t>
      </w:r>
    </w:p>
    <w:p w14:paraId="659EDFCB" w14:textId="77777777" w:rsidR="009924B1" w:rsidRPr="00097A86" w:rsidRDefault="009924B1" w:rsidP="009924B1">
      <w:pPr>
        <w:pStyle w:val="BoxStep"/>
      </w:pPr>
      <w:r w:rsidRPr="00097A86">
        <w:tab/>
      </w:r>
      <w:r w:rsidRPr="00097A86">
        <w:rPr>
          <w:b/>
          <w:i/>
        </w:rPr>
        <w:t>COD</w:t>
      </w:r>
      <w:r w:rsidRPr="00097A86">
        <w:rPr>
          <w:b/>
          <w:i/>
          <w:vertAlign w:val="subscript"/>
        </w:rPr>
        <w:t>wz</w:t>
      </w:r>
      <w:r w:rsidRPr="00097A86">
        <w:rPr>
          <w:vertAlign w:val="subscript"/>
        </w:rPr>
        <w:t xml:space="preserve"> </w:t>
      </w:r>
      <w:r w:rsidRPr="00097A86">
        <w:t>is the quantity of COD in wastewater entering the sub</w:t>
      </w:r>
      <w:r w:rsidR="00097A86">
        <w:noBreakHyphen/>
      </w:r>
      <w:r w:rsidRPr="00097A86">
        <w:t>facility during the year, measured in tonnes of COD and calculated by using:</w:t>
      </w:r>
    </w:p>
    <w:p w14:paraId="1AFC5C38" w14:textId="77777777" w:rsidR="009924B1" w:rsidRPr="00097A86" w:rsidRDefault="009924B1" w:rsidP="009924B1">
      <w:pPr>
        <w:pStyle w:val="BoxPara"/>
      </w:pPr>
      <w:r w:rsidRPr="00097A86">
        <w:tab/>
        <w:t>(a)</w:t>
      </w:r>
      <w:r w:rsidRPr="00097A86">
        <w:tab/>
        <w:t>facility operating data that measures the volumetric influent rate and the influent rate of COD concentration; or</w:t>
      </w:r>
    </w:p>
    <w:p w14:paraId="5E6A9247" w14:textId="77777777" w:rsidR="009924B1" w:rsidRPr="00097A86" w:rsidRDefault="009924B1" w:rsidP="009924B1">
      <w:pPr>
        <w:pStyle w:val="BoxPara"/>
      </w:pPr>
      <w:r w:rsidRPr="00097A86">
        <w:tab/>
        <w:t>(b)</w:t>
      </w:r>
      <w:r w:rsidRPr="00097A86">
        <w:tab/>
        <w:t>if data is available on the biochemical oxygen demand (</w:t>
      </w:r>
      <w:r w:rsidRPr="00097A86">
        <w:rPr>
          <w:b/>
          <w:i/>
        </w:rPr>
        <w:t>BOD</w:t>
      </w:r>
      <w:r w:rsidRPr="00097A86">
        <w:t>) in the wastewater—that data converted to COD in accordance with the following formula:</w:t>
      </w:r>
    </w:p>
    <w:p w14:paraId="397AA800" w14:textId="77777777" w:rsidR="009924B1" w:rsidRPr="00097A86" w:rsidRDefault="009924B1" w:rsidP="009924B1">
      <w:pPr>
        <w:pStyle w:val="BoxPara"/>
      </w:pPr>
      <w:r w:rsidRPr="00097A86">
        <w:lastRenderedPageBreak/>
        <w:tab/>
      </w:r>
      <w:r w:rsidRPr="00097A86">
        <w:tab/>
      </w:r>
      <w:r w:rsidRPr="00097A86">
        <w:object w:dxaOrig="1840" w:dyaOrig="300" w14:anchorId="523E7656">
          <v:shape id="_x0000_i1067" type="#_x0000_t75" style="width:92.25pt;height:15.75pt" o:ole="">
            <v:imagedata r:id="rId250" o:title=""/>
          </v:shape>
          <o:OLEObject Type="Embed" ProgID="Equation.DSMT4" ShapeID="_x0000_i1067" DrawAspect="Content" ObjectID="_1624711071" r:id="rId251"/>
        </w:object>
      </w:r>
    </w:p>
    <w:p w14:paraId="318BEBA8" w14:textId="77777777" w:rsidR="009924B1" w:rsidRPr="00097A86" w:rsidRDefault="009924B1" w:rsidP="009924B1">
      <w:pPr>
        <w:pStyle w:val="BoxStep"/>
      </w:pPr>
      <w:r w:rsidRPr="00097A86">
        <w:tab/>
      </w:r>
      <w:r w:rsidRPr="00097A86">
        <w:rPr>
          <w:b/>
          <w:i/>
        </w:rPr>
        <w:t>EF</w:t>
      </w:r>
      <w:r w:rsidRPr="00097A86">
        <w:rPr>
          <w:b/>
          <w:i/>
          <w:vertAlign w:val="subscript"/>
        </w:rPr>
        <w:t>slijz</w:t>
      </w:r>
      <w:r w:rsidRPr="00097A86">
        <w:t xml:space="preserve"> is the default methane emission factor for sludge with a value of </w:t>
      </w:r>
      <w:r w:rsidR="00B25EE5" w:rsidRPr="00097A86">
        <w:t>6.3</w:t>
      </w:r>
      <w:r w:rsidRPr="00097A86">
        <w:t xml:space="preserve"> CO</w:t>
      </w:r>
      <w:r w:rsidRPr="00097A86">
        <w:rPr>
          <w:vertAlign w:val="subscript"/>
        </w:rPr>
        <w:t>2</w:t>
      </w:r>
      <w:r w:rsidR="00097A86">
        <w:noBreakHyphen/>
      </w:r>
      <w:r w:rsidRPr="00097A86">
        <w:t>e tonnes per tonne of COD (sludge).</w:t>
      </w:r>
    </w:p>
    <w:p w14:paraId="5FDC55D6" w14:textId="77777777" w:rsidR="009924B1" w:rsidRPr="00097A86" w:rsidRDefault="009924B1" w:rsidP="009924B1">
      <w:pPr>
        <w:pStyle w:val="BoxStep"/>
      </w:pPr>
      <w:r w:rsidRPr="00097A86">
        <w:tab/>
      </w:r>
      <w:r w:rsidRPr="00097A86">
        <w:rPr>
          <w:b/>
          <w:i/>
        </w:rPr>
        <w:t>EF</w:t>
      </w:r>
      <w:r w:rsidRPr="00097A86">
        <w:rPr>
          <w:b/>
          <w:i/>
          <w:vertAlign w:val="subscript"/>
        </w:rPr>
        <w:t>wijz</w:t>
      </w:r>
      <w:r w:rsidRPr="00097A86">
        <w:t xml:space="preserve"> is the default methane emission factor for wastewater with a value of </w:t>
      </w:r>
      <w:r w:rsidR="00B25EE5" w:rsidRPr="00097A86">
        <w:t>6.3</w:t>
      </w:r>
      <w:r w:rsidRPr="00097A86">
        <w:t xml:space="preserve"> CO</w:t>
      </w:r>
      <w:r w:rsidRPr="00097A86">
        <w:rPr>
          <w:vertAlign w:val="subscript"/>
        </w:rPr>
        <w:t>2</w:t>
      </w:r>
      <w:r w:rsidR="00097A86">
        <w:noBreakHyphen/>
      </w:r>
      <w:r w:rsidRPr="00097A86">
        <w:t>e tonnes per tonne of COD.</w:t>
      </w:r>
    </w:p>
    <w:p w14:paraId="22D5C95D" w14:textId="77777777" w:rsidR="009924B1" w:rsidRPr="00097A86" w:rsidRDefault="009924B1" w:rsidP="009924B1">
      <w:pPr>
        <w:pStyle w:val="BoxStep"/>
      </w:pPr>
      <w:r w:rsidRPr="00097A86">
        <w:tab/>
      </w:r>
      <w:r w:rsidRPr="00097A86">
        <w:rPr>
          <w:b/>
          <w:i/>
        </w:rPr>
        <w:t>MCF</w:t>
      </w:r>
      <w:r w:rsidRPr="00097A86">
        <w:rPr>
          <w:b/>
          <w:i/>
          <w:vertAlign w:val="subscript"/>
        </w:rPr>
        <w:t>slz</w:t>
      </w:r>
      <w:r w:rsidRPr="00097A86">
        <w:t xml:space="preserve"> is the methane correction factor for sludge treated at the sub</w:t>
      </w:r>
      <w:r w:rsidR="00097A86">
        <w:noBreakHyphen/>
      </w:r>
      <w:r w:rsidRPr="00097A86">
        <w:t>facility during the reporting year.</w:t>
      </w:r>
    </w:p>
    <w:p w14:paraId="7E9AA75C" w14:textId="77777777" w:rsidR="009924B1" w:rsidRPr="00097A86" w:rsidRDefault="009924B1" w:rsidP="009924B1">
      <w:pPr>
        <w:pStyle w:val="BoxStep"/>
      </w:pPr>
      <w:r w:rsidRPr="00097A86">
        <w:rPr>
          <w:b/>
          <w:i/>
        </w:rPr>
        <w:tab/>
        <w:t>MCF</w:t>
      </w:r>
      <w:r w:rsidRPr="00097A86">
        <w:rPr>
          <w:b/>
          <w:i/>
          <w:vertAlign w:val="subscript"/>
        </w:rPr>
        <w:t>wwz</w:t>
      </w:r>
      <w:r w:rsidRPr="00097A86">
        <w:t xml:space="preserve"> is the methane correction factor for wastewater treated at the sub</w:t>
      </w:r>
      <w:r w:rsidR="00097A86">
        <w:noBreakHyphen/>
      </w:r>
      <w:r w:rsidRPr="00097A86">
        <w:t>facility during the reporting year.</w:t>
      </w:r>
    </w:p>
    <w:p w14:paraId="0E136591" w14:textId="77777777" w:rsidR="009924B1" w:rsidRPr="00097A86" w:rsidRDefault="009924B1" w:rsidP="009924B1">
      <w:pPr>
        <w:pStyle w:val="BoxStep"/>
      </w:pPr>
      <w:r w:rsidRPr="00097A86">
        <w:rPr>
          <w:b/>
          <w:i/>
        </w:rPr>
        <w:tab/>
        <w:t>Q</w:t>
      </w:r>
      <w:r w:rsidRPr="00097A86">
        <w:rPr>
          <w:b/>
          <w:i/>
          <w:vertAlign w:val="subscript"/>
        </w:rPr>
        <w:t>capz</w:t>
      </w:r>
      <w:r w:rsidRPr="00097A86">
        <w:t xml:space="preserve"> has the same meaning as in step 1 in </w:t>
      </w:r>
      <w:r w:rsidR="00097A86">
        <w:t>subsection (</w:t>
      </w:r>
      <w:r w:rsidRPr="00097A86">
        <w:t>1).</w:t>
      </w:r>
    </w:p>
    <w:p w14:paraId="192C29F2" w14:textId="77777777" w:rsidR="009924B1" w:rsidRPr="00097A86" w:rsidRDefault="009924B1" w:rsidP="009924B1">
      <w:pPr>
        <w:pStyle w:val="BoxStep"/>
      </w:pPr>
      <w:r w:rsidRPr="00097A86">
        <w:tab/>
      </w:r>
      <w:r w:rsidRPr="00097A86">
        <w:rPr>
          <w:b/>
          <w:i/>
        </w:rPr>
        <w:t>Q</w:t>
      </w:r>
      <w:r w:rsidRPr="00097A86">
        <w:rPr>
          <w:b/>
          <w:i/>
          <w:vertAlign w:val="subscript"/>
        </w:rPr>
        <w:t>flaredz</w:t>
      </w:r>
      <w:r w:rsidRPr="00097A86">
        <w:t xml:space="preserve"> has the same meaning as in step 1 in </w:t>
      </w:r>
      <w:r w:rsidR="00097A86">
        <w:t>subsection (</w:t>
      </w:r>
      <w:r w:rsidRPr="00097A86">
        <w:t>1).</w:t>
      </w:r>
    </w:p>
    <w:p w14:paraId="4E51DA37" w14:textId="77777777" w:rsidR="009924B1" w:rsidRPr="00097A86" w:rsidRDefault="009924B1" w:rsidP="009924B1">
      <w:pPr>
        <w:pStyle w:val="BoxStep"/>
      </w:pPr>
      <w:r w:rsidRPr="00097A86">
        <w:tab/>
      </w:r>
      <w:r w:rsidRPr="00097A86">
        <w:rPr>
          <w:b/>
          <w:i/>
        </w:rPr>
        <w:t>Q</w:t>
      </w:r>
      <w:r w:rsidRPr="00097A86">
        <w:rPr>
          <w:b/>
          <w:i/>
          <w:vertAlign w:val="subscript"/>
        </w:rPr>
        <w:t>trz</w:t>
      </w:r>
      <w:r w:rsidRPr="00097A86">
        <w:t xml:space="preserve"> has the same meaning as in step 1 in </w:t>
      </w:r>
      <w:r w:rsidR="00097A86">
        <w:t>subsection (</w:t>
      </w:r>
      <w:r w:rsidRPr="00097A86">
        <w:t>1).</w:t>
      </w:r>
    </w:p>
    <w:p w14:paraId="352D5DC0" w14:textId="77777777" w:rsidR="009924B1" w:rsidRPr="00097A86" w:rsidRDefault="009924B1" w:rsidP="009924B1">
      <w:pPr>
        <w:pStyle w:val="BoxStep"/>
      </w:pPr>
      <w:r w:rsidRPr="00097A86">
        <w:t>Step 2.</w:t>
      </w:r>
      <w:r w:rsidRPr="00097A86">
        <w:tab/>
        <w:t xml:space="preserve">If the quantity worked out under step 1 is less than or equal to 1.00, work out </w:t>
      </w:r>
      <w:r w:rsidRPr="00097A86">
        <w:rPr>
          <w:b/>
          <w:i/>
        </w:rPr>
        <w:t>CH</w:t>
      </w:r>
      <w:r w:rsidRPr="00097A86">
        <w:rPr>
          <w:b/>
          <w:i/>
          <w:vertAlign w:val="subscript"/>
        </w:rPr>
        <w:t>4genz</w:t>
      </w:r>
      <w:r w:rsidRPr="00097A86">
        <w:t xml:space="preserve"> using the following formula:</w:t>
      </w:r>
    </w:p>
    <w:p w14:paraId="28726C90" w14:textId="77777777" w:rsidR="009924B1" w:rsidRPr="00097A86" w:rsidRDefault="009924B1" w:rsidP="009924B1">
      <w:pPr>
        <w:pStyle w:val="BoxStep"/>
      </w:pPr>
      <w:r w:rsidRPr="00097A86">
        <w:tab/>
      </w:r>
      <w:r w:rsidRPr="00097A86">
        <w:rPr>
          <w:position w:val="-48"/>
        </w:rPr>
        <w:object w:dxaOrig="4599" w:dyaOrig="1060" w14:anchorId="414EA1D3">
          <v:shape id="_x0000_i1068" type="#_x0000_t75" style="width:229.5pt;height:55.5pt" o:ole="">
            <v:imagedata r:id="rId252" o:title=""/>
          </v:shape>
          <o:OLEObject Type="Embed" ProgID="Equation.DSMT4" ShapeID="_x0000_i1068" DrawAspect="Content" ObjectID="_1624711072" r:id="rId253"/>
        </w:object>
      </w:r>
    </w:p>
    <w:p w14:paraId="48BB93AC" w14:textId="77777777" w:rsidR="009924B1" w:rsidRPr="00097A86" w:rsidRDefault="009924B1" w:rsidP="009924B1">
      <w:pPr>
        <w:pStyle w:val="BoxStep"/>
      </w:pPr>
      <w:r w:rsidRPr="00097A86">
        <w:tab/>
        <w:t>where:</w:t>
      </w:r>
    </w:p>
    <w:p w14:paraId="5F1D12A3" w14:textId="77777777" w:rsidR="009924B1" w:rsidRPr="00097A86" w:rsidRDefault="009924B1" w:rsidP="009924B1">
      <w:pPr>
        <w:pStyle w:val="BoxStep"/>
      </w:pPr>
      <w:r w:rsidRPr="00097A86">
        <w:tab/>
      </w:r>
      <w:r w:rsidRPr="00097A86">
        <w:rPr>
          <w:b/>
          <w:i/>
        </w:rPr>
        <w:t>COD</w:t>
      </w:r>
      <w:r w:rsidRPr="00097A86">
        <w:rPr>
          <w:b/>
          <w:i/>
          <w:vertAlign w:val="subscript"/>
        </w:rPr>
        <w:t>effz</w:t>
      </w:r>
      <w:r w:rsidRPr="00097A86">
        <w:t xml:space="preserve"> has the same meaning as in step 1.</w:t>
      </w:r>
    </w:p>
    <w:p w14:paraId="7960D94B" w14:textId="77777777" w:rsidR="009924B1" w:rsidRPr="00097A86" w:rsidRDefault="009924B1" w:rsidP="009924B1">
      <w:pPr>
        <w:pStyle w:val="BoxStep"/>
        <w:rPr>
          <w:b/>
          <w:i/>
        </w:rPr>
      </w:pPr>
      <w:r w:rsidRPr="00097A86">
        <w:rPr>
          <w:b/>
          <w:i/>
        </w:rPr>
        <w:tab/>
        <w:t>COD</w:t>
      </w:r>
      <w:r w:rsidRPr="00097A86">
        <w:rPr>
          <w:b/>
          <w:i/>
          <w:vertAlign w:val="subscript"/>
        </w:rPr>
        <w:t>slz</w:t>
      </w:r>
      <w:r w:rsidRPr="00097A86">
        <w:t xml:space="preserve"> has the same meaning as in step 1.</w:t>
      </w:r>
    </w:p>
    <w:p w14:paraId="137D0989" w14:textId="77777777" w:rsidR="009924B1" w:rsidRPr="00097A86" w:rsidRDefault="009924B1" w:rsidP="009924B1">
      <w:pPr>
        <w:pStyle w:val="BoxStep"/>
      </w:pPr>
      <w:r w:rsidRPr="00097A86">
        <w:rPr>
          <w:b/>
          <w:i/>
        </w:rPr>
        <w:tab/>
        <w:t>COD</w:t>
      </w:r>
      <w:r w:rsidRPr="00097A86">
        <w:rPr>
          <w:b/>
          <w:i/>
          <w:vertAlign w:val="subscript"/>
        </w:rPr>
        <w:t>trlz</w:t>
      </w:r>
      <w:r w:rsidRPr="00097A86">
        <w:t xml:space="preserve"> has the same meaning as in step 1.</w:t>
      </w:r>
    </w:p>
    <w:p w14:paraId="3EE386D7" w14:textId="77777777" w:rsidR="009924B1" w:rsidRPr="00097A86" w:rsidRDefault="009924B1" w:rsidP="009924B1">
      <w:pPr>
        <w:pStyle w:val="BoxStep"/>
        <w:rPr>
          <w:b/>
          <w:i/>
        </w:rPr>
      </w:pPr>
      <w:r w:rsidRPr="00097A86">
        <w:rPr>
          <w:b/>
          <w:i/>
        </w:rPr>
        <w:tab/>
        <w:t>COD</w:t>
      </w:r>
      <w:r w:rsidRPr="00097A86">
        <w:rPr>
          <w:b/>
          <w:i/>
          <w:vertAlign w:val="subscript"/>
        </w:rPr>
        <w:t>troz</w:t>
      </w:r>
      <w:r w:rsidRPr="00097A86">
        <w:t xml:space="preserve"> has the same meaning as in step 1.</w:t>
      </w:r>
    </w:p>
    <w:p w14:paraId="39B8B72E" w14:textId="77777777" w:rsidR="009924B1" w:rsidRPr="00097A86" w:rsidRDefault="009924B1" w:rsidP="009924B1">
      <w:pPr>
        <w:pStyle w:val="BoxStep"/>
      </w:pPr>
      <w:r w:rsidRPr="00097A86">
        <w:rPr>
          <w:b/>
          <w:i/>
        </w:rPr>
        <w:tab/>
        <w:t>COD</w:t>
      </w:r>
      <w:r w:rsidRPr="00097A86">
        <w:rPr>
          <w:b/>
          <w:i/>
          <w:vertAlign w:val="subscript"/>
        </w:rPr>
        <w:t>wz</w:t>
      </w:r>
      <w:r w:rsidRPr="00097A86">
        <w:t xml:space="preserve"> has the same meaning as in step 1.</w:t>
      </w:r>
    </w:p>
    <w:p w14:paraId="7E5827B7" w14:textId="77777777" w:rsidR="009924B1" w:rsidRPr="00097A86" w:rsidRDefault="009924B1" w:rsidP="009924B1">
      <w:pPr>
        <w:pStyle w:val="BoxStep"/>
      </w:pPr>
      <w:r w:rsidRPr="00097A86">
        <w:tab/>
      </w:r>
      <w:r w:rsidRPr="00097A86">
        <w:rPr>
          <w:b/>
          <w:i/>
        </w:rPr>
        <w:t>EF</w:t>
      </w:r>
      <w:r w:rsidRPr="00097A86">
        <w:rPr>
          <w:b/>
          <w:i/>
          <w:vertAlign w:val="subscript"/>
        </w:rPr>
        <w:t>slijz</w:t>
      </w:r>
      <w:r w:rsidRPr="00097A86">
        <w:t xml:space="preserve"> has the same meaning as in step 1.</w:t>
      </w:r>
    </w:p>
    <w:p w14:paraId="16F886AD" w14:textId="77777777" w:rsidR="009924B1" w:rsidRPr="00097A86" w:rsidRDefault="009924B1" w:rsidP="009924B1">
      <w:pPr>
        <w:pStyle w:val="BoxStep"/>
      </w:pPr>
      <w:r w:rsidRPr="00097A86">
        <w:tab/>
      </w:r>
      <w:r w:rsidRPr="00097A86">
        <w:rPr>
          <w:b/>
          <w:i/>
        </w:rPr>
        <w:t>EF</w:t>
      </w:r>
      <w:r w:rsidRPr="00097A86">
        <w:rPr>
          <w:b/>
          <w:i/>
          <w:vertAlign w:val="subscript"/>
        </w:rPr>
        <w:t>wijz</w:t>
      </w:r>
      <w:r w:rsidRPr="00097A86">
        <w:t xml:space="preserve"> has the same meaning as in step 1.</w:t>
      </w:r>
    </w:p>
    <w:p w14:paraId="5753639A" w14:textId="77777777" w:rsidR="009924B1" w:rsidRPr="00097A86" w:rsidRDefault="009924B1" w:rsidP="009924B1">
      <w:pPr>
        <w:pStyle w:val="BoxStep"/>
      </w:pPr>
      <w:r w:rsidRPr="00097A86">
        <w:tab/>
      </w:r>
      <w:r w:rsidRPr="00097A86">
        <w:rPr>
          <w:b/>
          <w:i/>
        </w:rPr>
        <w:t>MCF</w:t>
      </w:r>
      <w:r w:rsidRPr="00097A86">
        <w:rPr>
          <w:b/>
          <w:i/>
          <w:vertAlign w:val="subscript"/>
        </w:rPr>
        <w:t>wwz</w:t>
      </w:r>
      <w:r w:rsidRPr="00097A86">
        <w:t xml:space="preserve"> has the same meaning as in step 1.</w:t>
      </w:r>
    </w:p>
    <w:p w14:paraId="3520F319" w14:textId="77777777" w:rsidR="009924B1" w:rsidRPr="00097A86" w:rsidRDefault="009924B1" w:rsidP="009924B1">
      <w:pPr>
        <w:pStyle w:val="BoxStep"/>
      </w:pPr>
      <w:r w:rsidRPr="00097A86">
        <w:tab/>
      </w:r>
      <w:r w:rsidRPr="00097A86">
        <w:rPr>
          <w:b/>
          <w:i/>
        </w:rPr>
        <w:t>MCF</w:t>
      </w:r>
      <w:r w:rsidRPr="00097A86">
        <w:rPr>
          <w:b/>
          <w:i/>
          <w:vertAlign w:val="subscript"/>
        </w:rPr>
        <w:t>slz</w:t>
      </w:r>
      <w:r w:rsidRPr="00097A86">
        <w:t xml:space="preserve"> has the same meaning as in step 1.</w:t>
      </w:r>
    </w:p>
    <w:p w14:paraId="4C1ACBFD" w14:textId="77777777" w:rsidR="009924B1" w:rsidRPr="00097A86" w:rsidRDefault="009924B1" w:rsidP="009924B1">
      <w:pPr>
        <w:pStyle w:val="BoxStep"/>
      </w:pPr>
      <w:r w:rsidRPr="00097A86">
        <w:lastRenderedPageBreak/>
        <w:t>Step 3.</w:t>
      </w:r>
      <w:r w:rsidRPr="00097A86">
        <w:tab/>
        <w:t xml:space="preserve">If the quantity worked out under step 1 is greater than 1.00, work out </w:t>
      </w:r>
      <w:r w:rsidRPr="00097A86">
        <w:rPr>
          <w:b/>
          <w:i/>
        </w:rPr>
        <w:t>CH</w:t>
      </w:r>
      <w:r w:rsidRPr="00097A86">
        <w:rPr>
          <w:b/>
          <w:i/>
          <w:vertAlign w:val="subscript"/>
        </w:rPr>
        <w:t>4genz</w:t>
      </w:r>
      <w:r w:rsidRPr="00097A86">
        <w:t xml:space="preserve"> using the formula:</w:t>
      </w:r>
    </w:p>
    <w:p w14:paraId="3B1094CF" w14:textId="77777777" w:rsidR="009924B1" w:rsidRPr="00097A86" w:rsidRDefault="009924B1" w:rsidP="009924B1">
      <w:pPr>
        <w:pStyle w:val="BoxStep"/>
      </w:pPr>
      <w:r w:rsidRPr="00097A86">
        <w:tab/>
      </w:r>
      <w:r w:rsidRPr="00097A86">
        <w:rPr>
          <w:position w:val="-36"/>
        </w:rPr>
        <w:object w:dxaOrig="3040" w:dyaOrig="820" w14:anchorId="00A2FAAA">
          <v:shape id="_x0000_i1069" type="#_x0000_t75" style="width:153pt;height:41.25pt" o:ole="">
            <v:imagedata r:id="rId254" o:title=""/>
          </v:shape>
          <o:OLEObject Type="Embed" ProgID="Equation.DSMT4" ShapeID="_x0000_i1069" DrawAspect="Content" ObjectID="_1624711073" r:id="rId255"/>
        </w:object>
      </w:r>
    </w:p>
    <w:p w14:paraId="06299242" w14:textId="77777777" w:rsidR="009924B1" w:rsidRPr="00097A86" w:rsidRDefault="009924B1" w:rsidP="009924B1">
      <w:pPr>
        <w:pStyle w:val="BoxStep"/>
      </w:pPr>
      <w:r w:rsidRPr="00097A86">
        <w:tab/>
        <w:t>where:</w:t>
      </w:r>
    </w:p>
    <w:p w14:paraId="03DCA547" w14:textId="77777777" w:rsidR="009924B1" w:rsidRPr="00097A86" w:rsidRDefault="009924B1" w:rsidP="009924B1">
      <w:pPr>
        <w:pStyle w:val="BoxStep"/>
      </w:pPr>
      <w:r w:rsidRPr="00097A86">
        <w:tab/>
      </w:r>
      <w:r w:rsidRPr="00097A86">
        <w:rPr>
          <w:b/>
          <w:i/>
        </w:rPr>
        <w:t>γ</w:t>
      </w:r>
      <w:r w:rsidRPr="00097A86">
        <w:t xml:space="preserve"> has the same meaning as in step 1 in </w:t>
      </w:r>
      <w:r w:rsidR="00097A86">
        <w:t>subsection (</w:t>
      </w:r>
      <w:r w:rsidRPr="00097A86">
        <w:t>1).</w:t>
      </w:r>
    </w:p>
    <w:p w14:paraId="42BD4A38" w14:textId="77777777" w:rsidR="009924B1" w:rsidRPr="00097A86" w:rsidRDefault="009924B1" w:rsidP="009924B1">
      <w:pPr>
        <w:pStyle w:val="BoxStep"/>
      </w:pPr>
      <w:r w:rsidRPr="00097A86">
        <w:tab/>
      </w:r>
      <w:r w:rsidRPr="00097A86">
        <w:rPr>
          <w:b/>
          <w:i/>
        </w:rPr>
        <w:t>Q</w:t>
      </w:r>
      <w:r w:rsidRPr="00097A86">
        <w:rPr>
          <w:b/>
          <w:i/>
          <w:vertAlign w:val="subscript"/>
        </w:rPr>
        <w:t>capz</w:t>
      </w:r>
      <w:r w:rsidRPr="00097A86">
        <w:t xml:space="preserve"> has the same meaning as in step 1 in </w:t>
      </w:r>
      <w:r w:rsidR="00097A86">
        <w:t>subsection (</w:t>
      </w:r>
      <w:r w:rsidRPr="00097A86">
        <w:t>1).</w:t>
      </w:r>
    </w:p>
    <w:p w14:paraId="72D50D5F" w14:textId="77777777" w:rsidR="009924B1" w:rsidRPr="00097A86" w:rsidRDefault="009924B1" w:rsidP="009924B1">
      <w:pPr>
        <w:pStyle w:val="BoxStep"/>
      </w:pPr>
      <w:r w:rsidRPr="00097A86">
        <w:tab/>
      </w:r>
      <w:r w:rsidRPr="00097A86">
        <w:rPr>
          <w:b/>
          <w:i/>
        </w:rPr>
        <w:t>Q</w:t>
      </w:r>
      <w:r w:rsidRPr="00097A86">
        <w:rPr>
          <w:b/>
          <w:i/>
          <w:vertAlign w:val="subscript"/>
        </w:rPr>
        <w:t>flaredz</w:t>
      </w:r>
      <w:r w:rsidRPr="00097A86">
        <w:t xml:space="preserve"> has the same meaning as in step 1 in </w:t>
      </w:r>
      <w:r w:rsidR="00097A86">
        <w:t>subsection (</w:t>
      </w:r>
      <w:r w:rsidRPr="00097A86">
        <w:t>1).</w:t>
      </w:r>
    </w:p>
    <w:p w14:paraId="726EFD34" w14:textId="77777777" w:rsidR="009924B1" w:rsidRPr="00097A86" w:rsidRDefault="009924B1" w:rsidP="009924B1">
      <w:pPr>
        <w:pStyle w:val="BoxStep"/>
      </w:pPr>
      <w:r w:rsidRPr="00097A86">
        <w:tab/>
      </w:r>
      <w:r w:rsidRPr="00097A86">
        <w:rPr>
          <w:b/>
          <w:i/>
        </w:rPr>
        <w:t>Q</w:t>
      </w:r>
      <w:r w:rsidRPr="00097A86">
        <w:rPr>
          <w:b/>
          <w:i/>
          <w:vertAlign w:val="subscript"/>
        </w:rPr>
        <w:t>trz</w:t>
      </w:r>
      <w:r w:rsidRPr="00097A86">
        <w:t xml:space="preserve"> has the same meaning as in step 1 in </w:t>
      </w:r>
      <w:r w:rsidR="00097A86">
        <w:t>subsection (</w:t>
      </w:r>
      <w:r w:rsidRPr="00097A86">
        <w:t>1).</w:t>
      </w:r>
    </w:p>
    <w:p w14:paraId="26F4B24C" w14:textId="77777777" w:rsidR="009924B1" w:rsidRPr="00097A86" w:rsidRDefault="009924B1" w:rsidP="009924B1">
      <w:pPr>
        <w:pStyle w:val="subsection"/>
      </w:pPr>
      <w:r w:rsidRPr="00097A86">
        <w:tab/>
        <w:t>(3)</w:t>
      </w:r>
      <w:r w:rsidRPr="00097A86">
        <w:tab/>
        <w:t xml:space="preserve">For steps 1 and 2 in </w:t>
      </w:r>
      <w:r w:rsidR="00097A86">
        <w:t>subsection (</w:t>
      </w:r>
      <w:r w:rsidRPr="00097A86">
        <w:t xml:space="preserve">2), an operator of the plant must choose a treatment for </w:t>
      </w:r>
      <w:r w:rsidRPr="00097A86">
        <w:rPr>
          <w:b/>
          <w:i/>
        </w:rPr>
        <w:t>MCF</w:t>
      </w:r>
      <w:r w:rsidRPr="00097A86">
        <w:rPr>
          <w:b/>
          <w:i/>
          <w:vertAlign w:val="subscript"/>
        </w:rPr>
        <w:t>wwz</w:t>
      </w:r>
      <w:r w:rsidRPr="00097A86">
        <w:t xml:space="preserve"> and estimate the quantity of COD removed from the wastewater as sludge (</w:t>
      </w:r>
      <w:r w:rsidRPr="00097A86">
        <w:rPr>
          <w:b/>
          <w:i/>
        </w:rPr>
        <w:t>COD</w:t>
      </w:r>
      <w:r w:rsidRPr="00097A86">
        <w:rPr>
          <w:b/>
          <w:i/>
          <w:vertAlign w:val="subscript"/>
        </w:rPr>
        <w:t>slz</w:t>
      </w:r>
      <w:r w:rsidRPr="00097A86">
        <w:t>).</w:t>
      </w:r>
    </w:p>
    <w:p w14:paraId="1468D193" w14:textId="77777777" w:rsidR="009924B1" w:rsidRPr="00097A86" w:rsidRDefault="009924B1" w:rsidP="009924B1">
      <w:pPr>
        <w:pStyle w:val="subsection"/>
      </w:pPr>
      <w:r w:rsidRPr="00097A86">
        <w:tab/>
        <w:t>(4)</w:t>
      </w:r>
      <w:r w:rsidRPr="00097A86">
        <w:tab/>
        <w:t xml:space="preserve">For steps 1 and 2 in </w:t>
      </w:r>
      <w:r w:rsidR="00097A86">
        <w:t>subsection (</w:t>
      </w:r>
      <w:r w:rsidRPr="00097A86">
        <w:t xml:space="preserve">2), </w:t>
      </w:r>
      <w:r w:rsidRPr="00097A86">
        <w:rPr>
          <w:b/>
          <w:i/>
        </w:rPr>
        <w:t>COD</w:t>
      </w:r>
      <w:r w:rsidRPr="00097A86">
        <w:rPr>
          <w:b/>
          <w:i/>
          <w:vertAlign w:val="subscript"/>
        </w:rPr>
        <w:t>slz</w:t>
      </w:r>
      <w:r w:rsidRPr="00097A86">
        <w:t xml:space="preserve"> is worked out using the formula:</w:t>
      </w:r>
    </w:p>
    <w:p w14:paraId="143C9E37" w14:textId="77777777" w:rsidR="009924B1" w:rsidRPr="00097A86" w:rsidRDefault="009924B1" w:rsidP="009924B1">
      <w:pPr>
        <w:pStyle w:val="subsection2"/>
      </w:pPr>
      <w:r w:rsidRPr="00097A86">
        <w:rPr>
          <w:position w:val="-24"/>
        </w:rPr>
        <w:object w:dxaOrig="1760" w:dyaOrig="580" w14:anchorId="07770B87">
          <v:shape id="_x0000_i1070" type="#_x0000_t75" style="width:88.5pt;height:30pt" o:ole="">
            <v:imagedata r:id="rId256" o:title=""/>
          </v:shape>
          <o:OLEObject Type="Embed" ProgID="Equation.DSMT4" ShapeID="_x0000_i1070" DrawAspect="Content" ObjectID="_1624711074" r:id="rId257"/>
        </w:object>
      </w:r>
    </w:p>
    <w:p w14:paraId="748E6517" w14:textId="77777777" w:rsidR="009924B1" w:rsidRPr="00097A86" w:rsidRDefault="009924B1" w:rsidP="009924B1">
      <w:pPr>
        <w:pStyle w:val="subsection2"/>
      </w:pPr>
      <w:r w:rsidRPr="00097A86">
        <w:t>where:</w:t>
      </w:r>
    </w:p>
    <w:p w14:paraId="15C91DA4" w14:textId="77777777" w:rsidR="009924B1" w:rsidRPr="00097A86" w:rsidRDefault="009924B1" w:rsidP="009924B1">
      <w:pPr>
        <w:pStyle w:val="Definition"/>
      </w:pPr>
      <w:r w:rsidRPr="00097A86">
        <w:rPr>
          <w:b/>
          <w:i/>
        </w:rPr>
        <w:t>COD</w:t>
      </w:r>
      <w:r w:rsidRPr="00097A86">
        <w:rPr>
          <w:b/>
          <w:i/>
          <w:vertAlign w:val="subscript"/>
        </w:rPr>
        <w:t>pslz</w:t>
      </w:r>
      <w:r w:rsidRPr="00097A86">
        <w:t xml:space="preserve"> is the quantity of COD removed as primary sludge from wastewater and treated in the sub</w:t>
      </w:r>
      <w:r w:rsidR="00097A86">
        <w:noBreakHyphen/>
      </w:r>
      <w:r w:rsidRPr="00097A86">
        <w:t xml:space="preserve">facility measured in tonnes of COD and may be estimated using the formula in </w:t>
      </w:r>
      <w:r w:rsidR="00097A86">
        <w:t>subsection (</w:t>
      </w:r>
      <w:r w:rsidRPr="00097A86">
        <w:t>5).</w:t>
      </w:r>
    </w:p>
    <w:p w14:paraId="5F82E0D6" w14:textId="77777777" w:rsidR="009924B1" w:rsidRPr="00097A86" w:rsidRDefault="009924B1" w:rsidP="009924B1">
      <w:pPr>
        <w:pStyle w:val="Definition"/>
      </w:pPr>
      <w:r w:rsidRPr="00097A86">
        <w:rPr>
          <w:b/>
          <w:i/>
        </w:rPr>
        <w:t>COD</w:t>
      </w:r>
      <w:r w:rsidRPr="00097A86">
        <w:rPr>
          <w:b/>
          <w:i/>
          <w:vertAlign w:val="subscript"/>
        </w:rPr>
        <w:t>waslz</w:t>
      </w:r>
      <w:r w:rsidRPr="00097A86">
        <w:t xml:space="preserve"> is the quantity of COD removed as waste activated sludge from wastewater and treated in the sub</w:t>
      </w:r>
      <w:r w:rsidR="00097A86">
        <w:noBreakHyphen/>
      </w:r>
      <w:r w:rsidRPr="00097A86">
        <w:t xml:space="preserve">facility measured in tonnes of COD and may be estimated using the formula in </w:t>
      </w:r>
      <w:r w:rsidR="00097A86">
        <w:t>subsection (</w:t>
      </w:r>
      <w:r w:rsidRPr="00097A86">
        <w:t>6).</w:t>
      </w:r>
    </w:p>
    <w:p w14:paraId="3AF85DCA" w14:textId="77777777" w:rsidR="009924B1" w:rsidRPr="00097A86" w:rsidRDefault="009924B1" w:rsidP="009924B1">
      <w:pPr>
        <w:pStyle w:val="subsection"/>
      </w:pPr>
      <w:r w:rsidRPr="00097A86">
        <w:tab/>
        <w:t>(5)</w:t>
      </w:r>
      <w:r w:rsidRPr="00097A86">
        <w:tab/>
        <w:t xml:space="preserve">For </w:t>
      </w:r>
      <w:r w:rsidR="00097A86">
        <w:t>subsection (</w:t>
      </w:r>
      <w:r w:rsidRPr="00097A86">
        <w:t xml:space="preserve">4), </w:t>
      </w:r>
      <w:r w:rsidRPr="00097A86">
        <w:rPr>
          <w:b/>
          <w:i/>
        </w:rPr>
        <w:t>COD</w:t>
      </w:r>
      <w:r w:rsidRPr="00097A86">
        <w:rPr>
          <w:b/>
          <w:i/>
          <w:vertAlign w:val="subscript"/>
        </w:rPr>
        <w:t>pslz</w:t>
      </w:r>
      <w:r w:rsidRPr="00097A86">
        <w:t xml:space="preserve"> may be estimated in accordance with the following formula:</w:t>
      </w:r>
    </w:p>
    <w:p w14:paraId="6532E55F" w14:textId="77777777" w:rsidR="009924B1" w:rsidRPr="00097A86" w:rsidRDefault="009924B1" w:rsidP="009924B1">
      <w:pPr>
        <w:pStyle w:val="subsection2"/>
      </w:pPr>
      <w:r w:rsidRPr="00097A86">
        <w:rPr>
          <w:position w:val="-12"/>
        </w:rPr>
        <w:object w:dxaOrig="1160" w:dyaOrig="440" w14:anchorId="7D01DD42">
          <v:shape id="_x0000_i1071" type="#_x0000_t75" style="width:59.25pt;height:23.25pt" o:ole="">
            <v:imagedata r:id="rId258" o:title=""/>
          </v:shape>
          <o:OLEObject Type="Embed" ProgID="Equation.DSMT4" ShapeID="_x0000_i1071" DrawAspect="Content" ObjectID="_1624711075" r:id="rId259"/>
        </w:object>
      </w:r>
    </w:p>
    <w:p w14:paraId="6C96694A" w14:textId="77777777" w:rsidR="009924B1" w:rsidRPr="00097A86" w:rsidRDefault="009924B1" w:rsidP="009924B1">
      <w:pPr>
        <w:pStyle w:val="subsection2"/>
      </w:pPr>
      <w:r w:rsidRPr="00097A86">
        <w:t>where:</w:t>
      </w:r>
    </w:p>
    <w:p w14:paraId="61523EC8" w14:textId="77777777" w:rsidR="009924B1" w:rsidRPr="00097A86" w:rsidRDefault="009924B1" w:rsidP="009924B1">
      <w:pPr>
        <w:pStyle w:val="Definition"/>
      </w:pPr>
      <w:r w:rsidRPr="00097A86">
        <w:rPr>
          <w:b/>
          <w:i/>
        </w:rPr>
        <w:t>VS</w:t>
      </w:r>
      <w:r w:rsidRPr="00097A86">
        <w:rPr>
          <w:b/>
          <w:i/>
          <w:vertAlign w:val="subscript"/>
        </w:rPr>
        <w:t>pslz</w:t>
      </w:r>
      <w:r w:rsidRPr="00097A86">
        <w:t xml:space="preserve"> is the estimated volatile solids in the primary sludge.</w:t>
      </w:r>
    </w:p>
    <w:p w14:paraId="2B3F6516" w14:textId="77777777" w:rsidR="009924B1" w:rsidRPr="00097A86" w:rsidRDefault="009924B1" w:rsidP="009924B1">
      <w:pPr>
        <w:pStyle w:val="subsection"/>
      </w:pPr>
      <w:r w:rsidRPr="00097A86">
        <w:tab/>
        <w:t>(6)</w:t>
      </w:r>
      <w:r w:rsidRPr="00097A86">
        <w:tab/>
        <w:t xml:space="preserve">For </w:t>
      </w:r>
      <w:r w:rsidR="00097A86">
        <w:t>subsection (</w:t>
      </w:r>
      <w:r w:rsidRPr="00097A86">
        <w:t xml:space="preserve">4), </w:t>
      </w:r>
      <w:r w:rsidRPr="00097A86">
        <w:rPr>
          <w:b/>
          <w:i/>
        </w:rPr>
        <w:t>COD</w:t>
      </w:r>
      <w:r w:rsidRPr="00097A86">
        <w:rPr>
          <w:b/>
          <w:i/>
          <w:vertAlign w:val="subscript"/>
        </w:rPr>
        <w:t>waslz</w:t>
      </w:r>
      <w:r w:rsidRPr="00097A86">
        <w:t xml:space="preserve"> may be estimated in accordance with the following formula:</w:t>
      </w:r>
    </w:p>
    <w:p w14:paraId="3A15BC15" w14:textId="77777777" w:rsidR="009924B1" w:rsidRPr="00097A86" w:rsidRDefault="009924B1" w:rsidP="009924B1">
      <w:pPr>
        <w:pStyle w:val="subsection2"/>
      </w:pPr>
      <w:r w:rsidRPr="00097A86">
        <w:rPr>
          <w:position w:val="-10"/>
        </w:rPr>
        <w:object w:dxaOrig="1240" w:dyaOrig="420" w14:anchorId="4B92208E">
          <v:shape id="_x0000_i1072" type="#_x0000_t75" style="width:60.75pt;height:20.25pt" o:ole="">
            <v:imagedata r:id="rId260" o:title=""/>
          </v:shape>
          <o:OLEObject Type="Embed" ProgID="Equation.DSMT4" ShapeID="_x0000_i1072" DrawAspect="Content" ObjectID="_1624711076" r:id="rId261"/>
        </w:object>
      </w:r>
    </w:p>
    <w:p w14:paraId="6EDD4938" w14:textId="77777777" w:rsidR="009924B1" w:rsidRPr="00097A86" w:rsidRDefault="009924B1" w:rsidP="009924B1">
      <w:pPr>
        <w:pStyle w:val="subsection2"/>
      </w:pPr>
      <w:r w:rsidRPr="00097A86">
        <w:t>where:</w:t>
      </w:r>
    </w:p>
    <w:p w14:paraId="3A4ED025" w14:textId="77777777" w:rsidR="009924B1" w:rsidRPr="00097A86" w:rsidRDefault="009924B1" w:rsidP="009924B1">
      <w:pPr>
        <w:pStyle w:val="Definition"/>
      </w:pPr>
      <w:r w:rsidRPr="00097A86">
        <w:rPr>
          <w:b/>
          <w:i/>
        </w:rPr>
        <w:t>VS</w:t>
      </w:r>
      <w:r w:rsidRPr="00097A86">
        <w:rPr>
          <w:b/>
          <w:i/>
          <w:vertAlign w:val="subscript"/>
        </w:rPr>
        <w:t>waslz</w:t>
      </w:r>
      <w:r w:rsidRPr="00097A86">
        <w:t xml:space="preserve"> is the estimated volatile solids in the waste activated sludge.</w:t>
      </w:r>
    </w:p>
    <w:p w14:paraId="7C93FD5F" w14:textId="77777777" w:rsidR="009924B1" w:rsidRPr="00097A86" w:rsidRDefault="009924B1" w:rsidP="009924B1">
      <w:pPr>
        <w:pStyle w:val="subsection"/>
      </w:pPr>
      <w:r w:rsidRPr="00097A86">
        <w:lastRenderedPageBreak/>
        <w:tab/>
        <w:t>(7)</w:t>
      </w:r>
      <w:r w:rsidRPr="00097A86">
        <w:tab/>
        <w:t xml:space="preserve">Wastewater used for the purposes of </w:t>
      </w:r>
      <w:r w:rsidR="00097A86">
        <w:t>subsection (</w:t>
      </w:r>
      <w:r w:rsidRPr="00097A86">
        <w:t>2) must be sampled and analysed for COD in accordance with the requirements in sections</w:t>
      </w:r>
      <w:r w:rsidR="00097A86">
        <w:t> </w:t>
      </w:r>
      <w:r w:rsidRPr="00097A86">
        <w:t>5.27, 5.28 and 5.29.</w:t>
      </w:r>
    </w:p>
    <w:p w14:paraId="546C0EDC" w14:textId="77777777" w:rsidR="009924B1" w:rsidRPr="00097A86" w:rsidRDefault="009924B1" w:rsidP="009924B1">
      <w:pPr>
        <w:pStyle w:val="subsection"/>
      </w:pPr>
      <w:r w:rsidRPr="00097A86">
        <w:tab/>
        <w:t>(8)</w:t>
      </w:r>
      <w:r w:rsidRPr="00097A86">
        <w:tab/>
        <w:t>If the sub</w:t>
      </w:r>
      <w:r w:rsidR="00097A86">
        <w:noBreakHyphen/>
      </w:r>
      <w:r w:rsidRPr="00097A86">
        <w:t xml:space="preserve">facility is an anaerobic sludge lagoon, the method set out in the document entitled “Fugitive Emissions from Sludge Lagoons Technical Paper”, published by the Water Services Association of Australia in April 2014, may be used to estimate </w:t>
      </w:r>
      <w:r w:rsidRPr="00097A86">
        <w:rPr>
          <w:b/>
          <w:i/>
        </w:rPr>
        <w:t>CH</w:t>
      </w:r>
      <w:r w:rsidRPr="00097A86">
        <w:rPr>
          <w:b/>
          <w:i/>
          <w:vertAlign w:val="subscript"/>
        </w:rPr>
        <w:t>4genz</w:t>
      </w:r>
      <w:r w:rsidRPr="00097A86">
        <w:t xml:space="preserve"> for the sub</w:t>
      </w:r>
      <w:r w:rsidR="00097A86">
        <w:noBreakHyphen/>
      </w:r>
      <w:r w:rsidRPr="00097A86">
        <w:t>facility.</w:t>
      </w:r>
    </w:p>
    <w:p w14:paraId="5082F6BF" w14:textId="77777777" w:rsidR="009924B1" w:rsidRPr="00097A86" w:rsidRDefault="009924B1" w:rsidP="009924B1">
      <w:pPr>
        <w:pStyle w:val="notetext"/>
      </w:pPr>
      <w:r w:rsidRPr="00097A86">
        <w:t>Note:</w:t>
      </w:r>
      <w:r w:rsidRPr="00097A86">
        <w:tab/>
        <w:t xml:space="preserve">The </w:t>
      </w:r>
      <w:r w:rsidRPr="00097A86">
        <w:rPr>
          <w:i/>
        </w:rPr>
        <w:t>Fugitive Emissions from Sludge Lagoons Technical Paper</w:t>
      </w:r>
      <w:r w:rsidRPr="00097A86">
        <w:t xml:space="preserve"> could in 2014 be viewed on the Water Services Association of Australia’s website (http://www.wsaa.asn.au).</w:t>
      </w:r>
    </w:p>
    <w:p w14:paraId="4B40DBA5" w14:textId="77777777" w:rsidR="009924B1" w:rsidRPr="00097A86" w:rsidRDefault="009924B1" w:rsidP="009924B1">
      <w:pPr>
        <w:pStyle w:val="subsection"/>
      </w:pPr>
      <w:r w:rsidRPr="00097A86">
        <w:tab/>
        <w:t>(9)</w:t>
      </w:r>
      <w:r w:rsidRPr="00097A86">
        <w:tab/>
        <w:t>In this section:</w:t>
      </w:r>
    </w:p>
    <w:p w14:paraId="1237361D" w14:textId="77777777" w:rsidR="009924B1" w:rsidRPr="00097A86" w:rsidRDefault="009924B1" w:rsidP="009924B1">
      <w:pPr>
        <w:pStyle w:val="Definition"/>
      </w:pPr>
      <w:r w:rsidRPr="00097A86">
        <w:rPr>
          <w:b/>
          <w:i/>
        </w:rPr>
        <w:t>methane correction factor</w:t>
      </w:r>
      <w:r w:rsidRPr="00097A86">
        <w:t xml:space="preserve"> is the fraction of COD anaerobically treated.</w:t>
      </w:r>
    </w:p>
    <w:p w14:paraId="6B23C2F6" w14:textId="77777777" w:rsidR="009924B1" w:rsidRPr="00097A86" w:rsidRDefault="009924B1" w:rsidP="009924B1">
      <w:pPr>
        <w:pStyle w:val="notetext"/>
      </w:pPr>
      <w:r w:rsidRPr="00097A86">
        <w:t>Note:</w:t>
      </w:r>
      <w:r w:rsidRPr="00097A86">
        <w:tab/>
        <w:t>IPCC default methane correction factors for various types of treatment are as follows:</w:t>
      </w:r>
    </w:p>
    <w:p w14:paraId="55FB3BB2" w14:textId="77777777" w:rsidR="009924B1" w:rsidRPr="00097A86" w:rsidRDefault="009924B1" w:rsidP="009924B1">
      <w:pPr>
        <w:pStyle w:val="notepara"/>
      </w:pPr>
      <w:r w:rsidRPr="00097A86">
        <w:t>(a)</w:t>
      </w:r>
      <w:r w:rsidRPr="00097A86">
        <w:tab/>
        <w:t>managed aerobic treatment: 0;</w:t>
      </w:r>
    </w:p>
    <w:p w14:paraId="222DFDE6" w14:textId="77777777" w:rsidR="009924B1" w:rsidRPr="00097A86" w:rsidRDefault="009924B1" w:rsidP="009924B1">
      <w:pPr>
        <w:pStyle w:val="notepara"/>
      </w:pPr>
      <w:r w:rsidRPr="00097A86">
        <w:t>(b)</w:t>
      </w:r>
      <w:r w:rsidRPr="00097A86">
        <w:tab/>
        <w:t>unmanaged aerobic treatment: 0.3;</w:t>
      </w:r>
    </w:p>
    <w:p w14:paraId="5972190D" w14:textId="77777777" w:rsidR="009924B1" w:rsidRPr="00097A86" w:rsidRDefault="009924B1" w:rsidP="009924B1">
      <w:pPr>
        <w:pStyle w:val="notepara"/>
      </w:pPr>
      <w:r w:rsidRPr="00097A86">
        <w:t>(c)</w:t>
      </w:r>
      <w:r w:rsidRPr="00097A86">
        <w:tab/>
        <w:t>anaerobic digester/reactor: 0.8;</w:t>
      </w:r>
    </w:p>
    <w:p w14:paraId="0937DFEB" w14:textId="77777777" w:rsidR="009924B1" w:rsidRPr="00097A86" w:rsidRDefault="009924B1" w:rsidP="009924B1">
      <w:pPr>
        <w:pStyle w:val="notepara"/>
      </w:pPr>
      <w:r w:rsidRPr="00097A86">
        <w:t>(d)</w:t>
      </w:r>
      <w:r w:rsidRPr="00097A86">
        <w:tab/>
        <w:t>shallow anaerobic lagoon (&lt;2 metres): 0.2;</w:t>
      </w:r>
    </w:p>
    <w:p w14:paraId="3F95E5D4" w14:textId="77777777" w:rsidR="009924B1" w:rsidRPr="00097A86" w:rsidRDefault="009924B1" w:rsidP="009924B1">
      <w:pPr>
        <w:pStyle w:val="notepara"/>
      </w:pPr>
      <w:r w:rsidRPr="00097A86">
        <w:t>(e)</w:t>
      </w:r>
      <w:r w:rsidRPr="00097A86">
        <w:tab/>
        <w:t>deep anaerobic lagoon (&gt;2 metres): 0.8.</w:t>
      </w:r>
    </w:p>
    <w:p w14:paraId="749EDD57" w14:textId="77777777" w:rsidR="009924B1" w:rsidRPr="00097A86" w:rsidRDefault="009924B1" w:rsidP="009924B1">
      <w:pPr>
        <w:pStyle w:val="Definition"/>
      </w:pPr>
      <w:r w:rsidRPr="00097A86">
        <w:rPr>
          <w:b/>
          <w:i/>
        </w:rPr>
        <w:t>primary sludge</w:t>
      </w:r>
      <w:r w:rsidRPr="00097A86">
        <w:t xml:space="preserve"> means sludge from the first major treatment process in a wastewater treatment facility that is designed primarily to remove a substantial amount of suspended matter but little or no colloidal or dissolved matter.</w:t>
      </w:r>
    </w:p>
    <w:p w14:paraId="0D9E3EF5" w14:textId="77777777" w:rsidR="009924B1" w:rsidRPr="00097A86" w:rsidRDefault="009924B1" w:rsidP="009924B1">
      <w:pPr>
        <w:pStyle w:val="Definition"/>
      </w:pPr>
      <w:r w:rsidRPr="00097A86">
        <w:rPr>
          <w:b/>
          <w:i/>
        </w:rPr>
        <w:t>waste activated sludge</w:t>
      </w:r>
      <w:r w:rsidRPr="00097A86">
        <w:t xml:space="preserve"> means sludge from a secondary treatment process in a wastewater treatment facility involving aeration and active biological material.</w:t>
      </w:r>
    </w:p>
    <w:p w14:paraId="0AE1E34C" w14:textId="77777777" w:rsidR="009924B1" w:rsidRPr="00097A86" w:rsidRDefault="009924B1" w:rsidP="009924B1">
      <w:pPr>
        <w:pStyle w:val="ActHead5"/>
      </w:pPr>
      <w:bookmarkStart w:id="598" w:name="_Toc13234025"/>
      <w:r w:rsidRPr="00097A86">
        <w:rPr>
          <w:rStyle w:val="CharSectno"/>
        </w:rPr>
        <w:t>5.26A</w:t>
      </w:r>
      <w:r w:rsidRPr="00097A86">
        <w:t xml:space="preserve">  Requirements relating to sub</w:t>
      </w:r>
      <w:r w:rsidR="00097A86">
        <w:noBreakHyphen/>
      </w:r>
      <w:r w:rsidRPr="00097A86">
        <w:t>facilities</w:t>
      </w:r>
      <w:bookmarkEnd w:id="598"/>
    </w:p>
    <w:p w14:paraId="16D9871F" w14:textId="77777777" w:rsidR="009924B1" w:rsidRPr="00097A86" w:rsidRDefault="009924B1" w:rsidP="009924B1">
      <w:pPr>
        <w:pStyle w:val="subsection"/>
      </w:pPr>
      <w:r w:rsidRPr="00097A86">
        <w:tab/>
        <w:t>(1)</w:t>
      </w:r>
      <w:r w:rsidRPr="00097A86">
        <w:tab/>
        <w:t>A plant operator may select one or more sub</w:t>
      </w:r>
      <w:r w:rsidR="00097A86">
        <w:noBreakHyphen/>
      </w:r>
      <w:r w:rsidRPr="00097A86">
        <w:t>facilities for the plant to estimate emissions released by the plant.</w:t>
      </w:r>
    </w:p>
    <w:p w14:paraId="32215FB1" w14:textId="77777777" w:rsidR="009924B1" w:rsidRPr="00097A86" w:rsidRDefault="009924B1" w:rsidP="009924B1">
      <w:pPr>
        <w:pStyle w:val="subsection"/>
      </w:pPr>
      <w:r w:rsidRPr="00097A86">
        <w:tab/>
        <w:t>(2)</w:t>
      </w:r>
      <w:r w:rsidRPr="00097A86">
        <w:tab/>
        <w:t>A sub</w:t>
      </w:r>
      <w:r w:rsidR="00097A86">
        <w:noBreakHyphen/>
      </w:r>
      <w:r w:rsidRPr="00097A86">
        <w:t>facility selected:</w:t>
      </w:r>
    </w:p>
    <w:p w14:paraId="4560E251" w14:textId="77777777" w:rsidR="009924B1" w:rsidRPr="00097A86" w:rsidRDefault="009924B1" w:rsidP="009924B1">
      <w:pPr>
        <w:pStyle w:val="paragraph"/>
      </w:pPr>
      <w:r w:rsidRPr="00097A86">
        <w:tab/>
        <w:t>(a)</w:t>
      </w:r>
      <w:r w:rsidRPr="00097A86">
        <w:tab/>
        <w:t>must be an area within a plant covering a discrete treatment stage; and</w:t>
      </w:r>
    </w:p>
    <w:p w14:paraId="30D70F2C" w14:textId="77777777" w:rsidR="009924B1" w:rsidRPr="00097A86" w:rsidRDefault="009924B1" w:rsidP="009924B1">
      <w:pPr>
        <w:pStyle w:val="paragraph"/>
      </w:pPr>
      <w:r w:rsidRPr="00097A86">
        <w:tab/>
        <w:t>(b)</w:t>
      </w:r>
      <w:r w:rsidRPr="00097A86">
        <w:tab/>
        <w:t>must have a uniform treatment of COD so that the estimates of the methane generated by the sub</w:t>
      </w:r>
      <w:r w:rsidR="00097A86">
        <w:noBreakHyphen/>
      </w:r>
      <w:r w:rsidRPr="00097A86">
        <w:t>facility are consistent with the principles mentioned in section</w:t>
      </w:r>
      <w:r w:rsidR="00097A86">
        <w:t> </w:t>
      </w:r>
      <w:r w:rsidRPr="00097A86">
        <w:t>1.13; and</w:t>
      </w:r>
    </w:p>
    <w:p w14:paraId="456DEB58" w14:textId="77777777" w:rsidR="009924B1" w:rsidRPr="00097A86" w:rsidRDefault="009924B1" w:rsidP="009924B1">
      <w:pPr>
        <w:pStyle w:val="paragraph"/>
      </w:pPr>
      <w:r w:rsidRPr="00097A86">
        <w:tab/>
        <w:t>(c)</w:t>
      </w:r>
      <w:r w:rsidRPr="00097A86">
        <w:tab/>
        <w:t>must not be subject to:</w:t>
      </w:r>
    </w:p>
    <w:p w14:paraId="24EA5913" w14:textId="77777777" w:rsidR="009924B1" w:rsidRPr="00097A86" w:rsidRDefault="009924B1" w:rsidP="009924B1">
      <w:pPr>
        <w:pStyle w:val="paragraphsub"/>
      </w:pPr>
      <w:r w:rsidRPr="00097A86">
        <w:tab/>
        <w:t>(i)</w:t>
      </w:r>
      <w:r w:rsidRPr="00097A86">
        <w:tab/>
        <w:t>sludge biogas inflow from another sub</w:t>
      </w:r>
      <w:r w:rsidR="00097A86">
        <w:noBreakHyphen/>
      </w:r>
      <w:r w:rsidRPr="00097A86">
        <w:t>facility; or</w:t>
      </w:r>
    </w:p>
    <w:p w14:paraId="4D67FA07" w14:textId="77777777" w:rsidR="009924B1" w:rsidRPr="00097A86" w:rsidRDefault="009924B1" w:rsidP="009924B1">
      <w:pPr>
        <w:pStyle w:val="paragraphsub"/>
      </w:pPr>
      <w:r w:rsidRPr="00097A86">
        <w:tab/>
        <w:t>(ii)</w:t>
      </w:r>
      <w:r w:rsidRPr="00097A86">
        <w:tab/>
        <w:t>sludge biogas outflow to another sub</w:t>
      </w:r>
      <w:r w:rsidR="00097A86">
        <w:noBreakHyphen/>
      </w:r>
      <w:r w:rsidRPr="00097A86">
        <w:t>facility.</w:t>
      </w:r>
    </w:p>
    <w:p w14:paraId="28EFCD5D" w14:textId="77777777" w:rsidR="003F0D4E" w:rsidRPr="00097A86" w:rsidRDefault="003F0D4E" w:rsidP="00D22D3F">
      <w:pPr>
        <w:pStyle w:val="ActHead5"/>
      </w:pPr>
      <w:bookmarkStart w:id="599" w:name="_Toc13234026"/>
      <w:r w:rsidRPr="00097A86">
        <w:rPr>
          <w:rStyle w:val="CharSectno"/>
        </w:rPr>
        <w:t>5.27</w:t>
      </w:r>
      <w:r w:rsidR="00D22D3F" w:rsidRPr="00097A86">
        <w:t xml:space="preserve">  </w:t>
      </w:r>
      <w:r w:rsidRPr="00097A86">
        <w:t>General requirements for sampling under method 2</w:t>
      </w:r>
      <w:bookmarkEnd w:id="599"/>
    </w:p>
    <w:p w14:paraId="12A63511" w14:textId="77777777" w:rsidR="003F0D4E" w:rsidRPr="00097A86" w:rsidRDefault="003F0D4E" w:rsidP="00D22D3F">
      <w:pPr>
        <w:pStyle w:val="subsection"/>
      </w:pPr>
      <w:r w:rsidRPr="00097A86">
        <w:tab/>
        <w:t>(1)</w:t>
      </w:r>
      <w:r w:rsidRPr="00097A86">
        <w:tab/>
        <w:t>A sample must be representative of the wastewater and the COD concentrations at the plant.</w:t>
      </w:r>
    </w:p>
    <w:p w14:paraId="0D4E7D35" w14:textId="77777777" w:rsidR="003F0D4E" w:rsidRPr="00097A86" w:rsidRDefault="003F0D4E" w:rsidP="00D22D3F">
      <w:pPr>
        <w:pStyle w:val="subsection"/>
      </w:pPr>
      <w:r w:rsidRPr="00097A86">
        <w:lastRenderedPageBreak/>
        <w:tab/>
        <w:t>(2)</w:t>
      </w:r>
      <w:r w:rsidRPr="00097A86">
        <w:tab/>
        <w:t>The samples must be collected on enough occasions to produce a representative sample.</w:t>
      </w:r>
    </w:p>
    <w:p w14:paraId="17261E4B"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2C64D407" w14:textId="77777777" w:rsidR="003F0D4E" w:rsidRPr="00097A86" w:rsidRDefault="003F0D4E" w:rsidP="00D22D3F">
      <w:pPr>
        <w:pStyle w:val="subsection"/>
      </w:pPr>
      <w:r w:rsidRPr="00097A86">
        <w:tab/>
        <w:t>(4)</w:t>
      </w:r>
      <w:r w:rsidRPr="00097A86">
        <w:tab/>
        <w:t>Bias may be tested in accordance with an appropriate standard (if any).</w:t>
      </w:r>
    </w:p>
    <w:p w14:paraId="3326CD89" w14:textId="77777777" w:rsidR="003F0D4E" w:rsidRPr="00097A86" w:rsidRDefault="003F0D4E" w:rsidP="00D22D3F">
      <w:pPr>
        <w:pStyle w:val="subsection"/>
      </w:pPr>
      <w:r w:rsidRPr="00097A86">
        <w:tab/>
        <w:t>(5)</w:t>
      </w:r>
      <w:r w:rsidRPr="00097A86">
        <w:tab/>
        <w:t>The value obtained from the sample must only be used for the plant for which it was intended to be representative.</w:t>
      </w:r>
    </w:p>
    <w:p w14:paraId="72A7D510" w14:textId="77777777" w:rsidR="003F0D4E" w:rsidRPr="00097A86" w:rsidRDefault="003F0D4E" w:rsidP="00D22D3F">
      <w:pPr>
        <w:pStyle w:val="ActHead5"/>
      </w:pPr>
      <w:bookmarkStart w:id="600" w:name="_Toc13234027"/>
      <w:r w:rsidRPr="00097A86">
        <w:rPr>
          <w:rStyle w:val="CharSectno"/>
        </w:rPr>
        <w:t>5.28</w:t>
      </w:r>
      <w:r w:rsidR="00D22D3F" w:rsidRPr="00097A86">
        <w:t xml:space="preserve">  </w:t>
      </w:r>
      <w:r w:rsidRPr="00097A86">
        <w:t>Standards for analysis</w:t>
      </w:r>
      <w:bookmarkEnd w:id="600"/>
    </w:p>
    <w:p w14:paraId="2BA5ADEA" w14:textId="77777777" w:rsidR="003F0D4E" w:rsidRPr="00097A86" w:rsidRDefault="003F0D4E" w:rsidP="00D22D3F">
      <w:pPr>
        <w:pStyle w:val="subsection"/>
      </w:pPr>
      <w:r w:rsidRPr="00097A86">
        <w:tab/>
        <w:t>(1)</w:t>
      </w:r>
      <w:r w:rsidRPr="00097A86">
        <w:tab/>
        <w:t>Samples of wastewater must be analysed for COD in accordance with:</w:t>
      </w:r>
    </w:p>
    <w:p w14:paraId="0E0DC174" w14:textId="77777777" w:rsidR="003F0D4E" w:rsidRPr="00097A86" w:rsidRDefault="003F0D4E" w:rsidP="00D22D3F">
      <w:pPr>
        <w:pStyle w:val="paragraph"/>
      </w:pPr>
      <w:r w:rsidRPr="00097A86">
        <w:tab/>
        <w:t>(a)</w:t>
      </w:r>
      <w:r w:rsidRPr="00097A86">
        <w:tab/>
        <w:t>ISO 6060:1989; or</w:t>
      </w:r>
    </w:p>
    <w:p w14:paraId="40C331A4" w14:textId="77777777" w:rsidR="003F0D4E" w:rsidRPr="00097A86" w:rsidRDefault="003F0D4E" w:rsidP="00D22D3F">
      <w:pPr>
        <w:pStyle w:val="paragraph"/>
      </w:pPr>
      <w:r w:rsidRPr="00097A86">
        <w:tab/>
        <w:t>(b)</w:t>
      </w:r>
      <w:r w:rsidRPr="00097A86">
        <w:tab/>
        <w:t>sections</w:t>
      </w:r>
      <w:r w:rsidR="00097A86">
        <w:t> </w:t>
      </w:r>
      <w:r w:rsidRPr="00097A86">
        <w:t>5220B, 5220C or 5220D of APHA (1995); or</w:t>
      </w:r>
    </w:p>
    <w:p w14:paraId="1B544AC1" w14:textId="77777777" w:rsidR="003F0D4E" w:rsidRPr="00097A86" w:rsidRDefault="003F0D4E" w:rsidP="00D22D3F">
      <w:pPr>
        <w:pStyle w:val="paragraph"/>
      </w:pPr>
      <w:r w:rsidRPr="00097A86">
        <w:tab/>
        <w:t>(c)</w:t>
      </w:r>
      <w:r w:rsidRPr="00097A86">
        <w:tab/>
        <w:t>an equivalent Australian or international standard.</w:t>
      </w:r>
    </w:p>
    <w:p w14:paraId="0BC4905A" w14:textId="77777777" w:rsidR="003F0D4E" w:rsidRPr="00097A86" w:rsidRDefault="003F0D4E" w:rsidP="00D22D3F">
      <w:pPr>
        <w:pStyle w:val="subsection"/>
      </w:pPr>
      <w:r w:rsidRPr="00097A86">
        <w:tab/>
        <w:t>(2)</w:t>
      </w:r>
      <w:r w:rsidRPr="00097A86">
        <w:tab/>
        <w:t>Samples of wastewater must be analysed for BOD in accordance with:</w:t>
      </w:r>
    </w:p>
    <w:p w14:paraId="0EE2960E" w14:textId="77777777" w:rsidR="003F0D4E" w:rsidRPr="00097A86" w:rsidRDefault="003F0D4E" w:rsidP="00D22D3F">
      <w:pPr>
        <w:pStyle w:val="paragraph"/>
      </w:pPr>
      <w:r w:rsidRPr="00097A86">
        <w:tab/>
        <w:t>(a)</w:t>
      </w:r>
      <w:r w:rsidRPr="00097A86">
        <w:tab/>
        <w:t>AS 4351.5—1996; or</w:t>
      </w:r>
    </w:p>
    <w:p w14:paraId="25A343E5" w14:textId="77777777" w:rsidR="003F0D4E" w:rsidRPr="00097A86" w:rsidRDefault="003F0D4E" w:rsidP="00D22D3F">
      <w:pPr>
        <w:pStyle w:val="paragraph"/>
      </w:pPr>
      <w:r w:rsidRPr="00097A86">
        <w:tab/>
        <w:t>(b)</w:t>
      </w:r>
      <w:r w:rsidRPr="00097A86">
        <w:tab/>
        <w:t>section</w:t>
      </w:r>
      <w:r w:rsidR="00097A86">
        <w:t> </w:t>
      </w:r>
      <w:r w:rsidRPr="00097A86">
        <w:t>5210B of APHA (1995); or</w:t>
      </w:r>
    </w:p>
    <w:p w14:paraId="03707380" w14:textId="77777777" w:rsidR="003F0D4E" w:rsidRPr="00097A86" w:rsidRDefault="003F0D4E" w:rsidP="00D22D3F">
      <w:pPr>
        <w:pStyle w:val="paragraph"/>
      </w:pPr>
      <w:r w:rsidRPr="00097A86">
        <w:tab/>
        <w:t>(c)</w:t>
      </w:r>
      <w:r w:rsidRPr="00097A86">
        <w:tab/>
        <w:t>an equivalent Australian or international standard.</w:t>
      </w:r>
    </w:p>
    <w:p w14:paraId="0C0B97AC" w14:textId="77777777" w:rsidR="003F0D4E" w:rsidRPr="00097A86" w:rsidRDefault="003F0D4E" w:rsidP="00D22D3F">
      <w:pPr>
        <w:pStyle w:val="ActHead5"/>
      </w:pPr>
      <w:bookmarkStart w:id="601" w:name="_Toc13234028"/>
      <w:r w:rsidRPr="00097A86">
        <w:rPr>
          <w:rStyle w:val="CharSectno"/>
        </w:rPr>
        <w:t>5.29</w:t>
      </w:r>
      <w:r w:rsidR="00D22D3F" w:rsidRPr="00097A86">
        <w:t xml:space="preserve">  </w:t>
      </w:r>
      <w:r w:rsidRPr="00097A86">
        <w:t>Frequency of sampling and analysis</w:t>
      </w:r>
      <w:bookmarkEnd w:id="601"/>
    </w:p>
    <w:p w14:paraId="33C64E5E" w14:textId="77777777" w:rsidR="003F0D4E" w:rsidRPr="00097A86" w:rsidRDefault="003F0D4E" w:rsidP="00D22D3F">
      <w:pPr>
        <w:pStyle w:val="subsection"/>
      </w:pPr>
      <w:r w:rsidRPr="00097A86">
        <w:tab/>
      </w:r>
      <w:r w:rsidRPr="00097A86">
        <w:tab/>
        <w:t>Wastewater must be sampled and analysed on at least a monthly basis.</w:t>
      </w:r>
    </w:p>
    <w:p w14:paraId="59B93E6B" w14:textId="77777777" w:rsidR="003F0D4E" w:rsidRPr="00097A86" w:rsidRDefault="003F0D4E" w:rsidP="004C53FA">
      <w:pPr>
        <w:pStyle w:val="ActHead3"/>
        <w:pageBreakBefore/>
      </w:pPr>
      <w:bookmarkStart w:id="602" w:name="_Toc13234029"/>
      <w:r w:rsidRPr="00097A86">
        <w:rPr>
          <w:rStyle w:val="CharDivNo"/>
        </w:rPr>
        <w:lastRenderedPageBreak/>
        <w:t>Division</w:t>
      </w:r>
      <w:r w:rsidR="00097A86">
        <w:rPr>
          <w:rStyle w:val="CharDivNo"/>
        </w:rPr>
        <w:t> </w:t>
      </w:r>
      <w:r w:rsidRPr="00097A86">
        <w:rPr>
          <w:rStyle w:val="CharDivNo"/>
        </w:rPr>
        <w:t>5.3.4</w:t>
      </w:r>
      <w:r w:rsidR="00D22D3F" w:rsidRPr="00097A86">
        <w:t>—</w:t>
      </w:r>
      <w:r w:rsidRPr="00097A86">
        <w:rPr>
          <w:rStyle w:val="CharDivText"/>
        </w:rPr>
        <w:t>Method 3</w:t>
      </w:r>
      <w:r w:rsidR="00D22D3F" w:rsidRPr="00097A86">
        <w:rPr>
          <w:rStyle w:val="CharDivText"/>
        </w:rPr>
        <w:t>—</w:t>
      </w:r>
      <w:r w:rsidRPr="00097A86">
        <w:rPr>
          <w:rStyle w:val="CharDivText"/>
        </w:rPr>
        <w:t>methane released from wastewater handling (domestic and commercial)</w:t>
      </w:r>
      <w:bookmarkEnd w:id="602"/>
    </w:p>
    <w:p w14:paraId="329C79A5" w14:textId="77777777" w:rsidR="003F0D4E" w:rsidRPr="00097A86" w:rsidRDefault="003F0D4E" w:rsidP="00D22D3F">
      <w:pPr>
        <w:pStyle w:val="ActHead5"/>
      </w:pPr>
      <w:bookmarkStart w:id="603" w:name="_Toc13234030"/>
      <w:r w:rsidRPr="00097A86">
        <w:rPr>
          <w:rStyle w:val="CharSectno"/>
        </w:rPr>
        <w:t>5.30</w:t>
      </w:r>
      <w:r w:rsidR="00D22D3F" w:rsidRPr="00097A86">
        <w:t xml:space="preserve">  </w:t>
      </w:r>
      <w:r w:rsidRPr="00097A86">
        <w:t>Method 3</w:t>
      </w:r>
      <w:r w:rsidR="00D22D3F" w:rsidRPr="00097A86">
        <w:t>—</w:t>
      </w:r>
      <w:r w:rsidRPr="00097A86">
        <w:t>methane released from wastewater handling (domestic and commercial)</w:t>
      </w:r>
      <w:bookmarkEnd w:id="603"/>
    </w:p>
    <w:p w14:paraId="37F38290" w14:textId="77777777" w:rsidR="003F0D4E" w:rsidRPr="00097A86" w:rsidRDefault="003F0D4E" w:rsidP="00D22D3F">
      <w:pPr>
        <w:pStyle w:val="subsection"/>
      </w:pPr>
      <w:r w:rsidRPr="00097A86">
        <w:tab/>
        <w:t>(1)</w:t>
      </w:r>
      <w:r w:rsidRPr="00097A86">
        <w:tab/>
        <w:t>For subparagraph</w:t>
      </w:r>
      <w:r w:rsidR="00097A86">
        <w:t> </w:t>
      </w:r>
      <w:r w:rsidRPr="00097A86">
        <w:t xml:space="preserve">5.24(a)(iii) and subject to </w:t>
      </w:r>
      <w:r w:rsidR="00097A86">
        <w:t>subsection (</w:t>
      </w:r>
      <w:r w:rsidRPr="00097A86">
        <w:t>2), method 3 is the same as method 2 under section</w:t>
      </w:r>
      <w:r w:rsidR="00097A86">
        <w:t> </w:t>
      </w:r>
      <w:r w:rsidRPr="00097A86">
        <w:t>5.26.</w:t>
      </w:r>
    </w:p>
    <w:p w14:paraId="13E49D11" w14:textId="77777777" w:rsidR="003F0D4E" w:rsidRPr="00097A86" w:rsidRDefault="003F0D4E" w:rsidP="00D22D3F">
      <w:pPr>
        <w:pStyle w:val="subsection"/>
      </w:pPr>
      <w:r w:rsidRPr="00097A86">
        <w:tab/>
        <w:t>(2)</w:t>
      </w:r>
      <w:r w:rsidRPr="00097A86">
        <w:tab/>
        <w:t>In applying method 2 under section</w:t>
      </w:r>
      <w:r w:rsidR="00097A86">
        <w:t> </w:t>
      </w:r>
      <w:r w:rsidRPr="00097A86">
        <w:t>5.26, the wastewater must be sampled in accordance with AS/NZS 5667.10:1998 or an equivalent Australian or international standard.</w:t>
      </w:r>
    </w:p>
    <w:p w14:paraId="446A44FB" w14:textId="77777777" w:rsidR="003F0D4E" w:rsidRPr="00097A86" w:rsidRDefault="003F0D4E" w:rsidP="00D22D3F">
      <w:pPr>
        <w:pStyle w:val="ActHead3"/>
        <w:pageBreakBefore/>
      </w:pPr>
      <w:bookmarkStart w:id="604" w:name="_Toc13234031"/>
      <w:r w:rsidRPr="00097A86">
        <w:rPr>
          <w:rStyle w:val="CharDivNo"/>
        </w:rPr>
        <w:lastRenderedPageBreak/>
        <w:t>Division</w:t>
      </w:r>
      <w:r w:rsidR="00097A86">
        <w:rPr>
          <w:rStyle w:val="CharDivNo"/>
        </w:rPr>
        <w:t> </w:t>
      </w:r>
      <w:r w:rsidRPr="00097A86">
        <w:rPr>
          <w:rStyle w:val="CharDivNo"/>
        </w:rPr>
        <w:t>5.3.5</w:t>
      </w:r>
      <w:r w:rsidR="00D22D3F" w:rsidRPr="00097A86">
        <w:t>—</w:t>
      </w:r>
      <w:r w:rsidRPr="00097A86">
        <w:rPr>
          <w:rStyle w:val="CharDivText"/>
        </w:rPr>
        <w:t>Method 1</w:t>
      </w:r>
      <w:r w:rsidR="00D22D3F" w:rsidRPr="00097A86">
        <w:rPr>
          <w:rStyle w:val="CharDivText"/>
        </w:rPr>
        <w:t>—</w:t>
      </w:r>
      <w:r w:rsidRPr="00097A86">
        <w:rPr>
          <w:rStyle w:val="CharDivText"/>
        </w:rPr>
        <w:t>emissions of nitrous oxide released from wastewater handling (domestic and commercial)</w:t>
      </w:r>
      <w:bookmarkEnd w:id="604"/>
    </w:p>
    <w:p w14:paraId="3BE526AD" w14:textId="77777777" w:rsidR="0090313D" w:rsidRPr="00097A86" w:rsidRDefault="0090313D" w:rsidP="00D22D3F">
      <w:pPr>
        <w:pStyle w:val="ActHead5"/>
      </w:pPr>
      <w:bookmarkStart w:id="605" w:name="_Toc13234032"/>
      <w:r w:rsidRPr="00097A86">
        <w:rPr>
          <w:rStyle w:val="CharSectno"/>
        </w:rPr>
        <w:t>5.31</w:t>
      </w:r>
      <w:r w:rsidR="00D22D3F" w:rsidRPr="00097A86">
        <w:t xml:space="preserve">  </w:t>
      </w:r>
      <w:r w:rsidRPr="00097A86">
        <w:t>Method 1</w:t>
      </w:r>
      <w:r w:rsidR="00D22D3F" w:rsidRPr="00097A86">
        <w:t>—</w:t>
      </w:r>
      <w:r w:rsidRPr="00097A86">
        <w:t>nitrous oxide released from wastewater handling (domestic and commercial)</w:t>
      </w:r>
      <w:bookmarkEnd w:id="605"/>
    </w:p>
    <w:p w14:paraId="61099E5A" w14:textId="77777777" w:rsidR="0090313D" w:rsidRPr="00097A86" w:rsidRDefault="0090313D" w:rsidP="00D22D3F">
      <w:pPr>
        <w:pStyle w:val="subsection"/>
      </w:pPr>
      <w:r w:rsidRPr="00097A86">
        <w:tab/>
        <w:t>(1)</w:t>
      </w:r>
      <w:r w:rsidRPr="00097A86">
        <w:tab/>
        <w:t>For paragraph</w:t>
      </w:r>
      <w:r w:rsidR="00097A86">
        <w:t> </w:t>
      </w:r>
      <w:r w:rsidRPr="00097A86">
        <w:t>5.24</w:t>
      </w:r>
      <w:r w:rsidR="00B46E63" w:rsidRPr="00097A86">
        <w:t>(</w:t>
      </w:r>
      <w:r w:rsidRPr="00097A86">
        <w:t>1)</w:t>
      </w:r>
      <w:r w:rsidR="00B46E63" w:rsidRPr="00097A86">
        <w:t>(</w:t>
      </w:r>
      <w:r w:rsidRPr="00097A86">
        <w:t>b), method 1 is:</w:t>
      </w:r>
    </w:p>
    <w:p w14:paraId="490CC4ED" w14:textId="77777777" w:rsidR="0090313D" w:rsidRPr="00097A86" w:rsidRDefault="00D22D3F" w:rsidP="00D22D3F">
      <w:pPr>
        <w:pStyle w:val="subsection"/>
        <w:spacing w:before="120" w:after="120"/>
      </w:pPr>
      <w:r w:rsidRPr="00097A86">
        <w:tab/>
      </w:r>
      <w:r w:rsidRPr="00097A86">
        <w:tab/>
      </w:r>
      <w:r w:rsidR="009E1F90">
        <w:rPr>
          <w:noProof/>
        </w:rPr>
        <w:drawing>
          <wp:inline distT="0" distB="0" distL="0" distR="0" wp14:anchorId="3FF7B549" wp14:editId="1CF29939">
            <wp:extent cx="3695700" cy="23812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695700" cy="238125"/>
                    </a:xfrm>
                    <a:prstGeom prst="rect">
                      <a:avLst/>
                    </a:prstGeom>
                    <a:noFill/>
                    <a:ln>
                      <a:noFill/>
                    </a:ln>
                  </pic:spPr>
                </pic:pic>
              </a:graphicData>
            </a:graphic>
          </wp:inline>
        </w:drawing>
      </w:r>
    </w:p>
    <w:p w14:paraId="09EB96F6" w14:textId="77777777" w:rsidR="0090313D" w:rsidRPr="00097A86" w:rsidRDefault="0090313D" w:rsidP="00D22D3F">
      <w:pPr>
        <w:pStyle w:val="subsection2"/>
      </w:pPr>
      <w:r w:rsidRPr="00097A86">
        <w:t>where:</w:t>
      </w:r>
    </w:p>
    <w:p w14:paraId="2E0B0D32" w14:textId="77777777" w:rsidR="0090313D" w:rsidRPr="00097A86" w:rsidRDefault="0090313D" w:rsidP="00D22D3F">
      <w:pPr>
        <w:pStyle w:val="Definition"/>
      </w:pPr>
      <w:r w:rsidRPr="00097A86">
        <w:rPr>
          <w:b/>
          <w:i/>
        </w:rPr>
        <w:t>E</w:t>
      </w:r>
      <w:r w:rsidRPr="00097A86">
        <w:rPr>
          <w:b/>
          <w:i/>
          <w:vertAlign w:val="subscript"/>
        </w:rPr>
        <w:t>j</w:t>
      </w:r>
      <w:r w:rsidRPr="00097A86">
        <w:rPr>
          <w:b/>
          <w:i/>
        </w:rPr>
        <w:t xml:space="preserve"> </w:t>
      </w:r>
      <w:r w:rsidRPr="00097A86">
        <w:t>is the emissions of nitrous oxide released from human sewage treated by the plant during the year, measured in tonnes of nitrous oxide and expressed in CO</w:t>
      </w:r>
      <w:r w:rsidRPr="00097A86">
        <w:rPr>
          <w:vertAlign w:val="subscript"/>
        </w:rPr>
        <w:t>2</w:t>
      </w:r>
      <w:r w:rsidR="00097A86">
        <w:noBreakHyphen/>
      </w:r>
      <w:r w:rsidRPr="00097A86">
        <w:t>e tonnes.</w:t>
      </w:r>
    </w:p>
    <w:p w14:paraId="790608FC" w14:textId="77777777" w:rsidR="00D957B3" w:rsidRPr="00097A86" w:rsidRDefault="00D957B3" w:rsidP="00D22D3F">
      <w:pPr>
        <w:pStyle w:val="Definition"/>
      </w:pPr>
      <w:r w:rsidRPr="00097A86">
        <w:rPr>
          <w:b/>
          <w:i/>
        </w:rPr>
        <w:t>N</w:t>
      </w:r>
      <w:r w:rsidRPr="00097A86">
        <w:rPr>
          <w:b/>
          <w:i/>
          <w:vertAlign w:val="subscript"/>
        </w:rPr>
        <w:t>in</w:t>
      </w:r>
      <w:r w:rsidRPr="00097A86">
        <w:rPr>
          <w:b/>
          <w:i/>
        </w:rPr>
        <w:t xml:space="preserve"> </w:t>
      </w:r>
      <w:r w:rsidRPr="00097A86">
        <w:t>is the quantity of nitrogen entering the plant during the year, measured in tonnes of nitrogen and worked out:</w:t>
      </w:r>
    </w:p>
    <w:p w14:paraId="779392DF" w14:textId="77777777" w:rsidR="00D957B3" w:rsidRPr="00097A86" w:rsidRDefault="00D957B3" w:rsidP="00D22D3F">
      <w:pPr>
        <w:pStyle w:val="paragraph"/>
      </w:pPr>
      <w:r w:rsidRPr="00097A86">
        <w:tab/>
        <w:t>(a)</w:t>
      </w:r>
      <w:r w:rsidRPr="00097A86">
        <w:tab/>
        <w:t>for primary wastewater treatment plants, using the following formula:</w:t>
      </w:r>
    </w:p>
    <w:p w14:paraId="7376616E" w14:textId="77777777" w:rsidR="00D957B3" w:rsidRPr="00097A86" w:rsidRDefault="00D22D3F" w:rsidP="00D22D3F">
      <w:pPr>
        <w:pStyle w:val="paragraph"/>
        <w:spacing w:before="120" w:after="120"/>
      </w:pPr>
      <w:r w:rsidRPr="00097A86">
        <w:tab/>
      </w:r>
      <w:r w:rsidRPr="00097A86">
        <w:tab/>
      </w:r>
      <w:r w:rsidR="00D957B3" w:rsidRPr="00097A86">
        <w:t>N</w:t>
      </w:r>
      <w:r w:rsidR="00D957B3" w:rsidRPr="00097A86">
        <w:rPr>
          <w:vertAlign w:val="subscript"/>
        </w:rPr>
        <w:t>in</w:t>
      </w:r>
      <w:r w:rsidR="00D957B3" w:rsidRPr="00097A86">
        <w:t xml:space="preserve"> = N</w:t>
      </w:r>
      <w:r w:rsidR="00D957B3" w:rsidRPr="00097A86">
        <w:rPr>
          <w:vertAlign w:val="subscript"/>
        </w:rPr>
        <w:t xml:space="preserve">trl </w:t>
      </w:r>
      <w:r w:rsidR="00D957B3" w:rsidRPr="00097A86">
        <w:t>+ N</w:t>
      </w:r>
      <w:r w:rsidR="00D957B3" w:rsidRPr="00097A86">
        <w:rPr>
          <w:vertAlign w:val="subscript"/>
        </w:rPr>
        <w:t xml:space="preserve">tro </w:t>
      </w:r>
      <w:r w:rsidR="00D957B3" w:rsidRPr="00097A86">
        <w:t>+ N</w:t>
      </w:r>
      <w:r w:rsidR="00D957B3" w:rsidRPr="00097A86">
        <w:rPr>
          <w:vertAlign w:val="subscript"/>
        </w:rPr>
        <w:t>outdisij</w:t>
      </w:r>
    </w:p>
    <w:p w14:paraId="1F84B2DF" w14:textId="77777777" w:rsidR="00D957B3" w:rsidRPr="00097A86" w:rsidRDefault="00D957B3" w:rsidP="00D22D3F">
      <w:pPr>
        <w:pStyle w:val="subsection2"/>
      </w:pPr>
      <w:r w:rsidRPr="00097A86">
        <w:t>where:</w:t>
      </w:r>
    </w:p>
    <w:p w14:paraId="40CEDCDE" w14:textId="77777777" w:rsidR="00D957B3" w:rsidRPr="00097A86" w:rsidRDefault="00D957B3" w:rsidP="00D22D3F">
      <w:pPr>
        <w:pStyle w:val="Definition"/>
      </w:pPr>
      <w:r w:rsidRPr="00097A86">
        <w:rPr>
          <w:b/>
          <w:i/>
        </w:rPr>
        <w:t>N</w:t>
      </w:r>
      <w:r w:rsidRPr="00097A86">
        <w:rPr>
          <w:b/>
          <w:i/>
          <w:vertAlign w:val="subscript"/>
        </w:rPr>
        <w:t>trl</w:t>
      </w:r>
      <w:r w:rsidRPr="00097A86">
        <w:rPr>
          <w:b/>
          <w:i/>
        </w:rPr>
        <w:t xml:space="preserve"> </w:t>
      </w:r>
      <w:r w:rsidRPr="00097A86">
        <w:t>is the quantity of nitrogen in sludge transferred out of the plant and removed to landfill during the year, measured in tonnes of nitrogen and worked out using the following formula:</w:t>
      </w:r>
    </w:p>
    <w:p w14:paraId="5AFC11E7" w14:textId="77777777" w:rsidR="00D957B3" w:rsidRPr="00097A86" w:rsidRDefault="009E1F90" w:rsidP="00D22D3F">
      <w:pPr>
        <w:pStyle w:val="Definition"/>
        <w:spacing w:before="120" w:after="120"/>
      </w:pPr>
      <w:r>
        <w:rPr>
          <w:noProof/>
        </w:rPr>
        <w:drawing>
          <wp:inline distT="0" distB="0" distL="0" distR="0" wp14:anchorId="21ECE22C" wp14:editId="17AD69E2">
            <wp:extent cx="1123950" cy="23812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14:paraId="1347C248" w14:textId="77777777" w:rsidR="00D957B3" w:rsidRPr="00097A86" w:rsidRDefault="00D957B3" w:rsidP="00D22D3F">
      <w:pPr>
        <w:pStyle w:val="Definition"/>
      </w:pPr>
      <w:r w:rsidRPr="00097A86">
        <w:rPr>
          <w:b/>
          <w:i/>
        </w:rPr>
        <w:t>N</w:t>
      </w:r>
      <w:r w:rsidRPr="00097A86">
        <w:rPr>
          <w:b/>
          <w:i/>
          <w:vertAlign w:val="subscript"/>
        </w:rPr>
        <w:t>tro</w:t>
      </w:r>
      <w:r w:rsidRPr="00097A86">
        <w:rPr>
          <w:b/>
          <w:i/>
        </w:rPr>
        <w:t xml:space="preserve"> </w:t>
      </w:r>
      <w:r w:rsidRPr="00097A86">
        <w:t>is the quantity of nitrogen in sludge transferred out of the plant and removed to a site other than landfill during the year, measured in tonnes of nitrogen and worked out as follows:</w:t>
      </w:r>
    </w:p>
    <w:p w14:paraId="42F50532" w14:textId="77777777" w:rsidR="00D957B3" w:rsidRPr="00097A86" w:rsidRDefault="009E1F90" w:rsidP="00D22D3F">
      <w:pPr>
        <w:pStyle w:val="Definition"/>
        <w:spacing w:before="120" w:after="120"/>
      </w:pPr>
      <w:r>
        <w:rPr>
          <w:noProof/>
        </w:rPr>
        <w:drawing>
          <wp:inline distT="0" distB="0" distL="0" distR="0" wp14:anchorId="72C3C9E8" wp14:editId="5C25BC12">
            <wp:extent cx="1247775" cy="23812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14:paraId="4CD51C1D" w14:textId="77777777" w:rsidR="00D957B3" w:rsidRPr="00097A86" w:rsidRDefault="00D957B3" w:rsidP="00D22D3F">
      <w:pPr>
        <w:pStyle w:val="Definition"/>
      </w:pPr>
      <w:r w:rsidRPr="00097A86">
        <w:rPr>
          <w:b/>
          <w:i/>
        </w:rPr>
        <w:t>N</w:t>
      </w:r>
      <w:r w:rsidRPr="00097A86">
        <w:rPr>
          <w:b/>
          <w:i/>
          <w:vertAlign w:val="subscript"/>
        </w:rPr>
        <w:t>outdisij</w:t>
      </w:r>
      <w:r w:rsidRPr="00097A86">
        <w:rPr>
          <w:b/>
          <w:i/>
        </w:rPr>
        <w:t xml:space="preserve"> </w:t>
      </w:r>
      <w:r w:rsidRPr="00097A86">
        <w:t>is the quantity of nitrogen leaving the plant, differentiated by discharge environment; or</w:t>
      </w:r>
    </w:p>
    <w:p w14:paraId="26A47348" w14:textId="77777777" w:rsidR="00D957B3" w:rsidRPr="00097A86" w:rsidRDefault="00D957B3" w:rsidP="00D22D3F">
      <w:pPr>
        <w:pStyle w:val="paragraph"/>
      </w:pPr>
      <w:r w:rsidRPr="00097A86">
        <w:tab/>
        <w:t>(b)</w:t>
      </w:r>
      <w:r w:rsidRPr="00097A86">
        <w:tab/>
        <w:t>for any other kind of wastewater treatment plant, using the following formula:</w:t>
      </w:r>
    </w:p>
    <w:p w14:paraId="0DE75678" w14:textId="77777777" w:rsidR="00D957B3" w:rsidRPr="00097A86" w:rsidRDefault="00D22D3F" w:rsidP="00D22D3F">
      <w:pPr>
        <w:pStyle w:val="paragraph"/>
        <w:spacing w:before="120" w:after="120"/>
      </w:pPr>
      <w:r w:rsidRPr="00097A86">
        <w:tab/>
      </w:r>
      <w:r w:rsidRPr="00097A86">
        <w:tab/>
      </w:r>
      <w:r w:rsidR="009E1F90">
        <w:rPr>
          <w:noProof/>
        </w:rPr>
        <w:drawing>
          <wp:inline distT="0" distB="0" distL="0" distR="0" wp14:anchorId="2EACE2DF" wp14:editId="398840CE">
            <wp:extent cx="1647825" cy="2381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14:paraId="7EECEDBE" w14:textId="77777777" w:rsidR="00D957B3" w:rsidRPr="00097A86" w:rsidRDefault="00D957B3" w:rsidP="00D22D3F">
      <w:pPr>
        <w:pStyle w:val="subsection2"/>
      </w:pPr>
      <w:r w:rsidRPr="00097A86">
        <w:t>where:</w:t>
      </w:r>
    </w:p>
    <w:p w14:paraId="62697C0C" w14:textId="77777777" w:rsidR="00D957B3" w:rsidRPr="00097A86" w:rsidRDefault="00D957B3" w:rsidP="00D22D3F">
      <w:pPr>
        <w:pStyle w:val="Definition"/>
      </w:pPr>
      <w:r w:rsidRPr="00097A86">
        <w:rPr>
          <w:b/>
          <w:bCs/>
          <w:i/>
          <w:iCs/>
        </w:rPr>
        <w:t>Protein</w:t>
      </w:r>
      <w:r w:rsidRPr="00097A86">
        <w:rPr>
          <w:b/>
          <w:i/>
        </w:rPr>
        <w:t xml:space="preserve"> </w:t>
      </w:r>
      <w:r w:rsidRPr="00097A86">
        <w:t>is the annual per capita protein intake of the population being served by the plant, measured in tonnes per person.</w:t>
      </w:r>
    </w:p>
    <w:p w14:paraId="03C8B31A" w14:textId="77777777" w:rsidR="00D957B3" w:rsidRPr="00097A86" w:rsidRDefault="00D957B3" w:rsidP="00D22D3F">
      <w:pPr>
        <w:pStyle w:val="Definition"/>
      </w:pPr>
      <w:r w:rsidRPr="00097A86">
        <w:rPr>
          <w:b/>
          <w:i/>
        </w:rPr>
        <w:t>Frac</w:t>
      </w:r>
      <w:r w:rsidRPr="00097A86">
        <w:rPr>
          <w:rStyle w:val="charSubscript"/>
          <w:b/>
          <w:i/>
        </w:rPr>
        <w:t>Pr</w:t>
      </w:r>
      <w:r w:rsidRPr="00097A86">
        <w:rPr>
          <w:b/>
          <w:i/>
        </w:rPr>
        <w:t xml:space="preserve"> </w:t>
      </w:r>
      <w:r w:rsidRPr="00097A86">
        <w:t>is the fraction of nitrogen in protein.</w:t>
      </w:r>
    </w:p>
    <w:p w14:paraId="458B9EA6" w14:textId="77777777" w:rsidR="00D957B3" w:rsidRPr="00097A86" w:rsidRDefault="00D957B3" w:rsidP="00D22D3F">
      <w:pPr>
        <w:pStyle w:val="Definition"/>
      </w:pPr>
      <w:r w:rsidRPr="00097A86">
        <w:rPr>
          <w:b/>
          <w:i/>
        </w:rPr>
        <w:t xml:space="preserve">P </w:t>
      </w:r>
      <w:r w:rsidRPr="00097A86">
        <w:t>is the population serviced by the plant during the year.</w:t>
      </w:r>
    </w:p>
    <w:p w14:paraId="1852149C" w14:textId="77777777" w:rsidR="0090313D" w:rsidRPr="00097A86" w:rsidRDefault="0090313D" w:rsidP="00D22D3F">
      <w:pPr>
        <w:pStyle w:val="Definition"/>
      </w:pPr>
      <w:r w:rsidRPr="00097A86">
        <w:rPr>
          <w:b/>
          <w:i/>
        </w:rPr>
        <w:lastRenderedPageBreak/>
        <w:t>N</w:t>
      </w:r>
      <w:r w:rsidRPr="00097A86">
        <w:rPr>
          <w:b/>
          <w:i/>
          <w:vertAlign w:val="subscript"/>
        </w:rPr>
        <w:t>trl</w:t>
      </w:r>
      <w:r w:rsidRPr="00097A86">
        <w:rPr>
          <w:b/>
          <w:i/>
        </w:rPr>
        <w:t xml:space="preserve"> </w:t>
      </w:r>
      <w:r w:rsidRPr="00097A86">
        <w:t>is the quantity of nitrogen in sludge transferred out of the plant and removed to landfill during the year, measured in tonnes of nitrogen and worked out as follows:</w:t>
      </w:r>
    </w:p>
    <w:p w14:paraId="1FED5108" w14:textId="77777777" w:rsidR="0090313D" w:rsidRPr="00097A86" w:rsidRDefault="009E1F90" w:rsidP="00D22D3F">
      <w:pPr>
        <w:pStyle w:val="Definition"/>
        <w:spacing w:before="120" w:after="120"/>
      </w:pPr>
      <w:r>
        <w:rPr>
          <w:noProof/>
        </w:rPr>
        <w:drawing>
          <wp:inline distT="0" distB="0" distL="0" distR="0" wp14:anchorId="3B2AF6BA" wp14:editId="7A4819E1">
            <wp:extent cx="1123950" cy="23812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14:paraId="6E4A67C3" w14:textId="77777777" w:rsidR="0090313D" w:rsidRPr="00097A86" w:rsidRDefault="0090313D" w:rsidP="00D22D3F">
      <w:pPr>
        <w:pStyle w:val="Definition"/>
      </w:pPr>
      <w:r w:rsidRPr="00097A86">
        <w:t>where:</w:t>
      </w:r>
    </w:p>
    <w:p w14:paraId="377B8519" w14:textId="77777777" w:rsidR="0090313D" w:rsidRPr="00097A86" w:rsidRDefault="0090313D" w:rsidP="00D22D3F">
      <w:pPr>
        <w:pStyle w:val="Definition"/>
      </w:pPr>
      <w:r w:rsidRPr="00097A86">
        <w:rPr>
          <w:b/>
          <w:i/>
        </w:rPr>
        <w:t>F</w:t>
      </w:r>
      <w:r w:rsidRPr="00097A86">
        <w:rPr>
          <w:b/>
          <w:i/>
          <w:vertAlign w:val="subscript"/>
        </w:rPr>
        <w:t>Ntrl</w:t>
      </w:r>
      <w:r w:rsidRPr="00097A86">
        <w:rPr>
          <w:b/>
          <w:i/>
        </w:rPr>
        <w:t xml:space="preserve"> </w:t>
      </w:r>
      <w:r w:rsidRPr="00097A86">
        <w:t>is the fraction of nitrogen in the sludge transferred out of the plant.</w:t>
      </w:r>
    </w:p>
    <w:p w14:paraId="18ADE13B" w14:textId="77777777" w:rsidR="0090313D" w:rsidRPr="00097A86" w:rsidRDefault="0090313D" w:rsidP="00D22D3F">
      <w:pPr>
        <w:pStyle w:val="Definition"/>
      </w:pPr>
      <w:r w:rsidRPr="00097A86">
        <w:rPr>
          <w:b/>
          <w:i/>
        </w:rPr>
        <w:t>M</w:t>
      </w:r>
      <w:r w:rsidRPr="00097A86">
        <w:rPr>
          <w:b/>
          <w:i/>
          <w:vertAlign w:val="subscript"/>
        </w:rPr>
        <w:t>trl</w:t>
      </w:r>
      <w:r w:rsidRPr="00097A86">
        <w:rPr>
          <w:b/>
          <w:i/>
        </w:rPr>
        <w:t xml:space="preserve"> </w:t>
      </w:r>
      <w:r w:rsidRPr="00097A86">
        <w:t>is the dry mass of sludge transferred out of the plant to landfill during the year, measured in tonnes.</w:t>
      </w:r>
    </w:p>
    <w:p w14:paraId="61A66368" w14:textId="77777777" w:rsidR="0090313D" w:rsidRPr="00097A86" w:rsidRDefault="0090313D" w:rsidP="00D22D3F">
      <w:pPr>
        <w:pStyle w:val="Definition"/>
      </w:pPr>
      <w:r w:rsidRPr="00097A86">
        <w:rPr>
          <w:b/>
          <w:i/>
        </w:rPr>
        <w:t>N</w:t>
      </w:r>
      <w:r w:rsidRPr="00097A86">
        <w:rPr>
          <w:b/>
          <w:i/>
          <w:vertAlign w:val="subscript"/>
        </w:rPr>
        <w:t>tro</w:t>
      </w:r>
      <w:r w:rsidRPr="00097A86">
        <w:rPr>
          <w:b/>
          <w:i/>
        </w:rPr>
        <w:t xml:space="preserve"> </w:t>
      </w:r>
      <w:r w:rsidRPr="00097A86">
        <w:t>is the quantity of nitrogen in sludge transferred out of the plant and removed to a site other than landfill during the year, measured in tonnes of nitrogen and worked out as follows:</w:t>
      </w:r>
    </w:p>
    <w:p w14:paraId="474077DB" w14:textId="77777777" w:rsidR="0090313D" w:rsidRPr="00097A86" w:rsidRDefault="009E1F90" w:rsidP="00D22D3F">
      <w:pPr>
        <w:pStyle w:val="Definition"/>
        <w:spacing w:before="120" w:after="120"/>
      </w:pPr>
      <w:r>
        <w:rPr>
          <w:noProof/>
        </w:rPr>
        <w:drawing>
          <wp:inline distT="0" distB="0" distL="0" distR="0" wp14:anchorId="3B15C48D" wp14:editId="4D2219C8">
            <wp:extent cx="1247775" cy="23812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14:paraId="0F42D5B1" w14:textId="77777777" w:rsidR="0090313D" w:rsidRPr="00097A86" w:rsidRDefault="0090313D" w:rsidP="00D22D3F">
      <w:pPr>
        <w:pStyle w:val="Definition"/>
      </w:pPr>
      <w:r w:rsidRPr="00097A86">
        <w:t>where:</w:t>
      </w:r>
    </w:p>
    <w:p w14:paraId="120CA592" w14:textId="77777777" w:rsidR="0090313D" w:rsidRPr="00097A86" w:rsidRDefault="0090313D" w:rsidP="00D22D3F">
      <w:pPr>
        <w:pStyle w:val="Definition"/>
      </w:pPr>
      <w:r w:rsidRPr="00097A86">
        <w:rPr>
          <w:b/>
          <w:i/>
        </w:rPr>
        <w:t>F</w:t>
      </w:r>
      <w:r w:rsidRPr="00097A86">
        <w:rPr>
          <w:b/>
          <w:i/>
          <w:vertAlign w:val="subscript"/>
        </w:rPr>
        <w:t>Ntro</w:t>
      </w:r>
      <w:r w:rsidRPr="00097A86">
        <w:rPr>
          <w:b/>
          <w:i/>
        </w:rPr>
        <w:t xml:space="preserve"> </w:t>
      </w:r>
      <w:r w:rsidRPr="00097A86">
        <w:t>is the fraction of nitrogen in the sludge transferred out of the plant to a site other than landfill.</w:t>
      </w:r>
    </w:p>
    <w:p w14:paraId="0A388358" w14:textId="77777777" w:rsidR="0090313D" w:rsidRPr="00097A86" w:rsidRDefault="0090313D" w:rsidP="00D22D3F">
      <w:pPr>
        <w:pStyle w:val="Definition"/>
      </w:pPr>
      <w:r w:rsidRPr="00097A86">
        <w:rPr>
          <w:b/>
          <w:i/>
        </w:rPr>
        <w:t>M</w:t>
      </w:r>
      <w:r w:rsidRPr="00097A86">
        <w:rPr>
          <w:b/>
          <w:i/>
          <w:vertAlign w:val="subscript"/>
        </w:rPr>
        <w:t>tro</w:t>
      </w:r>
      <w:r w:rsidRPr="00097A86">
        <w:rPr>
          <w:b/>
          <w:i/>
        </w:rPr>
        <w:t xml:space="preserve"> </w:t>
      </w:r>
      <w:r w:rsidRPr="00097A86">
        <w:t>is the dry mass of sludge transferred out of the plant to a site other than landfill during the year, measured in tonnes.</w:t>
      </w:r>
    </w:p>
    <w:p w14:paraId="35138E60" w14:textId="77777777" w:rsidR="0090313D" w:rsidRPr="00097A86" w:rsidRDefault="0090313D" w:rsidP="00D22D3F">
      <w:pPr>
        <w:pStyle w:val="Definition"/>
      </w:pPr>
      <w:r w:rsidRPr="00097A86">
        <w:rPr>
          <w:b/>
          <w:i/>
        </w:rPr>
        <w:t>N</w:t>
      </w:r>
      <w:r w:rsidRPr="00097A86">
        <w:rPr>
          <w:b/>
          <w:i/>
          <w:vertAlign w:val="subscript"/>
        </w:rPr>
        <w:t>outdisij</w:t>
      </w:r>
      <w:r w:rsidRPr="00097A86">
        <w:rPr>
          <w:b/>
          <w:i/>
        </w:rPr>
        <w:t xml:space="preserve"> </w:t>
      </w:r>
      <w:r w:rsidRPr="00097A86">
        <w:t>is the quantity of nitrogen leaving the plant, differentiated by discharge environment.</w:t>
      </w:r>
    </w:p>
    <w:p w14:paraId="4A49D6AF" w14:textId="77777777" w:rsidR="0090313D" w:rsidRPr="00097A86" w:rsidRDefault="0090313D" w:rsidP="00D22D3F">
      <w:pPr>
        <w:pStyle w:val="Definition"/>
      </w:pPr>
      <w:r w:rsidRPr="00097A86">
        <w:rPr>
          <w:b/>
          <w:i/>
        </w:rPr>
        <w:t>EF</w:t>
      </w:r>
      <w:r w:rsidRPr="00097A86">
        <w:rPr>
          <w:b/>
          <w:i/>
          <w:vertAlign w:val="subscript"/>
        </w:rPr>
        <w:t>secij</w:t>
      </w:r>
      <w:r w:rsidRPr="00097A86">
        <w:rPr>
          <w:b/>
          <w:i/>
        </w:rPr>
        <w:t xml:space="preserve"> </w:t>
      </w:r>
      <w:r w:rsidRPr="00097A86">
        <w:t>is the emission factor for wastewater treatment.</w:t>
      </w:r>
    </w:p>
    <w:p w14:paraId="0DBDE14D" w14:textId="77777777" w:rsidR="0090313D" w:rsidRPr="00097A86" w:rsidRDefault="0090313D" w:rsidP="00D22D3F">
      <w:pPr>
        <w:pStyle w:val="Definition"/>
      </w:pPr>
      <w:r w:rsidRPr="00097A86">
        <w:rPr>
          <w:b/>
          <w:i/>
        </w:rPr>
        <w:t>EF</w:t>
      </w:r>
      <w:r w:rsidRPr="00097A86">
        <w:rPr>
          <w:rStyle w:val="charSubscript"/>
          <w:b/>
          <w:i/>
        </w:rPr>
        <w:t>disij</w:t>
      </w:r>
      <w:r w:rsidRPr="00097A86">
        <w:rPr>
          <w:b/>
          <w:i/>
        </w:rPr>
        <w:t xml:space="preserve"> </w:t>
      </w:r>
      <w:r w:rsidRPr="00097A86">
        <w:t>is the emission factor for nitrogen discharge, differentiated by the discharge environment.</w:t>
      </w:r>
    </w:p>
    <w:p w14:paraId="487905C3" w14:textId="77777777" w:rsidR="0090313D" w:rsidRPr="00097A86" w:rsidRDefault="0090313D" w:rsidP="00D22D3F">
      <w:pPr>
        <w:pStyle w:val="subsection"/>
      </w:pPr>
      <w:r w:rsidRPr="00097A86">
        <w:tab/>
        <w:t>(2)</w:t>
      </w:r>
      <w:r w:rsidRPr="00097A86">
        <w:tab/>
        <w:t xml:space="preserve">For </w:t>
      </w:r>
      <w:r w:rsidRPr="00097A86">
        <w:rPr>
          <w:b/>
          <w:i/>
        </w:rPr>
        <w:t>Protein</w:t>
      </w:r>
      <w:r w:rsidRPr="00097A86">
        <w:rPr>
          <w:b/>
        </w:rPr>
        <w:t xml:space="preserve"> </w:t>
      </w:r>
      <w:r w:rsidRPr="00097A86">
        <w:t>in</w:t>
      </w:r>
      <w:r w:rsidRPr="00097A86">
        <w:rPr>
          <w:b/>
        </w:rPr>
        <w:t xml:space="preserve"> </w:t>
      </w:r>
      <w:r w:rsidR="00097A86">
        <w:t>subsection (</w:t>
      </w:r>
      <w:r w:rsidRPr="00097A86">
        <w:t>1), the annual per capita protein intake is 0.036 tonnes per year.</w:t>
      </w:r>
    </w:p>
    <w:p w14:paraId="65DEEBEB" w14:textId="77777777" w:rsidR="0090313D" w:rsidRPr="00097A86" w:rsidRDefault="0090313D" w:rsidP="00D22D3F">
      <w:pPr>
        <w:pStyle w:val="subsection"/>
      </w:pPr>
      <w:r w:rsidRPr="00097A86">
        <w:tab/>
        <w:t>(3)</w:t>
      </w:r>
      <w:r w:rsidRPr="00097A86">
        <w:tab/>
        <w:t xml:space="preserve">For </w:t>
      </w:r>
      <w:r w:rsidRPr="00097A86">
        <w:rPr>
          <w:b/>
          <w:i/>
        </w:rPr>
        <w:t>Frac</w:t>
      </w:r>
      <w:r w:rsidRPr="00097A86">
        <w:rPr>
          <w:b/>
          <w:i/>
          <w:vertAlign w:val="subscript"/>
        </w:rPr>
        <w:t>Pr</w:t>
      </w:r>
      <w:r w:rsidRPr="00097A86">
        <w:t xml:space="preserve"> in </w:t>
      </w:r>
      <w:r w:rsidR="00097A86">
        <w:t>subsection (</w:t>
      </w:r>
      <w:r w:rsidRPr="00097A86">
        <w:t>1), the factor is 0.16 tonnes of nitrogen per tonne of protein.</w:t>
      </w:r>
    </w:p>
    <w:p w14:paraId="340D8DA8" w14:textId="77777777" w:rsidR="0090313D" w:rsidRPr="00097A86" w:rsidRDefault="0090313D" w:rsidP="00D22D3F">
      <w:pPr>
        <w:pStyle w:val="subsection"/>
      </w:pPr>
      <w:r w:rsidRPr="00097A86">
        <w:tab/>
        <w:t>(4)</w:t>
      </w:r>
      <w:r w:rsidRPr="00097A86">
        <w:tab/>
        <w:t xml:space="preserve">For </w:t>
      </w:r>
      <w:r w:rsidRPr="00097A86">
        <w:rPr>
          <w:b/>
          <w:i/>
        </w:rPr>
        <w:t>F</w:t>
      </w:r>
      <w:r w:rsidRPr="00097A86">
        <w:rPr>
          <w:b/>
          <w:i/>
          <w:vertAlign w:val="subscript"/>
        </w:rPr>
        <w:t>Ntrl</w:t>
      </w:r>
      <w:r w:rsidRPr="00097A86">
        <w:t xml:space="preserve"> and </w:t>
      </w:r>
      <w:r w:rsidRPr="00097A86">
        <w:rPr>
          <w:b/>
          <w:i/>
        </w:rPr>
        <w:t>F</w:t>
      </w:r>
      <w:r w:rsidRPr="00097A86">
        <w:rPr>
          <w:b/>
          <w:i/>
          <w:vertAlign w:val="subscript"/>
        </w:rPr>
        <w:t>Ntro</w:t>
      </w:r>
      <w:r w:rsidRPr="00097A86">
        <w:t xml:space="preserve"> in </w:t>
      </w:r>
      <w:r w:rsidR="00097A86">
        <w:t>subsection (</w:t>
      </w:r>
      <w:r w:rsidRPr="00097A86">
        <w:t>1), the factor is 0.05.</w:t>
      </w:r>
    </w:p>
    <w:p w14:paraId="07004678" w14:textId="77777777" w:rsidR="0090313D" w:rsidRPr="00097A86" w:rsidRDefault="0090313D" w:rsidP="00D22D3F">
      <w:pPr>
        <w:pStyle w:val="subsection"/>
      </w:pPr>
      <w:r w:rsidRPr="00097A86">
        <w:tab/>
        <w:t>(5)</w:t>
      </w:r>
      <w:r w:rsidRPr="00097A86">
        <w:tab/>
        <w:t xml:space="preserve">For </w:t>
      </w:r>
      <w:r w:rsidRPr="00097A86">
        <w:rPr>
          <w:b/>
          <w:i/>
        </w:rPr>
        <w:t>N</w:t>
      </w:r>
      <w:r w:rsidRPr="00097A86">
        <w:rPr>
          <w:b/>
          <w:i/>
          <w:vertAlign w:val="subscript"/>
        </w:rPr>
        <w:t>outdisij</w:t>
      </w:r>
      <w:r w:rsidRPr="00097A86">
        <w:t xml:space="preserve"> in </w:t>
      </w:r>
      <w:r w:rsidR="00097A86">
        <w:t>subsection (</w:t>
      </w:r>
      <w:r w:rsidRPr="00097A86">
        <w:t>1), discharge environments mentioned in column 2 of an item of the following table are defined in column 3 for the item.</w:t>
      </w:r>
    </w:p>
    <w:p w14:paraId="309C144E"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56"/>
        <w:gridCol w:w="2205"/>
        <w:gridCol w:w="5452"/>
      </w:tblGrid>
      <w:tr w:rsidR="0090313D" w:rsidRPr="00097A86" w14:paraId="7337DA38" w14:textId="77777777" w:rsidTr="00C20CC2">
        <w:trPr>
          <w:tblHeader/>
        </w:trPr>
        <w:tc>
          <w:tcPr>
            <w:tcW w:w="395" w:type="pct"/>
            <w:tcBorders>
              <w:top w:val="single" w:sz="12" w:space="0" w:color="auto"/>
              <w:bottom w:val="single" w:sz="12" w:space="0" w:color="auto"/>
            </w:tcBorders>
            <w:shd w:val="clear" w:color="auto" w:fill="auto"/>
            <w:hideMark/>
          </w:tcPr>
          <w:p w14:paraId="6EC3BC57" w14:textId="77777777" w:rsidR="0090313D" w:rsidRPr="00097A86" w:rsidRDefault="0090313D" w:rsidP="00D22D3F">
            <w:pPr>
              <w:pStyle w:val="TableHeading"/>
            </w:pPr>
            <w:r w:rsidRPr="00097A86">
              <w:t>Item</w:t>
            </w:r>
          </w:p>
        </w:tc>
        <w:tc>
          <w:tcPr>
            <w:tcW w:w="1326" w:type="pct"/>
            <w:tcBorders>
              <w:top w:val="single" w:sz="12" w:space="0" w:color="auto"/>
              <w:bottom w:val="single" w:sz="12" w:space="0" w:color="auto"/>
            </w:tcBorders>
            <w:shd w:val="clear" w:color="auto" w:fill="auto"/>
            <w:hideMark/>
          </w:tcPr>
          <w:p w14:paraId="661D44CC" w14:textId="77777777" w:rsidR="0090313D" w:rsidRPr="00097A86" w:rsidRDefault="0090313D" w:rsidP="00D22D3F">
            <w:pPr>
              <w:pStyle w:val="TableHeading"/>
            </w:pPr>
            <w:r w:rsidRPr="00097A86">
              <w:t>Discharge environment</w:t>
            </w:r>
          </w:p>
        </w:tc>
        <w:tc>
          <w:tcPr>
            <w:tcW w:w="3279" w:type="pct"/>
            <w:tcBorders>
              <w:top w:val="single" w:sz="12" w:space="0" w:color="auto"/>
              <w:bottom w:val="single" w:sz="12" w:space="0" w:color="auto"/>
            </w:tcBorders>
            <w:shd w:val="clear" w:color="auto" w:fill="auto"/>
            <w:hideMark/>
          </w:tcPr>
          <w:p w14:paraId="0BE5353B" w14:textId="77777777" w:rsidR="0090313D" w:rsidRPr="00097A86" w:rsidRDefault="0090313D" w:rsidP="00D22D3F">
            <w:pPr>
              <w:pStyle w:val="TableHeading"/>
            </w:pPr>
            <w:r w:rsidRPr="00097A86">
              <w:t>Definition</w:t>
            </w:r>
          </w:p>
        </w:tc>
      </w:tr>
      <w:tr w:rsidR="0090313D" w:rsidRPr="00097A86" w14:paraId="4DD3A04A" w14:textId="77777777" w:rsidTr="00C20CC2">
        <w:tc>
          <w:tcPr>
            <w:tcW w:w="395" w:type="pct"/>
            <w:tcBorders>
              <w:top w:val="single" w:sz="12" w:space="0" w:color="auto"/>
            </w:tcBorders>
            <w:shd w:val="clear" w:color="auto" w:fill="auto"/>
            <w:hideMark/>
          </w:tcPr>
          <w:p w14:paraId="40BB829E" w14:textId="77777777" w:rsidR="0090313D" w:rsidRPr="00097A86" w:rsidRDefault="0090313D" w:rsidP="00D22D3F">
            <w:pPr>
              <w:pStyle w:val="Tabletext"/>
            </w:pPr>
            <w:r w:rsidRPr="00097A86">
              <w:t>1</w:t>
            </w:r>
          </w:p>
        </w:tc>
        <w:tc>
          <w:tcPr>
            <w:tcW w:w="1326" w:type="pct"/>
            <w:tcBorders>
              <w:top w:val="single" w:sz="12" w:space="0" w:color="auto"/>
            </w:tcBorders>
            <w:shd w:val="clear" w:color="auto" w:fill="auto"/>
            <w:hideMark/>
          </w:tcPr>
          <w:p w14:paraId="748EAD01" w14:textId="77777777" w:rsidR="0090313D" w:rsidRPr="00097A86" w:rsidRDefault="0090313D" w:rsidP="00D22D3F">
            <w:pPr>
              <w:pStyle w:val="Tabletext"/>
              <w:rPr>
                <w:b/>
                <w:i/>
              </w:rPr>
            </w:pPr>
            <w:r w:rsidRPr="00097A86">
              <w:rPr>
                <w:b/>
                <w:i/>
              </w:rPr>
              <w:t>Enclosed waters</w:t>
            </w:r>
          </w:p>
        </w:tc>
        <w:tc>
          <w:tcPr>
            <w:tcW w:w="3279" w:type="pct"/>
            <w:tcBorders>
              <w:top w:val="single" w:sz="12" w:space="0" w:color="auto"/>
            </w:tcBorders>
            <w:shd w:val="clear" w:color="auto" w:fill="auto"/>
            <w:hideMark/>
          </w:tcPr>
          <w:p w14:paraId="208FF5C1" w14:textId="77777777" w:rsidR="0090313D" w:rsidRPr="00097A86" w:rsidRDefault="0090313D" w:rsidP="00D22D3F">
            <w:pPr>
              <w:pStyle w:val="Tabletext"/>
            </w:pPr>
            <w:r w:rsidRPr="00097A86">
              <w:t>All waters other than open coastal waters or estuarine waters</w:t>
            </w:r>
          </w:p>
        </w:tc>
      </w:tr>
      <w:tr w:rsidR="0090313D" w:rsidRPr="00097A86" w14:paraId="0E186661" w14:textId="77777777" w:rsidTr="00C20CC2">
        <w:tc>
          <w:tcPr>
            <w:tcW w:w="395" w:type="pct"/>
            <w:tcBorders>
              <w:bottom w:val="single" w:sz="4" w:space="0" w:color="auto"/>
            </w:tcBorders>
            <w:shd w:val="clear" w:color="auto" w:fill="auto"/>
            <w:hideMark/>
          </w:tcPr>
          <w:p w14:paraId="4AB9130B" w14:textId="77777777" w:rsidR="0090313D" w:rsidRPr="00097A86" w:rsidRDefault="0090313D" w:rsidP="00D22D3F">
            <w:pPr>
              <w:pStyle w:val="Tabletext"/>
            </w:pPr>
            <w:r w:rsidRPr="00097A86">
              <w:t>2</w:t>
            </w:r>
          </w:p>
        </w:tc>
        <w:tc>
          <w:tcPr>
            <w:tcW w:w="1326" w:type="pct"/>
            <w:tcBorders>
              <w:bottom w:val="single" w:sz="4" w:space="0" w:color="auto"/>
            </w:tcBorders>
            <w:shd w:val="clear" w:color="auto" w:fill="auto"/>
            <w:hideMark/>
          </w:tcPr>
          <w:p w14:paraId="391C76DF" w14:textId="77777777" w:rsidR="0090313D" w:rsidRPr="00097A86" w:rsidRDefault="0090313D" w:rsidP="00D22D3F">
            <w:pPr>
              <w:pStyle w:val="Tabletext"/>
              <w:rPr>
                <w:b/>
                <w:i/>
              </w:rPr>
            </w:pPr>
            <w:r w:rsidRPr="00097A86">
              <w:rPr>
                <w:b/>
                <w:i/>
              </w:rPr>
              <w:t>Estuarine waters</w:t>
            </w:r>
          </w:p>
        </w:tc>
        <w:tc>
          <w:tcPr>
            <w:tcW w:w="3279" w:type="pct"/>
            <w:tcBorders>
              <w:bottom w:val="single" w:sz="4" w:space="0" w:color="auto"/>
            </w:tcBorders>
            <w:shd w:val="clear" w:color="auto" w:fill="auto"/>
            <w:hideMark/>
          </w:tcPr>
          <w:p w14:paraId="140915BE" w14:textId="77777777" w:rsidR="0090313D" w:rsidRPr="00097A86" w:rsidRDefault="0090313D" w:rsidP="00D22D3F">
            <w:pPr>
              <w:pStyle w:val="Tabletext"/>
            </w:pPr>
            <w:r w:rsidRPr="00097A86">
              <w:t>All waters (other than open coastal waters) that are:</w:t>
            </w:r>
          </w:p>
          <w:p w14:paraId="3B93CD80" w14:textId="77777777" w:rsidR="0090313D" w:rsidRPr="00097A86" w:rsidRDefault="00D22D3F" w:rsidP="00D22D3F">
            <w:pPr>
              <w:pStyle w:val="Tablea"/>
            </w:pPr>
            <w:r w:rsidRPr="00097A86">
              <w:t>(</w:t>
            </w:r>
            <w:r w:rsidR="0090313D" w:rsidRPr="00097A86">
              <w:t>a</w:t>
            </w:r>
            <w:r w:rsidRPr="00097A86">
              <w:t xml:space="preserve">) </w:t>
            </w:r>
            <w:r w:rsidR="0090313D" w:rsidRPr="00097A86">
              <w:t>ordinarily subject to tidal influence; and</w:t>
            </w:r>
          </w:p>
          <w:p w14:paraId="303F792C" w14:textId="77777777" w:rsidR="0090313D" w:rsidRPr="00097A86" w:rsidRDefault="00D22D3F" w:rsidP="00D22D3F">
            <w:pPr>
              <w:pStyle w:val="Tablea"/>
            </w:pPr>
            <w:r w:rsidRPr="00097A86">
              <w:lastRenderedPageBreak/>
              <w:t>(</w:t>
            </w:r>
            <w:r w:rsidR="0090313D" w:rsidRPr="00097A86">
              <w:t>b</w:t>
            </w:r>
            <w:r w:rsidRPr="00097A86">
              <w:t xml:space="preserve">) </w:t>
            </w:r>
            <w:r w:rsidR="0090313D" w:rsidRPr="00097A86">
              <w:t>enclosed by a straight line drawn between the low water marks of consecutive headlands</w:t>
            </w:r>
          </w:p>
        </w:tc>
      </w:tr>
      <w:tr w:rsidR="00D957B3" w:rsidRPr="00097A86" w14:paraId="197A88E9" w14:textId="77777777" w:rsidTr="00C20CC2">
        <w:trPr>
          <w:cantSplit/>
        </w:trPr>
        <w:tc>
          <w:tcPr>
            <w:tcW w:w="395" w:type="pct"/>
            <w:tcBorders>
              <w:bottom w:val="single" w:sz="12" w:space="0" w:color="auto"/>
            </w:tcBorders>
            <w:shd w:val="clear" w:color="auto" w:fill="auto"/>
            <w:hideMark/>
          </w:tcPr>
          <w:p w14:paraId="591C3F19" w14:textId="77777777" w:rsidR="00D957B3" w:rsidRPr="00097A86" w:rsidDel="00D957B3" w:rsidRDefault="00D957B3" w:rsidP="00D22D3F">
            <w:pPr>
              <w:pStyle w:val="Tabletext"/>
            </w:pPr>
            <w:r w:rsidRPr="00097A86">
              <w:lastRenderedPageBreak/>
              <w:t>3</w:t>
            </w:r>
          </w:p>
        </w:tc>
        <w:tc>
          <w:tcPr>
            <w:tcW w:w="1326" w:type="pct"/>
            <w:tcBorders>
              <w:bottom w:val="single" w:sz="12" w:space="0" w:color="auto"/>
            </w:tcBorders>
            <w:shd w:val="clear" w:color="auto" w:fill="auto"/>
            <w:hideMark/>
          </w:tcPr>
          <w:p w14:paraId="2BAD9433" w14:textId="77777777" w:rsidR="00D957B3" w:rsidRPr="00097A86" w:rsidDel="00D957B3" w:rsidRDefault="00D957B3" w:rsidP="00D22D3F">
            <w:pPr>
              <w:pStyle w:val="Tabletext"/>
              <w:rPr>
                <w:b/>
                <w:i/>
              </w:rPr>
            </w:pPr>
            <w:r w:rsidRPr="00097A86">
              <w:rPr>
                <w:b/>
                <w:i/>
              </w:rPr>
              <w:t>Open coastal waters (ocean and deep ocean)</w:t>
            </w:r>
          </w:p>
        </w:tc>
        <w:tc>
          <w:tcPr>
            <w:tcW w:w="3279" w:type="pct"/>
            <w:tcBorders>
              <w:bottom w:val="single" w:sz="12" w:space="0" w:color="auto"/>
            </w:tcBorders>
            <w:shd w:val="clear" w:color="auto" w:fill="auto"/>
            <w:hideMark/>
          </w:tcPr>
          <w:p w14:paraId="3D1B3481" w14:textId="77777777" w:rsidR="00D957B3" w:rsidRPr="00097A86" w:rsidRDefault="00D22D3F" w:rsidP="00D22D3F">
            <w:pPr>
              <w:pStyle w:val="Tablea"/>
            </w:pPr>
            <w:r w:rsidRPr="00097A86">
              <w:t>(</w:t>
            </w:r>
            <w:r w:rsidR="00D957B3" w:rsidRPr="00097A86">
              <w:t>a</w:t>
            </w:r>
            <w:r w:rsidRPr="00097A86">
              <w:t xml:space="preserve">) </w:t>
            </w:r>
            <w:r w:rsidR="00D957B3" w:rsidRPr="00097A86">
              <w:t xml:space="preserve">for New South Wales—has the meaning given by the definition of </w:t>
            </w:r>
            <w:r w:rsidR="00D957B3" w:rsidRPr="00097A86">
              <w:rPr>
                <w:b/>
                <w:i/>
              </w:rPr>
              <w:t>open coastal waters</w:t>
            </w:r>
            <w:r w:rsidR="00D957B3" w:rsidRPr="00097A86">
              <w:t xml:space="preserve"> in Schedule</w:t>
            </w:r>
            <w:r w:rsidR="00097A86">
              <w:t> </w:t>
            </w:r>
            <w:r w:rsidR="00D957B3" w:rsidRPr="00097A86">
              <w:t xml:space="preserve">3 to the </w:t>
            </w:r>
            <w:r w:rsidR="00D957B3" w:rsidRPr="00097A86">
              <w:rPr>
                <w:i/>
              </w:rPr>
              <w:t>Protection of the Environment Operations (General) Regulation</w:t>
            </w:r>
            <w:r w:rsidR="00097A86">
              <w:rPr>
                <w:i/>
              </w:rPr>
              <w:t> </w:t>
            </w:r>
            <w:r w:rsidR="00D957B3" w:rsidRPr="00097A86">
              <w:rPr>
                <w:i/>
              </w:rPr>
              <w:t>2009</w:t>
            </w:r>
            <w:r w:rsidR="00D957B3" w:rsidRPr="00097A86">
              <w:t xml:space="preserve"> (NSW), as in force on 8</w:t>
            </w:r>
            <w:r w:rsidR="00097A86">
              <w:t> </w:t>
            </w:r>
            <w:r w:rsidR="00D957B3" w:rsidRPr="00097A86">
              <w:t>June 2012; and</w:t>
            </w:r>
          </w:p>
          <w:p w14:paraId="57BA19BF" w14:textId="77777777" w:rsidR="003B25C5" w:rsidRPr="00097A86" w:rsidRDefault="00D22D3F" w:rsidP="00D22D3F">
            <w:pPr>
              <w:pStyle w:val="Tablea"/>
            </w:pPr>
            <w:r w:rsidRPr="00097A86">
              <w:t>(</w:t>
            </w:r>
            <w:r w:rsidR="00D957B3" w:rsidRPr="00097A86">
              <w:t>b</w:t>
            </w:r>
            <w:r w:rsidRPr="00097A86">
              <w:t xml:space="preserve">) </w:t>
            </w:r>
            <w:r w:rsidR="00D957B3" w:rsidRPr="00097A86">
              <w:t>otherwise—means all waters of the Pacific Ocean, Southern Ocean and Indian Ocean, except those waters enclosed by a straight line drawn between the low water marks of consecutive headlands</w:t>
            </w:r>
          </w:p>
        </w:tc>
      </w:tr>
    </w:tbl>
    <w:p w14:paraId="0CE301ED" w14:textId="77777777" w:rsidR="00D957B3" w:rsidRPr="00097A86" w:rsidRDefault="00D22D3F" w:rsidP="00D22D3F">
      <w:pPr>
        <w:pStyle w:val="notetext"/>
      </w:pPr>
      <w:r w:rsidRPr="00097A86">
        <w:t>Note:</w:t>
      </w:r>
      <w:r w:rsidRPr="00097A86">
        <w:tab/>
      </w:r>
      <w:r w:rsidR="00D957B3" w:rsidRPr="00097A86">
        <w:t xml:space="preserve">Historical versions of the </w:t>
      </w:r>
      <w:r w:rsidR="00D957B3" w:rsidRPr="00097A86">
        <w:rPr>
          <w:i/>
        </w:rPr>
        <w:t>Protection of the Environment Operations (General) Regulation</w:t>
      </w:r>
      <w:r w:rsidR="00097A86">
        <w:rPr>
          <w:i/>
        </w:rPr>
        <w:t> </w:t>
      </w:r>
      <w:r w:rsidR="00D957B3" w:rsidRPr="00097A86">
        <w:rPr>
          <w:i/>
        </w:rPr>
        <w:t>2009</w:t>
      </w:r>
      <w:r w:rsidR="00D957B3" w:rsidRPr="00097A86">
        <w:t xml:space="preserve"> (NSW) are available at </w:t>
      </w:r>
      <w:r w:rsidR="00D957B3" w:rsidRPr="00097A86">
        <w:rPr>
          <w:u w:val="single"/>
        </w:rPr>
        <w:t>www.legislation.nsw.gov.au</w:t>
      </w:r>
      <w:r w:rsidR="00D957B3" w:rsidRPr="00097A86">
        <w:t>.</w:t>
      </w:r>
    </w:p>
    <w:p w14:paraId="7BCDAC2C" w14:textId="77777777" w:rsidR="0090313D" w:rsidRPr="00097A86" w:rsidRDefault="0090313D" w:rsidP="00D22D3F">
      <w:pPr>
        <w:pStyle w:val="subsection"/>
      </w:pPr>
      <w:r w:rsidRPr="00097A86">
        <w:tab/>
        <w:t>(6)</w:t>
      </w:r>
      <w:r w:rsidRPr="00097A86">
        <w:tab/>
        <w:t xml:space="preserve">For </w:t>
      </w:r>
      <w:r w:rsidRPr="00097A86">
        <w:rPr>
          <w:b/>
          <w:i/>
        </w:rPr>
        <w:t>EF</w:t>
      </w:r>
      <w:r w:rsidRPr="00097A86">
        <w:rPr>
          <w:b/>
          <w:i/>
          <w:vertAlign w:val="subscript"/>
        </w:rPr>
        <w:t>secij</w:t>
      </w:r>
      <w:r w:rsidRPr="00097A86">
        <w:rPr>
          <w:i/>
        </w:rPr>
        <w:t xml:space="preserve"> </w:t>
      </w:r>
      <w:r w:rsidRPr="00097A86">
        <w:t xml:space="preserve">in </w:t>
      </w:r>
      <w:r w:rsidR="00097A86">
        <w:t>subsection (</w:t>
      </w:r>
      <w:r w:rsidRPr="00097A86">
        <w:t>1), the emission factor is 4.9 tonnes of nitrous oxide, measured in CO</w:t>
      </w:r>
      <w:r w:rsidRPr="00097A86">
        <w:rPr>
          <w:vertAlign w:val="subscript"/>
        </w:rPr>
        <w:t>2</w:t>
      </w:r>
      <w:r w:rsidR="00097A86">
        <w:noBreakHyphen/>
      </w:r>
      <w:r w:rsidRPr="00097A86">
        <w:t>e per tonne of nitrogen produced.</w:t>
      </w:r>
    </w:p>
    <w:p w14:paraId="1C531457" w14:textId="77777777" w:rsidR="0090313D" w:rsidRPr="00097A86" w:rsidRDefault="0090313D" w:rsidP="00D22D3F">
      <w:pPr>
        <w:pStyle w:val="subsection"/>
      </w:pPr>
      <w:r w:rsidRPr="00097A86">
        <w:tab/>
        <w:t>(7)</w:t>
      </w:r>
      <w:r w:rsidRPr="00097A86">
        <w:tab/>
        <w:t xml:space="preserve">For </w:t>
      </w:r>
      <w:r w:rsidRPr="00097A86">
        <w:rPr>
          <w:b/>
          <w:i/>
        </w:rPr>
        <w:t>EF</w:t>
      </w:r>
      <w:r w:rsidRPr="00097A86">
        <w:rPr>
          <w:rStyle w:val="charSubscript"/>
          <w:b/>
          <w:i/>
          <w:sz w:val="22"/>
        </w:rPr>
        <w:t>disij</w:t>
      </w:r>
      <w:r w:rsidRPr="00097A86">
        <w:rPr>
          <w:rStyle w:val="charSubscript"/>
          <w:sz w:val="22"/>
        </w:rPr>
        <w:t xml:space="preserve"> </w:t>
      </w:r>
      <w:r w:rsidRPr="00097A86">
        <w:t xml:space="preserve">in </w:t>
      </w:r>
      <w:r w:rsidR="00097A86">
        <w:t>subsection (</w:t>
      </w:r>
      <w:r w:rsidRPr="00097A86">
        <w:t>1), the emission factor mentioned in column 3 of an item of the following table must be used for the discharge environment mentioned in column 2 for the item.</w:t>
      </w:r>
    </w:p>
    <w:p w14:paraId="3A4006ED"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12"/>
        <w:gridCol w:w="5738"/>
        <w:gridCol w:w="1663"/>
      </w:tblGrid>
      <w:tr w:rsidR="0090313D" w:rsidRPr="00097A86" w14:paraId="192642A0" w14:textId="77777777" w:rsidTr="00C20CC2">
        <w:tc>
          <w:tcPr>
            <w:tcW w:w="549" w:type="pct"/>
            <w:tcBorders>
              <w:top w:val="single" w:sz="12" w:space="0" w:color="auto"/>
              <w:bottom w:val="single" w:sz="12" w:space="0" w:color="auto"/>
            </w:tcBorders>
            <w:shd w:val="clear" w:color="auto" w:fill="auto"/>
            <w:hideMark/>
          </w:tcPr>
          <w:p w14:paraId="45568A37" w14:textId="77777777" w:rsidR="0090313D" w:rsidRPr="00097A86" w:rsidRDefault="0090313D" w:rsidP="00D22D3F">
            <w:pPr>
              <w:pStyle w:val="TableHeading"/>
            </w:pPr>
            <w:r w:rsidRPr="00097A86">
              <w:t>Item</w:t>
            </w:r>
          </w:p>
        </w:tc>
        <w:tc>
          <w:tcPr>
            <w:tcW w:w="3451" w:type="pct"/>
            <w:tcBorders>
              <w:top w:val="single" w:sz="12" w:space="0" w:color="auto"/>
              <w:bottom w:val="single" w:sz="12" w:space="0" w:color="auto"/>
            </w:tcBorders>
            <w:shd w:val="clear" w:color="auto" w:fill="auto"/>
            <w:hideMark/>
          </w:tcPr>
          <w:p w14:paraId="24012AD6" w14:textId="77777777" w:rsidR="0090313D" w:rsidRPr="00097A86" w:rsidRDefault="0090313D" w:rsidP="00D22D3F">
            <w:pPr>
              <w:pStyle w:val="TableHeading"/>
            </w:pPr>
            <w:r w:rsidRPr="00097A86">
              <w:t>Discharge environment</w:t>
            </w:r>
          </w:p>
        </w:tc>
        <w:tc>
          <w:tcPr>
            <w:tcW w:w="1000" w:type="pct"/>
            <w:tcBorders>
              <w:top w:val="single" w:sz="12" w:space="0" w:color="auto"/>
              <w:bottom w:val="single" w:sz="12" w:space="0" w:color="auto"/>
            </w:tcBorders>
            <w:shd w:val="clear" w:color="auto" w:fill="auto"/>
            <w:hideMark/>
          </w:tcPr>
          <w:p w14:paraId="5BD518D3" w14:textId="77777777" w:rsidR="0090313D" w:rsidRPr="00097A86" w:rsidRDefault="0090313D" w:rsidP="00D22D3F">
            <w:pPr>
              <w:pStyle w:val="TableHeading"/>
              <w:rPr>
                <w:i/>
              </w:rPr>
            </w:pPr>
            <w:r w:rsidRPr="00097A86">
              <w:rPr>
                <w:i/>
              </w:rPr>
              <w:t>EF</w:t>
            </w:r>
            <w:r w:rsidRPr="00097A86">
              <w:rPr>
                <w:i/>
                <w:vertAlign w:val="subscript"/>
              </w:rPr>
              <w:t>disij</w:t>
            </w:r>
          </w:p>
        </w:tc>
      </w:tr>
      <w:tr w:rsidR="0090313D" w:rsidRPr="00097A86" w14:paraId="68D30EBB" w14:textId="77777777" w:rsidTr="00C20CC2">
        <w:tc>
          <w:tcPr>
            <w:tcW w:w="549" w:type="pct"/>
            <w:tcBorders>
              <w:top w:val="single" w:sz="12" w:space="0" w:color="auto"/>
            </w:tcBorders>
            <w:shd w:val="clear" w:color="auto" w:fill="auto"/>
            <w:hideMark/>
          </w:tcPr>
          <w:p w14:paraId="6BD6C425" w14:textId="77777777" w:rsidR="0090313D" w:rsidRPr="00097A86" w:rsidRDefault="0090313D" w:rsidP="00D22D3F">
            <w:pPr>
              <w:pStyle w:val="Tabletext"/>
            </w:pPr>
            <w:r w:rsidRPr="00097A86">
              <w:t>1</w:t>
            </w:r>
          </w:p>
        </w:tc>
        <w:tc>
          <w:tcPr>
            <w:tcW w:w="3451" w:type="pct"/>
            <w:tcBorders>
              <w:top w:val="single" w:sz="12" w:space="0" w:color="auto"/>
            </w:tcBorders>
            <w:shd w:val="clear" w:color="auto" w:fill="auto"/>
            <w:hideMark/>
          </w:tcPr>
          <w:p w14:paraId="292FBF59" w14:textId="77777777" w:rsidR="0090313D" w:rsidRPr="00097A86" w:rsidRDefault="0090313D" w:rsidP="00D22D3F">
            <w:pPr>
              <w:pStyle w:val="Tabletext"/>
            </w:pPr>
            <w:r w:rsidRPr="00097A86">
              <w:t>Enclosed waters</w:t>
            </w:r>
          </w:p>
        </w:tc>
        <w:tc>
          <w:tcPr>
            <w:tcW w:w="1000" w:type="pct"/>
            <w:tcBorders>
              <w:top w:val="single" w:sz="12" w:space="0" w:color="auto"/>
            </w:tcBorders>
            <w:shd w:val="clear" w:color="auto" w:fill="auto"/>
            <w:hideMark/>
          </w:tcPr>
          <w:p w14:paraId="27CC6F35" w14:textId="77777777" w:rsidR="0090313D" w:rsidRPr="00097A86" w:rsidRDefault="00B25EE5" w:rsidP="00D22D3F">
            <w:pPr>
              <w:pStyle w:val="Tabletext"/>
            </w:pPr>
            <w:r w:rsidRPr="00097A86">
              <w:t>4.7</w:t>
            </w:r>
          </w:p>
        </w:tc>
      </w:tr>
      <w:tr w:rsidR="0090313D" w:rsidRPr="00097A86" w14:paraId="65FF11A5" w14:textId="77777777" w:rsidTr="00C20CC2">
        <w:tc>
          <w:tcPr>
            <w:tcW w:w="549" w:type="pct"/>
            <w:tcBorders>
              <w:bottom w:val="single" w:sz="4" w:space="0" w:color="auto"/>
            </w:tcBorders>
            <w:shd w:val="clear" w:color="auto" w:fill="auto"/>
            <w:hideMark/>
          </w:tcPr>
          <w:p w14:paraId="03E90AE8" w14:textId="77777777" w:rsidR="0090313D" w:rsidRPr="00097A86" w:rsidRDefault="0090313D" w:rsidP="00D22D3F">
            <w:pPr>
              <w:pStyle w:val="Tabletext"/>
            </w:pPr>
            <w:r w:rsidRPr="00097A86">
              <w:t>2</w:t>
            </w:r>
          </w:p>
        </w:tc>
        <w:tc>
          <w:tcPr>
            <w:tcW w:w="3451" w:type="pct"/>
            <w:tcBorders>
              <w:bottom w:val="single" w:sz="4" w:space="0" w:color="auto"/>
            </w:tcBorders>
            <w:shd w:val="clear" w:color="auto" w:fill="auto"/>
            <w:hideMark/>
          </w:tcPr>
          <w:p w14:paraId="1E541A22" w14:textId="77777777" w:rsidR="0090313D" w:rsidRPr="00097A86" w:rsidRDefault="0090313D" w:rsidP="00D22D3F">
            <w:pPr>
              <w:pStyle w:val="Tabletext"/>
            </w:pPr>
            <w:r w:rsidRPr="00097A86">
              <w:t>Estuarine waters</w:t>
            </w:r>
          </w:p>
        </w:tc>
        <w:tc>
          <w:tcPr>
            <w:tcW w:w="1000" w:type="pct"/>
            <w:tcBorders>
              <w:bottom w:val="single" w:sz="4" w:space="0" w:color="auto"/>
            </w:tcBorders>
            <w:shd w:val="clear" w:color="auto" w:fill="auto"/>
            <w:hideMark/>
          </w:tcPr>
          <w:p w14:paraId="1B7B5881" w14:textId="77777777" w:rsidR="0090313D" w:rsidRPr="00097A86" w:rsidRDefault="0090313D" w:rsidP="00D22D3F">
            <w:pPr>
              <w:pStyle w:val="Tabletext"/>
            </w:pPr>
            <w:r w:rsidRPr="00097A86">
              <w:t>1.2</w:t>
            </w:r>
          </w:p>
        </w:tc>
      </w:tr>
      <w:tr w:rsidR="0090313D" w:rsidRPr="00097A86" w14:paraId="5828ECF6" w14:textId="77777777" w:rsidTr="00C20CC2">
        <w:tc>
          <w:tcPr>
            <w:tcW w:w="549" w:type="pct"/>
            <w:tcBorders>
              <w:bottom w:val="single" w:sz="12" w:space="0" w:color="auto"/>
            </w:tcBorders>
            <w:shd w:val="clear" w:color="auto" w:fill="auto"/>
            <w:hideMark/>
          </w:tcPr>
          <w:p w14:paraId="0554DD68" w14:textId="77777777" w:rsidR="0090313D" w:rsidRPr="00097A86" w:rsidRDefault="0090313D" w:rsidP="00D22D3F">
            <w:pPr>
              <w:pStyle w:val="Tabletext"/>
            </w:pPr>
            <w:r w:rsidRPr="00097A86">
              <w:t>3</w:t>
            </w:r>
          </w:p>
        </w:tc>
        <w:tc>
          <w:tcPr>
            <w:tcW w:w="3451" w:type="pct"/>
            <w:tcBorders>
              <w:bottom w:val="single" w:sz="12" w:space="0" w:color="auto"/>
            </w:tcBorders>
            <w:shd w:val="clear" w:color="auto" w:fill="auto"/>
            <w:hideMark/>
          </w:tcPr>
          <w:p w14:paraId="23BE98ED" w14:textId="77777777" w:rsidR="0090313D" w:rsidRPr="00097A86" w:rsidRDefault="0090313D" w:rsidP="00D22D3F">
            <w:pPr>
              <w:pStyle w:val="Tabletext"/>
            </w:pPr>
            <w:r w:rsidRPr="00097A86">
              <w:t>Open coastal waters (ocean and deep ocean)</w:t>
            </w:r>
          </w:p>
        </w:tc>
        <w:tc>
          <w:tcPr>
            <w:tcW w:w="1000" w:type="pct"/>
            <w:tcBorders>
              <w:bottom w:val="single" w:sz="12" w:space="0" w:color="auto"/>
            </w:tcBorders>
            <w:shd w:val="clear" w:color="auto" w:fill="auto"/>
            <w:hideMark/>
          </w:tcPr>
          <w:p w14:paraId="61FD9423" w14:textId="77777777" w:rsidR="0090313D" w:rsidRPr="00097A86" w:rsidRDefault="0090313D" w:rsidP="00D22D3F">
            <w:pPr>
              <w:pStyle w:val="Tabletext"/>
            </w:pPr>
            <w:r w:rsidRPr="00097A86">
              <w:t>0.0</w:t>
            </w:r>
          </w:p>
        </w:tc>
      </w:tr>
    </w:tbl>
    <w:p w14:paraId="351788F0" w14:textId="77777777" w:rsidR="003F0D4E" w:rsidRPr="00097A86" w:rsidRDefault="003F0D4E" w:rsidP="00D22D3F">
      <w:pPr>
        <w:pStyle w:val="ActHead3"/>
        <w:pageBreakBefore/>
      </w:pPr>
      <w:bookmarkStart w:id="606" w:name="_Toc13234033"/>
      <w:r w:rsidRPr="00097A86">
        <w:rPr>
          <w:rStyle w:val="CharDivNo"/>
        </w:rPr>
        <w:lastRenderedPageBreak/>
        <w:t>Division</w:t>
      </w:r>
      <w:r w:rsidR="00097A86">
        <w:rPr>
          <w:rStyle w:val="CharDivNo"/>
        </w:rPr>
        <w:t> </w:t>
      </w:r>
      <w:r w:rsidRPr="00097A86">
        <w:rPr>
          <w:rStyle w:val="CharDivNo"/>
        </w:rPr>
        <w:t>5.3.6</w:t>
      </w:r>
      <w:r w:rsidR="00D22D3F" w:rsidRPr="00097A86">
        <w:t>—</w:t>
      </w:r>
      <w:r w:rsidRPr="00097A86">
        <w:rPr>
          <w:rStyle w:val="CharDivText"/>
        </w:rPr>
        <w:t>Method 2</w:t>
      </w:r>
      <w:r w:rsidR="00D22D3F" w:rsidRPr="00097A86">
        <w:rPr>
          <w:rStyle w:val="CharDivText"/>
        </w:rPr>
        <w:t>—</w:t>
      </w:r>
      <w:r w:rsidRPr="00097A86">
        <w:rPr>
          <w:rStyle w:val="CharDivText"/>
        </w:rPr>
        <w:t>emissions of nitrous oxide released from wastewater handling (domestic and commercial)</w:t>
      </w:r>
      <w:bookmarkEnd w:id="606"/>
    </w:p>
    <w:p w14:paraId="62ED246B" w14:textId="77777777" w:rsidR="003F0D4E" w:rsidRPr="00097A86" w:rsidRDefault="003F0D4E" w:rsidP="00D22D3F">
      <w:pPr>
        <w:pStyle w:val="ActHead5"/>
      </w:pPr>
      <w:bookmarkStart w:id="607" w:name="_Toc13234034"/>
      <w:r w:rsidRPr="00097A86">
        <w:rPr>
          <w:rStyle w:val="CharSectno"/>
        </w:rPr>
        <w:t>5.32</w:t>
      </w:r>
      <w:r w:rsidR="00D22D3F" w:rsidRPr="00097A86">
        <w:t xml:space="preserve">  </w:t>
      </w:r>
      <w:r w:rsidRPr="00097A86">
        <w:t>Method 2</w:t>
      </w:r>
      <w:r w:rsidR="00D22D3F" w:rsidRPr="00097A86">
        <w:t>—</w:t>
      </w:r>
      <w:r w:rsidRPr="00097A86">
        <w:t>nitrous oxide released from wastewater handling (domestic and commercial)</w:t>
      </w:r>
      <w:bookmarkEnd w:id="607"/>
    </w:p>
    <w:p w14:paraId="3E9B16C8" w14:textId="77777777" w:rsidR="003F0D4E" w:rsidRPr="00097A86" w:rsidRDefault="003F0D4E" w:rsidP="00D22D3F">
      <w:pPr>
        <w:pStyle w:val="subsection"/>
      </w:pPr>
      <w:r w:rsidRPr="00097A86">
        <w:tab/>
        <w:t>(1)</w:t>
      </w:r>
      <w:r w:rsidRPr="00097A86">
        <w:tab/>
        <w:t>For subparagraph</w:t>
      </w:r>
      <w:r w:rsidR="00097A86">
        <w:t> </w:t>
      </w:r>
      <w:r w:rsidRPr="00097A86">
        <w:t>5.24(1)(b)(ii) and subject to this section, method 2 is the same as method 1 under section</w:t>
      </w:r>
      <w:r w:rsidR="00097A86">
        <w:t> </w:t>
      </w:r>
      <w:r w:rsidRPr="00097A86">
        <w:t>5.31.</w:t>
      </w:r>
    </w:p>
    <w:p w14:paraId="5EC5BE70" w14:textId="77777777" w:rsidR="00D957B3" w:rsidRPr="00097A86" w:rsidRDefault="00D957B3" w:rsidP="00D22D3F">
      <w:pPr>
        <w:pStyle w:val="subsection"/>
      </w:pPr>
      <w:r w:rsidRPr="00097A86">
        <w:tab/>
        <w:t>(2)</w:t>
      </w:r>
      <w:r w:rsidRPr="00097A86">
        <w:tab/>
        <w:t>In applying method 1 under section</w:t>
      </w:r>
      <w:r w:rsidR="00097A86">
        <w:t> </w:t>
      </w:r>
      <w:r w:rsidRPr="00097A86">
        <w:t>5.31, nitrogen must be calculated:</w:t>
      </w:r>
    </w:p>
    <w:p w14:paraId="6327A8F9" w14:textId="77777777" w:rsidR="00D957B3" w:rsidRPr="00097A86" w:rsidRDefault="00D957B3" w:rsidP="00D22D3F">
      <w:pPr>
        <w:pStyle w:val="paragraph"/>
      </w:pPr>
      <w:r w:rsidRPr="00097A86">
        <w:tab/>
        <w:t>(a)</w:t>
      </w:r>
      <w:r w:rsidRPr="00097A86">
        <w:tab/>
        <w:t>by using facility operating data that measures the volumetric influent and effluent rates and the influent and effluent rates of nitrogen concentrations; or</w:t>
      </w:r>
    </w:p>
    <w:p w14:paraId="038A53F1" w14:textId="77777777" w:rsidR="00D957B3" w:rsidRPr="00097A86" w:rsidRDefault="00D957B3" w:rsidP="00D22D3F">
      <w:pPr>
        <w:pStyle w:val="paragraph"/>
      </w:pPr>
      <w:r w:rsidRPr="00097A86">
        <w:tab/>
        <w:t>(b)</w:t>
      </w:r>
      <w:r w:rsidRPr="00097A86">
        <w:tab/>
        <w:t>for primary wastewater treatment plants, using the following formula:</w:t>
      </w:r>
    </w:p>
    <w:p w14:paraId="6CC30536" w14:textId="77777777" w:rsidR="00D957B3" w:rsidRPr="00097A86" w:rsidRDefault="00D22D3F" w:rsidP="00D22D3F">
      <w:pPr>
        <w:pStyle w:val="paragraph"/>
        <w:spacing w:before="120" w:after="120"/>
      </w:pPr>
      <w:r w:rsidRPr="00097A86">
        <w:tab/>
      </w:r>
      <w:r w:rsidRPr="00097A86">
        <w:tab/>
      </w:r>
      <w:r w:rsidR="00D957B3" w:rsidRPr="00097A86">
        <w:t>N</w:t>
      </w:r>
      <w:r w:rsidR="00D957B3" w:rsidRPr="00097A86">
        <w:rPr>
          <w:vertAlign w:val="subscript"/>
        </w:rPr>
        <w:t>in</w:t>
      </w:r>
      <w:r w:rsidR="00D957B3" w:rsidRPr="00097A86">
        <w:t xml:space="preserve"> = N</w:t>
      </w:r>
      <w:r w:rsidR="00D957B3" w:rsidRPr="00097A86">
        <w:rPr>
          <w:vertAlign w:val="subscript"/>
        </w:rPr>
        <w:t xml:space="preserve">trl </w:t>
      </w:r>
      <w:r w:rsidR="00D957B3" w:rsidRPr="00097A86">
        <w:t>+ N</w:t>
      </w:r>
      <w:r w:rsidR="00D957B3" w:rsidRPr="00097A86">
        <w:rPr>
          <w:vertAlign w:val="subscript"/>
        </w:rPr>
        <w:t xml:space="preserve">tro </w:t>
      </w:r>
      <w:r w:rsidR="00D957B3" w:rsidRPr="00097A86">
        <w:t>+ N</w:t>
      </w:r>
      <w:r w:rsidR="00D957B3" w:rsidRPr="00097A86">
        <w:rPr>
          <w:vertAlign w:val="subscript"/>
        </w:rPr>
        <w:t>outdisij</w:t>
      </w:r>
    </w:p>
    <w:p w14:paraId="10ABDF75" w14:textId="77777777" w:rsidR="00D957B3" w:rsidRPr="00097A86" w:rsidRDefault="00D957B3" w:rsidP="00D22D3F">
      <w:pPr>
        <w:pStyle w:val="subsection2"/>
      </w:pPr>
      <w:r w:rsidRPr="00097A86">
        <w:t>where:</w:t>
      </w:r>
    </w:p>
    <w:p w14:paraId="2CA84247" w14:textId="77777777" w:rsidR="00D957B3" w:rsidRPr="00097A86" w:rsidRDefault="00D957B3" w:rsidP="00D22D3F">
      <w:pPr>
        <w:pStyle w:val="Definition"/>
      </w:pPr>
      <w:r w:rsidRPr="00097A86">
        <w:rPr>
          <w:b/>
          <w:i/>
        </w:rPr>
        <w:t>N</w:t>
      </w:r>
      <w:r w:rsidRPr="00097A86">
        <w:rPr>
          <w:b/>
          <w:i/>
          <w:vertAlign w:val="subscript"/>
        </w:rPr>
        <w:t>in</w:t>
      </w:r>
      <w:r w:rsidRPr="00097A86">
        <w:rPr>
          <w:b/>
          <w:i/>
        </w:rPr>
        <w:t xml:space="preserve"> </w:t>
      </w:r>
      <w:r w:rsidRPr="00097A86">
        <w:t>is the quantity of nitrogen entering the plant during the year, measured in tonnes of nitrogen.</w:t>
      </w:r>
    </w:p>
    <w:p w14:paraId="4E036F2A" w14:textId="77777777" w:rsidR="00D957B3" w:rsidRPr="00097A86" w:rsidRDefault="00D957B3" w:rsidP="00D22D3F">
      <w:pPr>
        <w:pStyle w:val="Definition"/>
      </w:pPr>
      <w:r w:rsidRPr="00097A86">
        <w:rPr>
          <w:b/>
          <w:i/>
        </w:rPr>
        <w:t>N</w:t>
      </w:r>
      <w:r w:rsidRPr="00097A86">
        <w:rPr>
          <w:b/>
          <w:i/>
          <w:vertAlign w:val="subscript"/>
        </w:rPr>
        <w:t>trl</w:t>
      </w:r>
      <w:r w:rsidRPr="00097A86">
        <w:rPr>
          <w:b/>
          <w:i/>
        </w:rPr>
        <w:t xml:space="preserve"> </w:t>
      </w:r>
      <w:r w:rsidRPr="00097A86">
        <w:t>is the quantity of nitrogen in sludge transferred out of the plant and removed to landfill during the year, measured in tonnes of nitrogen and worked out using the following formula:</w:t>
      </w:r>
    </w:p>
    <w:p w14:paraId="74CC8222" w14:textId="77777777" w:rsidR="00D957B3" w:rsidRPr="00097A86" w:rsidRDefault="009E1F90" w:rsidP="00D22D3F">
      <w:pPr>
        <w:pStyle w:val="Definition"/>
        <w:spacing w:before="120" w:after="120"/>
      </w:pPr>
      <w:r>
        <w:rPr>
          <w:noProof/>
        </w:rPr>
        <w:drawing>
          <wp:inline distT="0" distB="0" distL="0" distR="0" wp14:anchorId="3043EF37" wp14:editId="393CD77D">
            <wp:extent cx="1123950" cy="2381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14:paraId="64A9576C" w14:textId="77777777" w:rsidR="00D957B3" w:rsidRPr="00097A86" w:rsidRDefault="00D957B3" w:rsidP="00D22D3F">
      <w:pPr>
        <w:pStyle w:val="Definition"/>
      </w:pPr>
      <w:r w:rsidRPr="00097A86">
        <w:rPr>
          <w:b/>
          <w:i/>
        </w:rPr>
        <w:t>N</w:t>
      </w:r>
      <w:r w:rsidRPr="00097A86">
        <w:rPr>
          <w:b/>
          <w:i/>
          <w:vertAlign w:val="subscript"/>
        </w:rPr>
        <w:t>tro</w:t>
      </w:r>
      <w:r w:rsidRPr="00097A86">
        <w:rPr>
          <w:b/>
          <w:i/>
        </w:rPr>
        <w:t xml:space="preserve"> </w:t>
      </w:r>
      <w:r w:rsidRPr="00097A86">
        <w:t>is the quantity of nitrogen in sludge transferred out of the plant and removed to a site other than landfill during the year, measured in tonnes of nitrogen and worked out as follows:</w:t>
      </w:r>
    </w:p>
    <w:p w14:paraId="4F8BBADA" w14:textId="77777777" w:rsidR="00D957B3" w:rsidRPr="00097A86" w:rsidRDefault="009E1F90" w:rsidP="00D22D3F">
      <w:pPr>
        <w:pStyle w:val="Definition"/>
        <w:spacing w:before="120" w:after="120"/>
      </w:pPr>
      <w:r>
        <w:rPr>
          <w:noProof/>
        </w:rPr>
        <w:drawing>
          <wp:inline distT="0" distB="0" distL="0" distR="0" wp14:anchorId="6E23AD53" wp14:editId="69BD3DF7">
            <wp:extent cx="1247775" cy="23812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14:paraId="3E8C1742" w14:textId="77777777" w:rsidR="00D957B3" w:rsidRPr="00097A86" w:rsidRDefault="00D957B3" w:rsidP="00D22D3F">
      <w:pPr>
        <w:pStyle w:val="Definition"/>
      </w:pPr>
      <w:r w:rsidRPr="00097A86">
        <w:rPr>
          <w:b/>
          <w:i/>
        </w:rPr>
        <w:t>N</w:t>
      </w:r>
      <w:r w:rsidRPr="00097A86">
        <w:rPr>
          <w:b/>
          <w:i/>
          <w:vertAlign w:val="subscript"/>
        </w:rPr>
        <w:t>outdisij</w:t>
      </w:r>
      <w:r w:rsidRPr="00097A86">
        <w:rPr>
          <w:b/>
          <w:i/>
        </w:rPr>
        <w:t xml:space="preserve"> </w:t>
      </w:r>
      <w:r w:rsidRPr="00097A86">
        <w:t>is the quantity of nitrogen leaving the plant, differentiated by discharge environment.</w:t>
      </w:r>
    </w:p>
    <w:p w14:paraId="1F65258E" w14:textId="77777777" w:rsidR="003F0D4E" w:rsidRPr="00097A86" w:rsidRDefault="003F0D4E" w:rsidP="00D22D3F">
      <w:pPr>
        <w:pStyle w:val="subsection"/>
      </w:pPr>
      <w:r w:rsidRPr="00097A86">
        <w:tab/>
        <w:t>(3)</w:t>
      </w:r>
      <w:r w:rsidRPr="00097A86">
        <w:tab/>
        <w:t xml:space="preserve">Wastewater used for the purposes of </w:t>
      </w:r>
      <w:r w:rsidR="00097A86">
        <w:t>subsection (</w:t>
      </w:r>
      <w:r w:rsidRPr="00097A86">
        <w:t>2), must be sampled and analysed for nitrogen in accordance with the requirements in sections</w:t>
      </w:r>
      <w:r w:rsidR="00097A86">
        <w:t> </w:t>
      </w:r>
      <w:r w:rsidRPr="00097A86">
        <w:t>5.33, 5.34 and 5.35.</w:t>
      </w:r>
    </w:p>
    <w:p w14:paraId="065E859E" w14:textId="77777777" w:rsidR="003F0D4E" w:rsidRPr="00097A86" w:rsidRDefault="003F0D4E" w:rsidP="00D22D3F">
      <w:pPr>
        <w:pStyle w:val="ActHead5"/>
      </w:pPr>
      <w:bookmarkStart w:id="608" w:name="_Toc13234035"/>
      <w:r w:rsidRPr="00097A86">
        <w:rPr>
          <w:rStyle w:val="CharSectno"/>
        </w:rPr>
        <w:t>5.33</w:t>
      </w:r>
      <w:r w:rsidR="00D22D3F" w:rsidRPr="00097A86">
        <w:t xml:space="preserve">  </w:t>
      </w:r>
      <w:r w:rsidRPr="00097A86">
        <w:t>General requirements for sampling under method 2</w:t>
      </w:r>
      <w:bookmarkEnd w:id="608"/>
    </w:p>
    <w:p w14:paraId="7338A762" w14:textId="77777777" w:rsidR="003F0D4E" w:rsidRPr="00097A86" w:rsidRDefault="003F0D4E" w:rsidP="00D22D3F">
      <w:pPr>
        <w:pStyle w:val="subsection"/>
      </w:pPr>
      <w:r w:rsidRPr="00097A86">
        <w:tab/>
        <w:t>(1)</w:t>
      </w:r>
      <w:r w:rsidRPr="00097A86">
        <w:tab/>
        <w:t>A sample must be representative of the wastewater and the nitrogen concentrations at the plant.</w:t>
      </w:r>
    </w:p>
    <w:p w14:paraId="5F7A4227"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7048AD34" w14:textId="77777777" w:rsidR="003F0D4E" w:rsidRPr="00097A86" w:rsidRDefault="003F0D4E" w:rsidP="00D22D3F">
      <w:pPr>
        <w:pStyle w:val="subsection"/>
      </w:pPr>
      <w:r w:rsidRPr="00097A86">
        <w:lastRenderedPageBreak/>
        <w:tab/>
        <w:t>(3)</w:t>
      </w:r>
      <w:r w:rsidRPr="00097A86">
        <w:tab/>
        <w:t>The samples must also be free of bias so that any estimates are neither over nor under estimates of the true value.</w:t>
      </w:r>
    </w:p>
    <w:p w14:paraId="2F299855" w14:textId="77777777" w:rsidR="003F0D4E" w:rsidRPr="00097A86" w:rsidRDefault="003F0D4E" w:rsidP="00D22D3F">
      <w:pPr>
        <w:pStyle w:val="subsection"/>
      </w:pPr>
      <w:r w:rsidRPr="00097A86">
        <w:tab/>
        <w:t>(4)</w:t>
      </w:r>
      <w:r w:rsidRPr="00097A86">
        <w:tab/>
        <w:t>Bias must be tested in accordance with an appropriate standard (if any).</w:t>
      </w:r>
    </w:p>
    <w:p w14:paraId="69C5B2D8" w14:textId="77777777" w:rsidR="003F0D4E" w:rsidRPr="00097A86" w:rsidRDefault="003F0D4E" w:rsidP="00D22D3F">
      <w:pPr>
        <w:pStyle w:val="subsection"/>
      </w:pPr>
      <w:r w:rsidRPr="00097A86">
        <w:tab/>
        <w:t>(5)</w:t>
      </w:r>
      <w:r w:rsidRPr="00097A86">
        <w:tab/>
        <w:t>The value obtained from the sample must only be used for the plant for which it was intended to be representative.</w:t>
      </w:r>
    </w:p>
    <w:p w14:paraId="606AEAA0" w14:textId="77777777" w:rsidR="003F0D4E" w:rsidRPr="00097A86" w:rsidRDefault="003F0D4E" w:rsidP="00D22D3F">
      <w:pPr>
        <w:pStyle w:val="ActHead5"/>
      </w:pPr>
      <w:bookmarkStart w:id="609" w:name="_Toc13234036"/>
      <w:r w:rsidRPr="00097A86">
        <w:rPr>
          <w:rStyle w:val="CharSectno"/>
        </w:rPr>
        <w:t>5.34</w:t>
      </w:r>
      <w:r w:rsidR="00D22D3F" w:rsidRPr="00097A86">
        <w:t xml:space="preserve">  </w:t>
      </w:r>
      <w:r w:rsidRPr="00097A86">
        <w:t>Standards for analysis</w:t>
      </w:r>
      <w:bookmarkEnd w:id="609"/>
    </w:p>
    <w:p w14:paraId="00B7D405" w14:textId="77777777" w:rsidR="003F0D4E" w:rsidRPr="00097A86" w:rsidRDefault="003F0D4E" w:rsidP="00D22D3F">
      <w:pPr>
        <w:pStyle w:val="subsection"/>
      </w:pPr>
      <w:r w:rsidRPr="00097A86">
        <w:tab/>
        <w:t>(1)</w:t>
      </w:r>
      <w:r w:rsidRPr="00097A86">
        <w:tab/>
        <w:t>Samples of wastewater must be analysed for nitrogen in accordance with:</w:t>
      </w:r>
    </w:p>
    <w:p w14:paraId="274D79C4" w14:textId="77777777" w:rsidR="003F0D4E" w:rsidRPr="00097A86" w:rsidRDefault="003F0D4E" w:rsidP="00D22D3F">
      <w:pPr>
        <w:pStyle w:val="paragraph"/>
      </w:pPr>
      <w:r w:rsidRPr="00097A86">
        <w:tab/>
        <w:t>(a)</w:t>
      </w:r>
      <w:r w:rsidRPr="00097A86">
        <w:tab/>
        <w:t>ISO 11905</w:t>
      </w:r>
      <w:r w:rsidR="00097A86">
        <w:noBreakHyphen/>
      </w:r>
      <w:r w:rsidRPr="00097A86">
        <w:t>1:1997; or</w:t>
      </w:r>
    </w:p>
    <w:p w14:paraId="624525A6" w14:textId="77777777" w:rsidR="003F0D4E" w:rsidRPr="00097A86" w:rsidRDefault="003F0D4E" w:rsidP="00D22D3F">
      <w:pPr>
        <w:pStyle w:val="paragraph"/>
      </w:pPr>
      <w:r w:rsidRPr="00097A86">
        <w:tab/>
        <w:t>(b)</w:t>
      </w:r>
      <w:r w:rsidRPr="00097A86">
        <w:tab/>
        <w:t>sections</w:t>
      </w:r>
      <w:r w:rsidR="00097A86">
        <w:t> </w:t>
      </w:r>
      <w:r w:rsidRPr="00097A86">
        <w:t>4500</w:t>
      </w:r>
      <w:r w:rsidR="00097A86">
        <w:noBreakHyphen/>
      </w:r>
      <w:r w:rsidRPr="00097A86">
        <w:t>N</w:t>
      </w:r>
      <w:r w:rsidRPr="00097A86">
        <w:rPr>
          <w:vertAlign w:val="subscript"/>
        </w:rPr>
        <w:t>org</w:t>
      </w:r>
      <w:r w:rsidRPr="00097A86">
        <w:t xml:space="preserve"> B, 4500</w:t>
      </w:r>
      <w:r w:rsidR="00097A86">
        <w:noBreakHyphen/>
      </w:r>
      <w:r w:rsidRPr="00097A86">
        <w:t>N</w:t>
      </w:r>
      <w:r w:rsidRPr="00097A86">
        <w:rPr>
          <w:vertAlign w:val="subscript"/>
        </w:rPr>
        <w:t>org</w:t>
      </w:r>
      <w:r w:rsidRPr="00097A86">
        <w:t xml:space="preserve"> C or 4500</w:t>
      </w:r>
      <w:r w:rsidR="00097A86">
        <w:noBreakHyphen/>
      </w:r>
      <w:r w:rsidRPr="00097A86">
        <w:t>N</w:t>
      </w:r>
      <w:r w:rsidRPr="00097A86">
        <w:rPr>
          <w:vertAlign w:val="subscript"/>
        </w:rPr>
        <w:t>org</w:t>
      </w:r>
      <w:r w:rsidRPr="00097A86">
        <w:t xml:space="preserve"> D of APHA (1995); or</w:t>
      </w:r>
    </w:p>
    <w:p w14:paraId="11C247A8" w14:textId="77777777" w:rsidR="003F0D4E" w:rsidRPr="00097A86" w:rsidRDefault="003F0D4E" w:rsidP="00D22D3F">
      <w:pPr>
        <w:pStyle w:val="paragraph"/>
      </w:pPr>
      <w:r w:rsidRPr="00097A86">
        <w:tab/>
        <w:t>(c)</w:t>
      </w:r>
      <w:r w:rsidRPr="00097A86">
        <w:tab/>
        <w:t>an equivalent Australian or international standard.</w:t>
      </w:r>
    </w:p>
    <w:p w14:paraId="6543BADE" w14:textId="77777777" w:rsidR="003F0D4E" w:rsidRPr="00097A86" w:rsidRDefault="003F0D4E" w:rsidP="00D22D3F">
      <w:pPr>
        <w:pStyle w:val="subsection"/>
      </w:pPr>
      <w:r w:rsidRPr="00097A86">
        <w:tab/>
        <w:t>(2)</w:t>
      </w:r>
      <w:r w:rsidRPr="00097A86">
        <w:tab/>
        <w:t>Samples of sludge must be analysed for nitrogen in accordance with:</w:t>
      </w:r>
    </w:p>
    <w:p w14:paraId="7264B162" w14:textId="77777777" w:rsidR="003F0D4E" w:rsidRPr="00097A86" w:rsidRDefault="003F0D4E" w:rsidP="00D22D3F">
      <w:pPr>
        <w:pStyle w:val="paragraph"/>
      </w:pPr>
      <w:r w:rsidRPr="00097A86">
        <w:tab/>
        <w:t>(a)</w:t>
      </w:r>
      <w:r w:rsidRPr="00097A86">
        <w:tab/>
        <w:t>EN 13342:2000; or</w:t>
      </w:r>
    </w:p>
    <w:p w14:paraId="1BF5FB88" w14:textId="77777777" w:rsidR="003F0D4E" w:rsidRPr="00097A86" w:rsidRDefault="003F0D4E" w:rsidP="00D22D3F">
      <w:pPr>
        <w:pStyle w:val="paragraph"/>
      </w:pPr>
      <w:r w:rsidRPr="00097A86">
        <w:tab/>
        <w:t>(b)</w:t>
      </w:r>
      <w:r w:rsidRPr="00097A86">
        <w:tab/>
        <w:t>section</w:t>
      </w:r>
      <w:r w:rsidR="00097A86">
        <w:t> </w:t>
      </w:r>
      <w:r w:rsidRPr="00097A86">
        <w:t>4500</w:t>
      </w:r>
      <w:r w:rsidR="00097A86">
        <w:noBreakHyphen/>
      </w:r>
      <w:r w:rsidRPr="00097A86">
        <w:t>N</w:t>
      </w:r>
      <w:r w:rsidRPr="00097A86">
        <w:rPr>
          <w:vertAlign w:val="subscript"/>
        </w:rPr>
        <w:t>org</w:t>
      </w:r>
      <w:r w:rsidRPr="00097A86">
        <w:t xml:space="preserve"> B of APHA (1995); or</w:t>
      </w:r>
    </w:p>
    <w:p w14:paraId="46BF5EDB" w14:textId="77777777" w:rsidR="003F0D4E" w:rsidRPr="00097A86" w:rsidRDefault="003F0D4E" w:rsidP="00D22D3F">
      <w:pPr>
        <w:pStyle w:val="paragraph"/>
      </w:pPr>
      <w:r w:rsidRPr="00097A86">
        <w:tab/>
        <w:t>(c)</w:t>
      </w:r>
      <w:r w:rsidRPr="00097A86">
        <w:tab/>
        <w:t>an equivalent Australian or international standard.</w:t>
      </w:r>
    </w:p>
    <w:p w14:paraId="36A6D838" w14:textId="77777777" w:rsidR="003F0D4E" w:rsidRPr="00097A86" w:rsidRDefault="003F0D4E" w:rsidP="00D22D3F">
      <w:pPr>
        <w:pStyle w:val="ActHead5"/>
      </w:pPr>
      <w:bookmarkStart w:id="610" w:name="_Toc13234037"/>
      <w:r w:rsidRPr="00097A86">
        <w:rPr>
          <w:rStyle w:val="CharSectno"/>
        </w:rPr>
        <w:t>5.35</w:t>
      </w:r>
      <w:r w:rsidR="00D22D3F" w:rsidRPr="00097A86">
        <w:t xml:space="preserve">  </w:t>
      </w:r>
      <w:r w:rsidRPr="00097A86">
        <w:t>Frequency of sampling and analysis</w:t>
      </w:r>
      <w:bookmarkEnd w:id="610"/>
    </w:p>
    <w:p w14:paraId="39C19BF5" w14:textId="77777777" w:rsidR="003F0D4E" w:rsidRPr="00097A86" w:rsidRDefault="003F0D4E" w:rsidP="00D22D3F">
      <w:pPr>
        <w:pStyle w:val="subsection"/>
      </w:pPr>
      <w:r w:rsidRPr="00097A86">
        <w:tab/>
      </w:r>
      <w:r w:rsidRPr="00097A86">
        <w:tab/>
        <w:t>Wastewater must be sampled and analysed on at least a monthly basis.</w:t>
      </w:r>
    </w:p>
    <w:p w14:paraId="5388E802" w14:textId="77777777" w:rsidR="003F0D4E" w:rsidRPr="00097A86" w:rsidRDefault="003F0D4E" w:rsidP="00D22D3F">
      <w:pPr>
        <w:pStyle w:val="ActHead3"/>
        <w:pageBreakBefore/>
      </w:pPr>
      <w:bookmarkStart w:id="611" w:name="_Toc13234038"/>
      <w:r w:rsidRPr="00097A86">
        <w:rPr>
          <w:rStyle w:val="CharDivNo"/>
        </w:rPr>
        <w:lastRenderedPageBreak/>
        <w:t>Division</w:t>
      </w:r>
      <w:r w:rsidR="00097A86">
        <w:rPr>
          <w:rStyle w:val="CharDivNo"/>
        </w:rPr>
        <w:t> </w:t>
      </w:r>
      <w:r w:rsidRPr="00097A86">
        <w:rPr>
          <w:rStyle w:val="CharDivNo"/>
        </w:rPr>
        <w:t>5.3.7</w:t>
      </w:r>
      <w:r w:rsidR="00D22D3F" w:rsidRPr="00097A86">
        <w:t>—</w:t>
      </w:r>
      <w:r w:rsidRPr="00097A86">
        <w:rPr>
          <w:rStyle w:val="CharDivText"/>
        </w:rPr>
        <w:t>Method 3</w:t>
      </w:r>
      <w:r w:rsidR="00D22D3F" w:rsidRPr="00097A86">
        <w:rPr>
          <w:rStyle w:val="CharDivText"/>
        </w:rPr>
        <w:t>—</w:t>
      </w:r>
      <w:r w:rsidRPr="00097A86">
        <w:rPr>
          <w:rStyle w:val="CharDivText"/>
        </w:rPr>
        <w:t>emissions of nitrous oxide released from wastewater handling (domestic and commercial)</w:t>
      </w:r>
      <w:bookmarkEnd w:id="611"/>
    </w:p>
    <w:p w14:paraId="4639850B" w14:textId="77777777" w:rsidR="003F0D4E" w:rsidRPr="00097A86" w:rsidRDefault="003F0D4E" w:rsidP="00D22D3F">
      <w:pPr>
        <w:pStyle w:val="ActHead5"/>
      </w:pPr>
      <w:bookmarkStart w:id="612" w:name="_Toc13234039"/>
      <w:r w:rsidRPr="00097A86">
        <w:rPr>
          <w:rStyle w:val="CharSectno"/>
        </w:rPr>
        <w:t>5.36</w:t>
      </w:r>
      <w:r w:rsidR="00D22D3F" w:rsidRPr="00097A86">
        <w:t xml:space="preserve">  </w:t>
      </w:r>
      <w:r w:rsidRPr="00097A86">
        <w:t>Method 3</w:t>
      </w:r>
      <w:r w:rsidR="00D22D3F" w:rsidRPr="00097A86">
        <w:t>—</w:t>
      </w:r>
      <w:r w:rsidRPr="00097A86">
        <w:t>nitrous oxide released from wastewater handling (domestic and commercial)</w:t>
      </w:r>
      <w:bookmarkEnd w:id="612"/>
    </w:p>
    <w:p w14:paraId="27B1DB8D" w14:textId="77777777" w:rsidR="003F0D4E" w:rsidRPr="00097A86" w:rsidRDefault="003F0D4E" w:rsidP="00D22D3F">
      <w:pPr>
        <w:pStyle w:val="subsection"/>
      </w:pPr>
      <w:r w:rsidRPr="00097A86">
        <w:tab/>
        <w:t>(1)</w:t>
      </w:r>
      <w:r w:rsidRPr="00097A86">
        <w:tab/>
        <w:t>For subparagraph</w:t>
      </w:r>
      <w:r w:rsidR="00097A86">
        <w:t> </w:t>
      </w:r>
      <w:r w:rsidRPr="00097A86">
        <w:t xml:space="preserve">5.24(1)(b)(iii) and subject to </w:t>
      </w:r>
      <w:r w:rsidR="00097A86">
        <w:t>subsection (</w:t>
      </w:r>
      <w:r w:rsidRPr="00097A86">
        <w:t>2), method 3 is the same as method 2 under section</w:t>
      </w:r>
      <w:r w:rsidR="00097A86">
        <w:t> </w:t>
      </w:r>
      <w:r w:rsidRPr="00097A86">
        <w:t>5.32.</w:t>
      </w:r>
    </w:p>
    <w:p w14:paraId="6D4080EB" w14:textId="77777777" w:rsidR="003F0D4E" w:rsidRPr="00097A86" w:rsidRDefault="003F0D4E" w:rsidP="00D22D3F">
      <w:pPr>
        <w:pStyle w:val="subsection"/>
      </w:pPr>
      <w:r w:rsidRPr="00097A86">
        <w:tab/>
        <w:t>(2)</w:t>
      </w:r>
      <w:r w:rsidRPr="00097A86">
        <w:tab/>
        <w:t>In applying method 2 under section</w:t>
      </w:r>
      <w:r w:rsidR="00097A86">
        <w:t> </w:t>
      </w:r>
      <w:r w:rsidRPr="00097A86">
        <w:t>5.32, the wastewater must be sampled in accordance with AS/NZS 5667.10:1998 or an equivalent Australian or international standard.</w:t>
      </w:r>
    </w:p>
    <w:p w14:paraId="5E9EA943" w14:textId="77777777" w:rsidR="003F0D4E" w:rsidRPr="00097A86" w:rsidRDefault="003F0D4E" w:rsidP="00D22D3F">
      <w:pPr>
        <w:pStyle w:val="subsection"/>
      </w:pPr>
      <w:r w:rsidRPr="00097A86">
        <w:tab/>
        <w:t>(3)</w:t>
      </w:r>
      <w:r w:rsidRPr="00097A86">
        <w:tab/>
        <w:t>In applying method 2 under section</w:t>
      </w:r>
      <w:r w:rsidR="00097A86">
        <w:t> </w:t>
      </w:r>
      <w:r w:rsidRPr="00097A86">
        <w:t>5.32, the sludge must be sampled in accordance with ISO 5667</w:t>
      </w:r>
      <w:r w:rsidR="00097A86">
        <w:noBreakHyphen/>
      </w:r>
      <w:r w:rsidRPr="00097A86">
        <w:t>13:1997 or an equivalent Australian or international standard.</w:t>
      </w:r>
    </w:p>
    <w:p w14:paraId="07D04CC7" w14:textId="77777777" w:rsidR="003F0D4E" w:rsidRPr="00097A86" w:rsidRDefault="003F0D4E" w:rsidP="00D22D3F">
      <w:pPr>
        <w:pStyle w:val="ActHead3"/>
        <w:pageBreakBefore/>
      </w:pPr>
      <w:bookmarkStart w:id="613" w:name="_Toc13234040"/>
      <w:r w:rsidRPr="00097A86">
        <w:rPr>
          <w:rStyle w:val="CharDivNo"/>
        </w:rPr>
        <w:lastRenderedPageBreak/>
        <w:t>Division</w:t>
      </w:r>
      <w:r w:rsidR="00097A86">
        <w:rPr>
          <w:rStyle w:val="CharDivNo"/>
        </w:rPr>
        <w:t> </w:t>
      </w:r>
      <w:r w:rsidRPr="00097A86">
        <w:rPr>
          <w:rStyle w:val="CharDivNo"/>
        </w:rPr>
        <w:t>5.3.8</w:t>
      </w:r>
      <w:r w:rsidR="00D22D3F" w:rsidRPr="00097A86">
        <w:t>—</w:t>
      </w:r>
      <w:r w:rsidRPr="00097A86">
        <w:rPr>
          <w:rStyle w:val="CharDivText"/>
        </w:rPr>
        <w:t>Wastewater handling (domestic and commercial)</w:t>
      </w:r>
      <w:r w:rsidR="00D22D3F" w:rsidRPr="00097A86">
        <w:rPr>
          <w:rStyle w:val="CharDivText"/>
        </w:rPr>
        <w:t>—</w:t>
      </w:r>
      <w:r w:rsidRPr="00097A86">
        <w:rPr>
          <w:rStyle w:val="CharDivText"/>
        </w:rPr>
        <w:t>Flaring</w:t>
      </w:r>
      <w:bookmarkEnd w:id="613"/>
    </w:p>
    <w:p w14:paraId="5D1E352C" w14:textId="77777777" w:rsidR="003F0D4E" w:rsidRPr="00097A86" w:rsidRDefault="003F0D4E" w:rsidP="00D22D3F">
      <w:pPr>
        <w:pStyle w:val="ActHead5"/>
      </w:pPr>
      <w:bookmarkStart w:id="614" w:name="_Toc13234041"/>
      <w:r w:rsidRPr="00097A86">
        <w:rPr>
          <w:rStyle w:val="CharSectno"/>
        </w:rPr>
        <w:t>5.37</w:t>
      </w:r>
      <w:r w:rsidR="00D22D3F" w:rsidRPr="00097A86">
        <w:t xml:space="preserve">  </w:t>
      </w:r>
      <w:r w:rsidRPr="00097A86">
        <w:t>Method 1</w:t>
      </w:r>
      <w:r w:rsidR="00D22D3F" w:rsidRPr="00097A86">
        <w:t>—</w:t>
      </w:r>
      <w:r w:rsidRPr="00097A86">
        <w:t>Flaring of methane in sludge biogas from wastewater handling (domestic and commercial)</w:t>
      </w:r>
      <w:bookmarkEnd w:id="614"/>
    </w:p>
    <w:p w14:paraId="6AEAD2BE" w14:textId="77777777" w:rsidR="003F0D4E" w:rsidRPr="00097A86" w:rsidRDefault="003F0D4E" w:rsidP="00D22D3F">
      <w:pPr>
        <w:pStyle w:val="subsection"/>
      </w:pPr>
      <w:r w:rsidRPr="00097A86">
        <w:tab/>
        <w:t>(1)</w:t>
      </w:r>
      <w:r w:rsidRPr="00097A86">
        <w:tab/>
        <w:t>For subparagraph</w:t>
      </w:r>
      <w:r w:rsidR="00097A86">
        <w:t> </w:t>
      </w:r>
      <w:r w:rsidRPr="00097A86">
        <w:t>5.24(1)(c)(i), method 1 is:</w:t>
      </w:r>
    </w:p>
    <w:p w14:paraId="4DA3A33B"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1BFF0D77" wp14:editId="22B454D1">
            <wp:extent cx="1981200" cy="4095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p w14:paraId="19B9F0F8" w14:textId="77777777" w:rsidR="003F0D4E" w:rsidRPr="00097A86" w:rsidRDefault="003F0D4E" w:rsidP="00D22D3F">
      <w:pPr>
        <w:pStyle w:val="Definition"/>
      </w:pPr>
      <w:r w:rsidRPr="00097A86">
        <w:t xml:space="preserve">where </w:t>
      </w:r>
    </w:p>
    <w:p w14:paraId="0D5E081A" w14:textId="77777777" w:rsidR="003F0D4E" w:rsidRPr="00097A86" w:rsidRDefault="003F0D4E" w:rsidP="00D22D3F">
      <w:pPr>
        <w:pStyle w:val="Definition"/>
        <w:rPr>
          <w:vertAlign w:val="subscript"/>
        </w:rPr>
      </w:pPr>
      <w:r w:rsidRPr="00097A86">
        <w:rPr>
          <w:b/>
          <w:i/>
        </w:rPr>
        <w:t>E</w:t>
      </w:r>
      <w:r w:rsidRPr="00097A86">
        <w:rPr>
          <w:b/>
          <w:i/>
          <w:vertAlign w:val="subscript"/>
        </w:rPr>
        <w:t xml:space="preserve">j flared </w:t>
      </w:r>
      <w:r w:rsidRPr="00097A86">
        <w:t>is the emissions of gas type (</w:t>
      </w:r>
      <w:r w:rsidRPr="00097A86">
        <w:rPr>
          <w:b/>
          <w:i/>
        </w:rPr>
        <w:t>j</w:t>
      </w:r>
      <w:r w:rsidRPr="00097A86">
        <w:t>) released from the plant from flaring of the methane in sludge biogas from the plant during the year measured in CO</w:t>
      </w:r>
      <w:r w:rsidRPr="00097A86">
        <w:rPr>
          <w:vertAlign w:val="subscript"/>
        </w:rPr>
        <w:t>2</w:t>
      </w:r>
      <w:r w:rsidR="00097A86">
        <w:noBreakHyphen/>
      </w:r>
      <w:r w:rsidRPr="00097A86">
        <w:t>e tonnes.</w:t>
      </w:r>
    </w:p>
    <w:p w14:paraId="6B699526"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sludge biogas flared from the plant during the year measured in cubic metres in accordance with Division</w:t>
      </w:r>
      <w:r w:rsidR="00097A86">
        <w:t> </w:t>
      </w:r>
      <w:r w:rsidRPr="00097A86">
        <w:t>2.3.6.</w:t>
      </w:r>
    </w:p>
    <w:p w14:paraId="4C8BCC7D" w14:textId="77777777" w:rsidR="003F0D4E" w:rsidRPr="00097A86" w:rsidRDefault="003F0D4E" w:rsidP="00D22D3F">
      <w:pPr>
        <w:pStyle w:val="Definition"/>
      </w:pPr>
      <w:r w:rsidRPr="00097A86">
        <w:rPr>
          <w:b/>
          <w:i/>
        </w:rPr>
        <w:t>EC</w:t>
      </w:r>
      <w:r w:rsidRPr="00097A86">
        <w:rPr>
          <w:b/>
          <w:i/>
          <w:vertAlign w:val="subscript"/>
        </w:rPr>
        <w:t xml:space="preserve">i </w:t>
      </w:r>
      <w:r w:rsidRPr="00097A86">
        <w:t>is the energy content</w:t>
      </w:r>
      <w:r w:rsidR="00D957B3" w:rsidRPr="00097A86">
        <w:t xml:space="preserve"> factor</w:t>
      </w:r>
      <w:r w:rsidRPr="00097A86">
        <w:t xml:space="preserve"> of methane in sludge biogas in gigajoules per cubic metre (see Schedule</w:t>
      </w:r>
      <w:r w:rsidR="00097A86">
        <w:t> </w:t>
      </w:r>
      <w:r w:rsidRPr="00097A86">
        <w:t>1).</w:t>
      </w:r>
    </w:p>
    <w:p w14:paraId="2A30B0A7"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relevant emission factor for gas type (</w:t>
      </w:r>
      <w:r w:rsidRPr="00097A86">
        <w:rPr>
          <w:b/>
          <w:i/>
        </w:rPr>
        <w:t>j</w:t>
      </w:r>
      <w:r w:rsidRPr="00097A86">
        <w:t>) for methane in sludge biogas measured in CO</w:t>
      </w:r>
      <w:r w:rsidRPr="00097A86">
        <w:rPr>
          <w:vertAlign w:val="subscript"/>
        </w:rPr>
        <w:t>2</w:t>
      </w:r>
      <w:r w:rsidR="00097A86">
        <w:noBreakHyphen/>
      </w:r>
      <w:r w:rsidRPr="00097A86">
        <w:t>e per gigajoule (see Schedule</w:t>
      </w:r>
      <w:r w:rsidR="00097A86">
        <w:t> </w:t>
      </w:r>
      <w:r w:rsidRPr="00097A86">
        <w:t>1).</w:t>
      </w:r>
    </w:p>
    <w:p w14:paraId="28F5B6F5" w14:textId="77777777" w:rsidR="003F0D4E" w:rsidRPr="00097A86" w:rsidRDefault="003F0D4E" w:rsidP="00D22D3F">
      <w:pPr>
        <w:pStyle w:val="subsection"/>
      </w:pPr>
      <w:r w:rsidRPr="00097A86">
        <w:tab/>
        <w:t>(2)</w:t>
      </w:r>
      <w:r w:rsidRPr="00097A86">
        <w:tab/>
        <w:t xml:space="preserve">For </w:t>
      </w:r>
      <w:r w:rsidRPr="00097A86">
        <w:rPr>
          <w:b/>
          <w:i/>
        </w:rPr>
        <w:t>Q</w:t>
      </w:r>
      <w:r w:rsidRPr="00097A86">
        <w:rPr>
          <w:b/>
          <w:i/>
          <w:vertAlign w:val="subscript"/>
        </w:rPr>
        <w:t>flared</w:t>
      </w:r>
      <w:r w:rsidRPr="00097A86">
        <w:t xml:space="preserve"> in </w:t>
      </w:r>
      <w:r w:rsidR="00097A86">
        <w:t>subsection (</w:t>
      </w:r>
      <w:r w:rsidRPr="00097A86">
        <w:t>1), the methane in sludge biogas is taken to constitute 70% of the sludge biogas.</w:t>
      </w:r>
    </w:p>
    <w:p w14:paraId="7578A8FF" w14:textId="77777777" w:rsidR="003F0D4E" w:rsidRPr="00097A86" w:rsidRDefault="003F0D4E" w:rsidP="00D22D3F">
      <w:pPr>
        <w:pStyle w:val="ActHead5"/>
      </w:pPr>
      <w:bookmarkStart w:id="615" w:name="_Toc13234042"/>
      <w:r w:rsidRPr="00097A86">
        <w:rPr>
          <w:rStyle w:val="CharSectno"/>
        </w:rPr>
        <w:t>5.38</w:t>
      </w:r>
      <w:r w:rsidR="00D22D3F" w:rsidRPr="00097A86">
        <w:t xml:space="preserve">  </w:t>
      </w:r>
      <w:r w:rsidRPr="00097A86">
        <w:t>Method 2</w:t>
      </w:r>
      <w:r w:rsidR="00D22D3F" w:rsidRPr="00097A86">
        <w:t>—</w:t>
      </w:r>
      <w:r w:rsidRPr="00097A86">
        <w:t>flaring of methane in sludge biogas</w:t>
      </w:r>
      <w:bookmarkEnd w:id="615"/>
      <w:r w:rsidRPr="00097A86">
        <w:t xml:space="preserve"> </w:t>
      </w:r>
    </w:p>
    <w:p w14:paraId="30F8303B" w14:textId="77777777" w:rsidR="003F0D4E" w:rsidRPr="00097A86" w:rsidRDefault="003F0D4E" w:rsidP="00D22D3F">
      <w:pPr>
        <w:pStyle w:val="subsection"/>
      </w:pPr>
      <w:r w:rsidRPr="00097A86">
        <w:tab/>
        <w:t>(1)</w:t>
      </w:r>
      <w:r w:rsidRPr="00097A86">
        <w:tab/>
        <w:t>For subparagraph</w:t>
      </w:r>
      <w:r w:rsidR="00097A86">
        <w:t> </w:t>
      </w:r>
      <w:r w:rsidRPr="00097A86">
        <w:t>5.24(1)(c)(ii) and subject to this section, method 2 is the same as method 1 under section</w:t>
      </w:r>
      <w:r w:rsidR="00097A86">
        <w:t> </w:t>
      </w:r>
      <w:r w:rsidRPr="00097A86">
        <w:t>5.37.</w:t>
      </w:r>
    </w:p>
    <w:p w14:paraId="3C5F08FF"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5.37, </w:t>
      </w:r>
      <w:r w:rsidRPr="00097A86">
        <w:rPr>
          <w:b/>
          <w:i/>
        </w:rPr>
        <w:t>Q</w:t>
      </w:r>
      <w:r w:rsidRPr="00097A86">
        <w:rPr>
          <w:b/>
          <w:i/>
          <w:vertAlign w:val="subscript"/>
        </w:rPr>
        <w:t>flared</w:t>
      </w:r>
      <w:r w:rsidRPr="00097A86">
        <w:t xml:space="preserve"> must be determined in accordance with the sampling and analysis requirements in Subdivision</w:t>
      </w:r>
      <w:r w:rsidR="00097A86">
        <w:t> </w:t>
      </w:r>
      <w:r w:rsidRPr="00097A86">
        <w:t>2.3.3.2 and the measuring requirements in Division</w:t>
      </w:r>
      <w:r w:rsidR="00097A86">
        <w:t> </w:t>
      </w:r>
      <w:r w:rsidRPr="00097A86">
        <w:t>2.3.6.</w:t>
      </w:r>
    </w:p>
    <w:p w14:paraId="24E8F601" w14:textId="77777777" w:rsidR="003F0D4E" w:rsidRPr="00097A86" w:rsidRDefault="003F0D4E" w:rsidP="00D22D3F">
      <w:pPr>
        <w:pStyle w:val="ActHead5"/>
      </w:pPr>
      <w:bookmarkStart w:id="616" w:name="_Toc13234043"/>
      <w:r w:rsidRPr="00097A86">
        <w:rPr>
          <w:rStyle w:val="CharSectno"/>
        </w:rPr>
        <w:t>5.39</w:t>
      </w:r>
      <w:r w:rsidR="00D22D3F" w:rsidRPr="00097A86">
        <w:t xml:space="preserve">  </w:t>
      </w:r>
      <w:r w:rsidRPr="00097A86">
        <w:t>Method 3</w:t>
      </w:r>
      <w:r w:rsidR="00D22D3F" w:rsidRPr="00097A86">
        <w:t>—</w:t>
      </w:r>
      <w:r w:rsidRPr="00097A86">
        <w:t>flaring of methane in sludge biogas</w:t>
      </w:r>
      <w:bookmarkEnd w:id="616"/>
    </w:p>
    <w:p w14:paraId="18325643" w14:textId="77777777" w:rsidR="003F0D4E" w:rsidRPr="00097A86" w:rsidRDefault="003F0D4E" w:rsidP="00D22D3F">
      <w:pPr>
        <w:pStyle w:val="subsection"/>
      </w:pPr>
      <w:r w:rsidRPr="00097A86">
        <w:tab/>
        <w:t>(1)</w:t>
      </w:r>
      <w:r w:rsidRPr="00097A86">
        <w:tab/>
        <w:t>For subparagraph</w:t>
      </w:r>
      <w:r w:rsidR="00097A86">
        <w:t> </w:t>
      </w:r>
      <w:r w:rsidRPr="00097A86">
        <w:t>5.24(1)(c)(iii) and subject to this section, method 3 is the same as method 1 under section</w:t>
      </w:r>
      <w:r w:rsidR="00097A86">
        <w:t> </w:t>
      </w:r>
      <w:r w:rsidRPr="00097A86">
        <w:t>5.37.</w:t>
      </w:r>
    </w:p>
    <w:p w14:paraId="5E241045"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5.37, </w:t>
      </w:r>
      <w:r w:rsidRPr="00097A86">
        <w:rPr>
          <w:b/>
          <w:i/>
        </w:rPr>
        <w:t>Q</w:t>
      </w:r>
      <w:r w:rsidRPr="00097A86">
        <w:rPr>
          <w:b/>
          <w:i/>
          <w:vertAlign w:val="subscript"/>
        </w:rPr>
        <w:t>flared</w:t>
      </w:r>
      <w:r w:rsidRPr="00097A86">
        <w:t xml:space="preserve"> must be determined in accordance with the sampling and analysis requirements in Division</w:t>
      </w:r>
      <w:r w:rsidR="00097A86">
        <w:t> </w:t>
      </w:r>
      <w:r w:rsidRPr="00097A86">
        <w:t>2.3.4 and the measuring requirements in Division</w:t>
      </w:r>
      <w:r w:rsidR="00097A86">
        <w:t> </w:t>
      </w:r>
      <w:r w:rsidRPr="00097A86">
        <w:t>2.3.6.</w:t>
      </w:r>
    </w:p>
    <w:p w14:paraId="28910F4B" w14:textId="77777777" w:rsidR="002537A9" w:rsidRPr="00097A86" w:rsidRDefault="002537A9" w:rsidP="00D22D3F">
      <w:pPr>
        <w:pStyle w:val="ActHead2"/>
        <w:pageBreakBefore/>
      </w:pPr>
      <w:bookmarkStart w:id="617" w:name="_Toc13234044"/>
      <w:r w:rsidRPr="00097A86">
        <w:rPr>
          <w:rStyle w:val="CharPartNo"/>
        </w:rPr>
        <w:lastRenderedPageBreak/>
        <w:t>Part</w:t>
      </w:r>
      <w:r w:rsidR="00097A86">
        <w:rPr>
          <w:rStyle w:val="CharPartNo"/>
        </w:rPr>
        <w:t> </w:t>
      </w:r>
      <w:r w:rsidRPr="00097A86">
        <w:rPr>
          <w:rStyle w:val="CharPartNo"/>
        </w:rPr>
        <w:t>5.4</w:t>
      </w:r>
      <w:r w:rsidR="00D22D3F" w:rsidRPr="00097A86">
        <w:t>—</w:t>
      </w:r>
      <w:r w:rsidRPr="00097A86">
        <w:rPr>
          <w:rStyle w:val="CharPartText"/>
        </w:rPr>
        <w:t>Wastewater handling (industrial)</w:t>
      </w:r>
      <w:bookmarkEnd w:id="617"/>
    </w:p>
    <w:p w14:paraId="60047D1F" w14:textId="77777777" w:rsidR="003F0D4E" w:rsidRPr="00097A86" w:rsidRDefault="003F0D4E" w:rsidP="00D22D3F">
      <w:pPr>
        <w:pStyle w:val="ActHead3"/>
      </w:pPr>
      <w:bookmarkStart w:id="618" w:name="_Toc13234045"/>
      <w:r w:rsidRPr="00097A86">
        <w:rPr>
          <w:rStyle w:val="CharDivNo"/>
        </w:rPr>
        <w:t>Division</w:t>
      </w:r>
      <w:r w:rsidR="00097A86">
        <w:rPr>
          <w:rStyle w:val="CharDivNo"/>
        </w:rPr>
        <w:t> </w:t>
      </w:r>
      <w:r w:rsidRPr="00097A86">
        <w:rPr>
          <w:rStyle w:val="CharDivNo"/>
        </w:rPr>
        <w:t>5.4.1</w:t>
      </w:r>
      <w:r w:rsidR="00D22D3F" w:rsidRPr="00097A86">
        <w:t>—</w:t>
      </w:r>
      <w:r w:rsidRPr="00097A86">
        <w:rPr>
          <w:rStyle w:val="CharDivText"/>
        </w:rPr>
        <w:t>Preliminary</w:t>
      </w:r>
      <w:bookmarkEnd w:id="618"/>
    </w:p>
    <w:p w14:paraId="2740F60A" w14:textId="77777777" w:rsidR="002537A9" w:rsidRPr="00097A86" w:rsidRDefault="002537A9" w:rsidP="00D22D3F">
      <w:pPr>
        <w:pStyle w:val="ActHead5"/>
      </w:pPr>
      <w:bookmarkStart w:id="619" w:name="_Toc13234046"/>
      <w:r w:rsidRPr="00097A86">
        <w:rPr>
          <w:rStyle w:val="CharSectno"/>
        </w:rPr>
        <w:t>5.40</w:t>
      </w:r>
      <w:r w:rsidR="00D22D3F" w:rsidRPr="00097A86">
        <w:t xml:space="preserve">  </w:t>
      </w:r>
      <w:r w:rsidRPr="00097A86">
        <w:t>Application</w:t>
      </w:r>
      <w:bookmarkEnd w:id="619"/>
    </w:p>
    <w:p w14:paraId="022BA711" w14:textId="77777777" w:rsidR="0090313D" w:rsidRPr="00097A86" w:rsidRDefault="0090313D" w:rsidP="00D22D3F">
      <w:pPr>
        <w:pStyle w:val="subsection"/>
      </w:pPr>
      <w:r w:rsidRPr="00097A86">
        <w:tab/>
        <w:t>(1)</w:t>
      </w:r>
      <w:r w:rsidRPr="00097A86">
        <w:tab/>
        <w:t xml:space="preserve">This Part applies to emissions released from the decomposition of organic material and the flaring of sludge biogas, resulting from the handling of </w:t>
      </w:r>
      <w:r w:rsidR="003C667A" w:rsidRPr="00097A86">
        <w:t>industrial</w:t>
      </w:r>
      <w:r w:rsidRPr="00097A86">
        <w:t xml:space="preserve"> wastewater through treatment in wastewater collection and treatment systems.</w:t>
      </w:r>
    </w:p>
    <w:p w14:paraId="5FB4EAF3" w14:textId="77777777" w:rsidR="002537A9" w:rsidRPr="00097A86" w:rsidRDefault="002537A9" w:rsidP="00D22D3F">
      <w:pPr>
        <w:pStyle w:val="subsection"/>
      </w:pPr>
      <w:r w:rsidRPr="00097A86">
        <w:tab/>
        <w:t>(2)</w:t>
      </w:r>
      <w:r w:rsidRPr="00097A86">
        <w:tab/>
        <w:t xml:space="preserve">In this section, </w:t>
      </w:r>
      <w:r w:rsidRPr="00097A86">
        <w:rPr>
          <w:b/>
          <w:i/>
        </w:rPr>
        <w:t>industrial wastewater</w:t>
      </w:r>
      <w:r w:rsidRPr="00097A86">
        <w:t xml:space="preserve"> means liquid wastes and sludge resulting from the production of a commodity, by an industry, mentioned in </w:t>
      </w:r>
      <w:r w:rsidR="0058671F" w:rsidRPr="00097A86">
        <w:t>column 1</w:t>
      </w:r>
      <w:r w:rsidRPr="00097A86">
        <w:t xml:space="preserve"> of an item of the table in subsection</w:t>
      </w:r>
      <w:r w:rsidR="00097A86">
        <w:t> </w:t>
      </w:r>
      <w:r w:rsidRPr="00097A86">
        <w:t>5.42(8).</w:t>
      </w:r>
    </w:p>
    <w:p w14:paraId="3AA659D3" w14:textId="77777777" w:rsidR="003F0D4E" w:rsidRPr="00097A86" w:rsidRDefault="003F0D4E" w:rsidP="00D22D3F">
      <w:pPr>
        <w:pStyle w:val="ActHead5"/>
      </w:pPr>
      <w:bookmarkStart w:id="620" w:name="_Toc13234047"/>
      <w:r w:rsidRPr="00097A86">
        <w:rPr>
          <w:rStyle w:val="CharSectno"/>
        </w:rPr>
        <w:t>5.41</w:t>
      </w:r>
      <w:r w:rsidR="00D22D3F" w:rsidRPr="00097A86">
        <w:t xml:space="preserve">  </w:t>
      </w:r>
      <w:r w:rsidRPr="00097A86">
        <w:t>Available methods</w:t>
      </w:r>
      <w:bookmarkEnd w:id="620"/>
    </w:p>
    <w:p w14:paraId="1AD0D390" w14:textId="77777777" w:rsidR="003F0D4E" w:rsidRPr="00097A86" w:rsidRDefault="003F0D4E" w:rsidP="00D22D3F">
      <w:pPr>
        <w:pStyle w:val="subsection"/>
      </w:pPr>
      <w:r w:rsidRPr="00097A86">
        <w:tab/>
        <w:t>(1)</w:t>
      </w:r>
      <w:r w:rsidRPr="00097A86">
        <w:tab/>
        <w:t>Subject to section</w:t>
      </w:r>
      <w:r w:rsidR="00097A86">
        <w:t> </w:t>
      </w:r>
      <w:r w:rsidRPr="00097A86">
        <w:t xml:space="preserve">1.18 one of the following methods must be used for estimating emissions of methane released from the operation of a facility (other than by flaring of landfill gas containing methane) that is constituted by wastewater handling </w:t>
      </w:r>
      <w:r w:rsidR="009369D1" w:rsidRPr="00097A86">
        <w:t>generated by the relevant industries</w:t>
      </w:r>
      <w:r w:rsidRPr="00097A86">
        <w:t xml:space="preserve"> (the </w:t>
      </w:r>
      <w:r w:rsidRPr="00097A86">
        <w:rPr>
          <w:b/>
          <w:i/>
        </w:rPr>
        <w:t>plant)</w:t>
      </w:r>
      <w:r w:rsidRPr="00097A86">
        <w:t xml:space="preserve"> during a year:</w:t>
      </w:r>
    </w:p>
    <w:p w14:paraId="585101F8" w14:textId="77777777" w:rsidR="003F0D4E" w:rsidRPr="00097A86" w:rsidRDefault="003F0D4E" w:rsidP="00D22D3F">
      <w:pPr>
        <w:pStyle w:val="paragraph"/>
      </w:pPr>
      <w:r w:rsidRPr="00097A86">
        <w:tab/>
        <w:t>(a)</w:t>
      </w:r>
      <w:r w:rsidRPr="00097A86">
        <w:tab/>
        <w:t>method 1 under section</w:t>
      </w:r>
      <w:r w:rsidR="00097A86">
        <w:t> </w:t>
      </w:r>
      <w:r w:rsidRPr="00097A86">
        <w:t>5.42;</w:t>
      </w:r>
    </w:p>
    <w:p w14:paraId="36C56BF3" w14:textId="77777777" w:rsidR="003F0D4E" w:rsidRPr="00097A86" w:rsidRDefault="003F0D4E" w:rsidP="00D22D3F">
      <w:pPr>
        <w:pStyle w:val="paragraph"/>
      </w:pPr>
      <w:r w:rsidRPr="00097A86">
        <w:tab/>
        <w:t>(b)</w:t>
      </w:r>
      <w:r w:rsidRPr="00097A86">
        <w:tab/>
        <w:t>method 2 under section</w:t>
      </w:r>
      <w:r w:rsidR="00097A86">
        <w:t> </w:t>
      </w:r>
      <w:r w:rsidRPr="00097A86">
        <w:t>5.43;</w:t>
      </w:r>
    </w:p>
    <w:p w14:paraId="4ECB0F7C" w14:textId="77777777" w:rsidR="003F0D4E" w:rsidRPr="00097A86" w:rsidRDefault="003F0D4E" w:rsidP="00D22D3F">
      <w:pPr>
        <w:pStyle w:val="paragraph"/>
      </w:pPr>
      <w:r w:rsidRPr="00097A86">
        <w:tab/>
        <w:t>(c)</w:t>
      </w:r>
      <w:r w:rsidRPr="00097A86">
        <w:tab/>
        <w:t>method 3 under section</w:t>
      </w:r>
      <w:r w:rsidR="00097A86">
        <w:t> </w:t>
      </w:r>
      <w:r w:rsidRPr="00097A86">
        <w:t>5.47.</w:t>
      </w:r>
    </w:p>
    <w:p w14:paraId="5F1DE974" w14:textId="77777777" w:rsidR="003F0D4E" w:rsidRPr="00097A86" w:rsidRDefault="003F0D4E" w:rsidP="00D22D3F">
      <w:pPr>
        <w:pStyle w:val="subsection"/>
      </w:pPr>
      <w:r w:rsidRPr="00097A86">
        <w:tab/>
        <w:t>(2)</w:t>
      </w:r>
      <w:r w:rsidRPr="00097A86">
        <w:tab/>
        <w:t>Subject to section</w:t>
      </w:r>
      <w:r w:rsidR="00097A86">
        <w:t> </w:t>
      </w:r>
      <w:r w:rsidRPr="00097A86">
        <w:t>1.18, one of the following methods must also be used for estimating emissions of each gas type released as a result of methane in sludge biogas flared from the operation of the plant during a year:</w:t>
      </w:r>
    </w:p>
    <w:p w14:paraId="1991E614" w14:textId="77777777" w:rsidR="003F0D4E" w:rsidRPr="00097A86" w:rsidRDefault="003F0D4E" w:rsidP="00D22D3F">
      <w:pPr>
        <w:pStyle w:val="paragraph"/>
      </w:pPr>
      <w:r w:rsidRPr="00097A86">
        <w:tab/>
        <w:t>(a)</w:t>
      </w:r>
      <w:r w:rsidRPr="00097A86">
        <w:tab/>
        <w:t>method 1 under section</w:t>
      </w:r>
      <w:r w:rsidR="00097A86">
        <w:t> </w:t>
      </w:r>
      <w:r w:rsidRPr="00097A86">
        <w:t>5.48;</w:t>
      </w:r>
    </w:p>
    <w:p w14:paraId="0D344611" w14:textId="77777777" w:rsidR="003F0D4E" w:rsidRPr="00097A86" w:rsidRDefault="003F0D4E" w:rsidP="00D22D3F">
      <w:pPr>
        <w:pStyle w:val="paragraph"/>
      </w:pPr>
      <w:r w:rsidRPr="00097A86">
        <w:tab/>
        <w:t>(b)</w:t>
      </w:r>
      <w:r w:rsidRPr="00097A86">
        <w:tab/>
        <w:t>method 2 under section</w:t>
      </w:r>
      <w:r w:rsidR="00097A86">
        <w:t> </w:t>
      </w:r>
      <w:r w:rsidRPr="00097A86">
        <w:t>5.49;</w:t>
      </w:r>
    </w:p>
    <w:p w14:paraId="2970A184" w14:textId="77777777" w:rsidR="003F0D4E" w:rsidRPr="00097A86" w:rsidRDefault="003F0D4E" w:rsidP="00D22D3F">
      <w:pPr>
        <w:pStyle w:val="paragraph"/>
      </w:pPr>
      <w:r w:rsidRPr="00097A86">
        <w:tab/>
        <w:t>(c)</w:t>
      </w:r>
      <w:r w:rsidRPr="00097A86">
        <w:tab/>
        <w:t>method 3 under section</w:t>
      </w:r>
      <w:r w:rsidR="00097A86">
        <w:t> </w:t>
      </w:r>
      <w:r w:rsidRPr="00097A86">
        <w:t>5.50.</w:t>
      </w:r>
    </w:p>
    <w:p w14:paraId="60F1064A" w14:textId="77777777" w:rsidR="003F0D4E" w:rsidRPr="00097A86" w:rsidRDefault="003F0D4E" w:rsidP="00D22D3F">
      <w:pPr>
        <w:pStyle w:val="subsection"/>
      </w:pPr>
      <w:r w:rsidRPr="00097A86">
        <w:tab/>
        <w:t>(3)</w:t>
      </w:r>
      <w:r w:rsidRPr="00097A86">
        <w:tab/>
        <w:t xml:space="preserve">Under </w:t>
      </w:r>
      <w:r w:rsidR="00097A86">
        <w:t>subsection (</w:t>
      </w:r>
      <w:r w:rsidRPr="00097A86">
        <w:t>2), the same method must be used for estimating emissions of each gas type.</w:t>
      </w:r>
    </w:p>
    <w:p w14:paraId="198B2DB6" w14:textId="77777777" w:rsidR="003F0D4E" w:rsidRPr="00097A86" w:rsidRDefault="003F0D4E" w:rsidP="00D22D3F">
      <w:pPr>
        <w:pStyle w:val="subsection"/>
      </w:pPr>
      <w:r w:rsidRPr="00097A86">
        <w:tab/>
        <w:t>(4)</w:t>
      </w:r>
      <w:r w:rsidRPr="00097A86">
        <w:tab/>
        <w:t xml:space="preserve">For </w:t>
      </w:r>
      <w:r w:rsidR="008F5A20" w:rsidRPr="00097A86">
        <w:t>incidental emissions</w:t>
      </w:r>
      <w:r w:rsidRPr="00097A86">
        <w:t xml:space="preserve"> another method may be used that is consistent with the principles in section</w:t>
      </w:r>
      <w:r w:rsidR="00097A86">
        <w:t> </w:t>
      </w:r>
      <w:r w:rsidRPr="00097A86">
        <w:t>1.13.</w:t>
      </w:r>
    </w:p>
    <w:p w14:paraId="0B655704" w14:textId="77777777" w:rsidR="003F0D4E" w:rsidRPr="00097A86" w:rsidRDefault="00D22D3F" w:rsidP="00D22D3F">
      <w:pPr>
        <w:pStyle w:val="notetext"/>
      </w:pPr>
      <w:r w:rsidRPr="00097A86">
        <w:t>Note:</w:t>
      </w:r>
      <w:r w:rsidRPr="00097A86">
        <w:tab/>
      </w:r>
      <w:r w:rsidR="003F0D4E" w:rsidRPr="00097A86">
        <w:t xml:space="preserve">There is no method 4 for </w:t>
      </w:r>
      <w:r w:rsidR="00097A86">
        <w:t>subsection (</w:t>
      </w:r>
      <w:r w:rsidR="003F0D4E" w:rsidRPr="00097A86">
        <w:t>1) or (2).</w:t>
      </w:r>
    </w:p>
    <w:p w14:paraId="49C7FB43" w14:textId="77777777" w:rsidR="003F0D4E" w:rsidRPr="00097A86" w:rsidRDefault="003F0D4E" w:rsidP="00D22D3F">
      <w:pPr>
        <w:pStyle w:val="ActHead3"/>
        <w:pageBreakBefore/>
      </w:pPr>
      <w:bookmarkStart w:id="621" w:name="_Toc13234048"/>
      <w:r w:rsidRPr="00097A86">
        <w:rPr>
          <w:rStyle w:val="CharDivNo"/>
        </w:rPr>
        <w:lastRenderedPageBreak/>
        <w:t>Division</w:t>
      </w:r>
      <w:r w:rsidR="00097A86">
        <w:rPr>
          <w:rStyle w:val="CharDivNo"/>
        </w:rPr>
        <w:t> </w:t>
      </w:r>
      <w:r w:rsidRPr="00097A86">
        <w:rPr>
          <w:rStyle w:val="CharDivNo"/>
        </w:rPr>
        <w:t>5.4.2</w:t>
      </w:r>
      <w:r w:rsidR="00D22D3F" w:rsidRPr="00097A86">
        <w:t>—</w:t>
      </w:r>
      <w:r w:rsidRPr="00097A86">
        <w:rPr>
          <w:rStyle w:val="CharDivText"/>
        </w:rPr>
        <w:t>Method 1</w:t>
      </w:r>
      <w:r w:rsidR="00D22D3F" w:rsidRPr="00097A86">
        <w:rPr>
          <w:rStyle w:val="CharDivText"/>
        </w:rPr>
        <w:t>—</w:t>
      </w:r>
      <w:r w:rsidRPr="00097A86">
        <w:rPr>
          <w:rStyle w:val="CharDivText"/>
        </w:rPr>
        <w:t>methane released from wastewater handling (industrial)</w:t>
      </w:r>
      <w:bookmarkEnd w:id="621"/>
    </w:p>
    <w:p w14:paraId="17FF05C5" w14:textId="77777777" w:rsidR="003F0D4E" w:rsidRPr="00097A86" w:rsidRDefault="003F0D4E" w:rsidP="00D22D3F">
      <w:pPr>
        <w:pStyle w:val="ActHead5"/>
      </w:pPr>
      <w:bookmarkStart w:id="622" w:name="_Toc13234049"/>
      <w:r w:rsidRPr="00097A86">
        <w:rPr>
          <w:rStyle w:val="CharSectno"/>
        </w:rPr>
        <w:t>5.42</w:t>
      </w:r>
      <w:r w:rsidR="00D22D3F" w:rsidRPr="00097A86">
        <w:t xml:space="preserve">  </w:t>
      </w:r>
      <w:r w:rsidRPr="00097A86">
        <w:t>Method 1</w:t>
      </w:r>
      <w:r w:rsidR="00D22D3F" w:rsidRPr="00097A86">
        <w:t>—</w:t>
      </w:r>
      <w:r w:rsidRPr="00097A86">
        <w:t>methane released from wastewater handling (industrial)</w:t>
      </w:r>
      <w:bookmarkEnd w:id="622"/>
    </w:p>
    <w:p w14:paraId="2D8D1489" w14:textId="77777777" w:rsidR="003F0D4E" w:rsidRPr="00097A86" w:rsidRDefault="003F0D4E" w:rsidP="00D22D3F">
      <w:pPr>
        <w:pStyle w:val="subsection"/>
      </w:pPr>
      <w:r w:rsidRPr="00097A86">
        <w:tab/>
        <w:t>(1)</w:t>
      </w:r>
      <w:r w:rsidRPr="00097A86">
        <w:tab/>
        <w:t>For paragraph</w:t>
      </w:r>
      <w:r w:rsidR="00097A86">
        <w:t> </w:t>
      </w:r>
      <w:r w:rsidRPr="00097A86">
        <w:t>5.41(1)(a), method 1 is:</w:t>
      </w:r>
    </w:p>
    <w:p w14:paraId="18598791"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7B268D72" wp14:editId="110D3F1C">
            <wp:extent cx="2486025" cy="3238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486025" cy="323850"/>
                    </a:xfrm>
                    <a:prstGeom prst="rect">
                      <a:avLst/>
                    </a:prstGeom>
                    <a:noFill/>
                    <a:ln>
                      <a:noFill/>
                    </a:ln>
                  </pic:spPr>
                </pic:pic>
              </a:graphicData>
            </a:graphic>
          </wp:inline>
        </w:drawing>
      </w:r>
    </w:p>
    <w:p w14:paraId="3DB27734" w14:textId="77777777" w:rsidR="003F0D4E" w:rsidRPr="00097A86" w:rsidRDefault="003F0D4E" w:rsidP="00D22D3F">
      <w:pPr>
        <w:pStyle w:val="subsection2"/>
      </w:pPr>
      <w:r w:rsidRPr="00097A86">
        <w:t>where:</w:t>
      </w:r>
    </w:p>
    <w:p w14:paraId="0293E235" w14:textId="77777777" w:rsidR="003F0D4E" w:rsidRPr="00097A86" w:rsidRDefault="003F0D4E" w:rsidP="00D22D3F">
      <w:pPr>
        <w:pStyle w:val="Definition"/>
      </w:pPr>
      <w:r w:rsidRPr="00097A86">
        <w:rPr>
          <w:b/>
          <w:i/>
        </w:rPr>
        <w:t>E</w:t>
      </w:r>
      <w:r w:rsidRPr="00097A86">
        <w:rPr>
          <w:rStyle w:val="charSubscript"/>
          <w:b/>
          <w:i/>
        </w:rPr>
        <w:t>j</w:t>
      </w:r>
      <w:r w:rsidRPr="00097A86">
        <w:rPr>
          <w:b/>
          <w:i/>
        </w:rPr>
        <w:t xml:space="preserve"> </w:t>
      </w:r>
      <w:r w:rsidRPr="00097A86">
        <w:t>is the emissions of methane released from the plant during the year measured in CO</w:t>
      </w:r>
      <w:r w:rsidRPr="00097A86">
        <w:rPr>
          <w:vertAlign w:val="subscript"/>
        </w:rPr>
        <w:t>2</w:t>
      </w:r>
      <w:r w:rsidR="00097A86">
        <w:noBreakHyphen/>
      </w:r>
      <w:r w:rsidRPr="00097A86">
        <w:t>e tonnes.</w:t>
      </w:r>
    </w:p>
    <w:p w14:paraId="7E59B656" w14:textId="77777777" w:rsidR="003F0D4E" w:rsidRPr="00097A86" w:rsidRDefault="003F0D4E" w:rsidP="00D22D3F">
      <w:pPr>
        <w:pStyle w:val="Definition"/>
      </w:pPr>
      <w:r w:rsidRPr="00097A86">
        <w:rPr>
          <w:b/>
          <w:i/>
        </w:rPr>
        <w:t>CH</w:t>
      </w:r>
      <w:r w:rsidRPr="00097A86">
        <w:rPr>
          <w:b/>
          <w:i/>
          <w:vertAlign w:val="subscript"/>
        </w:rPr>
        <w:t>4</w:t>
      </w:r>
      <w:r w:rsidR="00097A86" w:rsidRPr="00097A86">
        <w:rPr>
          <w:b/>
          <w:i/>
          <w:position w:val="6"/>
          <w:sz w:val="16"/>
          <w:vertAlign w:val="superscript"/>
        </w:rPr>
        <w:t>*</w:t>
      </w:r>
      <w:r w:rsidRPr="00097A86">
        <w:rPr>
          <w:b/>
          <w:i/>
          <w:vertAlign w:val="superscript"/>
        </w:rPr>
        <w:t xml:space="preserve"> </w:t>
      </w:r>
      <w:r w:rsidRPr="00097A86">
        <w:t>is the estimated quantity of methane in sludge biogas generated by the plant during the year measured in CO</w:t>
      </w:r>
      <w:r w:rsidRPr="00097A86">
        <w:rPr>
          <w:vertAlign w:val="subscript"/>
        </w:rPr>
        <w:t>2</w:t>
      </w:r>
      <w:r w:rsidR="00097A86">
        <w:noBreakHyphen/>
      </w:r>
      <w:r w:rsidRPr="00097A86">
        <w:t xml:space="preserve">e tonnes as determined under </w:t>
      </w:r>
      <w:r w:rsidR="00097A86">
        <w:t>subsections (</w:t>
      </w:r>
      <w:r w:rsidRPr="00097A86">
        <w:t>2) and (3).</w:t>
      </w:r>
    </w:p>
    <w:p w14:paraId="52B4EC17" w14:textId="77777777" w:rsidR="003F0D4E" w:rsidRPr="00097A86" w:rsidRDefault="003F0D4E" w:rsidP="00D22D3F">
      <w:pPr>
        <w:pStyle w:val="Definition"/>
      </w:pPr>
      <w:r w:rsidRPr="00097A86">
        <w:rPr>
          <w:b/>
          <w:i/>
        </w:rPr>
        <w:t xml:space="preserve">γ </w:t>
      </w:r>
      <w:r w:rsidRPr="00097A86">
        <w:t>is the factor 6.784 × 10</w:t>
      </w:r>
      <w:r w:rsidR="00097A86">
        <w:rPr>
          <w:vertAlign w:val="superscript"/>
        </w:rPr>
        <w:noBreakHyphen/>
      </w:r>
      <w:r w:rsidRPr="00097A86">
        <w:rPr>
          <w:vertAlign w:val="superscript"/>
        </w:rPr>
        <w:t>4.</w:t>
      </w:r>
      <w:r w:rsidRPr="00097A86">
        <w:t xml:space="preserve">×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01D22007" w14:textId="77777777" w:rsidR="003F0D4E" w:rsidRPr="00097A86" w:rsidRDefault="003F0D4E"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sludge biogas captured for combustion for the plant during the year measured in cubic metres in accordance with Division</w:t>
      </w:r>
      <w:r w:rsidR="00097A86">
        <w:t> </w:t>
      </w:r>
      <w:r w:rsidRPr="00097A86">
        <w:t>2.3.6.</w:t>
      </w:r>
    </w:p>
    <w:p w14:paraId="75234EB5"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sludge biogas flared by the plant during the year measured in cubic metres in accordance with Division</w:t>
      </w:r>
      <w:r w:rsidR="00097A86">
        <w:t> </w:t>
      </w:r>
      <w:r w:rsidRPr="00097A86">
        <w:t>2.3.6.</w:t>
      </w:r>
    </w:p>
    <w:p w14:paraId="668F6F5D" w14:textId="77777777" w:rsidR="003F0D4E" w:rsidRPr="00097A86" w:rsidRDefault="003F0D4E" w:rsidP="00D22D3F">
      <w:pPr>
        <w:pStyle w:val="Definition"/>
      </w:pPr>
      <w:r w:rsidRPr="00097A86">
        <w:rPr>
          <w:b/>
          <w:i/>
        </w:rPr>
        <w:t>Q</w:t>
      </w:r>
      <w:r w:rsidRPr="00097A86">
        <w:rPr>
          <w:b/>
          <w:i/>
          <w:vertAlign w:val="subscript"/>
        </w:rPr>
        <w:t>tr</w:t>
      </w:r>
      <w:r w:rsidRPr="00097A86">
        <w:rPr>
          <w:b/>
          <w:i/>
        </w:rPr>
        <w:t xml:space="preserve"> </w:t>
      </w:r>
      <w:r w:rsidRPr="00097A86">
        <w:t>is the quantity of methane in sludge biogas transferred out of the plant during the year measured in cubic metres in accordance with Division</w:t>
      </w:r>
      <w:r w:rsidR="00097A86">
        <w:t> </w:t>
      </w:r>
      <w:r w:rsidRPr="00097A86">
        <w:t>2.3.6.</w:t>
      </w:r>
    </w:p>
    <w:p w14:paraId="27B02C10" w14:textId="77777777" w:rsidR="007B23C9" w:rsidRPr="00097A86" w:rsidRDefault="007B23C9" w:rsidP="00D22D3F">
      <w:pPr>
        <w:pStyle w:val="subsection"/>
      </w:pPr>
      <w:r w:rsidRPr="00097A86">
        <w:tab/>
        <w:t>(2)</w:t>
      </w:r>
      <w:r w:rsidRPr="00097A86">
        <w:tab/>
        <w:t xml:space="preserve">For </w:t>
      </w:r>
      <w:r w:rsidR="00097A86">
        <w:t>subsection (</w:t>
      </w:r>
      <w:r w:rsidRPr="00097A86">
        <w:t>1), if:</w:t>
      </w:r>
    </w:p>
    <w:p w14:paraId="2C971D28" w14:textId="77777777" w:rsidR="007B23C9" w:rsidRPr="00097A86" w:rsidRDefault="00D22D3F" w:rsidP="00D22D3F">
      <w:pPr>
        <w:pStyle w:val="subsection"/>
        <w:spacing w:before="120" w:after="120"/>
      </w:pPr>
      <w:r w:rsidRPr="00097A86">
        <w:tab/>
      </w:r>
      <w:r w:rsidRPr="00097A86">
        <w:tab/>
      </w:r>
      <w:r w:rsidR="009E1F90">
        <w:rPr>
          <w:noProof/>
        </w:rPr>
        <w:drawing>
          <wp:inline distT="0" distB="0" distL="0" distR="0" wp14:anchorId="443ACFD7" wp14:editId="1F444D90">
            <wp:extent cx="1485900" cy="495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3C465BFA" w14:textId="77777777" w:rsidR="007B23C9" w:rsidRPr="00097A86" w:rsidRDefault="007B23C9" w:rsidP="00D22D3F">
      <w:pPr>
        <w:pStyle w:val="subsection2"/>
      </w:pPr>
      <w:r w:rsidRPr="00097A86">
        <w:t>is less than or equal to 0.75, then:</w:t>
      </w:r>
    </w:p>
    <w:p w14:paraId="7243547E" w14:textId="77777777" w:rsidR="007B23C9" w:rsidRPr="00097A86" w:rsidRDefault="009E1F90" w:rsidP="00D22D3F">
      <w:pPr>
        <w:pStyle w:val="subsection2"/>
        <w:spacing w:before="120" w:after="120"/>
      </w:pPr>
      <w:r>
        <w:rPr>
          <w:noProof/>
        </w:rPr>
        <w:drawing>
          <wp:inline distT="0" distB="0" distL="0" distR="0" wp14:anchorId="1A605AB7" wp14:editId="7D84EA4E">
            <wp:extent cx="1000125" cy="2476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14:paraId="1C0D5B57" w14:textId="77777777" w:rsidR="007B23C9" w:rsidRPr="00097A86" w:rsidRDefault="007B23C9" w:rsidP="00D22D3F">
      <w:pPr>
        <w:pStyle w:val="subsection2"/>
      </w:pPr>
      <w:r w:rsidRPr="00097A86">
        <w:t>where:</w:t>
      </w:r>
    </w:p>
    <w:p w14:paraId="4775CBEE" w14:textId="77777777" w:rsidR="007B23C9" w:rsidRPr="00097A86" w:rsidRDefault="007B23C9" w:rsidP="00D22D3F">
      <w:pPr>
        <w:pStyle w:val="Definition"/>
      </w:pPr>
      <w:r w:rsidRPr="00097A86">
        <w:rPr>
          <w:b/>
          <w:i/>
        </w:rPr>
        <w:t>CH</w:t>
      </w:r>
      <w:r w:rsidRPr="00097A86">
        <w:rPr>
          <w:b/>
          <w:i/>
          <w:vertAlign w:val="subscript"/>
        </w:rPr>
        <w:t>4gen</w:t>
      </w:r>
      <w:r w:rsidRPr="00097A86">
        <w:rPr>
          <w:b/>
          <w:i/>
        </w:rPr>
        <w:t xml:space="preserve"> </w:t>
      </w:r>
      <w:r w:rsidRPr="00097A86">
        <w:t xml:space="preserve">is the quantity of methane in sludge biogas produced by the plant during the year, estimated in accordance with </w:t>
      </w:r>
      <w:r w:rsidR="00097A86">
        <w:t>subsection (</w:t>
      </w:r>
      <w:r w:rsidRPr="00097A86">
        <w:t>5) and measured in CO</w:t>
      </w:r>
      <w:r w:rsidRPr="00097A86">
        <w:rPr>
          <w:vertAlign w:val="subscript"/>
        </w:rPr>
        <w:t>2</w:t>
      </w:r>
      <w:r w:rsidR="00097A86">
        <w:noBreakHyphen/>
      </w:r>
      <w:r w:rsidRPr="00097A86">
        <w:t>e tonnes.</w:t>
      </w:r>
    </w:p>
    <w:p w14:paraId="0D1D5390" w14:textId="77777777" w:rsidR="007B23C9" w:rsidRPr="00097A86" w:rsidRDefault="007B23C9" w:rsidP="00D22D3F">
      <w:pPr>
        <w:pStyle w:val="subsection"/>
      </w:pPr>
      <w:r w:rsidRPr="00097A86">
        <w:tab/>
        <w:t>(3)</w:t>
      </w:r>
      <w:r w:rsidRPr="00097A86">
        <w:tab/>
        <w:t xml:space="preserve">For </w:t>
      </w:r>
      <w:r w:rsidR="00097A86">
        <w:t>subsection (</w:t>
      </w:r>
      <w:r w:rsidRPr="00097A86">
        <w:t>1), if:</w:t>
      </w:r>
    </w:p>
    <w:p w14:paraId="391B7695" w14:textId="77777777" w:rsidR="007B23C9" w:rsidRPr="00097A86" w:rsidRDefault="00D22D3F" w:rsidP="00D22D3F">
      <w:pPr>
        <w:pStyle w:val="subsection"/>
        <w:spacing w:before="120" w:after="120"/>
      </w:pPr>
      <w:r w:rsidRPr="00097A86">
        <w:tab/>
      </w:r>
      <w:r w:rsidRPr="00097A86">
        <w:tab/>
      </w:r>
      <w:r w:rsidR="009E1F90">
        <w:rPr>
          <w:noProof/>
        </w:rPr>
        <w:drawing>
          <wp:inline distT="0" distB="0" distL="0" distR="0" wp14:anchorId="6F1DABA4" wp14:editId="604EB5C7">
            <wp:extent cx="1485900" cy="495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14:paraId="6DA0FF9A" w14:textId="77777777" w:rsidR="007B23C9" w:rsidRPr="00097A86" w:rsidRDefault="007B23C9" w:rsidP="00D22D3F">
      <w:pPr>
        <w:pStyle w:val="subsection2"/>
      </w:pPr>
      <w:r w:rsidRPr="00097A86">
        <w:t>is greater than 0.75, then:</w:t>
      </w:r>
    </w:p>
    <w:p w14:paraId="547AB01A" w14:textId="77777777" w:rsidR="007B23C9" w:rsidRPr="00097A86" w:rsidRDefault="009E1F90" w:rsidP="00D22D3F">
      <w:pPr>
        <w:pStyle w:val="subsection2"/>
        <w:spacing w:before="120" w:after="120"/>
      </w:pPr>
      <w:r>
        <w:rPr>
          <w:noProof/>
        </w:rPr>
        <w:lastRenderedPageBreak/>
        <w:drawing>
          <wp:inline distT="0" distB="0" distL="0" distR="0" wp14:anchorId="46A06F3B" wp14:editId="13D7FF68">
            <wp:extent cx="2581275" cy="4191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81275" cy="419100"/>
                    </a:xfrm>
                    <a:prstGeom prst="rect">
                      <a:avLst/>
                    </a:prstGeom>
                    <a:noFill/>
                    <a:ln>
                      <a:noFill/>
                    </a:ln>
                  </pic:spPr>
                </pic:pic>
              </a:graphicData>
            </a:graphic>
          </wp:inline>
        </w:drawing>
      </w:r>
    </w:p>
    <w:p w14:paraId="01C2CAB6" w14:textId="77777777" w:rsidR="007B23C9" w:rsidRPr="00097A86" w:rsidRDefault="007B23C9" w:rsidP="00D22D3F">
      <w:pPr>
        <w:pStyle w:val="subsection2"/>
      </w:pPr>
      <w:r w:rsidRPr="00097A86">
        <w:t>where:</w:t>
      </w:r>
    </w:p>
    <w:p w14:paraId="28E765DC" w14:textId="77777777" w:rsidR="007B23C9" w:rsidRPr="00097A86" w:rsidRDefault="007B23C9" w:rsidP="00D22D3F">
      <w:pPr>
        <w:pStyle w:val="Definition"/>
      </w:pPr>
      <w:r w:rsidRPr="00097A86">
        <w:rPr>
          <w:b/>
          <w:i/>
        </w:rPr>
        <w:t xml:space="preserve">γ </w:t>
      </w:r>
      <w:r w:rsidRPr="00097A86">
        <w:t>is the factor 6.784 x 10</w:t>
      </w:r>
      <w:r w:rsidR="00097A86">
        <w:rPr>
          <w:vertAlign w:val="superscript"/>
        </w:rPr>
        <w:noBreakHyphen/>
      </w:r>
      <w:r w:rsidRPr="00097A86">
        <w:rPr>
          <w:vertAlign w:val="superscript"/>
        </w:rPr>
        <w:t xml:space="preserve">4 </w:t>
      </w:r>
      <w:r w:rsidRPr="00097A86">
        <w:t xml:space="preserve">x </w:t>
      </w:r>
      <w:r w:rsidR="00B25EE5" w:rsidRPr="00097A86">
        <w:t>25</w:t>
      </w:r>
      <w:r w:rsidRPr="00097A86">
        <w:t xml:space="preserve"> converting cubic metres of methane at standard conditions to CO</w:t>
      </w:r>
      <w:r w:rsidRPr="00097A86">
        <w:rPr>
          <w:vertAlign w:val="subscript"/>
        </w:rPr>
        <w:t>2</w:t>
      </w:r>
      <w:r w:rsidR="00097A86">
        <w:noBreakHyphen/>
      </w:r>
      <w:r w:rsidRPr="00097A86">
        <w:t>e tonnes.</w:t>
      </w:r>
    </w:p>
    <w:p w14:paraId="503B762D" w14:textId="77777777" w:rsidR="007B23C9" w:rsidRPr="00097A86" w:rsidRDefault="007B23C9" w:rsidP="00D22D3F">
      <w:pPr>
        <w:pStyle w:val="Definition"/>
      </w:pPr>
      <w:r w:rsidRPr="00097A86">
        <w:rPr>
          <w:b/>
          <w:i/>
        </w:rPr>
        <w:t>Q</w:t>
      </w:r>
      <w:r w:rsidRPr="00097A86">
        <w:rPr>
          <w:b/>
          <w:i/>
          <w:vertAlign w:val="subscript"/>
        </w:rPr>
        <w:t>cap</w:t>
      </w:r>
      <w:r w:rsidRPr="00097A86">
        <w:rPr>
          <w:b/>
          <w:i/>
        </w:rPr>
        <w:t xml:space="preserve"> </w:t>
      </w:r>
      <w:r w:rsidRPr="00097A86">
        <w:t>is the quantity of methane in sludge biogas captured for combustion for the operation of the plant measured in cubic metres.</w:t>
      </w:r>
    </w:p>
    <w:p w14:paraId="1431713F" w14:textId="77777777" w:rsidR="003F0D4E" w:rsidRPr="00097A86" w:rsidRDefault="003F0D4E" w:rsidP="00D22D3F">
      <w:pPr>
        <w:pStyle w:val="subsection"/>
      </w:pPr>
      <w:r w:rsidRPr="00097A86">
        <w:tab/>
        <w:t>(4)</w:t>
      </w:r>
      <w:r w:rsidRPr="00097A86">
        <w:tab/>
        <w:t xml:space="preserve">For </w:t>
      </w:r>
      <w:r w:rsidR="00097A86">
        <w:t>subsections (</w:t>
      </w:r>
      <w:r w:rsidRPr="00097A86">
        <w:t xml:space="preserve">1) and (3), </w:t>
      </w:r>
      <w:r w:rsidRPr="00097A86">
        <w:rPr>
          <w:b/>
          <w:i/>
        </w:rPr>
        <w:t>Q</w:t>
      </w:r>
      <w:r w:rsidRPr="00097A86">
        <w:rPr>
          <w:b/>
          <w:i/>
          <w:vertAlign w:val="subscript"/>
        </w:rPr>
        <w:t>cap</w:t>
      </w:r>
      <w:r w:rsidRPr="00097A86">
        <w:rPr>
          <w:i/>
        </w:rPr>
        <w:t xml:space="preserve"> </w:t>
      </w:r>
      <w:r w:rsidRPr="00097A86">
        <w:t>is to be calculated in accordance with Division</w:t>
      </w:r>
      <w:r w:rsidR="00097A86">
        <w:t> </w:t>
      </w:r>
      <w:r w:rsidRPr="00097A86">
        <w:t>2.3.6.</w:t>
      </w:r>
    </w:p>
    <w:p w14:paraId="47D229A5" w14:textId="77777777" w:rsidR="003F0D4E" w:rsidRPr="00097A86" w:rsidRDefault="003F0D4E" w:rsidP="00D22D3F">
      <w:pPr>
        <w:pStyle w:val="subsection"/>
      </w:pPr>
      <w:r w:rsidRPr="00097A86">
        <w:tab/>
        <w:t>(5)</w:t>
      </w:r>
      <w:r w:rsidRPr="00097A86">
        <w:tab/>
        <w:t xml:space="preserve">For </w:t>
      </w:r>
      <w:r w:rsidR="00097A86">
        <w:t>subsection (</w:t>
      </w:r>
      <w:r w:rsidRPr="00097A86">
        <w:t xml:space="preserve">2) the factor </w:t>
      </w:r>
      <w:r w:rsidRPr="00097A86">
        <w:rPr>
          <w:b/>
          <w:i/>
        </w:rPr>
        <w:t>CH</w:t>
      </w:r>
      <w:r w:rsidRPr="00097A86">
        <w:rPr>
          <w:b/>
          <w:i/>
          <w:vertAlign w:val="subscript"/>
        </w:rPr>
        <w:t>4gen</w:t>
      </w:r>
      <w:r w:rsidRPr="00097A86">
        <w:t xml:space="preserve"> is estimated as follows:</w:t>
      </w:r>
    </w:p>
    <w:p w14:paraId="64947BC7" w14:textId="77777777" w:rsidR="001D1FAA" w:rsidRPr="00097A86" w:rsidRDefault="001D1FAA" w:rsidP="001D1FAA">
      <w:pPr>
        <w:pStyle w:val="subsection2"/>
      </w:pPr>
      <w:r w:rsidRPr="00097A86">
        <w:rPr>
          <w:position w:val="-50"/>
        </w:rPr>
        <w:object w:dxaOrig="5679" w:dyaOrig="1100" w14:anchorId="606DEB82">
          <v:shape id="_x0000_i1073" type="#_x0000_t75" style="width:239.25pt;height:45.75pt" o:ole="">
            <v:imagedata r:id="rId269" o:title=""/>
          </v:shape>
          <o:OLEObject Type="Embed" ProgID="Equation.DSMT4" ShapeID="_x0000_i1073" DrawAspect="Content" ObjectID="_1624711077" r:id="rId270"/>
        </w:object>
      </w:r>
    </w:p>
    <w:p w14:paraId="2F5D5D28" w14:textId="77777777" w:rsidR="003F0D4E" w:rsidRPr="00097A86" w:rsidRDefault="003F0D4E" w:rsidP="00D22D3F">
      <w:pPr>
        <w:pStyle w:val="subsection2"/>
      </w:pPr>
      <w:r w:rsidRPr="00097A86">
        <w:t>where:</w:t>
      </w:r>
    </w:p>
    <w:p w14:paraId="2BCB9588" w14:textId="77777777" w:rsidR="001D1FAA" w:rsidRPr="00097A86" w:rsidRDefault="001D1FAA" w:rsidP="001D1FAA">
      <w:pPr>
        <w:pStyle w:val="Definition"/>
      </w:pPr>
      <w:r w:rsidRPr="00097A86">
        <w:rPr>
          <w:b/>
          <w:i/>
        </w:rPr>
        <w:t>Σ</w:t>
      </w:r>
      <w:r w:rsidRPr="00097A86">
        <w:rPr>
          <w:b/>
          <w:i/>
          <w:vertAlign w:val="subscript"/>
        </w:rPr>
        <w:t>w,i</w:t>
      </w:r>
      <w:r w:rsidRPr="00097A86">
        <w:rPr>
          <w:b/>
          <w:i/>
        </w:rPr>
        <w:t xml:space="preserve"> </w:t>
      </w:r>
      <w:r w:rsidRPr="00097A86">
        <w:t xml:space="preserve">is the total </w:t>
      </w:r>
      <w:r w:rsidRPr="00097A86">
        <w:rPr>
          <w:b/>
          <w:i/>
        </w:rPr>
        <w:t>COD</w:t>
      </w:r>
      <w:r w:rsidRPr="00097A86">
        <w:rPr>
          <w:b/>
          <w:i/>
          <w:vertAlign w:val="subscript"/>
        </w:rPr>
        <w:t>w,i</w:t>
      </w:r>
      <w:r w:rsidRPr="00097A86">
        <w:rPr>
          <w:b/>
          <w:i/>
        </w:rPr>
        <w:t xml:space="preserve"> </w:t>
      </w:r>
      <w:r w:rsidRPr="00097A86">
        <w:t>of wastewater entering the plant.</w:t>
      </w:r>
    </w:p>
    <w:p w14:paraId="3C345F9E" w14:textId="77777777" w:rsidR="003F0D4E" w:rsidRPr="00097A86" w:rsidRDefault="003F0D4E" w:rsidP="00D22D3F">
      <w:pPr>
        <w:pStyle w:val="Definition"/>
      </w:pPr>
      <w:r w:rsidRPr="00097A86">
        <w:rPr>
          <w:b/>
          <w:i/>
        </w:rPr>
        <w:t>COD</w:t>
      </w:r>
      <w:r w:rsidRPr="00097A86">
        <w:rPr>
          <w:rStyle w:val="charSubscript"/>
          <w:b/>
          <w:i/>
        </w:rPr>
        <w:t>w,i</w:t>
      </w:r>
      <w:r w:rsidRPr="00097A86">
        <w:rPr>
          <w:b/>
          <w:i/>
          <w:vertAlign w:val="subscript"/>
        </w:rPr>
        <w:t xml:space="preserve"> </w:t>
      </w:r>
      <w:r w:rsidRPr="00097A86">
        <w:t xml:space="preserve">is the COD in wastewater entering the plant related to the production by the plant of any commodity mentioned in </w:t>
      </w:r>
      <w:r w:rsidR="00D01C77" w:rsidRPr="00097A86">
        <w:t>column 1</w:t>
      </w:r>
      <w:r w:rsidRPr="00097A86">
        <w:t xml:space="preserve"> of the table in </w:t>
      </w:r>
      <w:r w:rsidR="00097A86">
        <w:t>subsection (</w:t>
      </w:r>
      <w:r w:rsidRPr="00097A86">
        <w:t>8) during the year measured in tonnes of COD, worked out as follows:</w:t>
      </w:r>
    </w:p>
    <w:p w14:paraId="404508BD" w14:textId="77777777" w:rsidR="003F0D4E" w:rsidRPr="00097A86" w:rsidRDefault="009E1F90" w:rsidP="00D22D3F">
      <w:pPr>
        <w:pStyle w:val="Definition"/>
        <w:spacing w:before="120" w:after="120"/>
      </w:pPr>
      <w:r>
        <w:rPr>
          <w:noProof/>
        </w:rPr>
        <w:drawing>
          <wp:inline distT="0" distB="0" distL="0" distR="0" wp14:anchorId="73F0B2F0" wp14:editId="740DA3C9">
            <wp:extent cx="2371725" cy="40957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p>
    <w:p w14:paraId="336D1A6B" w14:textId="77777777" w:rsidR="003F0D4E" w:rsidRPr="00097A86" w:rsidRDefault="003F0D4E" w:rsidP="00DA24D4">
      <w:pPr>
        <w:pStyle w:val="Definition"/>
        <w:ind w:left="1701"/>
      </w:pPr>
      <w:r w:rsidRPr="00097A86">
        <w:t>where:</w:t>
      </w:r>
    </w:p>
    <w:p w14:paraId="7B9B59F4" w14:textId="77777777" w:rsidR="009369D1" w:rsidRPr="00097A86" w:rsidRDefault="009369D1" w:rsidP="00DA24D4">
      <w:pPr>
        <w:pStyle w:val="Definition"/>
        <w:ind w:left="1701"/>
      </w:pPr>
      <w:r w:rsidRPr="00097A86">
        <w:rPr>
          <w:b/>
          <w:bCs/>
          <w:i/>
          <w:iCs/>
        </w:rPr>
        <w:t>Prod</w:t>
      </w:r>
      <w:r w:rsidRPr="00097A86">
        <w:rPr>
          <w:b/>
          <w:bCs/>
          <w:i/>
          <w:iCs/>
          <w:vertAlign w:val="subscript"/>
        </w:rPr>
        <w:t xml:space="preserve">i </w:t>
      </w:r>
      <w:r w:rsidRPr="00097A86">
        <w:t>has the meaning given by the table in subsection</w:t>
      </w:r>
      <w:r w:rsidR="00097A86">
        <w:t> </w:t>
      </w:r>
      <w:r w:rsidR="00DA24D4" w:rsidRPr="00097A86">
        <w:t>5.42</w:t>
      </w:r>
      <w:r w:rsidRPr="00097A86">
        <w:t>(9).</w:t>
      </w:r>
    </w:p>
    <w:p w14:paraId="11D6D2BD" w14:textId="77777777" w:rsidR="003F0D4E" w:rsidRPr="00097A86" w:rsidRDefault="003F0D4E" w:rsidP="00DA24D4">
      <w:pPr>
        <w:pStyle w:val="Definition"/>
        <w:ind w:left="1701"/>
      </w:pPr>
      <w:r w:rsidRPr="00097A86">
        <w:rPr>
          <w:b/>
          <w:i/>
        </w:rPr>
        <w:t>W</w:t>
      </w:r>
      <w:r w:rsidRPr="00097A86">
        <w:rPr>
          <w:b/>
          <w:i/>
          <w:vertAlign w:val="subscript"/>
        </w:rPr>
        <w:t xml:space="preserve">gen,i </w:t>
      </w:r>
      <w:r w:rsidRPr="00097A86">
        <w:t xml:space="preserve">is the wastewater generation rate from the production of any commodity mentioned in </w:t>
      </w:r>
      <w:r w:rsidR="00D01C77" w:rsidRPr="00097A86">
        <w:t>column 1</w:t>
      </w:r>
      <w:r w:rsidRPr="00097A86">
        <w:t xml:space="preserve"> of the table in </w:t>
      </w:r>
      <w:r w:rsidR="00097A86">
        <w:t>subsection (</w:t>
      </w:r>
      <w:r w:rsidRPr="00097A86">
        <w:t>8) produced during the year and measured in cubic metres or kilolitres per tonne of commodity.</w:t>
      </w:r>
    </w:p>
    <w:p w14:paraId="795F621E" w14:textId="77777777" w:rsidR="003F0D4E" w:rsidRPr="00097A86" w:rsidRDefault="003F0D4E" w:rsidP="00DA24D4">
      <w:pPr>
        <w:pStyle w:val="Definition"/>
        <w:ind w:left="1701"/>
      </w:pPr>
      <w:r w:rsidRPr="00097A86">
        <w:rPr>
          <w:b/>
          <w:i/>
        </w:rPr>
        <w:t>COD</w:t>
      </w:r>
      <w:r w:rsidRPr="00097A86">
        <w:rPr>
          <w:rStyle w:val="charSubscript"/>
          <w:b/>
          <w:i/>
        </w:rPr>
        <w:t>con,i</w:t>
      </w:r>
      <w:r w:rsidRPr="00097A86">
        <w:rPr>
          <w:b/>
          <w:i/>
          <w:vertAlign w:val="subscript"/>
        </w:rPr>
        <w:t xml:space="preserve"> </w:t>
      </w:r>
      <w:r w:rsidRPr="00097A86">
        <w:t xml:space="preserve">is the COD concentration in kilograms of COD per cubic metre of wastewater entering the plant during the year from the production of any commodity mentioned in </w:t>
      </w:r>
      <w:r w:rsidR="00D01C77" w:rsidRPr="00097A86">
        <w:t>column 1</w:t>
      </w:r>
      <w:r w:rsidRPr="00097A86">
        <w:t xml:space="preserve"> of the table in </w:t>
      </w:r>
      <w:r w:rsidR="00097A86">
        <w:t>subsection (</w:t>
      </w:r>
      <w:r w:rsidRPr="00097A86">
        <w:t>8).</w:t>
      </w:r>
    </w:p>
    <w:p w14:paraId="5B440159" w14:textId="77777777" w:rsidR="003F0D4E" w:rsidRPr="00097A86" w:rsidRDefault="003F0D4E" w:rsidP="00D22D3F">
      <w:pPr>
        <w:pStyle w:val="Definition"/>
      </w:pPr>
      <w:r w:rsidRPr="00097A86">
        <w:rPr>
          <w:b/>
          <w:i/>
        </w:rPr>
        <w:t>COD</w:t>
      </w:r>
      <w:r w:rsidRPr="00097A86">
        <w:rPr>
          <w:rStyle w:val="charSubscript"/>
          <w:b/>
          <w:i/>
        </w:rPr>
        <w:t xml:space="preserve">sl </w:t>
      </w:r>
      <w:r w:rsidRPr="00097A86">
        <w:t>is the quantity of COD removed as sludge from wastewater during the year measured in tonnes of COD</w:t>
      </w:r>
      <w:r w:rsidRPr="00097A86">
        <w:rPr>
          <w:b/>
          <w:i/>
        </w:rPr>
        <w:t xml:space="preserve">, </w:t>
      </w:r>
      <w:r w:rsidRPr="00097A86">
        <w:t>worked out as follows:</w:t>
      </w:r>
    </w:p>
    <w:p w14:paraId="5AF49543" w14:textId="77777777" w:rsidR="003F0D4E" w:rsidRPr="00097A86" w:rsidRDefault="009E1F90" w:rsidP="00D22D3F">
      <w:pPr>
        <w:pStyle w:val="Definition"/>
        <w:spacing w:before="120" w:after="120"/>
      </w:pPr>
      <w:r>
        <w:rPr>
          <w:noProof/>
        </w:rPr>
        <w:drawing>
          <wp:inline distT="0" distB="0" distL="0" distR="0" wp14:anchorId="4A5146F0" wp14:editId="2B1B34D6">
            <wp:extent cx="1409700" cy="23812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14:paraId="740F14B0" w14:textId="77777777" w:rsidR="003F0D4E" w:rsidRPr="00097A86" w:rsidRDefault="003F0D4E" w:rsidP="00DA24D4">
      <w:pPr>
        <w:pStyle w:val="subsection2"/>
        <w:ind w:left="1701"/>
      </w:pPr>
      <w:r w:rsidRPr="00097A86">
        <w:t>where:</w:t>
      </w:r>
    </w:p>
    <w:p w14:paraId="01998C9E" w14:textId="77777777" w:rsidR="003F0D4E" w:rsidRPr="00097A86" w:rsidRDefault="003F0D4E" w:rsidP="00DA24D4">
      <w:pPr>
        <w:pStyle w:val="Definition"/>
        <w:ind w:left="1701"/>
      </w:pPr>
      <w:r w:rsidRPr="00097A86">
        <w:rPr>
          <w:b/>
          <w:i/>
        </w:rPr>
        <w:lastRenderedPageBreak/>
        <w:t>COD</w:t>
      </w:r>
      <w:r w:rsidRPr="00097A86">
        <w:rPr>
          <w:rStyle w:val="charSubscript"/>
          <w:b/>
          <w:i/>
        </w:rPr>
        <w:t>w,i</w:t>
      </w:r>
      <w:r w:rsidRPr="00097A86">
        <w:rPr>
          <w:b/>
          <w:i/>
          <w:vertAlign w:val="subscript"/>
        </w:rPr>
        <w:t xml:space="preserve"> </w:t>
      </w:r>
      <w:r w:rsidRPr="00097A86">
        <w:t xml:space="preserve">is the COD in wastewater entering the plant used in the production of any commodity mentioned in </w:t>
      </w:r>
      <w:r w:rsidR="00D01C77" w:rsidRPr="00097A86">
        <w:t>column 1</w:t>
      </w:r>
      <w:r w:rsidRPr="00097A86">
        <w:t xml:space="preserve"> of the table in </w:t>
      </w:r>
      <w:r w:rsidR="00097A86">
        <w:t>subsection (</w:t>
      </w:r>
      <w:r w:rsidRPr="00097A86">
        <w:t>8) during the year measured in tonnes of COD.</w:t>
      </w:r>
    </w:p>
    <w:p w14:paraId="7AB4336E" w14:textId="77777777" w:rsidR="003F0D4E" w:rsidRPr="00097A86" w:rsidRDefault="003F0D4E" w:rsidP="00DA24D4">
      <w:pPr>
        <w:pStyle w:val="Definition"/>
        <w:ind w:left="1701"/>
      </w:pPr>
      <w:r w:rsidRPr="00097A86">
        <w:rPr>
          <w:b/>
          <w:i/>
        </w:rPr>
        <w:t>F</w:t>
      </w:r>
      <w:r w:rsidRPr="00097A86">
        <w:rPr>
          <w:rStyle w:val="charSubscript"/>
          <w:b/>
          <w:i/>
        </w:rPr>
        <w:t>sl</w:t>
      </w:r>
      <w:r w:rsidRPr="00097A86">
        <w:rPr>
          <w:b/>
          <w:i/>
        </w:rPr>
        <w:t xml:space="preserve"> </w:t>
      </w:r>
      <w:r w:rsidRPr="00097A86">
        <w:t>is the fraction of COD removed from wastewater as sludge by the plant during the year.</w:t>
      </w:r>
    </w:p>
    <w:p w14:paraId="6E25FF57" w14:textId="77777777" w:rsidR="00E860D9" w:rsidRPr="00097A86" w:rsidRDefault="00E860D9" w:rsidP="00D22D3F">
      <w:pPr>
        <w:pStyle w:val="Definition"/>
      </w:pPr>
      <w:r w:rsidRPr="00097A86">
        <w:rPr>
          <w:b/>
          <w:i/>
        </w:rPr>
        <w:t>COD</w:t>
      </w:r>
      <w:r w:rsidRPr="00097A86">
        <w:rPr>
          <w:b/>
          <w:i/>
          <w:vertAlign w:val="subscript"/>
        </w:rPr>
        <w:t>eff</w:t>
      </w:r>
      <w:r w:rsidRPr="00097A86">
        <w:rPr>
          <w:b/>
          <w:i/>
        </w:rPr>
        <w:t xml:space="preserve"> </w:t>
      </w:r>
      <w:r w:rsidRPr="00097A86">
        <w:t>is the quantity of COD effluent leaving the plant during the year, measured in tonnes.</w:t>
      </w:r>
    </w:p>
    <w:p w14:paraId="42C1A610" w14:textId="77777777" w:rsidR="00E860D9" w:rsidRPr="00097A86" w:rsidRDefault="00E860D9" w:rsidP="00D22D3F">
      <w:pPr>
        <w:pStyle w:val="Definition"/>
      </w:pPr>
      <w:r w:rsidRPr="00097A86">
        <w:rPr>
          <w:b/>
          <w:i/>
        </w:rPr>
        <w:t>MCF</w:t>
      </w:r>
      <w:r w:rsidRPr="00097A86">
        <w:rPr>
          <w:rStyle w:val="charSubscript"/>
          <w:b/>
          <w:i/>
        </w:rPr>
        <w:t>ww</w:t>
      </w:r>
      <w:r w:rsidRPr="00097A86">
        <w:rPr>
          <w:b/>
          <w:i/>
        </w:rPr>
        <w:t xml:space="preserve"> </w:t>
      </w:r>
      <w:r w:rsidRPr="00097A86">
        <w:t>is the methane correction factor for wastewater treated at the plant during the year.</w:t>
      </w:r>
    </w:p>
    <w:p w14:paraId="1A0C9E97" w14:textId="77777777" w:rsidR="00E860D9" w:rsidRPr="00097A86" w:rsidRDefault="00D22D3F" w:rsidP="00D22D3F">
      <w:pPr>
        <w:pStyle w:val="notetext"/>
      </w:pPr>
      <w:r w:rsidRPr="00097A86">
        <w:t>Note:</w:t>
      </w:r>
      <w:r w:rsidRPr="00097A86">
        <w:tab/>
      </w:r>
      <w:r w:rsidR="00E860D9" w:rsidRPr="00097A86">
        <w:t>IPCC default methane correction factors for various types of treatment are:</w:t>
      </w:r>
    </w:p>
    <w:p w14:paraId="712CB41C" w14:textId="77777777" w:rsidR="00E860D9" w:rsidRPr="00097A86" w:rsidRDefault="00E860D9" w:rsidP="00D22D3F">
      <w:pPr>
        <w:pStyle w:val="notepara"/>
      </w:pPr>
      <w:r w:rsidRPr="00097A86">
        <w:sym w:font="Symbol" w:char="00B7"/>
      </w:r>
      <w:r w:rsidRPr="00097A86">
        <w:tab/>
        <w:t>managed aerobic treatment: 0</w:t>
      </w:r>
    </w:p>
    <w:p w14:paraId="5B068B49" w14:textId="77777777" w:rsidR="00E860D9" w:rsidRPr="00097A86" w:rsidRDefault="00E860D9" w:rsidP="00D22D3F">
      <w:pPr>
        <w:pStyle w:val="notepara"/>
      </w:pPr>
      <w:r w:rsidRPr="00097A86">
        <w:sym w:font="Symbol" w:char="00B7"/>
      </w:r>
      <w:r w:rsidRPr="00097A86">
        <w:tab/>
        <w:t>unmanaged aerobic treatment: 0.3</w:t>
      </w:r>
    </w:p>
    <w:p w14:paraId="251A45C4" w14:textId="77777777" w:rsidR="00E860D9" w:rsidRPr="00097A86" w:rsidRDefault="00E860D9" w:rsidP="00D22D3F">
      <w:pPr>
        <w:pStyle w:val="notepara"/>
      </w:pPr>
      <w:r w:rsidRPr="00097A86">
        <w:sym w:font="Symbol" w:char="00B7"/>
      </w:r>
      <w:r w:rsidRPr="00097A86">
        <w:tab/>
        <w:t>anaerobic digester/reactor: 0.8</w:t>
      </w:r>
    </w:p>
    <w:p w14:paraId="7BF3264C" w14:textId="77777777" w:rsidR="00E860D9" w:rsidRPr="00097A86" w:rsidRDefault="00E860D9" w:rsidP="00D22D3F">
      <w:pPr>
        <w:pStyle w:val="notepara"/>
      </w:pPr>
      <w:r w:rsidRPr="00097A86">
        <w:sym w:font="Symbol" w:char="00B7"/>
      </w:r>
      <w:r w:rsidRPr="00097A86">
        <w:tab/>
        <w:t>shallow anaerobic lagoon (&lt;2 metres): 0.2</w:t>
      </w:r>
    </w:p>
    <w:p w14:paraId="3A11375B" w14:textId="77777777" w:rsidR="00E860D9" w:rsidRPr="00097A86" w:rsidRDefault="00E860D9" w:rsidP="00D22D3F">
      <w:pPr>
        <w:pStyle w:val="notepara"/>
      </w:pPr>
      <w:r w:rsidRPr="00097A86">
        <w:sym w:font="Symbol" w:char="00B7"/>
      </w:r>
      <w:r w:rsidRPr="00097A86">
        <w:tab/>
        <w:t>deep anaerobic lagoon (&gt;2 metres): 0.8.</w:t>
      </w:r>
    </w:p>
    <w:p w14:paraId="418580BD" w14:textId="77777777" w:rsidR="00A072B0" w:rsidRPr="00097A86" w:rsidRDefault="00A072B0" w:rsidP="00A072B0">
      <w:pPr>
        <w:pStyle w:val="Definition"/>
      </w:pPr>
      <w:r w:rsidRPr="00097A86">
        <w:rPr>
          <w:b/>
          <w:i/>
        </w:rPr>
        <w:t>EF</w:t>
      </w:r>
      <w:r w:rsidRPr="00097A86">
        <w:rPr>
          <w:b/>
          <w:i/>
          <w:vertAlign w:val="subscript"/>
        </w:rPr>
        <w:t>wij</w:t>
      </w:r>
      <w:r w:rsidRPr="00097A86">
        <w:rPr>
          <w:b/>
          <w:i/>
        </w:rPr>
        <w:t xml:space="preserve"> </w:t>
      </w:r>
      <w:r w:rsidRPr="00097A86">
        <w:t>is the methane emission factor for industrial wastewater.</w:t>
      </w:r>
    </w:p>
    <w:p w14:paraId="39A8B4F7" w14:textId="77777777" w:rsidR="003F0D4E" w:rsidRPr="00097A86" w:rsidRDefault="003F0D4E" w:rsidP="00D22D3F">
      <w:pPr>
        <w:pStyle w:val="Definition"/>
      </w:pPr>
      <w:r w:rsidRPr="00097A86">
        <w:rPr>
          <w:b/>
          <w:i/>
        </w:rPr>
        <w:t>COD</w:t>
      </w:r>
      <w:r w:rsidRPr="00097A86">
        <w:rPr>
          <w:b/>
          <w:i/>
          <w:vertAlign w:val="subscript"/>
        </w:rPr>
        <w:t>trl</w:t>
      </w:r>
      <w:r w:rsidRPr="00097A86">
        <w:rPr>
          <w:b/>
          <w:i/>
        </w:rPr>
        <w:t xml:space="preserve"> </w:t>
      </w:r>
      <w:r w:rsidRPr="00097A86">
        <w:t>is the quantity of COD in sludge transferred out of the plant and removed to landfill during the year measured in tonnes of COD.</w:t>
      </w:r>
    </w:p>
    <w:p w14:paraId="18334D90" w14:textId="77777777" w:rsidR="003F0D4E" w:rsidRPr="00097A86" w:rsidRDefault="003F0D4E" w:rsidP="00D22D3F">
      <w:pPr>
        <w:pStyle w:val="Definition"/>
      </w:pPr>
      <w:r w:rsidRPr="00097A86">
        <w:rPr>
          <w:b/>
          <w:i/>
        </w:rPr>
        <w:t>COD</w:t>
      </w:r>
      <w:r w:rsidRPr="00097A86">
        <w:rPr>
          <w:b/>
          <w:i/>
          <w:vertAlign w:val="subscript"/>
        </w:rPr>
        <w:t>tro</w:t>
      </w:r>
      <w:r w:rsidRPr="00097A86">
        <w:rPr>
          <w:b/>
          <w:i/>
        </w:rPr>
        <w:t xml:space="preserve"> </w:t>
      </w:r>
      <w:r w:rsidRPr="00097A86">
        <w:t>is the quantity of COD in sludge transferred out of the plant and removed to a site other than landfill during the year measured in tonnes of COD.</w:t>
      </w:r>
    </w:p>
    <w:p w14:paraId="03333B06" w14:textId="77777777" w:rsidR="00E860D9" w:rsidRPr="00097A86" w:rsidRDefault="00E860D9" w:rsidP="00D22D3F">
      <w:pPr>
        <w:pStyle w:val="Definition"/>
      </w:pPr>
      <w:r w:rsidRPr="00097A86">
        <w:rPr>
          <w:b/>
          <w:i/>
        </w:rPr>
        <w:t>MCF</w:t>
      </w:r>
      <w:r w:rsidRPr="00097A86">
        <w:rPr>
          <w:rStyle w:val="charSubscript"/>
          <w:b/>
          <w:i/>
        </w:rPr>
        <w:t>sl</w:t>
      </w:r>
      <w:r w:rsidRPr="00097A86">
        <w:rPr>
          <w:b/>
          <w:i/>
        </w:rPr>
        <w:t xml:space="preserve"> </w:t>
      </w:r>
      <w:r w:rsidRPr="00097A86">
        <w:t>is the methane correction factor for sludge treated at the plant during the year.</w:t>
      </w:r>
    </w:p>
    <w:p w14:paraId="5F6C0103" w14:textId="77777777" w:rsidR="00E860D9" w:rsidRPr="00097A86" w:rsidRDefault="00D22D3F" w:rsidP="00D22D3F">
      <w:pPr>
        <w:pStyle w:val="notetext"/>
      </w:pPr>
      <w:r w:rsidRPr="00097A86">
        <w:t>Note:</w:t>
      </w:r>
      <w:r w:rsidRPr="00097A86">
        <w:tab/>
      </w:r>
      <w:r w:rsidR="00E860D9" w:rsidRPr="00097A86">
        <w:t>IPCC default methane correction factors for various types of treatment are:</w:t>
      </w:r>
    </w:p>
    <w:p w14:paraId="4D6FB3E5" w14:textId="77777777" w:rsidR="00E860D9" w:rsidRPr="00097A86" w:rsidRDefault="00E860D9" w:rsidP="00D22D3F">
      <w:pPr>
        <w:pStyle w:val="notepara"/>
      </w:pPr>
      <w:r w:rsidRPr="00097A86">
        <w:sym w:font="Symbol" w:char="00B7"/>
      </w:r>
      <w:r w:rsidRPr="00097A86">
        <w:tab/>
        <w:t>managed aerobic treatment: 0</w:t>
      </w:r>
    </w:p>
    <w:p w14:paraId="515546EF" w14:textId="77777777" w:rsidR="00E860D9" w:rsidRPr="00097A86" w:rsidRDefault="00E860D9" w:rsidP="00D22D3F">
      <w:pPr>
        <w:pStyle w:val="notepara"/>
      </w:pPr>
      <w:r w:rsidRPr="00097A86">
        <w:sym w:font="Symbol" w:char="00B7"/>
      </w:r>
      <w:r w:rsidRPr="00097A86">
        <w:tab/>
        <w:t>unmanaged aerobic treatment: 0.3</w:t>
      </w:r>
    </w:p>
    <w:p w14:paraId="4F8F2A7F" w14:textId="77777777" w:rsidR="00E860D9" w:rsidRPr="00097A86" w:rsidRDefault="00E860D9" w:rsidP="00D22D3F">
      <w:pPr>
        <w:pStyle w:val="notepara"/>
      </w:pPr>
      <w:r w:rsidRPr="00097A86">
        <w:sym w:font="Symbol" w:char="00B7"/>
      </w:r>
      <w:r w:rsidRPr="00097A86">
        <w:tab/>
        <w:t>anaerobic digester/reactor: 0.8</w:t>
      </w:r>
    </w:p>
    <w:p w14:paraId="425E24A6" w14:textId="77777777" w:rsidR="00E860D9" w:rsidRPr="00097A86" w:rsidRDefault="00E860D9" w:rsidP="00D22D3F">
      <w:pPr>
        <w:pStyle w:val="notepara"/>
      </w:pPr>
      <w:r w:rsidRPr="00097A86">
        <w:sym w:font="Symbol" w:char="00B7"/>
      </w:r>
      <w:r w:rsidRPr="00097A86">
        <w:tab/>
        <w:t>shallow anaerobic lagoon (&lt;2 metres): 0.2</w:t>
      </w:r>
    </w:p>
    <w:p w14:paraId="30B0DE54" w14:textId="77777777" w:rsidR="00E860D9" w:rsidRPr="00097A86" w:rsidRDefault="00E860D9" w:rsidP="00D22D3F">
      <w:pPr>
        <w:pStyle w:val="notepara"/>
      </w:pPr>
      <w:r w:rsidRPr="00097A86">
        <w:sym w:font="Symbol" w:char="00B7"/>
      </w:r>
      <w:r w:rsidRPr="00097A86">
        <w:tab/>
        <w:t>deep anaerobic lagoon (&gt;2 metres): 0.8.</w:t>
      </w:r>
    </w:p>
    <w:p w14:paraId="0C4E172F" w14:textId="77777777" w:rsidR="000B1577" w:rsidRPr="00097A86" w:rsidRDefault="000B1577" w:rsidP="000B1577">
      <w:pPr>
        <w:pStyle w:val="Definition"/>
      </w:pPr>
      <w:r w:rsidRPr="00097A86">
        <w:rPr>
          <w:b/>
          <w:i/>
        </w:rPr>
        <w:t>EF</w:t>
      </w:r>
      <w:r w:rsidRPr="00097A86">
        <w:rPr>
          <w:b/>
          <w:i/>
          <w:vertAlign w:val="subscript"/>
        </w:rPr>
        <w:t>slij</w:t>
      </w:r>
      <w:r w:rsidRPr="00097A86">
        <w:t xml:space="preserve"> is the methane emission factor for the treatment of sludge by the plant.</w:t>
      </w:r>
    </w:p>
    <w:p w14:paraId="2ADC114F" w14:textId="77777777" w:rsidR="003F0D4E" w:rsidRPr="00097A86" w:rsidRDefault="003F0D4E" w:rsidP="00D22D3F">
      <w:pPr>
        <w:pStyle w:val="subsection"/>
      </w:pPr>
      <w:r w:rsidRPr="00097A86">
        <w:tab/>
        <w:t>(6)</w:t>
      </w:r>
      <w:r w:rsidRPr="00097A86">
        <w:tab/>
        <w:t xml:space="preserve">For </w:t>
      </w:r>
      <w:r w:rsidRPr="00097A86">
        <w:rPr>
          <w:b/>
          <w:i/>
        </w:rPr>
        <w:t>EF</w:t>
      </w:r>
      <w:r w:rsidRPr="00097A86">
        <w:rPr>
          <w:rStyle w:val="charSubscript"/>
          <w:b/>
          <w:i/>
          <w:sz w:val="22"/>
        </w:rPr>
        <w:t>wij</w:t>
      </w:r>
      <w:r w:rsidRPr="00097A86">
        <w:rPr>
          <w:rStyle w:val="charSubscript"/>
          <w:sz w:val="22"/>
        </w:rPr>
        <w:t xml:space="preserve"> </w:t>
      </w:r>
      <w:r w:rsidRPr="00097A86">
        <w:t xml:space="preserve">in </w:t>
      </w:r>
      <w:r w:rsidR="00097A86">
        <w:t>subsection (</w:t>
      </w:r>
      <w:r w:rsidRPr="00097A86">
        <w:t xml:space="preserve">5), an emission factor of </w:t>
      </w:r>
      <w:r w:rsidR="00B25EE5" w:rsidRPr="00097A86">
        <w:t>6.3</w:t>
      </w:r>
      <w:r w:rsidRPr="00097A86">
        <w:t xml:space="preserve"> CO2</w:t>
      </w:r>
      <w:r w:rsidR="00097A86">
        <w:noBreakHyphen/>
      </w:r>
      <w:r w:rsidRPr="00097A86">
        <w:t>e tonnes per tonne of COD may be used.</w:t>
      </w:r>
    </w:p>
    <w:p w14:paraId="5790D61F" w14:textId="77777777" w:rsidR="003F0D4E" w:rsidRPr="00097A86" w:rsidRDefault="003F0D4E" w:rsidP="00D22D3F">
      <w:pPr>
        <w:pStyle w:val="subsection"/>
      </w:pPr>
      <w:r w:rsidRPr="00097A86">
        <w:tab/>
        <w:t>(7)</w:t>
      </w:r>
      <w:r w:rsidRPr="00097A86">
        <w:tab/>
        <w:t xml:space="preserve">For </w:t>
      </w:r>
      <w:r w:rsidRPr="00097A86">
        <w:rPr>
          <w:b/>
          <w:i/>
        </w:rPr>
        <w:t>EF</w:t>
      </w:r>
      <w:r w:rsidRPr="00097A86">
        <w:rPr>
          <w:rStyle w:val="charSubscript"/>
          <w:b/>
          <w:i/>
          <w:sz w:val="22"/>
        </w:rPr>
        <w:t>slij</w:t>
      </w:r>
      <w:r w:rsidRPr="00097A86">
        <w:rPr>
          <w:i/>
        </w:rPr>
        <w:t xml:space="preserve"> </w:t>
      </w:r>
      <w:r w:rsidRPr="00097A86">
        <w:t xml:space="preserve">in </w:t>
      </w:r>
      <w:r w:rsidR="00097A86">
        <w:t>subsection (</w:t>
      </w:r>
      <w:r w:rsidRPr="00097A86">
        <w:t xml:space="preserve">5), a methane emission factor of </w:t>
      </w:r>
      <w:r w:rsidR="00B25EE5" w:rsidRPr="00097A86">
        <w:t>6.3</w:t>
      </w:r>
      <w:r w:rsidRPr="00097A86">
        <w:t xml:space="preserve"> CO</w:t>
      </w:r>
      <w:r w:rsidRPr="00097A86">
        <w:rPr>
          <w:vertAlign w:val="subscript"/>
        </w:rPr>
        <w:t>2</w:t>
      </w:r>
      <w:r w:rsidR="00097A86">
        <w:noBreakHyphen/>
      </w:r>
      <w:r w:rsidRPr="00097A86">
        <w:t>e tonnes per tonne of COD may be used.</w:t>
      </w:r>
    </w:p>
    <w:p w14:paraId="6A73359B" w14:textId="77777777" w:rsidR="003F0D4E" w:rsidRPr="00097A86" w:rsidRDefault="003F0D4E" w:rsidP="00D22D3F">
      <w:pPr>
        <w:pStyle w:val="subsection"/>
      </w:pPr>
      <w:r w:rsidRPr="00097A86">
        <w:tab/>
        <w:t>(8)</w:t>
      </w:r>
      <w:r w:rsidRPr="00097A86">
        <w:tab/>
        <w:t xml:space="preserve">For </w:t>
      </w:r>
      <w:r w:rsidR="00097A86">
        <w:t>subsection (</w:t>
      </w:r>
      <w:r w:rsidRPr="00097A86">
        <w:t xml:space="preserve">5), COD must be estimated for a commodity set out in </w:t>
      </w:r>
      <w:r w:rsidR="009C12D5" w:rsidRPr="00097A86">
        <w:t>column 1</w:t>
      </w:r>
      <w:r w:rsidRPr="00097A86">
        <w:t xml:space="preserve"> of an item in the following </w:t>
      </w:r>
      <w:r w:rsidR="009369D1" w:rsidRPr="00097A86">
        <w:t xml:space="preserve">table that is produced by the industry referred to by the ANZSIC code set out in </w:t>
      </w:r>
      <w:r w:rsidR="00D01C77" w:rsidRPr="00097A86">
        <w:t>column 1</w:t>
      </w:r>
      <w:r w:rsidR="009369D1" w:rsidRPr="00097A86">
        <w:t xml:space="preserve"> for that item:</w:t>
      </w:r>
    </w:p>
    <w:p w14:paraId="60DC6D0C" w14:textId="77777777" w:rsidR="00A930F3" w:rsidRPr="00097A86" w:rsidRDefault="00A930F3" w:rsidP="00A930F3">
      <w:pPr>
        <w:pStyle w:val="paragraph"/>
      </w:pPr>
      <w:r w:rsidRPr="00097A86">
        <w:tab/>
        <w:t>(a)</w:t>
      </w:r>
      <w:r w:rsidRPr="00097A86">
        <w:tab/>
        <w:t xml:space="preserve">by using the default values for </w:t>
      </w:r>
      <w:r w:rsidRPr="00097A86">
        <w:rPr>
          <w:b/>
          <w:i/>
        </w:rPr>
        <w:t>W</w:t>
      </w:r>
      <w:r w:rsidRPr="00097A86">
        <w:rPr>
          <w:b/>
          <w:i/>
          <w:vertAlign w:val="subscript"/>
        </w:rPr>
        <w:t>gen,i</w:t>
      </w:r>
      <w:r w:rsidRPr="00097A86">
        <w:t xml:space="preserve"> and </w:t>
      </w:r>
      <w:r w:rsidRPr="00097A86">
        <w:rPr>
          <w:b/>
          <w:i/>
        </w:rPr>
        <w:t>COD</w:t>
      </w:r>
      <w:r w:rsidRPr="00097A86">
        <w:rPr>
          <w:b/>
          <w:i/>
          <w:vertAlign w:val="subscript"/>
        </w:rPr>
        <w:t>con,i</w:t>
      </w:r>
      <w:r w:rsidRPr="00097A86">
        <w:t xml:space="preserve"> set out in columns 2 and 3 for that item; or</w:t>
      </w:r>
    </w:p>
    <w:p w14:paraId="03505B3A" w14:textId="77777777" w:rsidR="003F0D4E" w:rsidRPr="00097A86" w:rsidRDefault="003F0D4E" w:rsidP="00D22D3F">
      <w:pPr>
        <w:pStyle w:val="paragraph"/>
      </w:pPr>
      <w:r w:rsidRPr="00097A86">
        <w:tab/>
        <w:t>(b)</w:t>
      </w:r>
      <w:r w:rsidRPr="00097A86">
        <w:tab/>
        <w:t>in accordance with industry practice relevant to the measurement of the quantity of wastewater.</w:t>
      </w:r>
    </w:p>
    <w:p w14:paraId="3CC868D5" w14:textId="77777777" w:rsidR="00977CCC" w:rsidRPr="00097A86" w:rsidRDefault="00977CCC" w:rsidP="00977CC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3"/>
        <w:gridCol w:w="3969"/>
        <w:gridCol w:w="1844"/>
        <w:gridCol w:w="1797"/>
      </w:tblGrid>
      <w:tr w:rsidR="00977CCC" w:rsidRPr="00097A86" w14:paraId="64A4926F" w14:textId="77777777" w:rsidTr="00C20CC2">
        <w:trPr>
          <w:tblHeader/>
        </w:trPr>
        <w:tc>
          <w:tcPr>
            <w:tcW w:w="5000" w:type="pct"/>
            <w:gridSpan w:val="4"/>
            <w:tcBorders>
              <w:top w:val="single" w:sz="12" w:space="0" w:color="auto"/>
              <w:bottom w:val="single" w:sz="6" w:space="0" w:color="auto"/>
            </w:tcBorders>
            <w:shd w:val="clear" w:color="auto" w:fill="auto"/>
          </w:tcPr>
          <w:p w14:paraId="6F6A8606" w14:textId="77777777" w:rsidR="00977CCC" w:rsidRPr="00097A86" w:rsidRDefault="00977CCC" w:rsidP="001D12BE">
            <w:pPr>
              <w:pStyle w:val="TableHeading"/>
            </w:pPr>
            <w:r w:rsidRPr="00097A86">
              <w:lastRenderedPageBreak/>
              <w:t>Estimate of COD for a commodity and industry</w:t>
            </w:r>
          </w:p>
        </w:tc>
      </w:tr>
      <w:tr w:rsidR="00977CCC" w:rsidRPr="00097A86" w14:paraId="4F8B5788" w14:textId="77777777" w:rsidTr="00C20CC2">
        <w:trPr>
          <w:tblHeader/>
        </w:trPr>
        <w:tc>
          <w:tcPr>
            <w:tcW w:w="423" w:type="pct"/>
            <w:tcBorders>
              <w:top w:val="single" w:sz="6" w:space="0" w:color="auto"/>
              <w:bottom w:val="nil"/>
            </w:tcBorders>
            <w:shd w:val="clear" w:color="auto" w:fill="auto"/>
          </w:tcPr>
          <w:p w14:paraId="189288B7" w14:textId="77777777" w:rsidR="00977CCC" w:rsidRPr="00097A86" w:rsidRDefault="00977CCC" w:rsidP="001D12BE">
            <w:pPr>
              <w:pStyle w:val="TableHeading"/>
            </w:pPr>
            <w:r w:rsidRPr="00097A86">
              <w:t>Item</w:t>
            </w:r>
          </w:p>
        </w:tc>
        <w:tc>
          <w:tcPr>
            <w:tcW w:w="2387" w:type="pct"/>
            <w:tcBorders>
              <w:top w:val="single" w:sz="6" w:space="0" w:color="auto"/>
              <w:bottom w:val="nil"/>
            </w:tcBorders>
            <w:shd w:val="clear" w:color="auto" w:fill="auto"/>
          </w:tcPr>
          <w:p w14:paraId="48938688" w14:textId="77777777" w:rsidR="00977CCC" w:rsidRPr="00097A86" w:rsidRDefault="00977CCC" w:rsidP="001D12BE">
            <w:pPr>
              <w:pStyle w:val="TableHeading"/>
            </w:pPr>
            <w:r w:rsidRPr="00097A86">
              <w:t>Column 1</w:t>
            </w:r>
          </w:p>
        </w:tc>
        <w:tc>
          <w:tcPr>
            <w:tcW w:w="1109" w:type="pct"/>
            <w:tcBorders>
              <w:top w:val="single" w:sz="6" w:space="0" w:color="auto"/>
              <w:bottom w:val="nil"/>
            </w:tcBorders>
            <w:shd w:val="clear" w:color="auto" w:fill="auto"/>
          </w:tcPr>
          <w:p w14:paraId="5E9CF622" w14:textId="77777777" w:rsidR="00977CCC" w:rsidRPr="00097A86" w:rsidRDefault="00977CCC" w:rsidP="001D12BE">
            <w:pPr>
              <w:pStyle w:val="TableHeading"/>
            </w:pPr>
            <w:r w:rsidRPr="00097A86">
              <w:t>Column 2</w:t>
            </w:r>
          </w:p>
        </w:tc>
        <w:tc>
          <w:tcPr>
            <w:tcW w:w="1081" w:type="pct"/>
            <w:tcBorders>
              <w:top w:val="single" w:sz="6" w:space="0" w:color="auto"/>
              <w:bottom w:val="nil"/>
            </w:tcBorders>
            <w:shd w:val="clear" w:color="auto" w:fill="auto"/>
          </w:tcPr>
          <w:p w14:paraId="469B5150" w14:textId="77777777" w:rsidR="00977CCC" w:rsidRPr="00097A86" w:rsidRDefault="00977CCC" w:rsidP="001D12BE">
            <w:pPr>
              <w:pStyle w:val="TableHeading"/>
            </w:pPr>
            <w:r w:rsidRPr="00097A86">
              <w:t>Column 3</w:t>
            </w:r>
          </w:p>
        </w:tc>
      </w:tr>
      <w:tr w:rsidR="00977CCC" w:rsidRPr="00097A86" w14:paraId="1EDC0236" w14:textId="77777777" w:rsidTr="00C20CC2">
        <w:trPr>
          <w:tblHeader/>
        </w:trPr>
        <w:tc>
          <w:tcPr>
            <w:tcW w:w="423" w:type="pct"/>
            <w:tcBorders>
              <w:top w:val="nil"/>
              <w:bottom w:val="single" w:sz="12" w:space="0" w:color="auto"/>
            </w:tcBorders>
            <w:shd w:val="clear" w:color="auto" w:fill="auto"/>
          </w:tcPr>
          <w:p w14:paraId="2FA9E4B5" w14:textId="77777777" w:rsidR="00977CCC" w:rsidRPr="00097A86" w:rsidRDefault="00977CCC" w:rsidP="001D12BE">
            <w:pPr>
              <w:pStyle w:val="TableHeading"/>
            </w:pPr>
          </w:p>
        </w:tc>
        <w:tc>
          <w:tcPr>
            <w:tcW w:w="2387" w:type="pct"/>
            <w:tcBorders>
              <w:top w:val="nil"/>
              <w:bottom w:val="single" w:sz="12" w:space="0" w:color="auto"/>
            </w:tcBorders>
            <w:shd w:val="clear" w:color="auto" w:fill="auto"/>
          </w:tcPr>
          <w:p w14:paraId="23B7C79A" w14:textId="77777777" w:rsidR="00977CCC" w:rsidRPr="00097A86" w:rsidRDefault="00977CCC" w:rsidP="001D12BE">
            <w:pPr>
              <w:pStyle w:val="TableHeading"/>
            </w:pPr>
            <w:r w:rsidRPr="00097A86">
              <w:t>Commodity and industry</w:t>
            </w:r>
          </w:p>
        </w:tc>
        <w:tc>
          <w:tcPr>
            <w:tcW w:w="1109" w:type="pct"/>
            <w:tcBorders>
              <w:top w:val="nil"/>
              <w:bottom w:val="single" w:sz="12" w:space="0" w:color="auto"/>
            </w:tcBorders>
            <w:shd w:val="clear" w:color="auto" w:fill="auto"/>
          </w:tcPr>
          <w:p w14:paraId="5C711C3C" w14:textId="77777777" w:rsidR="00977CCC" w:rsidRPr="00097A86" w:rsidRDefault="00977CCC" w:rsidP="001D12BE">
            <w:pPr>
              <w:pStyle w:val="TableHeading"/>
              <w:rPr>
                <w:i/>
              </w:rPr>
            </w:pPr>
            <w:r w:rsidRPr="00097A86">
              <w:rPr>
                <w:i/>
              </w:rPr>
              <w:t>W</w:t>
            </w:r>
            <w:r w:rsidRPr="00097A86">
              <w:rPr>
                <w:i/>
                <w:vertAlign w:val="subscript"/>
              </w:rPr>
              <w:t>gen,i</w:t>
            </w:r>
          </w:p>
          <w:p w14:paraId="7A5519F6" w14:textId="77777777" w:rsidR="00977CCC" w:rsidRPr="00097A86" w:rsidRDefault="00977CCC" w:rsidP="001D12BE">
            <w:pPr>
              <w:pStyle w:val="TableHeading"/>
            </w:pPr>
            <w:r w:rsidRPr="00097A86">
              <w:t>default value</w:t>
            </w:r>
          </w:p>
        </w:tc>
        <w:tc>
          <w:tcPr>
            <w:tcW w:w="1081" w:type="pct"/>
            <w:tcBorders>
              <w:top w:val="nil"/>
              <w:bottom w:val="single" w:sz="12" w:space="0" w:color="auto"/>
            </w:tcBorders>
            <w:shd w:val="clear" w:color="auto" w:fill="auto"/>
          </w:tcPr>
          <w:p w14:paraId="2DD1EF59" w14:textId="77777777" w:rsidR="00977CCC" w:rsidRPr="00097A86" w:rsidRDefault="00977CCC" w:rsidP="001D12BE">
            <w:pPr>
              <w:pStyle w:val="TableHeading"/>
              <w:rPr>
                <w:i/>
              </w:rPr>
            </w:pPr>
            <w:r w:rsidRPr="00097A86">
              <w:rPr>
                <w:i/>
              </w:rPr>
              <w:t>COD</w:t>
            </w:r>
            <w:r w:rsidRPr="00097A86">
              <w:rPr>
                <w:i/>
                <w:vertAlign w:val="subscript"/>
              </w:rPr>
              <w:t>con,i</w:t>
            </w:r>
          </w:p>
          <w:p w14:paraId="69D80245" w14:textId="77777777" w:rsidR="00977CCC" w:rsidRPr="00097A86" w:rsidRDefault="00977CCC" w:rsidP="001D12BE">
            <w:pPr>
              <w:pStyle w:val="TableHeading"/>
            </w:pPr>
            <w:r w:rsidRPr="00097A86">
              <w:t>default value</w:t>
            </w:r>
          </w:p>
        </w:tc>
      </w:tr>
      <w:tr w:rsidR="00977CCC" w:rsidRPr="00097A86" w14:paraId="756215B0" w14:textId="77777777" w:rsidTr="00C20CC2">
        <w:tc>
          <w:tcPr>
            <w:tcW w:w="423" w:type="pct"/>
            <w:tcBorders>
              <w:top w:val="single" w:sz="12" w:space="0" w:color="auto"/>
            </w:tcBorders>
            <w:shd w:val="clear" w:color="auto" w:fill="auto"/>
          </w:tcPr>
          <w:p w14:paraId="794D8FBB" w14:textId="77777777" w:rsidR="00977CCC" w:rsidRPr="00097A86" w:rsidRDefault="00977CCC" w:rsidP="001D12BE">
            <w:pPr>
              <w:pStyle w:val="Tabletext"/>
            </w:pPr>
            <w:r w:rsidRPr="00097A86">
              <w:t>1</w:t>
            </w:r>
          </w:p>
        </w:tc>
        <w:tc>
          <w:tcPr>
            <w:tcW w:w="2387" w:type="pct"/>
            <w:tcBorders>
              <w:top w:val="single" w:sz="12" w:space="0" w:color="auto"/>
            </w:tcBorders>
            <w:shd w:val="clear" w:color="auto" w:fill="auto"/>
          </w:tcPr>
          <w:p w14:paraId="2F8FE907" w14:textId="77777777" w:rsidR="00977CCC" w:rsidRPr="00097A86" w:rsidRDefault="00977CCC" w:rsidP="001D12BE">
            <w:pPr>
              <w:pStyle w:val="Tabletext"/>
            </w:pPr>
            <w:r w:rsidRPr="00097A86">
              <w:t>Dairy product (ANZSIC code 113)</w:t>
            </w:r>
          </w:p>
        </w:tc>
        <w:tc>
          <w:tcPr>
            <w:tcW w:w="1109" w:type="pct"/>
            <w:tcBorders>
              <w:top w:val="single" w:sz="12" w:space="0" w:color="auto"/>
            </w:tcBorders>
            <w:shd w:val="clear" w:color="auto" w:fill="auto"/>
          </w:tcPr>
          <w:p w14:paraId="3EEB8131" w14:textId="77777777" w:rsidR="00977CCC" w:rsidRPr="00097A86" w:rsidRDefault="00977CCC" w:rsidP="001D12BE">
            <w:pPr>
              <w:pStyle w:val="Tabletext"/>
              <w:tabs>
                <w:tab w:val="decimal" w:pos="800"/>
              </w:tabs>
            </w:pPr>
            <w:r w:rsidRPr="00097A86">
              <w:t>5.7</w:t>
            </w:r>
          </w:p>
        </w:tc>
        <w:tc>
          <w:tcPr>
            <w:tcW w:w="1081" w:type="pct"/>
            <w:tcBorders>
              <w:top w:val="single" w:sz="12" w:space="0" w:color="auto"/>
            </w:tcBorders>
            <w:shd w:val="clear" w:color="auto" w:fill="auto"/>
          </w:tcPr>
          <w:p w14:paraId="6BC811DC" w14:textId="77777777" w:rsidR="00977CCC" w:rsidRPr="00097A86" w:rsidRDefault="00977CCC" w:rsidP="001D12BE">
            <w:pPr>
              <w:pStyle w:val="Tabletext"/>
              <w:tabs>
                <w:tab w:val="decimal" w:pos="800"/>
              </w:tabs>
            </w:pPr>
            <w:r w:rsidRPr="00097A86">
              <w:t>0.9</w:t>
            </w:r>
          </w:p>
        </w:tc>
      </w:tr>
      <w:tr w:rsidR="00977CCC" w:rsidRPr="00097A86" w14:paraId="3FDF247A" w14:textId="77777777" w:rsidTr="00C20CC2">
        <w:tc>
          <w:tcPr>
            <w:tcW w:w="423" w:type="pct"/>
            <w:shd w:val="clear" w:color="auto" w:fill="auto"/>
          </w:tcPr>
          <w:p w14:paraId="4EE6E903" w14:textId="77777777" w:rsidR="00977CCC" w:rsidRPr="00097A86" w:rsidRDefault="00977CCC" w:rsidP="001D12BE">
            <w:pPr>
              <w:pStyle w:val="Tabletext"/>
            </w:pPr>
            <w:r w:rsidRPr="00097A86">
              <w:t>2</w:t>
            </w:r>
          </w:p>
        </w:tc>
        <w:tc>
          <w:tcPr>
            <w:tcW w:w="2387" w:type="pct"/>
            <w:shd w:val="clear" w:color="auto" w:fill="auto"/>
          </w:tcPr>
          <w:p w14:paraId="0B85FD79" w14:textId="77777777" w:rsidR="00977CCC" w:rsidRPr="00097A86" w:rsidRDefault="00977CCC" w:rsidP="001D12BE">
            <w:pPr>
              <w:pStyle w:val="Tabletext"/>
            </w:pPr>
            <w:r w:rsidRPr="00097A86">
              <w:t>Pulp, paper and paperboard (ANZSIC code 1510)</w:t>
            </w:r>
          </w:p>
        </w:tc>
        <w:tc>
          <w:tcPr>
            <w:tcW w:w="1109" w:type="pct"/>
            <w:shd w:val="clear" w:color="auto" w:fill="auto"/>
          </w:tcPr>
          <w:p w14:paraId="2E59B538" w14:textId="77777777" w:rsidR="00977CCC" w:rsidRPr="00097A86" w:rsidRDefault="00977CCC" w:rsidP="001D12BE">
            <w:pPr>
              <w:pStyle w:val="Tabletext"/>
              <w:tabs>
                <w:tab w:val="decimal" w:pos="800"/>
              </w:tabs>
            </w:pPr>
            <w:r w:rsidRPr="00097A86">
              <w:t>26.7</w:t>
            </w:r>
          </w:p>
        </w:tc>
        <w:tc>
          <w:tcPr>
            <w:tcW w:w="1081" w:type="pct"/>
            <w:shd w:val="clear" w:color="auto" w:fill="auto"/>
          </w:tcPr>
          <w:p w14:paraId="4289E9E7" w14:textId="77777777" w:rsidR="00977CCC" w:rsidRPr="00097A86" w:rsidRDefault="00977CCC" w:rsidP="001D12BE">
            <w:pPr>
              <w:pStyle w:val="Tabletext"/>
              <w:tabs>
                <w:tab w:val="decimal" w:pos="800"/>
              </w:tabs>
            </w:pPr>
            <w:r w:rsidRPr="00097A86">
              <w:t>0.4</w:t>
            </w:r>
          </w:p>
        </w:tc>
      </w:tr>
      <w:tr w:rsidR="00977CCC" w:rsidRPr="00097A86" w14:paraId="4708F7F8" w14:textId="77777777" w:rsidTr="00C20CC2">
        <w:tc>
          <w:tcPr>
            <w:tcW w:w="423" w:type="pct"/>
            <w:shd w:val="clear" w:color="auto" w:fill="auto"/>
          </w:tcPr>
          <w:p w14:paraId="6E8722D3" w14:textId="77777777" w:rsidR="00977CCC" w:rsidRPr="00097A86" w:rsidRDefault="00977CCC" w:rsidP="001D12BE">
            <w:pPr>
              <w:pStyle w:val="Tabletext"/>
            </w:pPr>
            <w:r w:rsidRPr="00097A86">
              <w:t>3</w:t>
            </w:r>
          </w:p>
        </w:tc>
        <w:tc>
          <w:tcPr>
            <w:tcW w:w="2387" w:type="pct"/>
            <w:shd w:val="clear" w:color="auto" w:fill="auto"/>
          </w:tcPr>
          <w:p w14:paraId="514FF5EF" w14:textId="77777777" w:rsidR="00977CCC" w:rsidRPr="00097A86" w:rsidRDefault="00977CCC" w:rsidP="001D12BE">
            <w:pPr>
              <w:pStyle w:val="Tabletext"/>
            </w:pPr>
            <w:r w:rsidRPr="00097A86">
              <w:rPr>
                <w:szCs w:val="22"/>
              </w:rPr>
              <w:t>Meat and poultry (</w:t>
            </w:r>
            <w:r w:rsidRPr="00097A86">
              <w:t>ANZSIC codes 1111 and 1112)</w:t>
            </w:r>
          </w:p>
        </w:tc>
        <w:tc>
          <w:tcPr>
            <w:tcW w:w="1109" w:type="pct"/>
            <w:shd w:val="clear" w:color="auto" w:fill="auto"/>
          </w:tcPr>
          <w:p w14:paraId="039AA047" w14:textId="77777777" w:rsidR="00977CCC" w:rsidRPr="00097A86" w:rsidRDefault="00977CCC" w:rsidP="001D12BE">
            <w:pPr>
              <w:pStyle w:val="Tabletext"/>
              <w:tabs>
                <w:tab w:val="decimal" w:pos="800"/>
              </w:tabs>
            </w:pPr>
            <w:r w:rsidRPr="00097A86">
              <w:t>13.7</w:t>
            </w:r>
          </w:p>
        </w:tc>
        <w:tc>
          <w:tcPr>
            <w:tcW w:w="1081" w:type="pct"/>
            <w:shd w:val="clear" w:color="auto" w:fill="auto"/>
          </w:tcPr>
          <w:p w14:paraId="5E037E16" w14:textId="77777777" w:rsidR="00977CCC" w:rsidRPr="00097A86" w:rsidRDefault="00977CCC" w:rsidP="001D12BE">
            <w:pPr>
              <w:pStyle w:val="Tabletext"/>
              <w:tabs>
                <w:tab w:val="decimal" w:pos="800"/>
              </w:tabs>
            </w:pPr>
            <w:r w:rsidRPr="00097A86">
              <w:t>6.1</w:t>
            </w:r>
          </w:p>
        </w:tc>
      </w:tr>
      <w:tr w:rsidR="00977CCC" w:rsidRPr="00097A86" w14:paraId="5E4B0C0A" w14:textId="77777777" w:rsidTr="00C20CC2">
        <w:tc>
          <w:tcPr>
            <w:tcW w:w="423" w:type="pct"/>
            <w:shd w:val="clear" w:color="auto" w:fill="auto"/>
          </w:tcPr>
          <w:p w14:paraId="3E1DC71A" w14:textId="77777777" w:rsidR="00977CCC" w:rsidRPr="00097A86" w:rsidRDefault="00977CCC" w:rsidP="001D12BE">
            <w:pPr>
              <w:pStyle w:val="Tabletext"/>
            </w:pPr>
            <w:r w:rsidRPr="00097A86">
              <w:t>4</w:t>
            </w:r>
          </w:p>
        </w:tc>
        <w:tc>
          <w:tcPr>
            <w:tcW w:w="2387" w:type="pct"/>
            <w:shd w:val="clear" w:color="auto" w:fill="auto"/>
          </w:tcPr>
          <w:p w14:paraId="176BFA67" w14:textId="77777777" w:rsidR="00977CCC" w:rsidRPr="00097A86" w:rsidRDefault="00977CCC" w:rsidP="001D12BE">
            <w:pPr>
              <w:pStyle w:val="Tabletext"/>
            </w:pPr>
            <w:r w:rsidRPr="00097A86">
              <w:t>Organic chemicals (ANZSIC codes 18 and 19)</w:t>
            </w:r>
          </w:p>
        </w:tc>
        <w:tc>
          <w:tcPr>
            <w:tcW w:w="1109" w:type="pct"/>
            <w:shd w:val="clear" w:color="auto" w:fill="auto"/>
          </w:tcPr>
          <w:p w14:paraId="2471FF9C" w14:textId="77777777" w:rsidR="00977CCC" w:rsidRPr="00097A86" w:rsidRDefault="00977CCC" w:rsidP="001D12BE">
            <w:pPr>
              <w:pStyle w:val="Tabletext"/>
              <w:tabs>
                <w:tab w:val="decimal" w:pos="800"/>
              </w:tabs>
            </w:pPr>
            <w:r w:rsidRPr="00097A86">
              <w:t>67.0</w:t>
            </w:r>
          </w:p>
        </w:tc>
        <w:tc>
          <w:tcPr>
            <w:tcW w:w="1081" w:type="pct"/>
            <w:shd w:val="clear" w:color="auto" w:fill="auto"/>
          </w:tcPr>
          <w:p w14:paraId="4467D45F" w14:textId="77777777" w:rsidR="00977CCC" w:rsidRPr="00097A86" w:rsidRDefault="00977CCC" w:rsidP="001D12BE">
            <w:pPr>
              <w:pStyle w:val="Tabletext"/>
              <w:tabs>
                <w:tab w:val="decimal" w:pos="800"/>
              </w:tabs>
            </w:pPr>
            <w:r w:rsidRPr="00097A86">
              <w:t>3.0</w:t>
            </w:r>
          </w:p>
        </w:tc>
      </w:tr>
      <w:tr w:rsidR="00977CCC" w:rsidRPr="00097A86" w14:paraId="112B8F88" w14:textId="77777777" w:rsidTr="00C20CC2">
        <w:tc>
          <w:tcPr>
            <w:tcW w:w="423" w:type="pct"/>
            <w:shd w:val="clear" w:color="auto" w:fill="auto"/>
          </w:tcPr>
          <w:p w14:paraId="0019B913" w14:textId="77777777" w:rsidR="00977CCC" w:rsidRPr="00097A86" w:rsidRDefault="00977CCC" w:rsidP="001D12BE">
            <w:pPr>
              <w:pStyle w:val="Tabletext"/>
            </w:pPr>
            <w:r w:rsidRPr="00097A86">
              <w:t>5</w:t>
            </w:r>
          </w:p>
        </w:tc>
        <w:tc>
          <w:tcPr>
            <w:tcW w:w="2387" w:type="pct"/>
            <w:shd w:val="clear" w:color="auto" w:fill="auto"/>
          </w:tcPr>
          <w:p w14:paraId="75DDAE6B" w14:textId="77777777" w:rsidR="00977CCC" w:rsidRPr="00097A86" w:rsidRDefault="00977CCC" w:rsidP="001D12BE">
            <w:pPr>
              <w:pStyle w:val="Tabletext"/>
            </w:pPr>
            <w:r w:rsidRPr="00097A86">
              <w:t>Raw sugar (ANZSIC code 1181)</w:t>
            </w:r>
          </w:p>
        </w:tc>
        <w:tc>
          <w:tcPr>
            <w:tcW w:w="1109" w:type="pct"/>
            <w:shd w:val="clear" w:color="auto" w:fill="auto"/>
          </w:tcPr>
          <w:p w14:paraId="547938A1" w14:textId="77777777" w:rsidR="00977CCC" w:rsidRPr="00097A86" w:rsidRDefault="00977CCC" w:rsidP="001D12BE">
            <w:pPr>
              <w:pStyle w:val="Tabletext"/>
              <w:tabs>
                <w:tab w:val="decimal" w:pos="800"/>
              </w:tabs>
            </w:pPr>
            <w:r w:rsidRPr="00097A86">
              <w:t>0.4</w:t>
            </w:r>
          </w:p>
        </w:tc>
        <w:tc>
          <w:tcPr>
            <w:tcW w:w="1081" w:type="pct"/>
            <w:shd w:val="clear" w:color="auto" w:fill="auto"/>
          </w:tcPr>
          <w:p w14:paraId="497E6668" w14:textId="77777777" w:rsidR="00977CCC" w:rsidRPr="00097A86" w:rsidRDefault="00977CCC" w:rsidP="001D12BE">
            <w:pPr>
              <w:pStyle w:val="Tabletext"/>
              <w:tabs>
                <w:tab w:val="decimal" w:pos="800"/>
              </w:tabs>
            </w:pPr>
            <w:r w:rsidRPr="00097A86">
              <w:t>3.8</w:t>
            </w:r>
          </w:p>
        </w:tc>
      </w:tr>
      <w:tr w:rsidR="00977CCC" w:rsidRPr="00097A86" w14:paraId="0B6A7BD9" w14:textId="77777777" w:rsidTr="00C20CC2">
        <w:tc>
          <w:tcPr>
            <w:tcW w:w="423" w:type="pct"/>
            <w:shd w:val="clear" w:color="auto" w:fill="auto"/>
          </w:tcPr>
          <w:p w14:paraId="4F2E0F86" w14:textId="77777777" w:rsidR="00977CCC" w:rsidRPr="00097A86" w:rsidRDefault="00977CCC" w:rsidP="001D12BE">
            <w:pPr>
              <w:pStyle w:val="Tabletext"/>
            </w:pPr>
            <w:r w:rsidRPr="00097A86">
              <w:t>6</w:t>
            </w:r>
          </w:p>
        </w:tc>
        <w:tc>
          <w:tcPr>
            <w:tcW w:w="2387" w:type="pct"/>
            <w:shd w:val="clear" w:color="auto" w:fill="auto"/>
          </w:tcPr>
          <w:p w14:paraId="35166D95" w14:textId="77777777" w:rsidR="00977CCC" w:rsidRPr="00097A86" w:rsidRDefault="00977CCC" w:rsidP="001D12BE">
            <w:pPr>
              <w:pStyle w:val="Tabletext"/>
            </w:pPr>
            <w:r w:rsidRPr="00097A86">
              <w:t>Beer (ANZSIC code 1212)</w:t>
            </w:r>
          </w:p>
        </w:tc>
        <w:tc>
          <w:tcPr>
            <w:tcW w:w="1109" w:type="pct"/>
            <w:shd w:val="clear" w:color="auto" w:fill="auto"/>
          </w:tcPr>
          <w:p w14:paraId="3876C82B" w14:textId="77777777" w:rsidR="00977CCC" w:rsidRPr="00097A86" w:rsidRDefault="00977CCC" w:rsidP="001D12BE">
            <w:pPr>
              <w:pStyle w:val="Tabletext"/>
              <w:tabs>
                <w:tab w:val="decimal" w:pos="800"/>
              </w:tabs>
            </w:pPr>
            <w:r w:rsidRPr="00097A86">
              <w:t>5.3</w:t>
            </w:r>
          </w:p>
        </w:tc>
        <w:tc>
          <w:tcPr>
            <w:tcW w:w="1081" w:type="pct"/>
            <w:shd w:val="clear" w:color="auto" w:fill="auto"/>
          </w:tcPr>
          <w:p w14:paraId="3FE9E7B2" w14:textId="77777777" w:rsidR="00977CCC" w:rsidRPr="00097A86" w:rsidRDefault="00977CCC" w:rsidP="001D12BE">
            <w:pPr>
              <w:pStyle w:val="Tabletext"/>
              <w:tabs>
                <w:tab w:val="decimal" w:pos="800"/>
              </w:tabs>
            </w:pPr>
            <w:r w:rsidRPr="00097A86">
              <w:t>6.0</w:t>
            </w:r>
          </w:p>
        </w:tc>
      </w:tr>
      <w:tr w:rsidR="00977CCC" w:rsidRPr="00097A86" w14:paraId="080FD686" w14:textId="77777777" w:rsidTr="00C20CC2">
        <w:tc>
          <w:tcPr>
            <w:tcW w:w="423" w:type="pct"/>
            <w:tcBorders>
              <w:bottom w:val="single" w:sz="4" w:space="0" w:color="auto"/>
            </w:tcBorders>
            <w:shd w:val="clear" w:color="auto" w:fill="auto"/>
          </w:tcPr>
          <w:p w14:paraId="0F1DE1B1" w14:textId="77777777" w:rsidR="00977CCC" w:rsidRPr="00097A86" w:rsidRDefault="00977CCC" w:rsidP="001D12BE">
            <w:pPr>
              <w:pStyle w:val="Tabletext"/>
            </w:pPr>
            <w:r w:rsidRPr="00097A86">
              <w:t>7</w:t>
            </w:r>
          </w:p>
        </w:tc>
        <w:tc>
          <w:tcPr>
            <w:tcW w:w="2387" w:type="pct"/>
            <w:tcBorders>
              <w:bottom w:val="single" w:sz="4" w:space="0" w:color="auto"/>
            </w:tcBorders>
            <w:shd w:val="clear" w:color="auto" w:fill="auto"/>
          </w:tcPr>
          <w:p w14:paraId="0867FD13" w14:textId="77777777" w:rsidR="00977CCC" w:rsidRPr="00097A86" w:rsidRDefault="00977CCC" w:rsidP="001D12BE">
            <w:pPr>
              <w:pStyle w:val="Tabletext"/>
            </w:pPr>
            <w:r w:rsidRPr="00097A86">
              <w:t>Wine and other alcoholic beverage (ANZSIC code 1214)</w:t>
            </w:r>
          </w:p>
        </w:tc>
        <w:tc>
          <w:tcPr>
            <w:tcW w:w="1109" w:type="pct"/>
            <w:tcBorders>
              <w:bottom w:val="single" w:sz="4" w:space="0" w:color="auto"/>
            </w:tcBorders>
            <w:shd w:val="clear" w:color="auto" w:fill="auto"/>
          </w:tcPr>
          <w:p w14:paraId="1864771B" w14:textId="77777777" w:rsidR="00977CCC" w:rsidRPr="00097A86" w:rsidRDefault="00977CCC" w:rsidP="001D12BE">
            <w:pPr>
              <w:pStyle w:val="Tabletext"/>
              <w:tabs>
                <w:tab w:val="decimal" w:pos="800"/>
              </w:tabs>
            </w:pPr>
            <w:r w:rsidRPr="00097A86">
              <w:t>23.0</w:t>
            </w:r>
          </w:p>
        </w:tc>
        <w:tc>
          <w:tcPr>
            <w:tcW w:w="1081" w:type="pct"/>
            <w:tcBorders>
              <w:bottom w:val="single" w:sz="4" w:space="0" w:color="auto"/>
            </w:tcBorders>
            <w:shd w:val="clear" w:color="auto" w:fill="auto"/>
          </w:tcPr>
          <w:p w14:paraId="6139F8EF" w14:textId="77777777" w:rsidR="00977CCC" w:rsidRPr="00097A86" w:rsidRDefault="00977CCC" w:rsidP="001D12BE">
            <w:pPr>
              <w:pStyle w:val="Tabletext"/>
              <w:tabs>
                <w:tab w:val="decimal" w:pos="800"/>
              </w:tabs>
            </w:pPr>
            <w:r w:rsidRPr="00097A86">
              <w:t>1.5</w:t>
            </w:r>
          </w:p>
        </w:tc>
      </w:tr>
      <w:tr w:rsidR="00977CCC" w:rsidRPr="00097A86" w14:paraId="524F5D99" w14:textId="77777777" w:rsidTr="00C20CC2">
        <w:tc>
          <w:tcPr>
            <w:tcW w:w="423" w:type="pct"/>
            <w:tcBorders>
              <w:bottom w:val="single" w:sz="12" w:space="0" w:color="auto"/>
            </w:tcBorders>
            <w:shd w:val="clear" w:color="auto" w:fill="auto"/>
          </w:tcPr>
          <w:p w14:paraId="62A58328" w14:textId="77777777" w:rsidR="00977CCC" w:rsidRPr="00097A86" w:rsidRDefault="00977CCC" w:rsidP="001D12BE">
            <w:pPr>
              <w:pStyle w:val="Tabletext"/>
            </w:pPr>
            <w:r w:rsidRPr="00097A86">
              <w:t>8</w:t>
            </w:r>
          </w:p>
        </w:tc>
        <w:tc>
          <w:tcPr>
            <w:tcW w:w="2387" w:type="pct"/>
            <w:tcBorders>
              <w:bottom w:val="single" w:sz="12" w:space="0" w:color="auto"/>
            </w:tcBorders>
            <w:shd w:val="clear" w:color="auto" w:fill="auto"/>
          </w:tcPr>
          <w:p w14:paraId="02A58361" w14:textId="77777777" w:rsidR="00977CCC" w:rsidRPr="00097A86" w:rsidRDefault="00977CCC" w:rsidP="001D12BE">
            <w:pPr>
              <w:pStyle w:val="Tabletext"/>
            </w:pPr>
            <w:r w:rsidRPr="00097A86">
              <w:t xml:space="preserve">Fruit and vegetable </w:t>
            </w:r>
            <w:r w:rsidRPr="00097A86">
              <w:br/>
              <w:t>(ANZSIC code 1140)</w:t>
            </w:r>
          </w:p>
        </w:tc>
        <w:tc>
          <w:tcPr>
            <w:tcW w:w="1109" w:type="pct"/>
            <w:tcBorders>
              <w:bottom w:val="single" w:sz="12" w:space="0" w:color="auto"/>
            </w:tcBorders>
            <w:shd w:val="clear" w:color="auto" w:fill="auto"/>
          </w:tcPr>
          <w:p w14:paraId="22ADDEA8" w14:textId="77777777" w:rsidR="00977CCC" w:rsidRPr="00097A86" w:rsidRDefault="00977CCC" w:rsidP="001D12BE">
            <w:pPr>
              <w:pStyle w:val="Tabletext"/>
              <w:tabs>
                <w:tab w:val="decimal" w:pos="800"/>
              </w:tabs>
            </w:pPr>
            <w:r w:rsidRPr="00097A86">
              <w:t>20.0</w:t>
            </w:r>
          </w:p>
        </w:tc>
        <w:tc>
          <w:tcPr>
            <w:tcW w:w="1081" w:type="pct"/>
            <w:tcBorders>
              <w:bottom w:val="single" w:sz="12" w:space="0" w:color="auto"/>
            </w:tcBorders>
            <w:shd w:val="clear" w:color="auto" w:fill="auto"/>
          </w:tcPr>
          <w:p w14:paraId="03439247" w14:textId="77777777" w:rsidR="00977CCC" w:rsidRPr="00097A86" w:rsidRDefault="00977CCC" w:rsidP="001D12BE">
            <w:pPr>
              <w:pStyle w:val="Tabletext"/>
              <w:tabs>
                <w:tab w:val="decimal" w:pos="800"/>
              </w:tabs>
            </w:pPr>
            <w:r w:rsidRPr="00097A86">
              <w:t>0.2</w:t>
            </w:r>
          </w:p>
        </w:tc>
      </w:tr>
    </w:tbl>
    <w:p w14:paraId="49C68C14" w14:textId="77777777" w:rsidR="00C71260" w:rsidRPr="00097A86" w:rsidRDefault="00C71260" w:rsidP="00D22D3F">
      <w:pPr>
        <w:pStyle w:val="subsection"/>
      </w:pPr>
      <w:r w:rsidRPr="00097A86">
        <w:tab/>
        <w:t>(9)</w:t>
      </w:r>
      <w:r w:rsidRPr="00097A86">
        <w:tab/>
        <w:t xml:space="preserve">For </w:t>
      </w:r>
      <w:r w:rsidR="00097A86">
        <w:t>subsection (</w:t>
      </w:r>
      <w:r w:rsidRPr="00097A86">
        <w:t xml:space="preserve">5), </w:t>
      </w:r>
      <w:r w:rsidRPr="00097A86">
        <w:rPr>
          <w:b/>
          <w:bCs/>
          <w:i/>
          <w:iCs/>
        </w:rPr>
        <w:t>Prod</w:t>
      </w:r>
      <w:r w:rsidRPr="00097A86">
        <w:rPr>
          <w:b/>
          <w:bCs/>
          <w:i/>
          <w:iCs/>
          <w:vertAlign w:val="subscript"/>
        </w:rPr>
        <w:t>i</w:t>
      </w:r>
      <w:r w:rsidRPr="00097A86">
        <w:rPr>
          <w:b/>
          <w:bCs/>
          <w:iCs/>
          <w:vertAlign w:val="subscript"/>
        </w:rPr>
        <w:t xml:space="preserve"> </w:t>
      </w:r>
      <w:r w:rsidRPr="00097A86">
        <w:t>is the amount of any commodity set out in column 2 of an item in the following table, produced by the industry set out in column 2 for that item, and measured in accordance with the corresponding units of measurement set out in column 3 for that item.</w:t>
      </w:r>
    </w:p>
    <w:p w14:paraId="60F8AF69"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28"/>
        <w:gridCol w:w="5196"/>
        <w:gridCol w:w="2489"/>
      </w:tblGrid>
      <w:tr w:rsidR="00C71260" w:rsidRPr="00097A86" w14:paraId="1D5E16B3" w14:textId="77777777" w:rsidTr="00C20CC2">
        <w:trPr>
          <w:tblHeader/>
        </w:trPr>
        <w:tc>
          <w:tcPr>
            <w:tcW w:w="378" w:type="pct"/>
            <w:tcBorders>
              <w:top w:val="single" w:sz="12" w:space="0" w:color="auto"/>
              <w:bottom w:val="single" w:sz="12" w:space="0" w:color="auto"/>
            </w:tcBorders>
            <w:shd w:val="clear" w:color="auto" w:fill="auto"/>
          </w:tcPr>
          <w:p w14:paraId="3F6E284F" w14:textId="77777777" w:rsidR="00C71260" w:rsidRPr="00097A86" w:rsidRDefault="00C71260" w:rsidP="00D22D3F">
            <w:pPr>
              <w:pStyle w:val="TableHeading"/>
              <w:rPr>
                <w:szCs w:val="18"/>
              </w:rPr>
            </w:pPr>
            <w:r w:rsidRPr="00097A86">
              <w:rPr>
                <w:szCs w:val="18"/>
              </w:rPr>
              <w:t>Item</w:t>
            </w:r>
          </w:p>
        </w:tc>
        <w:tc>
          <w:tcPr>
            <w:tcW w:w="3125" w:type="pct"/>
            <w:tcBorders>
              <w:top w:val="single" w:sz="12" w:space="0" w:color="auto"/>
              <w:bottom w:val="single" w:sz="12" w:space="0" w:color="auto"/>
            </w:tcBorders>
            <w:shd w:val="clear" w:color="auto" w:fill="auto"/>
          </w:tcPr>
          <w:p w14:paraId="000D3E63" w14:textId="77777777" w:rsidR="00C71260" w:rsidRPr="00097A86" w:rsidRDefault="00C71260" w:rsidP="00D22D3F">
            <w:pPr>
              <w:pStyle w:val="TableHeading"/>
              <w:rPr>
                <w:szCs w:val="18"/>
              </w:rPr>
            </w:pPr>
            <w:r w:rsidRPr="00097A86">
              <w:rPr>
                <w:szCs w:val="18"/>
              </w:rPr>
              <w:t xml:space="preserve">Commodity and industry </w:t>
            </w:r>
          </w:p>
        </w:tc>
        <w:tc>
          <w:tcPr>
            <w:tcW w:w="1497" w:type="pct"/>
            <w:tcBorders>
              <w:top w:val="single" w:sz="12" w:space="0" w:color="auto"/>
              <w:bottom w:val="single" w:sz="12" w:space="0" w:color="auto"/>
            </w:tcBorders>
            <w:shd w:val="clear" w:color="auto" w:fill="auto"/>
          </w:tcPr>
          <w:p w14:paraId="171F0DB8" w14:textId="77777777" w:rsidR="00C71260" w:rsidRPr="00097A86" w:rsidRDefault="00C71260" w:rsidP="00D22D3F">
            <w:pPr>
              <w:pStyle w:val="TableHeading"/>
              <w:rPr>
                <w:szCs w:val="18"/>
              </w:rPr>
            </w:pPr>
            <w:r w:rsidRPr="00097A86">
              <w:rPr>
                <w:szCs w:val="18"/>
              </w:rPr>
              <w:t>Units of measurement</w:t>
            </w:r>
          </w:p>
        </w:tc>
      </w:tr>
      <w:tr w:rsidR="00C71260" w:rsidRPr="00097A86" w14:paraId="2094B841" w14:textId="77777777" w:rsidTr="00C20CC2">
        <w:tc>
          <w:tcPr>
            <w:tcW w:w="378" w:type="pct"/>
            <w:tcBorders>
              <w:top w:val="single" w:sz="12" w:space="0" w:color="auto"/>
            </w:tcBorders>
            <w:shd w:val="clear" w:color="auto" w:fill="auto"/>
          </w:tcPr>
          <w:p w14:paraId="3D99A3C4" w14:textId="77777777" w:rsidR="00C71260" w:rsidRPr="00097A86" w:rsidRDefault="00C71260" w:rsidP="00D22D3F">
            <w:pPr>
              <w:pStyle w:val="Tabletext"/>
            </w:pPr>
            <w:r w:rsidRPr="00097A86">
              <w:t>1</w:t>
            </w:r>
          </w:p>
        </w:tc>
        <w:tc>
          <w:tcPr>
            <w:tcW w:w="3125" w:type="pct"/>
            <w:tcBorders>
              <w:top w:val="single" w:sz="12" w:space="0" w:color="auto"/>
            </w:tcBorders>
            <w:shd w:val="clear" w:color="auto" w:fill="auto"/>
          </w:tcPr>
          <w:p w14:paraId="4A2C7C8E" w14:textId="77777777" w:rsidR="00C71260" w:rsidRPr="00097A86" w:rsidRDefault="00C71260" w:rsidP="00D22D3F">
            <w:pPr>
              <w:pStyle w:val="Tabletext"/>
            </w:pPr>
            <w:r w:rsidRPr="00097A86">
              <w:t>Dairy product (ANZSIC code 113)</w:t>
            </w:r>
          </w:p>
        </w:tc>
        <w:tc>
          <w:tcPr>
            <w:tcW w:w="1497" w:type="pct"/>
            <w:tcBorders>
              <w:top w:val="single" w:sz="12" w:space="0" w:color="auto"/>
            </w:tcBorders>
            <w:shd w:val="clear" w:color="auto" w:fill="auto"/>
          </w:tcPr>
          <w:p w14:paraId="27B33213" w14:textId="77777777" w:rsidR="00C71260" w:rsidRPr="00097A86" w:rsidRDefault="00C71260" w:rsidP="00D22D3F">
            <w:pPr>
              <w:pStyle w:val="Tabletext"/>
            </w:pPr>
            <w:r w:rsidRPr="00097A86">
              <w:t>tonne of product</w:t>
            </w:r>
          </w:p>
        </w:tc>
      </w:tr>
      <w:tr w:rsidR="00C71260" w:rsidRPr="00097A86" w14:paraId="49734330" w14:textId="77777777" w:rsidTr="00C20CC2">
        <w:tc>
          <w:tcPr>
            <w:tcW w:w="378" w:type="pct"/>
            <w:shd w:val="clear" w:color="auto" w:fill="auto"/>
          </w:tcPr>
          <w:p w14:paraId="046D55AE" w14:textId="77777777" w:rsidR="00C71260" w:rsidRPr="00097A86" w:rsidRDefault="00C71260" w:rsidP="00D22D3F">
            <w:pPr>
              <w:pStyle w:val="Tabletext"/>
            </w:pPr>
            <w:r w:rsidRPr="00097A86">
              <w:t>2</w:t>
            </w:r>
          </w:p>
        </w:tc>
        <w:tc>
          <w:tcPr>
            <w:tcW w:w="3125" w:type="pct"/>
            <w:shd w:val="clear" w:color="auto" w:fill="auto"/>
          </w:tcPr>
          <w:p w14:paraId="717CB34C" w14:textId="77777777" w:rsidR="00C71260" w:rsidRPr="00097A86" w:rsidRDefault="00C71260" w:rsidP="00D22D3F">
            <w:pPr>
              <w:pStyle w:val="Tabletext"/>
            </w:pPr>
            <w:r w:rsidRPr="00097A86">
              <w:t>Pulp, paper and paperboard (ANZSIC code 1510)</w:t>
            </w:r>
          </w:p>
        </w:tc>
        <w:tc>
          <w:tcPr>
            <w:tcW w:w="1497" w:type="pct"/>
            <w:shd w:val="clear" w:color="auto" w:fill="auto"/>
          </w:tcPr>
          <w:p w14:paraId="57F76890" w14:textId="77777777" w:rsidR="00C71260" w:rsidRPr="00097A86" w:rsidRDefault="00F322D3" w:rsidP="00D22D3F">
            <w:pPr>
              <w:pStyle w:val="Tabletext"/>
            </w:pPr>
            <w:r w:rsidRPr="00097A86">
              <w:t>tonne of product</w:t>
            </w:r>
          </w:p>
        </w:tc>
      </w:tr>
      <w:tr w:rsidR="00C71260" w:rsidRPr="00097A86" w14:paraId="73DF97BD" w14:textId="77777777" w:rsidTr="00C20CC2">
        <w:tc>
          <w:tcPr>
            <w:tcW w:w="378" w:type="pct"/>
            <w:shd w:val="clear" w:color="auto" w:fill="auto"/>
          </w:tcPr>
          <w:p w14:paraId="65E57156" w14:textId="77777777" w:rsidR="00C71260" w:rsidRPr="00097A86" w:rsidRDefault="00C71260" w:rsidP="00D22D3F">
            <w:pPr>
              <w:pStyle w:val="Tabletext"/>
            </w:pPr>
            <w:r w:rsidRPr="00097A86">
              <w:t>3</w:t>
            </w:r>
          </w:p>
        </w:tc>
        <w:tc>
          <w:tcPr>
            <w:tcW w:w="3125" w:type="pct"/>
            <w:shd w:val="clear" w:color="auto" w:fill="auto"/>
          </w:tcPr>
          <w:p w14:paraId="2E39D579" w14:textId="77777777" w:rsidR="00C71260" w:rsidRPr="00097A86" w:rsidRDefault="00C71260" w:rsidP="00D22D3F">
            <w:pPr>
              <w:pStyle w:val="Tabletext"/>
            </w:pPr>
            <w:r w:rsidRPr="00097A86">
              <w:rPr>
                <w:szCs w:val="22"/>
              </w:rPr>
              <w:t>Meat and poultry (</w:t>
            </w:r>
            <w:r w:rsidRPr="00097A86">
              <w:t>ANZSIC codes 1111 and 1112)</w:t>
            </w:r>
          </w:p>
        </w:tc>
        <w:tc>
          <w:tcPr>
            <w:tcW w:w="1497" w:type="pct"/>
            <w:shd w:val="clear" w:color="auto" w:fill="auto"/>
          </w:tcPr>
          <w:p w14:paraId="7BBF45A4" w14:textId="77777777" w:rsidR="00C71260" w:rsidRPr="00097A86" w:rsidRDefault="003C667A" w:rsidP="00D22D3F">
            <w:pPr>
              <w:pStyle w:val="Tabletext"/>
            </w:pPr>
            <w:r w:rsidRPr="00097A86">
              <w:t>tonne of product</w:t>
            </w:r>
          </w:p>
        </w:tc>
      </w:tr>
      <w:tr w:rsidR="00C71260" w:rsidRPr="00097A86" w14:paraId="6276A5DE" w14:textId="77777777" w:rsidTr="00C20CC2">
        <w:tc>
          <w:tcPr>
            <w:tcW w:w="378" w:type="pct"/>
            <w:shd w:val="clear" w:color="auto" w:fill="auto"/>
          </w:tcPr>
          <w:p w14:paraId="63CD34E7" w14:textId="77777777" w:rsidR="00C71260" w:rsidRPr="00097A86" w:rsidRDefault="00C71260" w:rsidP="00D22D3F">
            <w:pPr>
              <w:pStyle w:val="Tabletext"/>
            </w:pPr>
            <w:r w:rsidRPr="00097A86">
              <w:t>4</w:t>
            </w:r>
          </w:p>
        </w:tc>
        <w:tc>
          <w:tcPr>
            <w:tcW w:w="3125" w:type="pct"/>
            <w:shd w:val="clear" w:color="auto" w:fill="auto"/>
          </w:tcPr>
          <w:p w14:paraId="52737CE0" w14:textId="77777777" w:rsidR="00C71260" w:rsidRPr="00097A86" w:rsidRDefault="00C71260" w:rsidP="00D22D3F">
            <w:pPr>
              <w:pStyle w:val="Tabletext"/>
            </w:pPr>
            <w:r w:rsidRPr="00097A86">
              <w:t>Organic chemicals (ANZSIC codes 18 and 19)</w:t>
            </w:r>
          </w:p>
        </w:tc>
        <w:tc>
          <w:tcPr>
            <w:tcW w:w="1497" w:type="pct"/>
            <w:shd w:val="clear" w:color="auto" w:fill="auto"/>
          </w:tcPr>
          <w:p w14:paraId="338A79FD" w14:textId="77777777" w:rsidR="00C71260" w:rsidRPr="00097A86" w:rsidRDefault="00C71260" w:rsidP="00D22D3F">
            <w:pPr>
              <w:pStyle w:val="Tabletext"/>
            </w:pPr>
            <w:r w:rsidRPr="00097A86">
              <w:t>tonne of product</w:t>
            </w:r>
          </w:p>
        </w:tc>
      </w:tr>
      <w:tr w:rsidR="00C71260" w:rsidRPr="00097A86" w14:paraId="39454255" w14:textId="77777777" w:rsidTr="00C20CC2">
        <w:tc>
          <w:tcPr>
            <w:tcW w:w="378" w:type="pct"/>
            <w:shd w:val="clear" w:color="auto" w:fill="auto"/>
          </w:tcPr>
          <w:p w14:paraId="7CC61002" w14:textId="77777777" w:rsidR="00C71260" w:rsidRPr="00097A86" w:rsidRDefault="00C71260" w:rsidP="00D22D3F">
            <w:pPr>
              <w:pStyle w:val="Tabletext"/>
            </w:pPr>
            <w:r w:rsidRPr="00097A86">
              <w:t>5</w:t>
            </w:r>
          </w:p>
        </w:tc>
        <w:tc>
          <w:tcPr>
            <w:tcW w:w="3125" w:type="pct"/>
            <w:shd w:val="clear" w:color="auto" w:fill="auto"/>
          </w:tcPr>
          <w:p w14:paraId="55611F2D" w14:textId="77777777" w:rsidR="00C71260" w:rsidRPr="00097A86" w:rsidRDefault="00C71260" w:rsidP="00D22D3F">
            <w:pPr>
              <w:pStyle w:val="Tabletext"/>
            </w:pPr>
            <w:r w:rsidRPr="00097A86">
              <w:t>Raw sugar (ANZSIC code 1181)</w:t>
            </w:r>
          </w:p>
        </w:tc>
        <w:tc>
          <w:tcPr>
            <w:tcW w:w="1497" w:type="pct"/>
            <w:shd w:val="clear" w:color="auto" w:fill="auto"/>
          </w:tcPr>
          <w:p w14:paraId="09F5E455" w14:textId="77777777" w:rsidR="00C71260" w:rsidRPr="00097A86" w:rsidRDefault="003C667A" w:rsidP="00D22D3F">
            <w:pPr>
              <w:pStyle w:val="Tabletext"/>
            </w:pPr>
            <w:r w:rsidRPr="00097A86">
              <w:t>tonne of product</w:t>
            </w:r>
          </w:p>
        </w:tc>
      </w:tr>
      <w:tr w:rsidR="00C71260" w:rsidRPr="00097A86" w14:paraId="4E4B0307" w14:textId="77777777" w:rsidTr="00C20CC2">
        <w:tc>
          <w:tcPr>
            <w:tcW w:w="378" w:type="pct"/>
            <w:shd w:val="clear" w:color="auto" w:fill="auto"/>
          </w:tcPr>
          <w:p w14:paraId="310E8C39" w14:textId="77777777" w:rsidR="00C71260" w:rsidRPr="00097A86" w:rsidRDefault="00C71260" w:rsidP="00D22D3F">
            <w:pPr>
              <w:pStyle w:val="Tabletext"/>
            </w:pPr>
            <w:r w:rsidRPr="00097A86">
              <w:t>6</w:t>
            </w:r>
          </w:p>
        </w:tc>
        <w:tc>
          <w:tcPr>
            <w:tcW w:w="3125" w:type="pct"/>
            <w:shd w:val="clear" w:color="auto" w:fill="auto"/>
          </w:tcPr>
          <w:p w14:paraId="16263C47" w14:textId="77777777" w:rsidR="00C71260" w:rsidRPr="00097A86" w:rsidRDefault="00C71260" w:rsidP="00D22D3F">
            <w:pPr>
              <w:pStyle w:val="Tabletext"/>
            </w:pPr>
            <w:r w:rsidRPr="00097A86">
              <w:t>Beer (ANZSIC code 1212)</w:t>
            </w:r>
          </w:p>
        </w:tc>
        <w:tc>
          <w:tcPr>
            <w:tcW w:w="1497" w:type="pct"/>
            <w:shd w:val="clear" w:color="auto" w:fill="auto"/>
          </w:tcPr>
          <w:p w14:paraId="53E333E7" w14:textId="77777777" w:rsidR="00C71260" w:rsidRPr="00097A86" w:rsidRDefault="00C71260" w:rsidP="00D22D3F">
            <w:pPr>
              <w:pStyle w:val="Tabletext"/>
            </w:pPr>
            <w:r w:rsidRPr="00097A86">
              <w:t xml:space="preserve">tonne of product </w:t>
            </w:r>
          </w:p>
        </w:tc>
      </w:tr>
      <w:tr w:rsidR="00C71260" w:rsidRPr="00097A86" w14:paraId="1B1E4D1E" w14:textId="77777777" w:rsidTr="00C20CC2">
        <w:tc>
          <w:tcPr>
            <w:tcW w:w="378" w:type="pct"/>
            <w:tcBorders>
              <w:bottom w:val="single" w:sz="4" w:space="0" w:color="auto"/>
            </w:tcBorders>
            <w:shd w:val="clear" w:color="auto" w:fill="auto"/>
          </w:tcPr>
          <w:p w14:paraId="2EC002C7" w14:textId="77777777" w:rsidR="00C71260" w:rsidRPr="00097A86" w:rsidRDefault="00C71260" w:rsidP="00D22D3F">
            <w:pPr>
              <w:pStyle w:val="Tabletext"/>
            </w:pPr>
            <w:r w:rsidRPr="00097A86">
              <w:t>7</w:t>
            </w:r>
          </w:p>
        </w:tc>
        <w:tc>
          <w:tcPr>
            <w:tcW w:w="3125" w:type="pct"/>
            <w:tcBorders>
              <w:bottom w:val="single" w:sz="4" w:space="0" w:color="auto"/>
            </w:tcBorders>
            <w:shd w:val="clear" w:color="auto" w:fill="auto"/>
          </w:tcPr>
          <w:p w14:paraId="173760F7" w14:textId="77777777" w:rsidR="00C71260" w:rsidRPr="00097A86" w:rsidRDefault="00C71260" w:rsidP="00D22D3F">
            <w:pPr>
              <w:pStyle w:val="Tabletext"/>
            </w:pPr>
            <w:r w:rsidRPr="00097A86">
              <w:t>Wine and other alcoholic beverage (ANZSIC code 1214)</w:t>
            </w:r>
          </w:p>
        </w:tc>
        <w:tc>
          <w:tcPr>
            <w:tcW w:w="1497" w:type="pct"/>
            <w:tcBorders>
              <w:bottom w:val="single" w:sz="4" w:space="0" w:color="auto"/>
            </w:tcBorders>
            <w:shd w:val="clear" w:color="auto" w:fill="auto"/>
          </w:tcPr>
          <w:p w14:paraId="428FA0F2" w14:textId="77777777" w:rsidR="00C71260" w:rsidRPr="00097A86" w:rsidRDefault="00C71260" w:rsidP="00D22D3F">
            <w:pPr>
              <w:pStyle w:val="Tabletext"/>
            </w:pPr>
            <w:r w:rsidRPr="00097A86">
              <w:t>tonne of product</w:t>
            </w:r>
          </w:p>
        </w:tc>
      </w:tr>
      <w:tr w:rsidR="00C71260" w:rsidRPr="00097A86" w14:paraId="6E4F96A6" w14:textId="77777777" w:rsidTr="00C20CC2">
        <w:tc>
          <w:tcPr>
            <w:tcW w:w="378" w:type="pct"/>
            <w:tcBorders>
              <w:bottom w:val="single" w:sz="12" w:space="0" w:color="auto"/>
            </w:tcBorders>
            <w:shd w:val="clear" w:color="auto" w:fill="auto"/>
          </w:tcPr>
          <w:p w14:paraId="74812C45" w14:textId="77777777" w:rsidR="00C71260" w:rsidRPr="00097A86" w:rsidRDefault="00C71260" w:rsidP="00D22D3F">
            <w:pPr>
              <w:pStyle w:val="Tabletext"/>
            </w:pPr>
            <w:r w:rsidRPr="00097A86">
              <w:t>8</w:t>
            </w:r>
          </w:p>
        </w:tc>
        <w:tc>
          <w:tcPr>
            <w:tcW w:w="3125" w:type="pct"/>
            <w:tcBorders>
              <w:bottom w:val="single" w:sz="12" w:space="0" w:color="auto"/>
            </w:tcBorders>
            <w:shd w:val="clear" w:color="auto" w:fill="auto"/>
          </w:tcPr>
          <w:p w14:paraId="1A8C51FF" w14:textId="77777777" w:rsidR="00C71260" w:rsidRPr="00097A86" w:rsidRDefault="00C71260" w:rsidP="00D22D3F">
            <w:pPr>
              <w:pStyle w:val="Tabletext"/>
            </w:pPr>
            <w:r w:rsidRPr="00097A86">
              <w:t>Fruit and vegetable (ANZSIC code 1140)</w:t>
            </w:r>
          </w:p>
        </w:tc>
        <w:tc>
          <w:tcPr>
            <w:tcW w:w="1497" w:type="pct"/>
            <w:tcBorders>
              <w:bottom w:val="single" w:sz="12" w:space="0" w:color="auto"/>
            </w:tcBorders>
            <w:shd w:val="clear" w:color="auto" w:fill="auto"/>
          </w:tcPr>
          <w:p w14:paraId="14327217" w14:textId="77777777" w:rsidR="00C71260" w:rsidRPr="00097A86" w:rsidRDefault="00C71260" w:rsidP="00D22D3F">
            <w:pPr>
              <w:pStyle w:val="Tabletext"/>
            </w:pPr>
            <w:r w:rsidRPr="00097A86">
              <w:t>tonne of product</w:t>
            </w:r>
          </w:p>
        </w:tc>
      </w:tr>
    </w:tbl>
    <w:p w14:paraId="7E534447" w14:textId="77777777" w:rsidR="00E77B52" w:rsidRPr="00097A86" w:rsidRDefault="00E77B52" w:rsidP="00D22D3F">
      <w:pPr>
        <w:pStyle w:val="subsection"/>
      </w:pPr>
      <w:r w:rsidRPr="00097A86">
        <w:tab/>
        <w:t>(10)</w:t>
      </w:r>
      <w:r w:rsidRPr="00097A86">
        <w:tab/>
        <w:t>In this section:</w:t>
      </w:r>
    </w:p>
    <w:p w14:paraId="5B6F603C" w14:textId="77777777" w:rsidR="00E77B52" w:rsidRPr="00097A86" w:rsidRDefault="00E77B52" w:rsidP="00D22D3F">
      <w:pPr>
        <w:pStyle w:val="Definition"/>
      </w:pPr>
      <w:r w:rsidRPr="00097A86">
        <w:rPr>
          <w:b/>
          <w:i/>
        </w:rPr>
        <w:t xml:space="preserve">methane correction factor </w:t>
      </w:r>
      <w:r w:rsidRPr="00097A86">
        <w:t>is the fraction of COD anaerobically treated.</w:t>
      </w:r>
    </w:p>
    <w:p w14:paraId="5ACBD528" w14:textId="77777777" w:rsidR="003F0D4E" w:rsidRPr="00097A86" w:rsidRDefault="003F0D4E" w:rsidP="00D22D3F">
      <w:pPr>
        <w:pStyle w:val="ActHead3"/>
        <w:pageBreakBefore/>
      </w:pPr>
      <w:bookmarkStart w:id="623" w:name="_Toc13234050"/>
      <w:r w:rsidRPr="00097A86">
        <w:rPr>
          <w:rStyle w:val="CharDivNo"/>
        </w:rPr>
        <w:lastRenderedPageBreak/>
        <w:t>Division</w:t>
      </w:r>
      <w:r w:rsidR="00097A86">
        <w:rPr>
          <w:rStyle w:val="CharDivNo"/>
        </w:rPr>
        <w:t> </w:t>
      </w:r>
      <w:r w:rsidRPr="00097A86">
        <w:rPr>
          <w:rStyle w:val="CharDivNo"/>
        </w:rPr>
        <w:t>5.4.3</w:t>
      </w:r>
      <w:r w:rsidR="00D22D3F" w:rsidRPr="00097A86">
        <w:t>—</w:t>
      </w:r>
      <w:r w:rsidRPr="00097A86">
        <w:rPr>
          <w:rStyle w:val="CharDivText"/>
        </w:rPr>
        <w:t>Method 2</w:t>
      </w:r>
      <w:r w:rsidR="00D22D3F" w:rsidRPr="00097A86">
        <w:rPr>
          <w:rStyle w:val="CharDivText"/>
        </w:rPr>
        <w:t>—</w:t>
      </w:r>
      <w:r w:rsidRPr="00097A86">
        <w:rPr>
          <w:rStyle w:val="CharDivText"/>
        </w:rPr>
        <w:t>methane released from wastewater handling (industrial)</w:t>
      </w:r>
      <w:bookmarkEnd w:id="623"/>
    </w:p>
    <w:p w14:paraId="58BD46EE" w14:textId="77777777" w:rsidR="003F0D4E" w:rsidRPr="00097A86" w:rsidRDefault="003F0D4E" w:rsidP="00D22D3F">
      <w:pPr>
        <w:pStyle w:val="ActHead5"/>
      </w:pPr>
      <w:bookmarkStart w:id="624" w:name="_Toc13234051"/>
      <w:r w:rsidRPr="00097A86">
        <w:rPr>
          <w:rStyle w:val="CharSectno"/>
        </w:rPr>
        <w:t>5.43</w:t>
      </w:r>
      <w:r w:rsidR="00D22D3F" w:rsidRPr="00097A86">
        <w:t xml:space="preserve">  </w:t>
      </w:r>
      <w:r w:rsidRPr="00097A86">
        <w:t>Method 2</w:t>
      </w:r>
      <w:r w:rsidR="00D22D3F" w:rsidRPr="00097A86">
        <w:t>—</w:t>
      </w:r>
      <w:r w:rsidRPr="00097A86">
        <w:t>methane released from wastewater handling (industrial)</w:t>
      </w:r>
      <w:bookmarkEnd w:id="624"/>
    </w:p>
    <w:p w14:paraId="70570BC6" w14:textId="77777777" w:rsidR="003F0D4E" w:rsidRPr="00097A86" w:rsidRDefault="003F0D4E" w:rsidP="00D22D3F">
      <w:pPr>
        <w:pStyle w:val="subsection"/>
      </w:pPr>
      <w:r w:rsidRPr="00097A86">
        <w:tab/>
        <w:t>(1)</w:t>
      </w:r>
      <w:r w:rsidRPr="00097A86">
        <w:tab/>
        <w:t>For paragraph</w:t>
      </w:r>
      <w:r w:rsidR="00097A86">
        <w:t> </w:t>
      </w:r>
      <w:r w:rsidRPr="00097A86">
        <w:t>5.41(1)(b) and subject to this section, method 2 for wastewater handling (industrial) is the same as method 1 under section</w:t>
      </w:r>
      <w:r w:rsidR="00097A86">
        <w:t> </w:t>
      </w:r>
      <w:r w:rsidRPr="00097A86">
        <w:t>5.42.</w:t>
      </w:r>
    </w:p>
    <w:p w14:paraId="566B99AC"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5.42, </w:t>
      </w:r>
      <w:r w:rsidR="00314087" w:rsidRPr="00097A86">
        <w:t xml:space="preserve">each mention of </w:t>
      </w:r>
      <w:r w:rsidR="00314087" w:rsidRPr="00097A86">
        <w:rPr>
          <w:b/>
          <w:i/>
        </w:rPr>
        <w:t>COD</w:t>
      </w:r>
      <w:r w:rsidR="00314087" w:rsidRPr="00097A86">
        <w:rPr>
          <w:b/>
          <w:i/>
          <w:vertAlign w:val="subscript"/>
        </w:rPr>
        <w:t>w,i</w:t>
      </w:r>
      <w:r w:rsidRPr="00097A86">
        <w:t xml:space="preserve"> in subsection</w:t>
      </w:r>
      <w:r w:rsidR="00097A86">
        <w:t> </w:t>
      </w:r>
      <w:r w:rsidRPr="00097A86">
        <w:t>5.42(5) must be estimated from wastewater entering the plant and must be calculated by using:</w:t>
      </w:r>
    </w:p>
    <w:p w14:paraId="78F3474E" w14:textId="77777777" w:rsidR="003F0D4E" w:rsidRPr="00097A86" w:rsidRDefault="003F0D4E" w:rsidP="00D22D3F">
      <w:pPr>
        <w:pStyle w:val="paragraph"/>
      </w:pPr>
      <w:r w:rsidRPr="00097A86">
        <w:tab/>
        <w:t>(a)</w:t>
      </w:r>
      <w:r w:rsidRPr="00097A86">
        <w:tab/>
        <w:t>facility operating data that measures the volumetric influent rate and the influent rate of COD concentrations; or</w:t>
      </w:r>
    </w:p>
    <w:p w14:paraId="280363CA" w14:textId="77777777" w:rsidR="003F0D4E" w:rsidRPr="00097A86" w:rsidRDefault="003F0D4E" w:rsidP="00D22D3F">
      <w:pPr>
        <w:pStyle w:val="paragraph"/>
      </w:pPr>
      <w:r w:rsidRPr="00097A86">
        <w:tab/>
        <w:t>(b)</w:t>
      </w:r>
      <w:r w:rsidRPr="00097A86">
        <w:tab/>
        <w:t>if data is available on the biochemical oxygen demand (</w:t>
      </w:r>
      <w:r w:rsidRPr="00097A86">
        <w:rPr>
          <w:b/>
          <w:i/>
        </w:rPr>
        <w:t>BOD</w:t>
      </w:r>
      <w:r w:rsidRPr="00097A86">
        <w:t>) in the wastewater</w:t>
      </w:r>
      <w:r w:rsidR="00D22D3F" w:rsidRPr="00097A86">
        <w:t>—</w:t>
      </w:r>
      <w:r w:rsidRPr="00097A86">
        <w:t>that data converted to COD in accordance with the following formula:</w:t>
      </w:r>
    </w:p>
    <w:p w14:paraId="2517F7F4" w14:textId="77777777" w:rsidR="003F0D4E" w:rsidRPr="00097A86" w:rsidRDefault="00D22D3F" w:rsidP="00D22D3F">
      <w:pPr>
        <w:pStyle w:val="paragraph"/>
        <w:spacing w:before="120" w:after="120"/>
      </w:pPr>
      <w:r w:rsidRPr="00097A86">
        <w:tab/>
      </w:r>
      <w:r w:rsidRPr="00097A86">
        <w:tab/>
      </w:r>
      <w:r w:rsidR="009E1F90">
        <w:rPr>
          <w:noProof/>
        </w:rPr>
        <w:drawing>
          <wp:inline distT="0" distB="0" distL="0" distR="0" wp14:anchorId="4DC6D2CD" wp14:editId="5F91F33D">
            <wp:extent cx="1409700" cy="23812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14:paraId="23900EA1" w14:textId="77777777" w:rsidR="007B23C9" w:rsidRPr="00097A86" w:rsidRDefault="007B23C9" w:rsidP="00D22D3F">
      <w:pPr>
        <w:pStyle w:val="subsection"/>
      </w:pPr>
      <w:r w:rsidRPr="00097A86">
        <w:tab/>
        <w:t>(2A)</w:t>
      </w:r>
      <w:r w:rsidRPr="00097A86">
        <w:tab/>
        <w:t>In applying method 1 under section</w:t>
      </w:r>
      <w:r w:rsidR="00097A86">
        <w:t> </w:t>
      </w:r>
      <w:r w:rsidRPr="00097A86">
        <w:t>5.42, the reference to 0.75 in subsections</w:t>
      </w:r>
      <w:r w:rsidR="00097A86">
        <w:t> </w:t>
      </w:r>
      <w:r w:rsidRPr="00097A86">
        <w:t>5.42(2) and (3) is to read as a reference to 1.00.</w:t>
      </w:r>
    </w:p>
    <w:p w14:paraId="688DF8CC" w14:textId="77777777" w:rsidR="003F0D4E" w:rsidRPr="00097A86" w:rsidRDefault="003F0D4E" w:rsidP="00D22D3F">
      <w:pPr>
        <w:pStyle w:val="subsection"/>
      </w:pPr>
      <w:r w:rsidRPr="00097A86">
        <w:tab/>
        <w:t>(3)</w:t>
      </w:r>
      <w:r w:rsidRPr="00097A86">
        <w:tab/>
        <w:t xml:space="preserve">Wastewater used for the purposes of </w:t>
      </w:r>
      <w:r w:rsidR="00097A86">
        <w:t>subsection (</w:t>
      </w:r>
      <w:r w:rsidRPr="00097A86">
        <w:t xml:space="preserve">2), must be sampled and analysed for COD in accordance with the requirements </w:t>
      </w:r>
      <w:r w:rsidR="003D5DBD" w:rsidRPr="00097A86">
        <w:t>in sections</w:t>
      </w:r>
      <w:r w:rsidR="00097A86">
        <w:t> </w:t>
      </w:r>
      <w:r w:rsidRPr="00097A86">
        <w:t>5.44, 5.45 and 5.46.</w:t>
      </w:r>
    </w:p>
    <w:p w14:paraId="298EA0CC" w14:textId="77777777" w:rsidR="003F0D4E" w:rsidRPr="00097A86" w:rsidRDefault="003F0D4E" w:rsidP="00D22D3F">
      <w:pPr>
        <w:pStyle w:val="ActHead5"/>
      </w:pPr>
      <w:bookmarkStart w:id="625" w:name="_Toc13234052"/>
      <w:r w:rsidRPr="00097A86">
        <w:rPr>
          <w:rStyle w:val="CharSectno"/>
        </w:rPr>
        <w:t>5.44</w:t>
      </w:r>
      <w:r w:rsidR="00D22D3F" w:rsidRPr="00097A86">
        <w:t xml:space="preserve">  </w:t>
      </w:r>
      <w:r w:rsidRPr="00097A86">
        <w:t>General requirements for sampling under method 2</w:t>
      </w:r>
      <w:bookmarkEnd w:id="625"/>
    </w:p>
    <w:p w14:paraId="5FBB8128" w14:textId="77777777" w:rsidR="003F0D4E" w:rsidRPr="00097A86" w:rsidRDefault="003F0D4E" w:rsidP="00D22D3F">
      <w:pPr>
        <w:pStyle w:val="subsection"/>
      </w:pPr>
      <w:r w:rsidRPr="00097A86">
        <w:tab/>
        <w:t>(1)</w:t>
      </w:r>
      <w:r w:rsidRPr="00097A86">
        <w:tab/>
        <w:t>A sample must be representative of the wastewater and the COD concentrations at the plant.</w:t>
      </w:r>
    </w:p>
    <w:p w14:paraId="3756CD93" w14:textId="77777777" w:rsidR="003F0D4E" w:rsidRPr="00097A86" w:rsidRDefault="003F0D4E" w:rsidP="00D22D3F">
      <w:pPr>
        <w:pStyle w:val="subsection"/>
      </w:pPr>
      <w:r w:rsidRPr="00097A86">
        <w:tab/>
        <w:t>(2)</w:t>
      </w:r>
      <w:r w:rsidRPr="00097A86">
        <w:tab/>
        <w:t>The samples must be collected on enough occasions to produce a representative sample.</w:t>
      </w:r>
    </w:p>
    <w:p w14:paraId="1819456A" w14:textId="77777777" w:rsidR="003F0D4E" w:rsidRPr="00097A86" w:rsidRDefault="003F0D4E" w:rsidP="00D22D3F">
      <w:pPr>
        <w:pStyle w:val="subsection"/>
      </w:pPr>
      <w:r w:rsidRPr="00097A86">
        <w:tab/>
        <w:t>(3)</w:t>
      </w:r>
      <w:r w:rsidRPr="00097A86">
        <w:tab/>
        <w:t>The samples must also be free of bias so that any estimates are neither over nor under estimates of the true value.</w:t>
      </w:r>
    </w:p>
    <w:p w14:paraId="1C88B226" w14:textId="77777777" w:rsidR="003F0D4E" w:rsidRPr="00097A86" w:rsidRDefault="003F0D4E" w:rsidP="00D22D3F">
      <w:pPr>
        <w:pStyle w:val="subsection"/>
      </w:pPr>
      <w:r w:rsidRPr="00097A86">
        <w:tab/>
        <w:t>(4)</w:t>
      </w:r>
      <w:r w:rsidRPr="00097A86">
        <w:tab/>
        <w:t>Bias must be tested in accordance with an appropriate standard (if any).</w:t>
      </w:r>
    </w:p>
    <w:p w14:paraId="43272FF3" w14:textId="77777777" w:rsidR="003F0D4E" w:rsidRPr="00097A86" w:rsidRDefault="003F0D4E" w:rsidP="00D22D3F">
      <w:pPr>
        <w:pStyle w:val="subsection"/>
      </w:pPr>
      <w:r w:rsidRPr="00097A86">
        <w:tab/>
        <w:t>(5)</w:t>
      </w:r>
      <w:r w:rsidRPr="00097A86">
        <w:tab/>
        <w:t>The value obtained from the sample must only be used for the plant for which it was intended to be representative.</w:t>
      </w:r>
    </w:p>
    <w:p w14:paraId="51675671" w14:textId="77777777" w:rsidR="003F0D4E" w:rsidRPr="00097A86" w:rsidRDefault="003F0D4E" w:rsidP="00D22D3F">
      <w:pPr>
        <w:pStyle w:val="ActHead5"/>
      </w:pPr>
      <w:bookmarkStart w:id="626" w:name="_Toc13234053"/>
      <w:r w:rsidRPr="00097A86">
        <w:rPr>
          <w:rStyle w:val="CharSectno"/>
        </w:rPr>
        <w:t>5.45</w:t>
      </w:r>
      <w:r w:rsidR="00D22D3F" w:rsidRPr="00097A86">
        <w:t xml:space="preserve">  </w:t>
      </w:r>
      <w:r w:rsidRPr="00097A86">
        <w:t>Standards for analysis</w:t>
      </w:r>
      <w:bookmarkEnd w:id="626"/>
    </w:p>
    <w:p w14:paraId="046C0CBD" w14:textId="77777777" w:rsidR="003F0D4E" w:rsidRPr="00097A86" w:rsidRDefault="003F0D4E" w:rsidP="00D22D3F">
      <w:pPr>
        <w:pStyle w:val="subsection"/>
      </w:pPr>
      <w:r w:rsidRPr="00097A86">
        <w:tab/>
        <w:t>(1)</w:t>
      </w:r>
      <w:r w:rsidRPr="00097A86">
        <w:tab/>
        <w:t>Samples of wastewater must be analysed for COD in accordance with:</w:t>
      </w:r>
    </w:p>
    <w:p w14:paraId="4031606A" w14:textId="77777777" w:rsidR="003F0D4E" w:rsidRPr="00097A86" w:rsidRDefault="003F0D4E" w:rsidP="00D22D3F">
      <w:pPr>
        <w:pStyle w:val="paragraph"/>
      </w:pPr>
      <w:r w:rsidRPr="00097A86">
        <w:tab/>
        <w:t>(a)</w:t>
      </w:r>
      <w:r w:rsidRPr="00097A86">
        <w:tab/>
        <w:t>ISO 6060:1989; or</w:t>
      </w:r>
    </w:p>
    <w:p w14:paraId="414C8D5D" w14:textId="77777777" w:rsidR="003F0D4E" w:rsidRPr="00097A86" w:rsidRDefault="003F0D4E" w:rsidP="00D22D3F">
      <w:pPr>
        <w:pStyle w:val="paragraph"/>
      </w:pPr>
      <w:r w:rsidRPr="00097A86">
        <w:tab/>
        <w:t>(b)</w:t>
      </w:r>
      <w:r w:rsidRPr="00097A86">
        <w:tab/>
        <w:t>sections</w:t>
      </w:r>
      <w:r w:rsidR="00097A86">
        <w:t> </w:t>
      </w:r>
      <w:r w:rsidRPr="00097A86">
        <w:t>5220B, 5220C or 5220D of APHA (1995); or</w:t>
      </w:r>
    </w:p>
    <w:p w14:paraId="30D7EDDF" w14:textId="77777777" w:rsidR="003F0D4E" w:rsidRPr="00097A86" w:rsidRDefault="003F0D4E" w:rsidP="00D22D3F">
      <w:pPr>
        <w:pStyle w:val="paragraph"/>
      </w:pPr>
      <w:r w:rsidRPr="00097A86">
        <w:tab/>
        <w:t>(c)</w:t>
      </w:r>
      <w:r w:rsidRPr="00097A86">
        <w:tab/>
        <w:t>an equivalent Australian or international standard.</w:t>
      </w:r>
    </w:p>
    <w:p w14:paraId="66CD499E" w14:textId="77777777" w:rsidR="003F0D4E" w:rsidRPr="00097A86" w:rsidRDefault="003F0D4E" w:rsidP="00D22D3F">
      <w:pPr>
        <w:pStyle w:val="subsection"/>
      </w:pPr>
      <w:r w:rsidRPr="00097A86">
        <w:tab/>
        <w:t>(2)</w:t>
      </w:r>
      <w:r w:rsidRPr="00097A86">
        <w:tab/>
        <w:t>Samples of wastewater must be analysed for BOD in accordance with:</w:t>
      </w:r>
    </w:p>
    <w:p w14:paraId="6C8E28C8" w14:textId="77777777" w:rsidR="003F0D4E" w:rsidRPr="00097A86" w:rsidRDefault="003F0D4E" w:rsidP="00D22D3F">
      <w:pPr>
        <w:pStyle w:val="paragraph"/>
      </w:pPr>
      <w:r w:rsidRPr="00097A86">
        <w:lastRenderedPageBreak/>
        <w:tab/>
        <w:t>(a)</w:t>
      </w:r>
      <w:r w:rsidRPr="00097A86">
        <w:tab/>
        <w:t>AS 4351.5—1996; or</w:t>
      </w:r>
    </w:p>
    <w:p w14:paraId="24BF8090" w14:textId="77777777" w:rsidR="003F0D4E" w:rsidRPr="00097A86" w:rsidRDefault="003F0D4E" w:rsidP="00D22D3F">
      <w:pPr>
        <w:pStyle w:val="paragraph"/>
      </w:pPr>
      <w:r w:rsidRPr="00097A86">
        <w:tab/>
        <w:t>(b)</w:t>
      </w:r>
      <w:r w:rsidRPr="00097A86">
        <w:tab/>
        <w:t>section</w:t>
      </w:r>
      <w:r w:rsidR="00097A86">
        <w:t> </w:t>
      </w:r>
      <w:r w:rsidRPr="00097A86">
        <w:t>5210B of APHA (1995); or</w:t>
      </w:r>
    </w:p>
    <w:p w14:paraId="61B3CA2F" w14:textId="77777777" w:rsidR="003F0D4E" w:rsidRPr="00097A86" w:rsidRDefault="003F0D4E" w:rsidP="00D22D3F">
      <w:pPr>
        <w:pStyle w:val="paragraph"/>
      </w:pPr>
      <w:r w:rsidRPr="00097A86">
        <w:tab/>
        <w:t>(c)</w:t>
      </w:r>
      <w:r w:rsidRPr="00097A86">
        <w:tab/>
        <w:t>an equivalent Australian or international standard.</w:t>
      </w:r>
    </w:p>
    <w:p w14:paraId="49605DEA" w14:textId="77777777" w:rsidR="003F0D4E" w:rsidRPr="00097A86" w:rsidRDefault="003F0D4E" w:rsidP="00D22D3F">
      <w:pPr>
        <w:pStyle w:val="ActHead5"/>
      </w:pPr>
      <w:bookmarkStart w:id="627" w:name="_Toc13234054"/>
      <w:r w:rsidRPr="00097A86">
        <w:rPr>
          <w:rStyle w:val="CharSectno"/>
        </w:rPr>
        <w:t>5.46</w:t>
      </w:r>
      <w:r w:rsidR="00D22D3F" w:rsidRPr="00097A86">
        <w:t xml:space="preserve">  </w:t>
      </w:r>
      <w:r w:rsidRPr="00097A86">
        <w:t>Frequency of sampling and analysis</w:t>
      </w:r>
      <w:bookmarkEnd w:id="627"/>
    </w:p>
    <w:p w14:paraId="10FFC8FB" w14:textId="77777777" w:rsidR="003F0D4E" w:rsidRPr="00097A86" w:rsidRDefault="003F0D4E" w:rsidP="00D22D3F">
      <w:pPr>
        <w:pStyle w:val="subsection"/>
      </w:pPr>
      <w:r w:rsidRPr="00097A86">
        <w:tab/>
      </w:r>
      <w:r w:rsidRPr="00097A86">
        <w:tab/>
        <w:t>Wastewater must be sampled and analysed on at least a monthly basis.</w:t>
      </w:r>
    </w:p>
    <w:p w14:paraId="3FCDF909" w14:textId="77777777" w:rsidR="003F0D4E" w:rsidRPr="00097A86" w:rsidRDefault="003F0D4E" w:rsidP="00DA24D4">
      <w:pPr>
        <w:pStyle w:val="ActHead3"/>
        <w:pageBreakBefore/>
      </w:pPr>
      <w:bookmarkStart w:id="628" w:name="_Toc13234055"/>
      <w:r w:rsidRPr="00097A86">
        <w:rPr>
          <w:rStyle w:val="CharDivNo"/>
        </w:rPr>
        <w:lastRenderedPageBreak/>
        <w:t>Division</w:t>
      </w:r>
      <w:r w:rsidR="00097A86">
        <w:rPr>
          <w:rStyle w:val="CharDivNo"/>
        </w:rPr>
        <w:t> </w:t>
      </w:r>
      <w:r w:rsidRPr="00097A86">
        <w:rPr>
          <w:rStyle w:val="CharDivNo"/>
        </w:rPr>
        <w:t>5.4.4</w:t>
      </w:r>
      <w:r w:rsidR="00D22D3F" w:rsidRPr="00097A86">
        <w:t>—</w:t>
      </w:r>
      <w:r w:rsidRPr="00097A86">
        <w:rPr>
          <w:rStyle w:val="CharDivText"/>
        </w:rPr>
        <w:t>Method 3</w:t>
      </w:r>
      <w:r w:rsidR="00D22D3F" w:rsidRPr="00097A86">
        <w:rPr>
          <w:rStyle w:val="CharDivText"/>
        </w:rPr>
        <w:t>—</w:t>
      </w:r>
      <w:r w:rsidRPr="00097A86">
        <w:rPr>
          <w:rStyle w:val="CharDivText"/>
        </w:rPr>
        <w:t>methane released from wastewater handling (industrial)</w:t>
      </w:r>
      <w:bookmarkEnd w:id="628"/>
    </w:p>
    <w:p w14:paraId="5BD79C6B" w14:textId="77777777" w:rsidR="003F0D4E" w:rsidRPr="00097A86" w:rsidRDefault="003F0D4E" w:rsidP="00D22D3F">
      <w:pPr>
        <w:pStyle w:val="ActHead5"/>
      </w:pPr>
      <w:bookmarkStart w:id="629" w:name="_Toc13234056"/>
      <w:r w:rsidRPr="00097A86">
        <w:rPr>
          <w:rStyle w:val="CharSectno"/>
        </w:rPr>
        <w:t>5.47</w:t>
      </w:r>
      <w:r w:rsidR="00D22D3F" w:rsidRPr="00097A86">
        <w:t xml:space="preserve">  </w:t>
      </w:r>
      <w:r w:rsidRPr="00097A86">
        <w:t>Method 3</w:t>
      </w:r>
      <w:r w:rsidR="00D22D3F" w:rsidRPr="00097A86">
        <w:t>—</w:t>
      </w:r>
      <w:r w:rsidRPr="00097A86">
        <w:t>methane released from wastewater handling (industrial)</w:t>
      </w:r>
      <w:bookmarkEnd w:id="629"/>
    </w:p>
    <w:p w14:paraId="7998A004" w14:textId="77777777" w:rsidR="003F0D4E" w:rsidRPr="00097A86" w:rsidRDefault="003F0D4E" w:rsidP="00D22D3F">
      <w:pPr>
        <w:pStyle w:val="subsection"/>
      </w:pPr>
      <w:r w:rsidRPr="00097A86">
        <w:tab/>
        <w:t>(1)</w:t>
      </w:r>
      <w:r w:rsidRPr="00097A86">
        <w:tab/>
        <w:t>For paragraph</w:t>
      </w:r>
      <w:r w:rsidR="00097A86">
        <w:t> </w:t>
      </w:r>
      <w:r w:rsidRPr="00097A86">
        <w:t>5.41</w:t>
      </w:r>
      <w:r w:rsidR="00B46E63" w:rsidRPr="00097A86">
        <w:t>(</w:t>
      </w:r>
      <w:r w:rsidRPr="00097A86">
        <w:t>1)</w:t>
      </w:r>
      <w:r w:rsidR="00B46E63" w:rsidRPr="00097A86">
        <w:t>(</w:t>
      </w:r>
      <w:r w:rsidRPr="00097A86">
        <w:t xml:space="preserve">c) and subject to </w:t>
      </w:r>
      <w:r w:rsidR="00097A86">
        <w:t>subsection (</w:t>
      </w:r>
      <w:r w:rsidRPr="00097A86">
        <w:t>2), method 3 is the same as method 2 under section</w:t>
      </w:r>
      <w:r w:rsidR="00097A86">
        <w:t> </w:t>
      </w:r>
      <w:r w:rsidRPr="00097A86">
        <w:t>5.43.</w:t>
      </w:r>
    </w:p>
    <w:p w14:paraId="6F3FAFEA" w14:textId="77777777" w:rsidR="003F0D4E" w:rsidRPr="00097A86" w:rsidRDefault="003F0D4E" w:rsidP="00D22D3F">
      <w:pPr>
        <w:pStyle w:val="subsection"/>
      </w:pPr>
      <w:r w:rsidRPr="00097A86">
        <w:tab/>
        <w:t>(2)</w:t>
      </w:r>
      <w:r w:rsidRPr="00097A86">
        <w:tab/>
        <w:t>In applying method 2 under section</w:t>
      </w:r>
      <w:r w:rsidR="00097A86">
        <w:t> </w:t>
      </w:r>
      <w:r w:rsidRPr="00097A86">
        <w:t>5.43, the wastewater must be sampled in accordance with AS/NZS 5667.10:1998 or an equivalent Australian or international standard.</w:t>
      </w:r>
    </w:p>
    <w:p w14:paraId="794C8496" w14:textId="77777777" w:rsidR="003F0D4E" w:rsidRPr="00097A86" w:rsidRDefault="003F0D4E" w:rsidP="00D22D3F">
      <w:pPr>
        <w:pStyle w:val="ActHead3"/>
        <w:pageBreakBefore/>
      </w:pPr>
      <w:bookmarkStart w:id="630" w:name="_Toc13234057"/>
      <w:r w:rsidRPr="00097A86">
        <w:rPr>
          <w:rStyle w:val="CharDivNo"/>
        </w:rPr>
        <w:lastRenderedPageBreak/>
        <w:t>Division</w:t>
      </w:r>
      <w:r w:rsidR="00097A86">
        <w:rPr>
          <w:rStyle w:val="CharDivNo"/>
        </w:rPr>
        <w:t> </w:t>
      </w:r>
      <w:r w:rsidRPr="00097A86">
        <w:rPr>
          <w:rStyle w:val="CharDivNo"/>
        </w:rPr>
        <w:t>5.4.5</w:t>
      </w:r>
      <w:r w:rsidR="00D22D3F" w:rsidRPr="00097A86">
        <w:t>—</w:t>
      </w:r>
      <w:r w:rsidRPr="00097A86">
        <w:rPr>
          <w:rStyle w:val="CharDivText"/>
        </w:rPr>
        <w:t>Wastewater handling (industrial)</w:t>
      </w:r>
      <w:r w:rsidR="00D22D3F" w:rsidRPr="00097A86">
        <w:rPr>
          <w:rStyle w:val="CharDivText"/>
        </w:rPr>
        <w:t>—</w:t>
      </w:r>
      <w:r w:rsidRPr="00097A86">
        <w:rPr>
          <w:rStyle w:val="CharDivText"/>
        </w:rPr>
        <w:t>Flaring of methane in sludge biogas</w:t>
      </w:r>
      <w:bookmarkEnd w:id="630"/>
    </w:p>
    <w:p w14:paraId="078773F1" w14:textId="77777777" w:rsidR="003F0D4E" w:rsidRPr="00097A86" w:rsidRDefault="003F0D4E" w:rsidP="00D22D3F">
      <w:pPr>
        <w:pStyle w:val="ActHead5"/>
      </w:pPr>
      <w:bookmarkStart w:id="631" w:name="_Toc13234058"/>
      <w:r w:rsidRPr="00097A86">
        <w:rPr>
          <w:rStyle w:val="CharSectno"/>
        </w:rPr>
        <w:t>5.48</w:t>
      </w:r>
      <w:r w:rsidR="00D22D3F" w:rsidRPr="00097A86">
        <w:t xml:space="preserve">  </w:t>
      </w:r>
      <w:r w:rsidRPr="00097A86">
        <w:t>Method 1</w:t>
      </w:r>
      <w:r w:rsidR="00D22D3F" w:rsidRPr="00097A86">
        <w:t>—</w:t>
      </w:r>
      <w:r w:rsidRPr="00097A86">
        <w:t>flaring of methane in sludge biogas</w:t>
      </w:r>
      <w:bookmarkEnd w:id="631"/>
    </w:p>
    <w:p w14:paraId="7277AB5B" w14:textId="77777777" w:rsidR="003F0D4E" w:rsidRPr="00097A86" w:rsidRDefault="003F0D4E" w:rsidP="00D22D3F">
      <w:pPr>
        <w:pStyle w:val="subsection"/>
      </w:pPr>
      <w:r w:rsidRPr="00097A86">
        <w:tab/>
        <w:t>(1)</w:t>
      </w:r>
      <w:r w:rsidRPr="00097A86">
        <w:tab/>
        <w:t>For paragraph</w:t>
      </w:r>
      <w:r w:rsidR="00097A86">
        <w:t> </w:t>
      </w:r>
      <w:r w:rsidRPr="00097A86">
        <w:t>5.41(2)(a), method 1 is:</w:t>
      </w:r>
    </w:p>
    <w:p w14:paraId="73F5B4D9"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7D2D5328" wp14:editId="4EDC2A3B">
            <wp:extent cx="2152650" cy="447675"/>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p w14:paraId="3427CD29" w14:textId="77777777" w:rsidR="003F0D4E" w:rsidRPr="00097A86" w:rsidRDefault="003F0D4E" w:rsidP="00D22D3F">
      <w:pPr>
        <w:pStyle w:val="subsection2"/>
      </w:pPr>
      <w:r w:rsidRPr="00097A86">
        <w:t>where:</w:t>
      </w:r>
    </w:p>
    <w:p w14:paraId="75F6801F" w14:textId="77777777" w:rsidR="003F0D4E" w:rsidRPr="00097A86" w:rsidRDefault="003F0D4E" w:rsidP="00D22D3F">
      <w:pPr>
        <w:pStyle w:val="Definition"/>
        <w:rPr>
          <w:vertAlign w:val="subscript"/>
        </w:rPr>
      </w:pPr>
      <w:r w:rsidRPr="00097A86">
        <w:rPr>
          <w:b/>
          <w:i/>
        </w:rPr>
        <w:t>E</w:t>
      </w:r>
      <w:r w:rsidRPr="00097A86">
        <w:rPr>
          <w:b/>
          <w:i/>
          <w:vertAlign w:val="subscript"/>
        </w:rPr>
        <w:t>j</w:t>
      </w:r>
      <w:r w:rsidRPr="00097A86">
        <w:rPr>
          <w:b/>
          <w:i/>
        </w:rPr>
        <w:t xml:space="preserve"> </w:t>
      </w:r>
      <w:r w:rsidRPr="00097A86">
        <w:rPr>
          <w:b/>
          <w:vertAlign w:val="subscript"/>
        </w:rPr>
        <w:t xml:space="preserve">flared </w:t>
      </w:r>
      <w:r w:rsidRPr="00097A86">
        <w:t>is the emissions of gas type (</w:t>
      </w:r>
      <w:r w:rsidRPr="00097A86">
        <w:rPr>
          <w:b/>
          <w:i/>
        </w:rPr>
        <w:t>j</w:t>
      </w:r>
      <w:r w:rsidRPr="00097A86">
        <w:t>) released from flaring of the methane in sludge biogas by the plant during the year measured in CO</w:t>
      </w:r>
      <w:r w:rsidRPr="00097A86">
        <w:rPr>
          <w:vertAlign w:val="subscript"/>
        </w:rPr>
        <w:t>2</w:t>
      </w:r>
      <w:r w:rsidR="00097A86">
        <w:noBreakHyphen/>
      </w:r>
      <w:r w:rsidRPr="00097A86">
        <w:t>e tonnes.</w:t>
      </w:r>
    </w:p>
    <w:p w14:paraId="0C9E2A7D" w14:textId="77777777" w:rsidR="003F0D4E" w:rsidRPr="00097A86" w:rsidRDefault="003F0D4E" w:rsidP="00D22D3F">
      <w:pPr>
        <w:pStyle w:val="Definition"/>
      </w:pPr>
      <w:r w:rsidRPr="00097A86">
        <w:rPr>
          <w:b/>
          <w:i/>
        </w:rPr>
        <w:t>Q</w:t>
      </w:r>
      <w:r w:rsidRPr="00097A86">
        <w:rPr>
          <w:b/>
          <w:i/>
          <w:vertAlign w:val="subscript"/>
        </w:rPr>
        <w:t xml:space="preserve">flared </w:t>
      </w:r>
      <w:r w:rsidRPr="00097A86">
        <w:t>is the quantity of methane in sludge biogas flared by the plant during the year measured in cubic metres in accordance with Division</w:t>
      </w:r>
      <w:r w:rsidR="00097A86">
        <w:t> </w:t>
      </w:r>
      <w:r w:rsidRPr="00097A86">
        <w:t>2.3.6.</w:t>
      </w:r>
    </w:p>
    <w:p w14:paraId="2AD0AF64" w14:textId="77777777" w:rsidR="003F0D4E" w:rsidRPr="00097A86" w:rsidRDefault="003F0D4E" w:rsidP="00D22D3F">
      <w:pPr>
        <w:pStyle w:val="Definition"/>
      </w:pPr>
      <w:r w:rsidRPr="00097A86">
        <w:rPr>
          <w:b/>
          <w:i/>
        </w:rPr>
        <w:t>EC</w:t>
      </w:r>
      <w:r w:rsidRPr="00097A86">
        <w:rPr>
          <w:b/>
          <w:i/>
          <w:vertAlign w:val="subscript"/>
        </w:rPr>
        <w:t xml:space="preserve">i </w:t>
      </w:r>
      <w:r w:rsidRPr="00097A86">
        <w:t>is the energy content</w:t>
      </w:r>
      <w:r w:rsidR="00D957B3" w:rsidRPr="00097A86">
        <w:t xml:space="preserve"> factor</w:t>
      </w:r>
      <w:r w:rsidRPr="00097A86">
        <w:t xml:space="preserve"> of methane in sludge biogas measured in gigajoules per cubic metre (see Schedule</w:t>
      </w:r>
      <w:r w:rsidR="00097A86">
        <w:t> </w:t>
      </w:r>
      <w:r w:rsidRPr="00097A86">
        <w:t>1).</w:t>
      </w:r>
    </w:p>
    <w:p w14:paraId="22E548BA" w14:textId="77777777" w:rsidR="003F0D4E" w:rsidRPr="00097A86" w:rsidRDefault="003F0D4E" w:rsidP="00D22D3F">
      <w:pPr>
        <w:pStyle w:val="Definition"/>
      </w:pPr>
      <w:r w:rsidRPr="00097A86">
        <w:rPr>
          <w:b/>
          <w:i/>
        </w:rPr>
        <w:t>EF</w:t>
      </w:r>
      <w:r w:rsidRPr="00097A86">
        <w:rPr>
          <w:b/>
          <w:i/>
          <w:vertAlign w:val="subscript"/>
        </w:rPr>
        <w:t>ij</w:t>
      </w:r>
      <w:r w:rsidRPr="00097A86">
        <w:rPr>
          <w:b/>
          <w:i/>
        </w:rPr>
        <w:t xml:space="preserve"> </w:t>
      </w:r>
      <w:r w:rsidRPr="00097A86">
        <w:t>is the relevant emission factor for gas type (</w:t>
      </w:r>
      <w:r w:rsidRPr="00097A86">
        <w:rPr>
          <w:b/>
          <w:i/>
        </w:rPr>
        <w:t>j</w:t>
      </w:r>
      <w:r w:rsidRPr="00097A86">
        <w:t>) for methane in sludge biogas in CO</w:t>
      </w:r>
      <w:r w:rsidRPr="00097A86">
        <w:rPr>
          <w:vertAlign w:val="subscript"/>
        </w:rPr>
        <w:t>2</w:t>
      </w:r>
      <w:r w:rsidR="00097A86">
        <w:noBreakHyphen/>
      </w:r>
      <w:r w:rsidRPr="00097A86">
        <w:t>e tonnes per gigajoule (see Schedule</w:t>
      </w:r>
      <w:r w:rsidR="00097A86">
        <w:t> </w:t>
      </w:r>
      <w:r w:rsidRPr="00097A86">
        <w:t>1).</w:t>
      </w:r>
    </w:p>
    <w:p w14:paraId="5123C04A" w14:textId="77777777" w:rsidR="003F0D4E" w:rsidRPr="00097A86" w:rsidRDefault="003F0D4E" w:rsidP="00D22D3F">
      <w:pPr>
        <w:pStyle w:val="subsection"/>
      </w:pPr>
      <w:r w:rsidRPr="00097A86">
        <w:tab/>
        <w:t>(2)</w:t>
      </w:r>
      <w:r w:rsidRPr="00097A86">
        <w:tab/>
        <w:t xml:space="preserve">For </w:t>
      </w:r>
      <w:r w:rsidRPr="00097A86">
        <w:rPr>
          <w:b/>
          <w:i/>
        </w:rPr>
        <w:t>Q</w:t>
      </w:r>
      <w:r w:rsidRPr="00097A86">
        <w:rPr>
          <w:b/>
          <w:i/>
          <w:vertAlign w:val="subscript"/>
        </w:rPr>
        <w:t>flared</w:t>
      </w:r>
      <w:r w:rsidRPr="00097A86">
        <w:t xml:space="preserve"> in </w:t>
      </w:r>
      <w:r w:rsidR="00097A86">
        <w:t>subsection (</w:t>
      </w:r>
      <w:r w:rsidRPr="00097A86">
        <w:t>1), the methane in sludge biogas is taken to constitute 70% of the sludge biogas.</w:t>
      </w:r>
    </w:p>
    <w:p w14:paraId="6394C3FA" w14:textId="77777777" w:rsidR="003F0D4E" w:rsidRPr="00097A86" w:rsidRDefault="003F0D4E" w:rsidP="00D22D3F">
      <w:pPr>
        <w:pStyle w:val="ActHead5"/>
      </w:pPr>
      <w:bookmarkStart w:id="632" w:name="_Toc13234059"/>
      <w:r w:rsidRPr="00097A86">
        <w:rPr>
          <w:rStyle w:val="CharSectno"/>
        </w:rPr>
        <w:t>5.49</w:t>
      </w:r>
      <w:r w:rsidR="00D22D3F" w:rsidRPr="00097A86">
        <w:t xml:space="preserve">  </w:t>
      </w:r>
      <w:r w:rsidRPr="00097A86">
        <w:t>Method 2</w:t>
      </w:r>
      <w:r w:rsidR="00D22D3F" w:rsidRPr="00097A86">
        <w:t>—</w:t>
      </w:r>
      <w:r w:rsidRPr="00097A86">
        <w:t>flaring of methane in sludge biogas</w:t>
      </w:r>
      <w:bookmarkEnd w:id="632"/>
      <w:r w:rsidRPr="00097A86">
        <w:t xml:space="preserve"> </w:t>
      </w:r>
    </w:p>
    <w:p w14:paraId="5D2F39A4" w14:textId="77777777" w:rsidR="003F0D4E" w:rsidRPr="00097A86" w:rsidRDefault="003F0D4E" w:rsidP="00D22D3F">
      <w:pPr>
        <w:pStyle w:val="subsection"/>
      </w:pPr>
      <w:r w:rsidRPr="00097A86">
        <w:tab/>
        <w:t>(1)</w:t>
      </w:r>
      <w:r w:rsidRPr="00097A86">
        <w:tab/>
        <w:t>For paragraph</w:t>
      </w:r>
      <w:r w:rsidR="00097A86">
        <w:t> </w:t>
      </w:r>
      <w:r w:rsidRPr="00097A86">
        <w:t>5.41(2)(b) and subject to this section, method 2 is the same as method 1 under section</w:t>
      </w:r>
      <w:r w:rsidR="00097A86">
        <w:t> </w:t>
      </w:r>
      <w:r w:rsidRPr="00097A86">
        <w:t>5.48.</w:t>
      </w:r>
    </w:p>
    <w:p w14:paraId="77C33106"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5.48, </w:t>
      </w:r>
      <w:r w:rsidRPr="00097A86">
        <w:rPr>
          <w:b/>
          <w:i/>
        </w:rPr>
        <w:t>Q</w:t>
      </w:r>
      <w:r w:rsidRPr="00097A86">
        <w:rPr>
          <w:b/>
          <w:i/>
          <w:vertAlign w:val="subscript"/>
        </w:rPr>
        <w:t>flared</w:t>
      </w:r>
      <w:r w:rsidRPr="00097A86">
        <w:t xml:space="preserve"> must be determined in accordance with the sampling and analysis requirements in Subdivision</w:t>
      </w:r>
      <w:r w:rsidR="00097A86">
        <w:t> </w:t>
      </w:r>
      <w:r w:rsidRPr="00097A86">
        <w:t>2.3.3.2 and the measuring requirements in Division</w:t>
      </w:r>
      <w:r w:rsidR="00097A86">
        <w:t> </w:t>
      </w:r>
      <w:r w:rsidRPr="00097A86">
        <w:t xml:space="preserve">2.3.6. </w:t>
      </w:r>
    </w:p>
    <w:p w14:paraId="163CBB54" w14:textId="77777777" w:rsidR="003F0D4E" w:rsidRPr="00097A86" w:rsidRDefault="003F0D4E" w:rsidP="00D22D3F">
      <w:pPr>
        <w:pStyle w:val="ActHead5"/>
      </w:pPr>
      <w:bookmarkStart w:id="633" w:name="_Toc13234060"/>
      <w:r w:rsidRPr="00097A86">
        <w:rPr>
          <w:rStyle w:val="CharSectno"/>
        </w:rPr>
        <w:t>5.50</w:t>
      </w:r>
      <w:r w:rsidR="00D22D3F" w:rsidRPr="00097A86">
        <w:t xml:space="preserve">  </w:t>
      </w:r>
      <w:r w:rsidRPr="00097A86">
        <w:t>Method 3</w:t>
      </w:r>
      <w:r w:rsidR="00D22D3F" w:rsidRPr="00097A86">
        <w:t>—</w:t>
      </w:r>
      <w:r w:rsidRPr="00097A86">
        <w:t>flaring of methane in sludge biogas</w:t>
      </w:r>
      <w:bookmarkEnd w:id="633"/>
      <w:r w:rsidRPr="00097A86">
        <w:t xml:space="preserve"> </w:t>
      </w:r>
    </w:p>
    <w:p w14:paraId="32EB3AA4" w14:textId="77777777" w:rsidR="003F0D4E" w:rsidRPr="00097A86" w:rsidRDefault="003F0D4E" w:rsidP="00D22D3F">
      <w:pPr>
        <w:pStyle w:val="subsection"/>
      </w:pPr>
      <w:r w:rsidRPr="00097A86">
        <w:tab/>
        <w:t>(1)</w:t>
      </w:r>
      <w:r w:rsidRPr="00097A86">
        <w:tab/>
        <w:t>For paragraph</w:t>
      </w:r>
      <w:r w:rsidR="00097A86">
        <w:t> </w:t>
      </w:r>
      <w:r w:rsidRPr="00097A86">
        <w:t>5.41(2)(c) and subject to this section, method 3 is the same as method 1 under section</w:t>
      </w:r>
      <w:r w:rsidR="00097A86">
        <w:t> </w:t>
      </w:r>
      <w:r w:rsidRPr="00097A86">
        <w:t>5.48.</w:t>
      </w:r>
    </w:p>
    <w:p w14:paraId="0535771B" w14:textId="77777777" w:rsidR="003F0D4E" w:rsidRPr="00097A86" w:rsidRDefault="003F0D4E" w:rsidP="00D22D3F">
      <w:pPr>
        <w:pStyle w:val="subsection"/>
      </w:pPr>
      <w:r w:rsidRPr="00097A86">
        <w:tab/>
        <w:t>(2)</w:t>
      </w:r>
      <w:r w:rsidRPr="00097A86">
        <w:tab/>
        <w:t>In applying method 1 under section</w:t>
      </w:r>
      <w:r w:rsidR="00097A86">
        <w:t> </w:t>
      </w:r>
      <w:r w:rsidRPr="00097A86">
        <w:t xml:space="preserve">5.48, </w:t>
      </w:r>
      <w:r w:rsidRPr="00097A86">
        <w:rPr>
          <w:b/>
          <w:i/>
        </w:rPr>
        <w:t>Q</w:t>
      </w:r>
      <w:r w:rsidRPr="00097A86">
        <w:rPr>
          <w:b/>
          <w:i/>
          <w:vertAlign w:val="subscript"/>
        </w:rPr>
        <w:t>flared</w:t>
      </w:r>
      <w:r w:rsidRPr="00097A86">
        <w:t xml:space="preserve"> must be determined in accordance with the sampling and analysis requirements in Division</w:t>
      </w:r>
      <w:r w:rsidR="00097A86">
        <w:t> </w:t>
      </w:r>
      <w:r w:rsidRPr="00097A86">
        <w:t>2.3.4 and the measuring requirements in Division</w:t>
      </w:r>
      <w:r w:rsidR="00097A86">
        <w:t> </w:t>
      </w:r>
      <w:r w:rsidRPr="00097A86">
        <w:t xml:space="preserve">2.3.6. </w:t>
      </w:r>
    </w:p>
    <w:p w14:paraId="6F26EBE5" w14:textId="77777777" w:rsidR="002537A9" w:rsidRPr="00097A86" w:rsidRDefault="002537A9" w:rsidP="00D22D3F">
      <w:pPr>
        <w:pStyle w:val="ActHead2"/>
        <w:pageBreakBefore/>
      </w:pPr>
      <w:bookmarkStart w:id="634" w:name="_Toc13234061"/>
      <w:r w:rsidRPr="00097A86">
        <w:rPr>
          <w:rStyle w:val="CharPartNo"/>
        </w:rPr>
        <w:lastRenderedPageBreak/>
        <w:t>Part</w:t>
      </w:r>
      <w:r w:rsidR="00097A86">
        <w:rPr>
          <w:rStyle w:val="CharPartNo"/>
        </w:rPr>
        <w:t> </w:t>
      </w:r>
      <w:r w:rsidRPr="00097A86">
        <w:rPr>
          <w:rStyle w:val="CharPartNo"/>
        </w:rPr>
        <w:t>5.5</w:t>
      </w:r>
      <w:r w:rsidR="00D22D3F" w:rsidRPr="00097A86">
        <w:t>—</w:t>
      </w:r>
      <w:r w:rsidRPr="00097A86">
        <w:rPr>
          <w:rStyle w:val="CharPartText"/>
        </w:rPr>
        <w:t>Waste incineration</w:t>
      </w:r>
      <w:bookmarkEnd w:id="634"/>
    </w:p>
    <w:p w14:paraId="4334AD06"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56DE8A55" w14:textId="77777777" w:rsidR="003F0D4E" w:rsidRPr="00097A86" w:rsidRDefault="003F0D4E" w:rsidP="00D22D3F">
      <w:pPr>
        <w:pStyle w:val="ActHead5"/>
      </w:pPr>
      <w:bookmarkStart w:id="635" w:name="_Toc13234062"/>
      <w:r w:rsidRPr="00097A86">
        <w:rPr>
          <w:rStyle w:val="CharSectno"/>
        </w:rPr>
        <w:t>5.51</w:t>
      </w:r>
      <w:r w:rsidR="00D22D3F" w:rsidRPr="00097A86">
        <w:t xml:space="preserve">  </w:t>
      </w:r>
      <w:r w:rsidRPr="00097A86">
        <w:t>Application</w:t>
      </w:r>
      <w:bookmarkEnd w:id="635"/>
    </w:p>
    <w:p w14:paraId="326DBFD6" w14:textId="77777777" w:rsidR="003F0D4E" w:rsidRPr="00097A86" w:rsidRDefault="003F0D4E" w:rsidP="00D22D3F">
      <w:pPr>
        <w:pStyle w:val="subsection"/>
      </w:pPr>
      <w:r w:rsidRPr="00097A86">
        <w:tab/>
      </w:r>
      <w:r w:rsidRPr="00097A86">
        <w:tab/>
        <w:t xml:space="preserve">This Part applies to emissions released from waste </w:t>
      </w:r>
      <w:r w:rsidR="00102651" w:rsidRPr="00097A86">
        <w:t>incineration, other than incineration for energy production</w:t>
      </w:r>
      <w:r w:rsidRPr="00097A86">
        <w:t>.</w:t>
      </w:r>
    </w:p>
    <w:p w14:paraId="3765503B" w14:textId="77777777" w:rsidR="003F0D4E" w:rsidRPr="00097A86" w:rsidRDefault="003F0D4E" w:rsidP="00D22D3F">
      <w:pPr>
        <w:pStyle w:val="ActHead5"/>
      </w:pPr>
      <w:bookmarkStart w:id="636" w:name="_Toc13234063"/>
      <w:r w:rsidRPr="00097A86">
        <w:rPr>
          <w:rStyle w:val="CharSectno"/>
        </w:rPr>
        <w:t>5.52</w:t>
      </w:r>
      <w:r w:rsidR="00D22D3F" w:rsidRPr="00097A86">
        <w:t xml:space="preserve">  </w:t>
      </w:r>
      <w:r w:rsidRPr="00097A86">
        <w:t>Available methods</w:t>
      </w:r>
      <w:r w:rsidR="00D22D3F" w:rsidRPr="00097A86">
        <w:t>—</w:t>
      </w:r>
      <w:r w:rsidRPr="00097A86">
        <w:t>emissions of carbon dioxide from waste incineration</w:t>
      </w:r>
      <w:bookmarkEnd w:id="636"/>
    </w:p>
    <w:p w14:paraId="44C3B8F5" w14:textId="77777777" w:rsidR="00E77B52" w:rsidRPr="00097A86" w:rsidRDefault="00E77B52" w:rsidP="00D22D3F">
      <w:pPr>
        <w:pStyle w:val="subsection"/>
      </w:pPr>
      <w:r w:rsidRPr="00097A86">
        <w:tab/>
        <w:t>(1)</w:t>
      </w:r>
      <w:r w:rsidRPr="00097A86">
        <w:tab/>
        <w:t>Subject to section</w:t>
      </w:r>
      <w:r w:rsidR="00097A86">
        <w:t> </w:t>
      </w:r>
      <w:r w:rsidRPr="00097A86">
        <w:t xml:space="preserve">1.18, one of the following methods must be used for estimating emissions of carbon dioxide released from the operation of a facility that is constituted by waste incineration (the </w:t>
      </w:r>
      <w:r w:rsidRPr="00097A86">
        <w:rPr>
          <w:b/>
          <w:i/>
        </w:rPr>
        <w:t>plant</w:t>
      </w:r>
      <w:r w:rsidRPr="00097A86">
        <w:t>):</w:t>
      </w:r>
    </w:p>
    <w:p w14:paraId="239B5A75" w14:textId="77777777" w:rsidR="00E77B52" w:rsidRPr="00097A86" w:rsidRDefault="00E77B52" w:rsidP="00D22D3F">
      <w:pPr>
        <w:pStyle w:val="paragraph"/>
      </w:pPr>
      <w:r w:rsidRPr="00097A86">
        <w:tab/>
        <w:t>(a)</w:t>
      </w:r>
      <w:r w:rsidRPr="00097A86">
        <w:tab/>
        <w:t>method 1 under section</w:t>
      </w:r>
      <w:r w:rsidR="00097A86">
        <w:t> </w:t>
      </w:r>
      <w:r w:rsidRPr="00097A86">
        <w:t>5.53;</w:t>
      </w:r>
    </w:p>
    <w:p w14:paraId="19EA10F9" w14:textId="77777777" w:rsidR="00E77B52" w:rsidRPr="00097A86" w:rsidRDefault="00E77B52" w:rsidP="00D22D3F">
      <w:pPr>
        <w:pStyle w:val="paragraph"/>
      </w:pPr>
      <w:r w:rsidRPr="00097A86">
        <w:tab/>
        <w:t>(b)</w:t>
      </w:r>
      <w:r w:rsidRPr="00097A86">
        <w:tab/>
        <w:t>method 4 under Part</w:t>
      </w:r>
      <w:r w:rsidR="00097A86">
        <w:t> </w:t>
      </w:r>
      <w:r w:rsidRPr="00097A86">
        <w:t>1.3.</w:t>
      </w:r>
    </w:p>
    <w:p w14:paraId="4399EB76" w14:textId="77777777" w:rsidR="00E77B52" w:rsidRPr="00097A86" w:rsidRDefault="00D22D3F" w:rsidP="00D22D3F">
      <w:pPr>
        <w:pStyle w:val="notetext"/>
      </w:pPr>
      <w:r w:rsidRPr="00097A86">
        <w:t>Note:</w:t>
      </w:r>
      <w:r w:rsidRPr="00097A86">
        <w:tab/>
      </w:r>
      <w:r w:rsidR="00E77B52" w:rsidRPr="00097A86">
        <w:t>There is no method 2 or 3 for this section.</w:t>
      </w:r>
    </w:p>
    <w:p w14:paraId="02EAE0E4" w14:textId="77777777" w:rsidR="003D5DBD" w:rsidRPr="00097A86" w:rsidRDefault="003D5DBD" w:rsidP="00D22D3F">
      <w:pPr>
        <w:pStyle w:val="subsection"/>
      </w:pPr>
      <w:r w:rsidRPr="00097A86">
        <w:tab/>
        <w:t>(2)</w:t>
      </w:r>
      <w:r w:rsidRPr="00097A86">
        <w:tab/>
        <w:t>For incidental emissions, another method may be used that is consistent with the principles in section</w:t>
      </w:r>
      <w:r w:rsidR="00097A86">
        <w:t> </w:t>
      </w:r>
      <w:r w:rsidRPr="00097A86">
        <w:t>1.13.</w:t>
      </w:r>
    </w:p>
    <w:p w14:paraId="07C24833" w14:textId="77777777" w:rsidR="003F0D4E" w:rsidRPr="00097A86" w:rsidRDefault="003F0D4E" w:rsidP="00D22D3F">
      <w:pPr>
        <w:pStyle w:val="ActHead5"/>
      </w:pPr>
      <w:bookmarkStart w:id="637" w:name="_Toc13234064"/>
      <w:r w:rsidRPr="00097A86">
        <w:rPr>
          <w:rStyle w:val="CharSectno"/>
        </w:rPr>
        <w:t>5.53</w:t>
      </w:r>
      <w:r w:rsidR="00D22D3F" w:rsidRPr="00097A86">
        <w:t xml:space="preserve">  </w:t>
      </w:r>
      <w:r w:rsidRPr="00097A86">
        <w:t>Method 1</w:t>
      </w:r>
      <w:r w:rsidR="00D22D3F" w:rsidRPr="00097A86">
        <w:t>—</w:t>
      </w:r>
      <w:r w:rsidRPr="00097A86">
        <w:t>emissions of carbon dioxide released from waste incineration</w:t>
      </w:r>
      <w:bookmarkEnd w:id="637"/>
    </w:p>
    <w:p w14:paraId="435876F0" w14:textId="77777777" w:rsidR="003F0D4E" w:rsidRPr="00097A86" w:rsidRDefault="003F0D4E" w:rsidP="00D22D3F">
      <w:pPr>
        <w:pStyle w:val="subsection"/>
      </w:pPr>
      <w:r w:rsidRPr="00097A86">
        <w:tab/>
        <w:t>(1)</w:t>
      </w:r>
      <w:r w:rsidRPr="00097A86">
        <w:tab/>
        <w:t>Method 1 is:</w:t>
      </w:r>
    </w:p>
    <w:p w14:paraId="33D7BEAE"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6F4CE748" wp14:editId="7451AACA">
            <wp:extent cx="2867025" cy="2381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867025" cy="238125"/>
                    </a:xfrm>
                    <a:prstGeom prst="rect">
                      <a:avLst/>
                    </a:prstGeom>
                    <a:noFill/>
                    <a:ln>
                      <a:noFill/>
                    </a:ln>
                  </pic:spPr>
                </pic:pic>
              </a:graphicData>
            </a:graphic>
          </wp:inline>
        </w:drawing>
      </w:r>
    </w:p>
    <w:p w14:paraId="76BADA2C" w14:textId="77777777" w:rsidR="003F0D4E" w:rsidRPr="00097A86" w:rsidRDefault="003F0D4E" w:rsidP="00D22D3F">
      <w:pPr>
        <w:pStyle w:val="subsection2"/>
      </w:pPr>
      <w:r w:rsidRPr="00097A86">
        <w:t>where:</w:t>
      </w:r>
    </w:p>
    <w:p w14:paraId="7950B654" w14:textId="77777777" w:rsidR="003F0D4E" w:rsidRPr="00097A86" w:rsidRDefault="003F0D4E" w:rsidP="00D22D3F">
      <w:pPr>
        <w:pStyle w:val="Definition"/>
      </w:pPr>
      <w:r w:rsidRPr="00097A86">
        <w:rPr>
          <w:b/>
          <w:i/>
        </w:rPr>
        <w:t>E</w:t>
      </w:r>
      <w:r w:rsidRPr="00097A86">
        <w:rPr>
          <w:b/>
          <w:i/>
          <w:vertAlign w:val="subscript"/>
        </w:rPr>
        <w:t>i</w:t>
      </w:r>
      <w:r w:rsidRPr="00097A86">
        <w:rPr>
          <w:b/>
          <w:i/>
        </w:rPr>
        <w:t xml:space="preserve"> </w:t>
      </w:r>
      <w:r w:rsidRPr="00097A86">
        <w:t>is the emissions of carbon dioxide released from the incineration of waste type (</w:t>
      </w:r>
      <w:r w:rsidRPr="00097A86">
        <w:rPr>
          <w:b/>
          <w:i/>
        </w:rPr>
        <w:t>i</w:t>
      </w:r>
      <w:r w:rsidRPr="00097A86">
        <w:t>) by the plant during the year measured in CO</w:t>
      </w:r>
      <w:r w:rsidRPr="00097A86">
        <w:rPr>
          <w:vertAlign w:val="subscript"/>
        </w:rPr>
        <w:t>2</w:t>
      </w:r>
      <w:r w:rsidR="00097A86">
        <w:noBreakHyphen/>
      </w:r>
      <w:r w:rsidRPr="00097A86">
        <w:t>e tonnes.</w:t>
      </w:r>
    </w:p>
    <w:p w14:paraId="286FA788" w14:textId="77777777" w:rsidR="003F0D4E" w:rsidRPr="00097A86" w:rsidRDefault="003F0D4E" w:rsidP="00D22D3F">
      <w:pPr>
        <w:pStyle w:val="Definition"/>
      </w:pPr>
      <w:r w:rsidRPr="00097A86">
        <w:rPr>
          <w:b/>
          <w:i/>
        </w:rPr>
        <w:t>Q</w:t>
      </w:r>
      <w:r w:rsidRPr="00097A86">
        <w:rPr>
          <w:b/>
          <w:i/>
          <w:vertAlign w:val="subscript"/>
        </w:rPr>
        <w:t>i</w:t>
      </w:r>
      <w:r w:rsidRPr="00097A86">
        <w:rPr>
          <w:b/>
          <w:i/>
        </w:rPr>
        <w:t xml:space="preserve"> </w:t>
      </w:r>
      <w:r w:rsidRPr="00097A86">
        <w:t>is the quantity of waste type (</w:t>
      </w:r>
      <w:r w:rsidRPr="00097A86">
        <w:rPr>
          <w:b/>
          <w:i/>
        </w:rPr>
        <w:t>i</w:t>
      </w:r>
      <w:r w:rsidRPr="00097A86">
        <w:t xml:space="preserve">) incinerated by the plant during the year measured in tonnes of wet weight value in accordance </w:t>
      </w:r>
      <w:r w:rsidR="00C71260" w:rsidRPr="00097A86">
        <w:t>with:</w:t>
      </w:r>
    </w:p>
    <w:p w14:paraId="5E7ADF5A" w14:textId="77777777" w:rsidR="00C71260" w:rsidRPr="00097A86" w:rsidRDefault="00C71260" w:rsidP="00D22D3F">
      <w:pPr>
        <w:pStyle w:val="paragraph"/>
      </w:pPr>
      <w:r w:rsidRPr="00097A86">
        <w:tab/>
        <w:t>(a)</w:t>
      </w:r>
      <w:r w:rsidRPr="00097A86">
        <w:tab/>
        <w:t>Division</w:t>
      </w:r>
      <w:r w:rsidR="00097A86">
        <w:t> </w:t>
      </w:r>
      <w:r w:rsidRPr="00097A86">
        <w:t>2.2.5 for solid fuels; and</w:t>
      </w:r>
    </w:p>
    <w:p w14:paraId="2AD75C75" w14:textId="77777777" w:rsidR="00C71260" w:rsidRPr="00097A86" w:rsidRDefault="00C71260" w:rsidP="00D22D3F">
      <w:pPr>
        <w:pStyle w:val="paragraph"/>
      </w:pPr>
      <w:r w:rsidRPr="00097A86">
        <w:tab/>
        <w:t>(b)</w:t>
      </w:r>
      <w:r w:rsidRPr="00097A86">
        <w:tab/>
        <w:t>Division</w:t>
      </w:r>
      <w:r w:rsidR="00097A86">
        <w:t> </w:t>
      </w:r>
      <w:r w:rsidRPr="00097A86">
        <w:t xml:space="preserve">2.3.6 for gaseous fuels; and </w:t>
      </w:r>
    </w:p>
    <w:p w14:paraId="2302C966" w14:textId="77777777" w:rsidR="00C71260" w:rsidRPr="00097A86" w:rsidRDefault="00C71260" w:rsidP="00D22D3F">
      <w:pPr>
        <w:pStyle w:val="paragraph"/>
      </w:pPr>
      <w:r w:rsidRPr="00097A86">
        <w:tab/>
        <w:t>(c)</w:t>
      </w:r>
      <w:r w:rsidRPr="00097A86">
        <w:tab/>
        <w:t>Division</w:t>
      </w:r>
      <w:r w:rsidR="00097A86">
        <w:t> </w:t>
      </w:r>
      <w:r w:rsidRPr="00097A86">
        <w:t>2.4.6 for liquid fuels.</w:t>
      </w:r>
    </w:p>
    <w:p w14:paraId="3CF5202D" w14:textId="77777777" w:rsidR="003F0D4E" w:rsidRPr="00097A86" w:rsidRDefault="003F0D4E" w:rsidP="00D22D3F">
      <w:pPr>
        <w:pStyle w:val="Definition"/>
      </w:pPr>
      <w:r w:rsidRPr="00097A86">
        <w:rPr>
          <w:b/>
          <w:i/>
        </w:rPr>
        <w:t>CC</w:t>
      </w:r>
      <w:r w:rsidRPr="00097A86">
        <w:rPr>
          <w:b/>
          <w:i/>
          <w:vertAlign w:val="subscript"/>
        </w:rPr>
        <w:t>i</w:t>
      </w:r>
      <w:r w:rsidRPr="00097A86">
        <w:rPr>
          <w:b/>
          <w:i/>
        </w:rPr>
        <w:t xml:space="preserve"> </w:t>
      </w:r>
      <w:r w:rsidRPr="00097A86">
        <w:t>is the carbon content of waste type (</w:t>
      </w:r>
      <w:r w:rsidRPr="00097A86">
        <w:rPr>
          <w:b/>
          <w:i/>
        </w:rPr>
        <w:t>i</w:t>
      </w:r>
      <w:r w:rsidRPr="00097A86">
        <w:t>).</w:t>
      </w:r>
    </w:p>
    <w:p w14:paraId="22E03B30" w14:textId="77777777" w:rsidR="003F0D4E" w:rsidRPr="00097A86" w:rsidRDefault="003F0D4E" w:rsidP="00D22D3F">
      <w:pPr>
        <w:pStyle w:val="Definition"/>
      </w:pPr>
      <w:r w:rsidRPr="00097A86">
        <w:rPr>
          <w:b/>
          <w:i/>
        </w:rPr>
        <w:t>FCC</w:t>
      </w:r>
      <w:r w:rsidRPr="00097A86">
        <w:rPr>
          <w:b/>
          <w:i/>
          <w:vertAlign w:val="subscript"/>
        </w:rPr>
        <w:t>i</w:t>
      </w:r>
      <w:r w:rsidRPr="00097A86">
        <w:rPr>
          <w:b/>
          <w:i/>
        </w:rPr>
        <w:t xml:space="preserve"> </w:t>
      </w:r>
      <w:r w:rsidRPr="00097A86">
        <w:t>is the proportion of carbon in waste type (</w:t>
      </w:r>
      <w:r w:rsidRPr="00097A86">
        <w:rPr>
          <w:b/>
          <w:i/>
        </w:rPr>
        <w:t>i</w:t>
      </w:r>
      <w:r w:rsidRPr="00097A86">
        <w:t>) that is of fossil origin.</w:t>
      </w:r>
    </w:p>
    <w:p w14:paraId="0F4B55F1" w14:textId="77777777" w:rsidR="003F0D4E" w:rsidRPr="00097A86" w:rsidRDefault="003F0D4E" w:rsidP="00D22D3F">
      <w:pPr>
        <w:pStyle w:val="Definition"/>
      </w:pPr>
      <w:r w:rsidRPr="00097A86">
        <w:rPr>
          <w:b/>
          <w:i/>
        </w:rPr>
        <w:t>OF</w:t>
      </w:r>
      <w:r w:rsidRPr="00097A86">
        <w:rPr>
          <w:b/>
          <w:i/>
          <w:vertAlign w:val="subscript"/>
        </w:rPr>
        <w:t>i</w:t>
      </w:r>
      <w:r w:rsidRPr="00097A86">
        <w:rPr>
          <w:b/>
          <w:i/>
        </w:rPr>
        <w:t xml:space="preserve"> </w:t>
      </w:r>
      <w:r w:rsidRPr="00097A86">
        <w:t>is the oxidation factor for waste type (</w:t>
      </w:r>
      <w:r w:rsidRPr="00097A86">
        <w:rPr>
          <w:b/>
          <w:i/>
        </w:rPr>
        <w:t>i</w:t>
      </w:r>
      <w:r w:rsidRPr="00097A86">
        <w:t>).</w:t>
      </w:r>
    </w:p>
    <w:p w14:paraId="582CA630" w14:textId="77777777" w:rsidR="003F0D4E" w:rsidRPr="00097A86" w:rsidRDefault="003F0D4E" w:rsidP="00D22D3F">
      <w:pPr>
        <w:pStyle w:val="subsection"/>
      </w:pPr>
      <w:r w:rsidRPr="00097A86">
        <w:tab/>
        <w:t>(2)</w:t>
      </w:r>
      <w:r w:rsidRPr="00097A86">
        <w:tab/>
        <w:t xml:space="preserve">If waste materials other than clinical wastes have been incinerated by the plant, appropriate values for the carbon content of the waste material incinerated must be derived from </w:t>
      </w:r>
      <w:r w:rsidR="00C71260" w:rsidRPr="00097A86">
        <w:t>Schedule</w:t>
      </w:r>
      <w:r w:rsidR="00097A86">
        <w:t> </w:t>
      </w:r>
      <w:r w:rsidR="00C71260" w:rsidRPr="00097A86">
        <w:t>3.</w:t>
      </w:r>
    </w:p>
    <w:p w14:paraId="43F05CA6" w14:textId="77777777" w:rsidR="003F0D4E" w:rsidRPr="00097A86" w:rsidRDefault="003F0D4E" w:rsidP="00D22D3F">
      <w:pPr>
        <w:pStyle w:val="subsection"/>
      </w:pPr>
      <w:r w:rsidRPr="00097A86">
        <w:tab/>
        <w:t>(3)</w:t>
      </w:r>
      <w:r w:rsidRPr="00097A86">
        <w:tab/>
        <w:t xml:space="preserve">For </w:t>
      </w:r>
      <w:r w:rsidRPr="00097A86">
        <w:rPr>
          <w:b/>
          <w:i/>
        </w:rPr>
        <w:t>CC</w:t>
      </w:r>
      <w:r w:rsidRPr="00097A86">
        <w:rPr>
          <w:b/>
          <w:i/>
          <w:vertAlign w:val="subscript"/>
        </w:rPr>
        <w:t>i</w:t>
      </w:r>
      <w:r w:rsidRPr="00097A86">
        <w:t xml:space="preserve"> in </w:t>
      </w:r>
      <w:r w:rsidR="00097A86">
        <w:t>subsection (</w:t>
      </w:r>
      <w:r w:rsidRPr="00097A86">
        <w:t xml:space="preserve">1), the IPCC default of </w:t>
      </w:r>
      <w:r w:rsidR="00C71260" w:rsidRPr="00097A86">
        <w:t>0.60 for clinical waste must</w:t>
      </w:r>
      <w:r w:rsidRPr="00097A86">
        <w:t xml:space="preserve"> be used.</w:t>
      </w:r>
    </w:p>
    <w:p w14:paraId="771F24A4" w14:textId="77777777" w:rsidR="003F0D4E" w:rsidRPr="00097A86" w:rsidRDefault="003F0D4E" w:rsidP="00D22D3F">
      <w:pPr>
        <w:pStyle w:val="subsection"/>
      </w:pPr>
      <w:r w:rsidRPr="00097A86">
        <w:lastRenderedPageBreak/>
        <w:tab/>
        <w:t>(4)</w:t>
      </w:r>
      <w:r w:rsidRPr="00097A86">
        <w:tab/>
        <w:t xml:space="preserve">For </w:t>
      </w:r>
      <w:r w:rsidRPr="00097A86">
        <w:rPr>
          <w:b/>
          <w:i/>
        </w:rPr>
        <w:t>FCC</w:t>
      </w:r>
      <w:r w:rsidRPr="00097A86">
        <w:rPr>
          <w:b/>
          <w:i/>
          <w:vertAlign w:val="subscript"/>
        </w:rPr>
        <w:t>i</w:t>
      </w:r>
      <w:r w:rsidRPr="00097A86">
        <w:rPr>
          <w:vertAlign w:val="subscript"/>
        </w:rPr>
        <w:t xml:space="preserve"> </w:t>
      </w:r>
      <w:r w:rsidRPr="00097A86">
        <w:t xml:space="preserve">in </w:t>
      </w:r>
      <w:r w:rsidR="00097A86">
        <w:t>subsection (</w:t>
      </w:r>
      <w:r w:rsidRPr="00097A86">
        <w:t xml:space="preserve">1), the IPCC default of 0.40 </w:t>
      </w:r>
      <w:r w:rsidR="00C71260" w:rsidRPr="00097A86">
        <w:t>for clinical waste must</w:t>
      </w:r>
      <w:r w:rsidRPr="00097A86">
        <w:t xml:space="preserve"> be used.</w:t>
      </w:r>
    </w:p>
    <w:p w14:paraId="00CDADB4" w14:textId="77777777" w:rsidR="003F0D4E" w:rsidRPr="00097A86" w:rsidRDefault="003F0D4E" w:rsidP="00D22D3F">
      <w:pPr>
        <w:pStyle w:val="subsection"/>
      </w:pPr>
      <w:r w:rsidRPr="00097A86">
        <w:tab/>
        <w:t>(5)</w:t>
      </w:r>
      <w:r w:rsidRPr="00097A86">
        <w:tab/>
        <w:t xml:space="preserve">For </w:t>
      </w:r>
      <w:r w:rsidRPr="00097A86">
        <w:rPr>
          <w:b/>
          <w:i/>
        </w:rPr>
        <w:t>OF</w:t>
      </w:r>
      <w:r w:rsidRPr="00097A86">
        <w:rPr>
          <w:b/>
          <w:i/>
          <w:vertAlign w:val="subscript"/>
        </w:rPr>
        <w:t>i</w:t>
      </w:r>
      <w:r w:rsidRPr="00097A86">
        <w:t xml:space="preserve"> in </w:t>
      </w:r>
      <w:r w:rsidR="00097A86">
        <w:t>subsection (</w:t>
      </w:r>
      <w:r w:rsidRPr="00097A86">
        <w:t xml:space="preserve">1), the IPCC default of 1.00 </w:t>
      </w:r>
      <w:r w:rsidR="00C71260" w:rsidRPr="00097A86">
        <w:t>for clinical waste must</w:t>
      </w:r>
      <w:r w:rsidRPr="00097A86">
        <w:t xml:space="preserve"> be used.</w:t>
      </w:r>
    </w:p>
    <w:p w14:paraId="6D8D8B42" w14:textId="77777777" w:rsidR="003F0D4E" w:rsidRPr="00097A86" w:rsidRDefault="003F0D4E" w:rsidP="004C53FA">
      <w:pPr>
        <w:pStyle w:val="ActHead1"/>
        <w:pageBreakBefore/>
      </w:pPr>
      <w:bookmarkStart w:id="638" w:name="_Toc13234065"/>
      <w:r w:rsidRPr="00097A86">
        <w:rPr>
          <w:rStyle w:val="CharChapNo"/>
        </w:rPr>
        <w:lastRenderedPageBreak/>
        <w:t>Chapter</w:t>
      </w:r>
      <w:r w:rsidR="00097A86">
        <w:rPr>
          <w:rStyle w:val="CharChapNo"/>
        </w:rPr>
        <w:t> </w:t>
      </w:r>
      <w:r w:rsidRPr="00097A86">
        <w:rPr>
          <w:rStyle w:val="CharChapNo"/>
        </w:rPr>
        <w:t>6</w:t>
      </w:r>
      <w:r w:rsidR="00D22D3F" w:rsidRPr="00097A86">
        <w:t>—</w:t>
      </w:r>
      <w:r w:rsidRPr="00097A86">
        <w:rPr>
          <w:rStyle w:val="CharChapText"/>
        </w:rPr>
        <w:t>Energy</w:t>
      </w:r>
      <w:bookmarkEnd w:id="638"/>
    </w:p>
    <w:p w14:paraId="6A245E02" w14:textId="77777777" w:rsidR="003F0D4E" w:rsidRPr="00097A86" w:rsidRDefault="003F0D4E" w:rsidP="00D22D3F">
      <w:pPr>
        <w:pStyle w:val="ActHead2"/>
      </w:pPr>
      <w:bookmarkStart w:id="639" w:name="_Toc13234066"/>
      <w:r w:rsidRPr="00097A86">
        <w:rPr>
          <w:rStyle w:val="CharPartNo"/>
        </w:rPr>
        <w:t>Part</w:t>
      </w:r>
      <w:r w:rsidR="00097A86">
        <w:rPr>
          <w:rStyle w:val="CharPartNo"/>
        </w:rPr>
        <w:t> </w:t>
      </w:r>
      <w:r w:rsidRPr="00097A86">
        <w:rPr>
          <w:rStyle w:val="CharPartNo"/>
        </w:rPr>
        <w:t>6.1</w:t>
      </w:r>
      <w:r w:rsidR="00D22D3F" w:rsidRPr="00097A86">
        <w:t>—</w:t>
      </w:r>
      <w:r w:rsidRPr="00097A86">
        <w:rPr>
          <w:rStyle w:val="CharPartText"/>
        </w:rPr>
        <w:t>Production</w:t>
      </w:r>
      <w:bookmarkEnd w:id="639"/>
    </w:p>
    <w:p w14:paraId="103761D9"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37B1839F" w14:textId="77777777" w:rsidR="003F0D4E" w:rsidRPr="00097A86" w:rsidRDefault="003F0D4E" w:rsidP="00D22D3F">
      <w:pPr>
        <w:pStyle w:val="ActHead5"/>
      </w:pPr>
      <w:bookmarkStart w:id="640" w:name="_Toc13234067"/>
      <w:r w:rsidRPr="00097A86">
        <w:rPr>
          <w:rStyle w:val="CharSectno"/>
        </w:rPr>
        <w:t>6.1</w:t>
      </w:r>
      <w:r w:rsidR="00D22D3F" w:rsidRPr="00097A86">
        <w:t xml:space="preserve">  </w:t>
      </w:r>
      <w:r w:rsidRPr="00097A86">
        <w:t>Purpose</w:t>
      </w:r>
      <w:bookmarkEnd w:id="640"/>
    </w:p>
    <w:p w14:paraId="301330AC" w14:textId="77777777" w:rsidR="003F0D4E" w:rsidRPr="00097A86" w:rsidRDefault="003F0D4E" w:rsidP="00D22D3F">
      <w:pPr>
        <w:pStyle w:val="subsection"/>
      </w:pPr>
      <w:r w:rsidRPr="00097A86">
        <w:tab/>
      </w:r>
      <w:r w:rsidRPr="00097A86">
        <w:tab/>
        <w:t>The purpose of this Part is to provide for the estimation of the energy content of energy produced from the operation of a facility during a year.</w:t>
      </w:r>
    </w:p>
    <w:p w14:paraId="6B3EFC04" w14:textId="77777777" w:rsidR="003F0D4E" w:rsidRPr="00097A86" w:rsidRDefault="00D22D3F" w:rsidP="00D22D3F">
      <w:pPr>
        <w:pStyle w:val="notetext"/>
      </w:pPr>
      <w:r w:rsidRPr="00097A86">
        <w:t>Note 1:</w:t>
      </w:r>
      <w:r w:rsidRPr="00097A86">
        <w:tab/>
      </w:r>
      <w:r w:rsidR="003F0D4E" w:rsidRPr="00097A86">
        <w:t>Energy produced from the operation of a facility is dealt with in regulation</w:t>
      </w:r>
      <w:r w:rsidR="00097A86">
        <w:t> </w:t>
      </w:r>
      <w:r w:rsidR="008F16F2" w:rsidRPr="00097A86">
        <w:t>2.25</w:t>
      </w:r>
      <w:r w:rsidR="003F0D4E" w:rsidRPr="00097A86">
        <w:t xml:space="preserve"> of the Regulations.</w:t>
      </w:r>
    </w:p>
    <w:p w14:paraId="6A5714DF" w14:textId="77777777" w:rsidR="003F0D4E" w:rsidRPr="00097A86" w:rsidRDefault="00D22D3F" w:rsidP="00D22D3F">
      <w:pPr>
        <w:pStyle w:val="notetext"/>
      </w:pPr>
      <w:r w:rsidRPr="00097A86">
        <w:t>Note 2:</w:t>
      </w:r>
      <w:r w:rsidRPr="00097A86">
        <w:tab/>
      </w:r>
      <w:r w:rsidR="003F0D4E" w:rsidRPr="00097A86">
        <w:t>Energy includes the fuels and energy commodities listed in Schedule</w:t>
      </w:r>
      <w:r w:rsidR="00097A86">
        <w:t> </w:t>
      </w:r>
      <w:r w:rsidR="003F0D4E" w:rsidRPr="00097A86">
        <w:t xml:space="preserve">1 to the Regulations. See the definition of </w:t>
      </w:r>
      <w:r w:rsidR="003F0D4E" w:rsidRPr="00097A86">
        <w:rPr>
          <w:b/>
          <w:i/>
        </w:rPr>
        <w:t>energy</w:t>
      </w:r>
      <w:r w:rsidR="003F0D4E" w:rsidRPr="00097A86">
        <w:t xml:space="preserve"> in section</w:t>
      </w:r>
      <w:r w:rsidR="00097A86">
        <w:t> </w:t>
      </w:r>
      <w:r w:rsidR="003F0D4E" w:rsidRPr="00097A86">
        <w:t>7 of the Act and in regulation</w:t>
      </w:r>
      <w:r w:rsidR="00097A86">
        <w:t> </w:t>
      </w:r>
      <w:r w:rsidR="003F0D4E" w:rsidRPr="00097A86">
        <w:t>2.03 of the Regulations.</w:t>
      </w:r>
    </w:p>
    <w:p w14:paraId="29C88CC0" w14:textId="77777777" w:rsidR="003F0D4E" w:rsidRPr="00097A86" w:rsidRDefault="003F0D4E" w:rsidP="00D22D3F">
      <w:pPr>
        <w:pStyle w:val="ActHead5"/>
      </w:pPr>
      <w:bookmarkStart w:id="641" w:name="_Toc13234068"/>
      <w:r w:rsidRPr="00097A86">
        <w:rPr>
          <w:rStyle w:val="CharSectno"/>
        </w:rPr>
        <w:t>6.2</w:t>
      </w:r>
      <w:r w:rsidR="00D22D3F" w:rsidRPr="00097A86">
        <w:t xml:space="preserve">  </w:t>
      </w:r>
      <w:r w:rsidRPr="00097A86">
        <w:t>Quantity of energy produced</w:t>
      </w:r>
      <w:bookmarkEnd w:id="641"/>
    </w:p>
    <w:p w14:paraId="0DCC5E25" w14:textId="77777777" w:rsidR="003F0D4E" w:rsidRPr="00097A86" w:rsidRDefault="003F0D4E" w:rsidP="00D22D3F">
      <w:pPr>
        <w:pStyle w:val="subsection"/>
      </w:pPr>
      <w:r w:rsidRPr="00097A86">
        <w:tab/>
        <w:t>(1)</w:t>
      </w:r>
      <w:r w:rsidRPr="00097A86">
        <w:tab/>
        <w:t>The quantity of an energy produced from the operation of the facility during the year must be estimated:</w:t>
      </w:r>
    </w:p>
    <w:p w14:paraId="74447459" w14:textId="77777777" w:rsidR="003F0D4E" w:rsidRPr="00097A86" w:rsidRDefault="003F0D4E" w:rsidP="00D22D3F">
      <w:pPr>
        <w:pStyle w:val="paragraph"/>
        <w:rPr>
          <w:i/>
        </w:rPr>
      </w:pPr>
      <w:r w:rsidRPr="00097A86">
        <w:tab/>
        <w:t>(a)</w:t>
      </w:r>
      <w:r w:rsidRPr="00097A86">
        <w:tab/>
        <w:t xml:space="preserve">if the energy is a </w:t>
      </w:r>
      <w:r w:rsidR="00C20CC2" w:rsidRPr="00097A86">
        <w:t>solid fuel, gaseous fuel, sulphur, uranium or hydrogen</w:t>
      </w:r>
      <w:r w:rsidR="00D22D3F" w:rsidRPr="00097A86">
        <w:t>—</w:t>
      </w:r>
      <w:r w:rsidRPr="00097A86">
        <w:t>in accordance with industry practice; or</w:t>
      </w:r>
    </w:p>
    <w:p w14:paraId="01308268" w14:textId="77777777" w:rsidR="003F0D4E" w:rsidRPr="00097A86" w:rsidRDefault="003F0D4E" w:rsidP="00D22D3F">
      <w:pPr>
        <w:pStyle w:val="paragraph"/>
      </w:pPr>
      <w:r w:rsidRPr="00097A86">
        <w:tab/>
        <w:t>(b)</w:t>
      </w:r>
      <w:r w:rsidRPr="00097A86">
        <w:tab/>
        <w:t>if the energy is a liquid fuel</w:t>
      </w:r>
      <w:r w:rsidR="00D22D3F" w:rsidRPr="00097A86">
        <w:t>—</w:t>
      </w:r>
      <w:r w:rsidRPr="00097A86">
        <w:t>by either of the following:</w:t>
      </w:r>
    </w:p>
    <w:p w14:paraId="3D077DDD" w14:textId="77777777" w:rsidR="003F0D4E" w:rsidRPr="00097A86" w:rsidRDefault="003F0D4E" w:rsidP="00D22D3F">
      <w:pPr>
        <w:pStyle w:val="paragraphsub"/>
      </w:pPr>
      <w:r w:rsidRPr="00097A86">
        <w:tab/>
        <w:t>(i)</w:t>
      </w:r>
      <w:r w:rsidRPr="00097A86">
        <w:tab/>
        <w:t>using bulk filling meters corrected to 15° celsius;</w:t>
      </w:r>
    </w:p>
    <w:p w14:paraId="637455F6" w14:textId="77777777" w:rsidR="003F0D4E" w:rsidRPr="00097A86" w:rsidRDefault="003F0D4E" w:rsidP="00D22D3F">
      <w:pPr>
        <w:pStyle w:val="paragraphsub"/>
      </w:pPr>
      <w:r w:rsidRPr="00097A86">
        <w:tab/>
        <w:t>(ii)</w:t>
      </w:r>
      <w:r w:rsidRPr="00097A86">
        <w:tab/>
        <w:t>by the physical measurement of the fuel corrected to its notional volumetric equivalent at a temperature of 15° Celsius; or</w:t>
      </w:r>
    </w:p>
    <w:p w14:paraId="01129909" w14:textId="77777777" w:rsidR="003F0D4E" w:rsidRPr="00097A86" w:rsidRDefault="003F0D4E" w:rsidP="00D22D3F">
      <w:pPr>
        <w:pStyle w:val="paragraph"/>
      </w:pPr>
      <w:r w:rsidRPr="00097A86">
        <w:tab/>
        <w:t>(c)</w:t>
      </w:r>
      <w:r w:rsidRPr="00097A86">
        <w:tab/>
        <w:t xml:space="preserve">if the energy is electricity produced for </w:t>
      </w:r>
      <w:r w:rsidR="00C71260" w:rsidRPr="00097A86">
        <w:t>use during the operation</w:t>
      </w:r>
      <w:r w:rsidRPr="00097A86">
        <w:t xml:space="preserve"> of the facility</w:t>
      </w:r>
      <w:r w:rsidR="00D22D3F" w:rsidRPr="00097A86">
        <w:t>—</w:t>
      </w:r>
      <w:r w:rsidRPr="00097A86">
        <w:t>as the difference between:</w:t>
      </w:r>
    </w:p>
    <w:p w14:paraId="41859981" w14:textId="77777777" w:rsidR="003F0D4E" w:rsidRPr="00097A86" w:rsidRDefault="003F0D4E" w:rsidP="00D22D3F">
      <w:pPr>
        <w:pStyle w:val="paragraphsub"/>
      </w:pPr>
      <w:r w:rsidRPr="00097A86">
        <w:tab/>
        <w:t>(i)</w:t>
      </w:r>
      <w:r w:rsidRPr="00097A86">
        <w:tab/>
        <w:t>the amount of electricity produced by the electricity generating unit for the facility as measured at the unit’s terminals; and</w:t>
      </w:r>
    </w:p>
    <w:p w14:paraId="3D5EBC49" w14:textId="77777777" w:rsidR="003F0D4E" w:rsidRPr="00097A86" w:rsidRDefault="003F0D4E" w:rsidP="00D22D3F">
      <w:pPr>
        <w:pStyle w:val="paragraphsub"/>
      </w:pPr>
      <w:r w:rsidRPr="00097A86">
        <w:tab/>
        <w:t>(ii)</w:t>
      </w:r>
      <w:r w:rsidRPr="00097A86">
        <w:tab/>
        <w:t xml:space="preserve">the sum of the amounts of electricity supplied to an electricity transmission or distribution network measured at the connection point for the network in accordance with either of the measurement requirements specified in </w:t>
      </w:r>
      <w:r w:rsidR="00097A86">
        <w:t>subsection (</w:t>
      </w:r>
      <w:r w:rsidRPr="00097A86">
        <w:t xml:space="preserve">3) and the amount of electricity supplied </w:t>
      </w:r>
      <w:r w:rsidR="00C71260" w:rsidRPr="00097A86">
        <w:t>for use outside the operation of the facility</w:t>
      </w:r>
      <w:r w:rsidRPr="00097A86">
        <w:t xml:space="preserve"> that is not supplied to the network; or</w:t>
      </w:r>
    </w:p>
    <w:p w14:paraId="766A1A54" w14:textId="77777777" w:rsidR="00623B23" w:rsidRPr="00097A86" w:rsidRDefault="00623B23" w:rsidP="00623B23">
      <w:pPr>
        <w:pStyle w:val="paragraph"/>
      </w:pPr>
      <w:r w:rsidRPr="00097A86">
        <w:tab/>
        <w:t>(d)</w:t>
      </w:r>
      <w:r w:rsidRPr="00097A86">
        <w:tab/>
        <w:t>if the energy is electricity produced for use outside the operation of the facility other than for supply to an electricity transmission network or distribution network—as the amount of electricity supplied for use outside the operation of the facility that is not supplied to an electricity transmission or distribution network; or</w:t>
      </w:r>
    </w:p>
    <w:p w14:paraId="5F80F23D" w14:textId="77777777" w:rsidR="003F0D4E" w:rsidRPr="00097A86" w:rsidRDefault="003F0D4E" w:rsidP="00D22D3F">
      <w:pPr>
        <w:pStyle w:val="paragraph"/>
      </w:pPr>
      <w:r w:rsidRPr="00097A86">
        <w:tab/>
        <w:t>(e)</w:t>
      </w:r>
      <w:r w:rsidRPr="00097A86">
        <w:tab/>
        <w:t>if the energy is electricity supplied to an electricity transmission or distribution network</w:t>
      </w:r>
      <w:r w:rsidR="00D22D3F" w:rsidRPr="00097A86">
        <w:t>—</w:t>
      </w:r>
      <w:r w:rsidRPr="00097A86">
        <w:t xml:space="preserve">as the amount of electricity </w:t>
      </w:r>
      <w:r w:rsidR="00C71260" w:rsidRPr="00097A86">
        <w:t>for use outside the operation of the facility for supply</w:t>
      </w:r>
      <w:r w:rsidRPr="00097A86">
        <w:t xml:space="preserve"> to the network measured at the connection point for the network in accordance with either of the measurement requirements specified in </w:t>
      </w:r>
      <w:r w:rsidR="00097A86">
        <w:t>subsection (</w:t>
      </w:r>
      <w:r w:rsidRPr="00097A86">
        <w:t>3).</w:t>
      </w:r>
    </w:p>
    <w:p w14:paraId="70D9F363" w14:textId="77777777" w:rsidR="003F0D4E" w:rsidRPr="00097A86" w:rsidRDefault="00D22D3F" w:rsidP="00D22D3F">
      <w:pPr>
        <w:pStyle w:val="notetext"/>
      </w:pPr>
      <w:r w:rsidRPr="00097A86">
        <w:lastRenderedPageBreak/>
        <w:t>Note:</w:t>
      </w:r>
      <w:r w:rsidRPr="00097A86">
        <w:tab/>
      </w:r>
      <w:r w:rsidR="003F0D4E" w:rsidRPr="00097A86">
        <w:t>Energy includes the fuels and energy commodities listed in Schedule</w:t>
      </w:r>
      <w:r w:rsidR="00097A86">
        <w:t> </w:t>
      </w:r>
      <w:r w:rsidR="003F0D4E" w:rsidRPr="00097A86">
        <w:t xml:space="preserve">1 to the Regulations. See the definition of </w:t>
      </w:r>
      <w:r w:rsidR="003F0D4E" w:rsidRPr="00097A86">
        <w:rPr>
          <w:b/>
          <w:i/>
        </w:rPr>
        <w:t>energy</w:t>
      </w:r>
      <w:r w:rsidR="003F0D4E" w:rsidRPr="00097A86">
        <w:t xml:space="preserve"> in section</w:t>
      </w:r>
      <w:r w:rsidR="00097A86">
        <w:t> </w:t>
      </w:r>
      <w:r w:rsidR="003F0D4E" w:rsidRPr="00097A86">
        <w:t>7 of the Act and regulation</w:t>
      </w:r>
      <w:r w:rsidR="00097A86">
        <w:t> </w:t>
      </w:r>
      <w:r w:rsidR="003F0D4E" w:rsidRPr="00097A86">
        <w:t>2.03 of the Regulations.</w:t>
      </w:r>
    </w:p>
    <w:p w14:paraId="745B0603" w14:textId="77777777" w:rsidR="00EE1E18" w:rsidRPr="00097A86" w:rsidRDefault="003F0D4E" w:rsidP="00D22D3F">
      <w:pPr>
        <w:pStyle w:val="subsection"/>
      </w:pPr>
      <w:r w:rsidRPr="00097A86">
        <w:tab/>
      </w:r>
      <w:r w:rsidR="00EE1E18" w:rsidRPr="00097A86">
        <w:t>(1A)</w:t>
      </w:r>
      <w:r w:rsidR="00EE1E18" w:rsidRPr="00097A86">
        <w:tab/>
        <w:t>For incidental energy production, another method may be used that is consistent with the principles in section</w:t>
      </w:r>
      <w:r w:rsidR="00097A86">
        <w:t> </w:t>
      </w:r>
      <w:r w:rsidR="00EE1E18" w:rsidRPr="00097A86">
        <w:t>1.13.</w:t>
      </w:r>
    </w:p>
    <w:p w14:paraId="63029467" w14:textId="77777777" w:rsidR="003F0D4E" w:rsidRPr="00097A86" w:rsidRDefault="00EE1E18" w:rsidP="00D22D3F">
      <w:pPr>
        <w:pStyle w:val="subsection"/>
      </w:pPr>
      <w:r w:rsidRPr="00097A86">
        <w:tab/>
      </w:r>
      <w:r w:rsidR="003F0D4E" w:rsidRPr="00097A86">
        <w:t>(2)</w:t>
      </w:r>
      <w:r w:rsidR="003F0D4E" w:rsidRPr="00097A86">
        <w:tab/>
        <w:t xml:space="preserve">For </w:t>
      </w:r>
      <w:r w:rsidR="00097A86">
        <w:t>subsection (</w:t>
      </w:r>
      <w:r w:rsidR="003F0D4E" w:rsidRPr="00097A86">
        <w:t>1), if the fuel is coal, its quantity must be estimated in the form of saleable coal on a washed basis.</w:t>
      </w:r>
    </w:p>
    <w:p w14:paraId="7504223C" w14:textId="77777777" w:rsidR="003F0D4E" w:rsidRPr="00097A86" w:rsidRDefault="003F0D4E" w:rsidP="00D22D3F">
      <w:pPr>
        <w:pStyle w:val="subsection"/>
      </w:pPr>
      <w:r w:rsidRPr="00097A86">
        <w:tab/>
        <w:t>(3)</w:t>
      </w:r>
      <w:r w:rsidRPr="00097A86">
        <w:tab/>
        <w:t xml:space="preserve">For </w:t>
      </w:r>
      <w:r w:rsidR="00097A86">
        <w:t>paragraphs (</w:t>
      </w:r>
      <w:r w:rsidR="000D1AFB" w:rsidRPr="00097A86">
        <w:t>1)(c) and (e)</w:t>
      </w:r>
      <w:r w:rsidRPr="00097A86">
        <w:t>, the measurement requirements are as follows:</w:t>
      </w:r>
    </w:p>
    <w:p w14:paraId="3AA24A70" w14:textId="77777777" w:rsidR="003F0D4E" w:rsidRPr="00097A86" w:rsidRDefault="003F0D4E" w:rsidP="00D22D3F">
      <w:pPr>
        <w:pStyle w:val="paragraph"/>
      </w:pPr>
      <w:r w:rsidRPr="00097A86">
        <w:tab/>
        <w:t>(a)</w:t>
      </w:r>
      <w:r w:rsidRPr="00097A86">
        <w:tab/>
        <w:t>Chapter</w:t>
      </w:r>
      <w:r w:rsidR="00097A86">
        <w:t> </w:t>
      </w:r>
      <w:r w:rsidRPr="00097A86">
        <w:t xml:space="preserve">7 of the </w:t>
      </w:r>
      <w:r w:rsidRPr="00097A86">
        <w:rPr>
          <w:i/>
        </w:rPr>
        <w:t xml:space="preserve">National Electricity Rules </w:t>
      </w:r>
      <w:r w:rsidRPr="00097A86">
        <w:t xml:space="preserve">made under the National Electricity Law set out in the </w:t>
      </w:r>
      <w:r w:rsidRPr="00097A86">
        <w:rPr>
          <w:i/>
        </w:rPr>
        <w:t>National Electricity (South Australia) Act 1996</w:t>
      </w:r>
      <w:r w:rsidRPr="00097A86">
        <w:t>;</w:t>
      </w:r>
    </w:p>
    <w:p w14:paraId="7F0E813A" w14:textId="77777777" w:rsidR="003F0D4E" w:rsidRPr="00097A86" w:rsidRDefault="003F0D4E" w:rsidP="00D22D3F">
      <w:pPr>
        <w:pStyle w:val="paragraph"/>
      </w:pPr>
      <w:r w:rsidRPr="00097A86">
        <w:tab/>
        <w:t>(b)</w:t>
      </w:r>
      <w:r w:rsidRPr="00097A86">
        <w:tab/>
        <w:t>metering requirements applicable to the region in which the facility is located.</w:t>
      </w:r>
    </w:p>
    <w:p w14:paraId="6A808667" w14:textId="77777777" w:rsidR="003F0D4E" w:rsidRPr="00097A86" w:rsidRDefault="003F0D4E" w:rsidP="00D22D3F">
      <w:pPr>
        <w:pStyle w:val="ActHead5"/>
      </w:pPr>
      <w:bookmarkStart w:id="642" w:name="_Toc13234069"/>
      <w:r w:rsidRPr="00097A86">
        <w:rPr>
          <w:rStyle w:val="CharSectno"/>
        </w:rPr>
        <w:t>6.3</w:t>
      </w:r>
      <w:r w:rsidR="00D22D3F" w:rsidRPr="00097A86">
        <w:t xml:space="preserve">  </w:t>
      </w:r>
      <w:r w:rsidRPr="00097A86">
        <w:t>Energy content of fuel produced</w:t>
      </w:r>
      <w:bookmarkEnd w:id="642"/>
    </w:p>
    <w:p w14:paraId="5FB112D4" w14:textId="77777777" w:rsidR="003F0D4E" w:rsidRPr="00097A86" w:rsidRDefault="003F0D4E" w:rsidP="00D22D3F">
      <w:pPr>
        <w:pStyle w:val="subsection"/>
      </w:pPr>
      <w:r w:rsidRPr="00097A86">
        <w:tab/>
        <w:t>(1)</w:t>
      </w:r>
      <w:r w:rsidRPr="00097A86">
        <w:tab/>
        <w:t>The energy content of a kind of energy (</w:t>
      </w:r>
      <w:r w:rsidRPr="00097A86">
        <w:rPr>
          <w:b/>
          <w:i/>
        </w:rPr>
        <w:t>fuel</w:t>
      </w:r>
      <w:r w:rsidRPr="00097A86">
        <w:t>)</w:t>
      </w:r>
      <w:r w:rsidR="00C20CC2" w:rsidRPr="00097A86">
        <w:t>, other than sulphur, uranium or hydrogen,</w:t>
      </w:r>
      <w:r w:rsidRPr="00097A86">
        <w:t xml:space="preserve"> produced from the operation of the facility during the year is to be worked out as follows:</w:t>
      </w:r>
    </w:p>
    <w:p w14:paraId="272C410F"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7C120E7A" wp14:editId="5BC24B57">
            <wp:extent cx="914400" cy="2381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67C8A175" w14:textId="77777777" w:rsidR="003F0D4E" w:rsidRPr="00097A86" w:rsidRDefault="003F0D4E" w:rsidP="00D22D3F">
      <w:pPr>
        <w:pStyle w:val="subsection2"/>
      </w:pPr>
      <w:r w:rsidRPr="00097A86">
        <w:t>where:</w:t>
      </w:r>
    </w:p>
    <w:p w14:paraId="16E6EA83" w14:textId="77777777" w:rsidR="003F0D4E" w:rsidRPr="00097A86" w:rsidRDefault="003F0D4E" w:rsidP="00D22D3F">
      <w:pPr>
        <w:pStyle w:val="Definition"/>
      </w:pPr>
      <w:r w:rsidRPr="00097A86">
        <w:rPr>
          <w:b/>
          <w:i/>
        </w:rPr>
        <w:t>Z</w:t>
      </w:r>
      <w:r w:rsidRPr="00097A86">
        <w:rPr>
          <w:b/>
          <w:i/>
          <w:vertAlign w:val="subscript"/>
        </w:rPr>
        <w:t>i</w:t>
      </w:r>
      <w:r w:rsidRPr="00097A86">
        <w:rPr>
          <w:b/>
          <w:i/>
        </w:rPr>
        <w:t xml:space="preserve"> </w:t>
      </w:r>
      <w:r w:rsidRPr="00097A86">
        <w:t>is the energy content of fuel type (</w:t>
      </w:r>
      <w:r w:rsidRPr="00097A86">
        <w:rPr>
          <w:b/>
          <w:i/>
        </w:rPr>
        <w:t>i</w:t>
      </w:r>
      <w:r w:rsidRPr="00097A86">
        <w:t>) produced during the year and measured in gigajoules.</w:t>
      </w:r>
    </w:p>
    <w:p w14:paraId="33BF515F" w14:textId="77777777" w:rsidR="003F0D4E" w:rsidRPr="00097A86" w:rsidRDefault="003F0D4E" w:rsidP="00D22D3F">
      <w:pPr>
        <w:pStyle w:val="Definition"/>
      </w:pPr>
      <w:r w:rsidRPr="00097A86">
        <w:rPr>
          <w:b/>
          <w:i/>
        </w:rPr>
        <w:t>Q</w:t>
      </w:r>
      <w:r w:rsidRPr="00097A86">
        <w:rPr>
          <w:b/>
          <w:i/>
          <w:vertAlign w:val="subscript"/>
        </w:rPr>
        <w:t xml:space="preserve">i </w:t>
      </w:r>
      <w:r w:rsidRPr="00097A86">
        <w:t>is the quantity of fuel type (</w:t>
      </w:r>
      <w:r w:rsidRPr="00097A86">
        <w:rPr>
          <w:b/>
          <w:i/>
        </w:rPr>
        <w:t>i</w:t>
      </w:r>
      <w:r w:rsidRPr="00097A86">
        <w:t>) produced during the year.</w:t>
      </w:r>
    </w:p>
    <w:p w14:paraId="4DA182AD" w14:textId="77777777" w:rsidR="003F0D4E" w:rsidRPr="00097A86" w:rsidRDefault="003F0D4E" w:rsidP="00D22D3F">
      <w:pPr>
        <w:pStyle w:val="Definition"/>
      </w:pPr>
      <w:r w:rsidRPr="00097A86">
        <w:rPr>
          <w:b/>
          <w:i/>
        </w:rPr>
        <w:t>EC</w:t>
      </w:r>
      <w:r w:rsidRPr="00097A86">
        <w:rPr>
          <w:b/>
          <w:i/>
          <w:vertAlign w:val="subscript"/>
        </w:rPr>
        <w:t>i</w:t>
      </w:r>
      <w:r w:rsidRPr="00097A86">
        <w:rPr>
          <w:b/>
          <w:i/>
        </w:rPr>
        <w:t xml:space="preserve"> </w:t>
      </w:r>
      <w:r w:rsidRPr="00097A86">
        <w:t>is the energy content factor of fuel type (</w:t>
      </w:r>
      <w:r w:rsidRPr="00097A86">
        <w:rPr>
          <w:b/>
          <w:i/>
        </w:rPr>
        <w:t>i</w:t>
      </w:r>
      <w:r w:rsidRPr="00097A86">
        <w:t>), measured as energy content according to the fuel type measured in gigajoules:</w:t>
      </w:r>
    </w:p>
    <w:p w14:paraId="481F0688" w14:textId="77777777" w:rsidR="003F0D4E" w:rsidRPr="00097A86" w:rsidRDefault="003F0D4E" w:rsidP="00D22D3F">
      <w:pPr>
        <w:pStyle w:val="paragraph"/>
      </w:pPr>
      <w:r w:rsidRPr="00097A86">
        <w:tab/>
        <w:t>(a)</w:t>
      </w:r>
      <w:r w:rsidRPr="00097A86">
        <w:tab/>
        <w:t>as mentioned in Schedule</w:t>
      </w:r>
      <w:r w:rsidR="00097A86">
        <w:t> </w:t>
      </w:r>
      <w:r w:rsidRPr="00097A86">
        <w:t>1; or</w:t>
      </w:r>
    </w:p>
    <w:p w14:paraId="694A6785" w14:textId="77777777" w:rsidR="003F0D4E" w:rsidRPr="00097A86" w:rsidRDefault="003F0D4E" w:rsidP="00D22D3F">
      <w:pPr>
        <w:pStyle w:val="paragraph"/>
      </w:pPr>
      <w:r w:rsidRPr="00097A86">
        <w:tab/>
        <w:t>(b)</w:t>
      </w:r>
      <w:r w:rsidRPr="00097A86">
        <w:tab/>
        <w:t>in accordance with Divisions</w:t>
      </w:r>
      <w:r w:rsidR="00097A86">
        <w:t> </w:t>
      </w:r>
      <w:r w:rsidRPr="00097A86">
        <w:t>2.2.3 and 2.2.4 (solid fuels), Divisions</w:t>
      </w:r>
      <w:r w:rsidR="00097A86">
        <w:t> </w:t>
      </w:r>
      <w:r w:rsidRPr="00097A86">
        <w:t>2.3.3 and 2.3.4 (gaseous fuels) or Divisions</w:t>
      </w:r>
      <w:r w:rsidR="00097A86">
        <w:t> </w:t>
      </w:r>
      <w:r w:rsidRPr="00097A86">
        <w:t>2.4.3 and 2.4.4 (liquid fuels); or</w:t>
      </w:r>
    </w:p>
    <w:p w14:paraId="66724A88" w14:textId="77777777" w:rsidR="003F0D4E" w:rsidRPr="00097A86" w:rsidRDefault="003F0D4E" w:rsidP="00D22D3F">
      <w:pPr>
        <w:pStyle w:val="paragraph"/>
      </w:pPr>
      <w:r w:rsidRPr="00097A86">
        <w:tab/>
        <w:t>(c)</w:t>
      </w:r>
      <w:r w:rsidRPr="00097A86">
        <w:tab/>
        <w:t>for electricity measured in kilowatt hours</w:t>
      </w:r>
      <w:r w:rsidRPr="00097A86">
        <w:rPr>
          <w:i/>
        </w:rPr>
        <w:t xml:space="preserve">, </w:t>
      </w:r>
      <w:r w:rsidRPr="00097A86">
        <w:rPr>
          <w:b/>
          <w:i/>
        </w:rPr>
        <w:t>EC</w:t>
      </w:r>
      <w:r w:rsidRPr="00097A86">
        <w:rPr>
          <w:b/>
          <w:i/>
          <w:vertAlign w:val="subscript"/>
        </w:rPr>
        <w:t xml:space="preserve">i </w:t>
      </w:r>
      <w:r w:rsidRPr="00097A86">
        <w:t>is equal to 0.0036; or</w:t>
      </w:r>
    </w:p>
    <w:p w14:paraId="49A22EDA" w14:textId="77777777" w:rsidR="003F0D4E" w:rsidRPr="00097A86" w:rsidRDefault="003F0D4E" w:rsidP="00D22D3F">
      <w:pPr>
        <w:pStyle w:val="paragraph"/>
      </w:pPr>
      <w:r w:rsidRPr="00097A86">
        <w:tab/>
        <w:t>(d)</w:t>
      </w:r>
      <w:r w:rsidRPr="00097A86">
        <w:tab/>
        <w:t xml:space="preserve">for fuels measured in gigajoules, </w:t>
      </w:r>
      <w:r w:rsidRPr="00097A86">
        <w:rPr>
          <w:b/>
          <w:i/>
        </w:rPr>
        <w:t>EC</w:t>
      </w:r>
      <w:r w:rsidRPr="00097A86">
        <w:rPr>
          <w:b/>
          <w:i/>
          <w:vertAlign w:val="subscript"/>
        </w:rPr>
        <w:t xml:space="preserve">i </w:t>
      </w:r>
      <w:r w:rsidRPr="00097A86">
        <w:t>is equal to 1.</w:t>
      </w:r>
    </w:p>
    <w:p w14:paraId="6DEC4D2A" w14:textId="77777777" w:rsidR="003F0D4E" w:rsidRPr="00097A86" w:rsidRDefault="003F0D4E" w:rsidP="00D22D3F">
      <w:pPr>
        <w:pStyle w:val="notetext"/>
      </w:pPr>
      <w:r w:rsidRPr="00097A86">
        <w:t>Note</w:t>
      </w:r>
      <w:r w:rsidR="001E6454" w:rsidRPr="00097A86">
        <w:t>:</w:t>
      </w:r>
      <w:r w:rsidR="001E6454" w:rsidRPr="00097A86">
        <w:tab/>
      </w:r>
      <w:r w:rsidRPr="00097A86">
        <w:t>Energy includes the fuels and energy commodities listed in Schedule</w:t>
      </w:r>
      <w:r w:rsidR="00097A86">
        <w:t> </w:t>
      </w:r>
      <w:r w:rsidRPr="00097A86">
        <w:t xml:space="preserve">1 to the Regulations. See the definition of </w:t>
      </w:r>
      <w:r w:rsidRPr="00097A86">
        <w:rPr>
          <w:b/>
          <w:i/>
        </w:rPr>
        <w:t>energy</w:t>
      </w:r>
      <w:r w:rsidRPr="00097A86">
        <w:t xml:space="preserve"> in section</w:t>
      </w:r>
      <w:r w:rsidR="00097A86">
        <w:t> </w:t>
      </w:r>
      <w:r w:rsidRPr="00097A86">
        <w:t>7 of the Act and regulation</w:t>
      </w:r>
      <w:r w:rsidR="00097A86">
        <w:t> </w:t>
      </w:r>
      <w:r w:rsidRPr="00097A86">
        <w:t>2.03 of the Regulations.</w:t>
      </w:r>
    </w:p>
    <w:p w14:paraId="1D593AA6" w14:textId="77777777" w:rsidR="003F0D4E" w:rsidRPr="00097A86" w:rsidRDefault="003F0D4E" w:rsidP="00D22D3F">
      <w:pPr>
        <w:pStyle w:val="subsection"/>
      </w:pPr>
      <w:r w:rsidRPr="00097A86">
        <w:tab/>
        <w:t>(2)</w:t>
      </w:r>
      <w:r w:rsidRPr="00097A86">
        <w:tab/>
        <w:t>The amount of electricity produced from the operation of the facility during the year must be evidenced by invoices, contractual arrangements or industry metering records.</w:t>
      </w:r>
    </w:p>
    <w:p w14:paraId="032BA57C" w14:textId="77777777" w:rsidR="00C20CC2" w:rsidRPr="00097A86" w:rsidRDefault="00C20CC2" w:rsidP="00C20CC2">
      <w:pPr>
        <w:pStyle w:val="SubsectionHead"/>
      </w:pPr>
      <w:r w:rsidRPr="00097A86">
        <w:lastRenderedPageBreak/>
        <w:t>Sulphur, uranium or hydrogen</w:t>
      </w:r>
    </w:p>
    <w:p w14:paraId="3C783BD9" w14:textId="77777777" w:rsidR="00C20CC2" w:rsidRPr="00097A86" w:rsidRDefault="00C20CC2" w:rsidP="00C20CC2">
      <w:pPr>
        <w:pStyle w:val="subsection"/>
      </w:pPr>
      <w:r w:rsidRPr="00097A86">
        <w:tab/>
        <w:t>(3)</w:t>
      </w:r>
      <w:r w:rsidRPr="00097A86">
        <w:tab/>
        <w:t>The energy content of sulphur, uranium or hydrogen produced from the operation of the facility during the year is worked out using the following formula:</w:t>
      </w:r>
    </w:p>
    <w:p w14:paraId="6B9CB758" w14:textId="77777777" w:rsidR="00C20CC2" w:rsidRPr="00097A86" w:rsidRDefault="00C20CC2" w:rsidP="00C20CC2">
      <w:pPr>
        <w:pStyle w:val="subsection2"/>
      </w:pPr>
      <w:r w:rsidRPr="00097A86">
        <w:rPr>
          <w:position w:val="-10"/>
        </w:rPr>
        <w:object w:dxaOrig="1200" w:dyaOrig="420" w14:anchorId="47D12D89">
          <v:shape id="_x0000_i1074" type="#_x0000_t75" style="width:60pt;height:21pt" o:ole="">
            <v:imagedata r:id="rId277" o:title=""/>
          </v:shape>
          <o:OLEObject Type="Embed" ProgID="Equation.DSMT4" ShapeID="_x0000_i1074" DrawAspect="Content" ObjectID="_1624711078" r:id="rId278"/>
        </w:object>
      </w:r>
    </w:p>
    <w:p w14:paraId="76328EB2" w14:textId="77777777" w:rsidR="00C20CC2" w:rsidRPr="00097A86" w:rsidRDefault="00C20CC2" w:rsidP="00C20CC2">
      <w:pPr>
        <w:pStyle w:val="subsection2"/>
      </w:pPr>
      <w:r w:rsidRPr="00097A86">
        <w:t>where:</w:t>
      </w:r>
    </w:p>
    <w:p w14:paraId="0C9939E1" w14:textId="77777777" w:rsidR="00C20CC2" w:rsidRPr="00097A86" w:rsidRDefault="00C20CC2" w:rsidP="00C20CC2">
      <w:pPr>
        <w:pStyle w:val="Definition"/>
      </w:pPr>
      <w:r w:rsidRPr="00097A86">
        <w:rPr>
          <w:b/>
          <w:i/>
        </w:rPr>
        <w:t>EC</w:t>
      </w:r>
      <w:r w:rsidRPr="00097A86">
        <w:t xml:space="preserve"> is the energy content factor of sulphur, uranium or hydrogen (whichever is applicable) mentioned in Part</w:t>
      </w:r>
      <w:r w:rsidR="00097A86">
        <w:t> </w:t>
      </w:r>
      <w:r w:rsidRPr="00097A86">
        <w:t>7 of Schedule</w:t>
      </w:r>
      <w:r w:rsidR="00097A86">
        <w:t> </w:t>
      </w:r>
      <w:r w:rsidRPr="00097A86">
        <w:t>1, measured in gigajoules per tonne.</w:t>
      </w:r>
    </w:p>
    <w:p w14:paraId="6D4E1FE9" w14:textId="77777777" w:rsidR="00C20CC2" w:rsidRPr="00097A86" w:rsidRDefault="00C20CC2" w:rsidP="00C20CC2">
      <w:pPr>
        <w:pStyle w:val="Definition"/>
      </w:pPr>
      <w:r w:rsidRPr="00097A86">
        <w:rPr>
          <w:b/>
          <w:i/>
        </w:rPr>
        <w:t>Q</w:t>
      </w:r>
      <w:r w:rsidRPr="00097A86">
        <w:t xml:space="preserve"> is the quantity of sulphur, uranium or hydrogen (whichever is applicable) produced during the year and measured in tonnes.</w:t>
      </w:r>
    </w:p>
    <w:p w14:paraId="692B302B" w14:textId="77777777" w:rsidR="00C20CC2" w:rsidRPr="00097A86" w:rsidRDefault="00C20CC2" w:rsidP="008E6D30">
      <w:pPr>
        <w:pStyle w:val="Definition"/>
      </w:pPr>
      <w:r w:rsidRPr="00097A86">
        <w:rPr>
          <w:b/>
          <w:i/>
        </w:rPr>
        <w:t>Z</w:t>
      </w:r>
      <w:r w:rsidRPr="00097A86">
        <w:t xml:space="preserve"> is the energy content of sulphur, uranium or hydrogen (whichever is applicable) produced during the year and measured in gigajoules.</w:t>
      </w:r>
    </w:p>
    <w:p w14:paraId="38E3CBA5" w14:textId="77777777" w:rsidR="003F0D4E" w:rsidRPr="00097A86" w:rsidRDefault="003F0D4E" w:rsidP="004C53FA">
      <w:pPr>
        <w:pStyle w:val="ActHead2"/>
        <w:pageBreakBefore/>
      </w:pPr>
      <w:bookmarkStart w:id="643" w:name="_Toc13234070"/>
      <w:r w:rsidRPr="00097A86">
        <w:rPr>
          <w:rStyle w:val="CharPartNo"/>
        </w:rPr>
        <w:lastRenderedPageBreak/>
        <w:t>Part</w:t>
      </w:r>
      <w:r w:rsidR="00097A86">
        <w:rPr>
          <w:rStyle w:val="CharPartNo"/>
        </w:rPr>
        <w:t> </w:t>
      </w:r>
      <w:r w:rsidRPr="00097A86">
        <w:rPr>
          <w:rStyle w:val="CharPartNo"/>
        </w:rPr>
        <w:t>6.2</w:t>
      </w:r>
      <w:r w:rsidR="00D22D3F" w:rsidRPr="00097A86">
        <w:t>—</w:t>
      </w:r>
      <w:r w:rsidRPr="00097A86">
        <w:rPr>
          <w:rStyle w:val="CharPartText"/>
        </w:rPr>
        <w:t>Consumption</w:t>
      </w:r>
      <w:bookmarkEnd w:id="643"/>
    </w:p>
    <w:p w14:paraId="1608539C"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587C32E8" w14:textId="77777777" w:rsidR="003F0D4E" w:rsidRPr="00097A86" w:rsidRDefault="003F0D4E" w:rsidP="00D22D3F">
      <w:pPr>
        <w:pStyle w:val="ActHead5"/>
      </w:pPr>
      <w:bookmarkStart w:id="644" w:name="_Toc13234071"/>
      <w:r w:rsidRPr="00097A86">
        <w:rPr>
          <w:rStyle w:val="CharSectno"/>
        </w:rPr>
        <w:t>6.4</w:t>
      </w:r>
      <w:r w:rsidR="00D22D3F" w:rsidRPr="00097A86">
        <w:t xml:space="preserve">  </w:t>
      </w:r>
      <w:r w:rsidRPr="00097A86">
        <w:t>Purpose</w:t>
      </w:r>
      <w:bookmarkEnd w:id="644"/>
    </w:p>
    <w:p w14:paraId="2FB9C0B4" w14:textId="77777777" w:rsidR="003F0D4E" w:rsidRPr="00097A86" w:rsidRDefault="003F0D4E" w:rsidP="00D22D3F">
      <w:pPr>
        <w:pStyle w:val="subsection"/>
      </w:pPr>
      <w:r w:rsidRPr="00097A86">
        <w:tab/>
      </w:r>
      <w:r w:rsidRPr="00097A86">
        <w:tab/>
        <w:t>The purpose of this Part is to provide for the estimation of the energy content of energy consumed from the operation of a facility during a year.</w:t>
      </w:r>
    </w:p>
    <w:p w14:paraId="04228BBE" w14:textId="77777777" w:rsidR="003F0D4E" w:rsidRPr="00097A86" w:rsidRDefault="00D22D3F" w:rsidP="00D22D3F">
      <w:pPr>
        <w:pStyle w:val="notetext"/>
      </w:pPr>
      <w:r w:rsidRPr="00097A86">
        <w:t>Note 1:</w:t>
      </w:r>
      <w:r w:rsidRPr="00097A86">
        <w:tab/>
      </w:r>
      <w:r w:rsidR="003F0D4E" w:rsidRPr="00097A86">
        <w:t>Energy includes the fuels and energy commodities listed in Schedule</w:t>
      </w:r>
      <w:r w:rsidR="00097A86">
        <w:t> </w:t>
      </w:r>
      <w:r w:rsidR="003F0D4E" w:rsidRPr="00097A86">
        <w:t xml:space="preserve">1 to the Regulations. See the definition of </w:t>
      </w:r>
      <w:r w:rsidR="003F0D4E" w:rsidRPr="00097A86">
        <w:rPr>
          <w:b/>
          <w:i/>
        </w:rPr>
        <w:t>energy</w:t>
      </w:r>
      <w:r w:rsidR="003F0D4E" w:rsidRPr="00097A86">
        <w:t xml:space="preserve"> in section</w:t>
      </w:r>
      <w:r w:rsidR="00097A86">
        <w:t> </w:t>
      </w:r>
      <w:r w:rsidR="003F0D4E" w:rsidRPr="00097A86">
        <w:t>7 of the Act and regulations</w:t>
      </w:r>
      <w:r w:rsidR="00097A86">
        <w:t> </w:t>
      </w:r>
      <w:r w:rsidR="003F0D4E" w:rsidRPr="00097A86">
        <w:t>2.03 of the Regulations.</w:t>
      </w:r>
    </w:p>
    <w:p w14:paraId="3C579D0A" w14:textId="77777777" w:rsidR="003F0D4E" w:rsidRPr="00097A86" w:rsidRDefault="00D22D3F" w:rsidP="00D22D3F">
      <w:pPr>
        <w:pStyle w:val="notetext"/>
      </w:pPr>
      <w:r w:rsidRPr="00097A86">
        <w:t>Note 2:</w:t>
      </w:r>
      <w:r w:rsidRPr="00097A86">
        <w:tab/>
      </w:r>
      <w:r w:rsidR="003F0D4E" w:rsidRPr="00097A86">
        <w:t>Energy consumed from the operation of a facility is dealt with in regulation</w:t>
      </w:r>
      <w:r w:rsidR="00097A86">
        <w:t> </w:t>
      </w:r>
      <w:r w:rsidR="00EC147B" w:rsidRPr="00097A86">
        <w:t>2.26</w:t>
      </w:r>
      <w:r w:rsidR="003F0D4E" w:rsidRPr="00097A86">
        <w:t xml:space="preserve"> of the Regulations.</w:t>
      </w:r>
    </w:p>
    <w:p w14:paraId="08305823" w14:textId="77777777" w:rsidR="00C05B13" w:rsidRPr="00097A86" w:rsidRDefault="00C05B13" w:rsidP="00C05B13">
      <w:pPr>
        <w:pStyle w:val="notetext"/>
      </w:pPr>
      <w:r w:rsidRPr="00097A86">
        <w:t>Note 3:</w:t>
      </w:r>
      <w:r w:rsidRPr="00097A86">
        <w:tab/>
        <w:t>Energy consumed is subject to the thresholds mentioned in sections</w:t>
      </w:r>
      <w:r w:rsidR="00097A86">
        <w:t> </w:t>
      </w:r>
      <w:r w:rsidRPr="00097A86">
        <w:t>2.2, 2.18 and 2.39 of this Determination.</w:t>
      </w:r>
    </w:p>
    <w:p w14:paraId="41B1DF7A" w14:textId="77777777" w:rsidR="003F0D4E" w:rsidRPr="00097A86" w:rsidRDefault="003F0D4E" w:rsidP="00D22D3F">
      <w:pPr>
        <w:pStyle w:val="ActHead5"/>
      </w:pPr>
      <w:bookmarkStart w:id="645" w:name="_Toc13234072"/>
      <w:r w:rsidRPr="00097A86">
        <w:rPr>
          <w:rStyle w:val="CharSectno"/>
        </w:rPr>
        <w:t>6.5</w:t>
      </w:r>
      <w:r w:rsidR="00D22D3F" w:rsidRPr="00097A86">
        <w:t xml:space="preserve">  </w:t>
      </w:r>
      <w:r w:rsidRPr="00097A86">
        <w:t>Energy content of energy consumed</w:t>
      </w:r>
      <w:bookmarkEnd w:id="645"/>
    </w:p>
    <w:p w14:paraId="5FD71DF7" w14:textId="77777777" w:rsidR="003F0D4E" w:rsidRPr="00097A86" w:rsidRDefault="003F0D4E" w:rsidP="00D22D3F">
      <w:pPr>
        <w:pStyle w:val="subsection"/>
      </w:pPr>
      <w:r w:rsidRPr="00097A86">
        <w:tab/>
        <w:t>(1)</w:t>
      </w:r>
      <w:r w:rsidRPr="00097A86">
        <w:tab/>
        <w:t>The energy content of a kind of energy (</w:t>
      </w:r>
      <w:r w:rsidRPr="00097A86">
        <w:rPr>
          <w:b/>
          <w:i/>
        </w:rPr>
        <w:t>fuel</w:t>
      </w:r>
      <w:r w:rsidRPr="00097A86">
        <w:rPr>
          <w:i/>
        </w:rPr>
        <w:t>)</w:t>
      </w:r>
      <w:r w:rsidR="00C20CC2" w:rsidRPr="00097A86">
        <w:t>, other than sulphur, uranium or hydrogen,</w:t>
      </w:r>
      <w:r w:rsidRPr="00097A86">
        <w:t xml:space="preserve"> consumed from the operation of the facility during the year is to be worked out as follows:</w:t>
      </w:r>
    </w:p>
    <w:p w14:paraId="5AA573FB"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3ECCADF2" wp14:editId="4D39FA33">
            <wp:extent cx="923925" cy="2381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14:paraId="185F4990" w14:textId="77777777" w:rsidR="003F0D4E" w:rsidRPr="00097A86" w:rsidRDefault="003F0D4E" w:rsidP="00D22D3F">
      <w:pPr>
        <w:pStyle w:val="subsection2"/>
      </w:pPr>
      <w:r w:rsidRPr="00097A86">
        <w:t>where:</w:t>
      </w:r>
    </w:p>
    <w:p w14:paraId="1A95E9F0" w14:textId="77777777" w:rsidR="003F0D4E" w:rsidRPr="00097A86" w:rsidRDefault="003F0D4E" w:rsidP="00D22D3F">
      <w:pPr>
        <w:pStyle w:val="Definition"/>
      </w:pPr>
      <w:r w:rsidRPr="00097A86">
        <w:rPr>
          <w:i/>
        </w:rPr>
        <w:t>Z</w:t>
      </w:r>
      <w:r w:rsidRPr="00097A86">
        <w:rPr>
          <w:i/>
          <w:vertAlign w:val="subscript"/>
        </w:rPr>
        <w:t>i</w:t>
      </w:r>
      <w:r w:rsidRPr="00097A86">
        <w:rPr>
          <w:b/>
          <w:i/>
        </w:rPr>
        <w:t xml:space="preserve"> </w:t>
      </w:r>
      <w:r w:rsidRPr="00097A86">
        <w:t>is the energy content of fuel type (</w:t>
      </w:r>
      <w:r w:rsidRPr="00097A86">
        <w:rPr>
          <w:b/>
          <w:i/>
        </w:rPr>
        <w:t>i</w:t>
      </w:r>
      <w:r w:rsidRPr="00097A86">
        <w:t>) consumed during the year and measured in gigajoules.</w:t>
      </w:r>
    </w:p>
    <w:p w14:paraId="043C60C0" w14:textId="77777777" w:rsidR="008F16F2" w:rsidRPr="00097A86" w:rsidRDefault="008F16F2" w:rsidP="008F16F2">
      <w:pPr>
        <w:pStyle w:val="Definition"/>
      </w:pPr>
      <w:r w:rsidRPr="00097A86">
        <w:rPr>
          <w:b/>
          <w:i/>
        </w:rPr>
        <w:t>Q</w:t>
      </w:r>
      <w:r w:rsidRPr="00097A86">
        <w:rPr>
          <w:b/>
          <w:i/>
          <w:vertAlign w:val="subscript"/>
        </w:rPr>
        <w:t>i</w:t>
      </w:r>
      <w:r w:rsidRPr="00097A86">
        <w:t xml:space="preserve"> is the quantity of fuel type (</w:t>
      </w:r>
      <w:r w:rsidRPr="00097A86">
        <w:rPr>
          <w:b/>
          <w:i/>
        </w:rPr>
        <w:t>i</w:t>
      </w:r>
      <w:r w:rsidRPr="00097A86">
        <w:t>) consumed during the year estimated in accordance with:</w:t>
      </w:r>
    </w:p>
    <w:p w14:paraId="1B5860F2" w14:textId="77777777" w:rsidR="008F16F2" w:rsidRPr="00097A86" w:rsidRDefault="008F16F2" w:rsidP="008F16F2">
      <w:pPr>
        <w:pStyle w:val="paragraph"/>
      </w:pPr>
      <w:r w:rsidRPr="00097A86">
        <w:tab/>
        <w:t>(a)</w:t>
      </w:r>
      <w:r w:rsidRPr="00097A86">
        <w:tab/>
        <w:t>Parts</w:t>
      </w:r>
      <w:r w:rsidR="00097A86">
        <w:t> </w:t>
      </w:r>
      <w:r w:rsidRPr="00097A86">
        <w:t>2.2 (solid fuels), 2.3 (gaseous fuels) and 2.4 (liquid fuels); or</w:t>
      </w:r>
    </w:p>
    <w:p w14:paraId="288BEA6C" w14:textId="77777777" w:rsidR="008F16F2" w:rsidRPr="00097A86" w:rsidRDefault="008F16F2" w:rsidP="008F16F2">
      <w:pPr>
        <w:pStyle w:val="paragraph"/>
      </w:pPr>
      <w:r w:rsidRPr="00097A86">
        <w:tab/>
        <w:t>(b)</w:t>
      </w:r>
      <w:r w:rsidRPr="00097A86">
        <w:tab/>
      </w:r>
      <w:r w:rsidR="00097A86">
        <w:t>subsection (</w:t>
      </w:r>
      <w:r w:rsidRPr="00097A86">
        <w:t>2) for electricity.</w:t>
      </w:r>
    </w:p>
    <w:p w14:paraId="1AAD0827" w14:textId="77777777" w:rsidR="00F07033" w:rsidRPr="00097A86" w:rsidRDefault="00F07033" w:rsidP="00D22D3F">
      <w:pPr>
        <w:pStyle w:val="Definition"/>
      </w:pPr>
      <w:r w:rsidRPr="00097A86">
        <w:rPr>
          <w:b/>
          <w:bCs/>
          <w:i/>
          <w:iCs/>
        </w:rPr>
        <w:t>EC</w:t>
      </w:r>
      <w:r w:rsidRPr="00097A86">
        <w:rPr>
          <w:b/>
          <w:bCs/>
          <w:i/>
          <w:iCs/>
          <w:vertAlign w:val="subscript"/>
        </w:rPr>
        <w:t>i,</w:t>
      </w:r>
      <w:r w:rsidRPr="00097A86">
        <w:rPr>
          <w:b/>
          <w:i/>
          <w:vertAlign w:val="subscript"/>
        </w:rPr>
        <w:t xml:space="preserve"> </w:t>
      </w:r>
      <w:r w:rsidRPr="00097A86">
        <w:t xml:space="preserve">is the energy content factor of fuel type </w:t>
      </w:r>
      <w:r w:rsidRPr="00097A86">
        <w:rPr>
          <w:b/>
          <w:i/>
        </w:rPr>
        <w:t xml:space="preserve">(i) </w:t>
      </w:r>
      <w:r w:rsidRPr="00097A86">
        <w:t>and is:</w:t>
      </w:r>
    </w:p>
    <w:p w14:paraId="7B1E8E9D" w14:textId="77777777" w:rsidR="00F07033" w:rsidRPr="00097A86" w:rsidRDefault="00F07033" w:rsidP="00D22D3F">
      <w:pPr>
        <w:pStyle w:val="paragraph"/>
      </w:pPr>
      <w:r w:rsidRPr="00097A86">
        <w:tab/>
        <w:t>(a)</w:t>
      </w:r>
      <w:r w:rsidRPr="00097A86">
        <w:tab/>
        <w:t>for solid fuels, measured in gigajoules per tonne:</w:t>
      </w:r>
    </w:p>
    <w:p w14:paraId="5E52240E" w14:textId="77777777" w:rsidR="00F07033" w:rsidRPr="00097A86" w:rsidRDefault="00F07033" w:rsidP="00D22D3F">
      <w:pPr>
        <w:pStyle w:val="paragraphsub"/>
      </w:pPr>
      <w:r w:rsidRPr="00097A86">
        <w:tab/>
        <w:t>(i)</w:t>
      </w:r>
      <w:r w:rsidRPr="00097A86">
        <w:tab/>
        <w:t>as mentioned in Part</w:t>
      </w:r>
      <w:r w:rsidR="00097A86">
        <w:t> </w:t>
      </w:r>
      <w:r w:rsidRPr="00097A86">
        <w:t>1 of Schedule</w:t>
      </w:r>
      <w:r w:rsidR="00097A86">
        <w:t> </w:t>
      </w:r>
      <w:r w:rsidRPr="00097A86">
        <w:t>1; or</w:t>
      </w:r>
    </w:p>
    <w:p w14:paraId="103E1337" w14:textId="77777777" w:rsidR="00F07033" w:rsidRPr="00097A86" w:rsidRDefault="00F07033" w:rsidP="00D22D3F">
      <w:pPr>
        <w:pStyle w:val="paragraphsub"/>
        <w:rPr>
          <w:sz w:val="20"/>
        </w:rPr>
      </w:pPr>
      <w:r w:rsidRPr="00097A86">
        <w:tab/>
        <w:t>(ii)</w:t>
      </w:r>
      <w:r w:rsidRPr="00097A86">
        <w:tab/>
        <w:t>estimated by analysis of the fuel in accordance with the standard indicated for that energy content factor in Schedule</w:t>
      </w:r>
      <w:r w:rsidR="00097A86">
        <w:t> </w:t>
      </w:r>
      <w:r w:rsidRPr="00097A86">
        <w:t>2 or an equivalent standard; or</w:t>
      </w:r>
    </w:p>
    <w:p w14:paraId="3873EE90" w14:textId="77777777" w:rsidR="00F07033" w:rsidRPr="00097A86" w:rsidRDefault="00F07033" w:rsidP="00D22D3F">
      <w:pPr>
        <w:pStyle w:val="paragraph"/>
      </w:pPr>
      <w:r w:rsidRPr="00097A86">
        <w:tab/>
        <w:t>(b)</w:t>
      </w:r>
      <w:r w:rsidRPr="00097A86">
        <w:tab/>
        <w:t xml:space="preserve">for gaseous fuels, measured in gigajoules per cubic metre: </w:t>
      </w:r>
    </w:p>
    <w:p w14:paraId="5293CC06" w14:textId="77777777" w:rsidR="00F07033" w:rsidRPr="00097A86" w:rsidRDefault="00F07033" w:rsidP="00D22D3F">
      <w:pPr>
        <w:pStyle w:val="paragraphsub"/>
      </w:pPr>
      <w:r w:rsidRPr="00097A86">
        <w:tab/>
        <w:t>(i)</w:t>
      </w:r>
      <w:r w:rsidRPr="00097A86">
        <w:tab/>
        <w:t>as mentioned in Part</w:t>
      </w:r>
      <w:r w:rsidR="00097A86">
        <w:t> </w:t>
      </w:r>
      <w:r w:rsidRPr="00097A86">
        <w:t>2 of Schedule</w:t>
      </w:r>
      <w:r w:rsidR="00097A86">
        <w:t> </w:t>
      </w:r>
      <w:r w:rsidRPr="00097A86">
        <w:t>1; or</w:t>
      </w:r>
    </w:p>
    <w:p w14:paraId="0B06E77C" w14:textId="77777777" w:rsidR="00F07033" w:rsidRPr="00097A86" w:rsidRDefault="00F07033" w:rsidP="00D22D3F">
      <w:pPr>
        <w:pStyle w:val="paragraphsub"/>
      </w:pPr>
      <w:r w:rsidRPr="00097A86">
        <w:tab/>
        <w:t>(ii)</w:t>
      </w:r>
      <w:r w:rsidRPr="00097A86">
        <w:tab/>
        <w:t>estimated by analysis under Subdivision</w:t>
      </w:r>
      <w:r w:rsidR="00097A86">
        <w:t> </w:t>
      </w:r>
      <w:r w:rsidRPr="00097A86">
        <w:t>2.3.3.2; or</w:t>
      </w:r>
    </w:p>
    <w:p w14:paraId="22EB49B4" w14:textId="77777777" w:rsidR="00F07033" w:rsidRPr="00097A86" w:rsidRDefault="00F07033" w:rsidP="00D22D3F">
      <w:pPr>
        <w:pStyle w:val="paragraph"/>
      </w:pPr>
      <w:r w:rsidRPr="00097A86">
        <w:tab/>
        <w:t>(c)</w:t>
      </w:r>
      <w:r w:rsidRPr="00097A86">
        <w:tab/>
        <w:t>for gaseous fuels measured in gigajoules</w:t>
      </w:r>
      <w:r w:rsidR="00D22D3F" w:rsidRPr="00097A86">
        <w:t>—</w:t>
      </w:r>
      <w:r w:rsidRPr="00097A86">
        <w:t xml:space="preserve">equal to 1; or </w:t>
      </w:r>
    </w:p>
    <w:p w14:paraId="37774712" w14:textId="77777777" w:rsidR="00F07033" w:rsidRPr="00097A86" w:rsidRDefault="00F07033" w:rsidP="00D22D3F">
      <w:pPr>
        <w:pStyle w:val="paragraph"/>
      </w:pPr>
      <w:r w:rsidRPr="00097A86">
        <w:tab/>
        <w:t>(d)</w:t>
      </w:r>
      <w:r w:rsidRPr="00097A86">
        <w:tab/>
        <w:t>for liquid fuels, measured in gigajoules per kilolitre:</w:t>
      </w:r>
    </w:p>
    <w:p w14:paraId="75EE5EB8" w14:textId="77777777" w:rsidR="00F07033" w:rsidRPr="00097A86" w:rsidRDefault="00F07033" w:rsidP="00D22D3F">
      <w:pPr>
        <w:pStyle w:val="paragraphsub"/>
      </w:pPr>
      <w:r w:rsidRPr="00097A86">
        <w:tab/>
        <w:t>(i)</w:t>
      </w:r>
      <w:r w:rsidRPr="00097A86">
        <w:tab/>
        <w:t>as mentioned in Part</w:t>
      </w:r>
      <w:r w:rsidR="00097A86">
        <w:t> </w:t>
      </w:r>
      <w:r w:rsidRPr="00097A86">
        <w:t>3 of Schedule</w:t>
      </w:r>
      <w:r w:rsidR="00097A86">
        <w:t> </w:t>
      </w:r>
      <w:r w:rsidRPr="00097A86">
        <w:t>1 for stationary energy purposes; or</w:t>
      </w:r>
    </w:p>
    <w:p w14:paraId="54B4A93C" w14:textId="77777777" w:rsidR="00F07033" w:rsidRPr="00097A86" w:rsidRDefault="00F07033" w:rsidP="00D22D3F">
      <w:pPr>
        <w:pStyle w:val="paragraphsub"/>
      </w:pPr>
      <w:r w:rsidRPr="00097A86">
        <w:lastRenderedPageBreak/>
        <w:tab/>
        <w:t>(ii)</w:t>
      </w:r>
      <w:r w:rsidRPr="00097A86">
        <w:tab/>
        <w:t>as mentioned in Division</w:t>
      </w:r>
      <w:r w:rsidR="00097A86">
        <w:t> </w:t>
      </w:r>
      <w:r w:rsidRPr="00097A86">
        <w:t>4.1 of Schedule</w:t>
      </w:r>
      <w:r w:rsidR="00097A86">
        <w:t> </w:t>
      </w:r>
      <w:r w:rsidRPr="00097A86">
        <w:t>1 for transport energy purposes; or</w:t>
      </w:r>
    </w:p>
    <w:p w14:paraId="31CD4E52" w14:textId="77777777" w:rsidR="00F07033" w:rsidRPr="00097A86" w:rsidRDefault="00F07033" w:rsidP="00D22D3F">
      <w:pPr>
        <w:pStyle w:val="paragraphsub"/>
      </w:pPr>
      <w:r w:rsidRPr="00097A86">
        <w:tab/>
        <w:t>(iii)</w:t>
      </w:r>
      <w:r w:rsidRPr="00097A86">
        <w:tab/>
        <w:t>estimated by analysis under Subdivision</w:t>
      </w:r>
      <w:r w:rsidR="00097A86">
        <w:t> </w:t>
      </w:r>
      <w:r w:rsidRPr="00097A86">
        <w:t>2.4.3.2; or</w:t>
      </w:r>
    </w:p>
    <w:p w14:paraId="2C426C5E" w14:textId="77777777" w:rsidR="00F07033" w:rsidRPr="00097A86" w:rsidRDefault="00F07033" w:rsidP="00D22D3F">
      <w:pPr>
        <w:pStyle w:val="paragraph"/>
      </w:pPr>
      <w:r w:rsidRPr="00097A86">
        <w:tab/>
        <w:t>(e)</w:t>
      </w:r>
      <w:r w:rsidRPr="00097A86">
        <w:tab/>
        <w:t>for electricity measured in kilowatt hours</w:t>
      </w:r>
      <w:r w:rsidR="00D22D3F" w:rsidRPr="00097A86">
        <w:t>—</w:t>
      </w:r>
      <w:r w:rsidRPr="00097A86">
        <w:t>equal to 0.0036.</w:t>
      </w:r>
    </w:p>
    <w:p w14:paraId="0B441E0E" w14:textId="77777777" w:rsidR="003F0D4E" w:rsidRPr="00097A86" w:rsidRDefault="003F0D4E" w:rsidP="001E6454">
      <w:pPr>
        <w:pStyle w:val="notetext"/>
      </w:pPr>
      <w:r w:rsidRPr="00097A86">
        <w:t>Note</w:t>
      </w:r>
      <w:r w:rsidR="001E6454" w:rsidRPr="00097A86">
        <w:t>:</w:t>
      </w:r>
      <w:r w:rsidR="001E6454" w:rsidRPr="00097A86">
        <w:tab/>
      </w:r>
      <w:r w:rsidRPr="00097A86">
        <w:t>Energy includes the fuels and energy commodities listed in Schedule</w:t>
      </w:r>
      <w:r w:rsidR="00097A86">
        <w:t> </w:t>
      </w:r>
      <w:r w:rsidRPr="00097A86">
        <w:t xml:space="preserve">1 to the Regulations. See the definition of </w:t>
      </w:r>
      <w:r w:rsidRPr="00097A86">
        <w:rPr>
          <w:b/>
          <w:i/>
        </w:rPr>
        <w:t>energy</w:t>
      </w:r>
      <w:r w:rsidRPr="00097A86">
        <w:t xml:space="preserve"> in section</w:t>
      </w:r>
      <w:r w:rsidR="00097A86">
        <w:t> </w:t>
      </w:r>
      <w:r w:rsidRPr="00097A86">
        <w:t>7 of the Act and regulation</w:t>
      </w:r>
      <w:r w:rsidR="00097A86">
        <w:t> </w:t>
      </w:r>
      <w:r w:rsidRPr="00097A86">
        <w:t>2.03 of the Regulations.</w:t>
      </w:r>
    </w:p>
    <w:p w14:paraId="4F41B2A3" w14:textId="77777777" w:rsidR="00F07033" w:rsidRPr="00097A86" w:rsidRDefault="00F07033" w:rsidP="00D22D3F">
      <w:pPr>
        <w:pStyle w:val="subsection"/>
      </w:pPr>
      <w:r w:rsidRPr="00097A86">
        <w:tab/>
        <w:t>(1A)</w:t>
      </w:r>
      <w:r w:rsidRPr="00097A86">
        <w:tab/>
        <w:t xml:space="preserve">Despite </w:t>
      </w:r>
      <w:r w:rsidR="00097A86">
        <w:t>subsection (</w:t>
      </w:r>
      <w:r w:rsidRPr="00097A86">
        <w:t>1), if:</w:t>
      </w:r>
    </w:p>
    <w:p w14:paraId="266EEFDB" w14:textId="77777777" w:rsidR="00F07033" w:rsidRPr="00097A86" w:rsidRDefault="00F07033" w:rsidP="00D22D3F">
      <w:pPr>
        <w:pStyle w:val="paragraph"/>
      </w:pPr>
      <w:r w:rsidRPr="00097A86">
        <w:tab/>
        <w:t>(a)</w:t>
      </w:r>
      <w:r w:rsidRPr="00097A86">
        <w:tab/>
        <w:t>the kind of energy is one of the following:</w:t>
      </w:r>
    </w:p>
    <w:p w14:paraId="08F479D5" w14:textId="77777777" w:rsidR="00F07033" w:rsidRPr="00097A86" w:rsidRDefault="00F07033" w:rsidP="00D22D3F">
      <w:pPr>
        <w:pStyle w:val="paragraphsub"/>
      </w:pPr>
      <w:r w:rsidRPr="00097A86">
        <w:tab/>
        <w:t>(i)</w:t>
      </w:r>
      <w:r w:rsidRPr="00097A86">
        <w:tab/>
        <w:t>solar energy for electricity generation;</w:t>
      </w:r>
    </w:p>
    <w:p w14:paraId="25F2889E" w14:textId="77777777" w:rsidR="00F07033" w:rsidRPr="00097A86" w:rsidRDefault="00F07033" w:rsidP="00D22D3F">
      <w:pPr>
        <w:pStyle w:val="paragraphsub"/>
      </w:pPr>
      <w:r w:rsidRPr="00097A86">
        <w:tab/>
        <w:t>(ii)</w:t>
      </w:r>
      <w:r w:rsidRPr="00097A86">
        <w:tab/>
        <w:t>wind energy for electricity generation;</w:t>
      </w:r>
    </w:p>
    <w:p w14:paraId="646FDDA1" w14:textId="77777777" w:rsidR="00F07033" w:rsidRPr="00097A86" w:rsidRDefault="00F07033" w:rsidP="00D22D3F">
      <w:pPr>
        <w:pStyle w:val="paragraphsub"/>
      </w:pPr>
      <w:r w:rsidRPr="00097A86">
        <w:tab/>
        <w:t>(iii)</w:t>
      </w:r>
      <w:r w:rsidRPr="00097A86">
        <w:tab/>
        <w:t>water energy for electricity generation;</w:t>
      </w:r>
    </w:p>
    <w:p w14:paraId="3296473A" w14:textId="77777777" w:rsidR="00F07033" w:rsidRPr="00097A86" w:rsidRDefault="00F07033" w:rsidP="00D22D3F">
      <w:pPr>
        <w:pStyle w:val="paragraphsub"/>
      </w:pPr>
      <w:r w:rsidRPr="00097A86">
        <w:tab/>
        <w:t>(iv)</w:t>
      </w:r>
      <w:r w:rsidRPr="00097A86">
        <w:tab/>
        <w:t>geothermal energy for electricity generation; and</w:t>
      </w:r>
    </w:p>
    <w:p w14:paraId="4A373876" w14:textId="77777777" w:rsidR="00F07033" w:rsidRPr="00097A86" w:rsidRDefault="00F07033" w:rsidP="00D22D3F">
      <w:pPr>
        <w:pStyle w:val="paragraph"/>
      </w:pPr>
      <w:r w:rsidRPr="00097A86">
        <w:tab/>
        <w:t>(b)</w:t>
      </w:r>
      <w:r w:rsidRPr="00097A86">
        <w:tab/>
        <w:t>the energy is consumed from the operation of the facility during the year; and</w:t>
      </w:r>
    </w:p>
    <w:p w14:paraId="437DF024" w14:textId="77777777" w:rsidR="00F07033" w:rsidRPr="00097A86" w:rsidRDefault="00F07033" w:rsidP="00D22D3F">
      <w:pPr>
        <w:pStyle w:val="paragraph"/>
      </w:pPr>
      <w:r w:rsidRPr="00097A86">
        <w:tab/>
        <w:t>(c)</w:t>
      </w:r>
      <w:r w:rsidRPr="00097A86">
        <w:tab/>
        <w:t>from that consumption of energy, electricity is produced from the operation of the facility during the year;</w:t>
      </w:r>
    </w:p>
    <w:p w14:paraId="517276C9" w14:textId="77777777" w:rsidR="00F07033" w:rsidRPr="00097A86" w:rsidRDefault="00F07033" w:rsidP="00D22D3F">
      <w:pPr>
        <w:pStyle w:val="subsection2"/>
      </w:pPr>
      <w:r w:rsidRPr="00097A86">
        <w:t>then the energy content of the consumed energy is taken to be equal to the energy content of the electricity produced as estimated under Part</w:t>
      </w:r>
      <w:r w:rsidR="00097A86">
        <w:t> </w:t>
      </w:r>
      <w:r w:rsidRPr="00097A86">
        <w:t>6.1.</w:t>
      </w:r>
    </w:p>
    <w:p w14:paraId="2F43D177" w14:textId="77777777" w:rsidR="00F07033" w:rsidRPr="00097A86" w:rsidRDefault="00F07033" w:rsidP="00D22D3F">
      <w:pPr>
        <w:pStyle w:val="subsection"/>
      </w:pPr>
      <w:r w:rsidRPr="00097A86">
        <w:tab/>
        <w:t>(2)</w:t>
      </w:r>
      <w:r w:rsidRPr="00097A86">
        <w:tab/>
        <w:t>The amount of electricity consumed from the operation of the facility during the year must be:</w:t>
      </w:r>
    </w:p>
    <w:p w14:paraId="57C790E7" w14:textId="77777777" w:rsidR="00F07033" w:rsidRPr="00097A86" w:rsidRDefault="00F07033" w:rsidP="00D22D3F">
      <w:pPr>
        <w:pStyle w:val="paragraph"/>
      </w:pPr>
      <w:r w:rsidRPr="00097A86">
        <w:tab/>
        <w:t>(a)</w:t>
      </w:r>
      <w:r w:rsidRPr="00097A86">
        <w:tab/>
        <w:t>evidenced by invoices, contractual arrangements or industry metering records; or</w:t>
      </w:r>
    </w:p>
    <w:p w14:paraId="1E0EE37C" w14:textId="77777777" w:rsidR="00F07033" w:rsidRPr="00097A86" w:rsidRDefault="00F07033" w:rsidP="00D22D3F">
      <w:pPr>
        <w:pStyle w:val="paragraph"/>
      </w:pPr>
      <w:r w:rsidRPr="00097A86">
        <w:tab/>
        <w:t>(b)</w:t>
      </w:r>
      <w:r w:rsidRPr="00097A86">
        <w:tab/>
        <w:t xml:space="preserve">estimated in accordance with industry practice, if the evidence under </w:t>
      </w:r>
      <w:r w:rsidR="00097A86">
        <w:t>paragraph (</w:t>
      </w:r>
      <w:r w:rsidRPr="00097A86">
        <w:t xml:space="preserve">a) is unavailable. </w:t>
      </w:r>
    </w:p>
    <w:p w14:paraId="3C39BF4C" w14:textId="77777777" w:rsidR="00F07033" w:rsidRPr="00097A86" w:rsidRDefault="00F07033" w:rsidP="00D22D3F">
      <w:pPr>
        <w:pStyle w:val="subsection"/>
      </w:pPr>
      <w:r w:rsidRPr="00097A86">
        <w:tab/>
        <w:t>(3)</w:t>
      </w:r>
      <w:r w:rsidRPr="00097A86">
        <w:tab/>
        <w:t>If, in relation to a year:</w:t>
      </w:r>
    </w:p>
    <w:p w14:paraId="0E6CA9BE" w14:textId="77777777" w:rsidR="00F07033" w:rsidRPr="00097A86" w:rsidRDefault="00F07033" w:rsidP="00D22D3F">
      <w:pPr>
        <w:pStyle w:val="paragraph"/>
      </w:pPr>
      <w:r w:rsidRPr="00097A86">
        <w:tab/>
        <w:t>(a)</w:t>
      </w:r>
      <w:r w:rsidRPr="00097A86">
        <w:tab/>
        <w:t xml:space="preserve">a method used by a person requires the </w:t>
      </w:r>
      <w:r w:rsidRPr="00097A86">
        <w:rPr>
          <w:b/>
          <w:bCs/>
          <w:i/>
          <w:iCs/>
        </w:rPr>
        <w:t>EC</w:t>
      </w:r>
      <w:r w:rsidRPr="00097A86">
        <w:rPr>
          <w:b/>
          <w:bCs/>
          <w:i/>
          <w:iCs/>
          <w:vertAlign w:val="subscript"/>
        </w:rPr>
        <w:t>i</w:t>
      </w:r>
      <w:r w:rsidRPr="00097A86">
        <w:rPr>
          <w:b/>
          <w:i/>
        </w:rPr>
        <w:t xml:space="preserve"> </w:t>
      </w:r>
      <w:r w:rsidRPr="00097A86">
        <w:t>factor to be estimated under this section in relation to a particular fuel type (</w:t>
      </w:r>
      <w:r w:rsidRPr="00097A86">
        <w:rPr>
          <w:b/>
          <w:i/>
        </w:rPr>
        <w:t>i</w:t>
      </w:r>
      <w:r w:rsidRPr="00097A86">
        <w:t>); and</w:t>
      </w:r>
    </w:p>
    <w:p w14:paraId="79B89D69" w14:textId="77777777" w:rsidR="00F07033" w:rsidRPr="00097A86" w:rsidRDefault="00F07033" w:rsidP="00D22D3F">
      <w:pPr>
        <w:pStyle w:val="paragraph"/>
      </w:pPr>
      <w:r w:rsidRPr="00097A86">
        <w:tab/>
        <w:t>(b)</w:t>
      </w:r>
      <w:r w:rsidRPr="00097A86">
        <w:tab/>
        <w:t>a way of estimating is chosen for the fuel type as required by this section; and</w:t>
      </w:r>
    </w:p>
    <w:p w14:paraId="3A7BB89C" w14:textId="77777777" w:rsidR="00F07033" w:rsidRPr="00097A86" w:rsidRDefault="00F07033" w:rsidP="00D22D3F">
      <w:pPr>
        <w:pStyle w:val="paragraph"/>
      </w:pPr>
      <w:r w:rsidRPr="00097A86">
        <w:tab/>
        <w:t>(c)</w:t>
      </w:r>
      <w:r w:rsidRPr="00097A86">
        <w:tab/>
        <w:t xml:space="preserve">other methods used by the person for the same fuel type also require the </w:t>
      </w:r>
      <w:r w:rsidRPr="00097A86">
        <w:rPr>
          <w:b/>
          <w:bCs/>
          <w:i/>
          <w:iCs/>
        </w:rPr>
        <w:t>EC</w:t>
      </w:r>
      <w:r w:rsidRPr="00097A86">
        <w:rPr>
          <w:b/>
          <w:bCs/>
          <w:i/>
          <w:iCs/>
          <w:vertAlign w:val="subscript"/>
        </w:rPr>
        <w:t>i</w:t>
      </w:r>
      <w:r w:rsidRPr="00097A86">
        <w:rPr>
          <w:b/>
          <w:i/>
        </w:rPr>
        <w:t xml:space="preserve"> </w:t>
      </w:r>
      <w:r w:rsidRPr="00097A86">
        <w:t>factor to be estimated under this section;</w:t>
      </w:r>
    </w:p>
    <w:p w14:paraId="37660F11" w14:textId="77777777" w:rsidR="00F07033" w:rsidRPr="00097A86" w:rsidRDefault="00F07033" w:rsidP="00D22D3F">
      <w:pPr>
        <w:pStyle w:val="subsection2"/>
      </w:pPr>
      <w:r w:rsidRPr="00097A86">
        <w:t>then the chosen way of estimating, and the amount estimated, must also be applied in using the other methods for the fuel type in relation to that year.</w:t>
      </w:r>
    </w:p>
    <w:p w14:paraId="615CC335" w14:textId="77777777" w:rsidR="008104E7" w:rsidRPr="00097A86" w:rsidRDefault="008104E7" w:rsidP="008104E7">
      <w:pPr>
        <w:pStyle w:val="SubsectionHead"/>
      </w:pPr>
      <w:r w:rsidRPr="00097A86">
        <w:t>Sulphur, uranium or hydrogen</w:t>
      </w:r>
    </w:p>
    <w:p w14:paraId="3EB9C5C2" w14:textId="77777777" w:rsidR="008104E7" w:rsidRPr="00097A86" w:rsidRDefault="008104E7" w:rsidP="008104E7">
      <w:pPr>
        <w:pStyle w:val="subsection"/>
      </w:pPr>
      <w:r w:rsidRPr="00097A86">
        <w:tab/>
        <w:t>(4)</w:t>
      </w:r>
      <w:r w:rsidRPr="00097A86">
        <w:tab/>
        <w:t>The energy content of sulphur, uranium or hydrogen consumed from the operation of the facility during the year is worked out using the following formula:</w:t>
      </w:r>
    </w:p>
    <w:p w14:paraId="77E486D4" w14:textId="77777777" w:rsidR="008104E7" w:rsidRPr="00097A86" w:rsidRDefault="008104E7" w:rsidP="008104E7">
      <w:pPr>
        <w:pStyle w:val="subsection2"/>
      </w:pPr>
      <w:r w:rsidRPr="00097A86">
        <w:rPr>
          <w:position w:val="-10"/>
        </w:rPr>
        <w:object w:dxaOrig="1200" w:dyaOrig="420" w14:anchorId="444055D6">
          <v:shape id="_x0000_i1075" type="#_x0000_t75" style="width:60pt;height:21pt" o:ole="">
            <v:imagedata r:id="rId277" o:title=""/>
          </v:shape>
          <o:OLEObject Type="Embed" ProgID="Equation.DSMT4" ShapeID="_x0000_i1075" DrawAspect="Content" ObjectID="_1624711079" r:id="rId280"/>
        </w:object>
      </w:r>
    </w:p>
    <w:p w14:paraId="15156DAD" w14:textId="77777777" w:rsidR="008104E7" w:rsidRPr="00097A86" w:rsidRDefault="008104E7" w:rsidP="008104E7">
      <w:pPr>
        <w:pStyle w:val="subsection2"/>
      </w:pPr>
      <w:r w:rsidRPr="00097A86">
        <w:t>where:</w:t>
      </w:r>
    </w:p>
    <w:p w14:paraId="721D46A8" w14:textId="77777777" w:rsidR="008104E7" w:rsidRPr="00097A86" w:rsidRDefault="008104E7" w:rsidP="008104E7">
      <w:pPr>
        <w:pStyle w:val="Definition"/>
      </w:pPr>
      <w:r w:rsidRPr="00097A86">
        <w:rPr>
          <w:b/>
          <w:i/>
        </w:rPr>
        <w:lastRenderedPageBreak/>
        <w:t>EC</w:t>
      </w:r>
      <w:r w:rsidRPr="00097A86">
        <w:t xml:space="preserve"> is the energy content factor of sulphur, uranium or hydrogen (whichever is applicable) mentioned in Part</w:t>
      </w:r>
      <w:r w:rsidR="00097A86">
        <w:t> </w:t>
      </w:r>
      <w:r w:rsidRPr="00097A86">
        <w:t>7 of Schedule</w:t>
      </w:r>
      <w:r w:rsidR="00097A86">
        <w:t> </w:t>
      </w:r>
      <w:r w:rsidRPr="00097A86">
        <w:t>1, measured in gigajoules per tonne.</w:t>
      </w:r>
    </w:p>
    <w:p w14:paraId="682C9FCD" w14:textId="77777777" w:rsidR="008104E7" w:rsidRPr="00097A86" w:rsidRDefault="008104E7" w:rsidP="008104E7">
      <w:pPr>
        <w:pStyle w:val="Definition"/>
      </w:pPr>
      <w:r w:rsidRPr="00097A86">
        <w:rPr>
          <w:b/>
          <w:i/>
        </w:rPr>
        <w:t>Q</w:t>
      </w:r>
      <w:r w:rsidRPr="00097A86">
        <w:t xml:space="preserve"> is the quantity of sulphur, uranium or hydrogen (whichever is applicable) consumed during the year and measured in tonnes.</w:t>
      </w:r>
    </w:p>
    <w:p w14:paraId="12FB7695" w14:textId="77777777" w:rsidR="008104E7" w:rsidRPr="00097A86" w:rsidRDefault="008104E7" w:rsidP="008E6D30">
      <w:pPr>
        <w:pStyle w:val="Definition"/>
      </w:pPr>
      <w:r w:rsidRPr="00097A86">
        <w:rPr>
          <w:b/>
          <w:i/>
        </w:rPr>
        <w:t>Z</w:t>
      </w:r>
      <w:r w:rsidRPr="00097A86">
        <w:t xml:space="preserve"> is the energy content of sulphur, uranium or hydrogen (whichever is applicable) consumed during the year and measured in gigajoules.</w:t>
      </w:r>
    </w:p>
    <w:p w14:paraId="5400F650" w14:textId="77777777" w:rsidR="003F0D4E" w:rsidRPr="00097A86" w:rsidRDefault="003F0D4E" w:rsidP="004C53FA">
      <w:pPr>
        <w:pStyle w:val="ActHead1"/>
        <w:pageBreakBefore/>
      </w:pPr>
      <w:bookmarkStart w:id="646" w:name="_Toc13234073"/>
      <w:r w:rsidRPr="00097A86">
        <w:rPr>
          <w:rStyle w:val="CharChapNo"/>
        </w:rPr>
        <w:lastRenderedPageBreak/>
        <w:t>Chapter</w:t>
      </w:r>
      <w:r w:rsidR="00097A86">
        <w:rPr>
          <w:rStyle w:val="CharChapNo"/>
        </w:rPr>
        <w:t> </w:t>
      </w:r>
      <w:r w:rsidRPr="00097A86">
        <w:rPr>
          <w:rStyle w:val="CharChapNo"/>
        </w:rPr>
        <w:t>7</w:t>
      </w:r>
      <w:r w:rsidR="00D22D3F" w:rsidRPr="00097A86">
        <w:t>—</w:t>
      </w:r>
      <w:r w:rsidRPr="00097A86">
        <w:rPr>
          <w:rStyle w:val="CharChapText"/>
        </w:rPr>
        <w:t>Scope 2 emissions</w:t>
      </w:r>
      <w:bookmarkEnd w:id="646"/>
    </w:p>
    <w:p w14:paraId="43F64024" w14:textId="77777777" w:rsidR="003F0D4E" w:rsidRPr="00097A86" w:rsidRDefault="00D22D3F" w:rsidP="003F0D4E">
      <w:pPr>
        <w:pStyle w:val="Header"/>
      </w:pPr>
      <w:r w:rsidRPr="00097A86">
        <w:rPr>
          <w:rStyle w:val="CharPartNo"/>
        </w:rPr>
        <w:t xml:space="preserve"> </w:t>
      </w:r>
      <w:r w:rsidRPr="00097A86">
        <w:rPr>
          <w:rStyle w:val="CharPartText"/>
        </w:rPr>
        <w:t xml:space="preserve"> </w:t>
      </w:r>
    </w:p>
    <w:p w14:paraId="59078031" w14:textId="77777777" w:rsidR="003F0D4E" w:rsidRPr="00097A86" w:rsidRDefault="00D22D3F" w:rsidP="003F0D4E">
      <w:pPr>
        <w:pStyle w:val="Header"/>
      </w:pPr>
      <w:r w:rsidRPr="00097A86">
        <w:rPr>
          <w:rStyle w:val="CharDivNo"/>
        </w:rPr>
        <w:t xml:space="preserve"> </w:t>
      </w:r>
      <w:r w:rsidRPr="00097A86">
        <w:rPr>
          <w:rStyle w:val="CharDivText"/>
        </w:rPr>
        <w:t xml:space="preserve"> </w:t>
      </w:r>
    </w:p>
    <w:p w14:paraId="0FCDACD9" w14:textId="77777777" w:rsidR="008F16F2" w:rsidRPr="00097A86" w:rsidRDefault="008F16F2" w:rsidP="008F16F2">
      <w:pPr>
        <w:pStyle w:val="ActHead5"/>
      </w:pPr>
      <w:bookmarkStart w:id="647" w:name="_Toc13234074"/>
      <w:r w:rsidRPr="00097A86">
        <w:rPr>
          <w:rStyle w:val="CharSectno"/>
        </w:rPr>
        <w:t>7.1</w:t>
      </w:r>
      <w:r w:rsidRPr="00097A86">
        <w:t xml:space="preserve">  Application</w:t>
      </w:r>
      <w:bookmarkEnd w:id="647"/>
    </w:p>
    <w:p w14:paraId="606CBA86" w14:textId="77777777" w:rsidR="008F16F2" w:rsidRPr="00097A86" w:rsidRDefault="008F16F2" w:rsidP="008F16F2">
      <w:pPr>
        <w:pStyle w:val="subsection"/>
      </w:pPr>
      <w:r w:rsidRPr="00097A86">
        <w:tab/>
        <w:t>(1)</w:t>
      </w:r>
      <w:r w:rsidRPr="00097A86">
        <w:tab/>
        <w:t>This Chapter specifies a method of determining scope 2 emissions from the consumption of purchased electricity</w:t>
      </w:r>
      <w:r w:rsidR="008104E7" w:rsidRPr="00097A86">
        <w:t>, or the loss of electricity from an electricity transmission network or distribution network</w:t>
      </w:r>
      <w:r w:rsidRPr="00097A86">
        <w:t>.</w:t>
      </w:r>
    </w:p>
    <w:p w14:paraId="463CA1A3" w14:textId="77777777" w:rsidR="008F16F2" w:rsidRPr="00097A86" w:rsidRDefault="008F16F2" w:rsidP="008F16F2">
      <w:pPr>
        <w:pStyle w:val="subsection"/>
      </w:pPr>
      <w:r w:rsidRPr="00097A86">
        <w:tab/>
        <w:t>(2)</w:t>
      </w:r>
      <w:r w:rsidRPr="00097A86">
        <w:tab/>
        <w:t>This Chapter applies if the amount of purchased electricity consumed from the operation of a facility during a year that results in scope 2 emissions is more than 20</w:t>
      </w:r>
      <w:r w:rsidR="00097A86">
        <w:t> </w:t>
      </w:r>
      <w:r w:rsidRPr="00097A86">
        <w:t>000 kilowatt hours.</w:t>
      </w:r>
    </w:p>
    <w:p w14:paraId="1F11C6D4" w14:textId="77777777" w:rsidR="008F16F2" w:rsidRPr="00097A86" w:rsidRDefault="008F16F2" w:rsidP="008F16F2">
      <w:pPr>
        <w:pStyle w:val="notetext"/>
      </w:pPr>
      <w:r w:rsidRPr="00097A86">
        <w:t xml:space="preserve">Note: </w:t>
      </w:r>
      <w:r w:rsidRPr="00097A86">
        <w:tab/>
        <w:t>Scope 2 emissions result from activities that generate electricity, heating, cooling or steam that is consumed by a facility but that do not form part of the facility (see regulation</w:t>
      </w:r>
      <w:r w:rsidR="00097A86">
        <w:t> </w:t>
      </w:r>
      <w:r w:rsidRPr="00097A86">
        <w:t>2.24 of the Regulations).</w:t>
      </w:r>
    </w:p>
    <w:p w14:paraId="080579FA" w14:textId="77777777" w:rsidR="008104E7" w:rsidRPr="00097A86" w:rsidRDefault="008104E7" w:rsidP="008104E7">
      <w:pPr>
        <w:pStyle w:val="ActHead5"/>
      </w:pPr>
      <w:bookmarkStart w:id="648" w:name="_Toc13234075"/>
      <w:r w:rsidRPr="00097A86">
        <w:rPr>
          <w:rStyle w:val="CharSectno"/>
        </w:rPr>
        <w:t>7.2</w:t>
      </w:r>
      <w:r w:rsidRPr="00097A86">
        <w:t xml:space="preserve">  Method 1—purchase and loss of electricity from main electricity grid in a State or Territory</w:t>
      </w:r>
      <w:bookmarkEnd w:id="648"/>
    </w:p>
    <w:p w14:paraId="55251FD2" w14:textId="77777777" w:rsidR="003F0D4E" w:rsidRPr="00097A86" w:rsidRDefault="003F0D4E" w:rsidP="00D22D3F">
      <w:pPr>
        <w:pStyle w:val="subsection"/>
      </w:pPr>
      <w:r w:rsidRPr="00097A86">
        <w:tab/>
        <w:t>(1)</w:t>
      </w:r>
      <w:r w:rsidRPr="00097A86">
        <w:tab/>
        <w:t xml:space="preserve">The following method must be used for estimating scope 2 emissions released from electricity purchased from </w:t>
      </w:r>
      <w:r w:rsidR="008A3463" w:rsidRPr="00097A86">
        <w:t>the main electricity grid in a State or Territory</w:t>
      </w:r>
      <w:r w:rsidRPr="00097A86">
        <w:t xml:space="preserve"> and consumed from the operation of a facility during a year:</w:t>
      </w:r>
    </w:p>
    <w:p w14:paraId="0C429761" w14:textId="77777777" w:rsidR="003F0D4E" w:rsidRPr="00097A86" w:rsidRDefault="00D22D3F" w:rsidP="00D22D3F">
      <w:pPr>
        <w:pStyle w:val="subsection"/>
        <w:spacing w:before="120" w:after="120"/>
      </w:pPr>
      <w:r w:rsidRPr="00097A86">
        <w:tab/>
      </w:r>
      <w:r w:rsidRPr="00097A86">
        <w:tab/>
      </w:r>
      <w:r w:rsidR="009E1F90">
        <w:rPr>
          <w:noProof/>
        </w:rPr>
        <w:drawing>
          <wp:inline distT="0" distB="0" distL="0" distR="0" wp14:anchorId="7329CE60" wp14:editId="25DF3EB3">
            <wp:extent cx="952500" cy="39052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14:paraId="71B620C7" w14:textId="77777777" w:rsidR="003F0D4E" w:rsidRPr="00097A86" w:rsidRDefault="003F0D4E" w:rsidP="00D22D3F">
      <w:pPr>
        <w:pStyle w:val="subsection2"/>
      </w:pPr>
      <w:r w:rsidRPr="00097A86">
        <w:t>where:</w:t>
      </w:r>
    </w:p>
    <w:p w14:paraId="73146980" w14:textId="77777777" w:rsidR="003F0D4E" w:rsidRPr="00097A86" w:rsidRDefault="003F0D4E" w:rsidP="00D22D3F">
      <w:pPr>
        <w:pStyle w:val="Definition"/>
      </w:pPr>
      <w:r w:rsidRPr="00097A86">
        <w:rPr>
          <w:b/>
          <w:i/>
        </w:rPr>
        <w:t xml:space="preserve">Y </w:t>
      </w:r>
      <w:r w:rsidRPr="00097A86">
        <w:t>is the scope 2 emissions measured in CO</w:t>
      </w:r>
      <w:r w:rsidRPr="00097A86">
        <w:rPr>
          <w:rStyle w:val="charSubscript"/>
          <w:iCs/>
        </w:rPr>
        <w:t>2</w:t>
      </w:r>
      <w:r w:rsidR="00097A86">
        <w:noBreakHyphen/>
      </w:r>
      <w:r w:rsidRPr="00097A86">
        <w:t>e tonnes.</w:t>
      </w:r>
    </w:p>
    <w:p w14:paraId="71205366" w14:textId="77777777" w:rsidR="003F0D4E" w:rsidRPr="00097A86" w:rsidRDefault="003F0D4E" w:rsidP="00D22D3F">
      <w:pPr>
        <w:pStyle w:val="Definition"/>
      </w:pPr>
      <w:r w:rsidRPr="00097A86">
        <w:rPr>
          <w:b/>
          <w:i/>
        </w:rPr>
        <w:t>Q</w:t>
      </w:r>
      <w:r w:rsidRPr="00097A86">
        <w:t xml:space="preserve"> is the quantity of electricity purchased from the electricity grid during the year and consumed from the operation of the facility measured in kilowatt hours.</w:t>
      </w:r>
    </w:p>
    <w:p w14:paraId="002C72A9" w14:textId="77777777" w:rsidR="003F0D4E" w:rsidRPr="00097A86" w:rsidRDefault="003F0D4E" w:rsidP="00D22D3F">
      <w:pPr>
        <w:pStyle w:val="Definition"/>
      </w:pPr>
      <w:r w:rsidRPr="00097A86">
        <w:rPr>
          <w:b/>
          <w:i/>
        </w:rPr>
        <w:t xml:space="preserve">EF </w:t>
      </w:r>
      <w:r w:rsidRPr="00097A86">
        <w:t>is the scope 2 emission factor, in kilograms of CO</w:t>
      </w:r>
      <w:r w:rsidRPr="00097A86">
        <w:rPr>
          <w:rStyle w:val="charSubscript"/>
          <w:iCs/>
        </w:rPr>
        <w:t>2</w:t>
      </w:r>
      <w:r w:rsidR="00097A86">
        <w:noBreakHyphen/>
      </w:r>
      <w:r w:rsidRPr="00097A86">
        <w:t xml:space="preserve">e emissions per kilowatt hour, for the </w:t>
      </w:r>
      <w:r w:rsidR="008A3463" w:rsidRPr="00097A86">
        <w:t>State or Territory</w:t>
      </w:r>
      <w:r w:rsidRPr="00097A86">
        <w:t xml:space="preserve"> in which the consumption occurs as mentioned in Part</w:t>
      </w:r>
      <w:r w:rsidR="00097A86">
        <w:t> </w:t>
      </w:r>
      <w:r w:rsidRPr="00097A86">
        <w:t>6 of Schedule</w:t>
      </w:r>
      <w:r w:rsidR="00097A86">
        <w:t> </w:t>
      </w:r>
      <w:r w:rsidRPr="00097A86">
        <w:t>1.</w:t>
      </w:r>
    </w:p>
    <w:p w14:paraId="44376196" w14:textId="77777777" w:rsidR="003F0D4E" w:rsidRPr="00097A86" w:rsidRDefault="00D22D3F" w:rsidP="00D22D3F">
      <w:pPr>
        <w:pStyle w:val="notetext"/>
      </w:pPr>
      <w:r w:rsidRPr="00097A86">
        <w:t>Note:</w:t>
      </w:r>
      <w:r w:rsidRPr="00097A86">
        <w:tab/>
      </w:r>
      <w:r w:rsidR="003F0D4E" w:rsidRPr="00097A86">
        <w:t>There is no other method for this section.</w:t>
      </w:r>
    </w:p>
    <w:p w14:paraId="1BA78712" w14:textId="77777777" w:rsidR="008104E7" w:rsidRPr="00097A86" w:rsidRDefault="008104E7" w:rsidP="008104E7">
      <w:pPr>
        <w:pStyle w:val="subsection"/>
      </w:pPr>
      <w:r w:rsidRPr="00097A86">
        <w:tab/>
        <w:t>(1A)</w:t>
      </w:r>
      <w:r w:rsidRPr="00097A86">
        <w:tab/>
        <w:t xml:space="preserve">The method in </w:t>
      </w:r>
      <w:r w:rsidR="00097A86">
        <w:t>subsection (</w:t>
      </w:r>
      <w:r w:rsidRPr="00097A86">
        <w:t xml:space="preserve">1) must, subject to </w:t>
      </w:r>
      <w:r w:rsidR="00097A86">
        <w:t>subsection (</w:t>
      </w:r>
      <w:r w:rsidRPr="00097A86">
        <w:t>2), also be used for estimating scope 2 emissions released from electricity consumed from the operation of a facility during a year if the operation of the facility is constituted by an electricity transmission network or distribution network that is, or is part of, the main electricity grid in a State or Territory.</w:t>
      </w:r>
    </w:p>
    <w:p w14:paraId="04F57BA9" w14:textId="77777777" w:rsidR="008104E7" w:rsidRPr="00097A86" w:rsidRDefault="008104E7" w:rsidP="008104E7">
      <w:pPr>
        <w:pStyle w:val="subsection"/>
      </w:pPr>
      <w:r w:rsidRPr="00097A86">
        <w:tab/>
        <w:t>(2)</w:t>
      </w:r>
      <w:r w:rsidRPr="00097A86">
        <w:tab/>
        <w:t xml:space="preserve">In applying that method for the purposes of </w:t>
      </w:r>
      <w:r w:rsidR="00097A86">
        <w:t>subsection (</w:t>
      </w:r>
      <w:r w:rsidRPr="00097A86">
        <w:t xml:space="preserve">1A), </w:t>
      </w:r>
      <w:r w:rsidRPr="00097A86">
        <w:rPr>
          <w:b/>
          <w:i/>
        </w:rPr>
        <w:t>Q</w:t>
      </w:r>
      <w:r w:rsidRPr="00097A86">
        <w:t xml:space="preserve"> is the quantity of electricity losses for that network during the year.</w:t>
      </w:r>
    </w:p>
    <w:p w14:paraId="5895A5C2" w14:textId="77777777" w:rsidR="003F0D4E" w:rsidRPr="00097A86" w:rsidRDefault="003F0D4E" w:rsidP="00D22D3F">
      <w:pPr>
        <w:pStyle w:val="subsection"/>
      </w:pPr>
      <w:r w:rsidRPr="00097A86">
        <w:tab/>
        <w:t>(3)</w:t>
      </w:r>
      <w:r w:rsidRPr="00097A86">
        <w:tab/>
        <w:t xml:space="preserve">For </w:t>
      </w:r>
      <w:r w:rsidRPr="00097A86">
        <w:rPr>
          <w:b/>
          <w:i/>
        </w:rPr>
        <w:t>Q</w:t>
      </w:r>
      <w:r w:rsidRPr="00097A86">
        <w:t xml:space="preserve">, if the electricity purchased </w:t>
      </w:r>
      <w:r w:rsidR="00143F02" w:rsidRPr="00097A86">
        <w:t xml:space="preserve">(or lost) </w:t>
      </w:r>
      <w:r w:rsidRPr="00097A86">
        <w:t>is measured in gigajoules, the quantity of kilowatt hours must be calculated by dividing the amount of gigajoules by 0.0036.</w:t>
      </w:r>
    </w:p>
    <w:p w14:paraId="0004F97E" w14:textId="77777777" w:rsidR="008A3463" w:rsidRPr="00097A86" w:rsidRDefault="008A3463" w:rsidP="00D22D3F">
      <w:pPr>
        <w:pStyle w:val="subsection"/>
      </w:pPr>
      <w:r w:rsidRPr="00097A86">
        <w:lastRenderedPageBreak/>
        <w:tab/>
        <w:t>(4)</w:t>
      </w:r>
      <w:r w:rsidRPr="00097A86">
        <w:tab/>
        <w:t xml:space="preserve">The </w:t>
      </w:r>
      <w:r w:rsidRPr="00097A86">
        <w:rPr>
          <w:b/>
          <w:i/>
        </w:rPr>
        <w:t>main electricity grid</w:t>
      </w:r>
      <w:r w:rsidRPr="00097A86">
        <w:t>, for a State or Territory, means:</w:t>
      </w:r>
    </w:p>
    <w:p w14:paraId="59E40D78" w14:textId="77777777" w:rsidR="008A3463" w:rsidRPr="00097A86" w:rsidRDefault="008A3463" w:rsidP="00D22D3F">
      <w:pPr>
        <w:pStyle w:val="paragraph"/>
      </w:pPr>
      <w:r w:rsidRPr="00097A86">
        <w:tab/>
        <w:t>(a)</w:t>
      </w:r>
      <w:r w:rsidRPr="00097A86">
        <w:tab/>
        <w:t>for Western Australia</w:t>
      </w:r>
      <w:r w:rsidR="00D22D3F" w:rsidRPr="00097A86">
        <w:t>—</w:t>
      </w:r>
      <w:r w:rsidRPr="00097A86">
        <w:t>the Southwest Interconnected System; and</w:t>
      </w:r>
    </w:p>
    <w:p w14:paraId="1CE5A55D" w14:textId="77777777" w:rsidR="008A3463" w:rsidRPr="00097A86" w:rsidRDefault="008A3463" w:rsidP="00D22D3F">
      <w:pPr>
        <w:pStyle w:val="paragraph"/>
      </w:pPr>
      <w:r w:rsidRPr="00097A86">
        <w:tab/>
        <w:t>(b)</w:t>
      </w:r>
      <w:r w:rsidRPr="00097A86">
        <w:tab/>
        <w:t>for each other State or Territory</w:t>
      </w:r>
      <w:r w:rsidR="00D22D3F" w:rsidRPr="00097A86">
        <w:t>—</w:t>
      </w:r>
      <w:r w:rsidRPr="00097A86">
        <w:t>the electricity grid that provides electricity to the largest percentage of the State’s or Territory’s population.</w:t>
      </w:r>
    </w:p>
    <w:p w14:paraId="3105B049" w14:textId="77777777" w:rsidR="008104E7" w:rsidRPr="00097A86" w:rsidRDefault="008104E7" w:rsidP="008104E7">
      <w:pPr>
        <w:pStyle w:val="ActHead5"/>
      </w:pPr>
      <w:bookmarkStart w:id="649" w:name="_Toc13234076"/>
      <w:r w:rsidRPr="00097A86">
        <w:rPr>
          <w:rStyle w:val="CharSectno"/>
        </w:rPr>
        <w:t>7.3</w:t>
      </w:r>
      <w:r w:rsidRPr="00097A86">
        <w:t xml:space="preserve">  Method 1—purchase and loss of electricity from other sources</w:t>
      </w:r>
      <w:bookmarkEnd w:id="649"/>
    </w:p>
    <w:p w14:paraId="4248AFA5" w14:textId="77777777" w:rsidR="00A96E5F" w:rsidRPr="00097A86" w:rsidRDefault="00A96E5F" w:rsidP="00D22D3F">
      <w:pPr>
        <w:pStyle w:val="subsection"/>
      </w:pPr>
      <w:r w:rsidRPr="00097A86">
        <w:tab/>
        <w:t>(1)</w:t>
      </w:r>
      <w:r w:rsidRPr="00097A86">
        <w:tab/>
        <w:t>The following formula must be used for estimating scope 2 emissions released from electricity:</w:t>
      </w:r>
    </w:p>
    <w:p w14:paraId="79871F96" w14:textId="77777777" w:rsidR="00A96E5F" w:rsidRPr="00097A86" w:rsidRDefault="00A96E5F" w:rsidP="00D22D3F">
      <w:pPr>
        <w:pStyle w:val="paragraph"/>
      </w:pPr>
      <w:r w:rsidRPr="00097A86">
        <w:tab/>
        <w:t>(a)</w:t>
      </w:r>
      <w:r w:rsidRPr="00097A86">
        <w:tab/>
        <w:t>purchased from a grid other than the main electricity grid in a State or Territory; and</w:t>
      </w:r>
    </w:p>
    <w:p w14:paraId="4FD3A4BE" w14:textId="77777777" w:rsidR="00A96E5F" w:rsidRPr="00097A86" w:rsidRDefault="00A96E5F" w:rsidP="00D22D3F">
      <w:pPr>
        <w:pStyle w:val="paragraph"/>
      </w:pPr>
      <w:r w:rsidRPr="00097A86">
        <w:tab/>
        <w:t>(b)</w:t>
      </w:r>
      <w:r w:rsidRPr="00097A86">
        <w:tab/>
        <w:t>consumed from the operation of a facility during a year:</w:t>
      </w:r>
    </w:p>
    <w:p w14:paraId="0563F28E" w14:textId="77777777" w:rsidR="00A96E5F" w:rsidRPr="00097A86" w:rsidRDefault="00D22D3F" w:rsidP="00D22D3F">
      <w:pPr>
        <w:pStyle w:val="paragraph"/>
        <w:spacing w:before="120" w:after="120"/>
      </w:pPr>
      <w:r w:rsidRPr="00097A86">
        <w:tab/>
      </w:r>
      <w:r w:rsidRPr="00097A86">
        <w:tab/>
      </w:r>
      <w:r w:rsidR="009E1F90">
        <w:rPr>
          <w:noProof/>
        </w:rPr>
        <w:drawing>
          <wp:inline distT="0" distB="0" distL="0" distR="0" wp14:anchorId="00751C64" wp14:editId="27CEE71F">
            <wp:extent cx="1123950" cy="390525"/>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14:paraId="665CE9C8" w14:textId="77777777" w:rsidR="00A96E5F" w:rsidRPr="00097A86" w:rsidRDefault="00A96E5F" w:rsidP="00D22D3F">
      <w:pPr>
        <w:pStyle w:val="subsection2"/>
      </w:pPr>
      <w:r w:rsidRPr="00097A86">
        <w:t>where:</w:t>
      </w:r>
    </w:p>
    <w:p w14:paraId="15818057" w14:textId="77777777" w:rsidR="00A96E5F" w:rsidRPr="00097A86" w:rsidRDefault="00A96E5F" w:rsidP="00D22D3F">
      <w:pPr>
        <w:pStyle w:val="Definition"/>
      </w:pPr>
      <w:r w:rsidRPr="00097A86">
        <w:rPr>
          <w:b/>
          <w:i/>
        </w:rPr>
        <w:t xml:space="preserve">Y </w:t>
      </w:r>
      <w:r w:rsidRPr="00097A86">
        <w:t>is the scope 2 emissions measured in CO</w:t>
      </w:r>
      <w:r w:rsidRPr="00097A86">
        <w:rPr>
          <w:rStyle w:val="charsubscript0"/>
          <w:b/>
          <w:i/>
        </w:rPr>
        <w:t>2</w:t>
      </w:r>
      <w:r w:rsidR="00097A86">
        <w:noBreakHyphen/>
      </w:r>
      <w:r w:rsidRPr="00097A86">
        <w:t>e tonnes during the year.</w:t>
      </w:r>
    </w:p>
    <w:p w14:paraId="2425458D" w14:textId="77777777" w:rsidR="00A96E5F" w:rsidRPr="00097A86" w:rsidRDefault="00A96E5F" w:rsidP="00D22D3F">
      <w:pPr>
        <w:pStyle w:val="Definition"/>
      </w:pPr>
      <w:r w:rsidRPr="00097A86">
        <w:rPr>
          <w:b/>
          <w:i/>
        </w:rPr>
        <w:t>Q</w:t>
      </w:r>
      <w:r w:rsidRPr="00097A86">
        <w:t xml:space="preserve"> is the quantity of electricity purchased during the year and consumed from the operation of the facility, measured in kilowatt hours.</w:t>
      </w:r>
    </w:p>
    <w:p w14:paraId="44E9F1B0" w14:textId="77777777" w:rsidR="00A96E5F" w:rsidRPr="00097A86" w:rsidRDefault="00A96E5F" w:rsidP="00D22D3F">
      <w:pPr>
        <w:pStyle w:val="Definition"/>
      </w:pPr>
      <w:r w:rsidRPr="00097A86">
        <w:rPr>
          <w:b/>
          <w:bCs/>
          <w:i/>
          <w:iCs/>
        </w:rPr>
        <w:t>E</w:t>
      </w:r>
      <w:r w:rsidRPr="00097A86">
        <w:rPr>
          <w:b/>
          <w:i/>
        </w:rPr>
        <w:t xml:space="preserve">F </w:t>
      </w:r>
      <w:r w:rsidRPr="00097A86">
        <w:t>is the scope 2 emission factor, in kilograms of CO</w:t>
      </w:r>
      <w:r w:rsidRPr="00097A86">
        <w:rPr>
          <w:rStyle w:val="charsubscript0"/>
          <w:b/>
          <w:i/>
        </w:rPr>
        <w:t>2</w:t>
      </w:r>
      <w:r w:rsidR="00097A86">
        <w:noBreakHyphen/>
      </w:r>
      <w:r w:rsidRPr="00097A86">
        <w:t>e emissions per kilowatt hour, either:</w:t>
      </w:r>
    </w:p>
    <w:p w14:paraId="5DE9C101" w14:textId="77777777" w:rsidR="00A96E5F" w:rsidRPr="00097A86" w:rsidRDefault="00A96E5F" w:rsidP="00D22D3F">
      <w:pPr>
        <w:pStyle w:val="paragraph"/>
      </w:pPr>
      <w:r w:rsidRPr="00097A86">
        <w:tab/>
        <w:t>(a)</w:t>
      </w:r>
      <w:r w:rsidRPr="00097A86">
        <w:tab/>
        <w:t xml:space="preserve">provided by the supplier of the electricity; or </w:t>
      </w:r>
    </w:p>
    <w:p w14:paraId="6B9E3BEC" w14:textId="77777777" w:rsidR="00A96E5F" w:rsidRPr="00097A86" w:rsidRDefault="00A96E5F" w:rsidP="00D22D3F">
      <w:pPr>
        <w:pStyle w:val="paragraph"/>
      </w:pPr>
      <w:r w:rsidRPr="00097A86">
        <w:tab/>
        <w:t>(b)</w:t>
      </w:r>
      <w:r w:rsidRPr="00097A86">
        <w:tab/>
        <w:t>if that factor is not available, the emission factor for the Northern Territory as mentioned in Part</w:t>
      </w:r>
      <w:r w:rsidR="00097A86">
        <w:t> </w:t>
      </w:r>
      <w:r w:rsidRPr="00097A86">
        <w:t>6 of Schedule</w:t>
      </w:r>
      <w:r w:rsidR="00097A86">
        <w:t> </w:t>
      </w:r>
      <w:r w:rsidRPr="00097A86">
        <w:t>1.</w:t>
      </w:r>
    </w:p>
    <w:p w14:paraId="306DB08A" w14:textId="77777777" w:rsidR="00A96E5F" w:rsidRPr="00097A86" w:rsidRDefault="00D22D3F" w:rsidP="001E6454">
      <w:pPr>
        <w:pStyle w:val="notetext"/>
      </w:pPr>
      <w:r w:rsidRPr="00097A86">
        <w:t>Note:</w:t>
      </w:r>
      <w:r w:rsidRPr="00097A86">
        <w:tab/>
      </w:r>
      <w:r w:rsidR="00A96E5F" w:rsidRPr="00097A86">
        <w:t>There is no other method for this section.</w:t>
      </w:r>
    </w:p>
    <w:p w14:paraId="7B1A75DF" w14:textId="77777777" w:rsidR="008104E7" w:rsidRPr="00097A86" w:rsidRDefault="008104E7" w:rsidP="008104E7">
      <w:pPr>
        <w:pStyle w:val="subsection"/>
      </w:pPr>
      <w:r w:rsidRPr="00097A86">
        <w:tab/>
        <w:t>(1A)</w:t>
      </w:r>
      <w:r w:rsidRPr="00097A86">
        <w:tab/>
        <w:t xml:space="preserve">The formula in </w:t>
      </w:r>
      <w:r w:rsidR="00097A86">
        <w:t>subsection (</w:t>
      </w:r>
      <w:r w:rsidRPr="00097A86">
        <w:t xml:space="preserve">1) must, subject to </w:t>
      </w:r>
      <w:r w:rsidR="00097A86">
        <w:t>subsection (</w:t>
      </w:r>
      <w:r w:rsidRPr="00097A86">
        <w:t>2), also be used for estimating scope 2 emissions released from electricity consumed from the operation of facility during a year if the operation of the facility is constituted by an electricity transmission network or distribution network that is not, and is not part of, the main electricity grid in a State or Territory.</w:t>
      </w:r>
    </w:p>
    <w:p w14:paraId="4128E0C0" w14:textId="77777777" w:rsidR="008104E7" w:rsidRPr="00097A86" w:rsidRDefault="008104E7" w:rsidP="008104E7">
      <w:pPr>
        <w:pStyle w:val="subsection"/>
      </w:pPr>
      <w:r w:rsidRPr="00097A86">
        <w:tab/>
        <w:t>(2)</w:t>
      </w:r>
      <w:r w:rsidRPr="00097A86">
        <w:tab/>
        <w:t xml:space="preserve">In applying that formula for the purposes of </w:t>
      </w:r>
      <w:r w:rsidR="00097A86">
        <w:t>subsection (</w:t>
      </w:r>
      <w:r w:rsidRPr="00097A86">
        <w:t xml:space="preserve">1A), </w:t>
      </w:r>
      <w:r w:rsidRPr="00097A86">
        <w:rPr>
          <w:b/>
          <w:i/>
        </w:rPr>
        <w:t>Q</w:t>
      </w:r>
      <w:r w:rsidRPr="00097A86">
        <w:t xml:space="preserve"> is the quantity of electricity losses for that network during the year.</w:t>
      </w:r>
    </w:p>
    <w:p w14:paraId="5842FF96" w14:textId="77777777" w:rsidR="00A96E5F" w:rsidRPr="00097A86" w:rsidRDefault="00A96E5F" w:rsidP="00D22D3F">
      <w:pPr>
        <w:pStyle w:val="subsection"/>
      </w:pPr>
      <w:r w:rsidRPr="00097A86">
        <w:tab/>
        <w:t>(3)</w:t>
      </w:r>
      <w:r w:rsidRPr="00097A86">
        <w:tab/>
        <w:t xml:space="preserve">For </w:t>
      </w:r>
      <w:r w:rsidRPr="00097A86">
        <w:rPr>
          <w:b/>
          <w:bCs/>
          <w:i/>
          <w:iCs/>
        </w:rPr>
        <w:t>Q</w:t>
      </w:r>
      <w:r w:rsidRPr="00097A86">
        <w:t xml:space="preserve">, if the electricity purchased </w:t>
      </w:r>
      <w:r w:rsidR="00927B4F" w:rsidRPr="00097A86">
        <w:t xml:space="preserve">(or lost) </w:t>
      </w:r>
      <w:r w:rsidRPr="00097A86">
        <w:t>is measured in gigajoules, the quantity of kilowatt hours must be calculated by dividing the amount of gigajoules by 0.0036.</w:t>
      </w:r>
    </w:p>
    <w:p w14:paraId="1D541588" w14:textId="77777777" w:rsidR="00A96E5F" w:rsidRPr="00097A86" w:rsidRDefault="00A96E5F" w:rsidP="004C53FA">
      <w:pPr>
        <w:pStyle w:val="ActHead1"/>
        <w:pageBreakBefore/>
      </w:pPr>
      <w:bookmarkStart w:id="650" w:name="_Toc13234077"/>
      <w:r w:rsidRPr="00097A86">
        <w:rPr>
          <w:rStyle w:val="CharChapNo"/>
        </w:rPr>
        <w:lastRenderedPageBreak/>
        <w:t>Chapter</w:t>
      </w:r>
      <w:r w:rsidR="00097A86">
        <w:rPr>
          <w:rStyle w:val="CharChapNo"/>
        </w:rPr>
        <w:t> </w:t>
      </w:r>
      <w:r w:rsidRPr="00097A86">
        <w:rPr>
          <w:rStyle w:val="CharChapNo"/>
        </w:rPr>
        <w:t>8</w:t>
      </w:r>
      <w:r w:rsidR="00D22D3F" w:rsidRPr="00097A86">
        <w:t>—</w:t>
      </w:r>
      <w:r w:rsidRPr="00097A86">
        <w:rPr>
          <w:rStyle w:val="CharChapText"/>
        </w:rPr>
        <w:t>Assessment of uncertainty</w:t>
      </w:r>
      <w:bookmarkEnd w:id="650"/>
    </w:p>
    <w:p w14:paraId="3DCAB56F" w14:textId="77777777" w:rsidR="00A96E5F" w:rsidRPr="00097A86" w:rsidRDefault="00A96E5F" w:rsidP="00D22D3F">
      <w:pPr>
        <w:pStyle w:val="ActHead2"/>
      </w:pPr>
      <w:bookmarkStart w:id="651" w:name="_Toc13234078"/>
      <w:r w:rsidRPr="00097A86">
        <w:rPr>
          <w:rStyle w:val="CharPartNo"/>
        </w:rPr>
        <w:t>Part</w:t>
      </w:r>
      <w:r w:rsidR="00097A86">
        <w:rPr>
          <w:rStyle w:val="CharPartNo"/>
        </w:rPr>
        <w:t> </w:t>
      </w:r>
      <w:r w:rsidRPr="00097A86">
        <w:rPr>
          <w:rStyle w:val="CharPartNo"/>
        </w:rPr>
        <w:t>8.1</w:t>
      </w:r>
      <w:r w:rsidR="00D22D3F" w:rsidRPr="00097A86">
        <w:t>—</w:t>
      </w:r>
      <w:r w:rsidRPr="00097A86">
        <w:rPr>
          <w:rStyle w:val="CharPartText"/>
        </w:rPr>
        <w:t>Preliminary</w:t>
      </w:r>
      <w:bookmarkEnd w:id="651"/>
    </w:p>
    <w:p w14:paraId="249F318D" w14:textId="77777777" w:rsidR="00A96E5F" w:rsidRPr="00097A86" w:rsidRDefault="00D22D3F" w:rsidP="00A96E5F">
      <w:pPr>
        <w:pStyle w:val="Header"/>
      </w:pPr>
      <w:r w:rsidRPr="00097A86">
        <w:rPr>
          <w:rStyle w:val="CharDivNo"/>
        </w:rPr>
        <w:t xml:space="preserve"> </w:t>
      </w:r>
      <w:r w:rsidRPr="00097A86">
        <w:rPr>
          <w:rStyle w:val="CharDivText"/>
        </w:rPr>
        <w:t xml:space="preserve"> </w:t>
      </w:r>
    </w:p>
    <w:p w14:paraId="0A3CB9FB" w14:textId="77777777" w:rsidR="00A96E5F" w:rsidRPr="00097A86" w:rsidRDefault="00A96E5F" w:rsidP="00D22D3F">
      <w:pPr>
        <w:pStyle w:val="ActHead5"/>
      </w:pPr>
      <w:bookmarkStart w:id="652" w:name="_Toc13234079"/>
      <w:r w:rsidRPr="00097A86">
        <w:rPr>
          <w:rStyle w:val="CharSectno"/>
        </w:rPr>
        <w:t>8.1</w:t>
      </w:r>
      <w:r w:rsidR="00D22D3F" w:rsidRPr="00097A86">
        <w:t xml:space="preserve">  </w:t>
      </w:r>
      <w:r w:rsidRPr="00097A86">
        <w:t>Outline of Chapter</w:t>
      </w:r>
      <w:bookmarkEnd w:id="652"/>
    </w:p>
    <w:p w14:paraId="56B777CC" w14:textId="77777777" w:rsidR="00A96E5F" w:rsidRPr="00097A86" w:rsidRDefault="00A96E5F" w:rsidP="00D22D3F">
      <w:pPr>
        <w:pStyle w:val="subsection"/>
      </w:pPr>
      <w:r w:rsidRPr="00097A86">
        <w:tab/>
        <w:t>(1)</w:t>
      </w:r>
      <w:r w:rsidRPr="00097A86">
        <w:tab/>
        <w:t>This Chapter sets out rules about how uncertainty is to be assessed in working out estimates of scope 1 emissions for a source.</w:t>
      </w:r>
    </w:p>
    <w:p w14:paraId="577BADFE" w14:textId="77777777" w:rsidR="00A96E5F" w:rsidRPr="00097A86" w:rsidRDefault="00A96E5F" w:rsidP="00D22D3F">
      <w:pPr>
        <w:pStyle w:val="subsection"/>
      </w:pPr>
      <w:r w:rsidRPr="00097A86">
        <w:tab/>
        <w:t>(2)</w:t>
      </w:r>
      <w:r w:rsidRPr="00097A86">
        <w:tab/>
        <w:t>Part</w:t>
      </w:r>
      <w:r w:rsidR="00097A86">
        <w:t> </w:t>
      </w:r>
      <w:r w:rsidRPr="00097A86">
        <w:t>8.2 sets out general rules for assessing uncertainty of scope 1 emissions estimates.</w:t>
      </w:r>
    </w:p>
    <w:p w14:paraId="3ECEBDCB" w14:textId="77777777" w:rsidR="00A96E5F" w:rsidRPr="00097A86" w:rsidRDefault="00A96E5F" w:rsidP="00D22D3F">
      <w:pPr>
        <w:pStyle w:val="subsection"/>
      </w:pPr>
      <w:r w:rsidRPr="00097A86">
        <w:tab/>
        <w:t>(3)</w:t>
      </w:r>
      <w:r w:rsidRPr="00097A86">
        <w:tab/>
        <w:t>Part</w:t>
      </w:r>
      <w:r w:rsidR="00097A86">
        <w:t> </w:t>
      </w:r>
      <w:r w:rsidRPr="00097A86">
        <w:t>8.3 sets out how to assess the uncertainty of estimates of scope 1 emissions that have been estimated using method 1.</w:t>
      </w:r>
    </w:p>
    <w:p w14:paraId="1C53EA64" w14:textId="77777777" w:rsidR="00A96E5F" w:rsidRPr="00097A86" w:rsidRDefault="00A96E5F" w:rsidP="00D22D3F">
      <w:pPr>
        <w:pStyle w:val="subsection"/>
      </w:pPr>
      <w:r w:rsidRPr="00097A86">
        <w:tab/>
        <w:t>(4)</w:t>
      </w:r>
      <w:r w:rsidRPr="00097A86">
        <w:tab/>
        <w:t>Part</w:t>
      </w:r>
      <w:r w:rsidR="00097A86">
        <w:t> </w:t>
      </w:r>
      <w:r w:rsidRPr="00097A86">
        <w:t>8.4 sets out how to assess the uncertainty of estimates of scope 1 emissions that have been estimated using method 2, 3 or 4.</w:t>
      </w:r>
    </w:p>
    <w:p w14:paraId="5A53C968" w14:textId="77777777" w:rsidR="00A96E5F" w:rsidRPr="00097A86" w:rsidRDefault="00A96E5F" w:rsidP="00D22D3F">
      <w:pPr>
        <w:pStyle w:val="subsection"/>
      </w:pPr>
      <w:r w:rsidRPr="00097A86">
        <w:tab/>
        <w:t>(5)</w:t>
      </w:r>
      <w:r w:rsidRPr="00097A86">
        <w:tab/>
        <w:t>Emissions estimates for a source that are calculated using method 1, 2 or 3 are a function of a number of parameters. The uncertainty of the emissions estimates consists of the uncertainty associated with each of these parameters, which may include one or more of the following parameters:</w:t>
      </w:r>
    </w:p>
    <w:p w14:paraId="5B6274C5" w14:textId="77777777" w:rsidR="00A96E5F" w:rsidRPr="00097A86" w:rsidRDefault="00A96E5F" w:rsidP="00D22D3F">
      <w:pPr>
        <w:pStyle w:val="paragraph"/>
      </w:pPr>
      <w:r w:rsidRPr="00097A86">
        <w:tab/>
        <w:t>(a)</w:t>
      </w:r>
      <w:r w:rsidRPr="00097A86">
        <w:tab/>
        <w:t>energy content factor;</w:t>
      </w:r>
    </w:p>
    <w:p w14:paraId="6B26892C" w14:textId="77777777" w:rsidR="00A96E5F" w:rsidRPr="00097A86" w:rsidRDefault="00A96E5F" w:rsidP="00D22D3F">
      <w:pPr>
        <w:pStyle w:val="paragraph"/>
      </w:pPr>
      <w:r w:rsidRPr="00097A86">
        <w:tab/>
        <w:t>(b)</w:t>
      </w:r>
      <w:r w:rsidRPr="00097A86">
        <w:tab/>
        <w:t>emissions factor;</w:t>
      </w:r>
    </w:p>
    <w:p w14:paraId="4069547F" w14:textId="77777777" w:rsidR="00A96E5F" w:rsidRPr="00097A86" w:rsidRDefault="00A96E5F" w:rsidP="00D22D3F">
      <w:pPr>
        <w:pStyle w:val="paragraph"/>
      </w:pPr>
      <w:r w:rsidRPr="00097A86">
        <w:tab/>
        <w:t>(c)</w:t>
      </w:r>
      <w:r w:rsidRPr="00097A86">
        <w:tab/>
        <w:t>activity data.</w:t>
      </w:r>
    </w:p>
    <w:p w14:paraId="23DB5B30" w14:textId="77777777" w:rsidR="00A96E5F" w:rsidRPr="00097A86" w:rsidRDefault="00D22D3F" w:rsidP="00D22D3F">
      <w:pPr>
        <w:pStyle w:val="notetext"/>
      </w:pPr>
      <w:r w:rsidRPr="00097A86">
        <w:t>Note:</w:t>
      </w:r>
      <w:r w:rsidRPr="00097A86">
        <w:tab/>
      </w:r>
      <w:r w:rsidR="00A96E5F" w:rsidRPr="00097A86">
        <w:t>In the case of fuel combustion, activity data refers to the quantity of fuel combusted. In the case of industrial processes, activity data refers to the quantity of product consumed or produced, as appropriate.</w:t>
      </w:r>
    </w:p>
    <w:p w14:paraId="31460C1E" w14:textId="77777777" w:rsidR="00A96E5F" w:rsidRPr="00097A86" w:rsidRDefault="00A96E5F" w:rsidP="00D22D3F">
      <w:pPr>
        <w:pStyle w:val="subsection"/>
      </w:pPr>
      <w:r w:rsidRPr="00097A86">
        <w:tab/>
        <w:t>(6)</w:t>
      </w:r>
      <w:r w:rsidRPr="00097A86">
        <w:tab/>
        <w:t>Estimates of emissions need only provide for statistical uncertainty.</w:t>
      </w:r>
    </w:p>
    <w:p w14:paraId="674B9FE8" w14:textId="77777777" w:rsidR="00A96E5F" w:rsidRPr="00097A86" w:rsidRDefault="00D22D3F" w:rsidP="00D22D3F">
      <w:pPr>
        <w:pStyle w:val="notetext"/>
      </w:pPr>
      <w:r w:rsidRPr="00097A86">
        <w:t>Note:</w:t>
      </w:r>
      <w:r w:rsidRPr="00097A86">
        <w:tab/>
      </w:r>
      <w:r w:rsidR="00A96E5F" w:rsidRPr="00097A86">
        <w:t>The uncertainty protocol provides information about the assessment of uncertainty.</w:t>
      </w:r>
    </w:p>
    <w:p w14:paraId="5B426C49" w14:textId="77777777" w:rsidR="00A96E5F" w:rsidRPr="00097A86" w:rsidRDefault="00A96E5F" w:rsidP="00D22D3F">
      <w:pPr>
        <w:pStyle w:val="ActHead2"/>
        <w:pageBreakBefore/>
      </w:pPr>
      <w:bookmarkStart w:id="653" w:name="_Toc13234080"/>
      <w:r w:rsidRPr="00097A86">
        <w:rPr>
          <w:rStyle w:val="CharPartNo"/>
        </w:rPr>
        <w:lastRenderedPageBreak/>
        <w:t>Part</w:t>
      </w:r>
      <w:r w:rsidR="00097A86">
        <w:rPr>
          <w:rStyle w:val="CharPartNo"/>
        </w:rPr>
        <w:t> </w:t>
      </w:r>
      <w:r w:rsidRPr="00097A86">
        <w:rPr>
          <w:rStyle w:val="CharPartNo"/>
        </w:rPr>
        <w:t>8.2</w:t>
      </w:r>
      <w:r w:rsidR="00D22D3F" w:rsidRPr="00097A86">
        <w:t>—</w:t>
      </w:r>
      <w:r w:rsidRPr="00097A86">
        <w:rPr>
          <w:rStyle w:val="CharPartText"/>
        </w:rPr>
        <w:t>General rules for assessing uncertainty</w:t>
      </w:r>
      <w:bookmarkEnd w:id="653"/>
    </w:p>
    <w:p w14:paraId="1E4100AB" w14:textId="77777777" w:rsidR="00A96E5F" w:rsidRPr="00097A86" w:rsidRDefault="00D22D3F" w:rsidP="00A96E5F">
      <w:pPr>
        <w:pStyle w:val="Header"/>
      </w:pPr>
      <w:r w:rsidRPr="00097A86">
        <w:rPr>
          <w:rStyle w:val="CharDivNo"/>
        </w:rPr>
        <w:t xml:space="preserve"> </w:t>
      </w:r>
      <w:r w:rsidRPr="00097A86">
        <w:rPr>
          <w:rStyle w:val="CharDivText"/>
        </w:rPr>
        <w:t xml:space="preserve"> </w:t>
      </w:r>
    </w:p>
    <w:p w14:paraId="3EC352EC" w14:textId="77777777" w:rsidR="00A96E5F" w:rsidRPr="00097A86" w:rsidRDefault="00A96E5F" w:rsidP="00D22D3F">
      <w:pPr>
        <w:pStyle w:val="ActHead5"/>
      </w:pPr>
      <w:bookmarkStart w:id="654" w:name="_Toc13234081"/>
      <w:r w:rsidRPr="00097A86">
        <w:rPr>
          <w:rStyle w:val="CharSectno"/>
        </w:rPr>
        <w:t>8.2</w:t>
      </w:r>
      <w:r w:rsidR="00D22D3F" w:rsidRPr="00097A86">
        <w:t xml:space="preserve">  </w:t>
      </w:r>
      <w:r w:rsidRPr="00097A86">
        <w:t>Range for emission estimates</w:t>
      </w:r>
      <w:bookmarkEnd w:id="654"/>
    </w:p>
    <w:p w14:paraId="6651076A" w14:textId="77777777" w:rsidR="00A96E5F" w:rsidRPr="00097A86" w:rsidRDefault="00A96E5F" w:rsidP="00D22D3F">
      <w:pPr>
        <w:pStyle w:val="subsection"/>
      </w:pPr>
      <w:r w:rsidRPr="00097A86">
        <w:tab/>
      </w:r>
      <w:r w:rsidRPr="00097A86">
        <w:tab/>
        <w:t>Uncertainty must be assessed so that the range for an emissions estimate encompasses the actual amount of the emissions with 95% confidence.</w:t>
      </w:r>
    </w:p>
    <w:p w14:paraId="4D966BFC" w14:textId="77777777" w:rsidR="00EC147B" w:rsidRPr="00097A86" w:rsidRDefault="00EC147B" w:rsidP="00EC147B">
      <w:pPr>
        <w:pStyle w:val="ActHead5"/>
      </w:pPr>
      <w:bookmarkStart w:id="655" w:name="_Toc13234082"/>
      <w:r w:rsidRPr="00097A86">
        <w:rPr>
          <w:rStyle w:val="CharSectno"/>
        </w:rPr>
        <w:t>8.3</w:t>
      </w:r>
      <w:r w:rsidRPr="00097A86">
        <w:t xml:space="preserve">  Required method</w:t>
      </w:r>
      <w:bookmarkEnd w:id="655"/>
    </w:p>
    <w:p w14:paraId="1EB993C4" w14:textId="77777777" w:rsidR="00A96E5F" w:rsidRPr="00097A86" w:rsidRDefault="00A96E5F" w:rsidP="00D22D3F">
      <w:pPr>
        <w:pStyle w:val="subsection"/>
      </w:pPr>
      <w:r w:rsidRPr="00097A86">
        <w:tab/>
        <w:t>(1)</w:t>
      </w:r>
      <w:r w:rsidRPr="00097A86">
        <w:tab/>
        <w:t>Uncertainty of estimates of scope 1 emissions must be assessed in accordance with Part</w:t>
      </w:r>
      <w:r w:rsidR="00097A86">
        <w:t> </w:t>
      </w:r>
      <w:r w:rsidRPr="00097A86">
        <w:t>8.3 or with the uncertainty protocol, as appropriate.</w:t>
      </w:r>
    </w:p>
    <w:p w14:paraId="50668B49" w14:textId="77777777" w:rsidR="00A96E5F" w:rsidRPr="00097A86" w:rsidRDefault="00A96E5F" w:rsidP="00D22D3F">
      <w:pPr>
        <w:pStyle w:val="subsection"/>
      </w:pPr>
      <w:r w:rsidRPr="00097A86">
        <w:tab/>
        <w:t>(2)</w:t>
      </w:r>
      <w:r w:rsidRPr="00097A86">
        <w:tab/>
        <w:t>For corporations that have sources of scope 1 emissions that are estimated using a variety of method 1, 2, 3 or 4, the uncertainty associated with the emissions must be aggregated in accordance with section</w:t>
      </w:r>
      <w:r w:rsidR="00097A86">
        <w:t> </w:t>
      </w:r>
      <w:r w:rsidRPr="00097A86">
        <w:t>8 of the uncertainty protocol.</w:t>
      </w:r>
    </w:p>
    <w:p w14:paraId="08FA5B7F" w14:textId="77777777" w:rsidR="00A96E5F" w:rsidRPr="00097A86" w:rsidRDefault="00A96E5F" w:rsidP="00D22D3F">
      <w:pPr>
        <w:pStyle w:val="ActHead2"/>
        <w:pageBreakBefore/>
      </w:pPr>
      <w:bookmarkStart w:id="656" w:name="_Toc13234083"/>
      <w:r w:rsidRPr="00097A86">
        <w:rPr>
          <w:rStyle w:val="CharPartNo"/>
        </w:rPr>
        <w:lastRenderedPageBreak/>
        <w:t>Part</w:t>
      </w:r>
      <w:r w:rsidR="00097A86">
        <w:rPr>
          <w:rStyle w:val="CharPartNo"/>
        </w:rPr>
        <w:t> </w:t>
      </w:r>
      <w:r w:rsidRPr="00097A86">
        <w:rPr>
          <w:rStyle w:val="CharPartNo"/>
        </w:rPr>
        <w:t>8.3</w:t>
      </w:r>
      <w:r w:rsidR="00D22D3F" w:rsidRPr="00097A86">
        <w:t>—</w:t>
      </w:r>
      <w:r w:rsidRPr="00097A86">
        <w:rPr>
          <w:rStyle w:val="CharPartText"/>
        </w:rPr>
        <w:t>How to assess uncertainty when using method 1</w:t>
      </w:r>
      <w:bookmarkEnd w:id="656"/>
    </w:p>
    <w:p w14:paraId="0794C0CD" w14:textId="77777777" w:rsidR="00A96E5F" w:rsidRPr="00097A86" w:rsidRDefault="00D22D3F" w:rsidP="00A96E5F">
      <w:pPr>
        <w:pStyle w:val="Header"/>
      </w:pPr>
      <w:r w:rsidRPr="00097A86">
        <w:rPr>
          <w:rStyle w:val="CharDivNo"/>
        </w:rPr>
        <w:t xml:space="preserve"> </w:t>
      </w:r>
      <w:r w:rsidRPr="00097A86">
        <w:rPr>
          <w:rStyle w:val="CharDivText"/>
        </w:rPr>
        <w:t xml:space="preserve"> </w:t>
      </w:r>
    </w:p>
    <w:p w14:paraId="70B52BA5" w14:textId="77777777" w:rsidR="00A96E5F" w:rsidRPr="00097A86" w:rsidRDefault="00A96E5F" w:rsidP="00D22D3F">
      <w:pPr>
        <w:pStyle w:val="ActHead5"/>
      </w:pPr>
      <w:bookmarkStart w:id="657" w:name="_Toc13234084"/>
      <w:r w:rsidRPr="00097A86">
        <w:rPr>
          <w:rStyle w:val="CharSectno"/>
        </w:rPr>
        <w:t>8.4</w:t>
      </w:r>
      <w:r w:rsidR="00D22D3F" w:rsidRPr="00097A86">
        <w:t xml:space="preserve">  </w:t>
      </w:r>
      <w:r w:rsidRPr="00097A86">
        <w:t>Purpose of Part</w:t>
      </w:r>
      <w:bookmarkEnd w:id="657"/>
    </w:p>
    <w:p w14:paraId="71585B77" w14:textId="77777777" w:rsidR="00A96E5F" w:rsidRPr="00097A86" w:rsidRDefault="00A96E5F" w:rsidP="00EC147B">
      <w:pPr>
        <w:pStyle w:val="subsection"/>
      </w:pPr>
      <w:r w:rsidRPr="00097A86">
        <w:tab/>
      </w:r>
      <w:r w:rsidRPr="00097A86">
        <w:tab/>
        <w:t xml:space="preserve">This Part sets out how to assess uncertainty of scope 1 emissions if method 1 is used to </w:t>
      </w:r>
      <w:r w:rsidR="00EC147B" w:rsidRPr="00097A86">
        <w:t>estimate scope 1 emissions for a source</w:t>
      </w:r>
      <w:r w:rsidRPr="00097A86">
        <w:t>.</w:t>
      </w:r>
    </w:p>
    <w:p w14:paraId="65B9CE41" w14:textId="77777777" w:rsidR="00A96E5F" w:rsidRPr="00097A86" w:rsidRDefault="00A96E5F" w:rsidP="00D22D3F">
      <w:pPr>
        <w:pStyle w:val="ActHead5"/>
      </w:pPr>
      <w:bookmarkStart w:id="658" w:name="_Toc13234085"/>
      <w:r w:rsidRPr="00097A86">
        <w:rPr>
          <w:rStyle w:val="CharSectno"/>
        </w:rPr>
        <w:t>8.5</w:t>
      </w:r>
      <w:r w:rsidR="00D22D3F" w:rsidRPr="00097A86">
        <w:t xml:space="preserve">  </w:t>
      </w:r>
      <w:r w:rsidRPr="00097A86">
        <w:t>General rules about uncertainty estimates for emissions estimates using method 1</w:t>
      </w:r>
      <w:bookmarkEnd w:id="658"/>
    </w:p>
    <w:p w14:paraId="242A6E5A" w14:textId="77777777" w:rsidR="00A96E5F" w:rsidRPr="00097A86" w:rsidRDefault="00A96E5F" w:rsidP="00D22D3F">
      <w:pPr>
        <w:pStyle w:val="subsection"/>
      </w:pPr>
      <w:r w:rsidRPr="00097A86">
        <w:tab/>
      </w:r>
      <w:r w:rsidRPr="00097A86">
        <w:tab/>
        <w:t>The total uncertainty of scope 1 emissions estimates for a source in relation to a registered corporation is to be worked out by aggregating, as applicable, the uncertainty of the emissions factor, the energy content factor and the activity data for the source in accordance with the formula in section</w:t>
      </w:r>
      <w:r w:rsidR="00097A86">
        <w:t> </w:t>
      </w:r>
      <w:r w:rsidRPr="00097A86">
        <w:t>8.11.</w:t>
      </w:r>
    </w:p>
    <w:p w14:paraId="0AD84B44" w14:textId="77777777" w:rsidR="00A96E5F" w:rsidRPr="00097A86" w:rsidRDefault="00D22D3F" w:rsidP="00D22D3F">
      <w:pPr>
        <w:pStyle w:val="notetext"/>
      </w:pPr>
      <w:r w:rsidRPr="00097A86">
        <w:t>Note:</w:t>
      </w:r>
      <w:r w:rsidRPr="00097A86">
        <w:tab/>
      </w:r>
      <w:r w:rsidR="00A96E5F" w:rsidRPr="00097A86">
        <w:t>This is generally referred to as the aggregated uncertainty for the source.</w:t>
      </w:r>
    </w:p>
    <w:p w14:paraId="26CC17A4" w14:textId="77777777" w:rsidR="00A96E5F" w:rsidRPr="00097A86" w:rsidRDefault="00A96E5F" w:rsidP="00D22D3F">
      <w:pPr>
        <w:pStyle w:val="ActHead5"/>
      </w:pPr>
      <w:bookmarkStart w:id="659" w:name="_Toc13234086"/>
      <w:r w:rsidRPr="00097A86">
        <w:rPr>
          <w:rStyle w:val="CharSectno"/>
        </w:rPr>
        <w:t>8.6</w:t>
      </w:r>
      <w:r w:rsidR="00D22D3F" w:rsidRPr="00097A86">
        <w:t xml:space="preserve">  </w:t>
      </w:r>
      <w:r w:rsidRPr="00097A86">
        <w:t>Assessment of uncertainty for estimates of carbon dioxide emissions from combustion of fuels</w:t>
      </w:r>
      <w:bookmarkEnd w:id="659"/>
    </w:p>
    <w:p w14:paraId="7EB3C14C" w14:textId="77777777" w:rsidR="00A96E5F" w:rsidRPr="00097A86" w:rsidRDefault="00A96E5F" w:rsidP="00D22D3F">
      <w:pPr>
        <w:pStyle w:val="subsection"/>
      </w:pPr>
      <w:r w:rsidRPr="00097A86">
        <w:tab/>
        <w:t>(1)</w:t>
      </w:r>
      <w:r w:rsidRPr="00097A86">
        <w:tab/>
        <w:t>In assessing uncertainty of the estimates of carbon dioxide emissions estimated using method 1 for a source that involves the combustion of a fuel, the assessment must include the statistical uncertainty associated with the following parameters:</w:t>
      </w:r>
    </w:p>
    <w:p w14:paraId="510B6ED4" w14:textId="77777777" w:rsidR="00A96E5F" w:rsidRPr="00097A86" w:rsidRDefault="00A96E5F" w:rsidP="00D22D3F">
      <w:pPr>
        <w:pStyle w:val="paragraph"/>
      </w:pPr>
      <w:r w:rsidRPr="00097A86">
        <w:tab/>
        <w:t>(a)</w:t>
      </w:r>
      <w:r w:rsidRPr="00097A86">
        <w:tab/>
        <w:t>the energy content factor of the fuel (as specified in column 3 of the following table or as worked out in accordance with item</w:t>
      </w:r>
      <w:r w:rsidR="00097A86">
        <w:t> </w:t>
      </w:r>
      <w:r w:rsidRPr="00097A86">
        <w:t>1, 2 or 3 of section</w:t>
      </w:r>
      <w:r w:rsidR="00097A86">
        <w:t> </w:t>
      </w:r>
      <w:r w:rsidRPr="00097A86">
        <w:t>7 of the uncertainty protocol);</w:t>
      </w:r>
    </w:p>
    <w:p w14:paraId="3EA79C59" w14:textId="77777777" w:rsidR="00A96E5F" w:rsidRPr="00097A86" w:rsidRDefault="00A96E5F" w:rsidP="00D22D3F">
      <w:pPr>
        <w:pStyle w:val="paragraph"/>
      </w:pPr>
      <w:r w:rsidRPr="00097A86">
        <w:tab/>
        <w:t>(b)</w:t>
      </w:r>
      <w:r w:rsidRPr="00097A86">
        <w:tab/>
        <w:t>the carbon dioxide emission factor of the fuel (as specified in column 4 of the following table or as worked out in accordance with item</w:t>
      </w:r>
      <w:r w:rsidR="00097A86">
        <w:t> </w:t>
      </w:r>
      <w:r w:rsidRPr="00097A86">
        <w:t>1, 2 or 3 of section</w:t>
      </w:r>
      <w:r w:rsidR="00097A86">
        <w:t> </w:t>
      </w:r>
      <w:r w:rsidRPr="00097A86">
        <w:t>7 of the uncertainty protocol);</w:t>
      </w:r>
    </w:p>
    <w:p w14:paraId="3F25DA4C" w14:textId="77777777" w:rsidR="00A96E5F" w:rsidRPr="00097A86" w:rsidRDefault="00A96E5F" w:rsidP="001022C3">
      <w:pPr>
        <w:pStyle w:val="paragraph"/>
      </w:pPr>
      <w:r w:rsidRPr="00097A86">
        <w:tab/>
        <w:t>(c)</w:t>
      </w:r>
      <w:r w:rsidRPr="00097A86">
        <w:tab/>
        <w:t xml:space="preserve">the quantity of fuel combusted (as worked out in accordance with </w:t>
      </w:r>
      <w:r w:rsidR="00097A86">
        <w:t>subsection (</w:t>
      </w:r>
      <w:r w:rsidR="000E5E9F" w:rsidRPr="00097A86">
        <w:t xml:space="preserve">3) </w:t>
      </w:r>
      <w:r w:rsidRPr="00097A86">
        <w:t>or as worked out in accordance with item</w:t>
      </w:r>
      <w:r w:rsidR="00097A86">
        <w:t> </w:t>
      </w:r>
      <w:r w:rsidRPr="00097A86">
        <w:t>1, 2 or 3 of section</w:t>
      </w:r>
      <w:r w:rsidR="00097A86">
        <w:t> </w:t>
      </w:r>
      <w:r w:rsidRPr="00097A86">
        <w:t>7 of the uncertainty protocol).</w:t>
      </w:r>
    </w:p>
    <w:p w14:paraId="2A3478E4"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5"/>
        <w:gridCol w:w="5073"/>
        <w:gridCol w:w="1252"/>
        <w:gridCol w:w="8"/>
        <w:gridCol w:w="1275"/>
      </w:tblGrid>
      <w:tr w:rsidR="00E12A04" w:rsidRPr="00097A86" w14:paraId="073E84C2" w14:textId="77777777" w:rsidTr="00C20CC2">
        <w:trPr>
          <w:tblHeader/>
        </w:trPr>
        <w:tc>
          <w:tcPr>
            <w:tcW w:w="424" w:type="pct"/>
            <w:tcBorders>
              <w:top w:val="single" w:sz="12" w:space="0" w:color="auto"/>
              <w:bottom w:val="single" w:sz="12" w:space="0" w:color="auto"/>
            </w:tcBorders>
            <w:shd w:val="clear" w:color="auto" w:fill="auto"/>
          </w:tcPr>
          <w:p w14:paraId="3A0E9028" w14:textId="77777777" w:rsidR="00E12A04" w:rsidRPr="00097A86" w:rsidRDefault="00E12A04" w:rsidP="00D22D3F">
            <w:pPr>
              <w:pStyle w:val="TableHeading"/>
              <w:rPr>
                <w:szCs w:val="18"/>
              </w:rPr>
            </w:pPr>
            <w:r w:rsidRPr="00097A86">
              <w:rPr>
                <w:szCs w:val="18"/>
              </w:rPr>
              <w:t>Item</w:t>
            </w:r>
          </w:p>
        </w:tc>
        <w:tc>
          <w:tcPr>
            <w:tcW w:w="3051" w:type="pct"/>
            <w:tcBorders>
              <w:top w:val="single" w:sz="12" w:space="0" w:color="auto"/>
              <w:bottom w:val="single" w:sz="12" w:space="0" w:color="auto"/>
            </w:tcBorders>
            <w:shd w:val="clear" w:color="auto" w:fill="auto"/>
          </w:tcPr>
          <w:p w14:paraId="5BBD1364" w14:textId="77777777" w:rsidR="00E12A04" w:rsidRPr="00097A86" w:rsidRDefault="00E12A04" w:rsidP="00D22D3F">
            <w:pPr>
              <w:pStyle w:val="TableHeading"/>
              <w:rPr>
                <w:szCs w:val="18"/>
              </w:rPr>
            </w:pPr>
            <w:r w:rsidRPr="00097A86">
              <w:rPr>
                <w:szCs w:val="18"/>
              </w:rPr>
              <w:t>Fuel Combusted</w:t>
            </w:r>
          </w:p>
        </w:tc>
        <w:tc>
          <w:tcPr>
            <w:tcW w:w="753" w:type="pct"/>
            <w:tcBorders>
              <w:top w:val="single" w:sz="12" w:space="0" w:color="auto"/>
              <w:bottom w:val="single" w:sz="12" w:space="0" w:color="auto"/>
            </w:tcBorders>
            <w:shd w:val="clear" w:color="auto" w:fill="auto"/>
          </w:tcPr>
          <w:p w14:paraId="7F9DBA64" w14:textId="77777777" w:rsidR="00E12A04" w:rsidRPr="00097A86" w:rsidRDefault="00E12A04" w:rsidP="00D22D3F">
            <w:pPr>
              <w:pStyle w:val="TableHeading"/>
              <w:rPr>
                <w:szCs w:val="18"/>
              </w:rPr>
            </w:pPr>
            <w:r w:rsidRPr="00097A86">
              <w:rPr>
                <w:szCs w:val="18"/>
              </w:rPr>
              <w:t>Energy content uncertainty level (%)</w:t>
            </w:r>
          </w:p>
        </w:tc>
        <w:tc>
          <w:tcPr>
            <w:tcW w:w="772" w:type="pct"/>
            <w:gridSpan w:val="2"/>
            <w:tcBorders>
              <w:top w:val="single" w:sz="12" w:space="0" w:color="auto"/>
              <w:bottom w:val="single" w:sz="12" w:space="0" w:color="auto"/>
            </w:tcBorders>
            <w:shd w:val="clear" w:color="auto" w:fill="auto"/>
          </w:tcPr>
          <w:p w14:paraId="61049114" w14:textId="77777777" w:rsidR="00E12A04" w:rsidRPr="00097A86" w:rsidRDefault="00E12A04" w:rsidP="00D22D3F">
            <w:pPr>
              <w:pStyle w:val="TableHeading"/>
              <w:rPr>
                <w:szCs w:val="18"/>
              </w:rPr>
            </w:pPr>
            <w:r w:rsidRPr="00097A86">
              <w:rPr>
                <w:szCs w:val="18"/>
              </w:rPr>
              <w:t>Carbon dioxide emission factor uncertainty level (%)</w:t>
            </w:r>
          </w:p>
        </w:tc>
      </w:tr>
      <w:tr w:rsidR="008F16F2" w:rsidRPr="00097A86" w:rsidDel="008F16F2" w14:paraId="66E352B0" w14:textId="77777777" w:rsidTr="00C20CC2">
        <w:tc>
          <w:tcPr>
            <w:tcW w:w="424" w:type="pct"/>
            <w:tcBorders>
              <w:top w:val="single" w:sz="12" w:space="0" w:color="auto"/>
              <w:bottom w:val="single" w:sz="4" w:space="0" w:color="auto"/>
            </w:tcBorders>
            <w:shd w:val="clear" w:color="auto" w:fill="auto"/>
          </w:tcPr>
          <w:p w14:paraId="0477CDD0" w14:textId="77777777" w:rsidR="008F16F2" w:rsidRPr="00097A86" w:rsidDel="008F16F2" w:rsidRDefault="008F16F2" w:rsidP="00D22D3F">
            <w:pPr>
              <w:pStyle w:val="Tabletext"/>
            </w:pPr>
            <w:r w:rsidRPr="00097A86">
              <w:t>1</w:t>
            </w:r>
          </w:p>
        </w:tc>
        <w:tc>
          <w:tcPr>
            <w:tcW w:w="3051" w:type="pct"/>
            <w:tcBorders>
              <w:top w:val="single" w:sz="12" w:space="0" w:color="auto"/>
              <w:bottom w:val="single" w:sz="4" w:space="0" w:color="auto"/>
            </w:tcBorders>
            <w:shd w:val="clear" w:color="auto" w:fill="auto"/>
          </w:tcPr>
          <w:p w14:paraId="031F550C" w14:textId="77777777" w:rsidR="008F16F2" w:rsidRPr="00097A86" w:rsidDel="008F16F2" w:rsidRDefault="008F16F2" w:rsidP="00D22D3F">
            <w:pPr>
              <w:pStyle w:val="Tabletext"/>
            </w:pPr>
            <w:r w:rsidRPr="00097A86">
              <w:t>Bituminous coal</w:t>
            </w:r>
          </w:p>
        </w:tc>
        <w:tc>
          <w:tcPr>
            <w:tcW w:w="758" w:type="pct"/>
            <w:gridSpan w:val="2"/>
            <w:tcBorders>
              <w:top w:val="single" w:sz="12" w:space="0" w:color="auto"/>
              <w:bottom w:val="single" w:sz="4" w:space="0" w:color="auto"/>
            </w:tcBorders>
            <w:shd w:val="clear" w:color="auto" w:fill="auto"/>
          </w:tcPr>
          <w:p w14:paraId="640E4E7A" w14:textId="77777777" w:rsidR="008F16F2" w:rsidRPr="00097A86" w:rsidDel="008F16F2" w:rsidRDefault="008F16F2" w:rsidP="00D22D3F">
            <w:pPr>
              <w:pStyle w:val="Tabletext"/>
            </w:pPr>
            <w:r w:rsidRPr="00097A86">
              <w:t>28</w:t>
            </w:r>
          </w:p>
        </w:tc>
        <w:tc>
          <w:tcPr>
            <w:tcW w:w="767" w:type="pct"/>
            <w:tcBorders>
              <w:top w:val="single" w:sz="12" w:space="0" w:color="auto"/>
              <w:bottom w:val="single" w:sz="4" w:space="0" w:color="auto"/>
            </w:tcBorders>
            <w:shd w:val="clear" w:color="auto" w:fill="auto"/>
          </w:tcPr>
          <w:p w14:paraId="13E5831B" w14:textId="77777777" w:rsidR="008F16F2" w:rsidRPr="00097A86" w:rsidDel="008F16F2" w:rsidRDefault="008F16F2" w:rsidP="00D22D3F">
            <w:pPr>
              <w:pStyle w:val="Tabletext"/>
            </w:pPr>
            <w:r w:rsidRPr="00097A86">
              <w:t>5</w:t>
            </w:r>
          </w:p>
        </w:tc>
      </w:tr>
      <w:tr w:rsidR="008F16F2" w:rsidRPr="00097A86" w:rsidDel="008F16F2" w14:paraId="2CA1E714" w14:textId="77777777" w:rsidTr="00C20CC2">
        <w:tc>
          <w:tcPr>
            <w:tcW w:w="424" w:type="pct"/>
            <w:tcBorders>
              <w:top w:val="single" w:sz="4" w:space="0" w:color="auto"/>
            </w:tcBorders>
            <w:shd w:val="clear" w:color="auto" w:fill="auto"/>
          </w:tcPr>
          <w:p w14:paraId="39E80666" w14:textId="77777777" w:rsidR="008F16F2" w:rsidRPr="00097A86" w:rsidDel="008F16F2" w:rsidRDefault="008F16F2" w:rsidP="00D22D3F">
            <w:pPr>
              <w:pStyle w:val="Tabletext"/>
            </w:pPr>
            <w:r w:rsidRPr="00097A86">
              <w:t>1A</w:t>
            </w:r>
          </w:p>
        </w:tc>
        <w:tc>
          <w:tcPr>
            <w:tcW w:w="3051" w:type="pct"/>
            <w:tcBorders>
              <w:top w:val="single" w:sz="4" w:space="0" w:color="auto"/>
            </w:tcBorders>
            <w:shd w:val="clear" w:color="auto" w:fill="auto"/>
          </w:tcPr>
          <w:p w14:paraId="154A5671" w14:textId="77777777" w:rsidR="008F16F2" w:rsidRPr="00097A86" w:rsidDel="008F16F2" w:rsidRDefault="008F16F2" w:rsidP="00D22D3F">
            <w:pPr>
              <w:pStyle w:val="Tabletext"/>
            </w:pPr>
            <w:r w:rsidRPr="00097A86">
              <w:t>Sub</w:t>
            </w:r>
            <w:r w:rsidR="00097A86">
              <w:noBreakHyphen/>
            </w:r>
            <w:r w:rsidRPr="00097A86">
              <w:t>bituminous coal</w:t>
            </w:r>
          </w:p>
        </w:tc>
        <w:tc>
          <w:tcPr>
            <w:tcW w:w="758" w:type="pct"/>
            <w:gridSpan w:val="2"/>
            <w:tcBorders>
              <w:top w:val="single" w:sz="4" w:space="0" w:color="auto"/>
            </w:tcBorders>
            <w:shd w:val="clear" w:color="auto" w:fill="auto"/>
          </w:tcPr>
          <w:p w14:paraId="5FE2E94B" w14:textId="77777777" w:rsidR="008F16F2" w:rsidRPr="00097A86" w:rsidDel="008F16F2" w:rsidRDefault="008F16F2" w:rsidP="00D22D3F">
            <w:pPr>
              <w:pStyle w:val="Tabletext"/>
            </w:pPr>
            <w:r w:rsidRPr="00097A86">
              <w:t>28</w:t>
            </w:r>
          </w:p>
        </w:tc>
        <w:tc>
          <w:tcPr>
            <w:tcW w:w="767" w:type="pct"/>
            <w:tcBorders>
              <w:top w:val="single" w:sz="4" w:space="0" w:color="auto"/>
            </w:tcBorders>
            <w:shd w:val="clear" w:color="auto" w:fill="auto"/>
          </w:tcPr>
          <w:p w14:paraId="1F1CBD96" w14:textId="77777777" w:rsidR="008F16F2" w:rsidRPr="00097A86" w:rsidDel="008F16F2" w:rsidRDefault="008F16F2" w:rsidP="00D22D3F">
            <w:pPr>
              <w:pStyle w:val="Tabletext"/>
            </w:pPr>
            <w:r w:rsidRPr="00097A86">
              <w:t>5</w:t>
            </w:r>
          </w:p>
        </w:tc>
      </w:tr>
      <w:tr w:rsidR="008F16F2" w:rsidRPr="00097A86" w:rsidDel="008F16F2" w14:paraId="6B80497B" w14:textId="77777777" w:rsidTr="00C20CC2">
        <w:tc>
          <w:tcPr>
            <w:tcW w:w="424" w:type="pct"/>
            <w:shd w:val="clear" w:color="auto" w:fill="auto"/>
          </w:tcPr>
          <w:p w14:paraId="5A2ABDF6" w14:textId="77777777" w:rsidR="008F16F2" w:rsidRPr="00097A86" w:rsidDel="008F16F2" w:rsidRDefault="008F16F2" w:rsidP="00D22D3F">
            <w:pPr>
              <w:pStyle w:val="Tabletext"/>
            </w:pPr>
            <w:r w:rsidRPr="00097A86">
              <w:t>1B</w:t>
            </w:r>
          </w:p>
        </w:tc>
        <w:tc>
          <w:tcPr>
            <w:tcW w:w="3051" w:type="pct"/>
            <w:shd w:val="clear" w:color="auto" w:fill="auto"/>
          </w:tcPr>
          <w:p w14:paraId="34C65C16" w14:textId="77777777" w:rsidR="008F16F2" w:rsidRPr="00097A86" w:rsidDel="008F16F2" w:rsidRDefault="008F16F2" w:rsidP="00D22D3F">
            <w:pPr>
              <w:pStyle w:val="Tabletext"/>
            </w:pPr>
            <w:r w:rsidRPr="00097A86">
              <w:t>Anthracite</w:t>
            </w:r>
          </w:p>
        </w:tc>
        <w:tc>
          <w:tcPr>
            <w:tcW w:w="758" w:type="pct"/>
            <w:gridSpan w:val="2"/>
            <w:shd w:val="clear" w:color="auto" w:fill="auto"/>
          </w:tcPr>
          <w:p w14:paraId="38C78A0A" w14:textId="77777777" w:rsidR="008F16F2" w:rsidRPr="00097A86" w:rsidDel="008F16F2" w:rsidRDefault="008F16F2" w:rsidP="00D22D3F">
            <w:pPr>
              <w:pStyle w:val="Tabletext"/>
            </w:pPr>
            <w:r w:rsidRPr="00097A86">
              <w:t>28</w:t>
            </w:r>
          </w:p>
        </w:tc>
        <w:tc>
          <w:tcPr>
            <w:tcW w:w="767" w:type="pct"/>
            <w:shd w:val="clear" w:color="auto" w:fill="auto"/>
          </w:tcPr>
          <w:p w14:paraId="5A077780" w14:textId="77777777" w:rsidR="008F16F2" w:rsidRPr="00097A86" w:rsidDel="008F16F2" w:rsidRDefault="008F16F2" w:rsidP="00D22D3F">
            <w:pPr>
              <w:pStyle w:val="Tabletext"/>
            </w:pPr>
            <w:r w:rsidRPr="00097A86">
              <w:t>5</w:t>
            </w:r>
          </w:p>
        </w:tc>
      </w:tr>
      <w:tr w:rsidR="008F16F2" w:rsidRPr="00097A86" w14:paraId="21719EE1" w14:textId="77777777" w:rsidTr="00C20CC2">
        <w:tc>
          <w:tcPr>
            <w:tcW w:w="424" w:type="pct"/>
            <w:shd w:val="clear" w:color="auto" w:fill="auto"/>
          </w:tcPr>
          <w:p w14:paraId="338FE7AC" w14:textId="77777777" w:rsidR="008F16F2" w:rsidRPr="00097A86" w:rsidRDefault="008F16F2" w:rsidP="00D22D3F">
            <w:pPr>
              <w:pStyle w:val="Tabletext"/>
            </w:pPr>
            <w:r w:rsidRPr="00097A86">
              <w:t>2</w:t>
            </w:r>
          </w:p>
        </w:tc>
        <w:tc>
          <w:tcPr>
            <w:tcW w:w="3051" w:type="pct"/>
            <w:shd w:val="clear" w:color="auto" w:fill="auto"/>
          </w:tcPr>
          <w:p w14:paraId="32B79238" w14:textId="77777777" w:rsidR="008F16F2" w:rsidRPr="00097A86" w:rsidRDefault="008F16F2" w:rsidP="00D22D3F">
            <w:pPr>
              <w:pStyle w:val="Tabletext"/>
            </w:pPr>
            <w:r w:rsidRPr="00097A86">
              <w:t>Brown coal</w:t>
            </w:r>
          </w:p>
        </w:tc>
        <w:tc>
          <w:tcPr>
            <w:tcW w:w="758" w:type="pct"/>
            <w:gridSpan w:val="2"/>
            <w:shd w:val="clear" w:color="auto" w:fill="auto"/>
          </w:tcPr>
          <w:p w14:paraId="477134ED" w14:textId="77777777" w:rsidR="008F16F2" w:rsidRPr="00097A86" w:rsidRDefault="008F16F2" w:rsidP="00D22D3F">
            <w:pPr>
              <w:pStyle w:val="Tabletext"/>
            </w:pPr>
            <w:r w:rsidRPr="00097A86">
              <w:t>50</w:t>
            </w:r>
          </w:p>
        </w:tc>
        <w:tc>
          <w:tcPr>
            <w:tcW w:w="767" w:type="pct"/>
            <w:shd w:val="clear" w:color="auto" w:fill="auto"/>
          </w:tcPr>
          <w:p w14:paraId="5D0845FB" w14:textId="77777777" w:rsidR="008F16F2" w:rsidRPr="00097A86" w:rsidRDefault="008F16F2" w:rsidP="00D22D3F">
            <w:pPr>
              <w:pStyle w:val="Tabletext"/>
            </w:pPr>
            <w:r w:rsidRPr="00097A86">
              <w:t>12</w:t>
            </w:r>
          </w:p>
        </w:tc>
      </w:tr>
      <w:tr w:rsidR="008F16F2" w:rsidRPr="00097A86" w14:paraId="6F450106" w14:textId="77777777" w:rsidTr="00C20CC2">
        <w:tc>
          <w:tcPr>
            <w:tcW w:w="424" w:type="pct"/>
            <w:shd w:val="clear" w:color="auto" w:fill="auto"/>
          </w:tcPr>
          <w:p w14:paraId="1EE8D869" w14:textId="77777777" w:rsidR="008F16F2" w:rsidRPr="00097A86" w:rsidRDefault="008F16F2" w:rsidP="00D22D3F">
            <w:pPr>
              <w:pStyle w:val="Tabletext"/>
            </w:pPr>
            <w:r w:rsidRPr="00097A86">
              <w:t>3</w:t>
            </w:r>
          </w:p>
        </w:tc>
        <w:tc>
          <w:tcPr>
            <w:tcW w:w="3051" w:type="pct"/>
            <w:shd w:val="clear" w:color="auto" w:fill="auto"/>
          </w:tcPr>
          <w:p w14:paraId="65C2F03C" w14:textId="77777777" w:rsidR="008F16F2" w:rsidRPr="00097A86" w:rsidRDefault="008F16F2" w:rsidP="00D22D3F">
            <w:pPr>
              <w:pStyle w:val="Tabletext"/>
            </w:pPr>
            <w:r w:rsidRPr="00097A86">
              <w:t>Coking coal</w:t>
            </w:r>
          </w:p>
        </w:tc>
        <w:tc>
          <w:tcPr>
            <w:tcW w:w="758" w:type="pct"/>
            <w:gridSpan w:val="2"/>
            <w:shd w:val="clear" w:color="auto" w:fill="auto"/>
          </w:tcPr>
          <w:p w14:paraId="02872191" w14:textId="77777777" w:rsidR="008F16F2" w:rsidRPr="00097A86" w:rsidRDefault="008F16F2" w:rsidP="00D22D3F">
            <w:pPr>
              <w:pStyle w:val="Tabletext"/>
            </w:pPr>
            <w:r w:rsidRPr="00097A86">
              <w:t>12</w:t>
            </w:r>
          </w:p>
        </w:tc>
        <w:tc>
          <w:tcPr>
            <w:tcW w:w="767" w:type="pct"/>
            <w:shd w:val="clear" w:color="auto" w:fill="auto"/>
          </w:tcPr>
          <w:p w14:paraId="151F5D25" w14:textId="77777777" w:rsidR="008F16F2" w:rsidRPr="00097A86" w:rsidRDefault="008F16F2" w:rsidP="00D22D3F">
            <w:pPr>
              <w:pStyle w:val="Tabletext"/>
            </w:pPr>
            <w:r w:rsidRPr="00097A86">
              <w:t>7</w:t>
            </w:r>
          </w:p>
        </w:tc>
      </w:tr>
      <w:tr w:rsidR="008F16F2" w:rsidRPr="00097A86" w14:paraId="103D68A9" w14:textId="77777777" w:rsidTr="00C20CC2">
        <w:tc>
          <w:tcPr>
            <w:tcW w:w="424" w:type="pct"/>
            <w:shd w:val="clear" w:color="auto" w:fill="auto"/>
          </w:tcPr>
          <w:p w14:paraId="454536F2" w14:textId="77777777" w:rsidR="008F16F2" w:rsidRPr="00097A86" w:rsidRDefault="008F16F2" w:rsidP="00D22D3F">
            <w:pPr>
              <w:pStyle w:val="Tabletext"/>
            </w:pPr>
            <w:r w:rsidRPr="00097A86">
              <w:t>4</w:t>
            </w:r>
          </w:p>
        </w:tc>
        <w:tc>
          <w:tcPr>
            <w:tcW w:w="3051" w:type="pct"/>
            <w:shd w:val="clear" w:color="auto" w:fill="auto"/>
          </w:tcPr>
          <w:p w14:paraId="0B59ADD2" w14:textId="77777777" w:rsidR="008F16F2" w:rsidRPr="00097A86" w:rsidRDefault="008F16F2" w:rsidP="00D22D3F">
            <w:pPr>
              <w:pStyle w:val="Tabletext"/>
              <w:rPr>
                <w:szCs w:val="22"/>
              </w:rPr>
            </w:pPr>
            <w:r w:rsidRPr="00097A86">
              <w:t>Coal briquettes</w:t>
            </w:r>
          </w:p>
        </w:tc>
        <w:tc>
          <w:tcPr>
            <w:tcW w:w="758" w:type="pct"/>
            <w:gridSpan w:val="2"/>
            <w:shd w:val="clear" w:color="auto" w:fill="auto"/>
          </w:tcPr>
          <w:p w14:paraId="0A6E04D8" w14:textId="77777777" w:rsidR="008F16F2" w:rsidRPr="00097A86" w:rsidRDefault="008F16F2" w:rsidP="00D22D3F">
            <w:pPr>
              <w:pStyle w:val="Tabletext"/>
            </w:pPr>
            <w:r w:rsidRPr="00097A86">
              <w:t>40</w:t>
            </w:r>
          </w:p>
        </w:tc>
        <w:tc>
          <w:tcPr>
            <w:tcW w:w="767" w:type="pct"/>
            <w:shd w:val="clear" w:color="auto" w:fill="auto"/>
          </w:tcPr>
          <w:p w14:paraId="39BC84BF" w14:textId="77777777" w:rsidR="008F16F2" w:rsidRPr="00097A86" w:rsidRDefault="008F16F2" w:rsidP="00D22D3F">
            <w:pPr>
              <w:pStyle w:val="Tabletext"/>
            </w:pPr>
            <w:r w:rsidRPr="00097A86">
              <w:t>11</w:t>
            </w:r>
          </w:p>
        </w:tc>
      </w:tr>
      <w:tr w:rsidR="008F16F2" w:rsidRPr="00097A86" w14:paraId="397EBA68" w14:textId="77777777" w:rsidTr="00C20CC2">
        <w:tc>
          <w:tcPr>
            <w:tcW w:w="424" w:type="pct"/>
            <w:shd w:val="clear" w:color="auto" w:fill="auto"/>
          </w:tcPr>
          <w:p w14:paraId="1EE4C3A2" w14:textId="77777777" w:rsidR="008F16F2" w:rsidRPr="00097A86" w:rsidRDefault="008F16F2" w:rsidP="00D22D3F">
            <w:pPr>
              <w:pStyle w:val="Tabletext"/>
            </w:pPr>
            <w:r w:rsidRPr="00097A86">
              <w:lastRenderedPageBreak/>
              <w:t>5</w:t>
            </w:r>
          </w:p>
        </w:tc>
        <w:tc>
          <w:tcPr>
            <w:tcW w:w="3051" w:type="pct"/>
            <w:shd w:val="clear" w:color="auto" w:fill="auto"/>
          </w:tcPr>
          <w:p w14:paraId="4931E615" w14:textId="77777777" w:rsidR="008F16F2" w:rsidRPr="00097A86" w:rsidRDefault="008F16F2" w:rsidP="00D22D3F">
            <w:pPr>
              <w:pStyle w:val="Tabletext"/>
              <w:rPr>
                <w:szCs w:val="22"/>
              </w:rPr>
            </w:pPr>
            <w:r w:rsidRPr="00097A86">
              <w:t>Coal coke</w:t>
            </w:r>
          </w:p>
        </w:tc>
        <w:tc>
          <w:tcPr>
            <w:tcW w:w="758" w:type="pct"/>
            <w:gridSpan w:val="2"/>
            <w:shd w:val="clear" w:color="auto" w:fill="auto"/>
          </w:tcPr>
          <w:p w14:paraId="1A54915E" w14:textId="77777777" w:rsidR="008F16F2" w:rsidRPr="00097A86" w:rsidRDefault="008F16F2" w:rsidP="00D22D3F">
            <w:pPr>
              <w:pStyle w:val="Tabletext"/>
            </w:pPr>
            <w:r w:rsidRPr="00097A86">
              <w:t>9</w:t>
            </w:r>
          </w:p>
        </w:tc>
        <w:tc>
          <w:tcPr>
            <w:tcW w:w="767" w:type="pct"/>
            <w:shd w:val="clear" w:color="auto" w:fill="auto"/>
          </w:tcPr>
          <w:p w14:paraId="39597F8B" w14:textId="77777777" w:rsidR="008F16F2" w:rsidRPr="00097A86" w:rsidRDefault="008F16F2" w:rsidP="00D22D3F">
            <w:pPr>
              <w:pStyle w:val="Tabletext"/>
            </w:pPr>
            <w:r w:rsidRPr="00097A86">
              <w:t>11</w:t>
            </w:r>
          </w:p>
        </w:tc>
      </w:tr>
      <w:tr w:rsidR="008F16F2" w:rsidRPr="00097A86" w14:paraId="4DB6F040" w14:textId="77777777" w:rsidTr="00C20CC2">
        <w:tc>
          <w:tcPr>
            <w:tcW w:w="424" w:type="pct"/>
            <w:shd w:val="clear" w:color="auto" w:fill="auto"/>
          </w:tcPr>
          <w:p w14:paraId="4DC2097D" w14:textId="77777777" w:rsidR="008F16F2" w:rsidRPr="00097A86" w:rsidRDefault="008F16F2" w:rsidP="00D22D3F">
            <w:pPr>
              <w:pStyle w:val="Tabletext"/>
            </w:pPr>
            <w:r w:rsidRPr="00097A86">
              <w:t>6</w:t>
            </w:r>
          </w:p>
        </w:tc>
        <w:tc>
          <w:tcPr>
            <w:tcW w:w="3051" w:type="pct"/>
            <w:shd w:val="clear" w:color="auto" w:fill="auto"/>
          </w:tcPr>
          <w:p w14:paraId="27F2D4DB" w14:textId="77777777" w:rsidR="008F16F2" w:rsidRPr="00097A86" w:rsidRDefault="008F16F2" w:rsidP="00D22D3F">
            <w:pPr>
              <w:pStyle w:val="Tabletext"/>
            </w:pPr>
            <w:r w:rsidRPr="00097A86">
              <w:t>Coal tar</w:t>
            </w:r>
          </w:p>
        </w:tc>
        <w:tc>
          <w:tcPr>
            <w:tcW w:w="758" w:type="pct"/>
            <w:gridSpan w:val="2"/>
            <w:shd w:val="clear" w:color="auto" w:fill="auto"/>
          </w:tcPr>
          <w:p w14:paraId="29DCA43C" w14:textId="77777777" w:rsidR="008F16F2" w:rsidRPr="00097A86" w:rsidRDefault="008F16F2" w:rsidP="00D22D3F">
            <w:pPr>
              <w:pStyle w:val="Tabletext"/>
            </w:pPr>
            <w:r w:rsidRPr="00097A86">
              <w:t>50</w:t>
            </w:r>
          </w:p>
        </w:tc>
        <w:tc>
          <w:tcPr>
            <w:tcW w:w="767" w:type="pct"/>
            <w:shd w:val="clear" w:color="auto" w:fill="auto"/>
          </w:tcPr>
          <w:p w14:paraId="10956100" w14:textId="77777777" w:rsidR="008F16F2" w:rsidRPr="00097A86" w:rsidRDefault="008F16F2" w:rsidP="00D22D3F">
            <w:pPr>
              <w:pStyle w:val="Tabletext"/>
            </w:pPr>
            <w:r w:rsidRPr="00097A86">
              <w:t>17</w:t>
            </w:r>
          </w:p>
        </w:tc>
      </w:tr>
      <w:tr w:rsidR="008F16F2" w:rsidRPr="00097A86" w14:paraId="189B18E3" w14:textId="77777777" w:rsidTr="00C20CC2">
        <w:tc>
          <w:tcPr>
            <w:tcW w:w="424" w:type="pct"/>
            <w:shd w:val="clear" w:color="auto" w:fill="auto"/>
          </w:tcPr>
          <w:p w14:paraId="7E2BAA60" w14:textId="77777777" w:rsidR="008F16F2" w:rsidRPr="00097A86" w:rsidRDefault="008F16F2" w:rsidP="00D22D3F">
            <w:pPr>
              <w:pStyle w:val="Tabletext"/>
            </w:pPr>
            <w:r w:rsidRPr="00097A86">
              <w:t>7</w:t>
            </w:r>
          </w:p>
        </w:tc>
        <w:tc>
          <w:tcPr>
            <w:tcW w:w="3051" w:type="pct"/>
            <w:shd w:val="clear" w:color="auto" w:fill="auto"/>
          </w:tcPr>
          <w:p w14:paraId="6C3430FD" w14:textId="77777777" w:rsidR="008F16F2" w:rsidRPr="00097A86" w:rsidRDefault="008F16F2" w:rsidP="00D22D3F">
            <w:pPr>
              <w:pStyle w:val="Tabletext"/>
            </w:pPr>
            <w:r w:rsidRPr="00097A86">
              <w:t>Solid fossil fuels other than those mentioned in items</w:t>
            </w:r>
            <w:r w:rsidR="00097A86">
              <w:t> </w:t>
            </w:r>
            <w:r w:rsidRPr="00097A86">
              <w:t>1 to 5</w:t>
            </w:r>
          </w:p>
        </w:tc>
        <w:tc>
          <w:tcPr>
            <w:tcW w:w="758" w:type="pct"/>
            <w:gridSpan w:val="2"/>
            <w:shd w:val="clear" w:color="auto" w:fill="auto"/>
          </w:tcPr>
          <w:p w14:paraId="29484D87" w14:textId="77777777" w:rsidR="008F16F2" w:rsidRPr="00097A86" w:rsidRDefault="008F16F2" w:rsidP="00D22D3F">
            <w:pPr>
              <w:pStyle w:val="Tabletext"/>
            </w:pPr>
            <w:r w:rsidRPr="00097A86">
              <w:t>50</w:t>
            </w:r>
          </w:p>
        </w:tc>
        <w:tc>
          <w:tcPr>
            <w:tcW w:w="767" w:type="pct"/>
            <w:shd w:val="clear" w:color="auto" w:fill="auto"/>
          </w:tcPr>
          <w:p w14:paraId="55D2F202" w14:textId="77777777" w:rsidR="008F16F2" w:rsidRPr="00097A86" w:rsidRDefault="008F16F2" w:rsidP="00D22D3F">
            <w:pPr>
              <w:pStyle w:val="Tabletext"/>
            </w:pPr>
            <w:r w:rsidRPr="00097A86">
              <w:t>15</w:t>
            </w:r>
          </w:p>
        </w:tc>
      </w:tr>
      <w:tr w:rsidR="008F16F2" w:rsidRPr="00097A86" w14:paraId="7CF9C9DB" w14:textId="77777777" w:rsidTr="00C20CC2">
        <w:tc>
          <w:tcPr>
            <w:tcW w:w="424" w:type="pct"/>
            <w:shd w:val="clear" w:color="auto" w:fill="auto"/>
          </w:tcPr>
          <w:p w14:paraId="11166DFF" w14:textId="77777777" w:rsidR="008F16F2" w:rsidRPr="00097A86" w:rsidRDefault="008F16F2" w:rsidP="00D22D3F">
            <w:pPr>
              <w:pStyle w:val="Tabletext"/>
            </w:pPr>
            <w:r w:rsidRPr="00097A86">
              <w:t>8</w:t>
            </w:r>
          </w:p>
        </w:tc>
        <w:tc>
          <w:tcPr>
            <w:tcW w:w="3051" w:type="pct"/>
            <w:shd w:val="clear" w:color="auto" w:fill="auto"/>
          </w:tcPr>
          <w:p w14:paraId="24868596" w14:textId="77777777" w:rsidR="008F16F2" w:rsidRPr="00097A86" w:rsidRDefault="008F16F2" w:rsidP="00D22D3F">
            <w:pPr>
              <w:pStyle w:val="Tabletext"/>
            </w:pPr>
            <w:r w:rsidRPr="00097A86">
              <w:t>Industrial materials and tyres that are derived from fossil fuels, if recycled and combusted to produce heat or electricity</w:t>
            </w:r>
          </w:p>
        </w:tc>
        <w:tc>
          <w:tcPr>
            <w:tcW w:w="758" w:type="pct"/>
            <w:gridSpan w:val="2"/>
            <w:shd w:val="clear" w:color="auto" w:fill="auto"/>
          </w:tcPr>
          <w:p w14:paraId="57BF9CF0" w14:textId="77777777" w:rsidR="008F16F2" w:rsidRPr="00097A86" w:rsidRDefault="008F16F2" w:rsidP="00D22D3F">
            <w:pPr>
              <w:pStyle w:val="Tabletext"/>
            </w:pPr>
            <w:r w:rsidRPr="00097A86">
              <w:t>50</w:t>
            </w:r>
          </w:p>
        </w:tc>
        <w:tc>
          <w:tcPr>
            <w:tcW w:w="767" w:type="pct"/>
            <w:shd w:val="clear" w:color="auto" w:fill="auto"/>
          </w:tcPr>
          <w:p w14:paraId="6CF48E08" w14:textId="77777777" w:rsidR="008F16F2" w:rsidRPr="00097A86" w:rsidRDefault="008F16F2" w:rsidP="00D22D3F">
            <w:pPr>
              <w:pStyle w:val="Tabletext"/>
            </w:pPr>
            <w:r w:rsidRPr="00097A86">
              <w:t>26</w:t>
            </w:r>
          </w:p>
        </w:tc>
      </w:tr>
      <w:tr w:rsidR="008F16F2" w:rsidRPr="00097A86" w14:paraId="2B3F7890" w14:textId="77777777" w:rsidTr="00C20CC2">
        <w:tc>
          <w:tcPr>
            <w:tcW w:w="424" w:type="pct"/>
            <w:shd w:val="clear" w:color="auto" w:fill="auto"/>
          </w:tcPr>
          <w:p w14:paraId="15C1C7A1" w14:textId="77777777" w:rsidR="008F16F2" w:rsidRPr="00097A86" w:rsidRDefault="008F16F2" w:rsidP="00D22D3F">
            <w:pPr>
              <w:pStyle w:val="Tabletext"/>
            </w:pPr>
            <w:r w:rsidRPr="00097A86">
              <w:t>9</w:t>
            </w:r>
          </w:p>
        </w:tc>
        <w:tc>
          <w:tcPr>
            <w:tcW w:w="3051" w:type="pct"/>
            <w:shd w:val="clear" w:color="auto" w:fill="auto"/>
          </w:tcPr>
          <w:p w14:paraId="461422B6" w14:textId="77777777" w:rsidR="008F16F2" w:rsidRPr="00097A86" w:rsidRDefault="008F16F2" w:rsidP="00D22D3F">
            <w:pPr>
              <w:pStyle w:val="Tabletext"/>
            </w:pPr>
            <w:r w:rsidRPr="00097A86">
              <w:t>Non</w:t>
            </w:r>
            <w:r w:rsidR="00097A86">
              <w:noBreakHyphen/>
            </w:r>
            <w:r w:rsidRPr="00097A86">
              <w:t>biomass municipal materials, if recycled and combusted to produce heat or electricity</w:t>
            </w:r>
          </w:p>
        </w:tc>
        <w:tc>
          <w:tcPr>
            <w:tcW w:w="758" w:type="pct"/>
            <w:gridSpan w:val="2"/>
            <w:shd w:val="clear" w:color="auto" w:fill="auto"/>
          </w:tcPr>
          <w:p w14:paraId="0D8474F0" w14:textId="77777777" w:rsidR="008F16F2" w:rsidRPr="00097A86" w:rsidRDefault="008F16F2" w:rsidP="00D22D3F">
            <w:pPr>
              <w:pStyle w:val="Tabletext"/>
            </w:pPr>
            <w:r w:rsidRPr="00097A86">
              <w:t>50</w:t>
            </w:r>
          </w:p>
        </w:tc>
        <w:tc>
          <w:tcPr>
            <w:tcW w:w="767" w:type="pct"/>
            <w:shd w:val="clear" w:color="auto" w:fill="auto"/>
          </w:tcPr>
          <w:p w14:paraId="2D86E658" w14:textId="77777777" w:rsidR="008F16F2" w:rsidRPr="00097A86" w:rsidRDefault="008F16F2" w:rsidP="00D22D3F">
            <w:pPr>
              <w:pStyle w:val="Tabletext"/>
            </w:pPr>
            <w:r w:rsidRPr="00097A86">
              <w:t>26</w:t>
            </w:r>
          </w:p>
        </w:tc>
      </w:tr>
      <w:tr w:rsidR="008F16F2" w:rsidRPr="00097A86" w14:paraId="69D96786" w14:textId="77777777" w:rsidTr="00C20CC2">
        <w:tc>
          <w:tcPr>
            <w:tcW w:w="424" w:type="pct"/>
            <w:shd w:val="clear" w:color="auto" w:fill="auto"/>
          </w:tcPr>
          <w:p w14:paraId="3D0107CD" w14:textId="77777777" w:rsidR="008F16F2" w:rsidRPr="00097A86" w:rsidRDefault="008F16F2" w:rsidP="00D22D3F">
            <w:pPr>
              <w:pStyle w:val="Tabletext"/>
            </w:pPr>
            <w:r w:rsidRPr="00097A86">
              <w:t>10</w:t>
            </w:r>
          </w:p>
        </w:tc>
        <w:tc>
          <w:tcPr>
            <w:tcW w:w="3051" w:type="pct"/>
            <w:shd w:val="clear" w:color="auto" w:fill="auto"/>
          </w:tcPr>
          <w:p w14:paraId="6B9514FE" w14:textId="77777777" w:rsidR="008F16F2" w:rsidRPr="00097A86" w:rsidRDefault="008F16F2" w:rsidP="00D22D3F">
            <w:pPr>
              <w:pStyle w:val="Tabletext"/>
            </w:pPr>
            <w:r w:rsidRPr="00097A86">
              <w:t>Dry wood</w:t>
            </w:r>
          </w:p>
        </w:tc>
        <w:tc>
          <w:tcPr>
            <w:tcW w:w="758" w:type="pct"/>
            <w:gridSpan w:val="2"/>
            <w:shd w:val="clear" w:color="auto" w:fill="auto"/>
          </w:tcPr>
          <w:p w14:paraId="51534617" w14:textId="77777777" w:rsidR="008F16F2" w:rsidRPr="00097A86" w:rsidRDefault="008F16F2" w:rsidP="00D22D3F">
            <w:pPr>
              <w:pStyle w:val="Tabletext"/>
            </w:pPr>
            <w:r w:rsidRPr="00097A86">
              <w:t>50</w:t>
            </w:r>
          </w:p>
        </w:tc>
        <w:tc>
          <w:tcPr>
            <w:tcW w:w="767" w:type="pct"/>
            <w:shd w:val="clear" w:color="auto" w:fill="auto"/>
          </w:tcPr>
          <w:p w14:paraId="02B4B6E7" w14:textId="77777777" w:rsidR="008F16F2" w:rsidRPr="00097A86" w:rsidRDefault="008F16F2" w:rsidP="00D22D3F">
            <w:pPr>
              <w:pStyle w:val="Tabletext"/>
            </w:pPr>
            <w:r w:rsidRPr="00097A86">
              <w:t>NA</w:t>
            </w:r>
          </w:p>
        </w:tc>
      </w:tr>
      <w:tr w:rsidR="008F16F2" w:rsidRPr="00097A86" w14:paraId="27AEFEA9" w14:textId="77777777" w:rsidTr="00C20CC2">
        <w:tc>
          <w:tcPr>
            <w:tcW w:w="424" w:type="pct"/>
            <w:shd w:val="clear" w:color="auto" w:fill="auto"/>
          </w:tcPr>
          <w:p w14:paraId="546574F2" w14:textId="77777777" w:rsidR="008F16F2" w:rsidRPr="00097A86" w:rsidRDefault="008F16F2" w:rsidP="00D22D3F">
            <w:pPr>
              <w:pStyle w:val="Tabletext"/>
            </w:pPr>
            <w:r w:rsidRPr="00097A86">
              <w:t>11</w:t>
            </w:r>
          </w:p>
        </w:tc>
        <w:tc>
          <w:tcPr>
            <w:tcW w:w="3051" w:type="pct"/>
            <w:shd w:val="clear" w:color="auto" w:fill="auto"/>
          </w:tcPr>
          <w:p w14:paraId="53443CA8" w14:textId="77777777" w:rsidR="008F16F2" w:rsidRPr="00097A86" w:rsidRDefault="008F16F2" w:rsidP="00D22D3F">
            <w:pPr>
              <w:pStyle w:val="Tabletext"/>
            </w:pPr>
            <w:r w:rsidRPr="00097A86">
              <w:t>Green and air</w:t>
            </w:r>
            <w:r w:rsidR="00097A86">
              <w:noBreakHyphen/>
            </w:r>
            <w:r w:rsidRPr="00097A86">
              <w:t>dried wood</w:t>
            </w:r>
          </w:p>
        </w:tc>
        <w:tc>
          <w:tcPr>
            <w:tcW w:w="758" w:type="pct"/>
            <w:gridSpan w:val="2"/>
            <w:shd w:val="clear" w:color="auto" w:fill="auto"/>
          </w:tcPr>
          <w:p w14:paraId="7BD7E393" w14:textId="77777777" w:rsidR="008F16F2" w:rsidRPr="00097A86" w:rsidRDefault="008F16F2" w:rsidP="00D22D3F">
            <w:pPr>
              <w:pStyle w:val="Tabletext"/>
            </w:pPr>
            <w:r w:rsidRPr="00097A86">
              <w:t>50</w:t>
            </w:r>
          </w:p>
        </w:tc>
        <w:tc>
          <w:tcPr>
            <w:tcW w:w="767" w:type="pct"/>
            <w:shd w:val="clear" w:color="auto" w:fill="auto"/>
          </w:tcPr>
          <w:p w14:paraId="244289D9" w14:textId="77777777" w:rsidR="008F16F2" w:rsidRPr="00097A86" w:rsidRDefault="008F16F2" w:rsidP="00D22D3F">
            <w:pPr>
              <w:pStyle w:val="Tabletext"/>
            </w:pPr>
            <w:r w:rsidRPr="00097A86">
              <w:t>NA</w:t>
            </w:r>
          </w:p>
        </w:tc>
      </w:tr>
      <w:tr w:rsidR="008F16F2" w:rsidRPr="00097A86" w14:paraId="5C8E7938" w14:textId="77777777" w:rsidTr="00C20CC2">
        <w:tc>
          <w:tcPr>
            <w:tcW w:w="424" w:type="pct"/>
            <w:shd w:val="clear" w:color="auto" w:fill="auto"/>
          </w:tcPr>
          <w:p w14:paraId="7F6C4F0A" w14:textId="77777777" w:rsidR="008F16F2" w:rsidRPr="00097A86" w:rsidRDefault="008F16F2" w:rsidP="00D22D3F">
            <w:pPr>
              <w:pStyle w:val="Tabletext"/>
            </w:pPr>
            <w:r w:rsidRPr="00097A86">
              <w:t>12</w:t>
            </w:r>
          </w:p>
        </w:tc>
        <w:tc>
          <w:tcPr>
            <w:tcW w:w="3051" w:type="pct"/>
            <w:shd w:val="clear" w:color="auto" w:fill="auto"/>
          </w:tcPr>
          <w:p w14:paraId="792134EE" w14:textId="77777777" w:rsidR="008F16F2" w:rsidRPr="00097A86" w:rsidRDefault="008F16F2" w:rsidP="00D22D3F">
            <w:pPr>
              <w:pStyle w:val="Tabletext"/>
            </w:pPr>
            <w:r w:rsidRPr="00097A86">
              <w:t>Sulphite lyes</w:t>
            </w:r>
          </w:p>
        </w:tc>
        <w:tc>
          <w:tcPr>
            <w:tcW w:w="758" w:type="pct"/>
            <w:gridSpan w:val="2"/>
            <w:shd w:val="clear" w:color="auto" w:fill="auto"/>
          </w:tcPr>
          <w:p w14:paraId="09F889DF" w14:textId="77777777" w:rsidR="008F16F2" w:rsidRPr="00097A86" w:rsidRDefault="008F16F2" w:rsidP="00D22D3F">
            <w:pPr>
              <w:pStyle w:val="Tabletext"/>
            </w:pPr>
            <w:r w:rsidRPr="00097A86">
              <w:t>50</w:t>
            </w:r>
          </w:p>
        </w:tc>
        <w:tc>
          <w:tcPr>
            <w:tcW w:w="767" w:type="pct"/>
            <w:shd w:val="clear" w:color="auto" w:fill="auto"/>
          </w:tcPr>
          <w:p w14:paraId="1ECDE9C9" w14:textId="77777777" w:rsidR="008F16F2" w:rsidRPr="00097A86" w:rsidRDefault="008F16F2" w:rsidP="00D22D3F">
            <w:pPr>
              <w:pStyle w:val="Tabletext"/>
            </w:pPr>
            <w:r w:rsidRPr="00097A86">
              <w:t>NA</w:t>
            </w:r>
          </w:p>
        </w:tc>
      </w:tr>
      <w:tr w:rsidR="008F16F2" w:rsidRPr="00097A86" w14:paraId="2583DC6E" w14:textId="77777777" w:rsidTr="00C20CC2">
        <w:tc>
          <w:tcPr>
            <w:tcW w:w="424" w:type="pct"/>
            <w:shd w:val="clear" w:color="auto" w:fill="auto"/>
          </w:tcPr>
          <w:p w14:paraId="60CD31D5" w14:textId="77777777" w:rsidR="008F16F2" w:rsidRPr="00097A86" w:rsidRDefault="008F16F2" w:rsidP="00D22D3F">
            <w:pPr>
              <w:pStyle w:val="Tabletext"/>
            </w:pPr>
            <w:r w:rsidRPr="00097A86">
              <w:t>13</w:t>
            </w:r>
          </w:p>
        </w:tc>
        <w:tc>
          <w:tcPr>
            <w:tcW w:w="3051" w:type="pct"/>
            <w:shd w:val="clear" w:color="auto" w:fill="auto"/>
          </w:tcPr>
          <w:p w14:paraId="3AFDA613" w14:textId="77777777" w:rsidR="008F16F2" w:rsidRPr="00097A86" w:rsidRDefault="008F16F2" w:rsidP="00D22D3F">
            <w:pPr>
              <w:pStyle w:val="Tabletext"/>
            </w:pPr>
            <w:r w:rsidRPr="00097A86">
              <w:t>Bagasse</w:t>
            </w:r>
          </w:p>
        </w:tc>
        <w:tc>
          <w:tcPr>
            <w:tcW w:w="758" w:type="pct"/>
            <w:gridSpan w:val="2"/>
            <w:shd w:val="clear" w:color="auto" w:fill="auto"/>
          </w:tcPr>
          <w:p w14:paraId="2FD8FDBF" w14:textId="77777777" w:rsidR="008F16F2" w:rsidRPr="00097A86" w:rsidRDefault="008F16F2" w:rsidP="00D22D3F">
            <w:pPr>
              <w:pStyle w:val="Tabletext"/>
            </w:pPr>
            <w:r w:rsidRPr="00097A86">
              <w:t>50</w:t>
            </w:r>
          </w:p>
        </w:tc>
        <w:tc>
          <w:tcPr>
            <w:tcW w:w="767" w:type="pct"/>
            <w:shd w:val="clear" w:color="auto" w:fill="auto"/>
          </w:tcPr>
          <w:p w14:paraId="328B4FDF" w14:textId="77777777" w:rsidR="008F16F2" w:rsidRPr="00097A86" w:rsidRDefault="008F16F2" w:rsidP="00D22D3F">
            <w:pPr>
              <w:pStyle w:val="Tabletext"/>
            </w:pPr>
            <w:r w:rsidRPr="00097A86">
              <w:t>NA</w:t>
            </w:r>
          </w:p>
        </w:tc>
      </w:tr>
      <w:tr w:rsidR="008F16F2" w:rsidRPr="00097A86" w14:paraId="5084DA24" w14:textId="77777777" w:rsidTr="00C20CC2">
        <w:tc>
          <w:tcPr>
            <w:tcW w:w="424" w:type="pct"/>
            <w:shd w:val="clear" w:color="auto" w:fill="auto"/>
          </w:tcPr>
          <w:p w14:paraId="4EAC2733" w14:textId="77777777" w:rsidR="008F16F2" w:rsidRPr="00097A86" w:rsidRDefault="008F16F2" w:rsidP="00D22D3F">
            <w:pPr>
              <w:pStyle w:val="Tabletext"/>
            </w:pPr>
            <w:r w:rsidRPr="00097A86">
              <w:t>14</w:t>
            </w:r>
          </w:p>
        </w:tc>
        <w:tc>
          <w:tcPr>
            <w:tcW w:w="3051" w:type="pct"/>
            <w:shd w:val="clear" w:color="auto" w:fill="auto"/>
          </w:tcPr>
          <w:p w14:paraId="3D68B50E" w14:textId="77777777" w:rsidR="008F16F2" w:rsidRPr="00097A86" w:rsidRDefault="008F16F2" w:rsidP="00D22D3F">
            <w:pPr>
              <w:pStyle w:val="Tabletext"/>
            </w:pPr>
            <w:r w:rsidRPr="00097A86">
              <w:t>Biomass municipal and industrial materials, if recycled and combusted to produce heat or energy</w:t>
            </w:r>
          </w:p>
        </w:tc>
        <w:tc>
          <w:tcPr>
            <w:tcW w:w="758" w:type="pct"/>
            <w:gridSpan w:val="2"/>
            <w:shd w:val="clear" w:color="auto" w:fill="auto"/>
          </w:tcPr>
          <w:p w14:paraId="74F6B8A4" w14:textId="77777777" w:rsidR="008F16F2" w:rsidRPr="00097A86" w:rsidRDefault="008F16F2" w:rsidP="00D22D3F">
            <w:pPr>
              <w:pStyle w:val="Tabletext"/>
            </w:pPr>
            <w:r w:rsidRPr="00097A86">
              <w:t>50</w:t>
            </w:r>
          </w:p>
        </w:tc>
        <w:tc>
          <w:tcPr>
            <w:tcW w:w="767" w:type="pct"/>
            <w:shd w:val="clear" w:color="auto" w:fill="auto"/>
          </w:tcPr>
          <w:p w14:paraId="3816749F" w14:textId="77777777" w:rsidR="008F16F2" w:rsidRPr="00097A86" w:rsidRDefault="008F16F2" w:rsidP="00D22D3F">
            <w:pPr>
              <w:pStyle w:val="Tabletext"/>
            </w:pPr>
            <w:r w:rsidRPr="00097A86">
              <w:t>NA</w:t>
            </w:r>
          </w:p>
        </w:tc>
      </w:tr>
      <w:tr w:rsidR="008F16F2" w:rsidRPr="00097A86" w14:paraId="4074E3E9" w14:textId="77777777" w:rsidTr="00C20CC2">
        <w:tc>
          <w:tcPr>
            <w:tcW w:w="424" w:type="pct"/>
            <w:shd w:val="clear" w:color="auto" w:fill="auto"/>
          </w:tcPr>
          <w:p w14:paraId="13B183E1" w14:textId="77777777" w:rsidR="008F16F2" w:rsidRPr="00097A86" w:rsidRDefault="008F16F2" w:rsidP="00D22D3F">
            <w:pPr>
              <w:pStyle w:val="Tabletext"/>
            </w:pPr>
            <w:r w:rsidRPr="00097A86">
              <w:t>15</w:t>
            </w:r>
          </w:p>
        </w:tc>
        <w:tc>
          <w:tcPr>
            <w:tcW w:w="3051" w:type="pct"/>
            <w:shd w:val="clear" w:color="auto" w:fill="auto"/>
          </w:tcPr>
          <w:p w14:paraId="1C1CF853" w14:textId="77777777" w:rsidR="008F16F2" w:rsidRPr="00097A86" w:rsidRDefault="008F16F2" w:rsidP="00D22D3F">
            <w:pPr>
              <w:pStyle w:val="Tabletext"/>
            </w:pPr>
            <w:r w:rsidRPr="00097A86">
              <w:t>Charcoal</w:t>
            </w:r>
          </w:p>
        </w:tc>
        <w:tc>
          <w:tcPr>
            <w:tcW w:w="758" w:type="pct"/>
            <w:gridSpan w:val="2"/>
            <w:shd w:val="clear" w:color="auto" w:fill="auto"/>
          </w:tcPr>
          <w:p w14:paraId="1E6F5ABA" w14:textId="77777777" w:rsidR="008F16F2" w:rsidRPr="00097A86" w:rsidRDefault="008F16F2" w:rsidP="00D22D3F">
            <w:pPr>
              <w:pStyle w:val="Tabletext"/>
            </w:pPr>
            <w:r w:rsidRPr="00097A86">
              <w:t>50</w:t>
            </w:r>
          </w:p>
        </w:tc>
        <w:tc>
          <w:tcPr>
            <w:tcW w:w="767" w:type="pct"/>
            <w:shd w:val="clear" w:color="auto" w:fill="auto"/>
          </w:tcPr>
          <w:p w14:paraId="30F84B7E" w14:textId="77777777" w:rsidR="008F16F2" w:rsidRPr="00097A86" w:rsidRDefault="008F16F2" w:rsidP="00D22D3F">
            <w:pPr>
              <w:pStyle w:val="Tabletext"/>
            </w:pPr>
            <w:r w:rsidRPr="00097A86">
              <w:t>NA</w:t>
            </w:r>
          </w:p>
        </w:tc>
      </w:tr>
      <w:tr w:rsidR="008F16F2" w:rsidRPr="00097A86" w14:paraId="746013B3" w14:textId="77777777" w:rsidTr="00C20CC2">
        <w:tc>
          <w:tcPr>
            <w:tcW w:w="424" w:type="pct"/>
            <w:shd w:val="clear" w:color="auto" w:fill="auto"/>
          </w:tcPr>
          <w:p w14:paraId="5F5831E4" w14:textId="77777777" w:rsidR="008F16F2" w:rsidRPr="00097A86" w:rsidRDefault="008F16F2" w:rsidP="00D22D3F">
            <w:pPr>
              <w:pStyle w:val="Tabletext"/>
            </w:pPr>
            <w:r w:rsidRPr="00097A86">
              <w:t>16</w:t>
            </w:r>
          </w:p>
        </w:tc>
        <w:tc>
          <w:tcPr>
            <w:tcW w:w="3051" w:type="pct"/>
            <w:shd w:val="clear" w:color="auto" w:fill="auto"/>
          </w:tcPr>
          <w:p w14:paraId="557EE645" w14:textId="77777777" w:rsidR="008F16F2" w:rsidRPr="00097A86" w:rsidRDefault="008F16F2" w:rsidP="00D22D3F">
            <w:pPr>
              <w:pStyle w:val="Tabletext"/>
            </w:pPr>
            <w:r w:rsidRPr="00097A86">
              <w:t>Primary solid biomass fuels other than those mentioned in items</w:t>
            </w:r>
            <w:r w:rsidR="00097A86">
              <w:t> </w:t>
            </w:r>
            <w:r w:rsidRPr="00097A86">
              <w:t>10 to 15</w:t>
            </w:r>
          </w:p>
        </w:tc>
        <w:tc>
          <w:tcPr>
            <w:tcW w:w="758" w:type="pct"/>
            <w:gridSpan w:val="2"/>
            <w:shd w:val="clear" w:color="auto" w:fill="auto"/>
          </w:tcPr>
          <w:p w14:paraId="0054DB3C" w14:textId="77777777" w:rsidR="008F16F2" w:rsidRPr="00097A86" w:rsidRDefault="008F16F2" w:rsidP="00D22D3F">
            <w:pPr>
              <w:pStyle w:val="Tabletext"/>
            </w:pPr>
            <w:r w:rsidRPr="00097A86">
              <w:t>50</w:t>
            </w:r>
          </w:p>
        </w:tc>
        <w:tc>
          <w:tcPr>
            <w:tcW w:w="767" w:type="pct"/>
            <w:shd w:val="clear" w:color="auto" w:fill="auto"/>
          </w:tcPr>
          <w:p w14:paraId="526B2B11" w14:textId="77777777" w:rsidR="008F16F2" w:rsidRPr="00097A86" w:rsidRDefault="008F16F2" w:rsidP="00D22D3F">
            <w:pPr>
              <w:pStyle w:val="Tabletext"/>
            </w:pPr>
            <w:r w:rsidRPr="00097A86">
              <w:t>NA</w:t>
            </w:r>
          </w:p>
        </w:tc>
      </w:tr>
      <w:tr w:rsidR="008F16F2" w:rsidRPr="00097A86" w14:paraId="782CEA9F" w14:textId="77777777" w:rsidTr="00C20CC2">
        <w:tc>
          <w:tcPr>
            <w:tcW w:w="424" w:type="pct"/>
            <w:shd w:val="clear" w:color="auto" w:fill="auto"/>
          </w:tcPr>
          <w:p w14:paraId="24E0B12A" w14:textId="77777777" w:rsidR="008F16F2" w:rsidRPr="00097A86" w:rsidRDefault="008F16F2" w:rsidP="00D22D3F">
            <w:pPr>
              <w:pStyle w:val="Tabletext"/>
            </w:pPr>
            <w:r w:rsidRPr="00097A86">
              <w:t>17</w:t>
            </w:r>
          </w:p>
        </w:tc>
        <w:tc>
          <w:tcPr>
            <w:tcW w:w="3051" w:type="pct"/>
            <w:shd w:val="clear" w:color="auto" w:fill="auto"/>
          </w:tcPr>
          <w:p w14:paraId="5AF96AE7" w14:textId="77777777" w:rsidR="008F16F2" w:rsidRPr="00097A86" w:rsidRDefault="008F16F2" w:rsidP="00D22D3F">
            <w:pPr>
              <w:pStyle w:val="Tabletext"/>
            </w:pPr>
            <w:r w:rsidRPr="00097A86">
              <w:t>Natural gas if distributed in a pipeline</w:t>
            </w:r>
          </w:p>
        </w:tc>
        <w:tc>
          <w:tcPr>
            <w:tcW w:w="758" w:type="pct"/>
            <w:gridSpan w:val="2"/>
            <w:shd w:val="clear" w:color="auto" w:fill="auto"/>
          </w:tcPr>
          <w:p w14:paraId="2D87072C" w14:textId="77777777" w:rsidR="008F16F2" w:rsidRPr="00097A86" w:rsidRDefault="008F16F2" w:rsidP="00D22D3F">
            <w:pPr>
              <w:pStyle w:val="Tabletext"/>
            </w:pPr>
            <w:r w:rsidRPr="00097A86">
              <w:t>4</w:t>
            </w:r>
          </w:p>
        </w:tc>
        <w:tc>
          <w:tcPr>
            <w:tcW w:w="767" w:type="pct"/>
            <w:shd w:val="clear" w:color="auto" w:fill="auto"/>
          </w:tcPr>
          <w:p w14:paraId="302AE200" w14:textId="77777777" w:rsidR="008F16F2" w:rsidRPr="00097A86" w:rsidRDefault="008F16F2" w:rsidP="00D22D3F">
            <w:pPr>
              <w:pStyle w:val="Tabletext"/>
            </w:pPr>
            <w:r w:rsidRPr="00097A86">
              <w:t>4</w:t>
            </w:r>
          </w:p>
        </w:tc>
      </w:tr>
      <w:tr w:rsidR="008F16F2" w:rsidRPr="00097A86" w14:paraId="1D9E2BA7" w14:textId="77777777" w:rsidTr="00C20CC2">
        <w:tc>
          <w:tcPr>
            <w:tcW w:w="424" w:type="pct"/>
            <w:shd w:val="clear" w:color="auto" w:fill="auto"/>
          </w:tcPr>
          <w:p w14:paraId="6E31C0AF" w14:textId="77777777" w:rsidR="008F16F2" w:rsidRPr="00097A86" w:rsidRDefault="008F16F2" w:rsidP="00D22D3F">
            <w:pPr>
              <w:pStyle w:val="Tabletext"/>
            </w:pPr>
            <w:r w:rsidRPr="00097A86">
              <w:t>18</w:t>
            </w:r>
          </w:p>
        </w:tc>
        <w:tc>
          <w:tcPr>
            <w:tcW w:w="3051" w:type="pct"/>
            <w:shd w:val="clear" w:color="auto" w:fill="auto"/>
          </w:tcPr>
          <w:p w14:paraId="05B9DB36" w14:textId="77777777" w:rsidR="008F16F2" w:rsidRPr="00097A86" w:rsidRDefault="008F16F2" w:rsidP="00D22D3F">
            <w:pPr>
              <w:pStyle w:val="Tabletext"/>
            </w:pPr>
            <w:r w:rsidRPr="00097A86">
              <w:t>Coal seam methane that is captured for combustion</w:t>
            </w:r>
          </w:p>
        </w:tc>
        <w:tc>
          <w:tcPr>
            <w:tcW w:w="758" w:type="pct"/>
            <w:gridSpan w:val="2"/>
            <w:shd w:val="clear" w:color="auto" w:fill="auto"/>
          </w:tcPr>
          <w:p w14:paraId="461B4DCE" w14:textId="77777777" w:rsidR="008F16F2" w:rsidRPr="00097A86" w:rsidRDefault="008F16F2" w:rsidP="00D22D3F">
            <w:pPr>
              <w:pStyle w:val="Tabletext"/>
            </w:pPr>
            <w:r w:rsidRPr="00097A86">
              <w:t>4</w:t>
            </w:r>
          </w:p>
        </w:tc>
        <w:tc>
          <w:tcPr>
            <w:tcW w:w="767" w:type="pct"/>
            <w:shd w:val="clear" w:color="auto" w:fill="auto"/>
          </w:tcPr>
          <w:p w14:paraId="2084B19A" w14:textId="77777777" w:rsidR="008F16F2" w:rsidRPr="00097A86" w:rsidRDefault="008F16F2" w:rsidP="00D22D3F">
            <w:pPr>
              <w:pStyle w:val="Tabletext"/>
            </w:pPr>
            <w:r w:rsidRPr="00097A86">
              <w:t>4</w:t>
            </w:r>
          </w:p>
        </w:tc>
      </w:tr>
      <w:tr w:rsidR="008F16F2" w:rsidRPr="00097A86" w14:paraId="58F131FC" w14:textId="77777777" w:rsidTr="00C20CC2">
        <w:tc>
          <w:tcPr>
            <w:tcW w:w="424" w:type="pct"/>
            <w:shd w:val="clear" w:color="auto" w:fill="auto"/>
          </w:tcPr>
          <w:p w14:paraId="57FD5CD0" w14:textId="77777777" w:rsidR="008F16F2" w:rsidRPr="00097A86" w:rsidRDefault="008F16F2" w:rsidP="00D22D3F">
            <w:pPr>
              <w:pStyle w:val="Tabletext"/>
            </w:pPr>
            <w:r w:rsidRPr="00097A86">
              <w:t>19</w:t>
            </w:r>
          </w:p>
        </w:tc>
        <w:tc>
          <w:tcPr>
            <w:tcW w:w="3051" w:type="pct"/>
            <w:shd w:val="clear" w:color="auto" w:fill="auto"/>
          </w:tcPr>
          <w:p w14:paraId="2DDE8BC7" w14:textId="77777777" w:rsidR="008F16F2" w:rsidRPr="00097A86" w:rsidRDefault="008F16F2" w:rsidP="00D22D3F">
            <w:pPr>
              <w:pStyle w:val="Tabletext"/>
            </w:pPr>
            <w:r w:rsidRPr="00097A86">
              <w:t>Coal mine waste gas that is captured for combustion</w:t>
            </w:r>
          </w:p>
        </w:tc>
        <w:tc>
          <w:tcPr>
            <w:tcW w:w="758" w:type="pct"/>
            <w:gridSpan w:val="2"/>
            <w:shd w:val="clear" w:color="auto" w:fill="auto"/>
          </w:tcPr>
          <w:p w14:paraId="4DA52091" w14:textId="77777777" w:rsidR="008F16F2" w:rsidRPr="00097A86" w:rsidRDefault="008F16F2" w:rsidP="00D22D3F">
            <w:pPr>
              <w:pStyle w:val="Tabletext"/>
            </w:pPr>
            <w:r w:rsidRPr="00097A86">
              <w:t>4</w:t>
            </w:r>
          </w:p>
        </w:tc>
        <w:tc>
          <w:tcPr>
            <w:tcW w:w="767" w:type="pct"/>
            <w:shd w:val="clear" w:color="auto" w:fill="auto"/>
          </w:tcPr>
          <w:p w14:paraId="52DF3B42" w14:textId="77777777" w:rsidR="008F16F2" w:rsidRPr="00097A86" w:rsidRDefault="008F16F2" w:rsidP="00D22D3F">
            <w:pPr>
              <w:pStyle w:val="Tabletext"/>
            </w:pPr>
            <w:r w:rsidRPr="00097A86">
              <w:t>4</w:t>
            </w:r>
          </w:p>
        </w:tc>
      </w:tr>
      <w:tr w:rsidR="008F16F2" w:rsidRPr="00097A86" w14:paraId="5C2CD6E8" w14:textId="77777777" w:rsidTr="00C20CC2">
        <w:tc>
          <w:tcPr>
            <w:tcW w:w="424" w:type="pct"/>
            <w:shd w:val="clear" w:color="auto" w:fill="auto"/>
          </w:tcPr>
          <w:p w14:paraId="381776AD" w14:textId="77777777" w:rsidR="008F16F2" w:rsidRPr="00097A86" w:rsidRDefault="008F16F2" w:rsidP="00D22D3F">
            <w:pPr>
              <w:pStyle w:val="Tabletext"/>
            </w:pPr>
            <w:r w:rsidRPr="00097A86">
              <w:t>20</w:t>
            </w:r>
          </w:p>
        </w:tc>
        <w:tc>
          <w:tcPr>
            <w:tcW w:w="3051" w:type="pct"/>
            <w:shd w:val="clear" w:color="auto" w:fill="auto"/>
          </w:tcPr>
          <w:p w14:paraId="7730946D" w14:textId="77777777" w:rsidR="008F16F2" w:rsidRPr="00097A86" w:rsidRDefault="008F16F2" w:rsidP="00D22D3F">
            <w:pPr>
              <w:pStyle w:val="Tabletext"/>
            </w:pPr>
            <w:r w:rsidRPr="00097A86">
              <w:t>Compressed natural gas that has reverted to standard conditions</w:t>
            </w:r>
          </w:p>
        </w:tc>
        <w:tc>
          <w:tcPr>
            <w:tcW w:w="758" w:type="pct"/>
            <w:gridSpan w:val="2"/>
            <w:shd w:val="clear" w:color="auto" w:fill="auto"/>
          </w:tcPr>
          <w:p w14:paraId="1DBB01AD" w14:textId="77777777" w:rsidR="008F16F2" w:rsidRPr="00097A86" w:rsidRDefault="008F16F2" w:rsidP="00D22D3F">
            <w:pPr>
              <w:pStyle w:val="Tabletext"/>
            </w:pPr>
            <w:r w:rsidRPr="00097A86">
              <w:t>4</w:t>
            </w:r>
          </w:p>
        </w:tc>
        <w:tc>
          <w:tcPr>
            <w:tcW w:w="767" w:type="pct"/>
            <w:shd w:val="clear" w:color="auto" w:fill="auto"/>
          </w:tcPr>
          <w:p w14:paraId="2A3C08DD" w14:textId="77777777" w:rsidR="008F16F2" w:rsidRPr="00097A86" w:rsidRDefault="008F16F2" w:rsidP="00D22D3F">
            <w:pPr>
              <w:pStyle w:val="Tabletext"/>
            </w:pPr>
            <w:r w:rsidRPr="00097A86">
              <w:t>4</w:t>
            </w:r>
          </w:p>
        </w:tc>
      </w:tr>
      <w:tr w:rsidR="008F16F2" w:rsidRPr="00097A86" w14:paraId="541CCD23" w14:textId="77777777" w:rsidTr="00C20CC2">
        <w:tc>
          <w:tcPr>
            <w:tcW w:w="424" w:type="pct"/>
            <w:shd w:val="clear" w:color="auto" w:fill="auto"/>
          </w:tcPr>
          <w:p w14:paraId="3F3D6D34" w14:textId="77777777" w:rsidR="008F16F2" w:rsidRPr="00097A86" w:rsidRDefault="008F16F2" w:rsidP="00D22D3F">
            <w:pPr>
              <w:pStyle w:val="Tabletext"/>
            </w:pPr>
            <w:r w:rsidRPr="00097A86">
              <w:t>21</w:t>
            </w:r>
          </w:p>
        </w:tc>
        <w:tc>
          <w:tcPr>
            <w:tcW w:w="3051" w:type="pct"/>
            <w:shd w:val="clear" w:color="auto" w:fill="auto"/>
          </w:tcPr>
          <w:p w14:paraId="32934573" w14:textId="77777777" w:rsidR="008F16F2" w:rsidRPr="00097A86" w:rsidRDefault="008F16F2" w:rsidP="00D22D3F">
            <w:pPr>
              <w:pStyle w:val="Tabletext"/>
            </w:pPr>
            <w:r w:rsidRPr="00097A86">
              <w:t>Unprocessed natural gas</w:t>
            </w:r>
          </w:p>
        </w:tc>
        <w:tc>
          <w:tcPr>
            <w:tcW w:w="758" w:type="pct"/>
            <w:gridSpan w:val="2"/>
            <w:shd w:val="clear" w:color="auto" w:fill="auto"/>
          </w:tcPr>
          <w:p w14:paraId="56DC1349" w14:textId="77777777" w:rsidR="008F16F2" w:rsidRPr="00097A86" w:rsidRDefault="008F16F2" w:rsidP="00D22D3F">
            <w:pPr>
              <w:pStyle w:val="Tabletext"/>
            </w:pPr>
            <w:r w:rsidRPr="00097A86">
              <w:t>4</w:t>
            </w:r>
          </w:p>
        </w:tc>
        <w:tc>
          <w:tcPr>
            <w:tcW w:w="767" w:type="pct"/>
            <w:shd w:val="clear" w:color="auto" w:fill="auto"/>
          </w:tcPr>
          <w:p w14:paraId="53DCAE6F" w14:textId="77777777" w:rsidR="008F16F2" w:rsidRPr="00097A86" w:rsidRDefault="008F16F2" w:rsidP="00D22D3F">
            <w:pPr>
              <w:pStyle w:val="Tabletext"/>
            </w:pPr>
            <w:r w:rsidRPr="00097A86">
              <w:t>4</w:t>
            </w:r>
          </w:p>
        </w:tc>
      </w:tr>
      <w:tr w:rsidR="008F16F2" w:rsidRPr="00097A86" w14:paraId="4F643E19" w14:textId="77777777" w:rsidTr="00C20CC2">
        <w:tc>
          <w:tcPr>
            <w:tcW w:w="424" w:type="pct"/>
            <w:shd w:val="clear" w:color="auto" w:fill="auto"/>
          </w:tcPr>
          <w:p w14:paraId="6FF6985F" w14:textId="77777777" w:rsidR="008F16F2" w:rsidRPr="00097A86" w:rsidRDefault="008F16F2" w:rsidP="00D22D3F">
            <w:pPr>
              <w:pStyle w:val="Tabletext"/>
            </w:pPr>
            <w:r w:rsidRPr="00097A86">
              <w:t>22</w:t>
            </w:r>
          </w:p>
        </w:tc>
        <w:tc>
          <w:tcPr>
            <w:tcW w:w="3051" w:type="pct"/>
            <w:shd w:val="clear" w:color="auto" w:fill="auto"/>
          </w:tcPr>
          <w:p w14:paraId="62405A7D" w14:textId="77777777" w:rsidR="008F16F2" w:rsidRPr="00097A86" w:rsidRDefault="008F16F2" w:rsidP="00D22D3F">
            <w:pPr>
              <w:pStyle w:val="Tabletext"/>
            </w:pPr>
            <w:r w:rsidRPr="00097A86">
              <w:t>Ethane</w:t>
            </w:r>
          </w:p>
        </w:tc>
        <w:tc>
          <w:tcPr>
            <w:tcW w:w="758" w:type="pct"/>
            <w:gridSpan w:val="2"/>
            <w:shd w:val="clear" w:color="auto" w:fill="auto"/>
          </w:tcPr>
          <w:p w14:paraId="59DC4F7D" w14:textId="77777777" w:rsidR="008F16F2" w:rsidRPr="00097A86" w:rsidRDefault="008F16F2" w:rsidP="00D22D3F">
            <w:pPr>
              <w:pStyle w:val="Tabletext"/>
            </w:pPr>
            <w:r w:rsidRPr="00097A86">
              <w:t>4</w:t>
            </w:r>
          </w:p>
        </w:tc>
        <w:tc>
          <w:tcPr>
            <w:tcW w:w="767" w:type="pct"/>
            <w:shd w:val="clear" w:color="auto" w:fill="auto"/>
          </w:tcPr>
          <w:p w14:paraId="73E265B1" w14:textId="77777777" w:rsidR="008F16F2" w:rsidRPr="00097A86" w:rsidRDefault="008F16F2" w:rsidP="00D22D3F">
            <w:pPr>
              <w:pStyle w:val="Tabletext"/>
            </w:pPr>
            <w:r w:rsidRPr="00097A86">
              <w:t>10</w:t>
            </w:r>
          </w:p>
        </w:tc>
      </w:tr>
      <w:tr w:rsidR="008F16F2" w:rsidRPr="00097A86" w14:paraId="5A5ECA70" w14:textId="77777777" w:rsidTr="00C20CC2">
        <w:tc>
          <w:tcPr>
            <w:tcW w:w="424" w:type="pct"/>
            <w:shd w:val="clear" w:color="auto" w:fill="auto"/>
          </w:tcPr>
          <w:p w14:paraId="53AF163A" w14:textId="77777777" w:rsidR="008F16F2" w:rsidRPr="00097A86" w:rsidRDefault="008F16F2" w:rsidP="00D22D3F">
            <w:pPr>
              <w:pStyle w:val="Tabletext"/>
            </w:pPr>
            <w:r w:rsidRPr="00097A86">
              <w:t>23</w:t>
            </w:r>
          </w:p>
        </w:tc>
        <w:tc>
          <w:tcPr>
            <w:tcW w:w="3051" w:type="pct"/>
            <w:shd w:val="clear" w:color="auto" w:fill="auto"/>
          </w:tcPr>
          <w:p w14:paraId="7EF4A468" w14:textId="77777777" w:rsidR="008F16F2" w:rsidRPr="00097A86" w:rsidRDefault="008F16F2" w:rsidP="00D22D3F">
            <w:pPr>
              <w:pStyle w:val="Tabletext"/>
            </w:pPr>
            <w:r w:rsidRPr="00097A86">
              <w:t>Coke oven gas</w:t>
            </w:r>
          </w:p>
        </w:tc>
        <w:tc>
          <w:tcPr>
            <w:tcW w:w="758" w:type="pct"/>
            <w:gridSpan w:val="2"/>
            <w:shd w:val="clear" w:color="auto" w:fill="auto"/>
          </w:tcPr>
          <w:p w14:paraId="0A5414DB" w14:textId="77777777" w:rsidR="008F16F2" w:rsidRPr="00097A86" w:rsidRDefault="008F16F2" w:rsidP="00D22D3F">
            <w:pPr>
              <w:pStyle w:val="Tabletext"/>
            </w:pPr>
            <w:r w:rsidRPr="00097A86">
              <w:t>50</w:t>
            </w:r>
          </w:p>
        </w:tc>
        <w:tc>
          <w:tcPr>
            <w:tcW w:w="767" w:type="pct"/>
            <w:shd w:val="clear" w:color="auto" w:fill="auto"/>
          </w:tcPr>
          <w:p w14:paraId="56B0DEC3" w14:textId="77777777" w:rsidR="008F16F2" w:rsidRPr="00097A86" w:rsidRDefault="008F16F2" w:rsidP="00D22D3F">
            <w:pPr>
              <w:pStyle w:val="Tabletext"/>
            </w:pPr>
            <w:r w:rsidRPr="00097A86">
              <w:t>19</w:t>
            </w:r>
          </w:p>
        </w:tc>
      </w:tr>
      <w:tr w:rsidR="008F16F2" w:rsidRPr="00097A86" w14:paraId="535A32DF" w14:textId="77777777" w:rsidTr="00C20CC2">
        <w:tc>
          <w:tcPr>
            <w:tcW w:w="424" w:type="pct"/>
            <w:shd w:val="clear" w:color="auto" w:fill="auto"/>
          </w:tcPr>
          <w:p w14:paraId="0188FE3D" w14:textId="77777777" w:rsidR="008F16F2" w:rsidRPr="00097A86" w:rsidRDefault="008F16F2" w:rsidP="00D22D3F">
            <w:pPr>
              <w:pStyle w:val="Tabletext"/>
            </w:pPr>
            <w:r w:rsidRPr="00097A86">
              <w:t>24</w:t>
            </w:r>
          </w:p>
        </w:tc>
        <w:tc>
          <w:tcPr>
            <w:tcW w:w="3051" w:type="pct"/>
            <w:shd w:val="clear" w:color="auto" w:fill="auto"/>
          </w:tcPr>
          <w:p w14:paraId="7F8E0B93" w14:textId="77777777" w:rsidR="008F16F2" w:rsidRPr="00097A86" w:rsidRDefault="008F16F2" w:rsidP="00D22D3F">
            <w:pPr>
              <w:pStyle w:val="Tabletext"/>
            </w:pPr>
            <w:r w:rsidRPr="00097A86">
              <w:t>Blast furnace gas</w:t>
            </w:r>
          </w:p>
        </w:tc>
        <w:tc>
          <w:tcPr>
            <w:tcW w:w="758" w:type="pct"/>
            <w:gridSpan w:val="2"/>
            <w:shd w:val="clear" w:color="auto" w:fill="auto"/>
          </w:tcPr>
          <w:p w14:paraId="075F070F" w14:textId="77777777" w:rsidR="008F16F2" w:rsidRPr="00097A86" w:rsidRDefault="008F16F2" w:rsidP="00D22D3F">
            <w:pPr>
              <w:pStyle w:val="Tabletext"/>
            </w:pPr>
            <w:r w:rsidRPr="00097A86">
              <w:t>50</w:t>
            </w:r>
          </w:p>
        </w:tc>
        <w:tc>
          <w:tcPr>
            <w:tcW w:w="767" w:type="pct"/>
            <w:shd w:val="clear" w:color="auto" w:fill="auto"/>
          </w:tcPr>
          <w:p w14:paraId="639E84D1" w14:textId="77777777" w:rsidR="008F16F2" w:rsidRPr="00097A86" w:rsidRDefault="008F16F2" w:rsidP="00D22D3F">
            <w:pPr>
              <w:pStyle w:val="Tabletext"/>
            </w:pPr>
            <w:r w:rsidRPr="00097A86">
              <w:t>17</w:t>
            </w:r>
          </w:p>
        </w:tc>
      </w:tr>
      <w:tr w:rsidR="008F16F2" w:rsidRPr="00097A86" w14:paraId="3033F29A" w14:textId="77777777" w:rsidTr="00C20CC2">
        <w:tc>
          <w:tcPr>
            <w:tcW w:w="424" w:type="pct"/>
            <w:shd w:val="clear" w:color="auto" w:fill="auto"/>
          </w:tcPr>
          <w:p w14:paraId="465E72E6" w14:textId="77777777" w:rsidR="008F16F2" w:rsidRPr="00097A86" w:rsidRDefault="008F16F2" w:rsidP="00D22D3F">
            <w:pPr>
              <w:pStyle w:val="Tabletext"/>
            </w:pPr>
            <w:r w:rsidRPr="00097A86">
              <w:t>25</w:t>
            </w:r>
          </w:p>
        </w:tc>
        <w:tc>
          <w:tcPr>
            <w:tcW w:w="3051" w:type="pct"/>
            <w:shd w:val="clear" w:color="auto" w:fill="auto"/>
          </w:tcPr>
          <w:p w14:paraId="306AABE3" w14:textId="77777777" w:rsidR="008F16F2" w:rsidRPr="00097A86" w:rsidRDefault="008F16F2" w:rsidP="00D22D3F">
            <w:pPr>
              <w:pStyle w:val="Tabletext"/>
            </w:pPr>
            <w:r w:rsidRPr="00097A86">
              <w:t>Town gas</w:t>
            </w:r>
          </w:p>
        </w:tc>
        <w:tc>
          <w:tcPr>
            <w:tcW w:w="758" w:type="pct"/>
            <w:gridSpan w:val="2"/>
            <w:shd w:val="clear" w:color="auto" w:fill="auto"/>
          </w:tcPr>
          <w:p w14:paraId="0750DE23" w14:textId="77777777" w:rsidR="008F16F2" w:rsidRPr="00097A86" w:rsidRDefault="008F16F2" w:rsidP="00D22D3F">
            <w:pPr>
              <w:pStyle w:val="Tabletext"/>
            </w:pPr>
            <w:r w:rsidRPr="00097A86">
              <w:t>4</w:t>
            </w:r>
          </w:p>
        </w:tc>
        <w:tc>
          <w:tcPr>
            <w:tcW w:w="767" w:type="pct"/>
            <w:shd w:val="clear" w:color="auto" w:fill="auto"/>
          </w:tcPr>
          <w:p w14:paraId="4466A0CF" w14:textId="77777777" w:rsidR="008F16F2" w:rsidRPr="00097A86" w:rsidRDefault="008F16F2" w:rsidP="00D22D3F">
            <w:pPr>
              <w:pStyle w:val="Tabletext"/>
            </w:pPr>
            <w:r w:rsidRPr="00097A86">
              <w:t>4</w:t>
            </w:r>
          </w:p>
        </w:tc>
      </w:tr>
      <w:tr w:rsidR="008F16F2" w:rsidRPr="00097A86" w14:paraId="1D4706DF" w14:textId="77777777" w:rsidTr="00C20CC2">
        <w:tc>
          <w:tcPr>
            <w:tcW w:w="424" w:type="pct"/>
            <w:shd w:val="clear" w:color="auto" w:fill="auto"/>
          </w:tcPr>
          <w:p w14:paraId="53EEC9C6" w14:textId="77777777" w:rsidR="008F16F2" w:rsidRPr="00097A86" w:rsidRDefault="008F16F2" w:rsidP="00D22D3F">
            <w:pPr>
              <w:pStyle w:val="Tabletext"/>
            </w:pPr>
            <w:r w:rsidRPr="00097A86">
              <w:t>26</w:t>
            </w:r>
          </w:p>
        </w:tc>
        <w:tc>
          <w:tcPr>
            <w:tcW w:w="3051" w:type="pct"/>
            <w:shd w:val="clear" w:color="auto" w:fill="auto"/>
          </w:tcPr>
          <w:p w14:paraId="0ABF83E1" w14:textId="77777777" w:rsidR="008F16F2" w:rsidRPr="00097A86" w:rsidRDefault="008F16F2" w:rsidP="00D22D3F">
            <w:pPr>
              <w:pStyle w:val="Tabletext"/>
            </w:pPr>
            <w:r w:rsidRPr="00097A86">
              <w:t>Liquefied natural gas</w:t>
            </w:r>
          </w:p>
        </w:tc>
        <w:tc>
          <w:tcPr>
            <w:tcW w:w="758" w:type="pct"/>
            <w:gridSpan w:val="2"/>
            <w:shd w:val="clear" w:color="auto" w:fill="auto"/>
          </w:tcPr>
          <w:p w14:paraId="70330522" w14:textId="77777777" w:rsidR="008F16F2" w:rsidRPr="00097A86" w:rsidRDefault="008F16F2" w:rsidP="00D22D3F">
            <w:pPr>
              <w:pStyle w:val="Tabletext"/>
            </w:pPr>
            <w:r w:rsidRPr="00097A86">
              <w:t>7</w:t>
            </w:r>
          </w:p>
        </w:tc>
        <w:tc>
          <w:tcPr>
            <w:tcW w:w="767" w:type="pct"/>
            <w:shd w:val="clear" w:color="auto" w:fill="auto"/>
          </w:tcPr>
          <w:p w14:paraId="7058E49B" w14:textId="77777777" w:rsidR="008F16F2" w:rsidRPr="00097A86" w:rsidRDefault="008F16F2" w:rsidP="00D22D3F">
            <w:pPr>
              <w:pStyle w:val="Tabletext"/>
            </w:pPr>
            <w:r w:rsidRPr="00097A86">
              <w:t>4</w:t>
            </w:r>
          </w:p>
        </w:tc>
      </w:tr>
      <w:tr w:rsidR="008F16F2" w:rsidRPr="00097A86" w14:paraId="74B8C731" w14:textId="77777777" w:rsidTr="00C20CC2">
        <w:tc>
          <w:tcPr>
            <w:tcW w:w="424" w:type="pct"/>
            <w:shd w:val="clear" w:color="auto" w:fill="auto"/>
          </w:tcPr>
          <w:p w14:paraId="48DF5687" w14:textId="77777777" w:rsidR="008F16F2" w:rsidRPr="00097A86" w:rsidRDefault="008F16F2" w:rsidP="00D22D3F">
            <w:pPr>
              <w:pStyle w:val="Tabletext"/>
            </w:pPr>
            <w:r w:rsidRPr="00097A86">
              <w:t>27</w:t>
            </w:r>
          </w:p>
        </w:tc>
        <w:tc>
          <w:tcPr>
            <w:tcW w:w="3051" w:type="pct"/>
            <w:shd w:val="clear" w:color="auto" w:fill="auto"/>
          </w:tcPr>
          <w:p w14:paraId="3B0757C1" w14:textId="77777777" w:rsidR="008F16F2" w:rsidRPr="00097A86" w:rsidRDefault="008F16F2" w:rsidP="00D22D3F">
            <w:pPr>
              <w:pStyle w:val="Tabletext"/>
            </w:pPr>
            <w:r w:rsidRPr="00097A86">
              <w:t>Gaseous fossil fuels other than those mentioned in items</w:t>
            </w:r>
            <w:r w:rsidR="00097A86">
              <w:t> </w:t>
            </w:r>
            <w:r w:rsidRPr="00097A86">
              <w:t>17 to 26</w:t>
            </w:r>
          </w:p>
        </w:tc>
        <w:tc>
          <w:tcPr>
            <w:tcW w:w="758" w:type="pct"/>
            <w:gridSpan w:val="2"/>
            <w:shd w:val="clear" w:color="auto" w:fill="auto"/>
          </w:tcPr>
          <w:p w14:paraId="23BE515F" w14:textId="77777777" w:rsidR="008F16F2" w:rsidRPr="00097A86" w:rsidRDefault="008F16F2" w:rsidP="00D22D3F">
            <w:pPr>
              <w:pStyle w:val="Tabletext"/>
            </w:pPr>
            <w:r w:rsidRPr="00097A86">
              <w:t>50</w:t>
            </w:r>
          </w:p>
        </w:tc>
        <w:tc>
          <w:tcPr>
            <w:tcW w:w="767" w:type="pct"/>
            <w:shd w:val="clear" w:color="auto" w:fill="auto"/>
          </w:tcPr>
          <w:p w14:paraId="57445D36" w14:textId="77777777" w:rsidR="008F16F2" w:rsidRPr="00097A86" w:rsidRDefault="008F16F2" w:rsidP="00D22D3F">
            <w:pPr>
              <w:pStyle w:val="Tabletext"/>
            </w:pPr>
            <w:r w:rsidRPr="00097A86">
              <w:t>10</w:t>
            </w:r>
          </w:p>
        </w:tc>
      </w:tr>
      <w:tr w:rsidR="008F16F2" w:rsidRPr="00097A86" w14:paraId="0806372E" w14:textId="77777777" w:rsidTr="00C20CC2">
        <w:tc>
          <w:tcPr>
            <w:tcW w:w="424" w:type="pct"/>
            <w:shd w:val="clear" w:color="auto" w:fill="auto"/>
          </w:tcPr>
          <w:p w14:paraId="6FBE9630" w14:textId="77777777" w:rsidR="008F16F2" w:rsidRPr="00097A86" w:rsidRDefault="008F16F2" w:rsidP="00D22D3F">
            <w:pPr>
              <w:pStyle w:val="Tabletext"/>
            </w:pPr>
            <w:r w:rsidRPr="00097A86">
              <w:t>28</w:t>
            </w:r>
          </w:p>
        </w:tc>
        <w:tc>
          <w:tcPr>
            <w:tcW w:w="3051" w:type="pct"/>
            <w:shd w:val="clear" w:color="auto" w:fill="auto"/>
          </w:tcPr>
          <w:p w14:paraId="7D94A525" w14:textId="77777777" w:rsidR="008F16F2" w:rsidRPr="00097A86" w:rsidRDefault="008F16F2" w:rsidP="00D22D3F">
            <w:pPr>
              <w:pStyle w:val="Tabletext"/>
            </w:pPr>
            <w:r w:rsidRPr="00097A86">
              <w:t>Landfill biogas that is captured for combustion (methane only)</w:t>
            </w:r>
          </w:p>
        </w:tc>
        <w:tc>
          <w:tcPr>
            <w:tcW w:w="758" w:type="pct"/>
            <w:gridSpan w:val="2"/>
            <w:shd w:val="clear" w:color="auto" w:fill="auto"/>
          </w:tcPr>
          <w:p w14:paraId="4A908A6E" w14:textId="77777777" w:rsidR="008F16F2" w:rsidRPr="00097A86" w:rsidRDefault="008F16F2" w:rsidP="00D22D3F">
            <w:pPr>
              <w:pStyle w:val="Tabletext"/>
            </w:pPr>
            <w:r w:rsidRPr="00097A86">
              <w:t>50</w:t>
            </w:r>
          </w:p>
        </w:tc>
        <w:tc>
          <w:tcPr>
            <w:tcW w:w="767" w:type="pct"/>
            <w:shd w:val="clear" w:color="auto" w:fill="auto"/>
          </w:tcPr>
          <w:p w14:paraId="261B7FE5" w14:textId="77777777" w:rsidR="008F16F2" w:rsidRPr="00097A86" w:rsidRDefault="008F16F2" w:rsidP="00D22D3F">
            <w:pPr>
              <w:pStyle w:val="Tabletext"/>
            </w:pPr>
            <w:r w:rsidRPr="00097A86">
              <w:t>NA</w:t>
            </w:r>
          </w:p>
        </w:tc>
      </w:tr>
      <w:tr w:rsidR="008F16F2" w:rsidRPr="00097A86" w14:paraId="3C1A5BF2" w14:textId="77777777" w:rsidTr="00C20CC2">
        <w:tc>
          <w:tcPr>
            <w:tcW w:w="424" w:type="pct"/>
            <w:shd w:val="clear" w:color="auto" w:fill="auto"/>
          </w:tcPr>
          <w:p w14:paraId="717FA205" w14:textId="77777777" w:rsidR="008F16F2" w:rsidRPr="00097A86" w:rsidRDefault="008F16F2" w:rsidP="00D22D3F">
            <w:pPr>
              <w:pStyle w:val="Tabletext"/>
            </w:pPr>
            <w:r w:rsidRPr="00097A86">
              <w:t>29</w:t>
            </w:r>
          </w:p>
        </w:tc>
        <w:tc>
          <w:tcPr>
            <w:tcW w:w="3051" w:type="pct"/>
            <w:shd w:val="clear" w:color="auto" w:fill="auto"/>
          </w:tcPr>
          <w:p w14:paraId="48779081" w14:textId="77777777" w:rsidR="008F16F2" w:rsidRPr="00097A86" w:rsidRDefault="008F16F2" w:rsidP="00D22D3F">
            <w:pPr>
              <w:pStyle w:val="Tabletext"/>
            </w:pPr>
            <w:r w:rsidRPr="00097A86">
              <w:t>Sludge biogas that is captured for combustion (methane only)</w:t>
            </w:r>
          </w:p>
        </w:tc>
        <w:tc>
          <w:tcPr>
            <w:tcW w:w="758" w:type="pct"/>
            <w:gridSpan w:val="2"/>
            <w:shd w:val="clear" w:color="auto" w:fill="auto"/>
          </w:tcPr>
          <w:p w14:paraId="2DEF73EA" w14:textId="77777777" w:rsidR="008F16F2" w:rsidRPr="00097A86" w:rsidRDefault="008F16F2" w:rsidP="00D22D3F">
            <w:pPr>
              <w:pStyle w:val="Tabletext"/>
            </w:pPr>
            <w:r w:rsidRPr="00097A86">
              <w:t>50</w:t>
            </w:r>
          </w:p>
        </w:tc>
        <w:tc>
          <w:tcPr>
            <w:tcW w:w="767" w:type="pct"/>
            <w:shd w:val="clear" w:color="auto" w:fill="auto"/>
          </w:tcPr>
          <w:p w14:paraId="563EA3AF" w14:textId="77777777" w:rsidR="008F16F2" w:rsidRPr="00097A86" w:rsidRDefault="008F16F2" w:rsidP="00D22D3F">
            <w:pPr>
              <w:pStyle w:val="Tabletext"/>
            </w:pPr>
            <w:r w:rsidRPr="00097A86">
              <w:t>NA</w:t>
            </w:r>
          </w:p>
        </w:tc>
      </w:tr>
      <w:tr w:rsidR="008F16F2" w:rsidRPr="00097A86" w14:paraId="7BDDD93E" w14:textId="77777777" w:rsidTr="00C20CC2">
        <w:tc>
          <w:tcPr>
            <w:tcW w:w="424" w:type="pct"/>
            <w:shd w:val="clear" w:color="auto" w:fill="auto"/>
          </w:tcPr>
          <w:p w14:paraId="5A4637EB" w14:textId="77777777" w:rsidR="008F16F2" w:rsidRPr="00097A86" w:rsidRDefault="008F16F2" w:rsidP="00D22D3F">
            <w:pPr>
              <w:pStyle w:val="Tabletext"/>
            </w:pPr>
            <w:r w:rsidRPr="00097A86">
              <w:t>30</w:t>
            </w:r>
          </w:p>
        </w:tc>
        <w:tc>
          <w:tcPr>
            <w:tcW w:w="3051" w:type="pct"/>
            <w:shd w:val="clear" w:color="auto" w:fill="auto"/>
          </w:tcPr>
          <w:p w14:paraId="52DC0684" w14:textId="77777777" w:rsidR="008F16F2" w:rsidRPr="00097A86" w:rsidRDefault="008F16F2" w:rsidP="00D22D3F">
            <w:pPr>
              <w:pStyle w:val="Tabletext"/>
            </w:pPr>
            <w:r w:rsidRPr="00097A86">
              <w:t>A biogas that is captured for combustion, other than those mentioned in items</w:t>
            </w:r>
            <w:r w:rsidR="00097A86">
              <w:t> </w:t>
            </w:r>
            <w:r w:rsidRPr="00097A86">
              <w:t>28 and 29 (methane only)</w:t>
            </w:r>
          </w:p>
        </w:tc>
        <w:tc>
          <w:tcPr>
            <w:tcW w:w="758" w:type="pct"/>
            <w:gridSpan w:val="2"/>
            <w:shd w:val="clear" w:color="auto" w:fill="auto"/>
          </w:tcPr>
          <w:p w14:paraId="5DF2CF1E" w14:textId="77777777" w:rsidR="008F16F2" w:rsidRPr="00097A86" w:rsidRDefault="008F16F2" w:rsidP="00D22D3F">
            <w:pPr>
              <w:pStyle w:val="Tabletext"/>
            </w:pPr>
            <w:r w:rsidRPr="00097A86">
              <w:t>50</w:t>
            </w:r>
          </w:p>
        </w:tc>
        <w:tc>
          <w:tcPr>
            <w:tcW w:w="767" w:type="pct"/>
            <w:shd w:val="clear" w:color="auto" w:fill="auto"/>
          </w:tcPr>
          <w:p w14:paraId="47009195" w14:textId="77777777" w:rsidR="008F16F2" w:rsidRPr="00097A86" w:rsidRDefault="008F16F2" w:rsidP="00D22D3F">
            <w:pPr>
              <w:pStyle w:val="Tabletext"/>
            </w:pPr>
            <w:r w:rsidRPr="00097A86">
              <w:t>NA</w:t>
            </w:r>
          </w:p>
        </w:tc>
      </w:tr>
      <w:tr w:rsidR="008F16F2" w:rsidRPr="00097A86" w14:paraId="453A19F4" w14:textId="77777777" w:rsidTr="00C20CC2">
        <w:tc>
          <w:tcPr>
            <w:tcW w:w="424" w:type="pct"/>
            <w:shd w:val="clear" w:color="auto" w:fill="auto"/>
          </w:tcPr>
          <w:p w14:paraId="08E410BE" w14:textId="77777777" w:rsidR="008F16F2" w:rsidRPr="00097A86" w:rsidRDefault="008F16F2" w:rsidP="00D22D3F">
            <w:pPr>
              <w:pStyle w:val="Tabletext"/>
            </w:pPr>
            <w:r w:rsidRPr="00097A86">
              <w:lastRenderedPageBreak/>
              <w:t>31</w:t>
            </w:r>
          </w:p>
        </w:tc>
        <w:tc>
          <w:tcPr>
            <w:tcW w:w="3051" w:type="pct"/>
            <w:shd w:val="clear" w:color="auto" w:fill="auto"/>
          </w:tcPr>
          <w:p w14:paraId="30630E2F" w14:textId="77777777" w:rsidR="008F16F2" w:rsidRPr="00097A86" w:rsidRDefault="008F16F2" w:rsidP="00D22D3F">
            <w:pPr>
              <w:pStyle w:val="Tabletext"/>
            </w:pPr>
            <w:r w:rsidRPr="00097A86">
              <w:t>Petroleum based oils (other than petroleum based oils used as fuel)</w:t>
            </w:r>
          </w:p>
        </w:tc>
        <w:tc>
          <w:tcPr>
            <w:tcW w:w="758" w:type="pct"/>
            <w:gridSpan w:val="2"/>
            <w:shd w:val="clear" w:color="auto" w:fill="auto"/>
          </w:tcPr>
          <w:p w14:paraId="6323EDA6" w14:textId="77777777" w:rsidR="008F16F2" w:rsidRPr="00097A86" w:rsidRDefault="008F16F2" w:rsidP="00D22D3F">
            <w:pPr>
              <w:pStyle w:val="Tabletext"/>
            </w:pPr>
            <w:r w:rsidRPr="00097A86">
              <w:t>11</w:t>
            </w:r>
          </w:p>
        </w:tc>
        <w:tc>
          <w:tcPr>
            <w:tcW w:w="767" w:type="pct"/>
            <w:shd w:val="clear" w:color="auto" w:fill="auto"/>
          </w:tcPr>
          <w:p w14:paraId="7460EB91" w14:textId="77777777" w:rsidR="008F16F2" w:rsidRPr="00097A86" w:rsidRDefault="008F16F2" w:rsidP="00D22D3F">
            <w:pPr>
              <w:pStyle w:val="Tabletext"/>
            </w:pPr>
            <w:r w:rsidRPr="00097A86">
              <w:t>2</w:t>
            </w:r>
          </w:p>
        </w:tc>
      </w:tr>
      <w:tr w:rsidR="008F16F2" w:rsidRPr="00097A86" w14:paraId="1F7B6937" w14:textId="77777777" w:rsidTr="00C20CC2">
        <w:tc>
          <w:tcPr>
            <w:tcW w:w="424" w:type="pct"/>
            <w:shd w:val="clear" w:color="auto" w:fill="auto"/>
          </w:tcPr>
          <w:p w14:paraId="61027E47" w14:textId="77777777" w:rsidR="008F16F2" w:rsidRPr="00097A86" w:rsidRDefault="008F16F2" w:rsidP="00D22D3F">
            <w:pPr>
              <w:pStyle w:val="Tabletext"/>
            </w:pPr>
            <w:r w:rsidRPr="00097A86">
              <w:t>32</w:t>
            </w:r>
          </w:p>
        </w:tc>
        <w:tc>
          <w:tcPr>
            <w:tcW w:w="3051" w:type="pct"/>
            <w:shd w:val="clear" w:color="auto" w:fill="auto"/>
          </w:tcPr>
          <w:p w14:paraId="37B3656D" w14:textId="77777777" w:rsidR="008F16F2" w:rsidRPr="00097A86" w:rsidRDefault="008F16F2" w:rsidP="00D22D3F">
            <w:pPr>
              <w:pStyle w:val="Tabletext"/>
            </w:pPr>
            <w:r w:rsidRPr="00097A86">
              <w:t>Petroleum based greases</w:t>
            </w:r>
          </w:p>
        </w:tc>
        <w:tc>
          <w:tcPr>
            <w:tcW w:w="758" w:type="pct"/>
            <w:gridSpan w:val="2"/>
            <w:shd w:val="clear" w:color="auto" w:fill="auto"/>
          </w:tcPr>
          <w:p w14:paraId="7846D532" w14:textId="77777777" w:rsidR="008F16F2" w:rsidRPr="00097A86" w:rsidRDefault="008F16F2" w:rsidP="00D22D3F">
            <w:pPr>
              <w:pStyle w:val="Tabletext"/>
            </w:pPr>
            <w:r w:rsidRPr="00097A86">
              <w:t>11</w:t>
            </w:r>
          </w:p>
        </w:tc>
        <w:tc>
          <w:tcPr>
            <w:tcW w:w="767" w:type="pct"/>
            <w:shd w:val="clear" w:color="auto" w:fill="auto"/>
          </w:tcPr>
          <w:p w14:paraId="506DCDC2" w14:textId="77777777" w:rsidR="008F16F2" w:rsidRPr="00097A86" w:rsidRDefault="008F16F2" w:rsidP="00D22D3F">
            <w:pPr>
              <w:pStyle w:val="Tabletext"/>
            </w:pPr>
            <w:r w:rsidRPr="00097A86">
              <w:t>2</w:t>
            </w:r>
          </w:p>
        </w:tc>
      </w:tr>
      <w:tr w:rsidR="008F16F2" w:rsidRPr="00097A86" w14:paraId="43D3D421" w14:textId="77777777" w:rsidTr="00C20CC2">
        <w:tc>
          <w:tcPr>
            <w:tcW w:w="424" w:type="pct"/>
            <w:shd w:val="clear" w:color="auto" w:fill="auto"/>
          </w:tcPr>
          <w:p w14:paraId="5C801F5F" w14:textId="77777777" w:rsidR="008F16F2" w:rsidRPr="00097A86" w:rsidRDefault="008F16F2" w:rsidP="00D22D3F">
            <w:pPr>
              <w:pStyle w:val="Tabletext"/>
            </w:pPr>
            <w:r w:rsidRPr="00097A86">
              <w:t>33</w:t>
            </w:r>
          </w:p>
        </w:tc>
        <w:tc>
          <w:tcPr>
            <w:tcW w:w="3051" w:type="pct"/>
            <w:shd w:val="clear" w:color="auto" w:fill="auto"/>
          </w:tcPr>
          <w:p w14:paraId="3A4068C9" w14:textId="77777777" w:rsidR="008F16F2" w:rsidRPr="00097A86" w:rsidRDefault="008F16F2" w:rsidP="00D22D3F">
            <w:pPr>
              <w:pStyle w:val="Tabletext"/>
            </w:pPr>
            <w:r w:rsidRPr="00097A86">
              <w:t>Crude oil including crude oil condensates</w:t>
            </w:r>
          </w:p>
        </w:tc>
        <w:tc>
          <w:tcPr>
            <w:tcW w:w="758" w:type="pct"/>
            <w:gridSpan w:val="2"/>
            <w:shd w:val="clear" w:color="auto" w:fill="auto"/>
          </w:tcPr>
          <w:p w14:paraId="5400C8BA" w14:textId="77777777" w:rsidR="008F16F2" w:rsidRPr="00097A86" w:rsidRDefault="008F16F2" w:rsidP="00D22D3F">
            <w:pPr>
              <w:pStyle w:val="Tabletext"/>
            </w:pPr>
            <w:r w:rsidRPr="00097A86">
              <w:t>6</w:t>
            </w:r>
          </w:p>
        </w:tc>
        <w:tc>
          <w:tcPr>
            <w:tcW w:w="767" w:type="pct"/>
            <w:shd w:val="clear" w:color="auto" w:fill="auto"/>
          </w:tcPr>
          <w:p w14:paraId="3D215C04" w14:textId="77777777" w:rsidR="008F16F2" w:rsidRPr="00097A86" w:rsidRDefault="008F16F2" w:rsidP="00D22D3F">
            <w:pPr>
              <w:pStyle w:val="Tabletext"/>
            </w:pPr>
            <w:r w:rsidRPr="00097A86">
              <w:t>3</w:t>
            </w:r>
          </w:p>
        </w:tc>
      </w:tr>
      <w:tr w:rsidR="008F16F2" w:rsidRPr="00097A86" w14:paraId="6CF1D060" w14:textId="77777777" w:rsidTr="00C20CC2">
        <w:tc>
          <w:tcPr>
            <w:tcW w:w="424" w:type="pct"/>
            <w:shd w:val="clear" w:color="auto" w:fill="auto"/>
          </w:tcPr>
          <w:p w14:paraId="307DC530" w14:textId="77777777" w:rsidR="008F16F2" w:rsidRPr="00097A86" w:rsidRDefault="008F16F2" w:rsidP="00D22D3F">
            <w:pPr>
              <w:pStyle w:val="Tabletext"/>
            </w:pPr>
            <w:r w:rsidRPr="00097A86">
              <w:t>34</w:t>
            </w:r>
          </w:p>
        </w:tc>
        <w:tc>
          <w:tcPr>
            <w:tcW w:w="3051" w:type="pct"/>
            <w:shd w:val="clear" w:color="auto" w:fill="auto"/>
          </w:tcPr>
          <w:p w14:paraId="64029C0D" w14:textId="77777777" w:rsidR="008F16F2" w:rsidRPr="00097A86" w:rsidRDefault="008F16F2" w:rsidP="00D22D3F">
            <w:pPr>
              <w:pStyle w:val="Tabletext"/>
            </w:pPr>
            <w:r w:rsidRPr="00097A86">
              <w:t>Other natural gas liquids</w:t>
            </w:r>
          </w:p>
        </w:tc>
        <w:tc>
          <w:tcPr>
            <w:tcW w:w="758" w:type="pct"/>
            <w:gridSpan w:val="2"/>
            <w:shd w:val="clear" w:color="auto" w:fill="auto"/>
          </w:tcPr>
          <w:p w14:paraId="532981DA" w14:textId="77777777" w:rsidR="008F16F2" w:rsidRPr="00097A86" w:rsidRDefault="008F16F2" w:rsidP="00D22D3F">
            <w:pPr>
              <w:pStyle w:val="Tabletext"/>
            </w:pPr>
            <w:r w:rsidRPr="00097A86">
              <w:t>7</w:t>
            </w:r>
          </w:p>
        </w:tc>
        <w:tc>
          <w:tcPr>
            <w:tcW w:w="767" w:type="pct"/>
            <w:shd w:val="clear" w:color="auto" w:fill="auto"/>
          </w:tcPr>
          <w:p w14:paraId="7A676DF2" w14:textId="77777777" w:rsidR="008F16F2" w:rsidRPr="00097A86" w:rsidRDefault="008F16F2" w:rsidP="00D22D3F">
            <w:pPr>
              <w:pStyle w:val="Tabletext"/>
            </w:pPr>
            <w:r w:rsidRPr="00097A86">
              <w:t>9</w:t>
            </w:r>
          </w:p>
        </w:tc>
      </w:tr>
      <w:tr w:rsidR="008F16F2" w:rsidRPr="00097A86" w14:paraId="36106B41" w14:textId="77777777" w:rsidTr="00C20CC2">
        <w:tc>
          <w:tcPr>
            <w:tcW w:w="424" w:type="pct"/>
            <w:shd w:val="clear" w:color="auto" w:fill="auto"/>
          </w:tcPr>
          <w:p w14:paraId="13D3EFA2" w14:textId="77777777" w:rsidR="008F16F2" w:rsidRPr="00097A86" w:rsidRDefault="008F16F2" w:rsidP="00D22D3F">
            <w:pPr>
              <w:pStyle w:val="Tabletext"/>
            </w:pPr>
            <w:r w:rsidRPr="00097A86">
              <w:t>35</w:t>
            </w:r>
          </w:p>
        </w:tc>
        <w:tc>
          <w:tcPr>
            <w:tcW w:w="3051" w:type="pct"/>
            <w:shd w:val="clear" w:color="auto" w:fill="auto"/>
          </w:tcPr>
          <w:p w14:paraId="449CDDF6" w14:textId="77777777" w:rsidR="008F16F2" w:rsidRPr="00097A86" w:rsidRDefault="008F16F2" w:rsidP="00D22D3F">
            <w:pPr>
              <w:pStyle w:val="Tabletext"/>
            </w:pPr>
            <w:r w:rsidRPr="00097A86">
              <w:t>Gasoline (other than for use as fuel in an aircraft)</w:t>
            </w:r>
          </w:p>
        </w:tc>
        <w:tc>
          <w:tcPr>
            <w:tcW w:w="758" w:type="pct"/>
            <w:gridSpan w:val="2"/>
            <w:shd w:val="clear" w:color="auto" w:fill="auto"/>
          </w:tcPr>
          <w:p w14:paraId="50FC047A" w14:textId="77777777" w:rsidR="008F16F2" w:rsidRPr="00097A86" w:rsidRDefault="008F16F2" w:rsidP="00D22D3F">
            <w:pPr>
              <w:pStyle w:val="Tabletext"/>
            </w:pPr>
            <w:r w:rsidRPr="00097A86">
              <w:t>3</w:t>
            </w:r>
          </w:p>
        </w:tc>
        <w:tc>
          <w:tcPr>
            <w:tcW w:w="767" w:type="pct"/>
            <w:shd w:val="clear" w:color="auto" w:fill="auto"/>
          </w:tcPr>
          <w:p w14:paraId="6F449B8D" w14:textId="77777777" w:rsidR="008F16F2" w:rsidRPr="00097A86" w:rsidRDefault="008F16F2" w:rsidP="00D22D3F">
            <w:pPr>
              <w:pStyle w:val="Tabletext"/>
            </w:pPr>
            <w:r w:rsidRPr="00097A86">
              <w:t>4</w:t>
            </w:r>
          </w:p>
        </w:tc>
      </w:tr>
      <w:tr w:rsidR="008F16F2" w:rsidRPr="00097A86" w14:paraId="1DEBBC1C" w14:textId="77777777" w:rsidTr="00C20CC2">
        <w:tc>
          <w:tcPr>
            <w:tcW w:w="424" w:type="pct"/>
            <w:shd w:val="clear" w:color="auto" w:fill="auto"/>
          </w:tcPr>
          <w:p w14:paraId="2EEF8058" w14:textId="77777777" w:rsidR="008F16F2" w:rsidRPr="00097A86" w:rsidRDefault="008F16F2" w:rsidP="00D22D3F">
            <w:pPr>
              <w:pStyle w:val="Tabletext"/>
            </w:pPr>
            <w:r w:rsidRPr="00097A86">
              <w:t>36</w:t>
            </w:r>
          </w:p>
        </w:tc>
        <w:tc>
          <w:tcPr>
            <w:tcW w:w="3051" w:type="pct"/>
            <w:shd w:val="clear" w:color="auto" w:fill="auto"/>
          </w:tcPr>
          <w:p w14:paraId="351B80BE" w14:textId="77777777" w:rsidR="008F16F2" w:rsidRPr="00097A86" w:rsidRDefault="008F16F2" w:rsidP="00D22D3F">
            <w:pPr>
              <w:pStyle w:val="Tabletext"/>
            </w:pPr>
            <w:r w:rsidRPr="00097A86">
              <w:t>Gasoline for use as fuel in an aircraft</w:t>
            </w:r>
          </w:p>
        </w:tc>
        <w:tc>
          <w:tcPr>
            <w:tcW w:w="758" w:type="pct"/>
            <w:gridSpan w:val="2"/>
            <w:shd w:val="clear" w:color="auto" w:fill="auto"/>
          </w:tcPr>
          <w:p w14:paraId="7B26CB84" w14:textId="77777777" w:rsidR="008F16F2" w:rsidRPr="00097A86" w:rsidRDefault="008F16F2" w:rsidP="00D22D3F">
            <w:pPr>
              <w:pStyle w:val="Tabletext"/>
            </w:pPr>
            <w:r w:rsidRPr="00097A86">
              <w:t>3</w:t>
            </w:r>
          </w:p>
        </w:tc>
        <w:tc>
          <w:tcPr>
            <w:tcW w:w="767" w:type="pct"/>
            <w:shd w:val="clear" w:color="auto" w:fill="auto"/>
          </w:tcPr>
          <w:p w14:paraId="1A5A86A2" w14:textId="77777777" w:rsidR="008F16F2" w:rsidRPr="00097A86" w:rsidRDefault="008F16F2" w:rsidP="00D22D3F">
            <w:pPr>
              <w:pStyle w:val="Tabletext"/>
            </w:pPr>
            <w:r w:rsidRPr="00097A86">
              <w:t>4</w:t>
            </w:r>
          </w:p>
        </w:tc>
      </w:tr>
      <w:tr w:rsidR="008F16F2" w:rsidRPr="00097A86" w14:paraId="74F7E3F5" w14:textId="77777777" w:rsidTr="00C20CC2">
        <w:tc>
          <w:tcPr>
            <w:tcW w:w="424" w:type="pct"/>
            <w:shd w:val="clear" w:color="auto" w:fill="auto"/>
          </w:tcPr>
          <w:p w14:paraId="779C4E0B" w14:textId="77777777" w:rsidR="008F16F2" w:rsidRPr="00097A86" w:rsidRDefault="008F16F2" w:rsidP="00D22D3F">
            <w:pPr>
              <w:pStyle w:val="Tabletext"/>
            </w:pPr>
            <w:r w:rsidRPr="00097A86">
              <w:t>37</w:t>
            </w:r>
          </w:p>
        </w:tc>
        <w:tc>
          <w:tcPr>
            <w:tcW w:w="3051" w:type="pct"/>
            <w:shd w:val="clear" w:color="auto" w:fill="auto"/>
          </w:tcPr>
          <w:p w14:paraId="426AEDF6" w14:textId="77777777" w:rsidR="008F16F2" w:rsidRPr="00097A86" w:rsidRDefault="008F16F2" w:rsidP="00D22D3F">
            <w:pPr>
              <w:pStyle w:val="Tabletext"/>
            </w:pPr>
            <w:r w:rsidRPr="00097A86">
              <w:t>Kerosene (other than for use as fuel in an aircraft)</w:t>
            </w:r>
          </w:p>
        </w:tc>
        <w:tc>
          <w:tcPr>
            <w:tcW w:w="758" w:type="pct"/>
            <w:gridSpan w:val="2"/>
            <w:shd w:val="clear" w:color="auto" w:fill="auto"/>
          </w:tcPr>
          <w:p w14:paraId="1B37DAD9" w14:textId="77777777" w:rsidR="008F16F2" w:rsidRPr="00097A86" w:rsidRDefault="008F16F2" w:rsidP="00D22D3F">
            <w:pPr>
              <w:pStyle w:val="Tabletext"/>
            </w:pPr>
            <w:r w:rsidRPr="00097A86">
              <w:t>3</w:t>
            </w:r>
          </w:p>
        </w:tc>
        <w:tc>
          <w:tcPr>
            <w:tcW w:w="767" w:type="pct"/>
            <w:shd w:val="clear" w:color="auto" w:fill="auto"/>
          </w:tcPr>
          <w:p w14:paraId="48D38090" w14:textId="77777777" w:rsidR="008F16F2" w:rsidRPr="00097A86" w:rsidRDefault="008F16F2" w:rsidP="00D22D3F">
            <w:pPr>
              <w:pStyle w:val="Tabletext"/>
            </w:pPr>
            <w:r w:rsidRPr="00097A86">
              <w:t>2</w:t>
            </w:r>
          </w:p>
        </w:tc>
      </w:tr>
      <w:tr w:rsidR="008F16F2" w:rsidRPr="00097A86" w14:paraId="0F8F283E" w14:textId="77777777" w:rsidTr="00C20CC2">
        <w:tc>
          <w:tcPr>
            <w:tcW w:w="424" w:type="pct"/>
            <w:shd w:val="clear" w:color="auto" w:fill="auto"/>
          </w:tcPr>
          <w:p w14:paraId="64F1316D" w14:textId="77777777" w:rsidR="008F16F2" w:rsidRPr="00097A86" w:rsidRDefault="008F16F2" w:rsidP="00D22D3F">
            <w:pPr>
              <w:pStyle w:val="Tabletext"/>
            </w:pPr>
            <w:r w:rsidRPr="00097A86">
              <w:t>38</w:t>
            </w:r>
          </w:p>
        </w:tc>
        <w:tc>
          <w:tcPr>
            <w:tcW w:w="3051" w:type="pct"/>
            <w:shd w:val="clear" w:color="auto" w:fill="auto"/>
          </w:tcPr>
          <w:p w14:paraId="14021385" w14:textId="77777777" w:rsidR="008F16F2" w:rsidRPr="00097A86" w:rsidRDefault="008F16F2" w:rsidP="00D22D3F">
            <w:pPr>
              <w:pStyle w:val="Tabletext"/>
            </w:pPr>
            <w:r w:rsidRPr="00097A86">
              <w:t>Kerosene for use as fuel in an aircraft</w:t>
            </w:r>
          </w:p>
        </w:tc>
        <w:tc>
          <w:tcPr>
            <w:tcW w:w="758" w:type="pct"/>
            <w:gridSpan w:val="2"/>
            <w:shd w:val="clear" w:color="auto" w:fill="auto"/>
          </w:tcPr>
          <w:p w14:paraId="2EB37E87" w14:textId="77777777" w:rsidR="008F16F2" w:rsidRPr="00097A86" w:rsidRDefault="008F16F2" w:rsidP="00D22D3F">
            <w:pPr>
              <w:pStyle w:val="Tabletext"/>
            </w:pPr>
            <w:r w:rsidRPr="00097A86">
              <w:t>3</w:t>
            </w:r>
          </w:p>
        </w:tc>
        <w:tc>
          <w:tcPr>
            <w:tcW w:w="767" w:type="pct"/>
            <w:shd w:val="clear" w:color="auto" w:fill="auto"/>
          </w:tcPr>
          <w:p w14:paraId="3709D723" w14:textId="77777777" w:rsidR="008F16F2" w:rsidRPr="00097A86" w:rsidRDefault="008F16F2" w:rsidP="00D22D3F">
            <w:pPr>
              <w:pStyle w:val="Tabletext"/>
            </w:pPr>
            <w:r w:rsidRPr="00097A86">
              <w:t>3</w:t>
            </w:r>
          </w:p>
        </w:tc>
      </w:tr>
      <w:tr w:rsidR="008F16F2" w:rsidRPr="00097A86" w14:paraId="566FF8E4" w14:textId="77777777" w:rsidTr="00C20CC2">
        <w:tc>
          <w:tcPr>
            <w:tcW w:w="424" w:type="pct"/>
            <w:shd w:val="clear" w:color="auto" w:fill="auto"/>
          </w:tcPr>
          <w:p w14:paraId="020793CA" w14:textId="77777777" w:rsidR="008F16F2" w:rsidRPr="00097A86" w:rsidRDefault="008F16F2" w:rsidP="00D22D3F">
            <w:pPr>
              <w:pStyle w:val="Tabletext"/>
            </w:pPr>
            <w:r w:rsidRPr="00097A86">
              <w:t>39</w:t>
            </w:r>
          </w:p>
        </w:tc>
        <w:tc>
          <w:tcPr>
            <w:tcW w:w="3051" w:type="pct"/>
            <w:shd w:val="clear" w:color="auto" w:fill="auto"/>
          </w:tcPr>
          <w:p w14:paraId="77BD67DF" w14:textId="77777777" w:rsidR="008F16F2" w:rsidRPr="00097A86" w:rsidRDefault="008F16F2" w:rsidP="00D22D3F">
            <w:pPr>
              <w:pStyle w:val="Tabletext"/>
            </w:pPr>
            <w:r w:rsidRPr="00097A86">
              <w:t>Heating oil</w:t>
            </w:r>
          </w:p>
        </w:tc>
        <w:tc>
          <w:tcPr>
            <w:tcW w:w="758" w:type="pct"/>
            <w:gridSpan w:val="2"/>
            <w:shd w:val="clear" w:color="auto" w:fill="auto"/>
          </w:tcPr>
          <w:p w14:paraId="3846DEC2" w14:textId="77777777" w:rsidR="008F16F2" w:rsidRPr="00097A86" w:rsidRDefault="008F16F2" w:rsidP="00D22D3F">
            <w:pPr>
              <w:pStyle w:val="Tabletext"/>
            </w:pPr>
            <w:r w:rsidRPr="00097A86">
              <w:t>5</w:t>
            </w:r>
          </w:p>
        </w:tc>
        <w:tc>
          <w:tcPr>
            <w:tcW w:w="767" w:type="pct"/>
            <w:shd w:val="clear" w:color="auto" w:fill="auto"/>
          </w:tcPr>
          <w:p w14:paraId="11DC95EA" w14:textId="77777777" w:rsidR="008F16F2" w:rsidRPr="00097A86" w:rsidRDefault="008F16F2" w:rsidP="00D22D3F">
            <w:pPr>
              <w:pStyle w:val="Tabletext"/>
            </w:pPr>
            <w:r w:rsidRPr="00097A86">
              <w:t>2</w:t>
            </w:r>
          </w:p>
        </w:tc>
      </w:tr>
      <w:tr w:rsidR="008F16F2" w:rsidRPr="00097A86" w14:paraId="45382992" w14:textId="77777777" w:rsidTr="00C20CC2">
        <w:tc>
          <w:tcPr>
            <w:tcW w:w="424" w:type="pct"/>
            <w:shd w:val="clear" w:color="auto" w:fill="auto"/>
          </w:tcPr>
          <w:p w14:paraId="20AC163A" w14:textId="77777777" w:rsidR="008F16F2" w:rsidRPr="00097A86" w:rsidRDefault="008F16F2" w:rsidP="00D22D3F">
            <w:pPr>
              <w:pStyle w:val="Tabletext"/>
            </w:pPr>
            <w:r w:rsidRPr="00097A86">
              <w:t>40</w:t>
            </w:r>
          </w:p>
        </w:tc>
        <w:tc>
          <w:tcPr>
            <w:tcW w:w="3051" w:type="pct"/>
            <w:shd w:val="clear" w:color="auto" w:fill="auto"/>
          </w:tcPr>
          <w:p w14:paraId="04DD68EB" w14:textId="77777777" w:rsidR="008F16F2" w:rsidRPr="00097A86" w:rsidRDefault="008F16F2" w:rsidP="00D22D3F">
            <w:pPr>
              <w:pStyle w:val="Tabletext"/>
            </w:pPr>
            <w:r w:rsidRPr="00097A86">
              <w:t>Diesel oil</w:t>
            </w:r>
          </w:p>
        </w:tc>
        <w:tc>
          <w:tcPr>
            <w:tcW w:w="758" w:type="pct"/>
            <w:gridSpan w:val="2"/>
            <w:shd w:val="clear" w:color="auto" w:fill="auto"/>
          </w:tcPr>
          <w:p w14:paraId="3D0EBB8A" w14:textId="77777777" w:rsidR="008F16F2" w:rsidRPr="00097A86" w:rsidRDefault="008F16F2" w:rsidP="00D22D3F">
            <w:pPr>
              <w:pStyle w:val="Tabletext"/>
            </w:pPr>
            <w:r w:rsidRPr="00097A86">
              <w:t>2</w:t>
            </w:r>
          </w:p>
        </w:tc>
        <w:tc>
          <w:tcPr>
            <w:tcW w:w="767" w:type="pct"/>
            <w:shd w:val="clear" w:color="auto" w:fill="auto"/>
          </w:tcPr>
          <w:p w14:paraId="793D7180" w14:textId="77777777" w:rsidR="008F16F2" w:rsidRPr="00097A86" w:rsidRDefault="008F16F2" w:rsidP="00D22D3F">
            <w:pPr>
              <w:pStyle w:val="Tabletext"/>
            </w:pPr>
            <w:r w:rsidRPr="00097A86">
              <w:t>2</w:t>
            </w:r>
          </w:p>
        </w:tc>
      </w:tr>
      <w:tr w:rsidR="008F16F2" w:rsidRPr="00097A86" w14:paraId="1C9102A8" w14:textId="77777777" w:rsidTr="00C20CC2">
        <w:tc>
          <w:tcPr>
            <w:tcW w:w="424" w:type="pct"/>
            <w:shd w:val="clear" w:color="auto" w:fill="auto"/>
          </w:tcPr>
          <w:p w14:paraId="169F9970" w14:textId="77777777" w:rsidR="008F16F2" w:rsidRPr="00097A86" w:rsidRDefault="008F16F2" w:rsidP="00D22D3F">
            <w:pPr>
              <w:pStyle w:val="Tabletext"/>
            </w:pPr>
            <w:r w:rsidRPr="00097A86">
              <w:t>41</w:t>
            </w:r>
          </w:p>
        </w:tc>
        <w:tc>
          <w:tcPr>
            <w:tcW w:w="3051" w:type="pct"/>
            <w:shd w:val="clear" w:color="auto" w:fill="auto"/>
          </w:tcPr>
          <w:p w14:paraId="03CE1789" w14:textId="77777777" w:rsidR="008F16F2" w:rsidRPr="00097A86" w:rsidRDefault="008F16F2" w:rsidP="00D22D3F">
            <w:pPr>
              <w:pStyle w:val="Tabletext"/>
            </w:pPr>
            <w:r w:rsidRPr="00097A86">
              <w:t>Fuel oil</w:t>
            </w:r>
          </w:p>
        </w:tc>
        <w:tc>
          <w:tcPr>
            <w:tcW w:w="758" w:type="pct"/>
            <w:gridSpan w:val="2"/>
            <w:shd w:val="clear" w:color="auto" w:fill="auto"/>
          </w:tcPr>
          <w:p w14:paraId="14699EF1" w14:textId="77777777" w:rsidR="008F16F2" w:rsidRPr="00097A86" w:rsidRDefault="008F16F2" w:rsidP="00D22D3F">
            <w:pPr>
              <w:pStyle w:val="Tabletext"/>
            </w:pPr>
            <w:r w:rsidRPr="00097A86">
              <w:t>2</w:t>
            </w:r>
          </w:p>
        </w:tc>
        <w:tc>
          <w:tcPr>
            <w:tcW w:w="767" w:type="pct"/>
            <w:shd w:val="clear" w:color="auto" w:fill="auto"/>
          </w:tcPr>
          <w:p w14:paraId="3303318F" w14:textId="77777777" w:rsidR="008F16F2" w:rsidRPr="00097A86" w:rsidRDefault="008F16F2" w:rsidP="00D22D3F">
            <w:pPr>
              <w:pStyle w:val="Tabletext"/>
            </w:pPr>
            <w:r w:rsidRPr="00097A86">
              <w:t>2</w:t>
            </w:r>
          </w:p>
        </w:tc>
      </w:tr>
      <w:tr w:rsidR="008F16F2" w:rsidRPr="00097A86" w14:paraId="5903C4F3" w14:textId="77777777" w:rsidTr="00C20CC2">
        <w:tc>
          <w:tcPr>
            <w:tcW w:w="424" w:type="pct"/>
            <w:shd w:val="clear" w:color="auto" w:fill="auto"/>
          </w:tcPr>
          <w:p w14:paraId="021FBA5B" w14:textId="77777777" w:rsidR="008F16F2" w:rsidRPr="00097A86" w:rsidRDefault="008F16F2" w:rsidP="00D22D3F">
            <w:pPr>
              <w:pStyle w:val="Tabletext"/>
            </w:pPr>
            <w:r w:rsidRPr="00097A86">
              <w:t>42</w:t>
            </w:r>
          </w:p>
        </w:tc>
        <w:tc>
          <w:tcPr>
            <w:tcW w:w="3051" w:type="pct"/>
            <w:shd w:val="clear" w:color="auto" w:fill="auto"/>
          </w:tcPr>
          <w:p w14:paraId="163CE7F0" w14:textId="77777777" w:rsidR="008F16F2" w:rsidRPr="00097A86" w:rsidRDefault="008F16F2" w:rsidP="00D22D3F">
            <w:pPr>
              <w:pStyle w:val="Tabletext"/>
            </w:pPr>
            <w:r w:rsidRPr="00097A86">
              <w:t>Liquefied aromatic hydrocarbons</w:t>
            </w:r>
          </w:p>
        </w:tc>
        <w:tc>
          <w:tcPr>
            <w:tcW w:w="758" w:type="pct"/>
            <w:gridSpan w:val="2"/>
            <w:shd w:val="clear" w:color="auto" w:fill="auto"/>
          </w:tcPr>
          <w:p w14:paraId="399AA27B" w14:textId="77777777" w:rsidR="008F16F2" w:rsidRPr="00097A86" w:rsidRDefault="008F16F2" w:rsidP="00D22D3F">
            <w:pPr>
              <w:pStyle w:val="Tabletext"/>
            </w:pPr>
            <w:r w:rsidRPr="00097A86">
              <w:t>5</w:t>
            </w:r>
          </w:p>
        </w:tc>
        <w:tc>
          <w:tcPr>
            <w:tcW w:w="767" w:type="pct"/>
            <w:shd w:val="clear" w:color="auto" w:fill="auto"/>
          </w:tcPr>
          <w:p w14:paraId="7C580D51" w14:textId="77777777" w:rsidR="008F16F2" w:rsidRPr="00097A86" w:rsidRDefault="008F16F2" w:rsidP="00D22D3F">
            <w:pPr>
              <w:pStyle w:val="Tabletext"/>
            </w:pPr>
            <w:r w:rsidRPr="00097A86">
              <w:t>2</w:t>
            </w:r>
          </w:p>
        </w:tc>
      </w:tr>
      <w:tr w:rsidR="008F16F2" w:rsidRPr="00097A86" w14:paraId="1C817F34" w14:textId="77777777" w:rsidTr="00C20CC2">
        <w:tc>
          <w:tcPr>
            <w:tcW w:w="424" w:type="pct"/>
            <w:shd w:val="clear" w:color="auto" w:fill="auto"/>
          </w:tcPr>
          <w:p w14:paraId="00A7871B" w14:textId="77777777" w:rsidR="008F16F2" w:rsidRPr="00097A86" w:rsidRDefault="008F16F2" w:rsidP="00D22D3F">
            <w:pPr>
              <w:pStyle w:val="Tabletext"/>
            </w:pPr>
            <w:r w:rsidRPr="00097A86">
              <w:t>43</w:t>
            </w:r>
          </w:p>
        </w:tc>
        <w:tc>
          <w:tcPr>
            <w:tcW w:w="3051" w:type="pct"/>
            <w:shd w:val="clear" w:color="auto" w:fill="auto"/>
          </w:tcPr>
          <w:p w14:paraId="35F6CEB5" w14:textId="77777777" w:rsidR="008F16F2" w:rsidRPr="00097A86" w:rsidRDefault="008F16F2" w:rsidP="00D22D3F">
            <w:pPr>
              <w:pStyle w:val="Tabletext"/>
            </w:pPr>
            <w:r w:rsidRPr="00097A86">
              <w:t>Solvents if mineral turpentine or white spirits</w:t>
            </w:r>
          </w:p>
        </w:tc>
        <w:tc>
          <w:tcPr>
            <w:tcW w:w="758" w:type="pct"/>
            <w:gridSpan w:val="2"/>
            <w:shd w:val="clear" w:color="auto" w:fill="auto"/>
          </w:tcPr>
          <w:p w14:paraId="5864BC90" w14:textId="77777777" w:rsidR="008F16F2" w:rsidRPr="00097A86" w:rsidRDefault="008F16F2" w:rsidP="00D22D3F">
            <w:pPr>
              <w:pStyle w:val="Tabletext"/>
            </w:pPr>
            <w:r w:rsidRPr="00097A86">
              <w:t>18</w:t>
            </w:r>
          </w:p>
        </w:tc>
        <w:tc>
          <w:tcPr>
            <w:tcW w:w="767" w:type="pct"/>
            <w:shd w:val="clear" w:color="auto" w:fill="auto"/>
          </w:tcPr>
          <w:p w14:paraId="2BA2B834" w14:textId="77777777" w:rsidR="008F16F2" w:rsidRPr="00097A86" w:rsidRDefault="008F16F2" w:rsidP="00D22D3F">
            <w:pPr>
              <w:pStyle w:val="Tabletext"/>
            </w:pPr>
            <w:r w:rsidRPr="00097A86">
              <w:t>2</w:t>
            </w:r>
          </w:p>
        </w:tc>
      </w:tr>
      <w:tr w:rsidR="008F16F2" w:rsidRPr="00097A86" w14:paraId="701E6209" w14:textId="77777777" w:rsidTr="00C20CC2">
        <w:tc>
          <w:tcPr>
            <w:tcW w:w="424" w:type="pct"/>
            <w:shd w:val="clear" w:color="auto" w:fill="auto"/>
          </w:tcPr>
          <w:p w14:paraId="2EF9BF57" w14:textId="77777777" w:rsidR="008F16F2" w:rsidRPr="00097A86" w:rsidRDefault="008F16F2" w:rsidP="00D22D3F">
            <w:pPr>
              <w:pStyle w:val="Tabletext"/>
            </w:pPr>
            <w:r w:rsidRPr="00097A86">
              <w:t>44</w:t>
            </w:r>
          </w:p>
        </w:tc>
        <w:tc>
          <w:tcPr>
            <w:tcW w:w="3051" w:type="pct"/>
            <w:shd w:val="clear" w:color="auto" w:fill="auto"/>
          </w:tcPr>
          <w:p w14:paraId="3E2E3117" w14:textId="77777777" w:rsidR="008F16F2" w:rsidRPr="00097A86" w:rsidRDefault="008F16F2" w:rsidP="00D22D3F">
            <w:pPr>
              <w:pStyle w:val="Tabletext"/>
            </w:pPr>
            <w:r w:rsidRPr="00097A86">
              <w:t>Liquid petroleum gas</w:t>
            </w:r>
          </w:p>
        </w:tc>
        <w:tc>
          <w:tcPr>
            <w:tcW w:w="758" w:type="pct"/>
            <w:gridSpan w:val="2"/>
            <w:shd w:val="clear" w:color="auto" w:fill="auto"/>
          </w:tcPr>
          <w:p w14:paraId="0D1E19F2" w14:textId="77777777" w:rsidR="008F16F2" w:rsidRPr="00097A86" w:rsidRDefault="008F16F2" w:rsidP="00D22D3F">
            <w:pPr>
              <w:pStyle w:val="Tabletext"/>
            </w:pPr>
            <w:r w:rsidRPr="00097A86">
              <w:t>8</w:t>
            </w:r>
          </w:p>
        </w:tc>
        <w:tc>
          <w:tcPr>
            <w:tcW w:w="767" w:type="pct"/>
            <w:shd w:val="clear" w:color="auto" w:fill="auto"/>
          </w:tcPr>
          <w:p w14:paraId="56D6238B" w14:textId="77777777" w:rsidR="008F16F2" w:rsidRPr="00097A86" w:rsidRDefault="008F16F2" w:rsidP="00D22D3F">
            <w:pPr>
              <w:pStyle w:val="Tabletext"/>
            </w:pPr>
            <w:r w:rsidRPr="00097A86">
              <w:t>3</w:t>
            </w:r>
          </w:p>
        </w:tc>
      </w:tr>
      <w:tr w:rsidR="008F16F2" w:rsidRPr="00097A86" w14:paraId="47640E25" w14:textId="77777777" w:rsidTr="00C20CC2">
        <w:tc>
          <w:tcPr>
            <w:tcW w:w="424" w:type="pct"/>
            <w:shd w:val="clear" w:color="auto" w:fill="auto"/>
          </w:tcPr>
          <w:p w14:paraId="58A3EB9A" w14:textId="77777777" w:rsidR="008F16F2" w:rsidRPr="00097A86" w:rsidRDefault="008F16F2" w:rsidP="00D22D3F">
            <w:pPr>
              <w:pStyle w:val="Tabletext"/>
            </w:pPr>
            <w:r w:rsidRPr="00097A86">
              <w:t>45</w:t>
            </w:r>
          </w:p>
        </w:tc>
        <w:tc>
          <w:tcPr>
            <w:tcW w:w="3051" w:type="pct"/>
            <w:shd w:val="clear" w:color="auto" w:fill="auto"/>
          </w:tcPr>
          <w:p w14:paraId="2392685C" w14:textId="77777777" w:rsidR="008F16F2" w:rsidRPr="00097A86" w:rsidRDefault="008F16F2" w:rsidP="00D22D3F">
            <w:pPr>
              <w:pStyle w:val="Tabletext"/>
            </w:pPr>
            <w:r w:rsidRPr="00097A86">
              <w:t>Naphtha</w:t>
            </w:r>
          </w:p>
        </w:tc>
        <w:tc>
          <w:tcPr>
            <w:tcW w:w="758" w:type="pct"/>
            <w:gridSpan w:val="2"/>
            <w:shd w:val="clear" w:color="auto" w:fill="auto"/>
          </w:tcPr>
          <w:p w14:paraId="42BA5D1A" w14:textId="77777777" w:rsidR="008F16F2" w:rsidRPr="00097A86" w:rsidRDefault="008F16F2" w:rsidP="00D22D3F">
            <w:pPr>
              <w:pStyle w:val="Tabletext"/>
            </w:pPr>
            <w:r w:rsidRPr="00097A86">
              <w:t>5</w:t>
            </w:r>
          </w:p>
        </w:tc>
        <w:tc>
          <w:tcPr>
            <w:tcW w:w="767" w:type="pct"/>
            <w:shd w:val="clear" w:color="auto" w:fill="auto"/>
          </w:tcPr>
          <w:p w14:paraId="02927375" w14:textId="77777777" w:rsidR="008F16F2" w:rsidRPr="00097A86" w:rsidRDefault="008F16F2" w:rsidP="00D22D3F">
            <w:pPr>
              <w:pStyle w:val="Tabletext"/>
            </w:pPr>
            <w:r w:rsidRPr="00097A86">
              <w:t>5</w:t>
            </w:r>
          </w:p>
        </w:tc>
      </w:tr>
      <w:tr w:rsidR="008F16F2" w:rsidRPr="00097A86" w14:paraId="40C62AAF" w14:textId="77777777" w:rsidTr="00C20CC2">
        <w:tc>
          <w:tcPr>
            <w:tcW w:w="424" w:type="pct"/>
            <w:shd w:val="clear" w:color="auto" w:fill="auto"/>
          </w:tcPr>
          <w:p w14:paraId="647F7596" w14:textId="77777777" w:rsidR="008F16F2" w:rsidRPr="00097A86" w:rsidRDefault="008F16F2" w:rsidP="00D22D3F">
            <w:pPr>
              <w:pStyle w:val="Tabletext"/>
            </w:pPr>
            <w:r w:rsidRPr="00097A86">
              <w:t>46</w:t>
            </w:r>
          </w:p>
        </w:tc>
        <w:tc>
          <w:tcPr>
            <w:tcW w:w="3051" w:type="pct"/>
            <w:shd w:val="clear" w:color="auto" w:fill="auto"/>
          </w:tcPr>
          <w:p w14:paraId="08CEEBAA" w14:textId="77777777" w:rsidR="008F16F2" w:rsidRPr="00097A86" w:rsidRDefault="008F16F2" w:rsidP="00D22D3F">
            <w:pPr>
              <w:pStyle w:val="Tabletext"/>
            </w:pPr>
            <w:r w:rsidRPr="00097A86">
              <w:t>Petroleum coke</w:t>
            </w:r>
          </w:p>
        </w:tc>
        <w:tc>
          <w:tcPr>
            <w:tcW w:w="758" w:type="pct"/>
            <w:gridSpan w:val="2"/>
            <w:shd w:val="clear" w:color="auto" w:fill="auto"/>
          </w:tcPr>
          <w:p w14:paraId="05338904" w14:textId="77777777" w:rsidR="008F16F2" w:rsidRPr="00097A86" w:rsidRDefault="008F16F2" w:rsidP="00D22D3F">
            <w:pPr>
              <w:pStyle w:val="Tabletext"/>
            </w:pPr>
            <w:r w:rsidRPr="00097A86">
              <w:t>19</w:t>
            </w:r>
          </w:p>
        </w:tc>
        <w:tc>
          <w:tcPr>
            <w:tcW w:w="767" w:type="pct"/>
            <w:shd w:val="clear" w:color="auto" w:fill="auto"/>
          </w:tcPr>
          <w:p w14:paraId="251C1108" w14:textId="77777777" w:rsidR="008F16F2" w:rsidRPr="00097A86" w:rsidRDefault="008F16F2" w:rsidP="00D22D3F">
            <w:pPr>
              <w:pStyle w:val="Tabletext"/>
            </w:pPr>
            <w:r w:rsidRPr="00097A86">
              <w:t>17</w:t>
            </w:r>
          </w:p>
        </w:tc>
      </w:tr>
      <w:tr w:rsidR="008F16F2" w:rsidRPr="00097A86" w14:paraId="4DCF26C9" w14:textId="77777777" w:rsidTr="00C20CC2">
        <w:tc>
          <w:tcPr>
            <w:tcW w:w="424" w:type="pct"/>
            <w:shd w:val="clear" w:color="auto" w:fill="auto"/>
          </w:tcPr>
          <w:p w14:paraId="0D60600E" w14:textId="77777777" w:rsidR="008F16F2" w:rsidRPr="00097A86" w:rsidRDefault="008F16F2" w:rsidP="00D22D3F">
            <w:pPr>
              <w:pStyle w:val="Tabletext"/>
            </w:pPr>
            <w:r w:rsidRPr="00097A86">
              <w:t>47</w:t>
            </w:r>
          </w:p>
        </w:tc>
        <w:tc>
          <w:tcPr>
            <w:tcW w:w="3051" w:type="pct"/>
            <w:shd w:val="clear" w:color="auto" w:fill="auto"/>
          </w:tcPr>
          <w:p w14:paraId="4551C2D1" w14:textId="77777777" w:rsidR="008F16F2" w:rsidRPr="00097A86" w:rsidRDefault="008F16F2" w:rsidP="00D22D3F">
            <w:pPr>
              <w:pStyle w:val="Tabletext"/>
            </w:pPr>
            <w:r w:rsidRPr="00097A86">
              <w:t>Refinery gas and liquids</w:t>
            </w:r>
          </w:p>
        </w:tc>
        <w:tc>
          <w:tcPr>
            <w:tcW w:w="758" w:type="pct"/>
            <w:gridSpan w:val="2"/>
            <w:shd w:val="clear" w:color="auto" w:fill="auto"/>
          </w:tcPr>
          <w:p w14:paraId="6CAB9B92" w14:textId="77777777" w:rsidR="008F16F2" w:rsidRPr="00097A86" w:rsidRDefault="008F16F2" w:rsidP="00D22D3F">
            <w:pPr>
              <w:pStyle w:val="Tabletext"/>
            </w:pPr>
            <w:r w:rsidRPr="00097A86">
              <w:t>19</w:t>
            </w:r>
          </w:p>
        </w:tc>
        <w:tc>
          <w:tcPr>
            <w:tcW w:w="767" w:type="pct"/>
            <w:shd w:val="clear" w:color="auto" w:fill="auto"/>
          </w:tcPr>
          <w:p w14:paraId="0E7C3377" w14:textId="77777777" w:rsidR="008F16F2" w:rsidRPr="00097A86" w:rsidRDefault="008F16F2" w:rsidP="00D22D3F">
            <w:pPr>
              <w:pStyle w:val="Tabletext"/>
            </w:pPr>
            <w:r w:rsidRPr="00097A86">
              <w:t>18</w:t>
            </w:r>
          </w:p>
        </w:tc>
      </w:tr>
      <w:tr w:rsidR="008F16F2" w:rsidRPr="00097A86" w14:paraId="32A4EAC2" w14:textId="77777777" w:rsidTr="00C20CC2">
        <w:tc>
          <w:tcPr>
            <w:tcW w:w="424" w:type="pct"/>
            <w:shd w:val="clear" w:color="auto" w:fill="auto"/>
          </w:tcPr>
          <w:p w14:paraId="1F0FBC99" w14:textId="77777777" w:rsidR="008F16F2" w:rsidRPr="00097A86" w:rsidRDefault="008F16F2" w:rsidP="00D22D3F">
            <w:pPr>
              <w:pStyle w:val="Tabletext"/>
            </w:pPr>
            <w:r w:rsidRPr="00097A86">
              <w:t>48</w:t>
            </w:r>
          </w:p>
        </w:tc>
        <w:tc>
          <w:tcPr>
            <w:tcW w:w="3051" w:type="pct"/>
            <w:shd w:val="clear" w:color="auto" w:fill="auto"/>
          </w:tcPr>
          <w:p w14:paraId="39C2E950" w14:textId="77777777" w:rsidR="008F16F2" w:rsidRPr="00097A86" w:rsidRDefault="008F16F2" w:rsidP="00D22D3F">
            <w:pPr>
              <w:pStyle w:val="Tabletext"/>
            </w:pPr>
            <w:r w:rsidRPr="00097A86">
              <w:t>Refinery coke</w:t>
            </w:r>
          </w:p>
        </w:tc>
        <w:tc>
          <w:tcPr>
            <w:tcW w:w="758" w:type="pct"/>
            <w:gridSpan w:val="2"/>
            <w:shd w:val="clear" w:color="auto" w:fill="auto"/>
          </w:tcPr>
          <w:p w14:paraId="057D7097" w14:textId="77777777" w:rsidR="008F16F2" w:rsidRPr="00097A86" w:rsidRDefault="008F16F2" w:rsidP="00D22D3F">
            <w:pPr>
              <w:pStyle w:val="Tabletext"/>
            </w:pPr>
            <w:r w:rsidRPr="00097A86">
              <w:t>19</w:t>
            </w:r>
          </w:p>
        </w:tc>
        <w:tc>
          <w:tcPr>
            <w:tcW w:w="767" w:type="pct"/>
            <w:shd w:val="clear" w:color="auto" w:fill="auto"/>
          </w:tcPr>
          <w:p w14:paraId="3855121E" w14:textId="77777777" w:rsidR="008F16F2" w:rsidRPr="00097A86" w:rsidRDefault="008F16F2" w:rsidP="00D22D3F">
            <w:pPr>
              <w:pStyle w:val="Tabletext"/>
            </w:pPr>
            <w:r w:rsidRPr="00097A86">
              <w:t>17</w:t>
            </w:r>
          </w:p>
        </w:tc>
      </w:tr>
      <w:tr w:rsidR="008F16F2" w:rsidRPr="00097A86" w14:paraId="667C60AE" w14:textId="77777777" w:rsidTr="00C20CC2">
        <w:tc>
          <w:tcPr>
            <w:tcW w:w="424" w:type="pct"/>
            <w:shd w:val="clear" w:color="auto" w:fill="auto"/>
          </w:tcPr>
          <w:p w14:paraId="7BCED07E" w14:textId="77777777" w:rsidR="008F16F2" w:rsidRPr="00097A86" w:rsidRDefault="008F16F2" w:rsidP="00D22D3F">
            <w:pPr>
              <w:pStyle w:val="Tabletext"/>
            </w:pPr>
            <w:r w:rsidRPr="00097A86">
              <w:t>49</w:t>
            </w:r>
          </w:p>
        </w:tc>
        <w:tc>
          <w:tcPr>
            <w:tcW w:w="3051" w:type="pct"/>
            <w:shd w:val="clear" w:color="auto" w:fill="auto"/>
          </w:tcPr>
          <w:p w14:paraId="48215E92" w14:textId="77777777" w:rsidR="008F16F2" w:rsidRPr="00097A86" w:rsidRDefault="008F16F2" w:rsidP="00D22D3F">
            <w:pPr>
              <w:pStyle w:val="Tabletext"/>
            </w:pPr>
            <w:r w:rsidRPr="00097A86">
              <w:t>Petroleum based products other than:</w:t>
            </w:r>
          </w:p>
          <w:p w14:paraId="4335D6FD" w14:textId="77777777" w:rsidR="008F16F2" w:rsidRPr="00097A86" w:rsidRDefault="008F16F2" w:rsidP="00D22D3F">
            <w:pPr>
              <w:pStyle w:val="Tablea"/>
            </w:pPr>
            <w:r w:rsidRPr="00097A86">
              <w:t>(a) petroleum based oils and petroleum based greases mentioned in items</w:t>
            </w:r>
            <w:r w:rsidR="00097A86">
              <w:t> </w:t>
            </w:r>
            <w:r w:rsidRPr="00097A86">
              <w:t>31 and 32; and</w:t>
            </w:r>
          </w:p>
          <w:p w14:paraId="03857A7C" w14:textId="77777777" w:rsidR="008F16F2" w:rsidRPr="00097A86" w:rsidRDefault="008F16F2" w:rsidP="00D22D3F">
            <w:pPr>
              <w:pStyle w:val="Tablea"/>
            </w:pPr>
            <w:r w:rsidRPr="00097A86">
              <w:t>(b) the petroleum based products mentioned in items</w:t>
            </w:r>
            <w:r w:rsidR="00097A86">
              <w:t> </w:t>
            </w:r>
            <w:r w:rsidRPr="00097A86">
              <w:t>33 to 48</w:t>
            </w:r>
          </w:p>
        </w:tc>
        <w:tc>
          <w:tcPr>
            <w:tcW w:w="758" w:type="pct"/>
            <w:gridSpan w:val="2"/>
            <w:shd w:val="clear" w:color="auto" w:fill="auto"/>
          </w:tcPr>
          <w:p w14:paraId="32B8A0F8" w14:textId="77777777" w:rsidR="008F16F2" w:rsidRPr="00097A86" w:rsidRDefault="008F16F2" w:rsidP="00D22D3F">
            <w:pPr>
              <w:pStyle w:val="Tabletext"/>
            </w:pPr>
            <w:r w:rsidRPr="00097A86">
              <w:t>18</w:t>
            </w:r>
          </w:p>
        </w:tc>
        <w:tc>
          <w:tcPr>
            <w:tcW w:w="767" w:type="pct"/>
            <w:shd w:val="clear" w:color="auto" w:fill="auto"/>
          </w:tcPr>
          <w:p w14:paraId="70040D3A" w14:textId="77777777" w:rsidR="008F16F2" w:rsidRPr="00097A86" w:rsidRDefault="008F16F2" w:rsidP="00D22D3F">
            <w:pPr>
              <w:pStyle w:val="Tabletext"/>
            </w:pPr>
            <w:r w:rsidRPr="00097A86">
              <w:t>2</w:t>
            </w:r>
          </w:p>
        </w:tc>
      </w:tr>
      <w:tr w:rsidR="008F16F2" w:rsidRPr="00097A86" w14:paraId="71A92327" w14:textId="77777777" w:rsidTr="00C20CC2">
        <w:tc>
          <w:tcPr>
            <w:tcW w:w="424" w:type="pct"/>
            <w:shd w:val="clear" w:color="auto" w:fill="auto"/>
          </w:tcPr>
          <w:p w14:paraId="4C95E1BB" w14:textId="77777777" w:rsidR="008F16F2" w:rsidRPr="00097A86" w:rsidRDefault="008F16F2" w:rsidP="00D22D3F">
            <w:pPr>
              <w:pStyle w:val="Tabletext"/>
            </w:pPr>
            <w:r w:rsidRPr="00097A86">
              <w:t>50</w:t>
            </w:r>
          </w:p>
        </w:tc>
        <w:tc>
          <w:tcPr>
            <w:tcW w:w="3051" w:type="pct"/>
            <w:shd w:val="clear" w:color="auto" w:fill="auto"/>
          </w:tcPr>
          <w:p w14:paraId="2D0199B4" w14:textId="77777777" w:rsidR="008F16F2" w:rsidRPr="00097A86" w:rsidRDefault="008F16F2" w:rsidP="00D22D3F">
            <w:pPr>
              <w:pStyle w:val="Tabletext"/>
            </w:pPr>
            <w:r w:rsidRPr="00097A86">
              <w:t>Biodiesel</w:t>
            </w:r>
          </w:p>
        </w:tc>
        <w:tc>
          <w:tcPr>
            <w:tcW w:w="758" w:type="pct"/>
            <w:gridSpan w:val="2"/>
            <w:shd w:val="clear" w:color="auto" w:fill="auto"/>
          </w:tcPr>
          <w:p w14:paraId="31724EE8" w14:textId="77777777" w:rsidR="008F16F2" w:rsidRPr="00097A86" w:rsidRDefault="008F16F2" w:rsidP="00D22D3F">
            <w:pPr>
              <w:pStyle w:val="Tabletext"/>
            </w:pPr>
            <w:r w:rsidRPr="00097A86">
              <w:t>50</w:t>
            </w:r>
          </w:p>
        </w:tc>
        <w:tc>
          <w:tcPr>
            <w:tcW w:w="767" w:type="pct"/>
            <w:shd w:val="clear" w:color="auto" w:fill="auto"/>
          </w:tcPr>
          <w:p w14:paraId="0949DCD2" w14:textId="77777777" w:rsidR="008F16F2" w:rsidRPr="00097A86" w:rsidRDefault="008F16F2" w:rsidP="00D22D3F">
            <w:pPr>
              <w:pStyle w:val="Tabletext"/>
            </w:pPr>
            <w:r w:rsidRPr="00097A86">
              <w:t>NA</w:t>
            </w:r>
          </w:p>
        </w:tc>
      </w:tr>
      <w:tr w:rsidR="008F16F2" w:rsidRPr="00097A86" w14:paraId="349DEBBA" w14:textId="77777777" w:rsidTr="00C20CC2">
        <w:tc>
          <w:tcPr>
            <w:tcW w:w="424" w:type="pct"/>
            <w:tcBorders>
              <w:bottom w:val="single" w:sz="4" w:space="0" w:color="auto"/>
            </w:tcBorders>
            <w:shd w:val="clear" w:color="auto" w:fill="auto"/>
          </w:tcPr>
          <w:p w14:paraId="00B67839" w14:textId="77777777" w:rsidR="008F16F2" w:rsidRPr="00097A86" w:rsidRDefault="008F16F2" w:rsidP="00D22D3F">
            <w:pPr>
              <w:pStyle w:val="Tabletext"/>
            </w:pPr>
            <w:r w:rsidRPr="00097A86">
              <w:t>51</w:t>
            </w:r>
          </w:p>
        </w:tc>
        <w:tc>
          <w:tcPr>
            <w:tcW w:w="3051" w:type="pct"/>
            <w:tcBorders>
              <w:bottom w:val="single" w:sz="4" w:space="0" w:color="auto"/>
            </w:tcBorders>
            <w:shd w:val="clear" w:color="auto" w:fill="auto"/>
          </w:tcPr>
          <w:p w14:paraId="732EC94B" w14:textId="77777777" w:rsidR="008F16F2" w:rsidRPr="00097A86" w:rsidRDefault="008F16F2" w:rsidP="00D22D3F">
            <w:pPr>
              <w:pStyle w:val="Tabletext"/>
            </w:pPr>
            <w:r w:rsidRPr="00097A86">
              <w:t>Ethanol for use as a fuel in an internal combustion engine</w:t>
            </w:r>
          </w:p>
        </w:tc>
        <w:tc>
          <w:tcPr>
            <w:tcW w:w="758" w:type="pct"/>
            <w:gridSpan w:val="2"/>
            <w:tcBorders>
              <w:bottom w:val="single" w:sz="4" w:space="0" w:color="auto"/>
            </w:tcBorders>
            <w:shd w:val="clear" w:color="auto" w:fill="auto"/>
          </w:tcPr>
          <w:p w14:paraId="64ED30FD" w14:textId="77777777" w:rsidR="008F16F2" w:rsidRPr="00097A86" w:rsidRDefault="008F16F2" w:rsidP="00D22D3F">
            <w:pPr>
              <w:pStyle w:val="Tabletext"/>
            </w:pPr>
            <w:r w:rsidRPr="00097A86">
              <w:t>50</w:t>
            </w:r>
          </w:p>
        </w:tc>
        <w:tc>
          <w:tcPr>
            <w:tcW w:w="767" w:type="pct"/>
            <w:tcBorders>
              <w:bottom w:val="single" w:sz="4" w:space="0" w:color="auto"/>
            </w:tcBorders>
            <w:shd w:val="clear" w:color="auto" w:fill="auto"/>
          </w:tcPr>
          <w:p w14:paraId="7A7D511E" w14:textId="77777777" w:rsidR="008F16F2" w:rsidRPr="00097A86" w:rsidRDefault="008F16F2" w:rsidP="00D22D3F">
            <w:pPr>
              <w:pStyle w:val="Tabletext"/>
            </w:pPr>
            <w:r w:rsidRPr="00097A86">
              <w:t>NA</w:t>
            </w:r>
          </w:p>
        </w:tc>
      </w:tr>
      <w:tr w:rsidR="008F16F2" w:rsidRPr="00097A86" w14:paraId="43E10148" w14:textId="77777777" w:rsidTr="00C20CC2">
        <w:tc>
          <w:tcPr>
            <w:tcW w:w="424" w:type="pct"/>
            <w:tcBorders>
              <w:bottom w:val="single" w:sz="12" w:space="0" w:color="auto"/>
            </w:tcBorders>
            <w:shd w:val="clear" w:color="auto" w:fill="auto"/>
          </w:tcPr>
          <w:p w14:paraId="296913EA" w14:textId="77777777" w:rsidR="008F16F2" w:rsidRPr="00097A86" w:rsidRDefault="008F16F2" w:rsidP="00D22D3F">
            <w:pPr>
              <w:pStyle w:val="Tabletext"/>
            </w:pPr>
            <w:r w:rsidRPr="00097A86">
              <w:t>52</w:t>
            </w:r>
          </w:p>
        </w:tc>
        <w:tc>
          <w:tcPr>
            <w:tcW w:w="3051" w:type="pct"/>
            <w:tcBorders>
              <w:bottom w:val="single" w:sz="12" w:space="0" w:color="auto"/>
            </w:tcBorders>
            <w:shd w:val="clear" w:color="auto" w:fill="auto"/>
          </w:tcPr>
          <w:p w14:paraId="3F2DCD94" w14:textId="77777777" w:rsidR="008F16F2" w:rsidRPr="00097A86" w:rsidRDefault="008F16F2" w:rsidP="00D22D3F">
            <w:pPr>
              <w:pStyle w:val="Tabletext"/>
            </w:pPr>
            <w:r w:rsidRPr="00097A86">
              <w:t>Biofuels other than those mentioned in items</w:t>
            </w:r>
            <w:r w:rsidR="00097A86">
              <w:t> </w:t>
            </w:r>
            <w:r w:rsidRPr="00097A86">
              <w:t>50 and 51</w:t>
            </w:r>
          </w:p>
        </w:tc>
        <w:tc>
          <w:tcPr>
            <w:tcW w:w="758" w:type="pct"/>
            <w:gridSpan w:val="2"/>
            <w:tcBorders>
              <w:bottom w:val="single" w:sz="12" w:space="0" w:color="auto"/>
            </w:tcBorders>
            <w:shd w:val="clear" w:color="auto" w:fill="auto"/>
          </w:tcPr>
          <w:p w14:paraId="5B346AE0" w14:textId="77777777" w:rsidR="008F16F2" w:rsidRPr="00097A86" w:rsidRDefault="008F16F2" w:rsidP="00D22D3F">
            <w:pPr>
              <w:pStyle w:val="Tabletext"/>
            </w:pPr>
            <w:r w:rsidRPr="00097A86">
              <w:t>50</w:t>
            </w:r>
          </w:p>
        </w:tc>
        <w:tc>
          <w:tcPr>
            <w:tcW w:w="767" w:type="pct"/>
            <w:tcBorders>
              <w:bottom w:val="single" w:sz="12" w:space="0" w:color="auto"/>
            </w:tcBorders>
            <w:shd w:val="clear" w:color="auto" w:fill="auto"/>
          </w:tcPr>
          <w:p w14:paraId="04F4F17D" w14:textId="77777777" w:rsidR="008F16F2" w:rsidRPr="00097A86" w:rsidRDefault="008F16F2" w:rsidP="00D22D3F">
            <w:pPr>
              <w:pStyle w:val="Tabletext"/>
            </w:pPr>
            <w:r w:rsidRPr="00097A86">
              <w:t>NA</w:t>
            </w:r>
          </w:p>
        </w:tc>
      </w:tr>
    </w:tbl>
    <w:p w14:paraId="29FAFBD4" w14:textId="77777777" w:rsidR="00A96E5F" w:rsidRPr="00097A86" w:rsidRDefault="00A96E5F" w:rsidP="00D22D3F">
      <w:pPr>
        <w:pStyle w:val="subsection"/>
      </w:pPr>
      <w:r w:rsidRPr="00097A86">
        <w:tab/>
        <w:t>(2)</w:t>
      </w:r>
      <w:r w:rsidRPr="00097A86">
        <w:tab/>
        <w:t xml:space="preserve">In the table in </w:t>
      </w:r>
      <w:r w:rsidR="00097A86">
        <w:t>subsection (</w:t>
      </w:r>
      <w:r w:rsidRPr="00097A86">
        <w:t xml:space="preserve">1), </w:t>
      </w:r>
      <w:r w:rsidRPr="00097A86">
        <w:rPr>
          <w:b/>
          <w:i/>
        </w:rPr>
        <w:t>NA</w:t>
      </w:r>
      <w:r w:rsidRPr="00097A86">
        <w:t xml:space="preserve"> means not applicable.</w:t>
      </w:r>
    </w:p>
    <w:p w14:paraId="1C9BB13C" w14:textId="77777777" w:rsidR="00A96E5F" w:rsidRPr="00097A86" w:rsidRDefault="00A96E5F" w:rsidP="00D22D3F">
      <w:pPr>
        <w:pStyle w:val="subsection"/>
      </w:pPr>
      <w:r w:rsidRPr="00097A86">
        <w:tab/>
        <w:t>(3)</w:t>
      </w:r>
      <w:r w:rsidRPr="00097A86">
        <w:tab/>
        <w:t>For a fuel type specified in column 2 of an item of the following table:</w:t>
      </w:r>
    </w:p>
    <w:p w14:paraId="1BEB0DA3" w14:textId="77777777" w:rsidR="00A96E5F" w:rsidRPr="00097A86" w:rsidRDefault="00A96E5F" w:rsidP="00D22D3F">
      <w:pPr>
        <w:pStyle w:val="paragraph"/>
      </w:pPr>
      <w:r w:rsidRPr="00097A86">
        <w:tab/>
        <w:t>(a)</w:t>
      </w:r>
      <w:r w:rsidRPr="00097A86">
        <w:tab/>
        <w:t>column 3 for the item sets out the uncertainty level for the estimated quantities of fuel combusted using criterion A in Chapter</w:t>
      </w:r>
      <w:r w:rsidR="00097A86">
        <w:t> </w:t>
      </w:r>
      <w:r w:rsidRPr="00097A86">
        <w:t xml:space="preserve">2; and </w:t>
      </w:r>
    </w:p>
    <w:p w14:paraId="2376DA97" w14:textId="77777777" w:rsidR="00A96E5F" w:rsidRPr="00097A86" w:rsidRDefault="00A96E5F" w:rsidP="00D22D3F">
      <w:pPr>
        <w:pStyle w:val="paragraph"/>
      </w:pPr>
      <w:r w:rsidRPr="00097A86">
        <w:tab/>
        <w:t>(b)</w:t>
      </w:r>
      <w:r w:rsidRPr="00097A86">
        <w:tab/>
        <w:t>column 4 for the item sets out the uncertainty level for the estimated quantities of fuel combusted using criterion AA in Chapter</w:t>
      </w:r>
      <w:r w:rsidR="00097A86">
        <w:t> </w:t>
      </w:r>
      <w:r w:rsidRPr="00097A86">
        <w:t>2; and</w:t>
      </w:r>
    </w:p>
    <w:p w14:paraId="21ACAB6C" w14:textId="77777777" w:rsidR="00A96E5F" w:rsidRPr="00097A86" w:rsidRDefault="00A96E5F" w:rsidP="00D22D3F">
      <w:pPr>
        <w:pStyle w:val="paragraph"/>
      </w:pPr>
      <w:r w:rsidRPr="00097A86">
        <w:tab/>
        <w:t>(c)</w:t>
      </w:r>
      <w:r w:rsidRPr="00097A86">
        <w:tab/>
        <w:t>column 5 for the item sets out the uncertainty level for the estimated quantities of fuel combusted using criterion AAA in Chapter</w:t>
      </w:r>
      <w:r w:rsidR="00097A86">
        <w:t> </w:t>
      </w:r>
      <w:r w:rsidRPr="00097A86">
        <w:t>2; and</w:t>
      </w:r>
    </w:p>
    <w:p w14:paraId="78391C88" w14:textId="77777777" w:rsidR="00A96E5F" w:rsidRPr="00097A86" w:rsidRDefault="00A96E5F" w:rsidP="00D22D3F">
      <w:pPr>
        <w:pStyle w:val="paragraph"/>
      </w:pPr>
      <w:r w:rsidRPr="00097A86">
        <w:lastRenderedPageBreak/>
        <w:tab/>
        <w:t>(d)</w:t>
      </w:r>
      <w:r w:rsidRPr="00097A86">
        <w:tab/>
        <w:t>column 6 for the item sets out the uncertainty level for the estimated quantities of fuel combusted using criterion BBB in Chapter</w:t>
      </w:r>
      <w:r w:rsidR="00097A86">
        <w:t> </w:t>
      </w:r>
      <w:r w:rsidRPr="00097A86">
        <w:t>2.</w:t>
      </w:r>
    </w:p>
    <w:p w14:paraId="4208867E" w14:textId="77777777" w:rsidR="00A96E5F" w:rsidRPr="00097A86" w:rsidRDefault="00D22D3F" w:rsidP="00D22D3F">
      <w:pPr>
        <w:pStyle w:val="notetext"/>
      </w:pPr>
      <w:r w:rsidRPr="00097A86">
        <w:t>Note:</w:t>
      </w:r>
      <w:r w:rsidRPr="00097A86">
        <w:tab/>
      </w:r>
      <w:r w:rsidR="00A96E5F" w:rsidRPr="00097A86">
        <w:t>Division</w:t>
      </w:r>
      <w:r w:rsidR="00097A86">
        <w:t> </w:t>
      </w:r>
      <w:r w:rsidR="00A96E5F" w:rsidRPr="00097A86">
        <w:t>2.2.5 sets out the relevant criteria for solid fuels; Division</w:t>
      </w:r>
      <w:r w:rsidR="00097A86">
        <w:t> </w:t>
      </w:r>
      <w:r w:rsidR="00A96E5F" w:rsidRPr="00097A86">
        <w:t>2.3.6 sets out the relevant criteria for gaseous fuels; and Division</w:t>
      </w:r>
      <w:r w:rsidR="00097A86">
        <w:t> </w:t>
      </w:r>
      <w:r w:rsidR="00A96E5F" w:rsidRPr="00097A86">
        <w:t>2.4.6 sets out the relevant criteria for liquid fuels.</w:t>
      </w:r>
    </w:p>
    <w:p w14:paraId="5C1C57A1" w14:textId="77777777" w:rsidR="00D22D3F" w:rsidRPr="00097A86" w:rsidRDefault="00D22D3F" w:rsidP="00D22D3F">
      <w:pPr>
        <w:pStyle w:val="Tabletext"/>
      </w:pPr>
    </w:p>
    <w:tbl>
      <w:tblPr>
        <w:tblW w:w="5000" w:type="pct"/>
        <w:tblLook w:val="0000" w:firstRow="0" w:lastRow="0" w:firstColumn="0" w:lastColumn="0" w:noHBand="0" w:noVBand="0"/>
      </w:tblPr>
      <w:tblGrid>
        <w:gridCol w:w="843"/>
        <w:gridCol w:w="2168"/>
        <w:gridCol w:w="1325"/>
        <w:gridCol w:w="1325"/>
        <w:gridCol w:w="1325"/>
        <w:gridCol w:w="1327"/>
      </w:tblGrid>
      <w:tr w:rsidR="00E12A04" w:rsidRPr="00097A86" w14:paraId="455ACA51" w14:textId="77777777" w:rsidTr="00C20CC2">
        <w:trPr>
          <w:trHeight w:val="264"/>
        </w:trPr>
        <w:tc>
          <w:tcPr>
            <w:tcW w:w="507" w:type="pct"/>
            <w:vMerge w:val="restart"/>
            <w:tcBorders>
              <w:top w:val="single" w:sz="12" w:space="0" w:color="auto"/>
            </w:tcBorders>
            <w:shd w:val="clear" w:color="auto" w:fill="auto"/>
            <w:noWrap/>
          </w:tcPr>
          <w:p w14:paraId="465A9CBF" w14:textId="77777777" w:rsidR="00E12A04" w:rsidRPr="00097A86" w:rsidRDefault="00E12A04" w:rsidP="00D22D3F">
            <w:pPr>
              <w:pStyle w:val="TableHeading"/>
            </w:pPr>
            <w:r w:rsidRPr="00097A86">
              <w:t>Item</w:t>
            </w:r>
          </w:p>
        </w:tc>
        <w:tc>
          <w:tcPr>
            <w:tcW w:w="1304" w:type="pct"/>
            <w:vMerge w:val="restart"/>
            <w:tcBorders>
              <w:top w:val="single" w:sz="12" w:space="0" w:color="auto"/>
            </w:tcBorders>
            <w:shd w:val="clear" w:color="auto" w:fill="auto"/>
            <w:noWrap/>
          </w:tcPr>
          <w:p w14:paraId="1D3C1C63" w14:textId="77777777" w:rsidR="00E12A04" w:rsidRPr="00097A86" w:rsidRDefault="00E12A04" w:rsidP="00D22D3F">
            <w:pPr>
              <w:pStyle w:val="TableHeading"/>
            </w:pPr>
            <w:r w:rsidRPr="00097A86">
              <w:t xml:space="preserve">Fuel </w:t>
            </w:r>
            <w:r w:rsidR="00A84193" w:rsidRPr="00097A86">
              <w:t>type</w:t>
            </w:r>
          </w:p>
        </w:tc>
        <w:tc>
          <w:tcPr>
            <w:tcW w:w="3189" w:type="pct"/>
            <w:gridSpan w:val="4"/>
            <w:tcBorders>
              <w:top w:val="single" w:sz="12" w:space="0" w:color="auto"/>
              <w:bottom w:val="single" w:sz="4" w:space="0" w:color="auto"/>
            </w:tcBorders>
            <w:shd w:val="clear" w:color="auto" w:fill="auto"/>
            <w:noWrap/>
            <w:vAlign w:val="bottom"/>
          </w:tcPr>
          <w:p w14:paraId="2619C301" w14:textId="77777777" w:rsidR="00E12A04" w:rsidRPr="00097A86" w:rsidRDefault="00E12A04" w:rsidP="00D22D3F">
            <w:pPr>
              <w:pStyle w:val="TableHeading"/>
            </w:pPr>
            <w:r w:rsidRPr="00097A86">
              <w:t>Uncertainty levels for quantities of fuel combusted (%)</w:t>
            </w:r>
          </w:p>
        </w:tc>
      </w:tr>
      <w:tr w:rsidR="00E12A04" w:rsidRPr="00097A86" w14:paraId="388338AF" w14:textId="77777777" w:rsidTr="00C20CC2">
        <w:trPr>
          <w:trHeight w:val="264"/>
        </w:trPr>
        <w:tc>
          <w:tcPr>
            <w:tcW w:w="507" w:type="pct"/>
            <w:vMerge/>
            <w:shd w:val="clear" w:color="auto" w:fill="auto"/>
            <w:noWrap/>
            <w:vAlign w:val="bottom"/>
          </w:tcPr>
          <w:p w14:paraId="47104DCE" w14:textId="77777777" w:rsidR="00E12A04" w:rsidRPr="00097A86" w:rsidRDefault="00E12A04" w:rsidP="005E0545"/>
        </w:tc>
        <w:tc>
          <w:tcPr>
            <w:tcW w:w="1304" w:type="pct"/>
            <w:vMerge/>
            <w:shd w:val="clear" w:color="auto" w:fill="auto"/>
            <w:noWrap/>
            <w:vAlign w:val="bottom"/>
          </w:tcPr>
          <w:p w14:paraId="5785C382" w14:textId="77777777" w:rsidR="00E12A04" w:rsidRPr="00097A86" w:rsidRDefault="00E12A04" w:rsidP="005E0545"/>
        </w:tc>
        <w:tc>
          <w:tcPr>
            <w:tcW w:w="3189" w:type="pct"/>
            <w:gridSpan w:val="4"/>
            <w:tcBorders>
              <w:top w:val="single" w:sz="4" w:space="0" w:color="auto"/>
              <w:bottom w:val="single" w:sz="4" w:space="0" w:color="auto"/>
            </w:tcBorders>
            <w:shd w:val="clear" w:color="auto" w:fill="auto"/>
            <w:noWrap/>
            <w:vAlign w:val="bottom"/>
          </w:tcPr>
          <w:p w14:paraId="41AA2CBD" w14:textId="77777777" w:rsidR="00E12A04" w:rsidRPr="00097A86" w:rsidRDefault="00E12A04" w:rsidP="00D22D3F">
            <w:pPr>
              <w:pStyle w:val="TableHeading"/>
            </w:pPr>
            <w:r w:rsidRPr="00097A86">
              <w:t xml:space="preserve">Criterion used for estimation of quantity of fuel combusted </w:t>
            </w:r>
          </w:p>
        </w:tc>
      </w:tr>
      <w:tr w:rsidR="00E12A04" w:rsidRPr="00097A86" w14:paraId="0B71A70B" w14:textId="77777777" w:rsidTr="00C20CC2">
        <w:trPr>
          <w:trHeight w:val="264"/>
        </w:trPr>
        <w:tc>
          <w:tcPr>
            <w:tcW w:w="507" w:type="pct"/>
            <w:vMerge/>
            <w:tcBorders>
              <w:bottom w:val="single" w:sz="12" w:space="0" w:color="auto"/>
            </w:tcBorders>
            <w:shd w:val="clear" w:color="auto" w:fill="auto"/>
            <w:noWrap/>
            <w:vAlign w:val="bottom"/>
          </w:tcPr>
          <w:p w14:paraId="1D226C3D" w14:textId="77777777" w:rsidR="00E12A04" w:rsidRPr="00097A86" w:rsidRDefault="00E12A04" w:rsidP="005E0545"/>
        </w:tc>
        <w:tc>
          <w:tcPr>
            <w:tcW w:w="1304" w:type="pct"/>
            <w:vMerge/>
            <w:tcBorders>
              <w:bottom w:val="single" w:sz="12" w:space="0" w:color="auto"/>
            </w:tcBorders>
            <w:shd w:val="clear" w:color="auto" w:fill="auto"/>
            <w:noWrap/>
            <w:vAlign w:val="bottom"/>
          </w:tcPr>
          <w:p w14:paraId="4C9F31C2" w14:textId="77777777" w:rsidR="00E12A04" w:rsidRPr="00097A86" w:rsidRDefault="00E12A04" w:rsidP="005E0545"/>
        </w:tc>
        <w:tc>
          <w:tcPr>
            <w:tcW w:w="797" w:type="pct"/>
            <w:tcBorders>
              <w:top w:val="single" w:sz="4" w:space="0" w:color="auto"/>
              <w:bottom w:val="single" w:sz="12" w:space="0" w:color="auto"/>
            </w:tcBorders>
            <w:shd w:val="clear" w:color="auto" w:fill="auto"/>
            <w:noWrap/>
            <w:vAlign w:val="bottom"/>
          </w:tcPr>
          <w:p w14:paraId="1244B1E7" w14:textId="77777777" w:rsidR="00E12A04" w:rsidRPr="00097A86" w:rsidRDefault="00E12A04" w:rsidP="00D22D3F">
            <w:pPr>
              <w:pStyle w:val="TableHeading"/>
            </w:pPr>
            <w:r w:rsidRPr="00097A86">
              <w:t>A</w:t>
            </w:r>
          </w:p>
        </w:tc>
        <w:tc>
          <w:tcPr>
            <w:tcW w:w="797" w:type="pct"/>
            <w:tcBorders>
              <w:top w:val="single" w:sz="4" w:space="0" w:color="auto"/>
              <w:bottom w:val="single" w:sz="12" w:space="0" w:color="auto"/>
            </w:tcBorders>
            <w:shd w:val="clear" w:color="auto" w:fill="auto"/>
            <w:noWrap/>
            <w:vAlign w:val="bottom"/>
          </w:tcPr>
          <w:p w14:paraId="706996E6" w14:textId="77777777" w:rsidR="00E12A04" w:rsidRPr="00097A86" w:rsidRDefault="00E12A04" w:rsidP="00D22D3F">
            <w:pPr>
              <w:pStyle w:val="TableHeading"/>
            </w:pPr>
            <w:r w:rsidRPr="00097A86">
              <w:t>AA</w:t>
            </w:r>
          </w:p>
        </w:tc>
        <w:tc>
          <w:tcPr>
            <w:tcW w:w="797" w:type="pct"/>
            <w:tcBorders>
              <w:top w:val="single" w:sz="4" w:space="0" w:color="auto"/>
              <w:bottom w:val="single" w:sz="12" w:space="0" w:color="auto"/>
            </w:tcBorders>
            <w:shd w:val="clear" w:color="auto" w:fill="auto"/>
            <w:noWrap/>
            <w:vAlign w:val="bottom"/>
          </w:tcPr>
          <w:p w14:paraId="1DCEE74C" w14:textId="77777777" w:rsidR="00E12A04" w:rsidRPr="00097A86" w:rsidRDefault="00E12A04" w:rsidP="00D22D3F">
            <w:pPr>
              <w:pStyle w:val="TableHeading"/>
            </w:pPr>
            <w:r w:rsidRPr="00097A86">
              <w:t>AAA</w:t>
            </w:r>
          </w:p>
        </w:tc>
        <w:tc>
          <w:tcPr>
            <w:tcW w:w="797" w:type="pct"/>
            <w:tcBorders>
              <w:top w:val="single" w:sz="4" w:space="0" w:color="auto"/>
              <w:bottom w:val="single" w:sz="12" w:space="0" w:color="auto"/>
            </w:tcBorders>
            <w:shd w:val="clear" w:color="auto" w:fill="auto"/>
            <w:noWrap/>
            <w:vAlign w:val="bottom"/>
          </w:tcPr>
          <w:p w14:paraId="258C1E43" w14:textId="77777777" w:rsidR="00E12A04" w:rsidRPr="00097A86" w:rsidRDefault="00E12A04" w:rsidP="00D22D3F">
            <w:pPr>
              <w:pStyle w:val="TableHeading"/>
            </w:pPr>
            <w:r w:rsidRPr="00097A86">
              <w:t>BBB</w:t>
            </w:r>
          </w:p>
        </w:tc>
      </w:tr>
      <w:tr w:rsidR="00E12A04" w:rsidRPr="00097A86" w14:paraId="58F2283E" w14:textId="77777777" w:rsidTr="00C20CC2">
        <w:trPr>
          <w:trHeight w:val="264"/>
        </w:trPr>
        <w:tc>
          <w:tcPr>
            <w:tcW w:w="507" w:type="pct"/>
            <w:tcBorders>
              <w:top w:val="single" w:sz="12" w:space="0" w:color="auto"/>
              <w:bottom w:val="single" w:sz="4" w:space="0" w:color="auto"/>
            </w:tcBorders>
            <w:shd w:val="clear" w:color="auto" w:fill="auto"/>
            <w:noWrap/>
            <w:vAlign w:val="bottom"/>
          </w:tcPr>
          <w:p w14:paraId="2221F50A" w14:textId="77777777" w:rsidR="00E12A04" w:rsidRPr="00097A86" w:rsidRDefault="00E12A04" w:rsidP="00D22D3F">
            <w:pPr>
              <w:pStyle w:val="Tabletext"/>
            </w:pPr>
            <w:r w:rsidRPr="00097A86">
              <w:t>1</w:t>
            </w:r>
          </w:p>
        </w:tc>
        <w:tc>
          <w:tcPr>
            <w:tcW w:w="1304" w:type="pct"/>
            <w:tcBorders>
              <w:top w:val="single" w:sz="12" w:space="0" w:color="auto"/>
              <w:bottom w:val="single" w:sz="4" w:space="0" w:color="auto"/>
            </w:tcBorders>
            <w:shd w:val="clear" w:color="auto" w:fill="auto"/>
            <w:vAlign w:val="bottom"/>
          </w:tcPr>
          <w:p w14:paraId="0BC24246" w14:textId="77777777" w:rsidR="00E12A04" w:rsidRPr="00097A86" w:rsidRDefault="00E12A04" w:rsidP="00D22D3F">
            <w:pPr>
              <w:pStyle w:val="Tabletext"/>
            </w:pPr>
            <w:r w:rsidRPr="00097A86">
              <w:t>Solid fuel</w:t>
            </w:r>
          </w:p>
        </w:tc>
        <w:tc>
          <w:tcPr>
            <w:tcW w:w="797" w:type="pct"/>
            <w:tcBorders>
              <w:top w:val="single" w:sz="12" w:space="0" w:color="auto"/>
              <w:bottom w:val="single" w:sz="4" w:space="0" w:color="auto"/>
            </w:tcBorders>
            <w:shd w:val="clear" w:color="auto" w:fill="auto"/>
            <w:noWrap/>
            <w:vAlign w:val="bottom"/>
          </w:tcPr>
          <w:p w14:paraId="36752F67" w14:textId="77777777" w:rsidR="00E12A04" w:rsidRPr="00097A86" w:rsidRDefault="00E12A04" w:rsidP="00D22D3F">
            <w:pPr>
              <w:pStyle w:val="Tabletext"/>
            </w:pPr>
            <w:r w:rsidRPr="00097A86">
              <w:t>2.5</w:t>
            </w:r>
          </w:p>
        </w:tc>
        <w:tc>
          <w:tcPr>
            <w:tcW w:w="797" w:type="pct"/>
            <w:tcBorders>
              <w:top w:val="single" w:sz="12" w:space="0" w:color="auto"/>
              <w:bottom w:val="single" w:sz="4" w:space="0" w:color="auto"/>
            </w:tcBorders>
            <w:shd w:val="clear" w:color="auto" w:fill="auto"/>
            <w:noWrap/>
            <w:vAlign w:val="bottom"/>
          </w:tcPr>
          <w:p w14:paraId="48A85031" w14:textId="77777777" w:rsidR="00E12A04" w:rsidRPr="00097A86" w:rsidRDefault="00E12A04" w:rsidP="00D22D3F">
            <w:pPr>
              <w:pStyle w:val="Tabletext"/>
            </w:pPr>
            <w:r w:rsidRPr="00097A86">
              <w:t>2.5</w:t>
            </w:r>
          </w:p>
        </w:tc>
        <w:tc>
          <w:tcPr>
            <w:tcW w:w="797" w:type="pct"/>
            <w:tcBorders>
              <w:top w:val="single" w:sz="12" w:space="0" w:color="auto"/>
              <w:bottom w:val="single" w:sz="4" w:space="0" w:color="auto"/>
            </w:tcBorders>
            <w:shd w:val="clear" w:color="auto" w:fill="auto"/>
            <w:noWrap/>
            <w:vAlign w:val="bottom"/>
          </w:tcPr>
          <w:p w14:paraId="7C195677" w14:textId="77777777" w:rsidR="00E12A04" w:rsidRPr="00097A86" w:rsidRDefault="00E12A04" w:rsidP="00D22D3F">
            <w:pPr>
              <w:pStyle w:val="Tabletext"/>
            </w:pPr>
            <w:r w:rsidRPr="00097A86">
              <w:t>1.5</w:t>
            </w:r>
          </w:p>
        </w:tc>
        <w:tc>
          <w:tcPr>
            <w:tcW w:w="797" w:type="pct"/>
            <w:tcBorders>
              <w:top w:val="single" w:sz="12" w:space="0" w:color="auto"/>
              <w:bottom w:val="single" w:sz="4" w:space="0" w:color="auto"/>
            </w:tcBorders>
            <w:shd w:val="clear" w:color="auto" w:fill="auto"/>
            <w:noWrap/>
            <w:vAlign w:val="bottom"/>
          </w:tcPr>
          <w:p w14:paraId="73171E4B" w14:textId="77777777" w:rsidR="00E12A04" w:rsidRPr="00097A86" w:rsidRDefault="00E12A04" w:rsidP="00D22D3F">
            <w:pPr>
              <w:pStyle w:val="Tabletext"/>
            </w:pPr>
            <w:r w:rsidRPr="00097A86">
              <w:t>7.5</w:t>
            </w:r>
          </w:p>
        </w:tc>
      </w:tr>
      <w:tr w:rsidR="00E12A04" w:rsidRPr="00097A86" w14:paraId="423D8E39" w14:textId="77777777" w:rsidTr="00C20CC2">
        <w:trPr>
          <w:trHeight w:val="264"/>
        </w:trPr>
        <w:tc>
          <w:tcPr>
            <w:tcW w:w="507" w:type="pct"/>
            <w:tcBorders>
              <w:top w:val="single" w:sz="4" w:space="0" w:color="auto"/>
              <w:bottom w:val="single" w:sz="4" w:space="0" w:color="auto"/>
            </w:tcBorders>
            <w:shd w:val="clear" w:color="auto" w:fill="auto"/>
            <w:noWrap/>
            <w:vAlign w:val="bottom"/>
          </w:tcPr>
          <w:p w14:paraId="5CFEBC3F" w14:textId="77777777" w:rsidR="00E12A04" w:rsidRPr="00097A86" w:rsidRDefault="00E12A04" w:rsidP="00D22D3F">
            <w:pPr>
              <w:pStyle w:val="Tabletext"/>
            </w:pPr>
            <w:r w:rsidRPr="00097A86">
              <w:t>2</w:t>
            </w:r>
          </w:p>
        </w:tc>
        <w:tc>
          <w:tcPr>
            <w:tcW w:w="1304" w:type="pct"/>
            <w:tcBorders>
              <w:top w:val="single" w:sz="4" w:space="0" w:color="auto"/>
              <w:bottom w:val="single" w:sz="4" w:space="0" w:color="auto"/>
            </w:tcBorders>
            <w:shd w:val="clear" w:color="auto" w:fill="auto"/>
            <w:vAlign w:val="bottom"/>
          </w:tcPr>
          <w:p w14:paraId="3388A20A" w14:textId="77777777" w:rsidR="00E12A04" w:rsidRPr="00097A86" w:rsidRDefault="00E12A04" w:rsidP="00D22D3F">
            <w:pPr>
              <w:pStyle w:val="Tabletext"/>
            </w:pPr>
            <w:r w:rsidRPr="00097A86">
              <w:t>Liquid fuel</w:t>
            </w:r>
          </w:p>
        </w:tc>
        <w:tc>
          <w:tcPr>
            <w:tcW w:w="797" w:type="pct"/>
            <w:tcBorders>
              <w:top w:val="single" w:sz="4" w:space="0" w:color="auto"/>
              <w:bottom w:val="single" w:sz="4" w:space="0" w:color="auto"/>
            </w:tcBorders>
            <w:shd w:val="clear" w:color="auto" w:fill="auto"/>
            <w:noWrap/>
            <w:vAlign w:val="bottom"/>
          </w:tcPr>
          <w:p w14:paraId="1BBD3BB7" w14:textId="77777777" w:rsidR="00E12A04" w:rsidRPr="00097A86" w:rsidRDefault="00E12A04" w:rsidP="00D22D3F">
            <w:pPr>
              <w:pStyle w:val="Tabletext"/>
            </w:pPr>
            <w:r w:rsidRPr="00097A86">
              <w:t>1.5</w:t>
            </w:r>
          </w:p>
        </w:tc>
        <w:tc>
          <w:tcPr>
            <w:tcW w:w="797" w:type="pct"/>
            <w:tcBorders>
              <w:top w:val="single" w:sz="4" w:space="0" w:color="auto"/>
              <w:bottom w:val="single" w:sz="4" w:space="0" w:color="auto"/>
            </w:tcBorders>
            <w:shd w:val="clear" w:color="auto" w:fill="auto"/>
            <w:noWrap/>
            <w:vAlign w:val="bottom"/>
          </w:tcPr>
          <w:p w14:paraId="45A8AC67" w14:textId="77777777" w:rsidR="00E12A04" w:rsidRPr="00097A86" w:rsidRDefault="00E12A04" w:rsidP="00D22D3F">
            <w:pPr>
              <w:pStyle w:val="Tabletext"/>
            </w:pPr>
            <w:r w:rsidRPr="00097A86">
              <w:t>1.5</w:t>
            </w:r>
          </w:p>
        </w:tc>
        <w:tc>
          <w:tcPr>
            <w:tcW w:w="797" w:type="pct"/>
            <w:tcBorders>
              <w:top w:val="single" w:sz="4" w:space="0" w:color="auto"/>
              <w:bottom w:val="single" w:sz="4" w:space="0" w:color="auto"/>
            </w:tcBorders>
            <w:shd w:val="clear" w:color="auto" w:fill="auto"/>
            <w:noWrap/>
            <w:vAlign w:val="bottom"/>
          </w:tcPr>
          <w:p w14:paraId="72EACBD9" w14:textId="77777777" w:rsidR="00E12A04" w:rsidRPr="00097A86" w:rsidRDefault="00E12A04" w:rsidP="00D22D3F">
            <w:pPr>
              <w:pStyle w:val="Tabletext"/>
            </w:pPr>
            <w:r w:rsidRPr="00097A86">
              <w:t>1.5</w:t>
            </w:r>
          </w:p>
        </w:tc>
        <w:tc>
          <w:tcPr>
            <w:tcW w:w="797" w:type="pct"/>
            <w:tcBorders>
              <w:top w:val="single" w:sz="4" w:space="0" w:color="auto"/>
              <w:bottom w:val="single" w:sz="4" w:space="0" w:color="auto"/>
            </w:tcBorders>
            <w:shd w:val="clear" w:color="auto" w:fill="auto"/>
            <w:noWrap/>
            <w:vAlign w:val="bottom"/>
          </w:tcPr>
          <w:p w14:paraId="349B3B45" w14:textId="77777777" w:rsidR="00E12A04" w:rsidRPr="00097A86" w:rsidRDefault="00E12A04" w:rsidP="00D22D3F">
            <w:pPr>
              <w:pStyle w:val="Tabletext"/>
            </w:pPr>
            <w:r w:rsidRPr="00097A86">
              <w:t>7.5</w:t>
            </w:r>
          </w:p>
        </w:tc>
      </w:tr>
      <w:tr w:rsidR="00E12A04" w:rsidRPr="00097A86" w14:paraId="36E37996" w14:textId="77777777" w:rsidTr="00C20CC2">
        <w:trPr>
          <w:trHeight w:val="264"/>
        </w:trPr>
        <w:tc>
          <w:tcPr>
            <w:tcW w:w="507" w:type="pct"/>
            <w:tcBorders>
              <w:top w:val="single" w:sz="4" w:space="0" w:color="auto"/>
              <w:bottom w:val="single" w:sz="12" w:space="0" w:color="auto"/>
            </w:tcBorders>
            <w:shd w:val="clear" w:color="auto" w:fill="auto"/>
            <w:noWrap/>
            <w:vAlign w:val="bottom"/>
          </w:tcPr>
          <w:p w14:paraId="4E85F779" w14:textId="77777777" w:rsidR="00E12A04" w:rsidRPr="00097A86" w:rsidRDefault="00E12A04" w:rsidP="00D22D3F">
            <w:pPr>
              <w:pStyle w:val="Tabletext"/>
            </w:pPr>
            <w:r w:rsidRPr="00097A86">
              <w:t>3</w:t>
            </w:r>
          </w:p>
        </w:tc>
        <w:tc>
          <w:tcPr>
            <w:tcW w:w="1304" w:type="pct"/>
            <w:tcBorders>
              <w:top w:val="single" w:sz="4" w:space="0" w:color="auto"/>
              <w:bottom w:val="single" w:sz="12" w:space="0" w:color="auto"/>
            </w:tcBorders>
            <w:shd w:val="clear" w:color="auto" w:fill="auto"/>
            <w:vAlign w:val="bottom"/>
          </w:tcPr>
          <w:p w14:paraId="0473C3D6" w14:textId="77777777" w:rsidR="00E12A04" w:rsidRPr="00097A86" w:rsidRDefault="00E12A04" w:rsidP="00D22D3F">
            <w:pPr>
              <w:pStyle w:val="Tabletext"/>
            </w:pPr>
            <w:r w:rsidRPr="00097A86">
              <w:t>Gaseous fuel</w:t>
            </w:r>
          </w:p>
        </w:tc>
        <w:tc>
          <w:tcPr>
            <w:tcW w:w="797" w:type="pct"/>
            <w:tcBorders>
              <w:top w:val="single" w:sz="4" w:space="0" w:color="auto"/>
              <w:bottom w:val="single" w:sz="12" w:space="0" w:color="auto"/>
            </w:tcBorders>
            <w:shd w:val="clear" w:color="auto" w:fill="auto"/>
            <w:noWrap/>
            <w:vAlign w:val="bottom"/>
          </w:tcPr>
          <w:p w14:paraId="682CAB47" w14:textId="77777777" w:rsidR="00E12A04" w:rsidRPr="00097A86" w:rsidRDefault="00E12A04" w:rsidP="00D22D3F">
            <w:pPr>
              <w:pStyle w:val="Tabletext"/>
            </w:pPr>
            <w:r w:rsidRPr="00097A86">
              <w:t>1.5</w:t>
            </w:r>
          </w:p>
        </w:tc>
        <w:tc>
          <w:tcPr>
            <w:tcW w:w="797" w:type="pct"/>
            <w:tcBorders>
              <w:top w:val="single" w:sz="4" w:space="0" w:color="auto"/>
              <w:bottom w:val="single" w:sz="12" w:space="0" w:color="auto"/>
            </w:tcBorders>
            <w:shd w:val="clear" w:color="auto" w:fill="auto"/>
            <w:noWrap/>
            <w:vAlign w:val="bottom"/>
          </w:tcPr>
          <w:p w14:paraId="14B3A806" w14:textId="77777777" w:rsidR="00E12A04" w:rsidRPr="00097A86" w:rsidRDefault="00E12A04" w:rsidP="00D22D3F">
            <w:pPr>
              <w:pStyle w:val="Tabletext"/>
            </w:pPr>
            <w:r w:rsidRPr="00097A86">
              <w:t>1.5</w:t>
            </w:r>
          </w:p>
        </w:tc>
        <w:tc>
          <w:tcPr>
            <w:tcW w:w="797" w:type="pct"/>
            <w:tcBorders>
              <w:top w:val="single" w:sz="4" w:space="0" w:color="auto"/>
              <w:bottom w:val="single" w:sz="12" w:space="0" w:color="auto"/>
            </w:tcBorders>
            <w:shd w:val="clear" w:color="auto" w:fill="auto"/>
            <w:noWrap/>
            <w:vAlign w:val="bottom"/>
          </w:tcPr>
          <w:p w14:paraId="4B41B0DE" w14:textId="77777777" w:rsidR="00E12A04" w:rsidRPr="00097A86" w:rsidRDefault="00E12A04" w:rsidP="00D22D3F">
            <w:pPr>
              <w:pStyle w:val="Tabletext"/>
            </w:pPr>
            <w:r w:rsidRPr="00097A86">
              <w:t>1.5</w:t>
            </w:r>
          </w:p>
        </w:tc>
        <w:tc>
          <w:tcPr>
            <w:tcW w:w="797" w:type="pct"/>
            <w:tcBorders>
              <w:top w:val="single" w:sz="4" w:space="0" w:color="auto"/>
              <w:bottom w:val="single" w:sz="12" w:space="0" w:color="auto"/>
            </w:tcBorders>
            <w:shd w:val="clear" w:color="auto" w:fill="auto"/>
            <w:noWrap/>
            <w:vAlign w:val="bottom"/>
          </w:tcPr>
          <w:p w14:paraId="322B0173" w14:textId="77777777" w:rsidR="00E12A04" w:rsidRPr="00097A86" w:rsidRDefault="00E12A04" w:rsidP="00D22D3F">
            <w:pPr>
              <w:pStyle w:val="Tabletext"/>
            </w:pPr>
            <w:r w:rsidRPr="00097A86">
              <w:t>7.5</w:t>
            </w:r>
          </w:p>
        </w:tc>
      </w:tr>
    </w:tbl>
    <w:p w14:paraId="4FBC3D0B" w14:textId="77777777" w:rsidR="00A96E5F" w:rsidRPr="00097A86" w:rsidRDefault="00A96E5F" w:rsidP="00D22D3F">
      <w:pPr>
        <w:pStyle w:val="ActHead5"/>
      </w:pPr>
      <w:bookmarkStart w:id="660" w:name="_Toc13234087"/>
      <w:r w:rsidRPr="00097A86">
        <w:rPr>
          <w:rStyle w:val="CharSectno"/>
        </w:rPr>
        <w:t>8.7</w:t>
      </w:r>
      <w:r w:rsidR="00D22D3F" w:rsidRPr="00097A86">
        <w:t xml:space="preserve">  </w:t>
      </w:r>
      <w:r w:rsidRPr="00097A86">
        <w:t>Assessment of uncertainty for estimates of methane and nitrous oxide emissions from combustion of fuels</w:t>
      </w:r>
      <w:bookmarkEnd w:id="660"/>
    </w:p>
    <w:p w14:paraId="037EA8C4" w14:textId="77777777" w:rsidR="00A96E5F" w:rsidRPr="00097A86" w:rsidRDefault="00A96E5F" w:rsidP="00D22D3F">
      <w:pPr>
        <w:pStyle w:val="subsection"/>
      </w:pPr>
      <w:r w:rsidRPr="00097A86">
        <w:tab/>
        <w:t>(1)</w:t>
      </w:r>
      <w:r w:rsidRPr="00097A86">
        <w:tab/>
        <w:t>In assessing uncertainty of the estimates of methane and nitrous oxide emissions estimated using method 1 for a source that involves the combustion of a fuel specified in column 2 of an item in the table in subsection</w:t>
      </w:r>
      <w:r w:rsidR="00097A86">
        <w:t> </w:t>
      </w:r>
      <w:r w:rsidRPr="00097A86">
        <w:t>8.6(1):</w:t>
      </w:r>
    </w:p>
    <w:p w14:paraId="2D1D0B8B" w14:textId="77777777" w:rsidR="00560308" w:rsidRPr="00097A86" w:rsidRDefault="00560308" w:rsidP="00D22D3F">
      <w:pPr>
        <w:pStyle w:val="paragraph"/>
      </w:pPr>
      <w:r w:rsidRPr="00097A86">
        <w:tab/>
        <w:t>(a)</w:t>
      </w:r>
      <w:r w:rsidRPr="00097A86">
        <w:tab/>
        <w:t>the uncertainty level of the energy content factor is:</w:t>
      </w:r>
    </w:p>
    <w:p w14:paraId="4E50B102" w14:textId="77777777" w:rsidR="00560308" w:rsidRPr="00097A86" w:rsidRDefault="00560308" w:rsidP="00D22D3F">
      <w:pPr>
        <w:pStyle w:val="paragraphsub"/>
      </w:pPr>
      <w:r w:rsidRPr="00097A86">
        <w:tab/>
        <w:t>(i)</w:t>
      </w:r>
      <w:r w:rsidRPr="00097A86">
        <w:tab/>
        <w:t>as specified in column 3 for the item; or</w:t>
      </w:r>
    </w:p>
    <w:p w14:paraId="08A36795" w14:textId="77777777" w:rsidR="00560308" w:rsidRPr="00097A86" w:rsidRDefault="00560308" w:rsidP="00D22D3F">
      <w:pPr>
        <w:pStyle w:val="paragraphsub"/>
      </w:pPr>
      <w:r w:rsidRPr="00097A86">
        <w:tab/>
        <w:t>(ii)</w:t>
      </w:r>
      <w:r w:rsidRPr="00097A86">
        <w:tab/>
        <w:t>as worked out in accordance with section</w:t>
      </w:r>
      <w:r w:rsidR="00097A86">
        <w:t> </w:t>
      </w:r>
      <w:r w:rsidRPr="00097A86">
        <w:t>7 of the uncertainty protocol; and</w:t>
      </w:r>
    </w:p>
    <w:p w14:paraId="7FC96809" w14:textId="77777777" w:rsidR="00A96E5F" w:rsidRPr="00097A86" w:rsidRDefault="00A96E5F" w:rsidP="00D22D3F">
      <w:pPr>
        <w:pStyle w:val="paragraph"/>
      </w:pPr>
      <w:r w:rsidRPr="00097A86">
        <w:tab/>
        <w:t>(b)</w:t>
      </w:r>
      <w:r w:rsidRPr="00097A86">
        <w:tab/>
        <w:t>the uncertainty level of the emissions factor is:</w:t>
      </w:r>
    </w:p>
    <w:p w14:paraId="6CA92837" w14:textId="77777777" w:rsidR="00A96E5F" w:rsidRPr="00097A86" w:rsidRDefault="00A96E5F" w:rsidP="00D22D3F">
      <w:pPr>
        <w:pStyle w:val="paragraphsub"/>
      </w:pPr>
      <w:r w:rsidRPr="00097A86">
        <w:tab/>
        <w:t>(i)</w:t>
      </w:r>
      <w:r w:rsidRPr="00097A86">
        <w:tab/>
        <w:t>50%; or</w:t>
      </w:r>
    </w:p>
    <w:p w14:paraId="3078A511" w14:textId="77777777" w:rsidR="00A96E5F" w:rsidRPr="00097A86" w:rsidRDefault="00A96E5F" w:rsidP="00D22D3F">
      <w:pPr>
        <w:pStyle w:val="paragraphsub"/>
      </w:pPr>
      <w:r w:rsidRPr="00097A86">
        <w:tab/>
        <w:t>(ii)</w:t>
      </w:r>
      <w:r w:rsidRPr="00097A86">
        <w:tab/>
        <w:t>as worked out in accordance with section</w:t>
      </w:r>
      <w:r w:rsidR="00097A86">
        <w:t> </w:t>
      </w:r>
      <w:r w:rsidRPr="00097A86">
        <w:t>7 of the uncertainty protocol.</w:t>
      </w:r>
    </w:p>
    <w:p w14:paraId="1F6143FC" w14:textId="77777777" w:rsidR="00A96E5F" w:rsidRPr="00097A86" w:rsidRDefault="00A96E5F" w:rsidP="00D22D3F">
      <w:pPr>
        <w:pStyle w:val="subsection"/>
      </w:pPr>
      <w:r w:rsidRPr="00097A86">
        <w:tab/>
        <w:t>(2)</w:t>
      </w:r>
      <w:r w:rsidRPr="00097A86">
        <w:tab/>
        <w:t>In assessing uncertainty of the estimates of methane and nitrous oxide emissions estimated using method 1 for a source that involves the combustion of a fuel type specified in column 2 of an item in the table in</w:t>
      </w:r>
      <w:r w:rsidR="000E5E9F" w:rsidRPr="00097A86">
        <w:t xml:space="preserve"> subsection</w:t>
      </w:r>
      <w:r w:rsidR="00097A86">
        <w:t> </w:t>
      </w:r>
      <w:r w:rsidR="000E5E9F" w:rsidRPr="00097A86">
        <w:t>8.6</w:t>
      </w:r>
      <w:r w:rsidR="00B46E63" w:rsidRPr="00097A86">
        <w:t>(</w:t>
      </w:r>
      <w:r w:rsidR="000E5E9F" w:rsidRPr="00097A86">
        <w:t>3)</w:t>
      </w:r>
      <w:r w:rsidRPr="00097A86">
        <w:t>:</w:t>
      </w:r>
    </w:p>
    <w:p w14:paraId="7179E6F9" w14:textId="77777777" w:rsidR="00A96E5F" w:rsidRPr="00097A86" w:rsidRDefault="00A96E5F" w:rsidP="00D22D3F">
      <w:pPr>
        <w:pStyle w:val="paragraph"/>
      </w:pPr>
      <w:r w:rsidRPr="00097A86">
        <w:tab/>
        <w:t>(a)</w:t>
      </w:r>
      <w:r w:rsidRPr="00097A86">
        <w:tab/>
        <w:t>column 3 for the item sets out the uncertainty level for the estimated quantities of fuel combusted using criterion A in Chapter</w:t>
      </w:r>
      <w:r w:rsidR="00097A86">
        <w:t> </w:t>
      </w:r>
      <w:r w:rsidRPr="00097A86">
        <w:t xml:space="preserve">2; and </w:t>
      </w:r>
    </w:p>
    <w:p w14:paraId="6C9EC2C9" w14:textId="77777777" w:rsidR="00A96E5F" w:rsidRPr="00097A86" w:rsidRDefault="00A96E5F" w:rsidP="00D22D3F">
      <w:pPr>
        <w:pStyle w:val="paragraph"/>
      </w:pPr>
      <w:r w:rsidRPr="00097A86">
        <w:tab/>
        <w:t>(b)</w:t>
      </w:r>
      <w:r w:rsidRPr="00097A86">
        <w:tab/>
        <w:t>column 4 for the item sets out the uncertainty level for the estimated quantities of fuel combusted using criterion AA in Chapter</w:t>
      </w:r>
      <w:r w:rsidR="00097A86">
        <w:t> </w:t>
      </w:r>
      <w:r w:rsidRPr="00097A86">
        <w:t>2; and</w:t>
      </w:r>
    </w:p>
    <w:p w14:paraId="21A37B41" w14:textId="77777777" w:rsidR="00A96E5F" w:rsidRPr="00097A86" w:rsidRDefault="00A96E5F" w:rsidP="00D22D3F">
      <w:pPr>
        <w:pStyle w:val="paragraph"/>
      </w:pPr>
      <w:r w:rsidRPr="00097A86">
        <w:tab/>
        <w:t>(c)</w:t>
      </w:r>
      <w:r w:rsidRPr="00097A86">
        <w:tab/>
        <w:t>column 5 for the item sets out the uncertainty level for the estimated quantities of fuel combusted using criterion AAA in Chapter</w:t>
      </w:r>
      <w:r w:rsidR="00097A86">
        <w:t> </w:t>
      </w:r>
      <w:r w:rsidRPr="00097A86">
        <w:t>2; and</w:t>
      </w:r>
    </w:p>
    <w:p w14:paraId="17BC2530" w14:textId="77777777" w:rsidR="00A96E5F" w:rsidRPr="00097A86" w:rsidRDefault="00A96E5F" w:rsidP="00D22D3F">
      <w:pPr>
        <w:pStyle w:val="paragraph"/>
      </w:pPr>
      <w:r w:rsidRPr="00097A86">
        <w:tab/>
        <w:t>(d)</w:t>
      </w:r>
      <w:r w:rsidRPr="00097A86">
        <w:tab/>
        <w:t>column 6 for the item sets out the uncertainty level for the estimated quantities of fuel combusted using criterion BBB in Chapter</w:t>
      </w:r>
      <w:r w:rsidR="00097A86">
        <w:t> </w:t>
      </w:r>
      <w:r w:rsidRPr="00097A86">
        <w:t>2.</w:t>
      </w:r>
    </w:p>
    <w:p w14:paraId="27EB5B3C" w14:textId="77777777" w:rsidR="00A96E5F" w:rsidRPr="00097A86" w:rsidRDefault="00D22D3F" w:rsidP="00D22D3F">
      <w:pPr>
        <w:pStyle w:val="notetext"/>
      </w:pPr>
      <w:r w:rsidRPr="00097A86">
        <w:t>Note:</w:t>
      </w:r>
      <w:r w:rsidRPr="00097A86">
        <w:tab/>
      </w:r>
      <w:r w:rsidR="00A96E5F" w:rsidRPr="00097A86">
        <w:t>Division</w:t>
      </w:r>
      <w:r w:rsidR="00097A86">
        <w:t> </w:t>
      </w:r>
      <w:r w:rsidR="00A96E5F" w:rsidRPr="00097A86">
        <w:t>2.2.5 sets out the relevant criteria for solid fuels; Division</w:t>
      </w:r>
      <w:r w:rsidR="00097A86">
        <w:t> </w:t>
      </w:r>
      <w:r w:rsidR="00A96E5F" w:rsidRPr="00097A86">
        <w:t>2.3.6 sets out the relevant criteria for gaseous fuels; and Division</w:t>
      </w:r>
      <w:r w:rsidR="00097A86">
        <w:t> </w:t>
      </w:r>
      <w:r w:rsidR="00A96E5F" w:rsidRPr="00097A86">
        <w:t>2.4.6 sets out the relevant criteria for liquid fuels.</w:t>
      </w:r>
    </w:p>
    <w:p w14:paraId="0B17DA80" w14:textId="77777777" w:rsidR="00A96E5F" w:rsidRPr="00097A86" w:rsidRDefault="00A96E5F" w:rsidP="00D22D3F">
      <w:pPr>
        <w:pStyle w:val="ActHead5"/>
      </w:pPr>
      <w:bookmarkStart w:id="661" w:name="_Toc13234088"/>
      <w:r w:rsidRPr="00097A86">
        <w:rPr>
          <w:rStyle w:val="CharSectno"/>
        </w:rPr>
        <w:lastRenderedPageBreak/>
        <w:t>8.8</w:t>
      </w:r>
      <w:r w:rsidR="00D22D3F" w:rsidRPr="00097A86">
        <w:t xml:space="preserve">  </w:t>
      </w:r>
      <w:r w:rsidRPr="00097A86">
        <w:t>Assessment of uncertainty for estimates of fugitive emissions</w:t>
      </w:r>
      <w:bookmarkEnd w:id="661"/>
    </w:p>
    <w:p w14:paraId="2D2621D7" w14:textId="77777777" w:rsidR="00A96E5F" w:rsidRPr="00097A86" w:rsidRDefault="00A96E5F" w:rsidP="00D22D3F">
      <w:pPr>
        <w:pStyle w:val="subsection"/>
      </w:pPr>
      <w:r w:rsidRPr="00097A86">
        <w:tab/>
      </w:r>
      <w:r w:rsidRPr="00097A86">
        <w:tab/>
        <w:t>The aggregated uncertainty of the estimates of fugitive emissions estimated using method 1 for a source mentioned in column 2 of an item of the following table is:</w:t>
      </w:r>
    </w:p>
    <w:p w14:paraId="2AECF792" w14:textId="77777777" w:rsidR="00A96E5F" w:rsidRPr="00097A86" w:rsidRDefault="00A96E5F" w:rsidP="00D22D3F">
      <w:pPr>
        <w:pStyle w:val="paragraph"/>
      </w:pPr>
      <w:r w:rsidRPr="00097A86">
        <w:tab/>
        <w:t>(a)</w:t>
      </w:r>
      <w:r w:rsidRPr="00097A86">
        <w:tab/>
        <w:t>as specified in column 3 for the item; or</w:t>
      </w:r>
    </w:p>
    <w:p w14:paraId="5FE253EF" w14:textId="77777777" w:rsidR="00A96E5F" w:rsidRPr="00097A86" w:rsidRDefault="00A96E5F" w:rsidP="001E6454">
      <w:pPr>
        <w:pStyle w:val="paragraph"/>
      </w:pPr>
      <w:r w:rsidRPr="00097A86">
        <w:tab/>
        <w:t>(b)</w:t>
      </w:r>
      <w:r w:rsidRPr="00097A86">
        <w:tab/>
        <w:t>as worked out in accordance with the uncertainty protocol.</w:t>
      </w:r>
    </w:p>
    <w:p w14:paraId="08BAE500"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9"/>
        <w:gridCol w:w="6349"/>
        <w:gridCol w:w="1255"/>
      </w:tblGrid>
      <w:tr w:rsidR="00A84193" w:rsidRPr="00097A86" w14:paraId="138DEDB1" w14:textId="77777777" w:rsidTr="00C20CC2">
        <w:trPr>
          <w:tblHeader/>
        </w:trPr>
        <w:tc>
          <w:tcPr>
            <w:tcW w:w="426" w:type="pct"/>
            <w:tcBorders>
              <w:top w:val="single" w:sz="12" w:space="0" w:color="auto"/>
              <w:bottom w:val="single" w:sz="12" w:space="0" w:color="auto"/>
            </w:tcBorders>
            <w:shd w:val="clear" w:color="auto" w:fill="auto"/>
          </w:tcPr>
          <w:p w14:paraId="04EFD711" w14:textId="77777777" w:rsidR="00A84193" w:rsidRPr="00097A86" w:rsidRDefault="00A84193" w:rsidP="00D22D3F">
            <w:pPr>
              <w:pStyle w:val="TableHeading"/>
              <w:rPr>
                <w:szCs w:val="18"/>
              </w:rPr>
            </w:pPr>
            <w:r w:rsidRPr="00097A86">
              <w:rPr>
                <w:szCs w:val="18"/>
              </w:rPr>
              <w:t>Item</w:t>
            </w:r>
          </w:p>
        </w:tc>
        <w:tc>
          <w:tcPr>
            <w:tcW w:w="3819" w:type="pct"/>
            <w:tcBorders>
              <w:top w:val="single" w:sz="12" w:space="0" w:color="auto"/>
              <w:bottom w:val="single" w:sz="12" w:space="0" w:color="auto"/>
            </w:tcBorders>
            <w:shd w:val="clear" w:color="auto" w:fill="auto"/>
          </w:tcPr>
          <w:p w14:paraId="001A6525" w14:textId="77777777" w:rsidR="00A84193" w:rsidRPr="00097A86" w:rsidRDefault="00A84193" w:rsidP="00D22D3F">
            <w:pPr>
              <w:pStyle w:val="TableHeading"/>
              <w:rPr>
                <w:szCs w:val="18"/>
              </w:rPr>
            </w:pPr>
            <w:r w:rsidRPr="00097A86">
              <w:rPr>
                <w:szCs w:val="18"/>
              </w:rPr>
              <w:t>Sources</w:t>
            </w:r>
          </w:p>
        </w:tc>
        <w:tc>
          <w:tcPr>
            <w:tcW w:w="755" w:type="pct"/>
            <w:tcBorders>
              <w:top w:val="single" w:sz="12" w:space="0" w:color="auto"/>
              <w:bottom w:val="single" w:sz="12" w:space="0" w:color="auto"/>
            </w:tcBorders>
            <w:shd w:val="clear" w:color="auto" w:fill="auto"/>
          </w:tcPr>
          <w:p w14:paraId="0FA6F83D" w14:textId="77777777" w:rsidR="00A84193" w:rsidRPr="00097A86" w:rsidRDefault="00A84193" w:rsidP="00D22D3F">
            <w:pPr>
              <w:pStyle w:val="TableHeading"/>
              <w:rPr>
                <w:rStyle w:val="Strong"/>
                <w:rFonts w:cs="Arial"/>
                <w:b/>
                <w:szCs w:val="18"/>
              </w:rPr>
            </w:pPr>
            <w:r w:rsidRPr="00097A86">
              <w:rPr>
                <w:szCs w:val="18"/>
              </w:rPr>
              <w:t>Aggregated uncertainty level (%)</w:t>
            </w:r>
          </w:p>
        </w:tc>
      </w:tr>
      <w:tr w:rsidR="00A96E5F" w:rsidRPr="00097A86" w14:paraId="6C937306" w14:textId="77777777" w:rsidTr="00C20CC2">
        <w:tc>
          <w:tcPr>
            <w:tcW w:w="426" w:type="pct"/>
            <w:tcBorders>
              <w:top w:val="single" w:sz="12" w:space="0" w:color="auto"/>
            </w:tcBorders>
            <w:shd w:val="clear" w:color="auto" w:fill="auto"/>
          </w:tcPr>
          <w:p w14:paraId="46E4639E" w14:textId="77777777" w:rsidR="00A96E5F" w:rsidRPr="00097A86" w:rsidRDefault="00A96E5F" w:rsidP="00D22D3F">
            <w:pPr>
              <w:pStyle w:val="Tabletext"/>
            </w:pPr>
            <w:r w:rsidRPr="00097A86">
              <w:t>1</w:t>
            </w:r>
          </w:p>
        </w:tc>
        <w:tc>
          <w:tcPr>
            <w:tcW w:w="3819" w:type="pct"/>
            <w:tcBorders>
              <w:top w:val="single" w:sz="12" w:space="0" w:color="auto"/>
            </w:tcBorders>
            <w:shd w:val="clear" w:color="auto" w:fill="auto"/>
          </w:tcPr>
          <w:p w14:paraId="42CE78E6" w14:textId="77777777" w:rsidR="00A96E5F" w:rsidRPr="00097A86" w:rsidRDefault="00A96E5F" w:rsidP="00D22D3F">
            <w:pPr>
              <w:pStyle w:val="Tabletext"/>
            </w:pPr>
            <w:r w:rsidRPr="00097A86">
              <w:t>Underground mines</w:t>
            </w:r>
            <w:r w:rsidRPr="00097A86" w:rsidDel="00A71F54">
              <w:t xml:space="preserve"> </w:t>
            </w:r>
          </w:p>
        </w:tc>
        <w:tc>
          <w:tcPr>
            <w:tcW w:w="755" w:type="pct"/>
            <w:tcBorders>
              <w:top w:val="single" w:sz="12" w:space="0" w:color="auto"/>
            </w:tcBorders>
            <w:shd w:val="clear" w:color="auto" w:fill="auto"/>
          </w:tcPr>
          <w:p w14:paraId="0600ED12" w14:textId="77777777" w:rsidR="00A96E5F" w:rsidRPr="00097A86" w:rsidRDefault="00A96E5F" w:rsidP="00D22D3F">
            <w:pPr>
              <w:pStyle w:val="Tabletext"/>
            </w:pPr>
            <w:r w:rsidRPr="00097A86">
              <w:t>50</w:t>
            </w:r>
          </w:p>
        </w:tc>
      </w:tr>
      <w:tr w:rsidR="00A96E5F" w:rsidRPr="00097A86" w14:paraId="1762B594" w14:textId="77777777" w:rsidTr="00C20CC2">
        <w:tc>
          <w:tcPr>
            <w:tcW w:w="426" w:type="pct"/>
            <w:shd w:val="clear" w:color="auto" w:fill="auto"/>
          </w:tcPr>
          <w:p w14:paraId="6FB0A2D1" w14:textId="77777777" w:rsidR="00A96E5F" w:rsidRPr="00097A86" w:rsidRDefault="00A96E5F" w:rsidP="00D22D3F">
            <w:pPr>
              <w:pStyle w:val="Tabletext"/>
            </w:pPr>
            <w:r w:rsidRPr="00097A86">
              <w:t>2</w:t>
            </w:r>
          </w:p>
        </w:tc>
        <w:tc>
          <w:tcPr>
            <w:tcW w:w="3819" w:type="pct"/>
            <w:shd w:val="clear" w:color="auto" w:fill="auto"/>
          </w:tcPr>
          <w:p w14:paraId="66630CA8" w14:textId="77777777" w:rsidR="00A96E5F" w:rsidRPr="00097A86" w:rsidRDefault="00A96E5F" w:rsidP="00D22D3F">
            <w:pPr>
              <w:pStyle w:val="Tabletext"/>
            </w:pPr>
            <w:r w:rsidRPr="00097A86">
              <w:t xml:space="preserve">Open cut mines </w:t>
            </w:r>
          </w:p>
        </w:tc>
        <w:tc>
          <w:tcPr>
            <w:tcW w:w="755" w:type="pct"/>
            <w:shd w:val="clear" w:color="auto" w:fill="auto"/>
          </w:tcPr>
          <w:p w14:paraId="00E9760E" w14:textId="77777777" w:rsidR="00A96E5F" w:rsidRPr="00097A86" w:rsidRDefault="00A96E5F" w:rsidP="00D22D3F">
            <w:pPr>
              <w:pStyle w:val="Tabletext"/>
            </w:pPr>
            <w:r w:rsidRPr="00097A86">
              <w:t>50</w:t>
            </w:r>
          </w:p>
        </w:tc>
      </w:tr>
      <w:tr w:rsidR="00A96E5F" w:rsidRPr="00097A86" w14:paraId="721437EE" w14:textId="77777777" w:rsidTr="00C20CC2">
        <w:tc>
          <w:tcPr>
            <w:tcW w:w="426" w:type="pct"/>
            <w:shd w:val="clear" w:color="auto" w:fill="auto"/>
          </w:tcPr>
          <w:p w14:paraId="40DCB4FA" w14:textId="77777777" w:rsidR="00A96E5F" w:rsidRPr="00097A86" w:rsidRDefault="00A96E5F" w:rsidP="00D22D3F">
            <w:pPr>
              <w:pStyle w:val="Tabletext"/>
            </w:pPr>
            <w:r w:rsidRPr="00097A86">
              <w:t>3</w:t>
            </w:r>
          </w:p>
        </w:tc>
        <w:tc>
          <w:tcPr>
            <w:tcW w:w="3819" w:type="pct"/>
            <w:shd w:val="clear" w:color="auto" w:fill="auto"/>
          </w:tcPr>
          <w:p w14:paraId="6E17A15D" w14:textId="77777777" w:rsidR="00A96E5F" w:rsidRPr="00097A86" w:rsidRDefault="00A96E5F" w:rsidP="00D22D3F">
            <w:pPr>
              <w:pStyle w:val="Tabletext"/>
            </w:pPr>
            <w:r w:rsidRPr="00097A86">
              <w:t>Decommissioned underground mines</w:t>
            </w:r>
          </w:p>
        </w:tc>
        <w:tc>
          <w:tcPr>
            <w:tcW w:w="755" w:type="pct"/>
            <w:shd w:val="clear" w:color="auto" w:fill="auto"/>
          </w:tcPr>
          <w:p w14:paraId="1B965A55" w14:textId="77777777" w:rsidR="00A96E5F" w:rsidRPr="00097A86" w:rsidRDefault="00A96E5F" w:rsidP="00D22D3F">
            <w:pPr>
              <w:pStyle w:val="Tabletext"/>
            </w:pPr>
            <w:r w:rsidRPr="00097A86">
              <w:t>50</w:t>
            </w:r>
          </w:p>
        </w:tc>
      </w:tr>
      <w:tr w:rsidR="00A96E5F" w:rsidRPr="00097A86" w14:paraId="2EF6160B" w14:textId="77777777" w:rsidTr="00C20CC2">
        <w:tc>
          <w:tcPr>
            <w:tcW w:w="426" w:type="pct"/>
            <w:shd w:val="clear" w:color="auto" w:fill="auto"/>
          </w:tcPr>
          <w:p w14:paraId="0CB2A97D" w14:textId="77777777" w:rsidR="00A96E5F" w:rsidRPr="00097A86" w:rsidRDefault="00A96E5F" w:rsidP="00D22D3F">
            <w:pPr>
              <w:pStyle w:val="Tabletext"/>
            </w:pPr>
            <w:r w:rsidRPr="00097A86">
              <w:t>4</w:t>
            </w:r>
          </w:p>
        </w:tc>
        <w:tc>
          <w:tcPr>
            <w:tcW w:w="3819" w:type="pct"/>
            <w:shd w:val="clear" w:color="auto" w:fill="auto"/>
          </w:tcPr>
          <w:p w14:paraId="3D1CD5FC" w14:textId="77777777" w:rsidR="00A96E5F" w:rsidRPr="00097A86" w:rsidRDefault="00A96E5F" w:rsidP="00D22D3F">
            <w:pPr>
              <w:pStyle w:val="Tabletext"/>
            </w:pPr>
            <w:r w:rsidRPr="00097A86">
              <w:t>Oil or gas exploration</w:t>
            </w:r>
          </w:p>
        </w:tc>
        <w:tc>
          <w:tcPr>
            <w:tcW w:w="755" w:type="pct"/>
            <w:shd w:val="clear" w:color="auto" w:fill="auto"/>
          </w:tcPr>
          <w:p w14:paraId="1649F985" w14:textId="77777777" w:rsidR="00A96E5F" w:rsidRPr="00097A86" w:rsidRDefault="00A96E5F" w:rsidP="00D22D3F">
            <w:pPr>
              <w:pStyle w:val="Tabletext"/>
            </w:pPr>
            <w:r w:rsidRPr="00097A86">
              <w:t>50</w:t>
            </w:r>
          </w:p>
        </w:tc>
      </w:tr>
      <w:tr w:rsidR="00A96E5F" w:rsidRPr="00097A86" w14:paraId="7F002DBC" w14:textId="77777777" w:rsidTr="00C20CC2">
        <w:tc>
          <w:tcPr>
            <w:tcW w:w="426" w:type="pct"/>
            <w:shd w:val="clear" w:color="auto" w:fill="auto"/>
          </w:tcPr>
          <w:p w14:paraId="31B87CB6" w14:textId="77777777" w:rsidR="00A96E5F" w:rsidRPr="00097A86" w:rsidRDefault="00A96E5F" w:rsidP="00D22D3F">
            <w:pPr>
              <w:pStyle w:val="Tabletext"/>
            </w:pPr>
            <w:r w:rsidRPr="00097A86">
              <w:t>5</w:t>
            </w:r>
          </w:p>
        </w:tc>
        <w:tc>
          <w:tcPr>
            <w:tcW w:w="3819" w:type="pct"/>
            <w:shd w:val="clear" w:color="auto" w:fill="auto"/>
          </w:tcPr>
          <w:p w14:paraId="0D952E5B" w14:textId="77777777" w:rsidR="00A96E5F" w:rsidRPr="00097A86" w:rsidRDefault="00A96E5F" w:rsidP="00D22D3F">
            <w:pPr>
              <w:pStyle w:val="Tabletext"/>
            </w:pPr>
            <w:r w:rsidRPr="00097A86">
              <w:t>Crude oil production</w:t>
            </w:r>
          </w:p>
        </w:tc>
        <w:tc>
          <w:tcPr>
            <w:tcW w:w="755" w:type="pct"/>
            <w:shd w:val="clear" w:color="auto" w:fill="auto"/>
          </w:tcPr>
          <w:p w14:paraId="2F20238A" w14:textId="77777777" w:rsidR="00A96E5F" w:rsidRPr="00097A86" w:rsidRDefault="00A96E5F" w:rsidP="00D22D3F">
            <w:pPr>
              <w:pStyle w:val="Tabletext"/>
            </w:pPr>
            <w:r w:rsidRPr="00097A86">
              <w:t>50</w:t>
            </w:r>
          </w:p>
        </w:tc>
      </w:tr>
      <w:tr w:rsidR="00A96E5F" w:rsidRPr="00097A86" w14:paraId="27FC681E" w14:textId="77777777" w:rsidTr="00C20CC2">
        <w:tc>
          <w:tcPr>
            <w:tcW w:w="426" w:type="pct"/>
            <w:shd w:val="clear" w:color="auto" w:fill="auto"/>
          </w:tcPr>
          <w:p w14:paraId="44E785E0" w14:textId="77777777" w:rsidR="00A96E5F" w:rsidRPr="00097A86" w:rsidRDefault="00A96E5F" w:rsidP="00D22D3F">
            <w:pPr>
              <w:pStyle w:val="Tabletext"/>
            </w:pPr>
            <w:r w:rsidRPr="00097A86">
              <w:t>6</w:t>
            </w:r>
          </w:p>
        </w:tc>
        <w:tc>
          <w:tcPr>
            <w:tcW w:w="3819" w:type="pct"/>
            <w:shd w:val="clear" w:color="auto" w:fill="auto"/>
          </w:tcPr>
          <w:p w14:paraId="0107B088" w14:textId="77777777" w:rsidR="00A96E5F" w:rsidRPr="00097A86" w:rsidRDefault="00A96E5F" w:rsidP="00D22D3F">
            <w:pPr>
              <w:pStyle w:val="Tabletext"/>
            </w:pPr>
            <w:r w:rsidRPr="00097A86">
              <w:t>Crude oil transport</w:t>
            </w:r>
          </w:p>
        </w:tc>
        <w:tc>
          <w:tcPr>
            <w:tcW w:w="755" w:type="pct"/>
            <w:shd w:val="clear" w:color="auto" w:fill="auto"/>
          </w:tcPr>
          <w:p w14:paraId="1F0BEFD4" w14:textId="77777777" w:rsidR="00A96E5F" w:rsidRPr="00097A86" w:rsidRDefault="00A96E5F" w:rsidP="00D22D3F">
            <w:pPr>
              <w:pStyle w:val="Tabletext"/>
            </w:pPr>
            <w:r w:rsidRPr="00097A86">
              <w:t>50</w:t>
            </w:r>
          </w:p>
        </w:tc>
      </w:tr>
      <w:tr w:rsidR="00A96E5F" w:rsidRPr="00097A86" w14:paraId="64B1189B" w14:textId="77777777" w:rsidTr="00C20CC2">
        <w:tc>
          <w:tcPr>
            <w:tcW w:w="426" w:type="pct"/>
            <w:shd w:val="clear" w:color="auto" w:fill="auto"/>
          </w:tcPr>
          <w:p w14:paraId="19330C8C" w14:textId="77777777" w:rsidR="00A96E5F" w:rsidRPr="00097A86" w:rsidRDefault="00A96E5F" w:rsidP="00D22D3F">
            <w:pPr>
              <w:pStyle w:val="Tabletext"/>
            </w:pPr>
            <w:r w:rsidRPr="00097A86">
              <w:t>7</w:t>
            </w:r>
          </w:p>
        </w:tc>
        <w:tc>
          <w:tcPr>
            <w:tcW w:w="3819" w:type="pct"/>
            <w:shd w:val="clear" w:color="auto" w:fill="auto"/>
          </w:tcPr>
          <w:p w14:paraId="5675172F" w14:textId="77777777" w:rsidR="00A96E5F" w:rsidRPr="00097A86" w:rsidRDefault="00A96E5F" w:rsidP="00D22D3F">
            <w:pPr>
              <w:pStyle w:val="Tabletext"/>
            </w:pPr>
            <w:r w:rsidRPr="00097A86">
              <w:t>Crude oil refining</w:t>
            </w:r>
          </w:p>
        </w:tc>
        <w:tc>
          <w:tcPr>
            <w:tcW w:w="755" w:type="pct"/>
            <w:shd w:val="clear" w:color="auto" w:fill="auto"/>
          </w:tcPr>
          <w:p w14:paraId="650750BC" w14:textId="77777777" w:rsidR="00A96E5F" w:rsidRPr="00097A86" w:rsidRDefault="00A96E5F" w:rsidP="00D22D3F">
            <w:pPr>
              <w:pStyle w:val="Tabletext"/>
            </w:pPr>
            <w:r w:rsidRPr="00097A86">
              <w:t>50</w:t>
            </w:r>
          </w:p>
        </w:tc>
      </w:tr>
      <w:tr w:rsidR="00A96E5F" w:rsidRPr="00097A86" w14:paraId="0D70F932" w14:textId="77777777" w:rsidTr="00C20CC2">
        <w:tc>
          <w:tcPr>
            <w:tcW w:w="426" w:type="pct"/>
            <w:shd w:val="clear" w:color="auto" w:fill="auto"/>
          </w:tcPr>
          <w:p w14:paraId="7909EA1E" w14:textId="77777777" w:rsidR="00A96E5F" w:rsidRPr="00097A86" w:rsidRDefault="00A96E5F" w:rsidP="00D22D3F">
            <w:pPr>
              <w:pStyle w:val="Tabletext"/>
            </w:pPr>
            <w:r w:rsidRPr="00097A86">
              <w:t>8</w:t>
            </w:r>
          </w:p>
        </w:tc>
        <w:tc>
          <w:tcPr>
            <w:tcW w:w="3819" w:type="pct"/>
            <w:shd w:val="clear" w:color="auto" w:fill="auto"/>
          </w:tcPr>
          <w:p w14:paraId="0C676BC0" w14:textId="77777777" w:rsidR="00A96E5F" w:rsidRPr="00097A86" w:rsidRDefault="00A96E5F" w:rsidP="00D22D3F">
            <w:pPr>
              <w:pStyle w:val="Tabletext"/>
            </w:pPr>
            <w:r w:rsidRPr="00097A86">
              <w:t>Natural gas production or processing (other than emissions that are flared)</w:t>
            </w:r>
          </w:p>
        </w:tc>
        <w:tc>
          <w:tcPr>
            <w:tcW w:w="755" w:type="pct"/>
            <w:shd w:val="clear" w:color="auto" w:fill="auto"/>
          </w:tcPr>
          <w:p w14:paraId="769D591F" w14:textId="77777777" w:rsidR="00A96E5F" w:rsidRPr="00097A86" w:rsidRDefault="00A96E5F" w:rsidP="00D22D3F">
            <w:pPr>
              <w:pStyle w:val="Tabletext"/>
            </w:pPr>
            <w:r w:rsidRPr="00097A86">
              <w:t>50</w:t>
            </w:r>
          </w:p>
        </w:tc>
      </w:tr>
      <w:tr w:rsidR="00A96E5F" w:rsidRPr="00097A86" w14:paraId="56A0FDFB" w14:textId="77777777" w:rsidTr="00C20CC2">
        <w:tc>
          <w:tcPr>
            <w:tcW w:w="426" w:type="pct"/>
            <w:shd w:val="clear" w:color="auto" w:fill="auto"/>
          </w:tcPr>
          <w:p w14:paraId="42149B40" w14:textId="77777777" w:rsidR="00A96E5F" w:rsidRPr="00097A86" w:rsidRDefault="00A96E5F" w:rsidP="00D22D3F">
            <w:pPr>
              <w:pStyle w:val="Tabletext"/>
            </w:pPr>
            <w:r w:rsidRPr="00097A86">
              <w:t>9</w:t>
            </w:r>
          </w:p>
        </w:tc>
        <w:tc>
          <w:tcPr>
            <w:tcW w:w="3819" w:type="pct"/>
            <w:shd w:val="clear" w:color="auto" w:fill="auto"/>
          </w:tcPr>
          <w:p w14:paraId="2B94C6E9" w14:textId="77777777" w:rsidR="00A96E5F" w:rsidRPr="00097A86" w:rsidRDefault="00A96E5F" w:rsidP="00D22D3F">
            <w:pPr>
              <w:pStyle w:val="Tabletext"/>
            </w:pPr>
            <w:r w:rsidRPr="00097A86">
              <w:t>Natural gas transmission</w:t>
            </w:r>
          </w:p>
        </w:tc>
        <w:tc>
          <w:tcPr>
            <w:tcW w:w="755" w:type="pct"/>
            <w:shd w:val="clear" w:color="auto" w:fill="auto"/>
          </w:tcPr>
          <w:p w14:paraId="059F9843" w14:textId="77777777" w:rsidR="00A96E5F" w:rsidRPr="00097A86" w:rsidRDefault="00A96E5F" w:rsidP="00D22D3F">
            <w:pPr>
              <w:pStyle w:val="Tabletext"/>
            </w:pPr>
            <w:r w:rsidRPr="00097A86">
              <w:t>50</w:t>
            </w:r>
          </w:p>
        </w:tc>
      </w:tr>
      <w:tr w:rsidR="00A96E5F" w:rsidRPr="00097A86" w14:paraId="29C5884A" w14:textId="77777777" w:rsidTr="00C20CC2">
        <w:tc>
          <w:tcPr>
            <w:tcW w:w="426" w:type="pct"/>
            <w:tcBorders>
              <w:bottom w:val="single" w:sz="4" w:space="0" w:color="auto"/>
            </w:tcBorders>
            <w:shd w:val="clear" w:color="auto" w:fill="auto"/>
          </w:tcPr>
          <w:p w14:paraId="793C767F" w14:textId="77777777" w:rsidR="00A96E5F" w:rsidRPr="00097A86" w:rsidRDefault="00A96E5F" w:rsidP="00D22D3F">
            <w:pPr>
              <w:pStyle w:val="Tabletext"/>
            </w:pPr>
            <w:r w:rsidRPr="00097A86">
              <w:t>10</w:t>
            </w:r>
          </w:p>
        </w:tc>
        <w:tc>
          <w:tcPr>
            <w:tcW w:w="3819" w:type="pct"/>
            <w:tcBorders>
              <w:bottom w:val="single" w:sz="4" w:space="0" w:color="auto"/>
            </w:tcBorders>
            <w:shd w:val="clear" w:color="auto" w:fill="auto"/>
          </w:tcPr>
          <w:p w14:paraId="1F9AF10E" w14:textId="77777777" w:rsidR="00A96E5F" w:rsidRPr="00097A86" w:rsidRDefault="00A96E5F" w:rsidP="00D22D3F">
            <w:pPr>
              <w:pStyle w:val="Tabletext"/>
            </w:pPr>
            <w:r w:rsidRPr="00097A86">
              <w:t>Natural gas distribution</w:t>
            </w:r>
          </w:p>
        </w:tc>
        <w:tc>
          <w:tcPr>
            <w:tcW w:w="755" w:type="pct"/>
            <w:tcBorders>
              <w:bottom w:val="single" w:sz="4" w:space="0" w:color="auto"/>
            </w:tcBorders>
            <w:shd w:val="clear" w:color="auto" w:fill="auto"/>
          </w:tcPr>
          <w:p w14:paraId="161E76F0" w14:textId="77777777" w:rsidR="00A96E5F" w:rsidRPr="00097A86" w:rsidRDefault="00A96E5F" w:rsidP="00D22D3F">
            <w:pPr>
              <w:pStyle w:val="Tabletext"/>
            </w:pPr>
            <w:r w:rsidRPr="00097A86">
              <w:t>50</w:t>
            </w:r>
          </w:p>
        </w:tc>
      </w:tr>
      <w:tr w:rsidR="00A96E5F" w:rsidRPr="00097A86" w14:paraId="6DB112A4" w14:textId="77777777" w:rsidTr="00C20CC2">
        <w:tc>
          <w:tcPr>
            <w:tcW w:w="426" w:type="pct"/>
            <w:tcBorders>
              <w:bottom w:val="single" w:sz="12" w:space="0" w:color="auto"/>
            </w:tcBorders>
            <w:shd w:val="clear" w:color="auto" w:fill="auto"/>
          </w:tcPr>
          <w:p w14:paraId="1A0A5414" w14:textId="77777777" w:rsidR="00A96E5F" w:rsidRPr="00097A86" w:rsidRDefault="00A96E5F" w:rsidP="00D22D3F">
            <w:pPr>
              <w:pStyle w:val="Tabletext"/>
            </w:pPr>
            <w:r w:rsidRPr="00097A86">
              <w:t>11</w:t>
            </w:r>
          </w:p>
        </w:tc>
        <w:tc>
          <w:tcPr>
            <w:tcW w:w="3819" w:type="pct"/>
            <w:tcBorders>
              <w:bottom w:val="single" w:sz="12" w:space="0" w:color="auto"/>
            </w:tcBorders>
            <w:shd w:val="clear" w:color="auto" w:fill="auto"/>
          </w:tcPr>
          <w:p w14:paraId="19484AE6" w14:textId="77777777" w:rsidR="00A96E5F" w:rsidRPr="00097A86" w:rsidRDefault="00A96E5F" w:rsidP="00D22D3F">
            <w:pPr>
              <w:pStyle w:val="Tabletext"/>
            </w:pPr>
            <w:r w:rsidRPr="00097A86">
              <w:t>Natural gas production or processing</w:t>
            </w:r>
            <w:r w:rsidR="00D22D3F" w:rsidRPr="00097A86">
              <w:t>—</w:t>
            </w:r>
            <w:r w:rsidRPr="00097A86">
              <w:t>flaring</w:t>
            </w:r>
          </w:p>
        </w:tc>
        <w:tc>
          <w:tcPr>
            <w:tcW w:w="755" w:type="pct"/>
            <w:tcBorders>
              <w:bottom w:val="single" w:sz="12" w:space="0" w:color="auto"/>
            </w:tcBorders>
            <w:shd w:val="clear" w:color="auto" w:fill="auto"/>
          </w:tcPr>
          <w:p w14:paraId="056E25E9" w14:textId="77777777" w:rsidR="00A96E5F" w:rsidRPr="00097A86" w:rsidRDefault="00A96E5F" w:rsidP="00D22D3F">
            <w:pPr>
              <w:pStyle w:val="Tabletext"/>
            </w:pPr>
            <w:r w:rsidRPr="00097A86">
              <w:t>25</w:t>
            </w:r>
          </w:p>
        </w:tc>
      </w:tr>
    </w:tbl>
    <w:p w14:paraId="3D2503DB" w14:textId="77777777" w:rsidR="00A96E5F" w:rsidRPr="00097A86" w:rsidRDefault="00A96E5F" w:rsidP="00D22D3F">
      <w:pPr>
        <w:pStyle w:val="ActHead5"/>
      </w:pPr>
      <w:bookmarkStart w:id="662" w:name="_Toc13234089"/>
      <w:r w:rsidRPr="00097A86">
        <w:rPr>
          <w:rStyle w:val="CharSectno"/>
        </w:rPr>
        <w:t>8.9</w:t>
      </w:r>
      <w:r w:rsidR="00D22D3F" w:rsidRPr="00097A86">
        <w:t xml:space="preserve">  </w:t>
      </w:r>
      <w:r w:rsidRPr="00097A86">
        <w:t>Assessment of uncertainty for estimates of emissions from industrial process sources</w:t>
      </w:r>
      <w:bookmarkEnd w:id="662"/>
    </w:p>
    <w:p w14:paraId="5011C026" w14:textId="77777777" w:rsidR="00A96E5F" w:rsidRPr="00097A86" w:rsidRDefault="00A96E5F" w:rsidP="00D22D3F">
      <w:pPr>
        <w:pStyle w:val="subsection"/>
      </w:pPr>
      <w:r w:rsidRPr="00097A86">
        <w:tab/>
        <w:t>(1)</w:t>
      </w:r>
      <w:r w:rsidRPr="00097A86">
        <w:tab/>
        <w:t>In assessing uncertainty of the estimates of emissions estimated using method 1 for the industrial process sources mentioned in column 2 of an item of the following table, the assessment must include the uncertainty level for the emission factor and activity data associated with the source:</w:t>
      </w:r>
    </w:p>
    <w:p w14:paraId="5405589B" w14:textId="77777777" w:rsidR="00A96E5F" w:rsidRPr="00097A86" w:rsidRDefault="00A96E5F" w:rsidP="00D22D3F">
      <w:pPr>
        <w:pStyle w:val="paragraph"/>
      </w:pPr>
      <w:r w:rsidRPr="00097A86">
        <w:tab/>
        <w:t>(a)</w:t>
      </w:r>
      <w:r w:rsidRPr="00097A86">
        <w:tab/>
        <w:t>as specified:</w:t>
      </w:r>
    </w:p>
    <w:p w14:paraId="6C25143D" w14:textId="77777777" w:rsidR="00A96E5F" w:rsidRPr="00097A86" w:rsidRDefault="00A96E5F" w:rsidP="00D22D3F">
      <w:pPr>
        <w:pStyle w:val="paragraphsub"/>
      </w:pPr>
      <w:r w:rsidRPr="00097A86">
        <w:tab/>
        <w:t>(i)</w:t>
      </w:r>
      <w:r w:rsidRPr="00097A86">
        <w:tab/>
        <w:t>for the emission factor</w:t>
      </w:r>
      <w:r w:rsidR="00D22D3F" w:rsidRPr="00097A86">
        <w:t>—</w:t>
      </w:r>
      <w:r w:rsidRPr="00097A86">
        <w:t>in column 3 for the item; and</w:t>
      </w:r>
    </w:p>
    <w:p w14:paraId="65865182" w14:textId="77777777" w:rsidR="00A96E5F" w:rsidRPr="00097A86" w:rsidRDefault="00A96E5F" w:rsidP="00D22D3F">
      <w:pPr>
        <w:pStyle w:val="paragraphsub"/>
      </w:pPr>
      <w:r w:rsidRPr="00097A86">
        <w:tab/>
        <w:t>(ii)</w:t>
      </w:r>
      <w:r w:rsidRPr="00097A86">
        <w:tab/>
        <w:t>for the activity data</w:t>
      </w:r>
      <w:r w:rsidR="00D22D3F" w:rsidRPr="00097A86">
        <w:t>—</w:t>
      </w:r>
      <w:r w:rsidRPr="00097A86">
        <w:t>in column 4 for the item; or</w:t>
      </w:r>
    </w:p>
    <w:p w14:paraId="6CF1D10C" w14:textId="77777777" w:rsidR="00A96E5F" w:rsidRPr="00097A86" w:rsidRDefault="00A96E5F" w:rsidP="001E6454">
      <w:pPr>
        <w:pStyle w:val="paragraph"/>
      </w:pPr>
      <w:r w:rsidRPr="00097A86">
        <w:tab/>
        <w:t>(b)</w:t>
      </w:r>
      <w:r w:rsidRPr="00097A86">
        <w:tab/>
        <w:t>as worked out in accordance with the uncertainty protocol.</w:t>
      </w:r>
    </w:p>
    <w:p w14:paraId="13EDBDFC"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3"/>
        <w:gridCol w:w="5116"/>
        <w:gridCol w:w="1249"/>
        <w:gridCol w:w="1235"/>
      </w:tblGrid>
      <w:tr w:rsidR="00A93D2F" w:rsidRPr="00097A86" w14:paraId="51699989" w14:textId="77777777" w:rsidTr="00C20CC2">
        <w:trPr>
          <w:tblHeader/>
        </w:trPr>
        <w:tc>
          <w:tcPr>
            <w:tcW w:w="429" w:type="pct"/>
            <w:tcBorders>
              <w:top w:val="single" w:sz="12" w:space="0" w:color="auto"/>
              <w:bottom w:val="single" w:sz="12" w:space="0" w:color="auto"/>
            </w:tcBorders>
            <w:shd w:val="clear" w:color="auto" w:fill="auto"/>
          </w:tcPr>
          <w:p w14:paraId="229E3382" w14:textId="77777777" w:rsidR="00A93D2F" w:rsidRPr="00097A86" w:rsidRDefault="00973313" w:rsidP="00D22D3F">
            <w:pPr>
              <w:pStyle w:val="TableHeading"/>
              <w:rPr>
                <w:szCs w:val="18"/>
              </w:rPr>
            </w:pPr>
            <w:r w:rsidRPr="00097A86">
              <w:rPr>
                <w:szCs w:val="18"/>
              </w:rPr>
              <w:t>Item</w:t>
            </w:r>
          </w:p>
        </w:tc>
        <w:tc>
          <w:tcPr>
            <w:tcW w:w="3077" w:type="pct"/>
            <w:tcBorders>
              <w:top w:val="single" w:sz="12" w:space="0" w:color="auto"/>
              <w:bottom w:val="single" w:sz="12" w:space="0" w:color="auto"/>
            </w:tcBorders>
            <w:shd w:val="clear" w:color="auto" w:fill="auto"/>
          </w:tcPr>
          <w:p w14:paraId="2A2AB63A" w14:textId="77777777" w:rsidR="00A93D2F" w:rsidRPr="00097A86" w:rsidRDefault="00A93D2F" w:rsidP="00D22D3F">
            <w:pPr>
              <w:pStyle w:val="TableHeading"/>
              <w:rPr>
                <w:szCs w:val="18"/>
              </w:rPr>
            </w:pPr>
            <w:r w:rsidRPr="00097A86">
              <w:rPr>
                <w:szCs w:val="18"/>
              </w:rPr>
              <w:t>Industrial process sources</w:t>
            </w:r>
          </w:p>
        </w:tc>
        <w:tc>
          <w:tcPr>
            <w:tcW w:w="751" w:type="pct"/>
            <w:tcBorders>
              <w:top w:val="single" w:sz="12" w:space="0" w:color="auto"/>
              <w:bottom w:val="single" w:sz="12" w:space="0" w:color="auto"/>
            </w:tcBorders>
            <w:shd w:val="clear" w:color="auto" w:fill="auto"/>
          </w:tcPr>
          <w:p w14:paraId="439DAB28" w14:textId="77777777" w:rsidR="00A93D2F" w:rsidRPr="00097A86" w:rsidRDefault="00A93D2F" w:rsidP="00D22D3F">
            <w:pPr>
              <w:pStyle w:val="TableHeading"/>
              <w:rPr>
                <w:rStyle w:val="Strong"/>
                <w:rFonts w:cs="Arial"/>
                <w:b/>
                <w:szCs w:val="18"/>
              </w:rPr>
            </w:pPr>
            <w:r w:rsidRPr="00097A86">
              <w:rPr>
                <w:szCs w:val="18"/>
              </w:rPr>
              <w:t>Emission factor uncertainty level (%)</w:t>
            </w:r>
          </w:p>
        </w:tc>
        <w:tc>
          <w:tcPr>
            <w:tcW w:w="743" w:type="pct"/>
            <w:tcBorders>
              <w:top w:val="single" w:sz="12" w:space="0" w:color="auto"/>
              <w:bottom w:val="single" w:sz="12" w:space="0" w:color="auto"/>
            </w:tcBorders>
            <w:shd w:val="clear" w:color="auto" w:fill="auto"/>
          </w:tcPr>
          <w:p w14:paraId="12BC0071" w14:textId="77777777" w:rsidR="00A93D2F" w:rsidRPr="00097A86" w:rsidRDefault="00A93D2F" w:rsidP="00D22D3F">
            <w:pPr>
              <w:pStyle w:val="TableHeading"/>
              <w:rPr>
                <w:szCs w:val="18"/>
              </w:rPr>
            </w:pPr>
            <w:r w:rsidRPr="00097A86">
              <w:rPr>
                <w:szCs w:val="18"/>
              </w:rPr>
              <w:t>Activity data uncertainty (%)</w:t>
            </w:r>
          </w:p>
        </w:tc>
      </w:tr>
      <w:tr w:rsidR="00A96E5F" w:rsidRPr="00097A86" w14:paraId="1E553337" w14:textId="77777777" w:rsidTr="00C20CC2">
        <w:tc>
          <w:tcPr>
            <w:tcW w:w="429" w:type="pct"/>
            <w:tcBorders>
              <w:top w:val="single" w:sz="12" w:space="0" w:color="auto"/>
            </w:tcBorders>
            <w:shd w:val="clear" w:color="auto" w:fill="auto"/>
          </w:tcPr>
          <w:p w14:paraId="5B33F63C" w14:textId="77777777" w:rsidR="00A96E5F" w:rsidRPr="00097A86" w:rsidRDefault="00A96E5F" w:rsidP="00D22D3F">
            <w:pPr>
              <w:pStyle w:val="Tabletext"/>
            </w:pPr>
            <w:r w:rsidRPr="00097A86">
              <w:t>1</w:t>
            </w:r>
          </w:p>
        </w:tc>
        <w:tc>
          <w:tcPr>
            <w:tcW w:w="3077" w:type="pct"/>
            <w:tcBorders>
              <w:top w:val="single" w:sz="12" w:space="0" w:color="auto"/>
            </w:tcBorders>
            <w:shd w:val="clear" w:color="auto" w:fill="auto"/>
          </w:tcPr>
          <w:p w14:paraId="737A30FD" w14:textId="77777777" w:rsidR="00A96E5F" w:rsidRPr="00097A86" w:rsidRDefault="00A96E5F" w:rsidP="00D22D3F">
            <w:pPr>
              <w:pStyle w:val="Tabletext"/>
              <w:rPr>
                <w:szCs w:val="22"/>
                <w:vertAlign w:val="superscript"/>
              </w:rPr>
            </w:pPr>
            <w:r w:rsidRPr="00097A86">
              <w:t>Cement clinker production</w:t>
            </w:r>
          </w:p>
        </w:tc>
        <w:tc>
          <w:tcPr>
            <w:tcW w:w="751" w:type="pct"/>
            <w:tcBorders>
              <w:top w:val="single" w:sz="12" w:space="0" w:color="auto"/>
            </w:tcBorders>
            <w:shd w:val="clear" w:color="auto" w:fill="auto"/>
          </w:tcPr>
          <w:p w14:paraId="31B647E8" w14:textId="77777777" w:rsidR="00A96E5F" w:rsidRPr="00097A86" w:rsidRDefault="00A96E5F" w:rsidP="00D22D3F">
            <w:pPr>
              <w:pStyle w:val="Tabletext"/>
            </w:pPr>
            <w:r w:rsidRPr="00097A86">
              <w:t>6</w:t>
            </w:r>
          </w:p>
        </w:tc>
        <w:tc>
          <w:tcPr>
            <w:tcW w:w="743" w:type="pct"/>
            <w:tcBorders>
              <w:top w:val="single" w:sz="12" w:space="0" w:color="auto"/>
            </w:tcBorders>
            <w:shd w:val="clear" w:color="auto" w:fill="auto"/>
          </w:tcPr>
          <w:p w14:paraId="38F15BA2" w14:textId="77777777" w:rsidR="00A96E5F" w:rsidRPr="00097A86" w:rsidRDefault="00A96E5F" w:rsidP="00D22D3F">
            <w:pPr>
              <w:pStyle w:val="Tabletext"/>
            </w:pPr>
            <w:r w:rsidRPr="00097A86">
              <w:t>1.5</w:t>
            </w:r>
          </w:p>
        </w:tc>
      </w:tr>
      <w:tr w:rsidR="00A96E5F" w:rsidRPr="00097A86" w14:paraId="27536079" w14:textId="77777777" w:rsidTr="00C20CC2">
        <w:tc>
          <w:tcPr>
            <w:tcW w:w="429" w:type="pct"/>
            <w:shd w:val="clear" w:color="auto" w:fill="auto"/>
          </w:tcPr>
          <w:p w14:paraId="459A84E5" w14:textId="77777777" w:rsidR="00A96E5F" w:rsidRPr="00097A86" w:rsidRDefault="00A96E5F" w:rsidP="00D22D3F">
            <w:pPr>
              <w:pStyle w:val="Tabletext"/>
            </w:pPr>
            <w:r w:rsidRPr="00097A86">
              <w:t>2</w:t>
            </w:r>
          </w:p>
        </w:tc>
        <w:tc>
          <w:tcPr>
            <w:tcW w:w="3077" w:type="pct"/>
            <w:shd w:val="clear" w:color="auto" w:fill="auto"/>
          </w:tcPr>
          <w:p w14:paraId="53E91CB5" w14:textId="77777777" w:rsidR="00A96E5F" w:rsidRPr="00097A86" w:rsidRDefault="00A96E5F" w:rsidP="00D22D3F">
            <w:pPr>
              <w:pStyle w:val="Tabletext"/>
            </w:pPr>
            <w:r w:rsidRPr="00097A86">
              <w:t>Lime production</w:t>
            </w:r>
          </w:p>
        </w:tc>
        <w:tc>
          <w:tcPr>
            <w:tcW w:w="751" w:type="pct"/>
            <w:shd w:val="clear" w:color="auto" w:fill="auto"/>
          </w:tcPr>
          <w:p w14:paraId="30FF2B97" w14:textId="77777777" w:rsidR="00A96E5F" w:rsidRPr="00097A86" w:rsidRDefault="00A96E5F" w:rsidP="00D22D3F">
            <w:pPr>
              <w:pStyle w:val="Tabletext"/>
            </w:pPr>
            <w:r w:rsidRPr="00097A86">
              <w:t>6</w:t>
            </w:r>
          </w:p>
        </w:tc>
        <w:tc>
          <w:tcPr>
            <w:tcW w:w="743" w:type="pct"/>
            <w:shd w:val="clear" w:color="auto" w:fill="auto"/>
          </w:tcPr>
          <w:p w14:paraId="4837FF8B" w14:textId="77777777" w:rsidR="00A96E5F" w:rsidRPr="00097A86" w:rsidRDefault="00A96E5F" w:rsidP="00D22D3F">
            <w:pPr>
              <w:pStyle w:val="Tabletext"/>
            </w:pPr>
            <w:r w:rsidRPr="00097A86">
              <w:t>1.5</w:t>
            </w:r>
          </w:p>
        </w:tc>
      </w:tr>
      <w:tr w:rsidR="00A96E5F" w:rsidRPr="00097A86" w14:paraId="345E34B9" w14:textId="77777777" w:rsidTr="00C20CC2">
        <w:tc>
          <w:tcPr>
            <w:tcW w:w="429" w:type="pct"/>
            <w:shd w:val="clear" w:color="auto" w:fill="auto"/>
          </w:tcPr>
          <w:p w14:paraId="44A8C7CA" w14:textId="77777777" w:rsidR="00A96E5F" w:rsidRPr="00097A86" w:rsidRDefault="00A96E5F" w:rsidP="00D22D3F">
            <w:pPr>
              <w:pStyle w:val="Tabletext"/>
            </w:pPr>
            <w:r w:rsidRPr="00097A86">
              <w:t>3</w:t>
            </w:r>
          </w:p>
        </w:tc>
        <w:tc>
          <w:tcPr>
            <w:tcW w:w="3077" w:type="pct"/>
            <w:shd w:val="clear" w:color="auto" w:fill="auto"/>
          </w:tcPr>
          <w:p w14:paraId="1A057550" w14:textId="77777777" w:rsidR="00A96E5F" w:rsidRPr="00097A86" w:rsidRDefault="00A96E5F" w:rsidP="00D22D3F">
            <w:pPr>
              <w:pStyle w:val="Tabletext"/>
            </w:pPr>
            <w:r w:rsidRPr="00097A86">
              <w:t xml:space="preserve">Soda ash use </w:t>
            </w:r>
          </w:p>
        </w:tc>
        <w:tc>
          <w:tcPr>
            <w:tcW w:w="751" w:type="pct"/>
            <w:shd w:val="clear" w:color="auto" w:fill="auto"/>
          </w:tcPr>
          <w:p w14:paraId="5E724B3D" w14:textId="77777777" w:rsidR="00A96E5F" w:rsidRPr="00097A86" w:rsidRDefault="00A96E5F" w:rsidP="00D22D3F">
            <w:pPr>
              <w:pStyle w:val="Tabletext"/>
            </w:pPr>
            <w:r w:rsidRPr="00097A86">
              <w:t>5</w:t>
            </w:r>
          </w:p>
        </w:tc>
        <w:tc>
          <w:tcPr>
            <w:tcW w:w="743" w:type="pct"/>
            <w:shd w:val="clear" w:color="auto" w:fill="auto"/>
          </w:tcPr>
          <w:p w14:paraId="61BD4072" w14:textId="77777777" w:rsidR="00A96E5F" w:rsidRPr="00097A86" w:rsidRDefault="00A96E5F" w:rsidP="00D22D3F">
            <w:pPr>
              <w:pStyle w:val="Tabletext"/>
            </w:pPr>
            <w:r w:rsidRPr="00097A86">
              <w:t>1.5</w:t>
            </w:r>
          </w:p>
        </w:tc>
      </w:tr>
      <w:tr w:rsidR="00A96E5F" w:rsidRPr="00097A86" w14:paraId="479B6439" w14:textId="77777777" w:rsidTr="00C20CC2">
        <w:tc>
          <w:tcPr>
            <w:tcW w:w="429" w:type="pct"/>
            <w:shd w:val="clear" w:color="auto" w:fill="auto"/>
          </w:tcPr>
          <w:p w14:paraId="1D1978D9" w14:textId="77777777" w:rsidR="00A96E5F" w:rsidRPr="00097A86" w:rsidRDefault="00A96E5F" w:rsidP="00D22D3F">
            <w:pPr>
              <w:pStyle w:val="Tabletext"/>
            </w:pPr>
            <w:r w:rsidRPr="00097A86">
              <w:t>4</w:t>
            </w:r>
          </w:p>
        </w:tc>
        <w:tc>
          <w:tcPr>
            <w:tcW w:w="3077" w:type="pct"/>
            <w:shd w:val="clear" w:color="auto" w:fill="auto"/>
          </w:tcPr>
          <w:p w14:paraId="753DD5ED" w14:textId="77777777" w:rsidR="00A96E5F" w:rsidRPr="00097A86" w:rsidRDefault="00A96E5F" w:rsidP="00D22D3F">
            <w:pPr>
              <w:pStyle w:val="Tabletext"/>
            </w:pPr>
            <w:r w:rsidRPr="00097A86">
              <w:t>Use of carbonates for the production of a product other than cement clinker, lime or soda ash</w:t>
            </w:r>
          </w:p>
        </w:tc>
        <w:tc>
          <w:tcPr>
            <w:tcW w:w="751" w:type="pct"/>
            <w:shd w:val="clear" w:color="auto" w:fill="auto"/>
          </w:tcPr>
          <w:p w14:paraId="6044CEAC" w14:textId="77777777" w:rsidR="00A96E5F" w:rsidRPr="00097A86" w:rsidRDefault="00A96E5F" w:rsidP="00D22D3F">
            <w:pPr>
              <w:pStyle w:val="Tabletext"/>
            </w:pPr>
            <w:r w:rsidRPr="00097A86">
              <w:t>5</w:t>
            </w:r>
          </w:p>
        </w:tc>
        <w:tc>
          <w:tcPr>
            <w:tcW w:w="743" w:type="pct"/>
            <w:shd w:val="clear" w:color="auto" w:fill="auto"/>
          </w:tcPr>
          <w:p w14:paraId="4AB973C7" w14:textId="77777777" w:rsidR="00A96E5F" w:rsidRPr="00097A86" w:rsidRDefault="00A96E5F" w:rsidP="00D22D3F">
            <w:pPr>
              <w:pStyle w:val="Tabletext"/>
            </w:pPr>
            <w:r w:rsidRPr="00097A86">
              <w:t>1.5</w:t>
            </w:r>
          </w:p>
        </w:tc>
      </w:tr>
      <w:tr w:rsidR="00A96E5F" w:rsidRPr="00097A86" w14:paraId="6C708119" w14:textId="77777777" w:rsidTr="00C20CC2">
        <w:tc>
          <w:tcPr>
            <w:tcW w:w="429" w:type="pct"/>
            <w:shd w:val="clear" w:color="auto" w:fill="auto"/>
          </w:tcPr>
          <w:p w14:paraId="2F60AAC3" w14:textId="77777777" w:rsidR="00A96E5F" w:rsidRPr="00097A86" w:rsidRDefault="00A96E5F" w:rsidP="00D22D3F">
            <w:pPr>
              <w:pStyle w:val="Tabletext"/>
            </w:pPr>
            <w:r w:rsidRPr="00097A86">
              <w:t>5</w:t>
            </w:r>
          </w:p>
        </w:tc>
        <w:tc>
          <w:tcPr>
            <w:tcW w:w="3077" w:type="pct"/>
            <w:shd w:val="clear" w:color="auto" w:fill="auto"/>
          </w:tcPr>
          <w:p w14:paraId="2A83BC54" w14:textId="77777777" w:rsidR="00A96E5F" w:rsidRPr="00097A86" w:rsidRDefault="00A96E5F" w:rsidP="00D22D3F">
            <w:pPr>
              <w:pStyle w:val="Tabletext"/>
            </w:pPr>
            <w:r w:rsidRPr="00097A86">
              <w:t>Nitric acid production</w:t>
            </w:r>
          </w:p>
        </w:tc>
        <w:tc>
          <w:tcPr>
            <w:tcW w:w="751" w:type="pct"/>
            <w:shd w:val="clear" w:color="auto" w:fill="auto"/>
          </w:tcPr>
          <w:p w14:paraId="1ADCB2EB" w14:textId="77777777" w:rsidR="00A96E5F" w:rsidRPr="00097A86" w:rsidRDefault="00A96E5F" w:rsidP="00D22D3F">
            <w:pPr>
              <w:pStyle w:val="Tabletext"/>
            </w:pPr>
            <w:r w:rsidRPr="00097A86">
              <w:t>40</w:t>
            </w:r>
          </w:p>
        </w:tc>
        <w:tc>
          <w:tcPr>
            <w:tcW w:w="743" w:type="pct"/>
            <w:shd w:val="clear" w:color="auto" w:fill="auto"/>
          </w:tcPr>
          <w:p w14:paraId="1FC89107" w14:textId="77777777" w:rsidR="00A96E5F" w:rsidRPr="00097A86" w:rsidRDefault="00A96E5F" w:rsidP="00D22D3F">
            <w:pPr>
              <w:pStyle w:val="Tabletext"/>
            </w:pPr>
            <w:r w:rsidRPr="00097A86">
              <w:t>1.5</w:t>
            </w:r>
          </w:p>
        </w:tc>
      </w:tr>
      <w:tr w:rsidR="00A96E5F" w:rsidRPr="00097A86" w14:paraId="018D39F8" w14:textId="77777777" w:rsidTr="00C20CC2">
        <w:tc>
          <w:tcPr>
            <w:tcW w:w="429" w:type="pct"/>
            <w:shd w:val="clear" w:color="auto" w:fill="auto"/>
          </w:tcPr>
          <w:p w14:paraId="331587D4" w14:textId="77777777" w:rsidR="00A96E5F" w:rsidRPr="00097A86" w:rsidRDefault="00A96E5F" w:rsidP="00D22D3F">
            <w:pPr>
              <w:pStyle w:val="Tabletext"/>
            </w:pPr>
            <w:r w:rsidRPr="00097A86">
              <w:lastRenderedPageBreak/>
              <w:t>6</w:t>
            </w:r>
          </w:p>
        </w:tc>
        <w:tc>
          <w:tcPr>
            <w:tcW w:w="3077" w:type="pct"/>
            <w:shd w:val="clear" w:color="auto" w:fill="auto"/>
          </w:tcPr>
          <w:p w14:paraId="5C08B1A5" w14:textId="77777777" w:rsidR="00A96E5F" w:rsidRPr="00097A86" w:rsidRDefault="00A96E5F" w:rsidP="00D22D3F">
            <w:pPr>
              <w:pStyle w:val="Tabletext"/>
            </w:pPr>
            <w:r w:rsidRPr="00097A86">
              <w:t>Adipic acid production</w:t>
            </w:r>
          </w:p>
        </w:tc>
        <w:tc>
          <w:tcPr>
            <w:tcW w:w="751" w:type="pct"/>
            <w:shd w:val="clear" w:color="auto" w:fill="auto"/>
          </w:tcPr>
          <w:p w14:paraId="5493FAC8" w14:textId="77777777" w:rsidR="00A96E5F" w:rsidRPr="00097A86" w:rsidRDefault="00A96E5F" w:rsidP="00D22D3F">
            <w:pPr>
              <w:pStyle w:val="Tabletext"/>
            </w:pPr>
            <w:r w:rsidRPr="00097A86">
              <w:t>10</w:t>
            </w:r>
          </w:p>
        </w:tc>
        <w:tc>
          <w:tcPr>
            <w:tcW w:w="743" w:type="pct"/>
            <w:shd w:val="clear" w:color="auto" w:fill="auto"/>
          </w:tcPr>
          <w:p w14:paraId="4C089D74" w14:textId="77777777" w:rsidR="00A96E5F" w:rsidRPr="00097A86" w:rsidRDefault="00A96E5F" w:rsidP="00D22D3F">
            <w:pPr>
              <w:pStyle w:val="Tabletext"/>
            </w:pPr>
            <w:r w:rsidRPr="00097A86">
              <w:t>1.5</w:t>
            </w:r>
          </w:p>
        </w:tc>
      </w:tr>
      <w:tr w:rsidR="00571776" w:rsidRPr="00097A86" w14:paraId="35E8A848" w14:textId="77777777" w:rsidTr="00C20CC2">
        <w:tc>
          <w:tcPr>
            <w:tcW w:w="429" w:type="pct"/>
            <w:tcBorders>
              <w:bottom w:val="single" w:sz="4" w:space="0" w:color="auto"/>
            </w:tcBorders>
            <w:shd w:val="clear" w:color="auto" w:fill="auto"/>
          </w:tcPr>
          <w:p w14:paraId="21F595DE" w14:textId="77777777" w:rsidR="00571776" w:rsidRPr="00097A86" w:rsidRDefault="00571776" w:rsidP="00D22D3F">
            <w:pPr>
              <w:pStyle w:val="Tabletext"/>
            </w:pPr>
            <w:r w:rsidRPr="00097A86">
              <w:t>7</w:t>
            </w:r>
          </w:p>
        </w:tc>
        <w:tc>
          <w:tcPr>
            <w:tcW w:w="3077" w:type="pct"/>
            <w:tcBorders>
              <w:bottom w:val="single" w:sz="4" w:space="0" w:color="auto"/>
            </w:tcBorders>
            <w:shd w:val="clear" w:color="auto" w:fill="auto"/>
          </w:tcPr>
          <w:p w14:paraId="65833705" w14:textId="77777777" w:rsidR="00571776" w:rsidRPr="00097A86" w:rsidRDefault="00571776" w:rsidP="00D22D3F">
            <w:pPr>
              <w:pStyle w:val="Tabletext"/>
            </w:pPr>
            <w:r w:rsidRPr="00097A86">
              <w:t>Aluminium (carbon anode consumption)</w:t>
            </w:r>
          </w:p>
        </w:tc>
        <w:tc>
          <w:tcPr>
            <w:tcW w:w="751" w:type="pct"/>
            <w:tcBorders>
              <w:bottom w:val="single" w:sz="4" w:space="0" w:color="auto"/>
            </w:tcBorders>
            <w:shd w:val="clear" w:color="auto" w:fill="auto"/>
          </w:tcPr>
          <w:p w14:paraId="75E2AA32" w14:textId="77777777" w:rsidR="00571776" w:rsidRPr="00097A86" w:rsidRDefault="00571776" w:rsidP="00D22D3F">
            <w:pPr>
              <w:pStyle w:val="Tabletext"/>
            </w:pPr>
            <w:r w:rsidRPr="00097A86">
              <w:t>5</w:t>
            </w:r>
          </w:p>
        </w:tc>
        <w:tc>
          <w:tcPr>
            <w:tcW w:w="743" w:type="pct"/>
            <w:tcBorders>
              <w:bottom w:val="single" w:sz="4" w:space="0" w:color="auto"/>
            </w:tcBorders>
            <w:shd w:val="clear" w:color="auto" w:fill="auto"/>
          </w:tcPr>
          <w:p w14:paraId="13A82D90" w14:textId="77777777" w:rsidR="00571776" w:rsidRPr="00097A86" w:rsidRDefault="00571776" w:rsidP="00D22D3F">
            <w:pPr>
              <w:pStyle w:val="Tabletext"/>
            </w:pPr>
            <w:r w:rsidRPr="00097A86">
              <w:t>1</w:t>
            </w:r>
          </w:p>
        </w:tc>
      </w:tr>
      <w:tr w:rsidR="00571776" w:rsidRPr="00097A86" w14:paraId="770B4AA7" w14:textId="77777777" w:rsidTr="00C20CC2">
        <w:tc>
          <w:tcPr>
            <w:tcW w:w="429" w:type="pct"/>
            <w:tcBorders>
              <w:bottom w:val="single" w:sz="12" w:space="0" w:color="auto"/>
            </w:tcBorders>
            <w:shd w:val="clear" w:color="auto" w:fill="auto"/>
          </w:tcPr>
          <w:p w14:paraId="398CAA1F" w14:textId="77777777" w:rsidR="00571776" w:rsidRPr="00097A86" w:rsidRDefault="00571776" w:rsidP="00D22D3F">
            <w:pPr>
              <w:pStyle w:val="Tabletext"/>
            </w:pPr>
            <w:r w:rsidRPr="00097A86">
              <w:t>8</w:t>
            </w:r>
          </w:p>
        </w:tc>
        <w:tc>
          <w:tcPr>
            <w:tcW w:w="3077" w:type="pct"/>
            <w:tcBorders>
              <w:bottom w:val="single" w:sz="12" w:space="0" w:color="auto"/>
            </w:tcBorders>
            <w:shd w:val="clear" w:color="auto" w:fill="auto"/>
          </w:tcPr>
          <w:p w14:paraId="64674A8A" w14:textId="77777777" w:rsidR="00571776" w:rsidRPr="00097A86" w:rsidRDefault="00571776" w:rsidP="00D22D3F">
            <w:pPr>
              <w:pStyle w:val="Tabletext"/>
            </w:pPr>
            <w:r w:rsidRPr="00097A86">
              <w:t>Aluminium production (perfluoronated carbon compound emissions)</w:t>
            </w:r>
          </w:p>
        </w:tc>
        <w:tc>
          <w:tcPr>
            <w:tcW w:w="751" w:type="pct"/>
            <w:tcBorders>
              <w:bottom w:val="single" w:sz="12" w:space="0" w:color="auto"/>
            </w:tcBorders>
            <w:shd w:val="clear" w:color="auto" w:fill="auto"/>
          </w:tcPr>
          <w:p w14:paraId="69A383D2" w14:textId="77777777" w:rsidR="00571776" w:rsidRPr="00097A86" w:rsidRDefault="00571776" w:rsidP="00D22D3F">
            <w:pPr>
              <w:pStyle w:val="Tabletext"/>
            </w:pPr>
            <w:r w:rsidRPr="00097A86">
              <w:t>6</w:t>
            </w:r>
          </w:p>
        </w:tc>
        <w:tc>
          <w:tcPr>
            <w:tcW w:w="743" w:type="pct"/>
            <w:tcBorders>
              <w:bottom w:val="single" w:sz="12" w:space="0" w:color="auto"/>
            </w:tcBorders>
            <w:shd w:val="clear" w:color="auto" w:fill="auto"/>
          </w:tcPr>
          <w:p w14:paraId="4104FA83" w14:textId="77777777" w:rsidR="00571776" w:rsidRPr="00097A86" w:rsidRDefault="00571776" w:rsidP="00D22D3F">
            <w:pPr>
              <w:pStyle w:val="Tabletext"/>
            </w:pPr>
            <w:r w:rsidRPr="00097A86">
              <w:t>1</w:t>
            </w:r>
          </w:p>
        </w:tc>
      </w:tr>
    </w:tbl>
    <w:p w14:paraId="073BEB6C" w14:textId="77777777" w:rsidR="00A96E5F" w:rsidRPr="00097A86" w:rsidRDefault="00A96E5F" w:rsidP="00D22D3F">
      <w:pPr>
        <w:pStyle w:val="subsection"/>
      </w:pPr>
      <w:r w:rsidRPr="00097A86">
        <w:tab/>
        <w:t>(2)</w:t>
      </w:r>
      <w:r w:rsidRPr="00097A86">
        <w:tab/>
        <w:t>In assessing uncertainty of the estimates of emissions estimated using method 1 for industrial process sources mentioned in column 2 of an item of the following table, column 3 for the item sets out the aggregated uncertainty level associated with the source.</w:t>
      </w:r>
    </w:p>
    <w:p w14:paraId="20C3405D"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45"/>
        <w:gridCol w:w="6107"/>
        <w:gridCol w:w="1561"/>
      </w:tblGrid>
      <w:tr w:rsidR="00AF1DC3" w:rsidRPr="00097A86" w14:paraId="19A0E984" w14:textId="77777777" w:rsidTr="00C20CC2">
        <w:trPr>
          <w:tblHeader/>
        </w:trPr>
        <w:tc>
          <w:tcPr>
            <w:tcW w:w="388" w:type="pct"/>
            <w:tcBorders>
              <w:top w:val="single" w:sz="12" w:space="0" w:color="auto"/>
              <w:bottom w:val="single" w:sz="12" w:space="0" w:color="auto"/>
            </w:tcBorders>
            <w:shd w:val="clear" w:color="auto" w:fill="auto"/>
          </w:tcPr>
          <w:p w14:paraId="7D88F71D" w14:textId="77777777" w:rsidR="00AF1DC3" w:rsidRPr="00097A86" w:rsidRDefault="00AF1DC3" w:rsidP="00D22D3F">
            <w:pPr>
              <w:pStyle w:val="TableHeading"/>
              <w:rPr>
                <w:szCs w:val="18"/>
              </w:rPr>
            </w:pPr>
            <w:r w:rsidRPr="00097A86">
              <w:rPr>
                <w:szCs w:val="18"/>
              </w:rPr>
              <w:t>Item</w:t>
            </w:r>
          </w:p>
        </w:tc>
        <w:tc>
          <w:tcPr>
            <w:tcW w:w="3673" w:type="pct"/>
            <w:tcBorders>
              <w:top w:val="single" w:sz="12" w:space="0" w:color="auto"/>
              <w:bottom w:val="single" w:sz="12" w:space="0" w:color="auto"/>
            </w:tcBorders>
            <w:shd w:val="clear" w:color="auto" w:fill="auto"/>
          </w:tcPr>
          <w:p w14:paraId="0A7D10BE" w14:textId="77777777" w:rsidR="00AF1DC3" w:rsidRPr="00097A86" w:rsidRDefault="00AF1DC3" w:rsidP="00D22D3F">
            <w:pPr>
              <w:pStyle w:val="TableHeading"/>
              <w:rPr>
                <w:szCs w:val="18"/>
              </w:rPr>
            </w:pPr>
            <w:r w:rsidRPr="00097A86">
              <w:rPr>
                <w:szCs w:val="18"/>
              </w:rPr>
              <w:t>Industrial process sources</w:t>
            </w:r>
          </w:p>
        </w:tc>
        <w:tc>
          <w:tcPr>
            <w:tcW w:w="939" w:type="pct"/>
            <w:tcBorders>
              <w:top w:val="single" w:sz="12" w:space="0" w:color="auto"/>
              <w:bottom w:val="single" w:sz="12" w:space="0" w:color="auto"/>
            </w:tcBorders>
            <w:shd w:val="clear" w:color="auto" w:fill="auto"/>
          </w:tcPr>
          <w:p w14:paraId="7AF81094" w14:textId="77777777" w:rsidR="00AF1DC3" w:rsidRPr="00097A86" w:rsidRDefault="00AF1DC3" w:rsidP="00D22D3F">
            <w:pPr>
              <w:pStyle w:val="TableHeading"/>
              <w:rPr>
                <w:rStyle w:val="Strong"/>
                <w:rFonts w:cs="Arial"/>
                <w:b/>
                <w:szCs w:val="18"/>
              </w:rPr>
            </w:pPr>
            <w:r w:rsidRPr="00097A86">
              <w:rPr>
                <w:szCs w:val="18"/>
              </w:rPr>
              <w:t>Aggregated uncertainty level (%)</w:t>
            </w:r>
          </w:p>
        </w:tc>
      </w:tr>
      <w:tr w:rsidR="00A96E5F" w:rsidRPr="00097A86" w14:paraId="430562D6" w14:textId="77777777" w:rsidTr="00C20CC2">
        <w:tc>
          <w:tcPr>
            <w:tcW w:w="388" w:type="pct"/>
            <w:tcBorders>
              <w:top w:val="single" w:sz="12" w:space="0" w:color="auto"/>
              <w:bottom w:val="single" w:sz="12" w:space="0" w:color="auto"/>
            </w:tcBorders>
            <w:shd w:val="clear" w:color="auto" w:fill="auto"/>
          </w:tcPr>
          <w:p w14:paraId="4D2B2839" w14:textId="77777777" w:rsidR="00A96E5F" w:rsidRPr="00097A86" w:rsidRDefault="00A96E5F" w:rsidP="00D22D3F">
            <w:pPr>
              <w:pStyle w:val="Tabletext"/>
            </w:pPr>
            <w:r w:rsidRPr="00097A86">
              <w:t>1</w:t>
            </w:r>
          </w:p>
        </w:tc>
        <w:tc>
          <w:tcPr>
            <w:tcW w:w="3673" w:type="pct"/>
            <w:tcBorders>
              <w:top w:val="single" w:sz="12" w:space="0" w:color="auto"/>
              <w:bottom w:val="single" w:sz="12" w:space="0" w:color="auto"/>
            </w:tcBorders>
            <w:shd w:val="clear" w:color="auto" w:fill="auto"/>
          </w:tcPr>
          <w:p w14:paraId="0BB2E030" w14:textId="77777777" w:rsidR="00A96E5F" w:rsidRPr="00097A86" w:rsidRDefault="00A96E5F" w:rsidP="00D22D3F">
            <w:pPr>
              <w:pStyle w:val="Tabletext"/>
            </w:pPr>
            <w:r w:rsidRPr="00097A86">
              <w:t>Emissions of hydrofluorocarbons and sulphur hexafluoride gas</w:t>
            </w:r>
          </w:p>
        </w:tc>
        <w:tc>
          <w:tcPr>
            <w:tcW w:w="939" w:type="pct"/>
            <w:tcBorders>
              <w:top w:val="single" w:sz="12" w:space="0" w:color="auto"/>
              <w:bottom w:val="single" w:sz="12" w:space="0" w:color="auto"/>
            </w:tcBorders>
            <w:shd w:val="clear" w:color="auto" w:fill="auto"/>
          </w:tcPr>
          <w:p w14:paraId="684F3DDE" w14:textId="77777777" w:rsidR="00A96E5F" w:rsidRPr="00097A86" w:rsidRDefault="00A96E5F" w:rsidP="00D22D3F">
            <w:pPr>
              <w:pStyle w:val="Tabletext"/>
            </w:pPr>
            <w:r w:rsidRPr="00097A86">
              <w:t>30</w:t>
            </w:r>
          </w:p>
        </w:tc>
      </w:tr>
    </w:tbl>
    <w:p w14:paraId="40AD88E1" w14:textId="77777777" w:rsidR="00A96E5F" w:rsidRPr="00097A86" w:rsidRDefault="00A96E5F" w:rsidP="00D22D3F">
      <w:pPr>
        <w:pStyle w:val="subsection"/>
      </w:pPr>
      <w:r w:rsidRPr="00097A86">
        <w:tab/>
        <w:t>(3)</w:t>
      </w:r>
      <w:r w:rsidRPr="00097A86">
        <w:tab/>
        <w:t xml:space="preserve">The uncertainty of estimates of emissions for industrial process sources that are not mentioned in </w:t>
      </w:r>
      <w:r w:rsidR="00097A86">
        <w:t>subsections (</w:t>
      </w:r>
      <w:r w:rsidRPr="00097A86">
        <w:t>1) or (2) must be assessed:</w:t>
      </w:r>
    </w:p>
    <w:p w14:paraId="5C68F11C" w14:textId="77777777" w:rsidR="00A96E5F" w:rsidRPr="00097A86" w:rsidRDefault="00A96E5F" w:rsidP="00D22D3F">
      <w:pPr>
        <w:pStyle w:val="paragraph"/>
        <w:rPr>
          <w:vanish/>
        </w:rPr>
      </w:pPr>
      <w:r w:rsidRPr="00097A86">
        <w:tab/>
        <w:t>(a)</w:t>
      </w:r>
      <w:r w:rsidRPr="00097A86">
        <w:tab/>
        <w:t>if the industrial process source involves the combustion of fuel</w:t>
      </w:r>
      <w:r w:rsidR="00D22D3F" w:rsidRPr="00097A86">
        <w:t>—</w:t>
      </w:r>
      <w:r w:rsidRPr="00097A86">
        <w:t>in accordance with:</w:t>
      </w:r>
    </w:p>
    <w:p w14:paraId="40F6A30D" w14:textId="77777777" w:rsidR="00A96E5F" w:rsidRPr="00097A86" w:rsidRDefault="00A96E5F" w:rsidP="00D22D3F">
      <w:pPr>
        <w:pStyle w:val="paragraphsub"/>
      </w:pPr>
      <w:r w:rsidRPr="00097A86">
        <w:tab/>
        <w:t>(i)</w:t>
      </w:r>
      <w:r w:rsidRPr="00097A86">
        <w:tab/>
        <w:t>for carbon dioxide emissions</w:t>
      </w:r>
      <w:r w:rsidR="00D22D3F" w:rsidRPr="00097A86">
        <w:t>—</w:t>
      </w:r>
      <w:r w:rsidRPr="00097A86">
        <w:t>section</w:t>
      </w:r>
      <w:r w:rsidR="00097A86">
        <w:t> </w:t>
      </w:r>
      <w:r w:rsidRPr="00097A86">
        <w:t>8.6; and</w:t>
      </w:r>
    </w:p>
    <w:p w14:paraId="50DA086E" w14:textId="77777777" w:rsidR="00A96E5F" w:rsidRPr="00097A86" w:rsidRDefault="00A96E5F" w:rsidP="00D22D3F">
      <w:pPr>
        <w:pStyle w:val="paragraphsub"/>
      </w:pPr>
      <w:r w:rsidRPr="00097A86">
        <w:tab/>
        <w:t>(ii)</w:t>
      </w:r>
      <w:r w:rsidRPr="00097A86">
        <w:tab/>
        <w:t>for methane and nitrous oxide emissions</w:t>
      </w:r>
      <w:r w:rsidR="00D22D3F" w:rsidRPr="00097A86">
        <w:t>—</w:t>
      </w:r>
      <w:r w:rsidRPr="00097A86">
        <w:t>section</w:t>
      </w:r>
      <w:r w:rsidR="00097A86">
        <w:t> </w:t>
      </w:r>
      <w:r w:rsidRPr="00097A86">
        <w:t>8.7; and</w:t>
      </w:r>
    </w:p>
    <w:p w14:paraId="57825494" w14:textId="77777777" w:rsidR="00A96E5F" w:rsidRPr="00097A86" w:rsidRDefault="00A96E5F" w:rsidP="00D22D3F">
      <w:pPr>
        <w:pStyle w:val="paragraph"/>
      </w:pPr>
      <w:r w:rsidRPr="00097A86">
        <w:tab/>
        <w:t>(b)</w:t>
      </w:r>
      <w:r w:rsidRPr="00097A86">
        <w:tab/>
        <w:t>if the industrial process source does not involve the combustion of fuel</w:t>
      </w:r>
      <w:r w:rsidR="00D22D3F" w:rsidRPr="00097A86">
        <w:t>—</w:t>
      </w:r>
      <w:r w:rsidRPr="00097A86">
        <w:t>in accordance with the uncertainty protocol.</w:t>
      </w:r>
    </w:p>
    <w:p w14:paraId="3DF38BD4" w14:textId="77777777" w:rsidR="00A96E5F" w:rsidRPr="00097A86" w:rsidRDefault="00A96E5F" w:rsidP="00D22D3F">
      <w:pPr>
        <w:pStyle w:val="ActHead5"/>
      </w:pPr>
      <w:bookmarkStart w:id="663" w:name="_Toc13234090"/>
      <w:r w:rsidRPr="00097A86">
        <w:rPr>
          <w:rStyle w:val="CharSectno"/>
        </w:rPr>
        <w:t>8.10</w:t>
      </w:r>
      <w:r w:rsidR="00D22D3F" w:rsidRPr="00097A86">
        <w:t xml:space="preserve">  </w:t>
      </w:r>
      <w:r w:rsidRPr="00097A86">
        <w:t>Assessment of uncertainty for estimates of emissions from waste</w:t>
      </w:r>
      <w:bookmarkEnd w:id="663"/>
    </w:p>
    <w:p w14:paraId="43482A98" w14:textId="77777777" w:rsidR="00A96E5F" w:rsidRPr="00097A86" w:rsidRDefault="00A96E5F" w:rsidP="00D22D3F">
      <w:pPr>
        <w:pStyle w:val="subsection"/>
      </w:pPr>
      <w:r w:rsidRPr="00097A86">
        <w:tab/>
      </w:r>
      <w:r w:rsidRPr="00097A86">
        <w:tab/>
        <w:t>In assessing uncertainty of the estimates of emissions from waste estimated using method 1 for the activities mentioned in column 2 of an item of the following table, the assessment must include the aggregated uncertainty level:</w:t>
      </w:r>
    </w:p>
    <w:p w14:paraId="4296D63F" w14:textId="77777777" w:rsidR="00A96E5F" w:rsidRPr="00097A86" w:rsidRDefault="00A96E5F" w:rsidP="00D22D3F">
      <w:pPr>
        <w:pStyle w:val="paragraph"/>
      </w:pPr>
      <w:r w:rsidRPr="00097A86">
        <w:tab/>
        <w:t>(a)</w:t>
      </w:r>
      <w:r w:rsidRPr="00097A86">
        <w:tab/>
        <w:t>as specified in column 3 for the item; or</w:t>
      </w:r>
    </w:p>
    <w:p w14:paraId="2FA5FE3D" w14:textId="77777777" w:rsidR="00A96E5F" w:rsidRPr="00097A86" w:rsidRDefault="00A96E5F" w:rsidP="001E6454">
      <w:pPr>
        <w:pStyle w:val="paragraph"/>
      </w:pPr>
      <w:r w:rsidRPr="00097A86">
        <w:tab/>
        <w:t>(b)</w:t>
      </w:r>
      <w:r w:rsidRPr="00097A86">
        <w:tab/>
        <w:t>as worked out in accordance with the uncertainty protocol.</w:t>
      </w:r>
    </w:p>
    <w:p w14:paraId="0E172B5A"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4"/>
        <w:gridCol w:w="4457"/>
        <w:gridCol w:w="3132"/>
      </w:tblGrid>
      <w:tr w:rsidR="00A96E5F" w:rsidRPr="00097A86" w14:paraId="78FA0A4C" w14:textId="77777777" w:rsidTr="00C20CC2">
        <w:trPr>
          <w:tblHeader/>
        </w:trPr>
        <w:tc>
          <w:tcPr>
            <w:tcW w:w="435" w:type="pct"/>
            <w:tcBorders>
              <w:top w:val="single" w:sz="12" w:space="0" w:color="auto"/>
              <w:bottom w:val="single" w:sz="12" w:space="0" w:color="auto"/>
            </w:tcBorders>
            <w:shd w:val="clear" w:color="auto" w:fill="auto"/>
            <w:vAlign w:val="bottom"/>
          </w:tcPr>
          <w:p w14:paraId="29E6D039" w14:textId="77777777" w:rsidR="00A96E5F" w:rsidRPr="00097A86" w:rsidRDefault="00A96E5F" w:rsidP="00D22D3F">
            <w:pPr>
              <w:pStyle w:val="TableHeading"/>
            </w:pPr>
            <w:r w:rsidRPr="00097A86">
              <w:t>Item</w:t>
            </w:r>
          </w:p>
        </w:tc>
        <w:tc>
          <w:tcPr>
            <w:tcW w:w="2681" w:type="pct"/>
            <w:tcBorders>
              <w:top w:val="single" w:sz="12" w:space="0" w:color="auto"/>
              <w:bottom w:val="single" w:sz="12" w:space="0" w:color="auto"/>
            </w:tcBorders>
            <w:shd w:val="clear" w:color="auto" w:fill="auto"/>
            <w:vAlign w:val="bottom"/>
          </w:tcPr>
          <w:p w14:paraId="16CEDAD9" w14:textId="77777777" w:rsidR="00A96E5F" w:rsidRPr="00097A86" w:rsidRDefault="00A96E5F" w:rsidP="00D22D3F">
            <w:pPr>
              <w:pStyle w:val="TableHeading"/>
              <w:rPr>
                <w:rStyle w:val="Strong"/>
                <w:b/>
                <w:bCs w:val="0"/>
                <w:szCs w:val="22"/>
              </w:rPr>
            </w:pPr>
            <w:r w:rsidRPr="00097A86">
              <w:t>Activities</w:t>
            </w:r>
          </w:p>
        </w:tc>
        <w:tc>
          <w:tcPr>
            <w:tcW w:w="1884" w:type="pct"/>
            <w:tcBorders>
              <w:top w:val="single" w:sz="12" w:space="0" w:color="auto"/>
              <w:bottom w:val="single" w:sz="12" w:space="0" w:color="auto"/>
            </w:tcBorders>
            <w:shd w:val="clear" w:color="auto" w:fill="auto"/>
          </w:tcPr>
          <w:p w14:paraId="18AE7CE5" w14:textId="77777777" w:rsidR="00A96E5F" w:rsidRPr="00097A86" w:rsidRDefault="00A96E5F" w:rsidP="00D22D3F">
            <w:pPr>
              <w:pStyle w:val="TableHeading"/>
              <w:rPr>
                <w:rStyle w:val="Strong"/>
                <w:rFonts w:cs="Arial"/>
                <w:b/>
                <w:szCs w:val="18"/>
              </w:rPr>
            </w:pPr>
            <w:r w:rsidRPr="00097A86">
              <w:t>Aggregated uncertainty level (%)</w:t>
            </w:r>
          </w:p>
        </w:tc>
      </w:tr>
      <w:tr w:rsidR="00A96E5F" w:rsidRPr="00097A86" w14:paraId="2EEF9ED5" w14:textId="77777777" w:rsidTr="00C20CC2">
        <w:tc>
          <w:tcPr>
            <w:tcW w:w="435" w:type="pct"/>
            <w:tcBorders>
              <w:top w:val="single" w:sz="12" w:space="0" w:color="auto"/>
            </w:tcBorders>
            <w:shd w:val="clear" w:color="auto" w:fill="auto"/>
          </w:tcPr>
          <w:p w14:paraId="2B69ECCA" w14:textId="77777777" w:rsidR="00A96E5F" w:rsidRPr="00097A86" w:rsidRDefault="00A96E5F" w:rsidP="00D22D3F">
            <w:pPr>
              <w:pStyle w:val="Tabletext"/>
            </w:pPr>
            <w:r w:rsidRPr="00097A86">
              <w:t>1</w:t>
            </w:r>
          </w:p>
        </w:tc>
        <w:tc>
          <w:tcPr>
            <w:tcW w:w="2681" w:type="pct"/>
            <w:tcBorders>
              <w:top w:val="single" w:sz="12" w:space="0" w:color="auto"/>
            </w:tcBorders>
            <w:shd w:val="clear" w:color="auto" w:fill="auto"/>
          </w:tcPr>
          <w:p w14:paraId="19ADB982" w14:textId="77777777" w:rsidR="00A96E5F" w:rsidRPr="00097A86" w:rsidRDefault="00A96E5F" w:rsidP="00D22D3F">
            <w:pPr>
              <w:pStyle w:val="Tabletext"/>
            </w:pPr>
            <w:r w:rsidRPr="00097A86">
              <w:t>Solid waste disposal on land</w:t>
            </w:r>
          </w:p>
        </w:tc>
        <w:tc>
          <w:tcPr>
            <w:tcW w:w="1884" w:type="pct"/>
            <w:tcBorders>
              <w:top w:val="single" w:sz="12" w:space="0" w:color="auto"/>
            </w:tcBorders>
            <w:shd w:val="clear" w:color="auto" w:fill="auto"/>
          </w:tcPr>
          <w:p w14:paraId="38B26594" w14:textId="77777777" w:rsidR="00A96E5F" w:rsidRPr="00097A86" w:rsidRDefault="00A96E5F" w:rsidP="00D22D3F">
            <w:pPr>
              <w:pStyle w:val="Tabletext"/>
            </w:pPr>
            <w:r w:rsidRPr="00097A86">
              <w:t>35</w:t>
            </w:r>
          </w:p>
        </w:tc>
      </w:tr>
      <w:tr w:rsidR="00A96E5F" w:rsidRPr="00097A86" w14:paraId="660EFB4E" w14:textId="77777777" w:rsidTr="00C20CC2">
        <w:tc>
          <w:tcPr>
            <w:tcW w:w="435" w:type="pct"/>
            <w:shd w:val="clear" w:color="auto" w:fill="auto"/>
          </w:tcPr>
          <w:p w14:paraId="39AD1078" w14:textId="77777777" w:rsidR="00A96E5F" w:rsidRPr="00097A86" w:rsidRDefault="00A96E5F" w:rsidP="00D22D3F">
            <w:pPr>
              <w:pStyle w:val="Tabletext"/>
            </w:pPr>
            <w:r w:rsidRPr="00097A86">
              <w:t>2</w:t>
            </w:r>
          </w:p>
        </w:tc>
        <w:tc>
          <w:tcPr>
            <w:tcW w:w="2681" w:type="pct"/>
            <w:shd w:val="clear" w:color="auto" w:fill="auto"/>
          </w:tcPr>
          <w:p w14:paraId="3F5DA32F" w14:textId="77777777" w:rsidR="00A96E5F" w:rsidRPr="00097A86" w:rsidRDefault="00A96E5F" w:rsidP="00D22D3F">
            <w:pPr>
              <w:pStyle w:val="Tabletext"/>
            </w:pPr>
            <w:r w:rsidRPr="00097A86">
              <w:t>Wastewater handling (industrial)</w:t>
            </w:r>
          </w:p>
        </w:tc>
        <w:tc>
          <w:tcPr>
            <w:tcW w:w="1884" w:type="pct"/>
            <w:shd w:val="clear" w:color="auto" w:fill="auto"/>
          </w:tcPr>
          <w:p w14:paraId="064A28E1" w14:textId="77777777" w:rsidR="00A96E5F" w:rsidRPr="00097A86" w:rsidRDefault="00A96E5F" w:rsidP="00D22D3F">
            <w:pPr>
              <w:pStyle w:val="Tabletext"/>
            </w:pPr>
            <w:r w:rsidRPr="00097A86">
              <w:t>65</w:t>
            </w:r>
          </w:p>
        </w:tc>
      </w:tr>
      <w:tr w:rsidR="00A96E5F" w:rsidRPr="00097A86" w14:paraId="6C9EDB73" w14:textId="77777777" w:rsidTr="00C20CC2">
        <w:tc>
          <w:tcPr>
            <w:tcW w:w="435" w:type="pct"/>
            <w:tcBorders>
              <w:bottom w:val="single" w:sz="4" w:space="0" w:color="auto"/>
            </w:tcBorders>
            <w:shd w:val="clear" w:color="auto" w:fill="auto"/>
          </w:tcPr>
          <w:p w14:paraId="67CBC8AF" w14:textId="77777777" w:rsidR="00A96E5F" w:rsidRPr="00097A86" w:rsidRDefault="00A96E5F" w:rsidP="00D22D3F">
            <w:pPr>
              <w:pStyle w:val="Tabletext"/>
            </w:pPr>
            <w:r w:rsidRPr="00097A86">
              <w:t>3</w:t>
            </w:r>
          </w:p>
        </w:tc>
        <w:tc>
          <w:tcPr>
            <w:tcW w:w="2681" w:type="pct"/>
            <w:tcBorders>
              <w:bottom w:val="single" w:sz="4" w:space="0" w:color="auto"/>
            </w:tcBorders>
            <w:shd w:val="clear" w:color="auto" w:fill="auto"/>
          </w:tcPr>
          <w:p w14:paraId="0FDECA41" w14:textId="77777777" w:rsidR="00A96E5F" w:rsidRPr="00097A86" w:rsidRDefault="00A96E5F" w:rsidP="00D22D3F">
            <w:pPr>
              <w:pStyle w:val="Tabletext"/>
              <w:rPr>
                <w:szCs w:val="22"/>
                <w:vertAlign w:val="superscript"/>
              </w:rPr>
            </w:pPr>
            <w:r w:rsidRPr="00097A86">
              <w:t>Wastewater handling (domestic or commercial)</w:t>
            </w:r>
          </w:p>
        </w:tc>
        <w:tc>
          <w:tcPr>
            <w:tcW w:w="1884" w:type="pct"/>
            <w:tcBorders>
              <w:bottom w:val="single" w:sz="4" w:space="0" w:color="auto"/>
            </w:tcBorders>
            <w:shd w:val="clear" w:color="auto" w:fill="auto"/>
          </w:tcPr>
          <w:p w14:paraId="7101C992" w14:textId="77777777" w:rsidR="00A96E5F" w:rsidRPr="00097A86" w:rsidRDefault="00A96E5F" w:rsidP="00D22D3F">
            <w:pPr>
              <w:pStyle w:val="Tabletext"/>
            </w:pPr>
            <w:r w:rsidRPr="00097A86">
              <w:t>40</w:t>
            </w:r>
          </w:p>
        </w:tc>
      </w:tr>
      <w:tr w:rsidR="00A96E5F" w:rsidRPr="00097A86" w14:paraId="2A8ACE46" w14:textId="77777777" w:rsidTr="00C20CC2">
        <w:tc>
          <w:tcPr>
            <w:tcW w:w="435" w:type="pct"/>
            <w:tcBorders>
              <w:bottom w:val="single" w:sz="12" w:space="0" w:color="auto"/>
            </w:tcBorders>
            <w:shd w:val="clear" w:color="auto" w:fill="auto"/>
          </w:tcPr>
          <w:p w14:paraId="2555BCE5" w14:textId="77777777" w:rsidR="00A96E5F" w:rsidRPr="00097A86" w:rsidRDefault="00A96E5F" w:rsidP="00D22D3F">
            <w:pPr>
              <w:pStyle w:val="Tabletext"/>
            </w:pPr>
            <w:r w:rsidRPr="00097A86">
              <w:t>4</w:t>
            </w:r>
          </w:p>
        </w:tc>
        <w:tc>
          <w:tcPr>
            <w:tcW w:w="2681" w:type="pct"/>
            <w:tcBorders>
              <w:bottom w:val="single" w:sz="12" w:space="0" w:color="auto"/>
            </w:tcBorders>
            <w:shd w:val="clear" w:color="auto" w:fill="auto"/>
          </w:tcPr>
          <w:p w14:paraId="653C693E" w14:textId="77777777" w:rsidR="00A96E5F" w:rsidRPr="00097A86" w:rsidRDefault="00A96E5F" w:rsidP="00D22D3F">
            <w:pPr>
              <w:pStyle w:val="Tabletext"/>
            </w:pPr>
            <w:r w:rsidRPr="00097A86">
              <w:t>Waste incineration</w:t>
            </w:r>
          </w:p>
        </w:tc>
        <w:tc>
          <w:tcPr>
            <w:tcW w:w="1884" w:type="pct"/>
            <w:tcBorders>
              <w:bottom w:val="single" w:sz="12" w:space="0" w:color="auto"/>
            </w:tcBorders>
            <w:shd w:val="clear" w:color="auto" w:fill="auto"/>
          </w:tcPr>
          <w:p w14:paraId="599E575F" w14:textId="77777777" w:rsidR="00A96E5F" w:rsidRPr="00097A86" w:rsidRDefault="00A96E5F" w:rsidP="00D22D3F">
            <w:pPr>
              <w:pStyle w:val="Tabletext"/>
            </w:pPr>
            <w:r w:rsidRPr="00097A86">
              <w:t>40</w:t>
            </w:r>
          </w:p>
        </w:tc>
      </w:tr>
    </w:tbl>
    <w:p w14:paraId="2A182973" w14:textId="77777777" w:rsidR="00A96E5F" w:rsidRPr="00097A86" w:rsidRDefault="00A96E5F" w:rsidP="00D22D3F">
      <w:pPr>
        <w:pStyle w:val="ActHead5"/>
      </w:pPr>
      <w:bookmarkStart w:id="664" w:name="_Toc13234091"/>
      <w:r w:rsidRPr="00097A86">
        <w:rPr>
          <w:rStyle w:val="CharSectno"/>
        </w:rPr>
        <w:lastRenderedPageBreak/>
        <w:t>8.11</w:t>
      </w:r>
      <w:r w:rsidR="00D22D3F" w:rsidRPr="00097A86">
        <w:t xml:space="preserve">  </w:t>
      </w:r>
      <w:r w:rsidRPr="00097A86">
        <w:t>Assessing uncertainty of emissions estimates for a source by aggregating parameter uncertainties</w:t>
      </w:r>
      <w:bookmarkEnd w:id="664"/>
    </w:p>
    <w:p w14:paraId="7BFAE855" w14:textId="77777777" w:rsidR="00A96E5F" w:rsidRPr="00097A86" w:rsidRDefault="00A96E5F" w:rsidP="00D22D3F">
      <w:pPr>
        <w:pStyle w:val="subsection"/>
      </w:pPr>
      <w:r w:rsidRPr="00097A86">
        <w:tab/>
        <w:t>(1)</w:t>
      </w:r>
      <w:r w:rsidRPr="00097A86">
        <w:tab/>
        <w:t xml:space="preserve">For </w:t>
      </w:r>
      <w:r w:rsidR="00EC147B" w:rsidRPr="00097A86">
        <w:t>section</w:t>
      </w:r>
      <w:r w:rsidR="00097A86">
        <w:t> </w:t>
      </w:r>
      <w:r w:rsidR="00EC147B" w:rsidRPr="00097A86">
        <w:t>8.5</w:t>
      </w:r>
      <w:r w:rsidRPr="00097A86">
        <w:t xml:space="preserve"> and subject to </w:t>
      </w:r>
      <w:r w:rsidR="00097A86">
        <w:t>subsections (</w:t>
      </w:r>
      <w:r w:rsidRPr="00097A86">
        <w:t>2) and (3), in assessing uncertainty of the estimates of scope 1 emissions that are estimated using method 1 for a source, the aggregated uncertainty for emissions from the source is to be worked out in accordance with the following formula:</w:t>
      </w:r>
    </w:p>
    <w:p w14:paraId="63AFF0A0" w14:textId="77777777" w:rsidR="00A96E5F" w:rsidRPr="00097A86" w:rsidRDefault="00D22D3F" w:rsidP="00D22D3F">
      <w:pPr>
        <w:pStyle w:val="subsection"/>
        <w:spacing w:before="120" w:after="120"/>
      </w:pPr>
      <w:r w:rsidRPr="00097A86">
        <w:tab/>
      </w:r>
      <w:r w:rsidRPr="00097A86">
        <w:tab/>
      </w:r>
      <w:r w:rsidR="009E1F90">
        <w:rPr>
          <w:noProof/>
        </w:rPr>
        <w:drawing>
          <wp:inline distT="0" distB="0" distL="0" distR="0" wp14:anchorId="47854BFB" wp14:editId="5FC0B89B">
            <wp:extent cx="1609725" cy="2381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p>
    <w:p w14:paraId="6FAF0BC1" w14:textId="77777777" w:rsidR="00A96E5F" w:rsidRPr="00097A86" w:rsidRDefault="00A96E5F" w:rsidP="00D22D3F">
      <w:pPr>
        <w:pStyle w:val="subsection2"/>
      </w:pPr>
      <w:r w:rsidRPr="00097A86">
        <w:t>where:</w:t>
      </w:r>
    </w:p>
    <w:p w14:paraId="2962DEF4" w14:textId="77777777" w:rsidR="00A96E5F" w:rsidRPr="00097A86" w:rsidRDefault="00A96E5F" w:rsidP="00D22D3F">
      <w:pPr>
        <w:pStyle w:val="Definition"/>
      </w:pPr>
      <w:r w:rsidRPr="00097A86">
        <w:rPr>
          <w:b/>
          <w:i/>
        </w:rPr>
        <w:t xml:space="preserve">D </w:t>
      </w:r>
      <w:r w:rsidRPr="00097A86">
        <w:t>is the aggregated percentage uncertainty for the emission source.</w:t>
      </w:r>
    </w:p>
    <w:p w14:paraId="51100996" w14:textId="77777777" w:rsidR="00A96E5F" w:rsidRPr="00097A86" w:rsidRDefault="00A96E5F" w:rsidP="00D22D3F">
      <w:pPr>
        <w:pStyle w:val="Definition"/>
        <w:rPr>
          <w:b/>
          <w:i/>
        </w:rPr>
      </w:pPr>
      <w:r w:rsidRPr="00097A86">
        <w:rPr>
          <w:b/>
          <w:i/>
        </w:rPr>
        <w:t xml:space="preserve">A </w:t>
      </w:r>
      <w:r w:rsidRPr="00097A86">
        <w:t>is the uncertainty associated with the emission factor for the source, expressed as a percentage.</w:t>
      </w:r>
    </w:p>
    <w:p w14:paraId="6F4C9C40" w14:textId="77777777" w:rsidR="00A96E5F" w:rsidRPr="00097A86" w:rsidRDefault="00A96E5F" w:rsidP="00D22D3F">
      <w:pPr>
        <w:pStyle w:val="Definition"/>
        <w:rPr>
          <w:b/>
          <w:i/>
        </w:rPr>
      </w:pPr>
      <w:r w:rsidRPr="00097A86">
        <w:rPr>
          <w:b/>
          <w:i/>
        </w:rPr>
        <w:t xml:space="preserve">B </w:t>
      </w:r>
      <w:r w:rsidRPr="00097A86">
        <w:t>is the uncertainty associated with the energy content factor for the source, expressed as a percentage.</w:t>
      </w:r>
    </w:p>
    <w:p w14:paraId="69133E81" w14:textId="77777777" w:rsidR="00A96E5F" w:rsidRPr="00097A86" w:rsidRDefault="00A96E5F" w:rsidP="00D22D3F">
      <w:pPr>
        <w:pStyle w:val="Definition"/>
      </w:pPr>
      <w:r w:rsidRPr="00097A86">
        <w:rPr>
          <w:b/>
          <w:i/>
        </w:rPr>
        <w:t xml:space="preserve">C </w:t>
      </w:r>
      <w:r w:rsidRPr="00097A86">
        <w:t>is the uncertainty associated with the activity data for the source, expressed as a percentage.</w:t>
      </w:r>
    </w:p>
    <w:p w14:paraId="2251D36D" w14:textId="77777777" w:rsidR="00A96E5F" w:rsidRPr="00097A86" w:rsidRDefault="00A96E5F" w:rsidP="00D22D3F">
      <w:pPr>
        <w:pStyle w:val="subsection"/>
      </w:pPr>
      <w:r w:rsidRPr="00097A86">
        <w:tab/>
        <w:t>(2)</w:t>
      </w:r>
      <w:r w:rsidRPr="00097A86">
        <w:tab/>
        <w:t xml:space="preserve">If an assessment of uncertainty of emissions for the source does not require the use of emissions factor uncertainty, energy content factor uncertainty or activity data uncertainty, then A, B or C, as appropriate, in the formula in </w:t>
      </w:r>
      <w:r w:rsidR="00097A86">
        <w:t>subsection (</w:t>
      </w:r>
      <w:r w:rsidRPr="00097A86">
        <w:t>1) is taken to be zero.</w:t>
      </w:r>
    </w:p>
    <w:p w14:paraId="3828BA0A" w14:textId="77777777" w:rsidR="00A96E5F" w:rsidRPr="00097A86" w:rsidRDefault="00A96E5F" w:rsidP="00D22D3F">
      <w:pPr>
        <w:pStyle w:val="notetext"/>
      </w:pPr>
      <w:r w:rsidRPr="00097A86">
        <w:t>Example</w:t>
      </w:r>
      <w:r w:rsidR="001E6454" w:rsidRPr="00097A86">
        <w:t>:</w:t>
      </w:r>
      <w:r w:rsidR="001E6454" w:rsidRPr="00097A86">
        <w:tab/>
      </w:r>
      <w:r w:rsidRPr="00097A86">
        <w:t xml:space="preserve">If energy content factor uncertainty is not required for an industrial process source, then B would be taken to be zero in the formula in </w:t>
      </w:r>
      <w:r w:rsidR="00097A86">
        <w:t>subsection (</w:t>
      </w:r>
      <w:r w:rsidRPr="00097A86">
        <w:t>1) when assessing the aggregated uncertainty for the source.</w:t>
      </w:r>
    </w:p>
    <w:p w14:paraId="0D75E961" w14:textId="77777777" w:rsidR="00A96E5F" w:rsidRPr="00097A86" w:rsidRDefault="00A96E5F" w:rsidP="00D22D3F">
      <w:pPr>
        <w:pStyle w:val="subsection"/>
      </w:pPr>
      <w:r w:rsidRPr="00097A86">
        <w:tab/>
        <w:t>(3)</w:t>
      </w:r>
      <w:r w:rsidRPr="00097A86">
        <w:tab/>
      </w:r>
      <w:r w:rsidR="00097A86">
        <w:t>Subsection (</w:t>
      </w:r>
      <w:r w:rsidRPr="00097A86">
        <w:t>1) does not apply to:</w:t>
      </w:r>
    </w:p>
    <w:p w14:paraId="7F86D63F" w14:textId="77777777" w:rsidR="00A96E5F" w:rsidRPr="00097A86" w:rsidRDefault="00A96E5F" w:rsidP="00D22D3F">
      <w:pPr>
        <w:pStyle w:val="paragraph"/>
      </w:pPr>
      <w:r w:rsidRPr="00097A86">
        <w:tab/>
        <w:t>(a)</w:t>
      </w:r>
      <w:r w:rsidRPr="00097A86">
        <w:tab/>
        <w:t>estimates of fugitive emissions that are assessed by using the aggregated uncertainty level in column 3 of the table in section</w:t>
      </w:r>
      <w:r w:rsidR="00097A86">
        <w:t> </w:t>
      </w:r>
      <w:r w:rsidRPr="00097A86">
        <w:t>8.8; or</w:t>
      </w:r>
    </w:p>
    <w:p w14:paraId="72D62EF0" w14:textId="77777777" w:rsidR="00A96E5F" w:rsidRPr="00097A86" w:rsidRDefault="00A96E5F" w:rsidP="00D22D3F">
      <w:pPr>
        <w:pStyle w:val="paragraph"/>
      </w:pPr>
      <w:r w:rsidRPr="00097A86">
        <w:tab/>
        <w:t>(b)</w:t>
      </w:r>
      <w:r w:rsidRPr="00097A86">
        <w:tab/>
        <w:t>estimates of emissions from industrial processes that are assessed by using the aggregated uncertainty level in column 3 of the table in subsection</w:t>
      </w:r>
      <w:r w:rsidR="00097A86">
        <w:t> </w:t>
      </w:r>
      <w:r w:rsidRPr="00097A86">
        <w:t>8.9</w:t>
      </w:r>
      <w:r w:rsidR="00B46E63" w:rsidRPr="00097A86">
        <w:t>(</w:t>
      </w:r>
      <w:r w:rsidRPr="00097A86">
        <w:t>2); or</w:t>
      </w:r>
    </w:p>
    <w:p w14:paraId="1DD3975D" w14:textId="77777777" w:rsidR="00A96E5F" w:rsidRPr="00097A86" w:rsidRDefault="00A96E5F" w:rsidP="00D22D3F">
      <w:pPr>
        <w:pStyle w:val="paragraph"/>
      </w:pPr>
      <w:r w:rsidRPr="00097A86">
        <w:tab/>
        <w:t>(c)</w:t>
      </w:r>
      <w:r w:rsidRPr="00097A86">
        <w:tab/>
        <w:t>estimates of emissions from waste activities that are assessed by using the aggregated uncertainty level in column 3 of the table in section</w:t>
      </w:r>
      <w:r w:rsidR="00097A86">
        <w:t> </w:t>
      </w:r>
      <w:r w:rsidRPr="00097A86">
        <w:t>8.10.</w:t>
      </w:r>
    </w:p>
    <w:p w14:paraId="59628D18" w14:textId="77777777" w:rsidR="00A96E5F" w:rsidRPr="00097A86" w:rsidRDefault="00A96E5F" w:rsidP="0024511D">
      <w:pPr>
        <w:pStyle w:val="ActHead2"/>
        <w:pageBreakBefore/>
      </w:pPr>
      <w:bookmarkStart w:id="665" w:name="_Toc13234092"/>
      <w:r w:rsidRPr="00097A86">
        <w:rPr>
          <w:rStyle w:val="CharPartNo"/>
        </w:rPr>
        <w:lastRenderedPageBreak/>
        <w:t>Part</w:t>
      </w:r>
      <w:r w:rsidR="00097A86">
        <w:rPr>
          <w:rStyle w:val="CharPartNo"/>
        </w:rPr>
        <w:t> </w:t>
      </w:r>
      <w:r w:rsidRPr="00097A86">
        <w:rPr>
          <w:rStyle w:val="CharPartNo"/>
        </w:rPr>
        <w:t>8.4</w:t>
      </w:r>
      <w:r w:rsidR="00D22D3F" w:rsidRPr="00097A86">
        <w:t>—</w:t>
      </w:r>
      <w:r w:rsidRPr="00097A86">
        <w:rPr>
          <w:rStyle w:val="CharPartText"/>
        </w:rPr>
        <w:t>How to assess uncertainty levels when using method 2, 3 or 4</w:t>
      </w:r>
      <w:bookmarkEnd w:id="665"/>
    </w:p>
    <w:p w14:paraId="34CBC868" w14:textId="77777777" w:rsidR="00A96E5F" w:rsidRPr="00097A86" w:rsidRDefault="00D22D3F" w:rsidP="00A96E5F">
      <w:pPr>
        <w:pStyle w:val="Header"/>
      </w:pPr>
      <w:r w:rsidRPr="00097A86">
        <w:rPr>
          <w:rStyle w:val="CharDivNo"/>
        </w:rPr>
        <w:t xml:space="preserve"> </w:t>
      </w:r>
      <w:r w:rsidRPr="00097A86">
        <w:rPr>
          <w:rStyle w:val="CharDivText"/>
        </w:rPr>
        <w:t xml:space="preserve"> </w:t>
      </w:r>
    </w:p>
    <w:p w14:paraId="08D40CD6" w14:textId="77777777" w:rsidR="00A96E5F" w:rsidRPr="00097A86" w:rsidRDefault="00A96E5F" w:rsidP="00D22D3F">
      <w:pPr>
        <w:pStyle w:val="ActHead5"/>
      </w:pPr>
      <w:bookmarkStart w:id="666" w:name="_Toc13234093"/>
      <w:r w:rsidRPr="00097A86">
        <w:rPr>
          <w:rStyle w:val="CharSectno"/>
        </w:rPr>
        <w:t>8.14</w:t>
      </w:r>
      <w:r w:rsidR="00D22D3F" w:rsidRPr="00097A86">
        <w:t xml:space="preserve">  </w:t>
      </w:r>
      <w:r w:rsidRPr="00097A86">
        <w:t>Purpose of Part</w:t>
      </w:r>
      <w:bookmarkEnd w:id="666"/>
    </w:p>
    <w:p w14:paraId="49FD130E" w14:textId="77777777" w:rsidR="00A96E5F" w:rsidRPr="00097A86" w:rsidRDefault="00A96E5F" w:rsidP="00D22D3F">
      <w:pPr>
        <w:pStyle w:val="subsection"/>
      </w:pPr>
      <w:r w:rsidRPr="00097A86">
        <w:tab/>
      </w:r>
      <w:r w:rsidRPr="00097A86">
        <w:tab/>
        <w:t xml:space="preserve">This Part sets out rules that apply in the assessment of uncertainty of scope 1 emissions </w:t>
      </w:r>
      <w:r w:rsidR="00EC147B" w:rsidRPr="00097A86">
        <w:t>for a source that are</w:t>
      </w:r>
      <w:r w:rsidRPr="00097A86">
        <w:t xml:space="preserve"> estimated using method 2, 3 or 4.</w:t>
      </w:r>
    </w:p>
    <w:p w14:paraId="0CD0EB76" w14:textId="77777777" w:rsidR="00A96E5F" w:rsidRPr="00097A86" w:rsidRDefault="00A96E5F" w:rsidP="00D22D3F">
      <w:pPr>
        <w:pStyle w:val="ActHead5"/>
      </w:pPr>
      <w:bookmarkStart w:id="667" w:name="_Toc13234094"/>
      <w:r w:rsidRPr="00097A86">
        <w:rPr>
          <w:rStyle w:val="CharSectno"/>
        </w:rPr>
        <w:t>8.15</w:t>
      </w:r>
      <w:r w:rsidR="00D22D3F" w:rsidRPr="00097A86">
        <w:t xml:space="preserve">  </w:t>
      </w:r>
      <w:r w:rsidRPr="00097A86">
        <w:t>Rules for assessment of uncertainty using method 2, 3 or 4</w:t>
      </w:r>
      <w:bookmarkEnd w:id="667"/>
    </w:p>
    <w:p w14:paraId="45E5CC82" w14:textId="77777777" w:rsidR="00D957B3" w:rsidRPr="00097A86" w:rsidRDefault="00D957B3" w:rsidP="00D22D3F">
      <w:pPr>
        <w:pStyle w:val="subsection"/>
      </w:pPr>
      <w:r w:rsidRPr="00097A86">
        <w:tab/>
        <w:t>(1)</w:t>
      </w:r>
      <w:r w:rsidRPr="00097A86">
        <w:tab/>
        <w:t>Subject to this section:</w:t>
      </w:r>
    </w:p>
    <w:p w14:paraId="1BE36B60" w14:textId="77777777" w:rsidR="00D957B3" w:rsidRPr="00097A86" w:rsidRDefault="00D957B3" w:rsidP="00D22D3F">
      <w:pPr>
        <w:pStyle w:val="paragraph"/>
      </w:pPr>
      <w:r w:rsidRPr="00097A86">
        <w:tab/>
        <w:t>(a)</w:t>
      </w:r>
      <w:r w:rsidRPr="00097A86">
        <w:tab/>
        <w:t>the uncertainty of the following must be assessed in accordance with the uncertainty protocol:</w:t>
      </w:r>
    </w:p>
    <w:p w14:paraId="7E9AF4AC" w14:textId="77777777" w:rsidR="00D957B3" w:rsidRPr="00097A86" w:rsidRDefault="00D957B3" w:rsidP="00D22D3F">
      <w:pPr>
        <w:pStyle w:val="paragraphsub"/>
      </w:pPr>
      <w:r w:rsidRPr="00097A86">
        <w:tab/>
        <w:t>(i)</w:t>
      </w:r>
      <w:r w:rsidRPr="00097A86">
        <w:tab/>
        <w:t>scope 1 emissions estimates that are estimated using method 2, 3 or 4;</w:t>
      </w:r>
    </w:p>
    <w:p w14:paraId="19A97089" w14:textId="77777777" w:rsidR="00D957B3" w:rsidRPr="00097A86" w:rsidRDefault="00D957B3" w:rsidP="00D22D3F">
      <w:pPr>
        <w:pStyle w:val="paragraphsub"/>
      </w:pPr>
      <w:r w:rsidRPr="00097A86">
        <w:tab/>
        <w:t>(ii)</w:t>
      </w:r>
      <w:r w:rsidRPr="00097A86">
        <w:tab/>
        <w:t>scope 1 fugitive emissions estimates for open cut coal mines that are estimated using method 4; and</w:t>
      </w:r>
    </w:p>
    <w:p w14:paraId="144EE99A" w14:textId="77777777" w:rsidR="00D957B3" w:rsidRPr="00097A86" w:rsidRDefault="00D957B3" w:rsidP="00D22D3F">
      <w:pPr>
        <w:pStyle w:val="paragraph"/>
      </w:pPr>
      <w:r w:rsidRPr="00097A86">
        <w:tab/>
        <w:t>(b)</w:t>
      </w:r>
      <w:r w:rsidRPr="00097A86">
        <w:tab/>
        <w:t>the uncertainty of scope 1 fugitive emissions estimates for open cut coal mines that are estimated using method 2 or 3 must be:</w:t>
      </w:r>
    </w:p>
    <w:p w14:paraId="32646468" w14:textId="77777777" w:rsidR="00D957B3" w:rsidRPr="00097A86" w:rsidRDefault="00D957B3" w:rsidP="00D22D3F">
      <w:pPr>
        <w:pStyle w:val="paragraphsub"/>
      </w:pPr>
      <w:r w:rsidRPr="00097A86">
        <w:tab/>
        <w:t>(i)</w:t>
      </w:r>
      <w:r w:rsidRPr="00097A86">
        <w:tab/>
        <w:t>assessed in accordance with the uncertainty protocol; and</w:t>
      </w:r>
    </w:p>
    <w:p w14:paraId="506CAABE" w14:textId="77777777" w:rsidR="00D957B3" w:rsidRPr="00097A86" w:rsidRDefault="00D957B3" w:rsidP="00D22D3F">
      <w:pPr>
        <w:pStyle w:val="paragraphsub"/>
      </w:pPr>
      <w:r w:rsidRPr="00097A86">
        <w:tab/>
        <w:t>(ii)</w:t>
      </w:r>
      <w:r w:rsidRPr="00097A86">
        <w:tab/>
        <w:t>estimated using the method included in section</w:t>
      </w:r>
      <w:r w:rsidR="00097A86">
        <w:t> </w:t>
      </w:r>
      <w:r w:rsidRPr="00097A86">
        <w:t>5 of the ACARP Guidelines.</w:t>
      </w:r>
    </w:p>
    <w:p w14:paraId="73DF275E" w14:textId="77777777" w:rsidR="00A96E5F" w:rsidRPr="00097A86" w:rsidRDefault="00A96E5F" w:rsidP="00D22D3F">
      <w:pPr>
        <w:pStyle w:val="subsection"/>
      </w:pPr>
      <w:r w:rsidRPr="00097A86">
        <w:tab/>
        <w:t>(2)</w:t>
      </w:r>
      <w:r w:rsidRPr="00097A86">
        <w:tab/>
        <w:t>Item</w:t>
      </w:r>
      <w:r w:rsidR="00097A86">
        <w:t> </w:t>
      </w:r>
      <w:r w:rsidRPr="00097A86">
        <w:t>4 of Part</w:t>
      </w:r>
      <w:r w:rsidR="00097A86">
        <w:t> </w:t>
      </w:r>
      <w:r w:rsidRPr="00097A86">
        <w:t>7 of the uncertainty protocol must not be used when emissions are estimated using method 2, 3 or 4.</w:t>
      </w:r>
    </w:p>
    <w:p w14:paraId="52F63403" w14:textId="77777777" w:rsidR="00D957B3" w:rsidRPr="00097A86" w:rsidRDefault="00D957B3" w:rsidP="00D22D3F">
      <w:pPr>
        <w:pStyle w:val="subsection"/>
      </w:pPr>
      <w:r w:rsidRPr="00097A86">
        <w:tab/>
        <w:t>(2A)</w:t>
      </w:r>
      <w:r w:rsidRPr="00097A86">
        <w:tab/>
      </w:r>
      <w:r w:rsidR="00097A86">
        <w:t>Subsection (</w:t>
      </w:r>
      <w:r w:rsidRPr="00097A86">
        <w:t>2) does not apply to assessing the uncertainty of scope 1 fugitive emissions estimates for open cut coal mines using method 2, 3 or 4.</w:t>
      </w:r>
    </w:p>
    <w:p w14:paraId="4A364276" w14:textId="77777777" w:rsidR="00A96E5F" w:rsidRPr="00097A86" w:rsidRDefault="00A96E5F" w:rsidP="00D22D3F">
      <w:pPr>
        <w:pStyle w:val="subsection"/>
      </w:pPr>
      <w:r w:rsidRPr="00097A86">
        <w:tab/>
        <w:t>(3)</w:t>
      </w:r>
      <w:r w:rsidRPr="00097A86">
        <w:tab/>
        <w:t>Estimates need only provide for statistical uncertainties in accordance with the uncertainty protocol.</w:t>
      </w:r>
    </w:p>
    <w:p w14:paraId="1EA08DDF" w14:textId="77777777" w:rsidR="004109FF" w:rsidRPr="00097A86" w:rsidRDefault="004109FF" w:rsidP="00560A7C">
      <w:pPr>
        <w:pStyle w:val="ActHead1"/>
        <w:pageBreakBefore/>
      </w:pPr>
      <w:bookmarkStart w:id="668" w:name="_Toc13234095"/>
      <w:r w:rsidRPr="00097A86">
        <w:rPr>
          <w:rStyle w:val="CharChapNo"/>
        </w:rPr>
        <w:lastRenderedPageBreak/>
        <w:t>Chapter</w:t>
      </w:r>
      <w:r w:rsidR="00097A86">
        <w:rPr>
          <w:rStyle w:val="CharChapNo"/>
        </w:rPr>
        <w:t> </w:t>
      </w:r>
      <w:r w:rsidRPr="00097A86">
        <w:rPr>
          <w:rStyle w:val="CharChapNo"/>
        </w:rPr>
        <w:t>9</w:t>
      </w:r>
      <w:r w:rsidRPr="00097A86">
        <w:t>—</w:t>
      </w:r>
      <w:r w:rsidRPr="00097A86">
        <w:rPr>
          <w:rStyle w:val="CharChapText"/>
        </w:rPr>
        <w:t>Application and transitional provisions</w:t>
      </w:r>
      <w:bookmarkEnd w:id="668"/>
    </w:p>
    <w:p w14:paraId="106F7829" w14:textId="77777777" w:rsidR="004109FF" w:rsidRPr="00097A86" w:rsidRDefault="004109FF" w:rsidP="004109FF">
      <w:pPr>
        <w:pStyle w:val="Header"/>
      </w:pPr>
      <w:r w:rsidRPr="00097A86">
        <w:rPr>
          <w:rStyle w:val="CharPartNo"/>
        </w:rPr>
        <w:t xml:space="preserve"> </w:t>
      </w:r>
      <w:r w:rsidRPr="00097A86">
        <w:rPr>
          <w:rStyle w:val="CharPartText"/>
        </w:rPr>
        <w:t xml:space="preserve"> </w:t>
      </w:r>
    </w:p>
    <w:p w14:paraId="1F616FB3" w14:textId="77777777" w:rsidR="004109FF" w:rsidRPr="00097A86" w:rsidRDefault="004109FF" w:rsidP="004109FF">
      <w:pPr>
        <w:pStyle w:val="Header"/>
      </w:pPr>
      <w:r w:rsidRPr="00097A86">
        <w:rPr>
          <w:rStyle w:val="CharDivNo"/>
        </w:rPr>
        <w:t xml:space="preserve"> </w:t>
      </w:r>
      <w:r w:rsidRPr="00097A86">
        <w:rPr>
          <w:rStyle w:val="CharDivText"/>
        </w:rPr>
        <w:t xml:space="preserve"> </w:t>
      </w:r>
    </w:p>
    <w:p w14:paraId="7806DF58" w14:textId="77777777" w:rsidR="008104E7" w:rsidRPr="00097A86" w:rsidRDefault="008104E7" w:rsidP="008104E7">
      <w:pPr>
        <w:pStyle w:val="ActHead5"/>
      </w:pPr>
      <w:bookmarkStart w:id="669" w:name="_Toc13234096"/>
      <w:r w:rsidRPr="00097A86">
        <w:rPr>
          <w:rStyle w:val="CharSectno"/>
        </w:rPr>
        <w:t>9.10</w:t>
      </w:r>
      <w:r w:rsidRPr="00097A86">
        <w:t xml:space="preserve">  Amendments made by the </w:t>
      </w:r>
      <w:r w:rsidRPr="00097A86">
        <w:rPr>
          <w:i/>
        </w:rPr>
        <w:t xml:space="preserve">National Greenhouse and </w:t>
      </w:r>
      <w:bookmarkStart w:id="670" w:name="_GoBack"/>
      <w:bookmarkEnd w:id="670"/>
      <w:r w:rsidRPr="00097A86">
        <w:rPr>
          <w:i/>
        </w:rPr>
        <w:t>Energy Reporting (Measurement) Amendment (Energy) Determination</w:t>
      </w:r>
      <w:r w:rsidR="00097A86">
        <w:rPr>
          <w:i/>
        </w:rPr>
        <w:t> </w:t>
      </w:r>
      <w:r w:rsidRPr="00097A86">
        <w:rPr>
          <w:i/>
        </w:rPr>
        <w:t>2017</w:t>
      </w:r>
      <w:bookmarkEnd w:id="669"/>
    </w:p>
    <w:p w14:paraId="3AB33173" w14:textId="77777777" w:rsidR="008104E7" w:rsidRPr="00097A86" w:rsidRDefault="008104E7" w:rsidP="008104E7">
      <w:pPr>
        <w:pStyle w:val="subsection"/>
      </w:pPr>
      <w:r w:rsidRPr="00097A86">
        <w:tab/>
      </w:r>
      <w:r w:rsidRPr="00097A86">
        <w:tab/>
        <w:t xml:space="preserve">The amendments made by the </w:t>
      </w:r>
      <w:r w:rsidRPr="00097A86">
        <w:rPr>
          <w:i/>
        </w:rPr>
        <w:t>National Greenhouse and Energy Reporting (Measurement) Amendment (Energy) Determination</w:t>
      </w:r>
      <w:r w:rsidR="00097A86">
        <w:rPr>
          <w:i/>
        </w:rPr>
        <w:t> </w:t>
      </w:r>
      <w:r w:rsidRPr="00097A86">
        <w:rPr>
          <w:i/>
        </w:rPr>
        <w:t>2017</w:t>
      </w:r>
      <w:r w:rsidRPr="00097A86">
        <w:t xml:space="preserve"> apply in relation to:</w:t>
      </w:r>
    </w:p>
    <w:p w14:paraId="077CD3A2" w14:textId="77777777" w:rsidR="008104E7" w:rsidRPr="00097A86" w:rsidRDefault="008104E7" w:rsidP="008104E7">
      <w:pPr>
        <w:pStyle w:val="paragraph"/>
      </w:pPr>
      <w:r w:rsidRPr="00097A86">
        <w:tab/>
        <w:t>(a)</w:t>
      </w:r>
      <w:r w:rsidRPr="00097A86">
        <w:tab/>
        <w:t>the financial year starting on 1</w:t>
      </w:r>
      <w:r w:rsidR="00097A86">
        <w:t> </w:t>
      </w:r>
      <w:r w:rsidRPr="00097A86">
        <w:t>July 2017; and</w:t>
      </w:r>
    </w:p>
    <w:p w14:paraId="5ACFB2EF" w14:textId="77777777" w:rsidR="00560A7C" w:rsidRPr="00097A86" w:rsidRDefault="008104E7" w:rsidP="008E6D30">
      <w:pPr>
        <w:pStyle w:val="paragraph"/>
      </w:pPr>
      <w:r w:rsidRPr="00097A86">
        <w:tab/>
        <w:t>(b)</w:t>
      </w:r>
      <w:r w:rsidRPr="00097A86">
        <w:tab/>
        <w:t>later financial years.</w:t>
      </w:r>
    </w:p>
    <w:p w14:paraId="6D1066CB" w14:textId="77777777" w:rsidR="007B7041" w:rsidRPr="00097A86" w:rsidRDefault="007B7041" w:rsidP="00BF3355">
      <w:bookmarkStart w:id="671" w:name="f_Check_Lines_below"/>
      <w:bookmarkEnd w:id="671"/>
    </w:p>
    <w:p w14:paraId="29447022" w14:textId="77777777" w:rsidR="00992BEF" w:rsidRPr="00C021B3" w:rsidRDefault="00992BEF" w:rsidP="00992BEF">
      <w:pPr>
        <w:pStyle w:val="ActHead5"/>
      </w:pPr>
      <w:bookmarkStart w:id="672" w:name="_Toc13234097"/>
      <w:bookmarkStart w:id="673" w:name="OPCSB_BodyPrincipleA4"/>
      <w:r>
        <w:rPr>
          <w:rStyle w:val="CharSectno"/>
        </w:rPr>
        <w:t>9.11</w:t>
      </w:r>
      <w:r w:rsidRPr="00C021B3">
        <w:t xml:space="preserve">  Amendments made by the </w:t>
      </w:r>
      <w:r w:rsidRPr="00C021B3">
        <w:rPr>
          <w:i/>
        </w:rPr>
        <w:t>National Greenhouse and Energy Reporting (Measurement) Amendment (</w:t>
      </w:r>
      <w:r>
        <w:rPr>
          <w:i/>
        </w:rPr>
        <w:t>2018 Update</w:t>
      </w:r>
      <w:r w:rsidRPr="00C021B3">
        <w:rPr>
          <w:i/>
        </w:rPr>
        <w:t>) Determination 201</w:t>
      </w:r>
      <w:r>
        <w:rPr>
          <w:i/>
        </w:rPr>
        <w:t>8</w:t>
      </w:r>
      <w:bookmarkEnd w:id="672"/>
    </w:p>
    <w:p w14:paraId="418EA1E4" w14:textId="77777777" w:rsidR="00992BEF" w:rsidRPr="00C021B3" w:rsidRDefault="00992BEF" w:rsidP="00992BEF">
      <w:pPr>
        <w:pStyle w:val="subsection"/>
      </w:pPr>
      <w:r w:rsidRPr="00C021B3">
        <w:tab/>
      </w:r>
      <w:r w:rsidRPr="00C021B3">
        <w:tab/>
        <w:t xml:space="preserve">The amendments made by the </w:t>
      </w:r>
      <w:r w:rsidRPr="00C021B3">
        <w:rPr>
          <w:i/>
        </w:rPr>
        <w:t>National Greenhouse and Energy Reporting (Measurement) Amendment (</w:t>
      </w:r>
      <w:r>
        <w:rPr>
          <w:i/>
        </w:rPr>
        <w:t>2018 Update</w:t>
      </w:r>
      <w:r w:rsidRPr="00C021B3">
        <w:rPr>
          <w:i/>
        </w:rPr>
        <w:t>) Determination 201</w:t>
      </w:r>
      <w:r>
        <w:rPr>
          <w:i/>
        </w:rPr>
        <w:t>8</w:t>
      </w:r>
      <w:r w:rsidRPr="00C021B3">
        <w:t xml:space="preserve"> apply in relation to:</w:t>
      </w:r>
    </w:p>
    <w:p w14:paraId="17E583FE" w14:textId="77777777" w:rsidR="00992BEF" w:rsidRPr="00C021B3" w:rsidRDefault="00992BEF" w:rsidP="00992BEF">
      <w:pPr>
        <w:pStyle w:val="paragraph"/>
      </w:pPr>
      <w:r w:rsidRPr="00C021B3">
        <w:tab/>
        <w:t>(a)</w:t>
      </w:r>
      <w:r w:rsidRPr="00C021B3">
        <w:tab/>
        <w:t>the financial year starting on 1 </w:t>
      </w:r>
      <w:r>
        <w:t>July 2018</w:t>
      </w:r>
      <w:r w:rsidRPr="00C021B3">
        <w:t>; and</w:t>
      </w:r>
    </w:p>
    <w:p w14:paraId="5B056AC8" w14:textId="77777777" w:rsidR="00992BEF" w:rsidRDefault="00992BEF" w:rsidP="00992BEF">
      <w:pPr>
        <w:pStyle w:val="paragraph"/>
      </w:pPr>
      <w:r w:rsidRPr="00C021B3">
        <w:tab/>
        <w:t>(b)</w:t>
      </w:r>
      <w:r w:rsidRPr="00C021B3">
        <w:tab/>
        <w:t>later financial years.</w:t>
      </w:r>
    </w:p>
    <w:p w14:paraId="79DE6DBE" w14:textId="77777777" w:rsidR="00D22D3F" w:rsidRDefault="00D22D3F" w:rsidP="00D4338A"/>
    <w:p w14:paraId="65251239" w14:textId="77777777" w:rsidR="00C741AF" w:rsidRPr="00C021B3" w:rsidRDefault="00C741AF" w:rsidP="00C741AF">
      <w:pPr>
        <w:pStyle w:val="ActHead5"/>
      </w:pPr>
      <w:bookmarkStart w:id="674" w:name="_Toc486000020"/>
      <w:bookmarkStart w:id="675" w:name="_Toc13234098"/>
      <w:r>
        <w:rPr>
          <w:rStyle w:val="CharSectno"/>
        </w:rPr>
        <w:t>9.12</w:t>
      </w:r>
      <w:r w:rsidRPr="00C021B3">
        <w:t xml:space="preserve">  Amendments made by the </w:t>
      </w:r>
      <w:r w:rsidRPr="00C021B3">
        <w:rPr>
          <w:i/>
        </w:rPr>
        <w:t>National Greenhouse and Energy Reporting (Measurement) Amendment (</w:t>
      </w:r>
      <w:r>
        <w:rPr>
          <w:i/>
        </w:rPr>
        <w:t>2019 Update</w:t>
      </w:r>
      <w:r w:rsidRPr="00C021B3">
        <w:rPr>
          <w:i/>
        </w:rPr>
        <w:t>) Determination 201</w:t>
      </w:r>
      <w:bookmarkEnd w:id="674"/>
      <w:r>
        <w:rPr>
          <w:i/>
        </w:rPr>
        <w:t>9</w:t>
      </w:r>
      <w:bookmarkEnd w:id="675"/>
    </w:p>
    <w:p w14:paraId="5A390CD1" w14:textId="77777777" w:rsidR="00C741AF" w:rsidRPr="00C021B3" w:rsidRDefault="00C741AF" w:rsidP="00C741AF">
      <w:pPr>
        <w:pStyle w:val="subsection"/>
      </w:pPr>
      <w:r w:rsidRPr="00C021B3">
        <w:tab/>
      </w:r>
      <w:r w:rsidRPr="00C021B3">
        <w:tab/>
      </w:r>
      <w:r>
        <w:t>T</w:t>
      </w:r>
      <w:r w:rsidRPr="00C021B3">
        <w:t xml:space="preserve">he amendments made by the </w:t>
      </w:r>
      <w:r w:rsidRPr="00C021B3">
        <w:rPr>
          <w:i/>
        </w:rPr>
        <w:t>National Greenhouse and Energy Reporting (Measurement) Amendment (</w:t>
      </w:r>
      <w:r>
        <w:rPr>
          <w:i/>
        </w:rPr>
        <w:t>2019 Update</w:t>
      </w:r>
      <w:r w:rsidRPr="00C021B3">
        <w:rPr>
          <w:i/>
        </w:rPr>
        <w:t>) Determination 201</w:t>
      </w:r>
      <w:r>
        <w:rPr>
          <w:i/>
        </w:rPr>
        <w:t>9</w:t>
      </w:r>
      <w:r w:rsidRPr="00C021B3">
        <w:t xml:space="preserve"> apply in relation to:</w:t>
      </w:r>
    </w:p>
    <w:p w14:paraId="59AD8E48" w14:textId="77777777" w:rsidR="00C741AF" w:rsidRPr="00C021B3" w:rsidRDefault="00C741AF" w:rsidP="00C741AF">
      <w:pPr>
        <w:pStyle w:val="paragraph"/>
      </w:pPr>
      <w:r w:rsidRPr="00C021B3">
        <w:tab/>
        <w:t>(a)</w:t>
      </w:r>
      <w:r w:rsidRPr="00C021B3">
        <w:tab/>
        <w:t>the financial year starting on 1 </w:t>
      </w:r>
      <w:r>
        <w:t>July 2019</w:t>
      </w:r>
      <w:r w:rsidRPr="00C021B3">
        <w:t>; and</w:t>
      </w:r>
    </w:p>
    <w:p w14:paraId="7238509F" w14:textId="77777777" w:rsidR="00C741AF" w:rsidRPr="002307F7" w:rsidRDefault="00C741AF" w:rsidP="00C741AF">
      <w:pPr>
        <w:pStyle w:val="paragraph"/>
      </w:pPr>
      <w:r w:rsidRPr="00C021B3">
        <w:tab/>
        <w:t>(b)</w:t>
      </w:r>
      <w:r w:rsidRPr="00C021B3">
        <w:tab/>
        <w:t>later financial years.</w:t>
      </w:r>
    </w:p>
    <w:p w14:paraId="7579D640" w14:textId="77777777" w:rsidR="00C741AF" w:rsidRPr="00097A86" w:rsidRDefault="00C741AF" w:rsidP="00D4338A">
      <w:pPr>
        <w:sectPr w:rsidR="00C741AF" w:rsidRPr="00097A86" w:rsidSect="0033380F">
          <w:headerReference w:type="even" r:id="rId284"/>
          <w:headerReference w:type="default" r:id="rId285"/>
          <w:footerReference w:type="even" r:id="rId286"/>
          <w:footerReference w:type="default" r:id="rId287"/>
          <w:headerReference w:type="first" r:id="rId288"/>
          <w:footerReference w:type="first" r:id="rId289"/>
          <w:pgSz w:w="11907" w:h="16839" w:code="9"/>
          <w:pgMar w:top="2325" w:right="1797" w:bottom="1440" w:left="1797" w:header="720" w:footer="709" w:gutter="0"/>
          <w:pgNumType w:start="1"/>
          <w:cols w:space="708"/>
          <w:docGrid w:linePitch="360"/>
        </w:sectPr>
      </w:pPr>
    </w:p>
    <w:p w14:paraId="5E1D4411" w14:textId="77777777" w:rsidR="003F0D4E" w:rsidRPr="00097A86" w:rsidRDefault="003F0D4E" w:rsidP="0024511D">
      <w:pPr>
        <w:pStyle w:val="ActHead1"/>
        <w:pageBreakBefore/>
      </w:pPr>
      <w:bookmarkStart w:id="676" w:name="_Toc13234099"/>
      <w:bookmarkEnd w:id="673"/>
      <w:r w:rsidRPr="00097A86">
        <w:rPr>
          <w:rStyle w:val="CharChapNo"/>
        </w:rPr>
        <w:lastRenderedPageBreak/>
        <w:t>Schedule</w:t>
      </w:r>
      <w:r w:rsidR="00097A86">
        <w:rPr>
          <w:rStyle w:val="CharChapNo"/>
        </w:rPr>
        <w:t> </w:t>
      </w:r>
      <w:r w:rsidRPr="00097A86">
        <w:rPr>
          <w:rStyle w:val="CharChapNo"/>
        </w:rPr>
        <w:t>1</w:t>
      </w:r>
      <w:r w:rsidR="00D22D3F" w:rsidRPr="00097A86">
        <w:t>—</w:t>
      </w:r>
      <w:r w:rsidRPr="00097A86">
        <w:rPr>
          <w:rStyle w:val="CharChapText"/>
        </w:rPr>
        <w:t>Energy content factors and emission factors</w:t>
      </w:r>
      <w:bookmarkEnd w:id="676"/>
    </w:p>
    <w:p w14:paraId="23C932E5" w14:textId="77777777" w:rsidR="003F0D4E" w:rsidRPr="00097A86" w:rsidRDefault="003F0D4E" w:rsidP="00012F74">
      <w:pPr>
        <w:pStyle w:val="notemargin"/>
        <w:tabs>
          <w:tab w:val="clear" w:pos="709"/>
        </w:tabs>
        <w:ind w:left="0" w:firstLine="0"/>
      </w:pPr>
      <w:r w:rsidRPr="00097A86">
        <w:t>(section</w:t>
      </w:r>
      <w:r w:rsidR="00097A86">
        <w:t> </w:t>
      </w:r>
      <w:r w:rsidRPr="00097A86">
        <w:t>2.4, subsections</w:t>
      </w:r>
      <w:r w:rsidR="00097A86">
        <w:t> </w:t>
      </w:r>
      <w:r w:rsidRPr="00097A86">
        <w:t>2.5(1), 2.6(1), 2.20(1) and 2.21(1), paragraph</w:t>
      </w:r>
      <w:r w:rsidR="00097A86">
        <w:t> </w:t>
      </w:r>
      <w:r w:rsidRPr="00097A86">
        <w:t>2.38(2)(b), section</w:t>
      </w:r>
      <w:r w:rsidR="00097A86">
        <w:t> </w:t>
      </w:r>
      <w:r w:rsidRPr="00097A86">
        <w:t>2.41, subsections</w:t>
      </w:r>
      <w:r w:rsidR="00097A86">
        <w:t> </w:t>
      </w:r>
      <w:r w:rsidRPr="00097A86">
        <w:t>2.42(1) and 2.48(2), section</w:t>
      </w:r>
      <w:r w:rsidR="00097A86">
        <w:t> </w:t>
      </w:r>
      <w:r w:rsidRPr="00097A86">
        <w:t>3.14, subsections</w:t>
      </w:r>
      <w:r w:rsidR="00097A86">
        <w:t> </w:t>
      </w:r>
      <w:r w:rsidRPr="00097A86">
        <w:t>4.31(1), 4.42(1) and 4.55(1), section</w:t>
      </w:r>
      <w:r w:rsidR="00097A86">
        <w:t> </w:t>
      </w:r>
      <w:r w:rsidRPr="00097A86">
        <w:t>4.60 and subsections</w:t>
      </w:r>
      <w:r w:rsidR="00097A86">
        <w:t> </w:t>
      </w:r>
      <w:r w:rsidRPr="00097A86">
        <w:t>4.71(2), 4.94(2), 5.19(1), 5.37(1), 5.48(1), 5.53(2), 6.3(1)</w:t>
      </w:r>
      <w:r w:rsidR="008104E7" w:rsidRPr="00097A86">
        <w:t xml:space="preserve"> and (3), 6.5(1) and (4), 7.2(1) and 7.3(1)</w:t>
      </w:r>
      <w:r w:rsidRPr="00097A86">
        <w:t>)</w:t>
      </w:r>
    </w:p>
    <w:p w14:paraId="78B23230" w14:textId="77777777" w:rsidR="003F0D4E" w:rsidRPr="00097A86" w:rsidRDefault="00D22D3F" w:rsidP="00D22D3F">
      <w:pPr>
        <w:pStyle w:val="notetext"/>
      </w:pPr>
      <w:r w:rsidRPr="00097A86">
        <w:t>Note:</w:t>
      </w:r>
      <w:r w:rsidRPr="00097A86">
        <w:tab/>
      </w:r>
      <w:r w:rsidR="003F0D4E" w:rsidRPr="00097A86">
        <w:t>Under the 2006 IPCC Guidelines, the emission factor for CO</w:t>
      </w:r>
      <w:r w:rsidR="003F0D4E" w:rsidRPr="00097A86">
        <w:rPr>
          <w:rStyle w:val="charSubscript"/>
          <w:sz w:val="18"/>
        </w:rPr>
        <w:t>2</w:t>
      </w:r>
      <w:r w:rsidR="003F0D4E" w:rsidRPr="00097A86">
        <w:t xml:space="preserve"> released from combustion of biogenic carbon fuels is zero.</w:t>
      </w:r>
    </w:p>
    <w:p w14:paraId="673C41B6" w14:textId="77777777" w:rsidR="003F0D4E" w:rsidRPr="00097A86" w:rsidRDefault="003F0D4E" w:rsidP="00D22D3F">
      <w:pPr>
        <w:pStyle w:val="ActHead2"/>
      </w:pPr>
      <w:bookmarkStart w:id="677" w:name="_Toc13234100"/>
      <w:r w:rsidRPr="00097A86">
        <w:rPr>
          <w:rStyle w:val="CharPartNo"/>
        </w:rPr>
        <w:t>Part</w:t>
      </w:r>
      <w:r w:rsidR="00097A86">
        <w:rPr>
          <w:rStyle w:val="CharPartNo"/>
        </w:rPr>
        <w:t> </w:t>
      </w:r>
      <w:r w:rsidRPr="00097A86">
        <w:rPr>
          <w:rStyle w:val="CharPartNo"/>
        </w:rPr>
        <w:t>1</w:t>
      </w:r>
      <w:r w:rsidR="00D22D3F" w:rsidRPr="00097A86">
        <w:t>—</w:t>
      </w:r>
      <w:r w:rsidRPr="00097A86">
        <w:rPr>
          <w:rStyle w:val="CharPartText"/>
        </w:rPr>
        <w:t>Fuel combustion</w:t>
      </w:r>
      <w:r w:rsidR="00D22D3F" w:rsidRPr="00097A86">
        <w:rPr>
          <w:rStyle w:val="CharPartText"/>
        </w:rPr>
        <w:t>—</w:t>
      </w:r>
      <w:r w:rsidRPr="00097A86">
        <w:rPr>
          <w:rStyle w:val="CharPartText"/>
        </w:rPr>
        <w:t>solid fuels and certain coal</w:t>
      </w:r>
      <w:r w:rsidR="00097A86">
        <w:rPr>
          <w:rStyle w:val="CharPartText"/>
        </w:rPr>
        <w:noBreakHyphen/>
      </w:r>
      <w:r w:rsidRPr="00097A86">
        <w:rPr>
          <w:rStyle w:val="CharPartText"/>
        </w:rPr>
        <w:t>based products</w:t>
      </w:r>
      <w:bookmarkEnd w:id="677"/>
    </w:p>
    <w:p w14:paraId="0DB1E113"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3157"/>
        <w:gridCol w:w="15"/>
        <w:gridCol w:w="1536"/>
        <w:gridCol w:w="8"/>
        <w:gridCol w:w="963"/>
        <w:gridCol w:w="7"/>
        <w:gridCol w:w="968"/>
        <w:gridCol w:w="973"/>
      </w:tblGrid>
      <w:tr w:rsidR="003F0D4E" w:rsidRPr="00097A86" w14:paraId="05BD3FF8" w14:textId="77777777" w:rsidTr="00C20CC2">
        <w:trPr>
          <w:cantSplit/>
          <w:tblHeader/>
        </w:trPr>
        <w:tc>
          <w:tcPr>
            <w:tcW w:w="413" w:type="pct"/>
            <w:vMerge w:val="restart"/>
            <w:tcBorders>
              <w:top w:val="single" w:sz="12" w:space="0" w:color="auto"/>
              <w:left w:val="nil"/>
              <w:bottom w:val="single" w:sz="4" w:space="0" w:color="auto"/>
              <w:right w:val="nil"/>
            </w:tcBorders>
          </w:tcPr>
          <w:p w14:paraId="7C145656" w14:textId="77777777" w:rsidR="003F0D4E" w:rsidRPr="00097A86" w:rsidRDefault="003F0D4E" w:rsidP="00012F74">
            <w:pPr>
              <w:pStyle w:val="TableHeading"/>
            </w:pPr>
            <w:r w:rsidRPr="00097A86">
              <w:t>Item</w:t>
            </w:r>
          </w:p>
        </w:tc>
        <w:tc>
          <w:tcPr>
            <w:tcW w:w="1908" w:type="pct"/>
            <w:gridSpan w:val="2"/>
            <w:vMerge w:val="restart"/>
            <w:tcBorders>
              <w:top w:val="single" w:sz="12" w:space="0" w:color="auto"/>
              <w:left w:val="nil"/>
              <w:bottom w:val="single" w:sz="4" w:space="0" w:color="auto"/>
              <w:right w:val="nil"/>
            </w:tcBorders>
          </w:tcPr>
          <w:p w14:paraId="3341298A" w14:textId="77777777" w:rsidR="003F0D4E" w:rsidRPr="00097A86" w:rsidRDefault="003F0D4E" w:rsidP="00012F74">
            <w:pPr>
              <w:pStyle w:val="TableHeading"/>
            </w:pPr>
            <w:r w:rsidRPr="00097A86">
              <w:t>Fuel combusted</w:t>
            </w:r>
          </w:p>
        </w:tc>
        <w:tc>
          <w:tcPr>
            <w:tcW w:w="929" w:type="pct"/>
            <w:gridSpan w:val="2"/>
            <w:vMerge w:val="restart"/>
            <w:tcBorders>
              <w:top w:val="single" w:sz="12" w:space="0" w:color="auto"/>
              <w:left w:val="nil"/>
              <w:bottom w:val="single" w:sz="4" w:space="0" w:color="auto"/>
              <w:right w:val="nil"/>
            </w:tcBorders>
          </w:tcPr>
          <w:p w14:paraId="65E35631" w14:textId="77777777" w:rsidR="003F0D4E" w:rsidRPr="00097A86" w:rsidRDefault="003F0D4E" w:rsidP="00012F74">
            <w:pPr>
              <w:pStyle w:val="TableHeading"/>
            </w:pPr>
            <w:r w:rsidRPr="00097A86">
              <w:t>Energy content factor</w:t>
            </w:r>
          </w:p>
          <w:p w14:paraId="5D6E8571" w14:textId="77777777" w:rsidR="003F0D4E" w:rsidRPr="00097A86" w:rsidRDefault="003F0D4E" w:rsidP="00012F74">
            <w:pPr>
              <w:pStyle w:val="TableHeading"/>
            </w:pPr>
            <w:r w:rsidRPr="00097A86">
              <w:t>GJ/t</w:t>
            </w:r>
          </w:p>
        </w:tc>
        <w:tc>
          <w:tcPr>
            <w:tcW w:w="1750" w:type="pct"/>
            <w:gridSpan w:val="4"/>
            <w:tcBorders>
              <w:top w:val="single" w:sz="12" w:space="0" w:color="auto"/>
              <w:left w:val="nil"/>
              <w:bottom w:val="single" w:sz="4" w:space="0" w:color="auto"/>
              <w:right w:val="nil"/>
            </w:tcBorders>
          </w:tcPr>
          <w:p w14:paraId="7402329D" w14:textId="77777777" w:rsidR="003F0D4E" w:rsidRPr="00097A86" w:rsidRDefault="003F0D4E" w:rsidP="00012F74">
            <w:pPr>
              <w:pStyle w:val="TableHeading"/>
            </w:pPr>
            <w:r w:rsidRPr="00097A86">
              <w:t>Emission factor</w:t>
            </w:r>
          </w:p>
          <w:p w14:paraId="135CA6D3" w14:textId="77777777" w:rsidR="003F0D4E" w:rsidRPr="00097A86" w:rsidRDefault="003F0D4E" w:rsidP="00012F74">
            <w:pPr>
              <w:pStyle w:val="TableHeading"/>
            </w:pPr>
            <w:r w:rsidRPr="00097A86">
              <w:t>kg CO</w:t>
            </w:r>
            <w:r w:rsidR="003D3D56" w:rsidRPr="00097A86">
              <w:rPr>
                <w:vertAlign w:val="subscript"/>
              </w:rPr>
              <w:t>2</w:t>
            </w:r>
            <w:r w:rsidR="00097A86">
              <w:noBreakHyphen/>
            </w:r>
            <w:r w:rsidR="003D3D56" w:rsidRPr="00097A86">
              <w:t>e</w:t>
            </w:r>
            <w:r w:rsidRPr="00097A86">
              <w:t>/GJ</w:t>
            </w:r>
          </w:p>
          <w:p w14:paraId="6478B4CE" w14:textId="77777777" w:rsidR="003F0D4E" w:rsidRPr="00097A86" w:rsidRDefault="003F0D4E" w:rsidP="00012F74">
            <w:pPr>
              <w:pStyle w:val="TableHeading"/>
            </w:pPr>
            <w:r w:rsidRPr="00097A86">
              <w:t>(relevant oxidation factors incorporated)</w:t>
            </w:r>
          </w:p>
        </w:tc>
      </w:tr>
      <w:tr w:rsidR="003F0D4E" w:rsidRPr="00097A86" w14:paraId="555BDD97" w14:textId="77777777" w:rsidTr="00C20CC2">
        <w:trPr>
          <w:cantSplit/>
          <w:tblHeader/>
        </w:trPr>
        <w:tc>
          <w:tcPr>
            <w:tcW w:w="413" w:type="pct"/>
            <w:vMerge/>
            <w:tcBorders>
              <w:top w:val="single" w:sz="4" w:space="0" w:color="auto"/>
              <w:left w:val="nil"/>
              <w:bottom w:val="single" w:sz="12" w:space="0" w:color="auto"/>
              <w:right w:val="nil"/>
            </w:tcBorders>
          </w:tcPr>
          <w:p w14:paraId="484BCD9B" w14:textId="77777777" w:rsidR="003F0D4E" w:rsidRPr="00097A86" w:rsidRDefault="003F0D4E" w:rsidP="00012F74">
            <w:pPr>
              <w:pStyle w:val="TableHeading"/>
            </w:pPr>
          </w:p>
        </w:tc>
        <w:tc>
          <w:tcPr>
            <w:tcW w:w="1908" w:type="pct"/>
            <w:gridSpan w:val="2"/>
            <w:vMerge/>
            <w:tcBorders>
              <w:top w:val="single" w:sz="4" w:space="0" w:color="auto"/>
              <w:left w:val="nil"/>
              <w:bottom w:val="single" w:sz="12" w:space="0" w:color="auto"/>
              <w:right w:val="nil"/>
            </w:tcBorders>
          </w:tcPr>
          <w:p w14:paraId="1F1B9C36" w14:textId="77777777" w:rsidR="003F0D4E" w:rsidRPr="00097A86" w:rsidRDefault="003F0D4E" w:rsidP="00012F74">
            <w:pPr>
              <w:pStyle w:val="TableHeading"/>
            </w:pPr>
          </w:p>
        </w:tc>
        <w:tc>
          <w:tcPr>
            <w:tcW w:w="929" w:type="pct"/>
            <w:gridSpan w:val="2"/>
            <w:vMerge/>
            <w:tcBorders>
              <w:top w:val="single" w:sz="4" w:space="0" w:color="auto"/>
              <w:left w:val="nil"/>
              <w:bottom w:val="single" w:sz="12" w:space="0" w:color="auto"/>
              <w:right w:val="nil"/>
            </w:tcBorders>
          </w:tcPr>
          <w:p w14:paraId="0144827C" w14:textId="77777777" w:rsidR="003F0D4E" w:rsidRPr="00097A86" w:rsidRDefault="003F0D4E" w:rsidP="00012F74">
            <w:pPr>
              <w:pStyle w:val="TableHeading"/>
            </w:pPr>
          </w:p>
        </w:tc>
        <w:tc>
          <w:tcPr>
            <w:tcW w:w="583" w:type="pct"/>
            <w:gridSpan w:val="2"/>
            <w:tcBorders>
              <w:top w:val="single" w:sz="4" w:space="0" w:color="auto"/>
              <w:left w:val="nil"/>
              <w:bottom w:val="single" w:sz="12" w:space="0" w:color="auto"/>
              <w:right w:val="nil"/>
            </w:tcBorders>
          </w:tcPr>
          <w:p w14:paraId="3C4E91BC" w14:textId="77777777" w:rsidR="003F0D4E" w:rsidRPr="00097A86" w:rsidRDefault="003F0D4E" w:rsidP="00012F74">
            <w:pPr>
              <w:pStyle w:val="TableHeading"/>
            </w:pPr>
            <w:r w:rsidRPr="00097A86">
              <w:t>CO</w:t>
            </w:r>
            <w:r w:rsidRPr="00097A86">
              <w:rPr>
                <w:vertAlign w:val="subscript"/>
              </w:rPr>
              <w:t>2</w:t>
            </w:r>
          </w:p>
        </w:tc>
        <w:tc>
          <w:tcPr>
            <w:tcW w:w="582" w:type="pct"/>
            <w:tcBorders>
              <w:top w:val="single" w:sz="4" w:space="0" w:color="auto"/>
              <w:left w:val="nil"/>
              <w:bottom w:val="single" w:sz="12" w:space="0" w:color="auto"/>
              <w:right w:val="nil"/>
            </w:tcBorders>
          </w:tcPr>
          <w:p w14:paraId="2D39A61A" w14:textId="77777777" w:rsidR="003F0D4E" w:rsidRPr="00097A86" w:rsidRDefault="003F0D4E" w:rsidP="00012F74">
            <w:pPr>
              <w:pStyle w:val="TableHeading"/>
            </w:pPr>
            <w:r w:rsidRPr="00097A86">
              <w:t>CH</w:t>
            </w:r>
            <w:r w:rsidRPr="00097A86">
              <w:rPr>
                <w:vertAlign w:val="subscript"/>
              </w:rPr>
              <w:t>4</w:t>
            </w:r>
          </w:p>
        </w:tc>
        <w:tc>
          <w:tcPr>
            <w:tcW w:w="585" w:type="pct"/>
            <w:tcBorders>
              <w:top w:val="single" w:sz="4" w:space="0" w:color="auto"/>
              <w:left w:val="nil"/>
              <w:bottom w:val="single" w:sz="12" w:space="0" w:color="auto"/>
              <w:right w:val="nil"/>
            </w:tcBorders>
          </w:tcPr>
          <w:p w14:paraId="17A5F95B" w14:textId="77777777" w:rsidR="003F0D4E" w:rsidRPr="00097A86" w:rsidRDefault="003F0D4E" w:rsidP="00012F74">
            <w:pPr>
              <w:pStyle w:val="TableHeading"/>
            </w:pPr>
            <w:r w:rsidRPr="00097A86">
              <w:t>N</w:t>
            </w:r>
            <w:r w:rsidRPr="00097A86">
              <w:rPr>
                <w:vertAlign w:val="subscript"/>
              </w:rPr>
              <w:t>2</w:t>
            </w:r>
            <w:r w:rsidRPr="00097A86">
              <w:t>O</w:t>
            </w:r>
          </w:p>
        </w:tc>
      </w:tr>
      <w:tr w:rsidR="00B25EE5" w:rsidRPr="00097A86" w:rsidDel="00D957B3" w14:paraId="128E7D77"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4050D946" w14:textId="77777777" w:rsidR="00B25EE5" w:rsidRPr="00097A86" w:rsidDel="00D957B3" w:rsidRDefault="00B25EE5" w:rsidP="007419DD">
            <w:pPr>
              <w:pStyle w:val="Tabletext"/>
            </w:pPr>
            <w:r w:rsidRPr="00097A86">
              <w:t>1</w:t>
            </w:r>
          </w:p>
        </w:tc>
        <w:tc>
          <w:tcPr>
            <w:tcW w:w="1899" w:type="pct"/>
          </w:tcPr>
          <w:p w14:paraId="78AC3016" w14:textId="77777777" w:rsidR="00B25EE5" w:rsidRPr="00097A86" w:rsidDel="00D957B3" w:rsidRDefault="00B25EE5" w:rsidP="007419DD">
            <w:pPr>
              <w:pStyle w:val="Tabletext"/>
              <w:rPr>
                <w:snapToGrid w:val="0"/>
              </w:rPr>
            </w:pPr>
            <w:r w:rsidRPr="00097A86">
              <w:rPr>
                <w:snapToGrid w:val="0"/>
              </w:rPr>
              <w:t>Bituminous coal</w:t>
            </w:r>
          </w:p>
        </w:tc>
        <w:tc>
          <w:tcPr>
            <w:tcW w:w="933" w:type="pct"/>
            <w:gridSpan w:val="2"/>
          </w:tcPr>
          <w:p w14:paraId="00BDBE26" w14:textId="77777777" w:rsidR="00B25EE5" w:rsidRPr="00097A86" w:rsidDel="00D957B3" w:rsidRDefault="00B25EE5" w:rsidP="007419DD">
            <w:pPr>
              <w:pStyle w:val="Tabletext"/>
            </w:pPr>
            <w:r w:rsidRPr="00097A86">
              <w:t>27.0</w:t>
            </w:r>
          </w:p>
        </w:tc>
        <w:tc>
          <w:tcPr>
            <w:tcW w:w="584" w:type="pct"/>
            <w:gridSpan w:val="2"/>
          </w:tcPr>
          <w:p w14:paraId="0A34588D" w14:textId="77777777" w:rsidR="00B25EE5" w:rsidRPr="00097A86" w:rsidDel="00D957B3" w:rsidRDefault="00B25EE5" w:rsidP="007419DD">
            <w:pPr>
              <w:pStyle w:val="Tabletext"/>
            </w:pPr>
            <w:r w:rsidRPr="00097A86">
              <w:t>90.0</w:t>
            </w:r>
          </w:p>
        </w:tc>
        <w:tc>
          <w:tcPr>
            <w:tcW w:w="586" w:type="pct"/>
            <w:gridSpan w:val="2"/>
          </w:tcPr>
          <w:p w14:paraId="1535DB2A" w14:textId="77777777" w:rsidR="00B25EE5" w:rsidRPr="00097A86" w:rsidDel="00D957B3" w:rsidRDefault="00B25EE5" w:rsidP="007419DD">
            <w:pPr>
              <w:pStyle w:val="Tabletext"/>
            </w:pPr>
            <w:r w:rsidRPr="00097A86">
              <w:t>0.03</w:t>
            </w:r>
          </w:p>
        </w:tc>
        <w:tc>
          <w:tcPr>
            <w:tcW w:w="585" w:type="pct"/>
          </w:tcPr>
          <w:p w14:paraId="4E25933E" w14:textId="77777777" w:rsidR="00B25EE5" w:rsidRPr="00097A86" w:rsidDel="00D957B3" w:rsidRDefault="00B25EE5" w:rsidP="007419DD">
            <w:pPr>
              <w:pStyle w:val="Tabletext"/>
            </w:pPr>
            <w:r w:rsidRPr="00097A86">
              <w:t>0.2</w:t>
            </w:r>
          </w:p>
        </w:tc>
      </w:tr>
      <w:tr w:rsidR="00B25EE5" w:rsidRPr="00097A86" w:rsidDel="00D957B3" w14:paraId="155DF918"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7F700868" w14:textId="77777777" w:rsidR="00B25EE5" w:rsidRPr="00097A86" w:rsidDel="00D957B3" w:rsidRDefault="00B25EE5" w:rsidP="007419DD">
            <w:pPr>
              <w:pStyle w:val="Tabletext"/>
            </w:pPr>
            <w:r w:rsidRPr="00097A86">
              <w:t>1A</w:t>
            </w:r>
          </w:p>
        </w:tc>
        <w:tc>
          <w:tcPr>
            <w:tcW w:w="1899" w:type="pct"/>
          </w:tcPr>
          <w:p w14:paraId="07FF773E" w14:textId="77777777" w:rsidR="00B25EE5" w:rsidRPr="00097A86" w:rsidDel="00D957B3" w:rsidRDefault="00B25EE5" w:rsidP="007419DD">
            <w:pPr>
              <w:pStyle w:val="Tabletext"/>
              <w:rPr>
                <w:snapToGrid w:val="0"/>
              </w:rPr>
            </w:pPr>
            <w:r w:rsidRPr="00097A86">
              <w:rPr>
                <w:snapToGrid w:val="0"/>
              </w:rPr>
              <w:t>Sub</w:t>
            </w:r>
            <w:r w:rsidR="00097A86">
              <w:rPr>
                <w:snapToGrid w:val="0"/>
              </w:rPr>
              <w:noBreakHyphen/>
            </w:r>
            <w:r w:rsidRPr="00097A86">
              <w:rPr>
                <w:snapToGrid w:val="0"/>
              </w:rPr>
              <w:t>bituminous coal</w:t>
            </w:r>
          </w:p>
        </w:tc>
        <w:tc>
          <w:tcPr>
            <w:tcW w:w="933" w:type="pct"/>
            <w:gridSpan w:val="2"/>
          </w:tcPr>
          <w:p w14:paraId="6E8E49EE" w14:textId="77777777" w:rsidR="00B25EE5" w:rsidRPr="00097A86" w:rsidDel="00D957B3" w:rsidRDefault="00B25EE5" w:rsidP="007419DD">
            <w:pPr>
              <w:pStyle w:val="Tabletext"/>
            </w:pPr>
            <w:r w:rsidRPr="00097A86">
              <w:t>21.0</w:t>
            </w:r>
          </w:p>
        </w:tc>
        <w:tc>
          <w:tcPr>
            <w:tcW w:w="584" w:type="pct"/>
            <w:gridSpan w:val="2"/>
          </w:tcPr>
          <w:p w14:paraId="63B72971" w14:textId="77777777" w:rsidR="00B25EE5" w:rsidRPr="00097A86" w:rsidDel="00D957B3" w:rsidRDefault="00B25EE5" w:rsidP="007419DD">
            <w:pPr>
              <w:pStyle w:val="Tabletext"/>
            </w:pPr>
            <w:r w:rsidRPr="00097A86">
              <w:t>90.0</w:t>
            </w:r>
          </w:p>
        </w:tc>
        <w:tc>
          <w:tcPr>
            <w:tcW w:w="586" w:type="pct"/>
            <w:gridSpan w:val="2"/>
          </w:tcPr>
          <w:p w14:paraId="04BDC92B" w14:textId="77777777" w:rsidR="00B25EE5" w:rsidRPr="00097A86" w:rsidDel="00D957B3" w:rsidRDefault="00B25EE5" w:rsidP="007419DD">
            <w:pPr>
              <w:pStyle w:val="Tabletext"/>
            </w:pPr>
            <w:r w:rsidRPr="00097A86">
              <w:t>0.03</w:t>
            </w:r>
          </w:p>
        </w:tc>
        <w:tc>
          <w:tcPr>
            <w:tcW w:w="585" w:type="pct"/>
          </w:tcPr>
          <w:p w14:paraId="7FDB266C" w14:textId="77777777" w:rsidR="00B25EE5" w:rsidRPr="00097A86" w:rsidDel="00D957B3" w:rsidRDefault="00B25EE5" w:rsidP="007419DD">
            <w:pPr>
              <w:pStyle w:val="Tabletext"/>
            </w:pPr>
            <w:r w:rsidRPr="00097A86">
              <w:t>0.2</w:t>
            </w:r>
          </w:p>
        </w:tc>
      </w:tr>
      <w:tr w:rsidR="00B25EE5" w:rsidRPr="00097A86" w:rsidDel="00D957B3" w14:paraId="3F1AE67F"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5129CAEF" w14:textId="77777777" w:rsidR="00B25EE5" w:rsidRPr="00097A86" w:rsidDel="00D957B3" w:rsidRDefault="00B25EE5" w:rsidP="007419DD">
            <w:pPr>
              <w:pStyle w:val="Tabletext"/>
            </w:pPr>
            <w:r w:rsidRPr="00097A86">
              <w:t>1B</w:t>
            </w:r>
          </w:p>
        </w:tc>
        <w:tc>
          <w:tcPr>
            <w:tcW w:w="1899" w:type="pct"/>
          </w:tcPr>
          <w:p w14:paraId="4B5B1C06" w14:textId="77777777" w:rsidR="00B25EE5" w:rsidRPr="00097A86" w:rsidDel="00D957B3" w:rsidRDefault="00B25EE5" w:rsidP="007419DD">
            <w:pPr>
              <w:pStyle w:val="Tabletext"/>
              <w:rPr>
                <w:snapToGrid w:val="0"/>
              </w:rPr>
            </w:pPr>
            <w:r w:rsidRPr="00097A86">
              <w:rPr>
                <w:snapToGrid w:val="0"/>
              </w:rPr>
              <w:t>Anthracite</w:t>
            </w:r>
          </w:p>
        </w:tc>
        <w:tc>
          <w:tcPr>
            <w:tcW w:w="933" w:type="pct"/>
            <w:gridSpan w:val="2"/>
          </w:tcPr>
          <w:p w14:paraId="014EECEC" w14:textId="77777777" w:rsidR="00B25EE5" w:rsidRPr="00097A86" w:rsidDel="00D957B3" w:rsidRDefault="00B25EE5" w:rsidP="007419DD">
            <w:pPr>
              <w:pStyle w:val="Tabletext"/>
            </w:pPr>
            <w:r w:rsidRPr="00097A86">
              <w:t>29.0</w:t>
            </w:r>
          </w:p>
        </w:tc>
        <w:tc>
          <w:tcPr>
            <w:tcW w:w="584" w:type="pct"/>
            <w:gridSpan w:val="2"/>
          </w:tcPr>
          <w:p w14:paraId="4BE3CBF0" w14:textId="77777777" w:rsidR="00B25EE5" w:rsidRPr="00097A86" w:rsidDel="00D957B3" w:rsidRDefault="00B25EE5" w:rsidP="007419DD">
            <w:pPr>
              <w:pStyle w:val="Tabletext"/>
            </w:pPr>
            <w:r w:rsidRPr="00097A86">
              <w:t>90.0</w:t>
            </w:r>
          </w:p>
        </w:tc>
        <w:tc>
          <w:tcPr>
            <w:tcW w:w="586" w:type="pct"/>
            <w:gridSpan w:val="2"/>
          </w:tcPr>
          <w:p w14:paraId="7D13847C" w14:textId="77777777" w:rsidR="00B25EE5" w:rsidRPr="00097A86" w:rsidDel="00D957B3" w:rsidRDefault="00B25EE5" w:rsidP="007419DD">
            <w:pPr>
              <w:pStyle w:val="Tabletext"/>
            </w:pPr>
            <w:r w:rsidRPr="00097A86">
              <w:t>0.03</w:t>
            </w:r>
          </w:p>
        </w:tc>
        <w:tc>
          <w:tcPr>
            <w:tcW w:w="585" w:type="pct"/>
          </w:tcPr>
          <w:p w14:paraId="70CE8D98" w14:textId="77777777" w:rsidR="00B25EE5" w:rsidRPr="00097A86" w:rsidDel="00D957B3" w:rsidRDefault="00B25EE5" w:rsidP="007419DD">
            <w:pPr>
              <w:pStyle w:val="Tabletext"/>
            </w:pPr>
            <w:r w:rsidRPr="00097A86">
              <w:t>0.2</w:t>
            </w:r>
          </w:p>
        </w:tc>
      </w:tr>
      <w:tr w:rsidR="00B25EE5" w:rsidRPr="00097A86" w14:paraId="663072F8"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06096DBB" w14:textId="77777777" w:rsidR="00B25EE5" w:rsidRPr="00097A86" w:rsidRDefault="00B25EE5" w:rsidP="007419DD">
            <w:pPr>
              <w:pStyle w:val="Tabletext"/>
            </w:pPr>
            <w:r w:rsidRPr="00097A86">
              <w:t>2</w:t>
            </w:r>
          </w:p>
        </w:tc>
        <w:tc>
          <w:tcPr>
            <w:tcW w:w="1899" w:type="pct"/>
          </w:tcPr>
          <w:p w14:paraId="32C35F60" w14:textId="77777777" w:rsidR="00B25EE5" w:rsidRPr="00097A86" w:rsidRDefault="00B25EE5" w:rsidP="007419DD">
            <w:pPr>
              <w:pStyle w:val="Tabletext"/>
            </w:pPr>
            <w:r w:rsidRPr="00097A86">
              <w:rPr>
                <w:snapToGrid w:val="0"/>
              </w:rPr>
              <w:t>Brown coal</w:t>
            </w:r>
          </w:p>
        </w:tc>
        <w:tc>
          <w:tcPr>
            <w:tcW w:w="933" w:type="pct"/>
            <w:gridSpan w:val="2"/>
          </w:tcPr>
          <w:p w14:paraId="0C2EA172" w14:textId="77777777" w:rsidR="00B25EE5" w:rsidRPr="00097A86" w:rsidRDefault="00B25EE5" w:rsidP="007419DD">
            <w:pPr>
              <w:pStyle w:val="Tabletext"/>
            </w:pPr>
            <w:r w:rsidRPr="00097A86">
              <w:t>10.2</w:t>
            </w:r>
          </w:p>
        </w:tc>
        <w:tc>
          <w:tcPr>
            <w:tcW w:w="584" w:type="pct"/>
            <w:gridSpan w:val="2"/>
          </w:tcPr>
          <w:p w14:paraId="73F45566" w14:textId="77777777" w:rsidR="00B25EE5" w:rsidRPr="00097A86" w:rsidRDefault="00B25EE5" w:rsidP="007419DD">
            <w:pPr>
              <w:pStyle w:val="Tabletext"/>
            </w:pPr>
            <w:r w:rsidRPr="00097A86">
              <w:t>93.5</w:t>
            </w:r>
          </w:p>
        </w:tc>
        <w:tc>
          <w:tcPr>
            <w:tcW w:w="586" w:type="pct"/>
            <w:gridSpan w:val="2"/>
          </w:tcPr>
          <w:p w14:paraId="7F7D12BA" w14:textId="77777777" w:rsidR="00B25EE5" w:rsidRPr="00097A86" w:rsidRDefault="00B25EE5" w:rsidP="007419DD">
            <w:pPr>
              <w:pStyle w:val="Tabletext"/>
            </w:pPr>
            <w:r w:rsidRPr="00097A86">
              <w:t>0.02</w:t>
            </w:r>
          </w:p>
        </w:tc>
        <w:tc>
          <w:tcPr>
            <w:tcW w:w="585" w:type="pct"/>
          </w:tcPr>
          <w:p w14:paraId="7C446054" w14:textId="77777777" w:rsidR="00B25EE5" w:rsidRPr="00097A86" w:rsidRDefault="00B25EE5" w:rsidP="007419DD">
            <w:pPr>
              <w:pStyle w:val="Tabletext"/>
            </w:pPr>
            <w:r w:rsidRPr="00097A86">
              <w:t>0.4</w:t>
            </w:r>
          </w:p>
        </w:tc>
      </w:tr>
      <w:tr w:rsidR="00B25EE5" w:rsidRPr="00097A86" w14:paraId="48246698"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6BB7890E" w14:textId="77777777" w:rsidR="00B25EE5" w:rsidRPr="00097A86" w:rsidRDefault="00B25EE5" w:rsidP="007419DD">
            <w:pPr>
              <w:pStyle w:val="Tabletext"/>
            </w:pPr>
            <w:r w:rsidRPr="00097A86">
              <w:t>3</w:t>
            </w:r>
          </w:p>
        </w:tc>
        <w:tc>
          <w:tcPr>
            <w:tcW w:w="1899" w:type="pct"/>
          </w:tcPr>
          <w:p w14:paraId="7B11CCAD" w14:textId="77777777" w:rsidR="00B25EE5" w:rsidRPr="00097A86" w:rsidRDefault="00B25EE5" w:rsidP="007419DD">
            <w:pPr>
              <w:pStyle w:val="Tabletext"/>
            </w:pPr>
            <w:r w:rsidRPr="00097A86">
              <w:rPr>
                <w:snapToGrid w:val="0"/>
              </w:rPr>
              <w:t>Coking coal</w:t>
            </w:r>
          </w:p>
        </w:tc>
        <w:tc>
          <w:tcPr>
            <w:tcW w:w="933" w:type="pct"/>
            <w:gridSpan w:val="2"/>
          </w:tcPr>
          <w:p w14:paraId="74E60CF1" w14:textId="77777777" w:rsidR="00B25EE5" w:rsidRPr="00097A86" w:rsidRDefault="00B25EE5" w:rsidP="007419DD">
            <w:pPr>
              <w:pStyle w:val="Tabletext"/>
            </w:pPr>
            <w:r w:rsidRPr="00097A86">
              <w:t>30.0</w:t>
            </w:r>
          </w:p>
        </w:tc>
        <w:tc>
          <w:tcPr>
            <w:tcW w:w="584" w:type="pct"/>
            <w:gridSpan w:val="2"/>
          </w:tcPr>
          <w:p w14:paraId="388B82BF" w14:textId="77777777" w:rsidR="00B25EE5" w:rsidRPr="00097A86" w:rsidRDefault="00B25EE5" w:rsidP="007419DD">
            <w:pPr>
              <w:pStyle w:val="Tabletext"/>
            </w:pPr>
            <w:r w:rsidRPr="00097A86">
              <w:t>91.8</w:t>
            </w:r>
          </w:p>
        </w:tc>
        <w:tc>
          <w:tcPr>
            <w:tcW w:w="586" w:type="pct"/>
            <w:gridSpan w:val="2"/>
          </w:tcPr>
          <w:p w14:paraId="5B23A357" w14:textId="77777777" w:rsidR="00B25EE5" w:rsidRPr="00097A86" w:rsidRDefault="00B25EE5" w:rsidP="007419DD">
            <w:pPr>
              <w:pStyle w:val="Tabletext"/>
            </w:pPr>
            <w:r w:rsidRPr="00097A86">
              <w:t>0.02</w:t>
            </w:r>
          </w:p>
        </w:tc>
        <w:tc>
          <w:tcPr>
            <w:tcW w:w="585" w:type="pct"/>
          </w:tcPr>
          <w:p w14:paraId="013E252A" w14:textId="77777777" w:rsidR="00B25EE5" w:rsidRPr="00097A86" w:rsidRDefault="00B25EE5" w:rsidP="007419DD">
            <w:pPr>
              <w:pStyle w:val="Tabletext"/>
            </w:pPr>
            <w:r w:rsidRPr="00097A86">
              <w:t>0.2</w:t>
            </w:r>
          </w:p>
        </w:tc>
      </w:tr>
      <w:tr w:rsidR="00B25EE5" w:rsidRPr="00097A86" w14:paraId="7D0DEFE4"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3780A0C0" w14:textId="77777777" w:rsidR="00B25EE5" w:rsidRPr="00097A86" w:rsidRDefault="00B25EE5" w:rsidP="007419DD">
            <w:pPr>
              <w:pStyle w:val="Tabletext"/>
            </w:pPr>
            <w:r w:rsidRPr="00097A86">
              <w:t>4</w:t>
            </w:r>
          </w:p>
        </w:tc>
        <w:tc>
          <w:tcPr>
            <w:tcW w:w="1899" w:type="pct"/>
          </w:tcPr>
          <w:p w14:paraId="5CA3A849" w14:textId="77777777" w:rsidR="00B25EE5" w:rsidRPr="00097A86" w:rsidRDefault="00B25EE5" w:rsidP="007419DD">
            <w:pPr>
              <w:pStyle w:val="Tabletext"/>
            </w:pPr>
            <w:r w:rsidRPr="00097A86">
              <w:t>Coal briquettes</w:t>
            </w:r>
          </w:p>
        </w:tc>
        <w:tc>
          <w:tcPr>
            <w:tcW w:w="933" w:type="pct"/>
            <w:gridSpan w:val="2"/>
          </w:tcPr>
          <w:p w14:paraId="0D7BDDC0" w14:textId="77777777" w:rsidR="00B25EE5" w:rsidRPr="00097A86" w:rsidRDefault="00B25EE5" w:rsidP="007419DD">
            <w:pPr>
              <w:pStyle w:val="Tabletext"/>
            </w:pPr>
            <w:r w:rsidRPr="00097A86">
              <w:t>22.1</w:t>
            </w:r>
          </w:p>
        </w:tc>
        <w:tc>
          <w:tcPr>
            <w:tcW w:w="584" w:type="pct"/>
            <w:gridSpan w:val="2"/>
          </w:tcPr>
          <w:p w14:paraId="63F6D16F" w14:textId="77777777" w:rsidR="00B25EE5" w:rsidRPr="00097A86" w:rsidRDefault="00B25EE5" w:rsidP="007419DD">
            <w:pPr>
              <w:pStyle w:val="Tabletext"/>
            </w:pPr>
            <w:r w:rsidRPr="00097A86">
              <w:t>95.0</w:t>
            </w:r>
          </w:p>
        </w:tc>
        <w:tc>
          <w:tcPr>
            <w:tcW w:w="586" w:type="pct"/>
            <w:gridSpan w:val="2"/>
          </w:tcPr>
          <w:p w14:paraId="0ECD827E" w14:textId="77777777" w:rsidR="00B25EE5" w:rsidRPr="00097A86" w:rsidRDefault="00B25EE5" w:rsidP="007419DD">
            <w:pPr>
              <w:pStyle w:val="Tabletext"/>
            </w:pPr>
            <w:r w:rsidRPr="00097A86">
              <w:t>0.07</w:t>
            </w:r>
          </w:p>
        </w:tc>
        <w:tc>
          <w:tcPr>
            <w:tcW w:w="585" w:type="pct"/>
          </w:tcPr>
          <w:p w14:paraId="7D13D637" w14:textId="77777777" w:rsidR="00B25EE5" w:rsidRPr="00097A86" w:rsidRDefault="00B25EE5" w:rsidP="007419DD">
            <w:pPr>
              <w:pStyle w:val="Tabletext"/>
            </w:pPr>
            <w:r w:rsidRPr="00097A86">
              <w:t>0.3</w:t>
            </w:r>
          </w:p>
        </w:tc>
      </w:tr>
      <w:tr w:rsidR="00B25EE5" w:rsidRPr="00097A86" w14:paraId="38D899EF"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1AB8FE08" w14:textId="77777777" w:rsidR="00B25EE5" w:rsidRPr="00097A86" w:rsidRDefault="00B25EE5" w:rsidP="007419DD">
            <w:pPr>
              <w:pStyle w:val="Tabletext"/>
            </w:pPr>
            <w:r w:rsidRPr="00097A86">
              <w:t>5</w:t>
            </w:r>
          </w:p>
        </w:tc>
        <w:tc>
          <w:tcPr>
            <w:tcW w:w="1899" w:type="pct"/>
          </w:tcPr>
          <w:p w14:paraId="45F64AA7" w14:textId="77777777" w:rsidR="00B25EE5" w:rsidRPr="00097A86" w:rsidRDefault="00B25EE5" w:rsidP="007419DD">
            <w:pPr>
              <w:pStyle w:val="Tabletext"/>
            </w:pPr>
            <w:r w:rsidRPr="00097A86">
              <w:t>Coal coke</w:t>
            </w:r>
          </w:p>
        </w:tc>
        <w:tc>
          <w:tcPr>
            <w:tcW w:w="933" w:type="pct"/>
            <w:gridSpan w:val="2"/>
          </w:tcPr>
          <w:p w14:paraId="149AC907" w14:textId="77777777" w:rsidR="00B25EE5" w:rsidRPr="00097A86" w:rsidRDefault="00B25EE5" w:rsidP="007419DD">
            <w:pPr>
              <w:pStyle w:val="Tabletext"/>
            </w:pPr>
            <w:r w:rsidRPr="00097A86">
              <w:t>27.0</w:t>
            </w:r>
          </w:p>
        </w:tc>
        <w:tc>
          <w:tcPr>
            <w:tcW w:w="584" w:type="pct"/>
            <w:gridSpan w:val="2"/>
          </w:tcPr>
          <w:p w14:paraId="111EDBA6" w14:textId="77777777" w:rsidR="00B25EE5" w:rsidRPr="00097A86" w:rsidRDefault="00B25EE5" w:rsidP="007419DD">
            <w:pPr>
              <w:pStyle w:val="Tabletext"/>
            </w:pPr>
            <w:r w:rsidRPr="00097A86">
              <w:t>107.0</w:t>
            </w:r>
          </w:p>
        </w:tc>
        <w:tc>
          <w:tcPr>
            <w:tcW w:w="586" w:type="pct"/>
            <w:gridSpan w:val="2"/>
          </w:tcPr>
          <w:p w14:paraId="67DD3B6E" w14:textId="77777777" w:rsidR="00B25EE5" w:rsidRPr="00097A86" w:rsidRDefault="00B25EE5" w:rsidP="007419DD">
            <w:pPr>
              <w:pStyle w:val="Tabletext"/>
            </w:pPr>
            <w:r w:rsidRPr="00097A86">
              <w:t>0.04</w:t>
            </w:r>
          </w:p>
        </w:tc>
        <w:tc>
          <w:tcPr>
            <w:tcW w:w="585" w:type="pct"/>
          </w:tcPr>
          <w:p w14:paraId="2D3DD9C8" w14:textId="77777777" w:rsidR="00B25EE5" w:rsidRPr="00097A86" w:rsidRDefault="00B25EE5" w:rsidP="007419DD">
            <w:pPr>
              <w:pStyle w:val="Tabletext"/>
            </w:pPr>
            <w:r w:rsidRPr="00097A86">
              <w:t>0.2</w:t>
            </w:r>
          </w:p>
        </w:tc>
      </w:tr>
      <w:tr w:rsidR="00B25EE5" w:rsidRPr="00097A86" w14:paraId="63D0D8BE"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68963C37" w14:textId="77777777" w:rsidR="00B25EE5" w:rsidRPr="00097A86" w:rsidRDefault="00B25EE5" w:rsidP="007419DD">
            <w:pPr>
              <w:pStyle w:val="Tabletext"/>
            </w:pPr>
            <w:r w:rsidRPr="00097A86">
              <w:t>6</w:t>
            </w:r>
          </w:p>
        </w:tc>
        <w:tc>
          <w:tcPr>
            <w:tcW w:w="1899" w:type="pct"/>
          </w:tcPr>
          <w:p w14:paraId="6690F460" w14:textId="77777777" w:rsidR="00B25EE5" w:rsidRPr="00097A86" w:rsidRDefault="00B25EE5" w:rsidP="007419DD">
            <w:pPr>
              <w:pStyle w:val="Tabletext"/>
            </w:pPr>
            <w:r w:rsidRPr="00097A86">
              <w:rPr>
                <w:snapToGrid w:val="0"/>
              </w:rPr>
              <w:t>Coal tar</w:t>
            </w:r>
          </w:p>
        </w:tc>
        <w:tc>
          <w:tcPr>
            <w:tcW w:w="933" w:type="pct"/>
            <w:gridSpan w:val="2"/>
          </w:tcPr>
          <w:p w14:paraId="61FC0461" w14:textId="77777777" w:rsidR="00B25EE5" w:rsidRPr="00097A86" w:rsidRDefault="00B25EE5" w:rsidP="007419DD">
            <w:pPr>
              <w:pStyle w:val="Tabletext"/>
            </w:pPr>
            <w:r w:rsidRPr="00097A86">
              <w:t>37.5</w:t>
            </w:r>
          </w:p>
        </w:tc>
        <w:tc>
          <w:tcPr>
            <w:tcW w:w="584" w:type="pct"/>
            <w:gridSpan w:val="2"/>
          </w:tcPr>
          <w:p w14:paraId="1C40E098" w14:textId="77777777" w:rsidR="00B25EE5" w:rsidRPr="00097A86" w:rsidRDefault="00B25EE5" w:rsidP="007419DD">
            <w:pPr>
              <w:pStyle w:val="Tabletext"/>
            </w:pPr>
            <w:r w:rsidRPr="00097A86">
              <w:t>81.8</w:t>
            </w:r>
          </w:p>
        </w:tc>
        <w:tc>
          <w:tcPr>
            <w:tcW w:w="586" w:type="pct"/>
            <w:gridSpan w:val="2"/>
          </w:tcPr>
          <w:p w14:paraId="7FF4FB82" w14:textId="77777777" w:rsidR="00B25EE5" w:rsidRPr="00097A86" w:rsidRDefault="00B25EE5" w:rsidP="007419DD">
            <w:pPr>
              <w:pStyle w:val="Tabletext"/>
            </w:pPr>
            <w:r w:rsidRPr="00097A86">
              <w:t>0.03</w:t>
            </w:r>
          </w:p>
        </w:tc>
        <w:tc>
          <w:tcPr>
            <w:tcW w:w="585" w:type="pct"/>
          </w:tcPr>
          <w:p w14:paraId="7461B7B0" w14:textId="77777777" w:rsidR="00B25EE5" w:rsidRPr="00097A86" w:rsidRDefault="00B25EE5" w:rsidP="007419DD">
            <w:pPr>
              <w:pStyle w:val="Tabletext"/>
            </w:pPr>
            <w:r w:rsidRPr="00097A86">
              <w:t>0.2</w:t>
            </w:r>
          </w:p>
        </w:tc>
      </w:tr>
      <w:tr w:rsidR="00B25EE5" w:rsidRPr="00097A86" w14:paraId="6CD165F9"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5E17C9F6" w14:textId="77777777" w:rsidR="00B25EE5" w:rsidRPr="00097A86" w:rsidRDefault="00B25EE5" w:rsidP="007419DD">
            <w:pPr>
              <w:pStyle w:val="Tabletext"/>
            </w:pPr>
            <w:r w:rsidRPr="00097A86">
              <w:t>7</w:t>
            </w:r>
          </w:p>
        </w:tc>
        <w:tc>
          <w:tcPr>
            <w:tcW w:w="1899" w:type="pct"/>
          </w:tcPr>
          <w:p w14:paraId="51ABD382" w14:textId="77777777" w:rsidR="00B25EE5" w:rsidRPr="00097A86" w:rsidRDefault="00B25EE5" w:rsidP="007419DD">
            <w:pPr>
              <w:pStyle w:val="Tabletext"/>
            </w:pPr>
            <w:r w:rsidRPr="00097A86">
              <w:t>Solid fossil fuels other than those mentioned in items</w:t>
            </w:r>
            <w:r w:rsidR="00097A86">
              <w:t> </w:t>
            </w:r>
            <w:r w:rsidRPr="00097A86">
              <w:t>1 to 5</w:t>
            </w:r>
          </w:p>
        </w:tc>
        <w:tc>
          <w:tcPr>
            <w:tcW w:w="933" w:type="pct"/>
            <w:gridSpan w:val="2"/>
          </w:tcPr>
          <w:p w14:paraId="47DE06B5" w14:textId="77777777" w:rsidR="00B25EE5" w:rsidRPr="00097A86" w:rsidRDefault="00B25EE5" w:rsidP="007419DD">
            <w:pPr>
              <w:pStyle w:val="Tabletext"/>
            </w:pPr>
            <w:r w:rsidRPr="00097A86">
              <w:t>22.1</w:t>
            </w:r>
          </w:p>
        </w:tc>
        <w:tc>
          <w:tcPr>
            <w:tcW w:w="584" w:type="pct"/>
            <w:gridSpan w:val="2"/>
          </w:tcPr>
          <w:p w14:paraId="2BB4177C" w14:textId="77777777" w:rsidR="00B25EE5" w:rsidRPr="00097A86" w:rsidRDefault="00B25EE5" w:rsidP="007419DD">
            <w:pPr>
              <w:pStyle w:val="Tabletext"/>
            </w:pPr>
            <w:r w:rsidRPr="00097A86">
              <w:t>95.0</w:t>
            </w:r>
          </w:p>
        </w:tc>
        <w:tc>
          <w:tcPr>
            <w:tcW w:w="586" w:type="pct"/>
            <w:gridSpan w:val="2"/>
          </w:tcPr>
          <w:p w14:paraId="36F5BFB2" w14:textId="77777777" w:rsidR="00B25EE5" w:rsidRPr="00097A86" w:rsidRDefault="00B25EE5" w:rsidP="007419DD">
            <w:pPr>
              <w:pStyle w:val="Tabletext"/>
            </w:pPr>
            <w:r w:rsidRPr="00097A86">
              <w:t>0.07</w:t>
            </w:r>
          </w:p>
        </w:tc>
        <w:tc>
          <w:tcPr>
            <w:tcW w:w="585" w:type="pct"/>
          </w:tcPr>
          <w:p w14:paraId="0CC7ECBA" w14:textId="77777777" w:rsidR="00B25EE5" w:rsidRPr="00097A86" w:rsidRDefault="00B25EE5" w:rsidP="007419DD">
            <w:pPr>
              <w:pStyle w:val="Tabletext"/>
            </w:pPr>
            <w:r w:rsidRPr="00097A86">
              <w:t>0.3</w:t>
            </w:r>
          </w:p>
        </w:tc>
      </w:tr>
      <w:tr w:rsidR="00B25EE5" w:rsidRPr="00097A86" w14:paraId="093D0FDD"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3841E975" w14:textId="77777777" w:rsidR="00B25EE5" w:rsidRPr="00097A86" w:rsidRDefault="00B25EE5" w:rsidP="007419DD">
            <w:pPr>
              <w:pStyle w:val="Tabletext"/>
            </w:pPr>
            <w:r w:rsidRPr="00097A86">
              <w:t>8</w:t>
            </w:r>
          </w:p>
        </w:tc>
        <w:tc>
          <w:tcPr>
            <w:tcW w:w="1899" w:type="pct"/>
          </w:tcPr>
          <w:p w14:paraId="53A60BD6" w14:textId="77777777" w:rsidR="00B25EE5" w:rsidRPr="00097A86" w:rsidRDefault="00B25EE5" w:rsidP="007419DD">
            <w:pPr>
              <w:pStyle w:val="Tabletext"/>
            </w:pPr>
            <w:r w:rsidRPr="00097A86">
              <w:rPr>
                <w:snapToGrid w:val="0"/>
              </w:rPr>
              <w:t xml:space="preserve">Industrial </w:t>
            </w:r>
            <w:r w:rsidRPr="00097A86">
              <w:t xml:space="preserve">materials and tyres that </w:t>
            </w:r>
            <w:r w:rsidRPr="00097A86">
              <w:rPr>
                <w:snapToGrid w:val="0"/>
              </w:rPr>
              <w:t>are derived from fossil fuels, if recycled and combusted to produce heat or electricity</w:t>
            </w:r>
          </w:p>
        </w:tc>
        <w:tc>
          <w:tcPr>
            <w:tcW w:w="933" w:type="pct"/>
            <w:gridSpan w:val="2"/>
          </w:tcPr>
          <w:p w14:paraId="242104E2" w14:textId="77777777" w:rsidR="00B25EE5" w:rsidRPr="00097A86" w:rsidRDefault="00B25EE5" w:rsidP="007419DD">
            <w:pPr>
              <w:pStyle w:val="Tabletext"/>
            </w:pPr>
            <w:r w:rsidRPr="00097A86">
              <w:t>26.3</w:t>
            </w:r>
          </w:p>
        </w:tc>
        <w:tc>
          <w:tcPr>
            <w:tcW w:w="584" w:type="pct"/>
            <w:gridSpan w:val="2"/>
          </w:tcPr>
          <w:p w14:paraId="21C51A69" w14:textId="77777777" w:rsidR="00B25EE5" w:rsidRPr="00097A86" w:rsidRDefault="00B25EE5" w:rsidP="007419DD">
            <w:pPr>
              <w:pStyle w:val="Tabletext"/>
            </w:pPr>
            <w:r w:rsidRPr="00097A86">
              <w:t>81.6</w:t>
            </w:r>
          </w:p>
        </w:tc>
        <w:tc>
          <w:tcPr>
            <w:tcW w:w="586" w:type="pct"/>
            <w:gridSpan w:val="2"/>
          </w:tcPr>
          <w:p w14:paraId="2192EC7D" w14:textId="77777777" w:rsidR="00B25EE5" w:rsidRPr="00097A86" w:rsidRDefault="00B25EE5" w:rsidP="007419DD">
            <w:pPr>
              <w:pStyle w:val="Tabletext"/>
            </w:pPr>
            <w:r w:rsidRPr="00097A86">
              <w:t>0.02</w:t>
            </w:r>
          </w:p>
        </w:tc>
        <w:tc>
          <w:tcPr>
            <w:tcW w:w="585" w:type="pct"/>
          </w:tcPr>
          <w:p w14:paraId="1C872FAF" w14:textId="77777777" w:rsidR="00B25EE5" w:rsidRPr="00097A86" w:rsidRDefault="00B25EE5" w:rsidP="007419DD">
            <w:pPr>
              <w:pStyle w:val="Tabletext"/>
            </w:pPr>
            <w:r w:rsidRPr="00097A86">
              <w:t>0.2</w:t>
            </w:r>
          </w:p>
        </w:tc>
      </w:tr>
      <w:tr w:rsidR="00B25EE5" w:rsidRPr="00097A86" w14:paraId="6863981E"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0696491C" w14:textId="77777777" w:rsidR="00B25EE5" w:rsidRPr="00097A86" w:rsidRDefault="00B25EE5" w:rsidP="007419DD">
            <w:pPr>
              <w:pStyle w:val="Tabletext"/>
            </w:pPr>
            <w:r w:rsidRPr="00097A86">
              <w:t>9</w:t>
            </w:r>
          </w:p>
        </w:tc>
        <w:tc>
          <w:tcPr>
            <w:tcW w:w="1899" w:type="pct"/>
          </w:tcPr>
          <w:p w14:paraId="4E7F7703" w14:textId="77777777" w:rsidR="00B25EE5" w:rsidRPr="00097A86" w:rsidRDefault="00B25EE5" w:rsidP="007419DD">
            <w:pPr>
              <w:pStyle w:val="Tabletext"/>
            </w:pPr>
            <w:r w:rsidRPr="00097A86">
              <w:rPr>
                <w:snapToGrid w:val="0"/>
              </w:rPr>
              <w:t>Non</w:t>
            </w:r>
            <w:r w:rsidR="00097A86">
              <w:rPr>
                <w:snapToGrid w:val="0"/>
              </w:rPr>
              <w:noBreakHyphen/>
            </w:r>
            <w:r w:rsidRPr="00097A86">
              <w:rPr>
                <w:snapToGrid w:val="0"/>
              </w:rPr>
              <w:t>biomass municipal materials, if recycled and combusted to produce heat or electricity</w:t>
            </w:r>
          </w:p>
        </w:tc>
        <w:tc>
          <w:tcPr>
            <w:tcW w:w="933" w:type="pct"/>
            <w:gridSpan w:val="2"/>
          </w:tcPr>
          <w:p w14:paraId="0B057EA4" w14:textId="77777777" w:rsidR="00B25EE5" w:rsidRPr="00097A86" w:rsidRDefault="00B25EE5" w:rsidP="007419DD">
            <w:pPr>
              <w:pStyle w:val="Tabletext"/>
            </w:pPr>
            <w:r w:rsidRPr="00097A86">
              <w:t>10.5</w:t>
            </w:r>
          </w:p>
        </w:tc>
        <w:tc>
          <w:tcPr>
            <w:tcW w:w="584" w:type="pct"/>
            <w:gridSpan w:val="2"/>
          </w:tcPr>
          <w:p w14:paraId="6CD8172B" w14:textId="77777777" w:rsidR="00B25EE5" w:rsidRPr="00097A86" w:rsidRDefault="00B25EE5" w:rsidP="007419DD">
            <w:pPr>
              <w:pStyle w:val="Tabletext"/>
            </w:pPr>
            <w:r w:rsidRPr="00097A86">
              <w:t>87.1</w:t>
            </w:r>
          </w:p>
        </w:tc>
        <w:tc>
          <w:tcPr>
            <w:tcW w:w="586" w:type="pct"/>
            <w:gridSpan w:val="2"/>
          </w:tcPr>
          <w:p w14:paraId="38FDB24D" w14:textId="77777777" w:rsidR="00B25EE5" w:rsidRPr="00097A86" w:rsidRDefault="00B25EE5" w:rsidP="007419DD">
            <w:pPr>
              <w:pStyle w:val="Tabletext"/>
            </w:pPr>
            <w:r w:rsidRPr="00097A86">
              <w:t>0.7</w:t>
            </w:r>
          </w:p>
        </w:tc>
        <w:tc>
          <w:tcPr>
            <w:tcW w:w="585" w:type="pct"/>
          </w:tcPr>
          <w:p w14:paraId="77ADFA2D" w14:textId="77777777" w:rsidR="00B25EE5" w:rsidRPr="00097A86" w:rsidRDefault="00B25EE5" w:rsidP="007419DD">
            <w:pPr>
              <w:pStyle w:val="Tabletext"/>
            </w:pPr>
            <w:r w:rsidRPr="00097A86">
              <w:t>1.1</w:t>
            </w:r>
          </w:p>
        </w:tc>
      </w:tr>
      <w:tr w:rsidR="00B25EE5" w:rsidRPr="00097A86" w14:paraId="1C65C535"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4FCF95D5" w14:textId="77777777" w:rsidR="00B25EE5" w:rsidRPr="00097A86" w:rsidRDefault="00B25EE5" w:rsidP="007419DD">
            <w:pPr>
              <w:pStyle w:val="Tabletext"/>
            </w:pPr>
            <w:r w:rsidRPr="00097A86">
              <w:t>10</w:t>
            </w:r>
          </w:p>
        </w:tc>
        <w:tc>
          <w:tcPr>
            <w:tcW w:w="1899" w:type="pct"/>
          </w:tcPr>
          <w:p w14:paraId="69B3EB89" w14:textId="77777777" w:rsidR="00B25EE5" w:rsidRPr="00097A86" w:rsidRDefault="00B25EE5" w:rsidP="007419DD">
            <w:pPr>
              <w:pStyle w:val="Tabletext"/>
            </w:pPr>
            <w:r w:rsidRPr="00097A86">
              <w:t>Dry wood</w:t>
            </w:r>
          </w:p>
        </w:tc>
        <w:tc>
          <w:tcPr>
            <w:tcW w:w="933" w:type="pct"/>
            <w:gridSpan w:val="2"/>
          </w:tcPr>
          <w:p w14:paraId="365FDAD6" w14:textId="77777777" w:rsidR="00B25EE5" w:rsidRPr="00097A86" w:rsidRDefault="00B25EE5" w:rsidP="007419DD">
            <w:pPr>
              <w:pStyle w:val="Tabletext"/>
            </w:pPr>
            <w:r w:rsidRPr="00097A86">
              <w:t>16.2</w:t>
            </w:r>
          </w:p>
        </w:tc>
        <w:tc>
          <w:tcPr>
            <w:tcW w:w="584" w:type="pct"/>
            <w:gridSpan w:val="2"/>
          </w:tcPr>
          <w:p w14:paraId="165B0515" w14:textId="77777777" w:rsidR="00B25EE5" w:rsidRPr="00097A86" w:rsidRDefault="00B25EE5" w:rsidP="007419DD">
            <w:pPr>
              <w:pStyle w:val="Tabletext"/>
            </w:pPr>
            <w:r w:rsidRPr="00097A86">
              <w:t>0.0</w:t>
            </w:r>
          </w:p>
        </w:tc>
        <w:tc>
          <w:tcPr>
            <w:tcW w:w="586" w:type="pct"/>
            <w:gridSpan w:val="2"/>
          </w:tcPr>
          <w:p w14:paraId="3CDEB917" w14:textId="77777777" w:rsidR="00B25EE5" w:rsidRPr="00097A86" w:rsidRDefault="00B25EE5" w:rsidP="007419DD">
            <w:pPr>
              <w:pStyle w:val="Tabletext"/>
            </w:pPr>
            <w:r w:rsidRPr="00097A86">
              <w:t>0.10</w:t>
            </w:r>
          </w:p>
        </w:tc>
        <w:tc>
          <w:tcPr>
            <w:tcW w:w="585" w:type="pct"/>
          </w:tcPr>
          <w:p w14:paraId="476F859D" w14:textId="77777777" w:rsidR="00B25EE5" w:rsidRPr="00097A86" w:rsidRDefault="00B25EE5" w:rsidP="007419DD">
            <w:pPr>
              <w:pStyle w:val="Tabletext"/>
            </w:pPr>
            <w:r w:rsidRPr="00097A86">
              <w:t>1.2</w:t>
            </w:r>
          </w:p>
        </w:tc>
      </w:tr>
      <w:tr w:rsidR="00B25EE5" w:rsidRPr="00097A86" w14:paraId="0C90CB5A"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074B4EAF" w14:textId="77777777" w:rsidR="00B25EE5" w:rsidRPr="00097A86" w:rsidRDefault="00B25EE5" w:rsidP="007419DD">
            <w:pPr>
              <w:pStyle w:val="Tabletext"/>
            </w:pPr>
            <w:r w:rsidRPr="00097A86">
              <w:t>11</w:t>
            </w:r>
          </w:p>
        </w:tc>
        <w:tc>
          <w:tcPr>
            <w:tcW w:w="1899" w:type="pct"/>
          </w:tcPr>
          <w:p w14:paraId="6F164D8A" w14:textId="77777777" w:rsidR="00B25EE5" w:rsidRPr="00097A86" w:rsidRDefault="00B25EE5" w:rsidP="007419DD">
            <w:pPr>
              <w:pStyle w:val="Tabletext"/>
            </w:pPr>
            <w:r w:rsidRPr="00097A86">
              <w:t>Green and air dried wood</w:t>
            </w:r>
          </w:p>
        </w:tc>
        <w:tc>
          <w:tcPr>
            <w:tcW w:w="933" w:type="pct"/>
            <w:gridSpan w:val="2"/>
          </w:tcPr>
          <w:p w14:paraId="45A9894A" w14:textId="77777777" w:rsidR="00B25EE5" w:rsidRPr="00097A86" w:rsidRDefault="00B25EE5" w:rsidP="007419DD">
            <w:pPr>
              <w:pStyle w:val="Tabletext"/>
            </w:pPr>
            <w:r w:rsidRPr="00097A86">
              <w:t>10.4</w:t>
            </w:r>
          </w:p>
        </w:tc>
        <w:tc>
          <w:tcPr>
            <w:tcW w:w="584" w:type="pct"/>
            <w:gridSpan w:val="2"/>
          </w:tcPr>
          <w:p w14:paraId="1404B3ED" w14:textId="77777777" w:rsidR="00B25EE5" w:rsidRPr="00097A86" w:rsidRDefault="00B25EE5" w:rsidP="007419DD">
            <w:pPr>
              <w:pStyle w:val="Tabletext"/>
            </w:pPr>
            <w:r w:rsidRPr="00097A86">
              <w:t>0.0</w:t>
            </w:r>
          </w:p>
        </w:tc>
        <w:tc>
          <w:tcPr>
            <w:tcW w:w="586" w:type="pct"/>
            <w:gridSpan w:val="2"/>
          </w:tcPr>
          <w:p w14:paraId="13774EFC" w14:textId="77777777" w:rsidR="00B25EE5" w:rsidRPr="00097A86" w:rsidRDefault="00B25EE5" w:rsidP="007419DD">
            <w:pPr>
              <w:pStyle w:val="Tabletext"/>
            </w:pPr>
            <w:r w:rsidRPr="00097A86">
              <w:t>0.10</w:t>
            </w:r>
          </w:p>
        </w:tc>
        <w:tc>
          <w:tcPr>
            <w:tcW w:w="585" w:type="pct"/>
          </w:tcPr>
          <w:p w14:paraId="631DE2C0" w14:textId="77777777" w:rsidR="00B25EE5" w:rsidRPr="00097A86" w:rsidRDefault="00B25EE5" w:rsidP="007419DD">
            <w:pPr>
              <w:pStyle w:val="Tabletext"/>
            </w:pPr>
            <w:r w:rsidRPr="00097A86">
              <w:t>1.2</w:t>
            </w:r>
          </w:p>
        </w:tc>
      </w:tr>
      <w:tr w:rsidR="00B25EE5" w:rsidRPr="00097A86" w14:paraId="03181692"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29D5E8E1" w14:textId="77777777" w:rsidR="00B25EE5" w:rsidRPr="00097A86" w:rsidRDefault="00B25EE5" w:rsidP="007419DD">
            <w:pPr>
              <w:pStyle w:val="Tabletext"/>
            </w:pPr>
            <w:r w:rsidRPr="00097A86">
              <w:t>12</w:t>
            </w:r>
          </w:p>
        </w:tc>
        <w:tc>
          <w:tcPr>
            <w:tcW w:w="1899" w:type="pct"/>
          </w:tcPr>
          <w:p w14:paraId="0E53C786" w14:textId="77777777" w:rsidR="00B25EE5" w:rsidRPr="00097A86" w:rsidRDefault="00B25EE5" w:rsidP="007419DD">
            <w:pPr>
              <w:pStyle w:val="Tabletext"/>
            </w:pPr>
            <w:r w:rsidRPr="00097A86">
              <w:t>Sulphite lyes</w:t>
            </w:r>
          </w:p>
        </w:tc>
        <w:tc>
          <w:tcPr>
            <w:tcW w:w="933" w:type="pct"/>
            <w:gridSpan w:val="2"/>
          </w:tcPr>
          <w:p w14:paraId="3F1A139B" w14:textId="77777777" w:rsidR="00B25EE5" w:rsidRPr="00097A86" w:rsidRDefault="00B25EE5" w:rsidP="007419DD">
            <w:pPr>
              <w:pStyle w:val="Tabletext"/>
            </w:pPr>
            <w:r w:rsidRPr="00097A86">
              <w:t>12.4</w:t>
            </w:r>
          </w:p>
        </w:tc>
        <w:tc>
          <w:tcPr>
            <w:tcW w:w="584" w:type="pct"/>
            <w:gridSpan w:val="2"/>
          </w:tcPr>
          <w:p w14:paraId="666EF66D" w14:textId="77777777" w:rsidR="00B25EE5" w:rsidRPr="00097A86" w:rsidRDefault="00B25EE5" w:rsidP="007419DD">
            <w:pPr>
              <w:pStyle w:val="Tabletext"/>
            </w:pPr>
            <w:r w:rsidRPr="00097A86">
              <w:t>0.0</w:t>
            </w:r>
          </w:p>
        </w:tc>
        <w:tc>
          <w:tcPr>
            <w:tcW w:w="586" w:type="pct"/>
            <w:gridSpan w:val="2"/>
          </w:tcPr>
          <w:p w14:paraId="49F09AA0" w14:textId="77777777" w:rsidR="00B25EE5" w:rsidRPr="00097A86" w:rsidRDefault="00B25EE5" w:rsidP="007419DD">
            <w:pPr>
              <w:pStyle w:val="Tabletext"/>
            </w:pPr>
            <w:r w:rsidRPr="00097A86">
              <w:t>0.07</w:t>
            </w:r>
          </w:p>
        </w:tc>
        <w:tc>
          <w:tcPr>
            <w:tcW w:w="585" w:type="pct"/>
          </w:tcPr>
          <w:p w14:paraId="2E68BC99" w14:textId="77777777" w:rsidR="00B25EE5" w:rsidRPr="00097A86" w:rsidRDefault="00B25EE5" w:rsidP="007419DD">
            <w:pPr>
              <w:pStyle w:val="Tabletext"/>
            </w:pPr>
            <w:r w:rsidRPr="00097A86">
              <w:t>0.6</w:t>
            </w:r>
          </w:p>
        </w:tc>
      </w:tr>
      <w:tr w:rsidR="00B25EE5" w:rsidRPr="00097A86" w14:paraId="4E5CBE51"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4E26A279" w14:textId="77777777" w:rsidR="00B25EE5" w:rsidRPr="00097A86" w:rsidRDefault="00B25EE5" w:rsidP="007419DD">
            <w:pPr>
              <w:pStyle w:val="Tabletext"/>
            </w:pPr>
            <w:r w:rsidRPr="00097A86">
              <w:t>13</w:t>
            </w:r>
          </w:p>
        </w:tc>
        <w:tc>
          <w:tcPr>
            <w:tcW w:w="1899" w:type="pct"/>
          </w:tcPr>
          <w:p w14:paraId="3B33E815" w14:textId="77777777" w:rsidR="00B25EE5" w:rsidRPr="00097A86" w:rsidRDefault="00B25EE5" w:rsidP="007419DD">
            <w:pPr>
              <w:pStyle w:val="Tabletext"/>
            </w:pPr>
            <w:r w:rsidRPr="00097A86">
              <w:t>Bagasse</w:t>
            </w:r>
          </w:p>
        </w:tc>
        <w:tc>
          <w:tcPr>
            <w:tcW w:w="933" w:type="pct"/>
            <w:gridSpan w:val="2"/>
          </w:tcPr>
          <w:p w14:paraId="515B3C3A" w14:textId="77777777" w:rsidR="00B25EE5" w:rsidRPr="00097A86" w:rsidRDefault="00B25EE5" w:rsidP="007419DD">
            <w:pPr>
              <w:pStyle w:val="Tabletext"/>
            </w:pPr>
            <w:r w:rsidRPr="00097A86">
              <w:t>9.6</w:t>
            </w:r>
          </w:p>
        </w:tc>
        <w:tc>
          <w:tcPr>
            <w:tcW w:w="584" w:type="pct"/>
            <w:gridSpan w:val="2"/>
          </w:tcPr>
          <w:p w14:paraId="34226BAA" w14:textId="77777777" w:rsidR="00B25EE5" w:rsidRPr="00097A86" w:rsidRDefault="00B25EE5" w:rsidP="007419DD">
            <w:pPr>
              <w:pStyle w:val="Tabletext"/>
            </w:pPr>
            <w:r w:rsidRPr="00097A86">
              <w:t>0.0</w:t>
            </w:r>
          </w:p>
        </w:tc>
        <w:tc>
          <w:tcPr>
            <w:tcW w:w="586" w:type="pct"/>
            <w:gridSpan w:val="2"/>
          </w:tcPr>
          <w:p w14:paraId="2789367F" w14:textId="77777777" w:rsidR="00B25EE5" w:rsidRPr="00097A86" w:rsidRDefault="00B25EE5" w:rsidP="007419DD">
            <w:pPr>
              <w:pStyle w:val="Tabletext"/>
            </w:pPr>
            <w:r w:rsidRPr="00097A86">
              <w:t>0.2</w:t>
            </w:r>
          </w:p>
        </w:tc>
        <w:tc>
          <w:tcPr>
            <w:tcW w:w="585" w:type="pct"/>
          </w:tcPr>
          <w:p w14:paraId="55FC6287" w14:textId="77777777" w:rsidR="00B25EE5" w:rsidRPr="00097A86" w:rsidRDefault="00B25EE5" w:rsidP="007419DD">
            <w:pPr>
              <w:pStyle w:val="Tabletext"/>
            </w:pPr>
            <w:r w:rsidRPr="00097A86">
              <w:t>1.2</w:t>
            </w:r>
          </w:p>
        </w:tc>
      </w:tr>
      <w:tr w:rsidR="00B25EE5" w:rsidRPr="00097A86" w14:paraId="71B80A95"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56FE0B22" w14:textId="77777777" w:rsidR="00B25EE5" w:rsidRPr="00097A86" w:rsidRDefault="00B25EE5" w:rsidP="007419DD">
            <w:pPr>
              <w:pStyle w:val="Tabletext"/>
            </w:pPr>
            <w:r w:rsidRPr="00097A86">
              <w:t>14</w:t>
            </w:r>
          </w:p>
        </w:tc>
        <w:tc>
          <w:tcPr>
            <w:tcW w:w="1899" w:type="pct"/>
          </w:tcPr>
          <w:p w14:paraId="6AFDEBCB" w14:textId="77777777" w:rsidR="00B25EE5" w:rsidRPr="00097A86" w:rsidRDefault="00B25EE5" w:rsidP="007419DD">
            <w:pPr>
              <w:pStyle w:val="Tabletext"/>
            </w:pPr>
            <w:r w:rsidRPr="00097A86">
              <w:t>Biomass municipal and industrial materials, if recycled and combusted to produce heat or electricity</w:t>
            </w:r>
          </w:p>
        </w:tc>
        <w:tc>
          <w:tcPr>
            <w:tcW w:w="933" w:type="pct"/>
            <w:gridSpan w:val="2"/>
          </w:tcPr>
          <w:p w14:paraId="2A4BBFC9" w14:textId="77777777" w:rsidR="00B25EE5" w:rsidRPr="00097A86" w:rsidRDefault="00B25EE5" w:rsidP="007419DD">
            <w:pPr>
              <w:pStyle w:val="Tabletext"/>
            </w:pPr>
            <w:r w:rsidRPr="00097A86">
              <w:t>12.2</w:t>
            </w:r>
          </w:p>
        </w:tc>
        <w:tc>
          <w:tcPr>
            <w:tcW w:w="584" w:type="pct"/>
            <w:gridSpan w:val="2"/>
          </w:tcPr>
          <w:p w14:paraId="3709515F" w14:textId="77777777" w:rsidR="00B25EE5" w:rsidRPr="00097A86" w:rsidRDefault="00B25EE5" w:rsidP="007419DD">
            <w:pPr>
              <w:pStyle w:val="Tabletext"/>
            </w:pPr>
            <w:r w:rsidRPr="00097A86">
              <w:t>0.0</w:t>
            </w:r>
          </w:p>
        </w:tc>
        <w:tc>
          <w:tcPr>
            <w:tcW w:w="586" w:type="pct"/>
            <w:gridSpan w:val="2"/>
          </w:tcPr>
          <w:p w14:paraId="7B836AB2" w14:textId="77777777" w:rsidR="00B25EE5" w:rsidRPr="00097A86" w:rsidRDefault="00B25EE5" w:rsidP="007419DD">
            <w:pPr>
              <w:pStyle w:val="Tabletext"/>
            </w:pPr>
            <w:r w:rsidRPr="00097A86">
              <w:t>0.7</w:t>
            </w:r>
          </w:p>
        </w:tc>
        <w:tc>
          <w:tcPr>
            <w:tcW w:w="585" w:type="pct"/>
          </w:tcPr>
          <w:p w14:paraId="7BA12FE9" w14:textId="77777777" w:rsidR="00B25EE5" w:rsidRPr="00097A86" w:rsidRDefault="00B25EE5" w:rsidP="007419DD">
            <w:pPr>
              <w:pStyle w:val="Tabletext"/>
            </w:pPr>
            <w:r w:rsidRPr="00097A86">
              <w:t>1.1</w:t>
            </w:r>
          </w:p>
        </w:tc>
      </w:tr>
      <w:tr w:rsidR="00B25EE5" w:rsidRPr="00097A86" w14:paraId="3EC1CF32"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Pr>
          <w:p w14:paraId="3C7AE998" w14:textId="77777777" w:rsidR="00B25EE5" w:rsidRPr="00097A86" w:rsidRDefault="00B25EE5" w:rsidP="007419DD">
            <w:pPr>
              <w:pStyle w:val="Tabletext"/>
            </w:pPr>
            <w:r w:rsidRPr="00097A86">
              <w:t>15</w:t>
            </w:r>
          </w:p>
        </w:tc>
        <w:tc>
          <w:tcPr>
            <w:tcW w:w="1899" w:type="pct"/>
          </w:tcPr>
          <w:p w14:paraId="5260429C" w14:textId="77777777" w:rsidR="00B25EE5" w:rsidRPr="00097A86" w:rsidRDefault="00B25EE5" w:rsidP="007419DD">
            <w:pPr>
              <w:pStyle w:val="Tabletext"/>
            </w:pPr>
            <w:r w:rsidRPr="00097A86">
              <w:t>Charcoal</w:t>
            </w:r>
          </w:p>
        </w:tc>
        <w:tc>
          <w:tcPr>
            <w:tcW w:w="933" w:type="pct"/>
            <w:gridSpan w:val="2"/>
          </w:tcPr>
          <w:p w14:paraId="51E84512" w14:textId="77777777" w:rsidR="00B25EE5" w:rsidRPr="00097A86" w:rsidRDefault="00B25EE5" w:rsidP="007419DD">
            <w:pPr>
              <w:pStyle w:val="Tabletext"/>
            </w:pPr>
            <w:r w:rsidRPr="00097A86">
              <w:t>31.1</w:t>
            </w:r>
          </w:p>
        </w:tc>
        <w:tc>
          <w:tcPr>
            <w:tcW w:w="584" w:type="pct"/>
            <w:gridSpan w:val="2"/>
          </w:tcPr>
          <w:p w14:paraId="56AE9AAE" w14:textId="77777777" w:rsidR="00B25EE5" w:rsidRPr="00097A86" w:rsidRDefault="00B25EE5" w:rsidP="007419DD">
            <w:pPr>
              <w:pStyle w:val="Tabletext"/>
            </w:pPr>
            <w:r w:rsidRPr="00097A86">
              <w:t>0.0</w:t>
            </w:r>
          </w:p>
        </w:tc>
        <w:tc>
          <w:tcPr>
            <w:tcW w:w="586" w:type="pct"/>
            <w:gridSpan w:val="2"/>
          </w:tcPr>
          <w:p w14:paraId="0370E892" w14:textId="77777777" w:rsidR="00B25EE5" w:rsidRPr="00097A86" w:rsidRDefault="00B25EE5" w:rsidP="007419DD">
            <w:pPr>
              <w:pStyle w:val="Tabletext"/>
            </w:pPr>
            <w:r w:rsidRPr="00097A86">
              <w:t>4.8</w:t>
            </w:r>
          </w:p>
        </w:tc>
        <w:tc>
          <w:tcPr>
            <w:tcW w:w="585" w:type="pct"/>
          </w:tcPr>
          <w:p w14:paraId="1D96D6F9" w14:textId="77777777" w:rsidR="00B25EE5" w:rsidRPr="00097A86" w:rsidRDefault="00B25EE5" w:rsidP="007419DD">
            <w:pPr>
              <w:pStyle w:val="Tabletext"/>
            </w:pPr>
            <w:r w:rsidRPr="00097A86">
              <w:t>1.1</w:t>
            </w:r>
          </w:p>
        </w:tc>
      </w:tr>
      <w:tr w:rsidR="00B25EE5" w:rsidRPr="00097A86" w14:paraId="6F046666"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3" w:type="pct"/>
            <w:tcBorders>
              <w:bottom w:val="single" w:sz="12" w:space="0" w:color="auto"/>
            </w:tcBorders>
          </w:tcPr>
          <w:p w14:paraId="2C36889B" w14:textId="77777777" w:rsidR="00B25EE5" w:rsidRPr="00097A86" w:rsidRDefault="00B25EE5" w:rsidP="007419DD">
            <w:pPr>
              <w:pStyle w:val="Tabletext"/>
            </w:pPr>
            <w:r w:rsidRPr="00097A86">
              <w:lastRenderedPageBreak/>
              <w:t>16</w:t>
            </w:r>
          </w:p>
        </w:tc>
        <w:tc>
          <w:tcPr>
            <w:tcW w:w="1899" w:type="pct"/>
            <w:tcBorders>
              <w:bottom w:val="single" w:sz="12" w:space="0" w:color="auto"/>
            </w:tcBorders>
          </w:tcPr>
          <w:p w14:paraId="43237B2C" w14:textId="77777777" w:rsidR="00B25EE5" w:rsidRPr="00097A86" w:rsidRDefault="00B25EE5" w:rsidP="007419DD">
            <w:pPr>
              <w:pStyle w:val="Tabletext"/>
            </w:pPr>
            <w:r w:rsidRPr="00097A86">
              <w:t>Primary solid biomass fuels other than those mentioned in items</w:t>
            </w:r>
            <w:r w:rsidR="00097A86">
              <w:t> </w:t>
            </w:r>
            <w:r w:rsidRPr="00097A86">
              <w:t>10 to 15</w:t>
            </w:r>
          </w:p>
        </w:tc>
        <w:tc>
          <w:tcPr>
            <w:tcW w:w="933" w:type="pct"/>
            <w:gridSpan w:val="2"/>
            <w:tcBorders>
              <w:bottom w:val="single" w:sz="12" w:space="0" w:color="auto"/>
            </w:tcBorders>
          </w:tcPr>
          <w:p w14:paraId="43393128" w14:textId="77777777" w:rsidR="00B25EE5" w:rsidRPr="00097A86" w:rsidRDefault="00B25EE5" w:rsidP="007419DD">
            <w:pPr>
              <w:pStyle w:val="Tabletext"/>
            </w:pPr>
            <w:r w:rsidRPr="00097A86">
              <w:t>12.2</w:t>
            </w:r>
          </w:p>
        </w:tc>
        <w:tc>
          <w:tcPr>
            <w:tcW w:w="584" w:type="pct"/>
            <w:gridSpan w:val="2"/>
            <w:tcBorders>
              <w:bottom w:val="single" w:sz="12" w:space="0" w:color="auto"/>
            </w:tcBorders>
          </w:tcPr>
          <w:p w14:paraId="041FB423" w14:textId="77777777" w:rsidR="00B25EE5" w:rsidRPr="00097A86" w:rsidRDefault="00B25EE5" w:rsidP="007419DD">
            <w:pPr>
              <w:pStyle w:val="Tabletext"/>
            </w:pPr>
            <w:r w:rsidRPr="00097A86">
              <w:t>0.0</w:t>
            </w:r>
          </w:p>
        </w:tc>
        <w:tc>
          <w:tcPr>
            <w:tcW w:w="586" w:type="pct"/>
            <w:gridSpan w:val="2"/>
            <w:tcBorders>
              <w:bottom w:val="single" w:sz="12" w:space="0" w:color="auto"/>
            </w:tcBorders>
          </w:tcPr>
          <w:p w14:paraId="4F4E45B5" w14:textId="77777777" w:rsidR="00B25EE5" w:rsidRPr="00097A86" w:rsidRDefault="00B25EE5" w:rsidP="007419DD">
            <w:pPr>
              <w:pStyle w:val="Tabletext"/>
            </w:pPr>
            <w:r w:rsidRPr="00097A86">
              <w:t>0.7</w:t>
            </w:r>
          </w:p>
        </w:tc>
        <w:tc>
          <w:tcPr>
            <w:tcW w:w="585" w:type="pct"/>
            <w:tcBorders>
              <w:bottom w:val="single" w:sz="12" w:space="0" w:color="auto"/>
            </w:tcBorders>
          </w:tcPr>
          <w:p w14:paraId="08D503EE" w14:textId="77777777" w:rsidR="00B25EE5" w:rsidRPr="00097A86" w:rsidRDefault="00B25EE5" w:rsidP="007419DD">
            <w:pPr>
              <w:pStyle w:val="Tabletext"/>
            </w:pPr>
            <w:r w:rsidRPr="00097A86">
              <w:t>1.1</w:t>
            </w:r>
          </w:p>
        </w:tc>
      </w:tr>
    </w:tbl>
    <w:p w14:paraId="16D945F4" w14:textId="77777777" w:rsidR="003F0D4E" w:rsidRPr="00097A86" w:rsidRDefault="00D22D3F" w:rsidP="00D22D3F">
      <w:pPr>
        <w:pStyle w:val="notetext"/>
      </w:pPr>
      <w:r w:rsidRPr="00097A86">
        <w:t>Note:</w:t>
      </w:r>
      <w:r w:rsidRPr="00097A86">
        <w:tab/>
      </w:r>
      <w:r w:rsidR="003F0D4E" w:rsidRPr="00097A86">
        <w:t xml:space="preserve">Energy content and emission factors for coal products are measured on an as </w:t>
      </w:r>
      <w:r w:rsidR="00A96E5F" w:rsidRPr="00097A86">
        <w:t>combusted</w:t>
      </w:r>
      <w:r w:rsidR="003F0D4E" w:rsidRPr="00097A86">
        <w:t xml:space="preserve"> basis. The energy content for black coal and coking coal (metallurgical coal) is on a washed basis. </w:t>
      </w:r>
    </w:p>
    <w:p w14:paraId="285D4E86" w14:textId="77777777" w:rsidR="003F0D4E" w:rsidRPr="00097A86" w:rsidRDefault="003F0D4E" w:rsidP="0024511D">
      <w:pPr>
        <w:pStyle w:val="ActHead2"/>
        <w:pageBreakBefore/>
      </w:pPr>
      <w:bookmarkStart w:id="678" w:name="_Toc13234101"/>
      <w:r w:rsidRPr="00097A86">
        <w:rPr>
          <w:rStyle w:val="CharPartNo"/>
        </w:rPr>
        <w:lastRenderedPageBreak/>
        <w:t>Part</w:t>
      </w:r>
      <w:r w:rsidR="00097A86">
        <w:rPr>
          <w:rStyle w:val="CharPartNo"/>
        </w:rPr>
        <w:t> </w:t>
      </w:r>
      <w:r w:rsidRPr="00097A86">
        <w:rPr>
          <w:rStyle w:val="CharPartNo"/>
        </w:rPr>
        <w:t>2</w:t>
      </w:r>
      <w:r w:rsidR="00D22D3F" w:rsidRPr="00097A86">
        <w:t>—</w:t>
      </w:r>
      <w:r w:rsidRPr="00097A86">
        <w:rPr>
          <w:rStyle w:val="CharPartText"/>
        </w:rPr>
        <w:t>Fuel combustion</w:t>
      </w:r>
      <w:r w:rsidR="00D22D3F" w:rsidRPr="00097A86">
        <w:rPr>
          <w:rStyle w:val="CharPartText"/>
        </w:rPr>
        <w:t>—</w:t>
      </w:r>
      <w:r w:rsidRPr="00097A86">
        <w:rPr>
          <w:rStyle w:val="CharPartText"/>
        </w:rPr>
        <w:t>gaseous fuels</w:t>
      </w:r>
      <w:bookmarkEnd w:id="678"/>
    </w:p>
    <w:p w14:paraId="1E9A3CF4"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3171"/>
        <w:gridCol w:w="1548"/>
        <w:gridCol w:w="969"/>
        <w:gridCol w:w="968"/>
        <w:gridCol w:w="971"/>
      </w:tblGrid>
      <w:tr w:rsidR="003F0D4E" w:rsidRPr="00097A86" w14:paraId="2E1741DC" w14:textId="77777777" w:rsidTr="00C20CC2">
        <w:trPr>
          <w:cantSplit/>
          <w:tblHeader/>
        </w:trPr>
        <w:tc>
          <w:tcPr>
            <w:tcW w:w="413" w:type="pct"/>
            <w:vMerge w:val="restart"/>
            <w:tcBorders>
              <w:top w:val="single" w:sz="12" w:space="0" w:color="auto"/>
              <w:left w:val="nil"/>
              <w:bottom w:val="single" w:sz="4" w:space="0" w:color="auto"/>
              <w:right w:val="nil"/>
            </w:tcBorders>
          </w:tcPr>
          <w:p w14:paraId="1E21210D" w14:textId="77777777" w:rsidR="003F0D4E" w:rsidRPr="00097A86" w:rsidRDefault="003F0D4E" w:rsidP="00012F74">
            <w:pPr>
              <w:pStyle w:val="TableHeading"/>
            </w:pPr>
            <w:r w:rsidRPr="00097A86">
              <w:t>Item</w:t>
            </w:r>
          </w:p>
        </w:tc>
        <w:tc>
          <w:tcPr>
            <w:tcW w:w="1907" w:type="pct"/>
            <w:vMerge w:val="restart"/>
            <w:tcBorders>
              <w:top w:val="single" w:sz="12" w:space="0" w:color="auto"/>
              <w:left w:val="nil"/>
              <w:bottom w:val="single" w:sz="4" w:space="0" w:color="auto"/>
              <w:right w:val="nil"/>
            </w:tcBorders>
          </w:tcPr>
          <w:p w14:paraId="77FDC357" w14:textId="77777777" w:rsidR="003F0D4E" w:rsidRPr="00097A86" w:rsidRDefault="003F0D4E" w:rsidP="00012F74">
            <w:pPr>
              <w:pStyle w:val="TableHeading"/>
            </w:pPr>
            <w:r w:rsidRPr="00097A86">
              <w:t>Fuel combusted</w:t>
            </w:r>
          </w:p>
        </w:tc>
        <w:tc>
          <w:tcPr>
            <w:tcW w:w="931" w:type="pct"/>
            <w:vMerge w:val="restart"/>
            <w:tcBorders>
              <w:top w:val="single" w:sz="12" w:space="0" w:color="auto"/>
              <w:left w:val="nil"/>
              <w:bottom w:val="single" w:sz="4" w:space="0" w:color="auto"/>
              <w:right w:val="nil"/>
            </w:tcBorders>
          </w:tcPr>
          <w:p w14:paraId="5D3BD5B8" w14:textId="77777777" w:rsidR="003F0D4E" w:rsidRPr="00097A86" w:rsidRDefault="003F0D4E" w:rsidP="00012F74">
            <w:pPr>
              <w:pStyle w:val="TableHeading"/>
            </w:pPr>
            <w:r w:rsidRPr="00097A86">
              <w:t>Energy content factor</w:t>
            </w:r>
          </w:p>
          <w:p w14:paraId="5B82CA16" w14:textId="77777777" w:rsidR="003F0D4E" w:rsidRPr="00097A86" w:rsidRDefault="003F0D4E" w:rsidP="00012F74">
            <w:pPr>
              <w:pStyle w:val="TableHeading"/>
            </w:pPr>
            <w:r w:rsidRPr="00097A86">
              <w:t>(GJ/m</w:t>
            </w:r>
            <w:r w:rsidRPr="00097A86">
              <w:rPr>
                <w:vertAlign w:val="superscript"/>
              </w:rPr>
              <w:t>3</w:t>
            </w:r>
            <w:r w:rsidRPr="00097A86">
              <w:t xml:space="preserve"> unless otherwise indicated)</w:t>
            </w:r>
          </w:p>
        </w:tc>
        <w:tc>
          <w:tcPr>
            <w:tcW w:w="1749" w:type="pct"/>
            <w:gridSpan w:val="3"/>
            <w:tcBorders>
              <w:top w:val="single" w:sz="12" w:space="0" w:color="auto"/>
              <w:left w:val="nil"/>
              <w:bottom w:val="single" w:sz="4" w:space="0" w:color="auto"/>
              <w:right w:val="nil"/>
            </w:tcBorders>
          </w:tcPr>
          <w:p w14:paraId="438F8A74" w14:textId="77777777" w:rsidR="003F0D4E" w:rsidRPr="00097A86" w:rsidRDefault="003F0D4E" w:rsidP="00012F74">
            <w:pPr>
              <w:pStyle w:val="TableHeading"/>
            </w:pPr>
            <w:r w:rsidRPr="00097A86">
              <w:t>Emission factor</w:t>
            </w:r>
          </w:p>
          <w:p w14:paraId="74BF6385" w14:textId="77777777" w:rsidR="003F0D4E" w:rsidRPr="00097A86" w:rsidRDefault="003F0D4E" w:rsidP="00012F74">
            <w:pPr>
              <w:pStyle w:val="TableHeading"/>
            </w:pPr>
            <w:r w:rsidRPr="00097A86">
              <w:t>kg CO</w:t>
            </w:r>
            <w:r w:rsidRPr="00097A86">
              <w:rPr>
                <w:vertAlign w:val="subscript"/>
              </w:rPr>
              <w:t>2</w:t>
            </w:r>
            <w:r w:rsidR="00097A86">
              <w:noBreakHyphen/>
            </w:r>
            <w:r w:rsidRPr="00097A86">
              <w:t>e/GJ</w:t>
            </w:r>
          </w:p>
          <w:p w14:paraId="6D59EE48" w14:textId="77777777" w:rsidR="003F0D4E" w:rsidRPr="00097A86" w:rsidRDefault="003F0D4E" w:rsidP="00012F74">
            <w:pPr>
              <w:pStyle w:val="TableHeading"/>
            </w:pPr>
            <w:r w:rsidRPr="00097A86">
              <w:t>(relevant oxidation factors incorporated)</w:t>
            </w:r>
          </w:p>
        </w:tc>
      </w:tr>
      <w:tr w:rsidR="003F0D4E" w:rsidRPr="00097A86" w14:paraId="1105FB71" w14:textId="77777777" w:rsidTr="00C20CC2">
        <w:trPr>
          <w:cantSplit/>
          <w:tblHeader/>
        </w:trPr>
        <w:tc>
          <w:tcPr>
            <w:tcW w:w="413" w:type="pct"/>
            <w:vMerge/>
            <w:tcBorders>
              <w:top w:val="single" w:sz="4" w:space="0" w:color="auto"/>
              <w:left w:val="nil"/>
              <w:bottom w:val="single" w:sz="12" w:space="0" w:color="auto"/>
              <w:right w:val="nil"/>
            </w:tcBorders>
          </w:tcPr>
          <w:p w14:paraId="4D465895" w14:textId="77777777" w:rsidR="003F0D4E" w:rsidRPr="00097A86" w:rsidRDefault="003F0D4E" w:rsidP="00012F74">
            <w:pPr>
              <w:pStyle w:val="TableHeading"/>
            </w:pPr>
          </w:p>
        </w:tc>
        <w:tc>
          <w:tcPr>
            <w:tcW w:w="1907" w:type="pct"/>
            <w:vMerge/>
            <w:tcBorders>
              <w:top w:val="single" w:sz="4" w:space="0" w:color="auto"/>
              <w:left w:val="nil"/>
              <w:bottom w:val="single" w:sz="12" w:space="0" w:color="auto"/>
              <w:right w:val="nil"/>
            </w:tcBorders>
          </w:tcPr>
          <w:p w14:paraId="1EC126CB" w14:textId="77777777" w:rsidR="003F0D4E" w:rsidRPr="00097A86" w:rsidRDefault="003F0D4E" w:rsidP="00012F74">
            <w:pPr>
              <w:pStyle w:val="TableHeading"/>
            </w:pPr>
          </w:p>
        </w:tc>
        <w:tc>
          <w:tcPr>
            <w:tcW w:w="931" w:type="pct"/>
            <w:vMerge/>
            <w:tcBorders>
              <w:top w:val="single" w:sz="4" w:space="0" w:color="auto"/>
              <w:left w:val="nil"/>
              <w:bottom w:val="single" w:sz="12" w:space="0" w:color="auto"/>
              <w:right w:val="nil"/>
            </w:tcBorders>
          </w:tcPr>
          <w:p w14:paraId="72FA0B57" w14:textId="77777777" w:rsidR="003F0D4E" w:rsidRPr="00097A86" w:rsidRDefault="003F0D4E" w:rsidP="00012F74">
            <w:pPr>
              <w:pStyle w:val="TableHeading"/>
            </w:pPr>
          </w:p>
        </w:tc>
        <w:tc>
          <w:tcPr>
            <w:tcW w:w="583" w:type="pct"/>
            <w:tcBorders>
              <w:top w:val="single" w:sz="4" w:space="0" w:color="auto"/>
              <w:left w:val="nil"/>
              <w:bottom w:val="single" w:sz="12" w:space="0" w:color="auto"/>
              <w:right w:val="nil"/>
            </w:tcBorders>
          </w:tcPr>
          <w:p w14:paraId="7D920163" w14:textId="77777777" w:rsidR="003F0D4E" w:rsidRPr="00097A86" w:rsidRDefault="003F0D4E" w:rsidP="00012F74">
            <w:pPr>
              <w:pStyle w:val="TableHeading"/>
            </w:pPr>
            <w:r w:rsidRPr="00097A86">
              <w:t>CO</w:t>
            </w:r>
            <w:r w:rsidRPr="00097A86">
              <w:rPr>
                <w:vertAlign w:val="subscript"/>
              </w:rPr>
              <w:t>2</w:t>
            </w:r>
          </w:p>
        </w:tc>
        <w:tc>
          <w:tcPr>
            <w:tcW w:w="582" w:type="pct"/>
            <w:tcBorders>
              <w:top w:val="single" w:sz="4" w:space="0" w:color="auto"/>
              <w:left w:val="nil"/>
              <w:bottom w:val="single" w:sz="12" w:space="0" w:color="auto"/>
              <w:right w:val="nil"/>
            </w:tcBorders>
          </w:tcPr>
          <w:p w14:paraId="654C2BAC" w14:textId="77777777" w:rsidR="003F0D4E" w:rsidRPr="00097A86" w:rsidRDefault="003F0D4E" w:rsidP="00012F74">
            <w:pPr>
              <w:pStyle w:val="TableHeading"/>
            </w:pPr>
            <w:r w:rsidRPr="00097A86">
              <w:t>CH</w:t>
            </w:r>
            <w:r w:rsidRPr="00097A86">
              <w:rPr>
                <w:vertAlign w:val="subscript"/>
              </w:rPr>
              <w:t>4</w:t>
            </w:r>
          </w:p>
        </w:tc>
        <w:tc>
          <w:tcPr>
            <w:tcW w:w="584" w:type="pct"/>
            <w:tcBorders>
              <w:top w:val="single" w:sz="4" w:space="0" w:color="auto"/>
              <w:left w:val="nil"/>
              <w:bottom w:val="single" w:sz="12" w:space="0" w:color="auto"/>
              <w:right w:val="nil"/>
            </w:tcBorders>
          </w:tcPr>
          <w:p w14:paraId="3634574D" w14:textId="77777777" w:rsidR="003F0D4E" w:rsidRPr="00097A86" w:rsidRDefault="003F0D4E" w:rsidP="00012F74">
            <w:pPr>
              <w:pStyle w:val="TableHeading"/>
            </w:pPr>
            <w:r w:rsidRPr="00097A86">
              <w:t>N</w:t>
            </w:r>
            <w:r w:rsidRPr="00097A86">
              <w:rPr>
                <w:vertAlign w:val="subscript"/>
              </w:rPr>
              <w:t>2</w:t>
            </w:r>
            <w:r w:rsidRPr="00097A86">
              <w:t>O</w:t>
            </w:r>
          </w:p>
        </w:tc>
      </w:tr>
      <w:tr w:rsidR="00B25EE5" w:rsidRPr="00097A86" w:rsidDel="00B25EE5" w14:paraId="229B2F22" w14:textId="77777777" w:rsidTr="00C20CC2">
        <w:trPr>
          <w:cantSplit/>
          <w:trHeight w:val="219"/>
        </w:trPr>
        <w:tc>
          <w:tcPr>
            <w:tcW w:w="413" w:type="pct"/>
            <w:tcBorders>
              <w:top w:val="nil"/>
              <w:left w:val="nil"/>
              <w:bottom w:val="nil"/>
              <w:right w:val="nil"/>
            </w:tcBorders>
          </w:tcPr>
          <w:p w14:paraId="2D8BE90E" w14:textId="77777777" w:rsidR="00B25EE5" w:rsidRPr="00097A86" w:rsidDel="00B25EE5" w:rsidRDefault="00B25EE5" w:rsidP="00D22D3F">
            <w:pPr>
              <w:pStyle w:val="Tabletext"/>
            </w:pPr>
            <w:r w:rsidRPr="00097A86">
              <w:t>17</w:t>
            </w:r>
          </w:p>
        </w:tc>
        <w:tc>
          <w:tcPr>
            <w:tcW w:w="1907" w:type="pct"/>
            <w:tcBorders>
              <w:top w:val="nil"/>
              <w:left w:val="nil"/>
              <w:bottom w:val="nil"/>
              <w:right w:val="nil"/>
            </w:tcBorders>
          </w:tcPr>
          <w:p w14:paraId="6B78911B" w14:textId="77777777" w:rsidR="00B25EE5" w:rsidRPr="00097A86" w:rsidDel="00B25EE5" w:rsidRDefault="00B25EE5" w:rsidP="00D22D3F">
            <w:pPr>
              <w:pStyle w:val="Tabletext"/>
            </w:pPr>
            <w:r w:rsidRPr="00097A86">
              <w:t>Natural gas distributed in a pipeline</w:t>
            </w:r>
          </w:p>
        </w:tc>
        <w:tc>
          <w:tcPr>
            <w:tcW w:w="931" w:type="pct"/>
            <w:tcBorders>
              <w:top w:val="nil"/>
              <w:left w:val="nil"/>
              <w:bottom w:val="nil"/>
              <w:right w:val="nil"/>
            </w:tcBorders>
          </w:tcPr>
          <w:p w14:paraId="0B639C8B" w14:textId="77777777" w:rsidR="00B25EE5" w:rsidRPr="00097A86" w:rsidDel="00B25EE5" w:rsidRDefault="00B25EE5" w:rsidP="00D22D3F">
            <w:pPr>
              <w:pStyle w:val="Tabletext"/>
            </w:pPr>
            <w:r w:rsidRPr="00097A86">
              <w:t>39.3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07792AFC"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4E72B8A6" w14:textId="77777777" w:rsidR="00B25EE5" w:rsidRPr="00097A86" w:rsidDel="00B25EE5" w:rsidRDefault="00B25EE5" w:rsidP="00D22D3F">
            <w:pPr>
              <w:pStyle w:val="Tabletext"/>
            </w:pPr>
            <w:r w:rsidRPr="00097A86">
              <w:t>0.1</w:t>
            </w:r>
          </w:p>
        </w:tc>
        <w:tc>
          <w:tcPr>
            <w:tcW w:w="584" w:type="pct"/>
            <w:tcBorders>
              <w:top w:val="nil"/>
              <w:left w:val="nil"/>
              <w:bottom w:val="nil"/>
              <w:right w:val="nil"/>
            </w:tcBorders>
          </w:tcPr>
          <w:p w14:paraId="22228D80" w14:textId="77777777" w:rsidR="00B25EE5" w:rsidRPr="00097A86" w:rsidDel="00B25EE5" w:rsidRDefault="00B25EE5" w:rsidP="00D22D3F">
            <w:pPr>
              <w:pStyle w:val="Tabletext"/>
            </w:pPr>
            <w:r w:rsidRPr="00097A86">
              <w:t>0.03</w:t>
            </w:r>
          </w:p>
        </w:tc>
      </w:tr>
      <w:tr w:rsidR="00B25EE5" w:rsidRPr="00097A86" w:rsidDel="00B25EE5" w14:paraId="74753E3A" w14:textId="77777777" w:rsidTr="00C20CC2">
        <w:trPr>
          <w:cantSplit/>
        </w:trPr>
        <w:tc>
          <w:tcPr>
            <w:tcW w:w="413" w:type="pct"/>
            <w:tcBorders>
              <w:top w:val="nil"/>
              <w:left w:val="nil"/>
              <w:bottom w:val="nil"/>
              <w:right w:val="nil"/>
            </w:tcBorders>
          </w:tcPr>
          <w:p w14:paraId="366BF7B4" w14:textId="77777777" w:rsidR="00B25EE5" w:rsidRPr="00097A86" w:rsidDel="00B25EE5" w:rsidRDefault="00B25EE5" w:rsidP="00D22D3F">
            <w:pPr>
              <w:pStyle w:val="Tabletext"/>
            </w:pPr>
            <w:r w:rsidRPr="00097A86">
              <w:t>18</w:t>
            </w:r>
          </w:p>
        </w:tc>
        <w:tc>
          <w:tcPr>
            <w:tcW w:w="1907" w:type="pct"/>
            <w:tcBorders>
              <w:top w:val="nil"/>
              <w:left w:val="nil"/>
              <w:bottom w:val="nil"/>
              <w:right w:val="nil"/>
            </w:tcBorders>
          </w:tcPr>
          <w:p w14:paraId="670A91C0" w14:textId="77777777" w:rsidR="00B25EE5" w:rsidRPr="00097A86" w:rsidDel="00B25EE5" w:rsidRDefault="00B25EE5" w:rsidP="00D22D3F">
            <w:pPr>
              <w:pStyle w:val="Tabletext"/>
            </w:pPr>
            <w:r w:rsidRPr="00097A86">
              <w:t>Coal seam methane that is captured for combustion</w:t>
            </w:r>
          </w:p>
        </w:tc>
        <w:tc>
          <w:tcPr>
            <w:tcW w:w="931" w:type="pct"/>
            <w:tcBorders>
              <w:top w:val="nil"/>
              <w:left w:val="nil"/>
              <w:bottom w:val="nil"/>
              <w:right w:val="nil"/>
            </w:tcBorders>
          </w:tcPr>
          <w:p w14:paraId="1B865908" w14:textId="77777777" w:rsidR="00B25EE5" w:rsidRPr="00097A86" w:rsidDel="00B25EE5" w:rsidRDefault="00B25EE5" w:rsidP="00D22D3F">
            <w:pPr>
              <w:pStyle w:val="Tabletext"/>
            </w:pPr>
            <w:r w:rsidRPr="00097A86">
              <w:t>37.7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0C123910"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3223D449" w14:textId="77777777" w:rsidR="00B25EE5" w:rsidRPr="00097A86" w:rsidDel="00B25EE5" w:rsidRDefault="00B25EE5" w:rsidP="00D22D3F">
            <w:pPr>
              <w:pStyle w:val="Tabletext"/>
            </w:pPr>
            <w:r w:rsidRPr="00097A86">
              <w:t>0.2</w:t>
            </w:r>
          </w:p>
        </w:tc>
        <w:tc>
          <w:tcPr>
            <w:tcW w:w="584" w:type="pct"/>
            <w:tcBorders>
              <w:top w:val="nil"/>
              <w:left w:val="nil"/>
              <w:bottom w:val="nil"/>
              <w:right w:val="nil"/>
            </w:tcBorders>
          </w:tcPr>
          <w:p w14:paraId="2393B436" w14:textId="77777777" w:rsidR="00B25EE5" w:rsidRPr="00097A86" w:rsidDel="00B25EE5" w:rsidRDefault="00B25EE5" w:rsidP="00D22D3F">
            <w:pPr>
              <w:pStyle w:val="Tabletext"/>
            </w:pPr>
            <w:r w:rsidRPr="00097A86">
              <w:t>0.03</w:t>
            </w:r>
          </w:p>
        </w:tc>
      </w:tr>
      <w:tr w:rsidR="00B25EE5" w:rsidRPr="00097A86" w:rsidDel="00B25EE5" w14:paraId="2F73E4EB" w14:textId="77777777" w:rsidTr="00C20CC2">
        <w:trPr>
          <w:cantSplit/>
        </w:trPr>
        <w:tc>
          <w:tcPr>
            <w:tcW w:w="413" w:type="pct"/>
            <w:tcBorders>
              <w:top w:val="nil"/>
              <w:left w:val="nil"/>
              <w:bottom w:val="nil"/>
              <w:right w:val="nil"/>
            </w:tcBorders>
          </w:tcPr>
          <w:p w14:paraId="50E12344" w14:textId="77777777" w:rsidR="00B25EE5" w:rsidRPr="00097A86" w:rsidDel="00B25EE5" w:rsidRDefault="00B25EE5" w:rsidP="00D22D3F">
            <w:pPr>
              <w:pStyle w:val="Tabletext"/>
            </w:pPr>
            <w:r w:rsidRPr="00097A86">
              <w:t>19</w:t>
            </w:r>
          </w:p>
        </w:tc>
        <w:tc>
          <w:tcPr>
            <w:tcW w:w="1907" w:type="pct"/>
            <w:tcBorders>
              <w:top w:val="nil"/>
              <w:left w:val="nil"/>
              <w:bottom w:val="nil"/>
              <w:right w:val="nil"/>
            </w:tcBorders>
          </w:tcPr>
          <w:p w14:paraId="6812CCA1" w14:textId="77777777" w:rsidR="00B25EE5" w:rsidRPr="00097A86" w:rsidDel="00B25EE5" w:rsidRDefault="00B25EE5" w:rsidP="00D22D3F">
            <w:pPr>
              <w:pStyle w:val="Tabletext"/>
            </w:pPr>
            <w:r w:rsidRPr="00097A86">
              <w:t>Coal mine waste gas that is captured for combustion</w:t>
            </w:r>
          </w:p>
        </w:tc>
        <w:tc>
          <w:tcPr>
            <w:tcW w:w="931" w:type="pct"/>
            <w:tcBorders>
              <w:top w:val="nil"/>
              <w:left w:val="nil"/>
              <w:bottom w:val="nil"/>
              <w:right w:val="nil"/>
            </w:tcBorders>
          </w:tcPr>
          <w:p w14:paraId="34413007" w14:textId="77777777" w:rsidR="00B25EE5" w:rsidRPr="00097A86" w:rsidDel="00B25EE5" w:rsidRDefault="00B25EE5" w:rsidP="00D22D3F">
            <w:pPr>
              <w:pStyle w:val="Tabletext"/>
            </w:pPr>
            <w:r w:rsidRPr="00097A86">
              <w:t>37.7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43DC59D4" w14:textId="77777777" w:rsidR="00B25EE5" w:rsidRPr="00097A86" w:rsidDel="00B25EE5" w:rsidRDefault="00B25EE5" w:rsidP="00D22D3F">
            <w:pPr>
              <w:pStyle w:val="Tabletext"/>
            </w:pPr>
            <w:r w:rsidRPr="00097A86">
              <w:t>51.9</w:t>
            </w:r>
          </w:p>
        </w:tc>
        <w:tc>
          <w:tcPr>
            <w:tcW w:w="582" w:type="pct"/>
            <w:tcBorders>
              <w:top w:val="nil"/>
              <w:left w:val="nil"/>
              <w:bottom w:val="nil"/>
              <w:right w:val="nil"/>
            </w:tcBorders>
          </w:tcPr>
          <w:p w14:paraId="776EF952" w14:textId="77777777" w:rsidR="00B25EE5" w:rsidRPr="00097A86" w:rsidDel="00B25EE5" w:rsidRDefault="00B25EE5" w:rsidP="00D22D3F">
            <w:pPr>
              <w:pStyle w:val="Tabletext"/>
            </w:pPr>
            <w:r w:rsidRPr="00097A86">
              <w:t>4.1</w:t>
            </w:r>
          </w:p>
        </w:tc>
        <w:tc>
          <w:tcPr>
            <w:tcW w:w="584" w:type="pct"/>
            <w:tcBorders>
              <w:top w:val="nil"/>
              <w:left w:val="nil"/>
              <w:bottom w:val="nil"/>
              <w:right w:val="nil"/>
            </w:tcBorders>
          </w:tcPr>
          <w:p w14:paraId="775FC0C9" w14:textId="77777777" w:rsidR="00B25EE5" w:rsidRPr="00097A86" w:rsidDel="00B25EE5" w:rsidRDefault="00B25EE5" w:rsidP="00D22D3F">
            <w:pPr>
              <w:pStyle w:val="Tabletext"/>
            </w:pPr>
            <w:r w:rsidRPr="00097A86">
              <w:t>0.03</w:t>
            </w:r>
          </w:p>
        </w:tc>
      </w:tr>
      <w:tr w:rsidR="00B25EE5" w:rsidRPr="00097A86" w:rsidDel="00B25EE5" w14:paraId="01902A65" w14:textId="77777777" w:rsidTr="00C20CC2">
        <w:trPr>
          <w:cantSplit/>
        </w:trPr>
        <w:tc>
          <w:tcPr>
            <w:tcW w:w="413" w:type="pct"/>
            <w:tcBorders>
              <w:top w:val="nil"/>
              <w:left w:val="nil"/>
              <w:bottom w:val="nil"/>
              <w:right w:val="nil"/>
            </w:tcBorders>
          </w:tcPr>
          <w:p w14:paraId="0C21D5A1" w14:textId="77777777" w:rsidR="00B25EE5" w:rsidRPr="00097A86" w:rsidDel="00B25EE5" w:rsidRDefault="00B25EE5" w:rsidP="00D22D3F">
            <w:pPr>
              <w:pStyle w:val="Tabletext"/>
            </w:pPr>
            <w:r w:rsidRPr="00097A86">
              <w:t>20</w:t>
            </w:r>
          </w:p>
        </w:tc>
        <w:tc>
          <w:tcPr>
            <w:tcW w:w="1907" w:type="pct"/>
            <w:tcBorders>
              <w:top w:val="nil"/>
              <w:left w:val="nil"/>
              <w:bottom w:val="nil"/>
              <w:right w:val="nil"/>
            </w:tcBorders>
          </w:tcPr>
          <w:p w14:paraId="090D3531" w14:textId="77777777" w:rsidR="00B25EE5" w:rsidRPr="00097A86" w:rsidDel="00B25EE5" w:rsidRDefault="00B25EE5" w:rsidP="00D22D3F">
            <w:pPr>
              <w:pStyle w:val="Tabletext"/>
            </w:pPr>
            <w:r w:rsidRPr="00097A86">
              <w:t>Compressed natural gas that has reverted to standard conditions</w:t>
            </w:r>
          </w:p>
        </w:tc>
        <w:tc>
          <w:tcPr>
            <w:tcW w:w="931" w:type="pct"/>
            <w:tcBorders>
              <w:top w:val="nil"/>
              <w:left w:val="nil"/>
              <w:bottom w:val="nil"/>
              <w:right w:val="nil"/>
            </w:tcBorders>
          </w:tcPr>
          <w:p w14:paraId="5ABE5903" w14:textId="77777777" w:rsidR="00B25EE5" w:rsidRPr="00097A86" w:rsidDel="00B25EE5" w:rsidRDefault="00B25EE5" w:rsidP="00D22D3F">
            <w:pPr>
              <w:pStyle w:val="Tabletext"/>
            </w:pPr>
            <w:r w:rsidRPr="00097A86">
              <w:t>39.3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5369BB7B"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1A4A2D09" w14:textId="77777777" w:rsidR="00B25EE5" w:rsidRPr="00097A86" w:rsidDel="00B25EE5" w:rsidRDefault="00B25EE5" w:rsidP="00D22D3F">
            <w:pPr>
              <w:pStyle w:val="Tabletext"/>
            </w:pPr>
            <w:r w:rsidRPr="00097A86">
              <w:t>0.1</w:t>
            </w:r>
          </w:p>
        </w:tc>
        <w:tc>
          <w:tcPr>
            <w:tcW w:w="584" w:type="pct"/>
            <w:tcBorders>
              <w:top w:val="nil"/>
              <w:left w:val="nil"/>
              <w:bottom w:val="nil"/>
              <w:right w:val="nil"/>
            </w:tcBorders>
          </w:tcPr>
          <w:p w14:paraId="2AAE7375" w14:textId="77777777" w:rsidR="00B25EE5" w:rsidRPr="00097A86" w:rsidDel="00B25EE5" w:rsidRDefault="00B25EE5" w:rsidP="00D22D3F">
            <w:pPr>
              <w:pStyle w:val="Tabletext"/>
            </w:pPr>
            <w:r w:rsidRPr="00097A86">
              <w:t>0.03</w:t>
            </w:r>
          </w:p>
        </w:tc>
      </w:tr>
      <w:tr w:rsidR="00B25EE5" w:rsidRPr="00097A86" w:rsidDel="00B25EE5" w14:paraId="06F586A3" w14:textId="77777777" w:rsidTr="00C20CC2">
        <w:trPr>
          <w:cantSplit/>
        </w:trPr>
        <w:tc>
          <w:tcPr>
            <w:tcW w:w="413" w:type="pct"/>
            <w:tcBorders>
              <w:top w:val="nil"/>
              <w:left w:val="nil"/>
              <w:bottom w:val="nil"/>
              <w:right w:val="nil"/>
            </w:tcBorders>
          </w:tcPr>
          <w:p w14:paraId="12B724D5" w14:textId="77777777" w:rsidR="00B25EE5" w:rsidRPr="00097A86" w:rsidDel="00B25EE5" w:rsidRDefault="00B25EE5" w:rsidP="00D22D3F">
            <w:pPr>
              <w:pStyle w:val="Tabletext"/>
            </w:pPr>
            <w:r w:rsidRPr="00097A86">
              <w:t>21</w:t>
            </w:r>
          </w:p>
        </w:tc>
        <w:tc>
          <w:tcPr>
            <w:tcW w:w="1907" w:type="pct"/>
            <w:tcBorders>
              <w:top w:val="nil"/>
              <w:left w:val="nil"/>
              <w:bottom w:val="nil"/>
              <w:right w:val="nil"/>
            </w:tcBorders>
          </w:tcPr>
          <w:p w14:paraId="170CC571" w14:textId="77777777" w:rsidR="00B25EE5" w:rsidRPr="00097A86" w:rsidDel="00B25EE5" w:rsidRDefault="00B25EE5" w:rsidP="00D22D3F">
            <w:pPr>
              <w:pStyle w:val="Tabletext"/>
            </w:pPr>
            <w:r w:rsidRPr="00097A86">
              <w:t>Unprocessed natural gas</w:t>
            </w:r>
          </w:p>
        </w:tc>
        <w:tc>
          <w:tcPr>
            <w:tcW w:w="931" w:type="pct"/>
            <w:tcBorders>
              <w:top w:val="nil"/>
              <w:left w:val="nil"/>
              <w:bottom w:val="nil"/>
              <w:right w:val="nil"/>
            </w:tcBorders>
          </w:tcPr>
          <w:p w14:paraId="5FFF38A8" w14:textId="77777777" w:rsidR="00B25EE5" w:rsidRPr="00097A86" w:rsidDel="00B25EE5" w:rsidRDefault="00B25EE5" w:rsidP="00D22D3F">
            <w:pPr>
              <w:pStyle w:val="Tabletext"/>
            </w:pPr>
            <w:r w:rsidRPr="00097A86">
              <w:t>39.3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5D2D7ADB"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34CF026B" w14:textId="77777777" w:rsidR="00B25EE5" w:rsidRPr="00097A86" w:rsidDel="00B25EE5" w:rsidRDefault="00B25EE5" w:rsidP="00D22D3F">
            <w:pPr>
              <w:pStyle w:val="Tabletext"/>
            </w:pPr>
            <w:r w:rsidRPr="00097A86">
              <w:t>0.1</w:t>
            </w:r>
          </w:p>
        </w:tc>
        <w:tc>
          <w:tcPr>
            <w:tcW w:w="584" w:type="pct"/>
            <w:tcBorders>
              <w:top w:val="nil"/>
              <w:left w:val="nil"/>
              <w:bottom w:val="nil"/>
              <w:right w:val="nil"/>
            </w:tcBorders>
          </w:tcPr>
          <w:p w14:paraId="049C9B11" w14:textId="77777777" w:rsidR="00B25EE5" w:rsidRPr="00097A86" w:rsidDel="00B25EE5" w:rsidRDefault="00B25EE5" w:rsidP="00D22D3F">
            <w:pPr>
              <w:pStyle w:val="Tabletext"/>
            </w:pPr>
            <w:r w:rsidRPr="00097A86">
              <w:t>0.03</w:t>
            </w:r>
          </w:p>
        </w:tc>
      </w:tr>
      <w:tr w:rsidR="00B25EE5" w:rsidRPr="00097A86" w:rsidDel="00B25EE5" w14:paraId="660D2355" w14:textId="77777777" w:rsidTr="00C20CC2">
        <w:trPr>
          <w:cantSplit/>
        </w:trPr>
        <w:tc>
          <w:tcPr>
            <w:tcW w:w="413" w:type="pct"/>
            <w:tcBorders>
              <w:top w:val="nil"/>
              <w:left w:val="nil"/>
              <w:bottom w:val="nil"/>
              <w:right w:val="nil"/>
            </w:tcBorders>
          </w:tcPr>
          <w:p w14:paraId="143ADC2E" w14:textId="77777777" w:rsidR="00B25EE5" w:rsidRPr="00097A86" w:rsidDel="00B25EE5" w:rsidRDefault="00B25EE5" w:rsidP="00D22D3F">
            <w:pPr>
              <w:pStyle w:val="Tabletext"/>
            </w:pPr>
            <w:r w:rsidRPr="00097A86">
              <w:t>22</w:t>
            </w:r>
          </w:p>
        </w:tc>
        <w:tc>
          <w:tcPr>
            <w:tcW w:w="1907" w:type="pct"/>
            <w:tcBorders>
              <w:top w:val="nil"/>
              <w:left w:val="nil"/>
              <w:bottom w:val="nil"/>
              <w:right w:val="nil"/>
            </w:tcBorders>
          </w:tcPr>
          <w:p w14:paraId="311D96B2" w14:textId="77777777" w:rsidR="00B25EE5" w:rsidRPr="00097A86" w:rsidDel="00B25EE5" w:rsidRDefault="00B25EE5" w:rsidP="00D22D3F">
            <w:pPr>
              <w:pStyle w:val="Tabletext"/>
            </w:pPr>
            <w:r w:rsidRPr="00097A86">
              <w:t>Ethane</w:t>
            </w:r>
          </w:p>
        </w:tc>
        <w:tc>
          <w:tcPr>
            <w:tcW w:w="931" w:type="pct"/>
            <w:tcBorders>
              <w:top w:val="nil"/>
              <w:left w:val="nil"/>
              <w:bottom w:val="nil"/>
              <w:right w:val="nil"/>
            </w:tcBorders>
          </w:tcPr>
          <w:p w14:paraId="572AF72A" w14:textId="77777777" w:rsidR="00B25EE5" w:rsidRPr="00097A86" w:rsidDel="00B25EE5" w:rsidRDefault="00B25EE5" w:rsidP="00D22D3F">
            <w:pPr>
              <w:pStyle w:val="Tabletext"/>
            </w:pPr>
            <w:r w:rsidRPr="00097A86">
              <w:t>62.9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2658F18F" w14:textId="77777777" w:rsidR="00B25EE5" w:rsidRPr="00097A86" w:rsidDel="00B25EE5" w:rsidRDefault="00B25EE5" w:rsidP="00D22D3F">
            <w:pPr>
              <w:pStyle w:val="Tabletext"/>
            </w:pPr>
            <w:r w:rsidRPr="00097A86">
              <w:t>56.5</w:t>
            </w:r>
          </w:p>
        </w:tc>
        <w:tc>
          <w:tcPr>
            <w:tcW w:w="582" w:type="pct"/>
            <w:tcBorders>
              <w:top w:val="nil"/>
              <w:left w:val="nil"/>
              <w:bottom w:val="nil"/>
              <w:right w:val="nil"/>
            </w:tcBorders>
          </w:tcPr>
          <w:p w14:paraId="3D37B29F" w14:textId="77777777" w:rsidR="00B25EE5" w:rsidRPr="00097A86" w:rsidDel="00B25EE5" w:rsidRDefault="00B25EE5" w:rsidP="00D22D3F">
            <w:pPr>
              <w:pStyle w:val="Tabletext"/>
            </w:pPr>
            <w:r w:rsidRPr="00097A86">
              <w:t>0.03</w:t>
            </w:r>
          </w:p>
        </w:tc>
        <w:tc>
          <w:tcPr>
            <w:tcW w:w="584" w:type="pct"/>
            <w:tcBorders>
              <w:top w:val="nil"/>
              <w:left w:val="nil"/>
              <w:bottom w:val="nil"/>
              <w:right w:val="nil"/>
            </w:tcBorders>
          </w:tcPr>
          <w:p w14:paraId="1CCC5608" w14:textId="77777777" w:rsidR="00B25EE5" w:rsidRPr="00097A86" w:rsidDel="00B25EE5" w:rsidRDefault="00B25EE5" w:rsidP="00D22D3F">
            <w:pPr>
              <w:pStyle w:val="Tabletext"/>
            </w:pPr>
            <w:r w:rsidRPr="00097A86">
              <w:t>0.03</w:t>
            </w:r>
          </w:p>
        </w:tc>
      </w:tr>
      <w:tr w:rsidR="00B25EE5" w:rsidRPr="00097A86" w:rsidDel="00B25EE5" w14:paraId="7DA95C69" w14:textId="77777777" w:rsidTr="00C20CC2">
        <w:trPr>
          <w:cantSplit/>
        </w:trPr>
        <w:tc>
          <w:tcPr>
            <w:tcW w:w="413" w:type="pct"/>
            <w:tcBorders>
              <w:top w:val="nil"/>
              <w:left w:val="nil"/>
              <w:bottom w:val="nil"/>
              <w:right w:val="nil"/>
            </w:tcBorders>
          </w:tcPr>
          <w:p w14:paraId="21115716" w14:textId="77777777" w:rsidR="00B25EE5" w:rsidRPr="00097A86" w:rsidDel="00B25EE5" w:rsidRDefault="00B25EE5" w:rsidP="00D22D3F">
            <w:pPr>
              <w:pStyle w:val="Tabletext"/>
            </w:pPr>
            <w:r w:rsidRPr="00097A86">
              <w:t>23</w:t>
            </w:r>
          </w:p>
        </w:tc>
        <w:tc>
          <w:tcPr>
            <w:tcW w:w="1907" w:type="pct"/>
            <w:tcBorders>
              <w:top w:val="nil"/>
              <w:left w:val="nil"/>
              <w:bottom w:val="nil"/>
              <w:right w:val="nil"/>
            </w:tcBorders>
          </w:tcPr>
          <w:p w14:paraId="3146AD5A" w14:textId="77777777" w:rsidR="00B25EE5" w:rsidRPr="00097A86" w:rsidDel="00B25EE5" w:rsidRDefault="00B25EE5" w:rsidP="00D22D3F">
            <w:pPr>
              <w:pStyle w:val="Tabletext"/>
            </w:pPr>
            <w:r w:rsidRPr="00097A86">
              <w:t>Coke oven gas</w:t>
            </w:r>
          </w:p>
        </w:tc>
        <w:tc>
          <w:tcPr>
            <w:tcW w:w="931" w:type="pct"/>
            <w:tcBorders>
              <w:top w:val="nil"/>
              <w:left w:val="nil"/>
              <w:bottom w:val="nil"/>
              <w:right w:val="nil"/>
            </w:tcBorders>
          </w:tcPr>
          <w:p w14:paraId="7F751EAC" w14:textId="77777777" w:rsidR="00B25EE5" w:rsidRPr="00097A86" w:rsidDel="00B25EE5" w:rsidRDefault="00B25EE5" w:rsidP="00D22D3F">
            <w:pPr>
              <w:pStyle w:val="Tabletext"/>
            </w:pPr>
            <w:r w:rsidRPr="00097A86">
              <w:t>18.1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4B26A98A" w14:textId="77777777" w:rsidR="00B25EE5" w:rsidRPr="00097A86" w:rsidDel="00B25EE5" w:rsidRDefault="00B25EE5" w:rsidP="00D22D3F">
            <w:pPr>
              <w:pStyle w:val="Tabletext"/>
            </w:pPr>
            <w:r w:rsidRPr="00097A86">
              <w:t>37.0</w:t>
            </w:r>
          </w:p>
        </w:tc>
        <w:tc>
          <w:tcPr>
            <w:tcW w:w="582" w:type="pct"/>
            <w:tcBorders>
              <w:top w:val="nil"/>
              <w:left w:val="nil"/>
              <w:bottom w:val="nil"/>
              <w:right w:val="nil"/>
            </w:tcBorders>
          </w:tcPr>
          <w:p w14:paraId="2542F31E" w14:textId="77777777" w:rsidR="00B25EE5" w:rsidRPr="00097A86" w:rsidDel="00B25EE5" w:rsidRDefault="00B25EE5" w:rsidP="00D22D3F">
            <w:pPr>
              <w:pStyle w:val="Tabletext"/>
            </w:pPr>
            <w:r w:rsidRPr="00097A86">
              <w:t>0.03</w:t>
            </w:r>
          </w:p>
        </w:tc>
        <w:tc>
          <w:tcPr>
            <w:tcW w:w="584" w:type="pct"/>
            <w:tcBorders>
              <w:top w:val="nil"/>
              <w:left w:val="nil"/>
              <w:bottom w:val="nil"/>
              <w:right w:val="nil"/>
            </w:tcBorders>
          </w:tcPr>
          <w:p w14:paraId="14759387" w14:textId="77777777" w:rsidR="00B25EE5" w:rsidRPr="00097A86" w:rsidDel="00B25EE5" w:rsidRDefault="00B25EE5" w:rsidP="00D22D3F">
            <w:pPr>
              <w:pStyle w:val="Tabletext"/>
            </w:pPr>
            <w:r w:rsidRPr="00097A86">
              <w:t>0.05</w:t>
            </w:r>
          </w:p>
        </w:tc>
      </w:tr>
      <w:tr w:rsidR="00B25EE5" w:rsidRPr="00097A86" w:rsidDel="00B25EE5" w14:paraId="726D6805" w14:textId="77777777" w:rsidTr="00C20CC2">
        <w:trPr>
          <w:cantSplit/>
        </w:trPr>
        <w:tc>
          <w:tcPr>
            <w:tcW w:w="413" w:type="pct"/>
            <w:tcBorders>
              <w:top w:val="nil"/>
              <w:left w:val="nil"/>
              <w:bottom w:val="nil"/>
              <w:right w:val="nil"/>
            </w:tcBorders>
          </w:tcPr>
          <w:p w14:paraId="654B1517" w14:textId="77777777" w:rsidR="00B25EE5" w:rsidRPr="00097A86" w:rsidDel="00B25EE5" w:rsidRDefault="00B25EE5" w:rsidP="00D22D3F">
            <w:pPr>
              <w:pStyle w:val="Tabletext"/>
            </w:pPr>
            <w:r w:rsidRPr="00097A86">
              <w:t>24</w:t>
            </w:r>
          </w:p>
        </w:tc>
        <w:tc>
          <w:tcPr>
            <w:tcW w:w="1907" w:type="pct"/>
            <w:tcBorders>
              <w:top w:val="nil"/>
              <w:left w:val="nil"/>
              <w:bottom w:val="nil"/>
              <w:right w:val="nil"/>
            </w:tcBorders>
          </w:tcPr>
          <w:p w14:paraId="0C74F165" w14:textId="77777777" w:rsidR="00B25EE5" w:rsidRPr="00097A86" w:rsidDel="00B25EE5" w:rsidRDefault="00B25EE5" w:rsidP="00D22D3F">
            <w:pPr>
              <w:pStyle w:val="Tabletext"/>
            </w:pPr>
            <w:r w:rsidRPr="00097A86">
              <w:t>Blast furnace gas</w:t>
            </w:r>
          </w:p>
        </w:tc>
        <w:tc>
          <w:tcPr>
            <w:tcW w:w="931" w:type="pct"/>
            <w:tcBorders>
              <w:top w:val="nil"/>
              <w:left w:val="nil"/>
              <w:bottom w:val="nil"/>
              <w:right w:val="nil"/>
            </w:tcBorders>
          </w:tcPr>
          <w:p w14:paraId="7D5D6197" w14:textId="77777777" w:rsidR="00B25EE5" w:rsidRPr="00097A86" w:rsidDel="00B25EE5" w:rsidRDefault="00B25EE5" w:rsidP="00D22D3F">
            <w:pPr>
              <w:pStyle w:val="Tabletext"/>
            </w:pPr>
            <w:r w:rsidRPr="00097A86">
              <w:t>4.0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0275DD03" w14:textId="77777777" w:rsidR="00B25EE5" w:rsidRPr="00097A86" w:rsidDel="00B25EE5" w:rsidRDefault="00B25EE5" w:rsidP="00D22D3F">
            <w:pPr>
              <w:pStyle w:val="Tabletext"/>
            </w:pPr>
            <w:r w:rsidRPr="00097A86">
              <w:t>234.0</w:t>
            </w:r>
          </w:p>
        </w:tc>
        <w:tc>
          <w:tcPr>
            <w:tcW w:w="582" w:type="pct"/>
            <w:tcBorders>
              <w:top w:val="nil"/>
              <w:left w:val="nil"/>
              <w:bottom w:val="nil"/>
              <w:right w:val="nil"/>
            </w:tcBorders>
          </w:tcPr>
          <w:p w14:paraId="7EAC7901" w14:textId="77777777" w:rsidR="00B25EE5" w:rsidRPr="00097A86" w:rsidDel="00B25EE5" w:rsidRDefault="00B25EE5" w:rsidP="00D22D3F">
            <w:pPr>
              <w:pStyle w:val="Tabletext"/>
            </w:pPr>
            <w:r w:rsidRPr="00097A86">
              <w:t>0.0</w:t>
            </w:r>
          </w:p>
        </w:tc>
        <w:tc>
          <w:tcPr>
            <w:tcW w:w="584" w:type="pct"/>
            <w:tcBorders>
              <w:top w:val="nil"/>
              <w:left w:val="nil"/>
              <w:bottom w:val="nil"/>
              <w:right w:val="nil"/>
            </w:tcBorders>
          </w:tcPr>
          <w:p w14:paraId="39AB0F0E" w14:textId="77777777" w:rsidR="00B25EE5" w:rsidRPr="00097A86" w:rsidDel="00B25EE5" w:rsidRDefault="00B25EE5" w:rsidP="00D22D3F">
            <w:pPr>
              <w:pStyle w:val="Tabletext"/>
            </w:pPr>
            <w:r w:rsidRPr="00097A86">
              <w:t>0.03</w:t>
            </w:r>
          </w:p>
        </w:tc>
      </w:tr>
      <w:tr w:rsidR="00B25EE5" w:rsidRPr="00097A86" w:rsidDel="00B25EE5" w14:paraId="31611C82" w14:textId="77777777" w:rsidTr="00C20CC2">
        <w:trPr>
          <w:cantSplit/>
        </w:trPr>
        <w:tc>
          <w:tcPr>
            <w:tcW w:w="413" w:type="pct"/>
            <w:tcBorders>
              <w:top w:val="nil"/>
              <w:left w:val="nil"/>
              <w:bottom w:val="nil"/>
              <w:right w:val="nil"/>
            </w:tcBorders>
          </w:tcPr>
          <w:p w14:paraId="6A3C8325" w14:textId="77777777" w:rsidR="00B25EE5" w:rsidRPr="00097A86" w:rsidDel="00B25EE5" w:rsidRDefault="00B25EE5" w:rsidP="00D22D3F">
            <w:pPr>
              <w:pStyle w:val="Tabletext"/>
            </w:pPr>
            <w:r w:rsidRPr="00097A86">
              <w:t>25</w:t>
            </w:r>
          </w:p>
        </w:tc>
        <w:tc>
          <w:tcPr>
            <w:tcW w:w="1907" w:type="pct"/>
            <w:tcBorders>
              <w:top w:val="nil"/>
              <w:left w:val="nil"/>
              <w:bottom w:val="nil"/>
              <w:right w:val="nil"/>
            </w:tcBorders>
          </w:tcPr>
          <w:p w14:paraId="2E80220C" w14:textId="77777777" w:rsidR="00B25EE5" w:rsidRPr="00097A86" w:rsidDel="00B25EE5" w:rsidRDefault="00B25EE5" w:rsidP="00D22D3F">
            <w:pPr>
              <w:pStyle w:val="Tabletext"/>
            </w:pPr>
            <w:r w:rsidRPr="00097A86">
              <w:t>Town gas</w:t>
            </w:r>
          </w:p>
        </w:tc>
        <w:tc>
          <w:tcPr>
            <w:tcW w:w="931" w:type="pct"/>
            <w:tcBorders>
              <w:top w:val="nil"/>
              <w:left w:val="nil"/>
              <w:bottom w:val="nil"/>
              <w:right w:val="nil"/>
            </w:tcBorders>
          </w:tcPr>
          <w:p w14:paraId="04A6E6A7" w14:textId="77777777" w:rsidR="00B25EE5" w:rsidRPr="00097A86" w:rsidDel="00B25EE5" w:rsidRDefault="00B25EE5" w:rsidP="00D22D3F">
            <w:pPr>
              <w:pStyle w:val="Tabletext"/>
            </w:pPr>
            <w:r w:rsidRPr="00097A86">
              <w:t>39.0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11EB424D" w14:textId="77777777" w:rsidR="00B25EE5" w:rsidRPr="00097A86" w:rsidDel="00B25EE5" w:rsidRDefault="00B25EE5" w:rsidP="00D22D3F">
            <w:pPr>
              <w:pStyle w:val="Tabletext"/>
            </w:pPr>
            <w:r w:rsidRPr="00097A86">
              <w:t>60.2</w:t>
            </w:r>
          </w:p>
        </w:tc>
        <w:tc>
          <w:tcPr>
            <w:tcW w:w="582" w:type="pct"/>
            <w:tcBorders>
              <w:top w:val="nil"/>
              <w:left w:val="nil"/>
              <w:bottom w:val="nil"/>
              <w:right w:val="nil"/>
            </w:tcBorders>
          </w:tcPr>
          <w:p w14:paraId="095B4F34" w14:textId="77777777" w:rsidR="00B25EE5" w:rsidRPr="00097A86" w:rsidDel="00B25EE5" w:rsidRDefault="00B25EE5" w:rsidP="00D22D3F">
            <w:pPr>
              <w:pStyle w:val="Tabletext"/>
            </w:pPr>
            <w:r w:rsidRPr="00097A86">
              <w:t>0.0</w:t>
            </w:r>
          </w:p>
        </w:tc>
        <w:tc>
          <w:tcPr>
            <w:tcW w:w="584" w:type="pct"/>
            <w:tcBorders>
              <w:top w:val="nil"/>
              <w:left w:val="nil"/>
              <w:bottom w:val="nil"/>
              <w:right w:val="nil"/>
            </w:tcBorders>
          </w:tcPr>
          <w:p w14:paraId="0EFA3F75" w14:textId="77777777" w:rsidR="00B25EE5" w:rsidRPr="00097A86" w:rsidDel="00B25EE5" w:rsidRDefault="00B25EE5" w:rsidP="00D22D3F">
            <w:pPr>
              <w:pStyle w:val="Tabletext"/>
            </w:pPr>
            <w:r w:rsidRPr="00097A86">
              <w:t>0.03</w:t>
            </w:r>
          </w:p>
        </w:tc>
      </w:tr>
      <w:tr w:rsidR="00B25EE5" w:rsidRPr="00097A86" w:rsidDel="00B25EE5" w14:paraId="62F1E288" w14:textId="77777777" w:rsidTr="00C20CC2">
        <w:trPr>
          <w:cantSplit/>
        </w:trPr>
        <w:tc>
          <w:tcPr>
            <w:tcW w:w="413" w:type="pct"/>
            <w:tcBorders>
              <w:top w:val="nil"/>
              <w:left w:val="nil"/>
              <w:bottom w:val="nil"/>
              <w:right w:val="nil"/>
            </w:tcBorders>
          </w:tcPr>
          <w:p w14:paraId="758F791F" w14:textId="77777777" w:rsidR="00B25EE5" w:rsidRPr="00097A86" w:rsidDel="00B25EE5" w:rsidRDefault="00B25EE5" w:rsidP="00D22D3F">
            <w:pPr>
              <w:pStyle w:val="Tabletext"/>
            </w:pPr>
            <w:r w:rsidRPr="00097A86">
              <w:t>26</w:t>
            </w:r>
          </w:p>
        </w:tc>
        <w:tc>
          <w:tcPr>
            <w:tcW w:w="1907" w:type="pct"/>
            <w:tcBorders>
              <w:top w:val="nil"/>
              <w:left w:val="nil"/>
              <w:bottom w:val="nil"/>
              <w:right w:val="nil"/>
            </w:tcBorders>
          </w:tcPr>
          <w:p w14:paraId="1C26888F" w14:textId="77777777" w:rsidR="00B25EE5" w:rsidRPr="00097A86" w:rsidDel="00B25EE5" w:rsidRDefault="00B25EE5" w:rsidP="00D22D3F">
            <w:pPr>
              <w:pStyle w:val="Tabletext"/>
            </w:pPr>
            <w:r w:rsidRPr="00097A86">
              <w:t>Liquefied natural gas</w:t>
            </w:r>
          </w:p>
        </w:tc>
        <w:tc>
          <w:tcPr>
            <w:tcW w:w="931" w:type="pct"/>
            <w:tcBorders>
              <w:top w:val="nil"/>
              <w:left w:val="nil"/>
              <w:bottom w:val="nil"/>
              <w:right w:val="nil"/>
            </w:tcBorders>
          </w:tcPr>
          <w:p w14:paraId="0D5197D1" w14:textId="77777777" w:rsidR="00B25EE5" w:rsidRPr="00097A86" w:rsidDel="00B25EE5" w:rsidRDefault="00B25EE5" w:rsidP="00D22D3F">
            <w:pPr>
              <w:pStyle w:val="Tabletext"/>
            </w:pPr>
            <w:r w:rsidRPr="00097A86">
              <w:t>25.3 GJ/kL</w:t>
            </w:r>
          </w:p>
        </w:tc>
        <w:tc>
          <w:tcPr>
            <w:tcW w:w="583" w:type="pct"/>
            <w:tcBorders>
              <w:top w:val="nil"/>
              <w:left w:val="nil"/>
              <w:bottom w:val="nil"/>
              <w:right w:val="nil"/>
            </w:tcBorders>
          </w:tcPr>
          <w:p w14:paraId="0E39D371"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5B715776" w14:textId="77777777" w:rsidR="00B25EE5" w:rsidRPr="00097A86" w:rsidDel="00B25EE5" w:rsidRDefault="00B25EE5" w:rsidP="00D22D3F">
            <w:pPr>
              <w:pStyle w:val="Tabletext"/>
            </w:pPr>
            <w:r w:rsidRPr="00097A86">
              <w:t>0.1</w:t>
            </w:r>
          </w:p>
        </w:tc>
        <w:tc>
          <w:tcPr>
            <w:tcW w:w="584" w:type="pct"/>
            <w:tcBorders>
              <w:top w:val="nil"/>
              <w:left w:val="nil"/>
              <w:bottom w:val="nil"/>
              <w:right w:val="nil"/>
            </w:tcBorders>
          </w:tcPr>
          <w:p w14:paraId="263539A9" w14:textId="77777777" w:rsidR="00B25EE5" w:rsidRPr="00097A86" w:rsidDel="00B25EE5" w:rsidRDefault="00B25EE5" w:rsidP="00D22D3F">
            <w:pPr>
              <w:pStyle w:val="Tabletext"/>
            </w:pPr>
            <w:r w:rsidRPr="00097A86">
              <w:t>0.03</w:t>
            </w:r>
          </w:p>
        </w:tc>
      </w:tr>
      <w:tr w:rsidR="00B25EE5" w:rsidRPr="00097A86" w:rsidDel="00B25EE5" w14:paraId="0977CB65" w14:textId="77777777" w:rsidTr="00C20CC2">
        <w:trPr>
          <w:cantSplit/>
        </w:trPr>
        <w:tc>
          <w:tcPr>
            <w:tcW w:w="413" w:type="pct"/>
            <w:tcBorders>
              <w:top w:val="nil"/>
              <w:left w:val="nil"/>
              <w:bottom w:val="nil"/>
              <w:right w:val="nil"/>
            </w:tcBorders>
          </w:tcPr>
          <w:p w14:paraId="748C68F3" w14:textId="77777777" w:rsidR="00B25EE5" w:rsidRPr="00097A86" w:rsidDel="00B25EE5" w:rsidRDefault="00B25EE5" w:rsidP="00D22D3F">
            <w:pPr>
              <w:pStyle w:val="Tabletext"/>
            </w:pPr>
            <w:r w:rsidRPr="00097A86">
              <w:t>27</w:t>
            </w:r>
          </w:p>
        </w:tc>
        <w:tc>
          <w:tcPr>
            <w:tcW w:w="1907" w:type="pct"/>
            <w:tcBorders>
              <w:top w:val="nil"/>
              <w:left w:val="nil"/>
              <w:bottom w:val="nil"/>
              <w:right w:val="nil"/>
            </w:tcBorders>
          </w:tcPr>
          <w:p w14:paraId="49A3218C" w14:textId="77777777" w:rsidR="00B25EE5" w:rsidRPr="00097A86" w:rsidDel="00B25EE5" w:rsidRDefault="00B25EE5" w:rsidP="00D22D3F">
            <w:pPr>
              <w:pStyle w:val="Tabletext"/>
            </w:pPr>
            <w:r w:rsidRPr="00097A86">
              <w:t>Gaseous fossil fuels other than those mentioned in items</w:t>
            </w:r>
            <w:r w:rsidR="00097A86">
              <w:t> </w:t>
            </w:r>
            <w:r w:rsidRPr="00097A86">
              <w:t>17 to 26</w:t>
            </w:r>
          </w:p>
        </w:tc>
        <w:tc>
          <w:tcPr>
            <w:tcW w:w="931" w:type="pct"/>
            <w:tcBorders>
              <w:top w:val="nil"/>
              <w:left w:val="nil"/>
              <w:bottom w:val="nil"/>
              <w:right w:val="nil"/>
            </w:tcBorders>
          </w:tcPr>
          <w:p w14:paraId="124AC7A9" w14:textId="77777777" w:rsidR="00B25EE5" w:rsidRPr="00097A86" w:rsidDel="00B25EE5" w:rsidRDefault="00B25EE5" w:rsidP="00D22D3F">
            <w:pPr>
              <w:pStyle w:val="Tabletext"/>
            </w:pPr>
            <w:r w:rsidRPr="00097A86">
              <w:t>39.3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59DA6307" w14:textId="77777777" w:rsidR="00B25EE5" w:rsidRPr="00097A86" w:rsidDel="00B25EE5" w:rsidRDefault="00B25EE5" w:rsidP="00D22D3F">
            <w:pPr>
              <w:pStyle w:val="Tabletext"/>
            </w:pPr>
            <w:r w:rsidRPr="00097A86">
              <w:t>51.4</w:t>
            </w:r>
          </w:p>
        </w:tc>
        <w:tc>
          <w:tcPr>
            <w:tcW w:w="582" w:type="pct"/>
            <w:tcBorders>
              <w:top w:val="nil"/>
              <w:left w:val="nil"/>
              <w:bottom w:val="nil"/>
              <w:right w:val="nil"/>
            </w:tcBorders>
          </w:tcPr>
          <w:p w14:paraId="2A15EC12" w14:textId="77777777" w:rsidR="00B25EE5" w:rsidRPr="00097A86" w:rsidDel="00B25EE5" w:rsidRDefault="00B25EE5" w:rsidP="00D22D3F">
            <w:pPr>
              <w:pStyle w:val="Tabletext"/>
            </w:pPr>
            <w:r w:rsidRPr="00097A86">
              <w:t>0.1</w:t>
            </w:r>
          </w:p>
        </w:tc>
        <w:tc>
          <w:tcPr>
            <w:tcW w:w="584" w:type="pct"/>
            <w:tcBorders>
              <w:top w:val="nil"/>
              <w:left w:val="nil"/>
              <w:bottom w:val="nil"/>
              <w:right w:val="nil"/>
            </w:tcBorders>
          </w:tcPr>
          <w:p w14:paraId="260E30ED" w14:textId="77777777" w:rsidR="00B25EE5" w:rsidRPr="00097A86" w:rsidDel="00B25EE5" w:rsidRDefault="00B25EE5" w:rsidP="00D22D3F">
            <w:pPr>
              <w:pStyle w:val="Tabletext"/>
            </w:pPr>
            <w:r w:rsidRPr="00097A86">
              <w:t>0.03</w:t>
            </w:r>
          </w:p>
        </w:tc>
      </w:tr>
      <w:tr w:rsidR="003F0D4E" w:rsidRPr="00097A86" w14:paraId="093C2AB6" w14:textId="77777777" w:rsidTr="00C20CC2">
        <w:trPr>
          <w:cantSplit/>
        </w:trPr>
        <w:tc>
          <w:tcPr>
            <w:tcW w:w="413" w:type="pct"/>
            <w:tcBorders>
              <w:top w:val="nil"/>
              <w:left w:val="nil"/>
              <w:bottom w:val="nil"/>
              <w:right w:val="nil"/>
            </w:tcBorders>
          </w:tcPr>
          <w:p w14:paraId="53C28641" w14:textId="77777777" w:rsidR="003F0D4E" w:rsidRPr="00097A86" w:rsidRDefault="003F0D4E" w:rsidP="00D22D3F">
            <w:pPr>
              <w:pStyle w:val="Tabletext"/>
            </w:pPr>
            <w:r w:rsidRPr="00097A86">
              <w:t>28</w:t>
            </w:r>
          </w:p>
        </w:tc>
        <w:tc>
          <w:tcPr>
            <w:tcW w:w="1907" w:type="pct"/>
            <w:tcBorders>
              <w:top w:val="nil"/>
              <w:left w:val="nil"/>
              <w:bottom w:val="nil"/>
              <w:right w:val="nil"/>
            </w:tcBorders>
          </w:tcPr>
          <w:p w14:paraId="68A55E07" w14:textId="77777777" w:rsidR="003F0D4E" w:rsidRPr="00097A86" w:rsidRDefault="003F0D4E" w:rsidP="00D22D3F">
            <w:pPr>
              <w:pStyle w:val="Tabletext"/>
            </w:pPr>
            <w:r w:rsidRPr="00097A86">
              <w:t>Landfill biogas that is captured for combustion (methane only)</w:t>
            </w:r>
          </w:p>
        </w:tc>
        <w:tc>
          <w:tcPr>
            <w:tcW w:w="931" w:type="pct"/>
            <w:tcBorders>
              <w:top w:val="nil"/>
              <w:left w:val="nil"/>
              <w:bottom w:val="nil"/>
              <w:right w:val="nil"/>
            </w:tcBorders>
          </w:tcPr>
          <w:p w14:paraId="2B151A65" w14:textId="77777777" w:rsidR="003F0D4E" w:rsidRPr="00097A86" w:rsidRDefault="003F0D4E" w:rsidP="00D22D3F">
            <w:pPr>
              <w:pStyle w:val="Tabletext"/>
            </w:pPr>
            <w:r w:rsidRPr="00097A86">
              <w:t>37.7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63A26516" w14:textId="77777777" w:rsidR="003F0D4E" w:rsidRPr="00097A86" w:rsidRDefault="003F0D4E" w:rsidP="00D22D3F">
            <w:pPr>
              <w:pStyle w:val="Tabletext"/>
            </w:pPr>
            <w:r w:rsidRPr="00097A86">
              <w:t>0.0</w:t>
            </w:r>
          </w:p>
        </w:tc>
        <w:tc>
          <w:tcPr>
            <w:tcW w:w="582" w:type="pct"/>
            <w:tcBorders>
              <w:top w:val="nil"/>
              <w:left w:val="nil"/>
              <w:bottom w:val="nil"/>
              <w:right w:val="nil"/>
            </w:tcBorders>
          </w:tcPr>
          <w:p w14:paraId="680CF95F" w14:textId="77777777" w:rsidR="003F0D4E" w:rsidRPr="00097A86" w:rsidRDefault="003F0D4E" w:rsidP="00D22D3F">
            <w:pPr>
              <w:pStyle w:val="Tabletext"/>
            </w:pPr>
            <w:r w:rsidRPr="00097A86">
              <w:t>4.8</w:t>
            </w:r>
          </w:p>
        </w:tc>
        <w:tc>
          <w:tcPr>
            <w:tcW w:w="584" w:type="pct"/>
            <w:tcBorders>
              <w:top w:val="nil"/>
              <w:left w:val="nil"/>
              <w:bottom w:val="nil"/>
              <w:right w:val="nil"/>
            </w:tcBorders>
          </w:tcPr>
          <w:p w14:paraId="54C79F6E" w14:textId="77777777" w:rsidR="003F0D4E" w:rsidRPr="00097A86" w:rsidRDefault="003F0D4E" w:rsidP="00D22D3F">
            <w:pPr>
              <w:pStyle w:val="Tabletext"/>
            </w:pPr>
            <w:r w:rsidRPr="00097A86">
              <w:t>0.03</w:t>
            </w:r>
          </w:p>
        </w:tc>
      </w:tr>
      <w:tr w:rsidR="003F0D4E" w:rsidRPr="00097A86" w14:paraId="76A7E9D7" w14:textId="77777777" w:rsidTr="00C20CC2">
        <w:trPr>
          <w:cantSplit/>
        </w:trPr>
        <w:tc>
          <w:tcPr>
            <w:tcW w:w="413" w:type="pct"/>
            <w:tcBorders>
              <w:top w:val="nil"/>
              <w:left w:val="nil"/>
              <w:bottom w:val="nil"/>
              <w:right w:val="nil"/>
            </w:tcBorders>
          </w:tcPr>
          <w:p w14:paraId="643F433C" w14:textId="77777777" w:rsidR="003F0D4E" w:rsidRPr="00097A86" w:rsidRDefault="003F0D4E" w:rsidP="00D22D3F">
            <w:pPr>
              <w:pStyle w:val="Tabletext"/>
            </w:pPr>
            <w:r w:rsidRPr="00097A86">
              <w:t>29</w:t>
            </w:r>
          </w:p>
        </w:tc>
        <w:tc>
          <w:tcPr>
            <w:tcW w:w="1907" w:type="pct"/>
            <w:tcBorders>
              <w:top w:val="nil"/>
              <w:left w:val="nil"/>
              <w:bottom w:val="nil"/>
              <w:right w:val="nil"/>
            </w:tcBorders>
          </w:tcPr>
          <w:p w14:paraId="6A033AB2" w14:textId="77777777" w:rsidR="003F0D4E" w:rsidRPr="00097A86" w:rsidRDefault="003F0D4E" w:rsidP="00D22D3F">
            <w:pPr>
              <w:pStyle w:val="Tabletext"/>
            </w:pPr>
            <w:r w:rsidRPr="00097A86">
              <w:t>Sludge biogas that is captured for combustion (methane only)</w:t>
            </w:r>
          </w:p>
        </w:tc>
        <w:tc>
          <w:tcPr>
            <w:tcW w:w="931" w:type="pct"/>
            <w:tcBorders>
              <w:top w:val="nil"/>
              <w:left w:val="nil"/>
              <w:bottom w:val="nil"/>
              <w:right w:val="nil"/>
            </w:tcBorders>
          </w:tcPr>
          <w:p w14:paraId="18EFC011" w14:textId="77777777" w:rsidR="003F0D4E" w:rsidRPr="00097A86" w:rsidRDefault="003F0D4E" w:rsidP="00D22D3F">
            <w:pPr>
              <w:pStyle w:val="Tabletext"/>
            </w:pPr>
            <w:r w:rsidRPr="00097A86">
              <w:t>37.7 × 10</w:t>
            </w:r>
            <w:r w:rsidR="00097A86">
              <w:rPr>
                <w:vertAlign w:val="superscript"/>
              </w:rPr>
              <w:noBreakHyphen/>
            </w:r>
            <w:r w:rsidRPr="00097A86">
              <w:rPr>
                <w:vertAlign w:val="superscript"/>
              </w:rPr>
              <w:t>3</w:t>
            </w:r>
          </w:p>
        </w:tc>
        <w:tc>
          <w:tcPr>
            <w:tcW w:w="583" w:type="pct"/>
            <w:tcBorders>
              <w:top w:val="nil"/>
              <w:left w:val="nil"/>
              <w:bottom w:val="nil"/>
              <w:right w:val="nil"/>
            </w:tcBorders>
          </w:tcPr>
          <w:p w14:paraId="40A81A40" w14:textId="77777777" w:rsidR="003F0D4E" w:rsidRPr="00097A86" w:rsidRDefault="003F0D4E" w:rsidP="00D22D3F">
            <w:pPr>
              <w:pStyle w:val="Tabletext"/>
            </w:pPr>
            <w:r w:rsidRPr="00097A86">
              <w:t>0.0</w:t>
            </w:r>
          </w:p>
        </w:tc>
        <w:tc>
          <w:tcPr>
            <w:tcW w:w="582" w:type="pct"/>
            <w:tcBorders>
              <w:top w:val="nil"/>
              <w:left w:val="nil"/>
              <w:bottom w:val="nil"/>
              <w:right w:val="nil"/>
            </w:tcBorders>
          </w:tcPr>
          <w:p w14:paraId="0C03ED6F" w14:textId="77777777" w:rsidR="003F0D4E" w:rsidRPr="00097A86" w:rsidRDefault="003F0D4E" w:rsidP="00D22D3F">
            <w:pPr>
              <w:pStyle w:val="Tabletext"/>
            </w:pPr>
            <w:r w:rsidRPr="00097A86">
              <w:t>4.8</w:t>
            </w:r>
          </w:p>
        </w:tc>
        <w:tc>
          <w:tcPr>
            <w:tcW w:w="584" w:type="pct"/>
            <w:tcBorders>
              <w:top w:val="nil"/>
              <w:left w:val="nil"/>
              <w:bottom w:val="nil"/>
              <w:right w:val="nil"/>
            </w:tcBorders>
          </w:tcPr>
          <w:p w14:paraId="0DB8692F" w14:textId="77777777" w:rsidR="003F0D4E" w:rsidRPr="00097A86" w:rsidRDefault="003F0D4E" w:rsidP="00D22D3F">
            <w:pPr>
              <w:pStyle w:val="Tabletext"/>
            </w:pPr>
            <w:r w:rsidRPr="00097A86">
              <w:t>0.03</w:t>
            </w:r>
          </w:p>
        </w:tc>
      </w:tr>
      <w:tr w:rsidR="003F0D4E" w:rsidRPr="00097A86" w14:paraId="725F9E53" w14:textId="77777777" w:rsidTr="00C20CC2">
        <w:trPr>
          <w:cantSplit/>
        </w:trPr>
        <w:tc>
          <w:tcPr>
            <w:tcW w:w="413" w:type="pct"/>
            <w:tcBorders>
              <w:top w:val="nil"/>
              <w:left w:val="nil"/>
              <w:bottom w:val="single" w:sz="12" w:space="0" w:color="auto"/>
              <w:right w:val="nil"/>
            </w:tcBorders>
          </w:tcPr>
          <w:p w14:paraId="22C2DF09" w14:textId="77777777" w:rsidR="003F0D4E" w:rsidRPr="00097A86" w:rsidRDefault="003F0D4E" w:rsidP="00D22D3F">
            <w:pPr>
              <w:pStyle w:val="Tabletext"/>
            </w:pPr>
            <w:r w:rsidRPr="00097A86">
              <w:t>30</w:t>
            </w:r>
          </w:p>
        </w:tc>
        <w:tc>
          <w:tcPr>
            <w:tcW w:w="1907" w:type="pct"/>
            <w:tcBorders>
              <w:top w:val="nil"/>
              <w:left w:val="nil"/>
              <w:bottom w:val="single" w:sz="12" w:space="0" w:color="auto"/>
              <w:right w:val="nil"/>
            </w:tcBorders>
          </w:tcPr>
          <w:p w14:paraId="28F30E8C" w14:textId="77777777" w:rsidR="003F0D4E" w:rsidRPr="00097A86" w:rsidRDefault="003F0D4E" w:rsidP="00D22D3F">
            <w:pPr>
              <w:pStyle w:val="Tabletext"/>
            </w:pPr>
            <w:r w:rsidRPr="00097A86">
              <w:t>A biogas that is captured for combustion, other than those mentioned in items</w:t>
            </w:r>
            <w:r w:rsidR="00097A86">
              <w:t> </w:t>
            </w:r>
            <w:r w:rsidRPr="00097A86">
              <w:t>28 and 29 (methane only)</w:t>
            </w:r>
          </w:p>
        </w:tc>
        <w:tc>
          <w:tcPr>
            <w:tcW w:w="931" w:type="pct"/>
            <w:tcBorders>
              <w:top w:val="nil"/>
              <w:left w:val="nil"/>
              <w:bottom w:val="single" w:sz="12" w:space="0" w:color="auto"/>
              <w:right w:val="nil"/>
            </w:tcBorders>
          </w:tcPr>
          <w:p w14:paraId="0F81E622" w14:textId="77777777" w:rsidR="003F0D4E" w:rsidRPr="00097A86" w:rsidRDefault="003F0D4E" w:rsidP="00D22D3F">
            <w:pPr>
              <w:pStyle w:val="Tabletext"/>
            </w:pPr>
            <w:r w:rsidRPr="00097A86">
              <w:t>37.7 × 10</w:t>
            </w:r>
            <w:r w:rsidR="00097A86">
              <w:rPr>
                <w:vertAlign w:val="superscript"/>
              </w:rPr>
              <w:noBreakHyphen/>
            </w:r>
            <w:r w:rsidRPr="00097A86">
              <w:rPr>
                <w:vertAlign w:val="superscript"/>
              </w:rPr>
              <w:t>3</w:t>
            </w:r>
          </w:p>
        </w:tc>
        <w:tc>
          <w:tcPr>
            <w:tcW w:w="583" w:type="pct"/>
            <w:tcBorders>
              <w:top w:val="nil"/>
              <w:left w:val="nil"/>
              <w:bottom w:val="single" w:sz="12" w:space="0" w:color="auto"/>
              <w:right w:val="nil"/>
            </w:tcBorders>
          </w:tcPr>
          <w:p w14:paraId="05664E98" w14:textId="77777777" w:rsidR="003F0D4E" w:rsidRPr="00097A86" w:rsidRDefault="003F0D4E" w:rsidP="00D22D3F">
            <w:pPr>
              <w:pStyle w:val="Tabletext"/>
            </w:pPr>
            <w:r w:rsidRPr="00097A86">
              <w:t>0.0</w:t>
            </w:r>
          </w:p>
        </w:tc>
        <w:tc>
          <w:tcPr>
            <w:tcW w:w="582" w:type="pct"/>
            <w:tcBorders>
              <w:top w:val="nil"/>
              <w:left w:val="nil"/>
              <w:bottom w:val="single" w:sz="12" w:space="0" w:color="auto"/>
              <w:right w:val="nil"/>
            </w:tcBorders>
          </w:tcPr>
          <w:p w14:paraId="40E1BF16" w14:textId="77777777" w:rsidR="003F0D4E" w:rsidRPr="00097A86" w:rsidRDefault="003F0D4E" w:rsidP="00D22D3F">
            <w:pPr>
              <w:pStyle w:val="Tabletext"/>
            </w:pPr>
            <w:r w:rsidRPr="00097A86">
              <w:t>4.8</w:t>
            </w:r>
          </w:p>
        </w:tc>
        <w:tc>
          <w:tcPr>
            <w:tcW w:w="584" w:type="pct"/>
            <w:tcBorders>
              <w:top w:val="nil"/>
              <w:left w:val="nil"/>
              <w:bottom w:val="single" w:sz="12" w:space="0" w:color="auto"/>
              <w:right w:val="nil"/>
            </w:tcBorders>
          </w:tcPr>
          <w:p w14:paraId="2F6C8CBB" w14:textId="77777777" w:rsidR="003F0D4E" w:rsidRPr="00097A86" w:rsidRDefault="003F0D4E" w:rsidP="00D22D3F">
            <w:pPr>
              <w:pStyle w:val="Tabletext"/>
            </w:pPr>
            <w:r w:rsidRPr="00097A86">
              <w:t>0.03</w:t>
            </w:r>
          </w:p>
        </w:tc>
      </w:tr>
    </w:tbl>
    <w:p w14:paraId="5949BF6D" w14:textId="77777777" w:rsidR="003F0D4E" w:rsidRPr="00097A86" w:rsidRDefault="003F0D4E" w:rsidP="00D22D3F">
      <w:pPr>
        <w:pStyle w:val="ActHead2"/>
        <w:pageBreakBefore/>
      </w:pPr>
      <w:bookmarkStart w:id="679" w:name="_Toc13234102"/>
      <w:r w:rsidRPr="00097A86">
        <w:rPr>
          <w:rStyle w:val="CharPartNo"/>
        </w:rPr>
        <w:lastRenderedPageBreak/>
        <w:t>Part</w:t>
      </w:r>
      <w:r w:rsidR="00097A86">
        <w:rPr>
          <w:rStyle w:val="CharPartNo"/>
        </w:rPr>
        <w:t> </w:t>
      </w:r>
      <w:r w:rsidRPr="00097A86">
        <w:rPr>
          <w:rStyle w:val="CharPartNo"/>
        </w:rPr>
        <w:t>3</w:t>
      </w:r>
      <w:r w:rsidR="00D22D3F" w:rsidRPr="00097A86">
        <w:t>—</w:t>
      </w:r>
      <w:r w:rsidRPr="00097A86">
        <w:rPr>
          <w:rStyle w:val="CharPartText"/>
        </w:rPr>
        <w:t>Fuel combustion</w:t>
      </w:r>
      <w:r w:rsidR="00D22D3F" w:rsidRPr="00097A86">
        <w:rPr>
          <w:rStyle w:val="CharPartText"/>
        </w:rPr>
        <w:t>—</w:t>
      </w:r>
      <w:r w:rsidRPr="00097A86">
        <w:rPr>
          <w:rStyle w:val="CharPartText"/>
        </w:rPr>
        <w:t>liquid fuels and certain petroleum</w:t>
      </w:r>
      <w:r w:rsidR="00097A86">
        <w:rPr>
          <w:rStyle w:val="CharPartText"/>
        </w:rPr>
        <w:noBreakHyphen/>
      </w:r>
      <w:r w:rsidRPr="00097A86">
        <w:rPr>
          <w:rStyle w:val="CharPartText"/>
        </w:rPr>
        <w:t>based products for stationary energy purposes</w:t>
      </w:r>
      <w:bookmarkEnd w:id="679"/>
    </w:p>
    <w:p w14:paraId="7D419A60"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16"/>
        <w:gridCol w:w="3172"/>
        <w:gridCol w:w="1563"/>
        <w:gridCol w:w="961"/>
        <w:gridCol w:w="961"/>
        <w:gridCol w:w="983"/>
      </w:tblGrid>
      <w:tr w:rsidR="003F0D4E" w:rsidRPr="00097A86" w14:paraId="17406361" w14:textId="77777777" w:rsidTr="00C20CC2">
        <w:trPr>
          <w:cantSplit/>
          <w:tblHeader/>
        </w:trPr>
        <w:tc>
          <w:tcPr>
            <w:tcW w:w="405" w:type="pct"/>
            <w:gridSpan w:val="2"/>
            <w:vMerge w:val="restart"/>
            <w:tcBorders>
              <w:top w:val="single" w:sz="12" w:space="0" w:color="auto"/>
              <w:left w:val="nil"/>
              <w:bottom w:val="single" w:sz="4" w:space="0" w:color="auto"/>
              <w:right w:val="nil"/>
            </w:tcBorders>
          </w:tcPr>
          <w:p w14:paraId="58CC56A6" w14:textId="77777777" w:rsidR="003F0D4E" w:rsidRPr="00097A86" w:rsidRDefault="003F0D4E" w:rsidP="00B278A7">
            <w:pPr>
              <w:pStyle w:val="TableHeading"/>
            </w:pPr>
            <w:r w:rsidRPr="00097A86">
              <w:t>Item</w:t>
            </w:r>
          </w:p>
        </w:tc>
        <w:tc>
          <w:tcPr>
            <w:tcW w:w="1908" w:type="pct"/>
            <w:vMerge w:val="restart"/>
            <w:tcBorders>
              <w:top w:val="single" w:sz="12" w:space="0" w:color="auto"/>
              <w:left w:val="nil"/>
              <w:bottom w:val="single" w:sz="4" w:space="0" w:color="auto"/>
              <w:right w:val="nil"/>
            </w:tcBorders>
          </w:tcPr>
          <w:p w14:paraId="32250F39" w14:textId="77777777" w:rsidR="003F0D4E" w:rsidRPr="00097A86" w:rsidRDefault="003F0D4E" w:rsidP="00B278A7">
            <w:pPr>
              <w:pStyle w:val="TableHeading"/>
            </w:pPr>
            <w:r w:rsidRPr="00097A86">
              <w:t>Fuel combusted</w:t>
            </w:r>
          </w:p>
        </w:tc>
        <w:tc>
          <w:tcPr>
            <w:tcW w:w="940" w:type="pct"/>
            <w:vMerge w:val="restart"/>
            <w:tcBorders>
              <w:top w:val="single" w:sz="12" w:space="0" w:color="auto"/>
              <w:left w:val="nil"/>
              <w:bottom w:val="single" w:sz="4" w:space="0" w:color="auto"/>
              <w:right w:val="nil"/>
            </w:tcBorders>
          </w:tcPr>
          <w:p w14:paraId="52C5CD48" w14:textId="77777777" w:rsidR="003F0D4E" w:rsidRPr="00097A86" w:rsidRDefault="003F0D4E" w:rsidP="00B278A7">
            <w:pPr>
              <w:pStyle w:val="TableHeading"/>
            </w:pPr>
            <w:r w:rsidRPr="00097A86">
              <w:t>Energy content factor</w:t>
            </w:r>
          </w:p>
          <w:p w14:paraId="09611941" w14:textId="77777777" w:rsidR="003F0D4E" w:rsidRPr="00097A86" w:rsidRDefault="003F0D4E" w:rsidP="00B278A7">
            <w:pPr>
              <w:pStyle w:val="TableHeading"/>
            </w:pPr>
            <w:r w:rsidRPr="00097A86">
              <w:t>(GJ/kL unless otherwise indicated)</w:t>
            </w:r>
          </w:p>
        </w:tc>
        <w:tc>
          <w:tcPr>
            <w:tcW w:w="1747" w:type="pct"/>
            <w:gridSpan w:val="3"/>
            <w:tcBorders>
              <w:top w:val="single" w:sz="12" w:space="0" w:color="auto"/>
              <w:left w:val="nil"/>
              <w:bottom w:val="single" w:sz="4" w:space="0" w:color="auto"/>
              <w:right w:val="nil"/>
            </w:tcBorders>
          </w:tcPr>
          <w:p w14:paraId="6D127AC6" w14:textId="77777777" w:rsidR="003F0D4E" w:rsidRPr="00097A86" w:rsidRDefault="003F0D4E" w:rsidP="00B278A7">
            <w:pPr>
              <w:pStyle w:val="TableHeading"/>
            </w:pPr>
            <w:r w:rsidRPr="00097A86">
              <w:t>Emission factor</w:t>
            </w:r>
          </w:p>
          <w:p w14:paraId="78FCE58D" w14:textId="77777777" w:rsidR="003F0D4E" w:rsidRPr="00097A86" w:rsidRDefault="003F0D4E" w:rsidP="00B278A7">
            <w:pPr>
              <w:pStyle w:val="TableHeading"/>
            </w:pPr>
            <w:r w:rsidRPr="00097A86">
              <w:t>kg CO</w:t>
            </w:r>
            <w:r w:rsidRPr="00097A86">
              <w:rPr>
                <w:vertAlign w:val="subscript"/>
              </w:rPr>
              <w:t>2</w:t>
            </w:r>
            <w:r w:rsidR="00097A86">
              <w:noBreakHyphen/>
            </w:r>
            <w:r w:rsidRPr="00097A86">
              <w:t>e/GJ</w:t>
            </w:r>
          </w:p>
          <w:p w14:paraId="18FF5A85" w14:textId="77777777" w:rsidR="003F0D4E" w:rsidRPr="00097A86" w:rsidRDefault="003F0D4E" w:rsidP="00B278A7">
            <w:pPr>
              <w:pStyle w:val="TableHeading"/>
            </w:pPr>
            <w:r w:rsidRPr="00097A86">
              <w:t>(relevant oxidation factors incorporated)</w:t>
            </w:r>
          </w:p>
        </w:tc>
      </w:tr>
      <w:tr w:rsidR="003F0D4E" w:rsidRPr="00097A86" w14:paraId="014F3225" w14:textId="77777777" w:rsidTr="00C20CC2">
        <w:trPr>
          <w:cantSplit/>
          <w:tblHeader/>
        </w:trPr>
        <w:tc>
          <w:tcPr>
            <w:tcW w:w="405" w:type="pct"/>
            <w:gridSpan w:val="2"/>
            <w:vMerge/>
            <w:tcBorders>
              <w:top w:val="single" w:sz="4" w:space="0" w:color="auto"/>
              <w:left w:val="nil"/>
              <w:bottom w:val="single" w:sz="12" w:space="0" w:color="auto"/>
              <w:right w:val="nil"/>
            </w:tcBorders>
          </w:tcPr>
          <w:p w14:paraId="1C314985" w14:textId="77777777" w:rsidR="003F0D4E" w:rsidRPr="00097A86" w:rsidRDefault="003F0D4E" w:rsidP="00B278A7">
            <w:pPr>
              <w:pStyle w:val="TableHeading"/>
            </w:pPr>
          </w:p>
        </w:tc>
        <w:tc>
          <w:tcPr>
            <w:tcW w:w="1908" w:type="pct"/>
            <w:vMerge/>
            <w:tcBorders>
              <w:top w:val="single" w:sz="4" w:space="0" w:color="auto"/>
              <w:left w:val="nil"/>
              <w:bottom w:val="single" w:sz="12" w:space="0" w:color="auto"/>
              <w:right w:val="nil"/>
            </w:tcBorders>
          </w:tcPr>
          <w:p w14:paraId="29DE3F85" w14:textId="77777777" w:rsidR="003F0D4E" w:rsidRPr="00097A86" w:rsidRDefault="003F0D4E" w:rsidP="00B278A7">
            <w:pPr>
              <w:pStyle w:val="TableHeading"/>
            </w:pPr>
          </w:p>
        </w:tc>
        <w:tc>
          <w:tcPr>
            <w:tcW w:w="940" w:type="pct"/>
            <w:vMerge/>
            <w:tcBorders>
              <w:top w:val="single" w:sz="4" w:space="0" w:color="auto"/>
              <w:left w:val="nil"/>
              <w:bottom w:val="single" w:sz="12" w:space="0" w:color="auto"/>
              <w:right w:val="nil"/>
            </w:tcBorders>
          </w:tcPr>
          <w:p w14:paraId="4E37A0BD" w14:textId="77777777" w:rsidR="003F0D4E" w:rsidRPr="00097A86" w:rsidRDefault="003F0D4E" w:rsidP="00B278A7">
            <w:pPr>
              <w:pStyle w:val="TableHeading"/>
            </w:pPr>
          </w:p>
        </w:tc>
        <w:tc>
          <w:tcPr>
            <w:tcW w:w="578" w:type="pct"/>
            <w:tcBorders>
              <w:top w:val="single" w:sz="4" w:space="0" w:color="auto"/>
              <w:left w:val="nil"/>
              <w:bottom w:val="single" w:sz="12" w:space="0" w:color="auto"/>
              <w:right w:val="nil"/>
            </w:tcBorders>
          </w:tcPr>
          <w:p w14:paraId="471E612E" w14:textId="77777777" w:rsidR="003F0D4E" w:rsidRPr="00097A86" w:rsidRDefault="003F0D4E" w:rsidP="00B278A7">
            <w:pPr>
              <w:pStyle w:val="TableHeading"/>
            </w:pPr>
            <w:r w:rsidRPr="00097A86">
              <w:t>CO</w:t>
            </w:r>
            <w:r w:rsidRPr="00097A86">
              <w:rPr>
                <w:vertAlign w:val="subscript"/>
              </w:rPr>
              <w:t>2</w:t>
            </w:r>
          </w:p>
        </w:tc>
        <w:tc>
          <w:tcPr>
            <w:tcW w:w="578" w:type="pct"/>
            <w:tcBorders>
              <w:top w:val="single" w:sz="4" w:space="0" w:color="auto"/>
              <w:left w:val="nil"/>
              <w:bottom w:val="single" w:sz="12" w:space="0" w:color="auto"/>
              <w:right w:val="nil"/>
            </w:tcBorders>
          </w:tcPr>
          <w:p w14:paraId="7382F87A" w14:textId="77777777" w:rsidR="003F0D4E" w:rsidRPr="00097A86" w:rsidRDefault="003F0D4E" w:rsidP="00B278A7">
            <w:pPr>
              <w:pStyle w:val="TableHeading"/>
            </w:pPr>
            <w:r w:rsidRPr="00097A86">
              <w:t>CH</w:t>
            </w:r>
            <w:r w:rsidRPr="00097A86">
              <w:rPr>
                <w:vertAlign w:val="subscript"/>
              </w:rPr>
              <w:t>4</w:t>
            </w:r>
          </w:p>
        </w:tc>
        <w:tc>
          <w:tcPr>
            <w:tcW w:w="591" w:type="pct"/>
            <w:tcBorders>
              <w:top w:val="single" w:sz="4" w:space="0" w:color="auto"/>
              <w:left w:val="nil"/>
              <w:bottom w:val="single" w:sz="12" w:space="0" w:color="auto"/>
              <w:right w:val="nil"/>
            </w:tcBorders>
          </w:tcPr>
          <w:p w14:paraId="02834733" w14:textId="77777777" w:rsidR="003F0D4E" w:rsidRPr="00097A86" w:rsidRDefault="003F0D4E" w:rsidP="00B278A7">
            <w:pPr>
              <w:pStyle w:val="TableHeading"/>
            </w:pPr>
            <w:r w:rsidRPr="00097A86">
              <w:t>N</w:t>
            </w:r>
            <w:r w:rsidRPr="00097A86">
              <w:rPr>
                <w:vertAlign w:val="subscript"/>
              </w:rPr>
              <w:t>2</w:t>
            </w:r>
            <w:r w:rsidRPr="00097A86">
              <w:t>O</w:t>
            </w:r>
          </w:p>
        </w:tc>
      </w:tr>
      <w:tr w:rsidR="00473D46" w:rsidRPr="00097A86" w14:paraId="4275266F" w14:textId="77777777" w:rsidTr="00C20CC2">
        <w:trPr>
          <w:cantSplit/>
        </w:trPr>
        <w:tc>
          <w:tcPr>
            <w:tcW w:w="396" w:type="pct"/>
          </w:tcPr>
          <w:p w14:paraId="564354EA" w14:textId="77777777" w:rsidR="00473D46" w:rsidRPr="00097A86" w:rsidRDefault="00473D46" w:rsidP="00465C0B">
            <w:pPr>
              <w:pStyle w:val="Tabletext"/>
              <w:rPr>
                <w:snapToGrid w:val="0"/>
              </w:rPr>
            </w:pPr>
            <w:r w:rsidRPr="00097A86">
              <w:rPr>
                <w:snapToGrid w:val="0"/>
              </w:rPr>
              <w:t>31</w:t>
            </w:r>
          </w:p>
        </w:tc>
        <w:tc>
          <w:tcPr>
            <w:tcW w:w="1917" w:type="pct"/>
            <w:gridSpan w:val="2"/>
          </w:tcPr>
          <w:p w14:paraId="701D6A91" w14:textId="77777777" w:rsidR="00473D46" w:rsidRPr="00097A86" w:rsidRDefault="00473D46" w:rsidP="00465C0B">
            <w:pPr>
              <w:pStyle w:val="Tabletext"/>
              <w:rPr>
                <w:snapToGrid w:val="0"/>
              </w:rPr>
            </w:pPr>
            <w:r w:rsidRPr="00097A86">
              <w:rPr>
                <w:snapToGrid w:val="0"/>
              </w:rPr>
              <w:t>Petroleum based oils (other than petroleum based oil used as fuel)</w:t>
            </w:r>
          </w:p>
        </w:tc>
        <w:tc>
          <w:tcPr>
            <w:tcW w:w="940" w:type="pct"/>
          </w:tcPr>
          <w:p w14:paraId="338E3A68" w14:textId="77777777" w:rsidR="00473D46" w:rsidRPr="00097A86" w:rsidRDefault="00473D46" w:rsidP="00465C0B">
            <w:pPr>
              <w:pStyle w:val="Tabletext"/>
              <w:rPr>
                <w:snapToGrid w:val="0"/>
              </w:rPr>
            </w:pPr>
            <w:r w:rsidRPr="00097A86">
              <w:rPr>
                <w:snapToGrid w:val="0"/>
              </w:rPr>
              <w:t>38.8</w:t>
            </w:r>
          </w:p>
        </w:tc>
        <w:tc>
          <w:tcPr>
            <w:tcW w:w="578" w:type="pct"/>
          </w:tcPr>
          <w:p w14:paraId="726379D3" w14:textId="77777777" w:rsidR="00473D46" w:rsidRPr="00097A86" w:rsidRDefault="00473D46" w:rsidP="00465C0B">
            <w:pPr>
              <w:pStyle w:val="Tabletext"/>
              <w:rPr>
                <w:snapToGrid w:val="0"/>
              </w:rPr>
            </w:pPr>
            <w:r w:rsidRPr="00097A86">
              <w:rPr>
                <w:snapToGrid w:val="0"/>
              </w:rPr>
              <w:t>13.9</w:t>
            </w:r>
          </w:p>
        </w:tc>
        <w:tc>
          <w:tcPr>
            <w:tcW w:w="578" w:type="pct"/>
          </w:tcPr>
          <w:p w14:paraId="6D458FE2" w14:textId="77777777" w:rsidR="00473D46" w:rsidRPr="00097A86" w:rsidRDefault="00473D46" w:rsidP="00465C0B">
            <w:pPr>
              <w:pStyle w:val="Tabletext"/>
              <w:rPr>
                <w:snapToGrid w:val="0"/>
              </w:rPr>
            </w:pPr>
            <w:r w:rsidRPr="00097A86">
              <w:rPr>
                <w:snapToGrid w:val="0"/>
              </w:rPr>
              <w:t>0.0</w:t>
            </w:r>
          </w:p>
        </w:tc>
        <w:tc>
          <w:tcPr>
            <w:tcW w:w="591" w:type="pct"/>
          </w:tcPr>
          <w:p w14:paraId="20ADB13D" w14:textId="77777777" w:rsidR="00473D46" w:rsidRPr="00097A86" w:rsidRDefault="00473D46" w:rsidP="00465C0B">
            <w:pPr>
              <w:pStyle w:val="Tabletext"/>
              <w:rPr>
                <w:snapToGrid w:val="0"/>
              </w:rPr>
            </w:pPr>
            <w:r w:rsidRPr="00097A86">
              <w:rPr>
                <w:snapToGrid w:val="0"/>
              </w:rPr>
              <w:t>0.0</w:t>
            </w:r>
          </w:p>
        </w:tc>
      </w:tr>
      <w:tr w:rsidR="00473D46" w:rsidRPr="00097A86" w14:paraId="69D2B201" w14:textId="77777777" w:rsidTr="00C20CC2">
        <w:trPr>
          <w:cantSplit/>
        </w:trPr>
        <w:tc>
          <w:tcPr>
            <w:tcW w:w="396" w:type="pct"/>
          </w:tcPr>
          <w:p w14:paraId="23504FC9" w14:textId="77777777" w:rsidR="00473D46" w:rsidRPr="00097A86" w:rsidRDefault="00473D46" w:rsidP="00465C0B">
            <w:pPr>
              <w:pStyle w:val="Tabletext"/>
              <w:rPr>
                <w:snapToGrid w:val="0"/>
              </w:rPr>
            </w:pPr>
            <w:r w:rsidRPr="00097A86">
              <w:rPr>
                <w:snapToGrid w:val="0"/>
              </w:rPr>
              <w:t>32</w:t>
            </w:r>
          </w:p>
        </w:tc>
        <w:tc>
          <w:tcPr>
            <w:tcW w:w="1917" w:type="pct"/>
            <w:gridSpan w:val="2"/>
          </w:tcPr>
          <w:p w14:paraId="5B11953B" w14:textId="77777777" w:rsidR="00473D46" w:rsidRPr="00097A86" w:rsidRDefault="00473D46" w:rsidP="00465C0B">
            <w:pPr>
              <w:pStyle w:val="Tabletext"/>
              <w:rPr>
                <w:snapToGrid w:val="0"/>
              </w:rPr>
            </w:pPr>
            <w:r w:rsidRPr="00097A86">
              <w:rPr>
                <w:snapToGrid w:val="0"/>
              </w:rPr>
              <w:t>Petroleum based greases</w:t>
            </w:r>
          </w:p>
        </w:tc>
        <w:tc>
          <w:tcPr>
            <w:tcW w:w="940" w:type="pct"/>
          </w:tcPr>
          <w:p w14:paraId="4C96CFA6" w14:textId="77777777" w:rsidR="00473D46" w:rsidRPr="00097A86" w:rsidRDefault="00473D46" w:rsidP="00465C0B">
            <w:pPr>
              <w:pStyle w:val="Tabletext"/>
              <w:rPr>
                <w:snapToGrid w:val="0"/>
              </w:rPr>
            </w:pPr>
            <w:r w:rsidRPr="00097A86">
              <w:rPr>
                <w:snapToGrid w:val="0"/>
              </w:rPr>
              <w:t>38.8</w:t>
            </w:r>
          </w:p>
        </w:tc>
        <w:tc>
          <w:tcPr>
            <w:tcW w:w="578" w:type="pct"/>
          </w:tcPr>
          <w:p w14:paraId="50A8FDA1" w14:textId="77777777" w:rsidR="00473D46" w:rsidRPr="00097A86" w:rsidRDefault="00473D46" w:rsidP="00465C0B">
            <w:pPr>
              <w:pStyle w:val="Tabletext"/>
              <w:rPr>
                <w:snapToGrid w:val="0"/>
              </w:rPr>
            </w:pPr>
            <w:r w:rsidRPr="00097A86">
              <w:rPr>
                <w:snapToGrid w:val="0"/>
              </w:rPr>
              <w:t>3.5</w:t>
            </w:r>
          </w:p>
        </w:tc>
        <w:tc>
          <w:tcPr>
            <w:tcW w:w="578" w:type="pct"/>
          </w:tcPr>
          <w:p w14:paraId="7E16D9A8" w14:textId="77777777" w:rsidR="00473D46" w:rsidRPr="00097A86" w:rsidRDefault="00473D46" w:rsidP="00465C0B">
            <w:pPr>
              <w:pStyle w:val="Tabletext"/>
              <w:rPr>
                <w:snapToGrid w:val="0"/>
              </w:rPr>
            </w:pPr>
            <w:r w:rsidRPr="00097A86">
              <w:rPr>
                <w:snapToGrid w:val="0"/>
              </w:rPr>
              <w:t>0.0</w:t>
            </w:r>
          </w:p>
        </w:tc>
        <w:tc>
          <w:tcPr>
            <w:tcW w:w="591" w:type="pct"/>
          </w:tcPr>
          <w:p w14:paraId="4DA90FDF" w14:textId="77777777" w:rsidR="00473D46" w:rsidRPr="00097A86" w:rsidRDefault="00473D46" w:rsidP="00465C0B">
            <w:pPr>
              <w:pStyle w:val="Tabletext"/>
              <w:rPr>
                <w:snapToGrid w:val="0"/>
              </w:rPr>
            </w:pPr>
            <w:r w:rsidRPr="00097A86">
              <w:rPr>
                <w:snapToGrid w:val="0"/>
              </w:rPr>
              <w:t>0.0</w:t>
            </w:r>
          </w:p>
        </w:tc>
      </w:tr>
      <w:tr w:rsidR="00473D46" w:rsidRPr="00097A86" w14:paraId="072ED84A" w14:textId="77777777" w:rsidTr="00C20CC2">
        <w:trPr>
          <w:cantSplit/>
        </w:trPr>
        <w:tc>
          <w:tcPr>
            <w:tcW w:w="396" w:type="pct"/>
          </w:tcPr>
          <w:p w14:paraId="5303C1F4" w14:textId="77777777" w:rsidR="00473D46" w:rsidRPr="00097A86" w:rsidRDefault="00473D46" w:rsidP="00465C0B">
            <w:pPr>
              <w:pStyle w:val="Tabletext"/>
              <w:rPr>
                <w:snapToGrid w:val="0"/>
              </w:rPr>
            </w:pPr>
            <w:r w:rsidRPr="00097A86">
              <w:rPr>
                <w:snapToGrid w:val="0"/>
              </w:rPr>
              <w:t>33</w:t>
            </w:r>
          </w:p>
        </w:tc>
        <w:tc>
          <w:tcPr>
            <w:tcW w:w="1917" w:type="pct"/>
            <w:gridSpan w:val="2"/>
          </w:tcPr>
          <w:p w14:paraId="52349591" w14:textId="77777777" w:rsidR="00473D46" w:rsidRPr="00097A86" w:rsidRDefault="00473D46" w:rsidP="00465C0B">
            <w:pPr>
              <w:pStyle w:val="Tabletext"/>
              <w:rPr>
                <w:snapToGrid w:val="0"/>
              </w:rPr>
            </w:pPr>
            <w:r w:rsidRPr="00097A86">
              <w:rPr>
                <w:snapToGrid w:val="0"/>
              </w:rPr>
              <w:t>Crude oil including crude oil condensates</w:t>
            </w:r>
          </w:p>
        </w:tc>
        <w:tc>
          <w:tcPr>
            <w:tcW w:w="940" w:type="pct"/>
          </w:tcPr>
          <w:p w14:paraId="465AB30B" w14:textId="77777777" w:rsidR="00473D46" w:rsidRPr="00097A86" w:rsidRDefault="00473D46" w:rsidP="00465C0B">
            <w:pPr>
              <w:pStyle w:val="Tabletext"/>
              <w:rPr>
                <w:snapToGrid w:val="0"/>
              </w:rPr>
            </w:pPr>
            <w:r w:rsidRPr="00097A86">
              <w:rPr>
                <w:snapToGrid w:val="0"/>
              </w:rPr>
              <w:t>45.3 GJ/t</w:t>
            </w:r>
          </w:p>
        </w:tc>
        <w:tc>
          <w:tcPr>
            <w:tcW w:w="578" w:type="pct"/>
          </w:tcPr>
          <w:p w14:paraId="20937EE5" w14:textId="77777777" w:rsidR="00473D46" w:rsidRPr="00097A86" w:rsidRDefault="00473D46" w:rsidP="00465C0B">
            <w:pPr>
              <w:pStyle w:val="Tabletext"/>
              <w:rPr>
                <w:snapToGrid w:val="0"/>
              </w:rPr>
            </w:pPr>
            <w:r w:rsidRPr="00097A86">
              <w:rPr>
                <w:snapToGrid w:val="0"/>
              </w:rPr>
              <w:t>69.6</w:t>
            </w:r>
          </w:p>
        </w:tc>
        <w:tc>
          <w:tcPr>
            <w:tcW w:w="578" w:type="pct"/>
          </w:tcPr>
          <w:p w14:paraId="5577DF1F" w14:textId="77777777" w:rsidR="00473D46" w:rsidRPr="00097A86" w:rsidRDefault="00473D46" w:rsidP="00465C0B">
            <w:pPr>
              <w:pStyle w:val="Tabletext"/>
              <w:rPr>
                <w:snapToGrid w:val="0"/>
              </w:rPr>
            </w:pPr>
            <w:r w:rsidRPr="00097A86">
              <w:rPr>
                <w:snapToGrid w:val="0"/>
              </w:rPr>
              <w:t>0.1</w:t>
            </w:r>
          </w:p>
        </w:tc>
        <w:tc>
          <w:tcPr>
            <w:tcW w:w="591" w:type="pct"/>
          </w:tcPr>
          <w:p w14:paraId="72B7907C" w14:textId="77777777" w:rsidR="00473D46" w:rsidRPr="00097A86" w:rsidRDefault="00473D46" w:rsidP="00465C0B">
            <w:pPr>
              <w:pStyle w:val="Tabletext"/>
              <w:rPr>
                <w:snapToGrid w:val="0"/>
              </w:rPr>
            </w:pPr>
            <w:r w:rsidRPr="00097A86">
              <w:rPr>
                <w:snapToGrid w:val="0"/>
              </w:rPr>
              <w:t>0.2</w:t>
            </w:r>
          </w:p>
        </w:tc>
      </w:tr>
      <w:tr w:rsidR="00473D46" w:rsidRPr="00097A86" w14:paraId="06196046" w14:textId="77777777" w:rsidTr="00C20CC2">
        <w:trPr>
          <w:cantSplit/>
        </w:trPr>
        <w:tc>
          <w:tcPr>
            <w:tcW w:w="396" w:type="pct"/>
          </w:tcPr>
          <w:p w14:paraId="2B2C5072" w14:textId="77777777" w:rsidR="00473D46" w:rsidRPr="00097A86" w:rsidRDefault="00473D46" w:rsidP="00465C0B">
            <w:pPr>
              <w:pStyle w:val="Tabletext"/>
              <w:rPr>
                <w:snapToGrid w:val="0"/>
              </w:rPr>
            </w:pPr>
            <w:r w:rsidRPr="00097A86">
              <w:rPr>
                <w:snapToGrid w:val="0"/>
              </w:rPr>
              <w:t>34</w:t>
            </w:r>
          </w:p>
        </w:tc>
        <w:tc>
          <w:tcPr>
            <w:tcW w:w="1917" w:type="pct"/>
            <w:gridSpan w:val="2"/>
          </w:tcPr>
          <w:p w14:paraId="5E16FCC7" w14:textId="77777777" w:rsidR="00473D46" w:rsidRPr="00097A86" w:rsidRDefault="00473D46" w:rsidP="00465C0B">
            <w:pPr>
              <w:pStyle w:val="Tabletext"/>
              <w:rPr>
                <w:snapToGrid w:val="0"/>
              </w:rPr>
            </w:pPr>
            <w:r w:rsidRPr="00097A86">
              <w:rPr>
                <w:snapToGrid w:val="0"/>
              </w:rPr>
              <w:t xml:space="preserve">Other natural gas liquids </w:t>
            </w:r>
          </w:p>
        </w:tc>
        <w:tc>
          <w:tcPr>
            <w:tcW w:w="940" w:type="pct"/>
          </w:tcPr>
          <w:p w14:paraId="32EC568E" w14:textId="77777777" w:rsidR="00473D46" w:rsidRPr="00097A86" w:rsidRDefault="00473D46" w:rsidP="00465C0B">
            <w:pPr>
              <w:pStyle w:val="Tabletext"/>
              <w:rPr>
                <w:snapToGrid w:val="0"/>
              </w:rPr>
            </w:pPr>
            <w:r w:rsidRPr="00097A86">
              <w:rPr>
                <w:snapToGrid w:val="0"/>
              </w:rPr>
              <w:t>46.5 GJ/t</w:t>
            </w:r>
          </w:p>
        </w:tc>
        <w:tc>
          <w:tcPr>
            <w:tcW w:w="578" w:type="pct"/>
          </w:tcPr>
          <w:p w14:paraId="2FC14D85" w14:textId="77777777" w:rsidR="00473D46" w:rsidRPr="00097A86" w:rsidRDefault="00473D46" w:rsidP="00465C0B">
            <w:pPr>
              <w:pStyle w:val="Tabletext"/>
              <w:rPr>
                <w:snapToGrid w:val="0"/>
              </w:rPr>
            </w:pPr>
            <w:r w:rsidRPr="00097A86">
              <w:rPr>
                <w:snapToGrid w:val="0"/>
              </w:rPr>
              <w:t>61.0</w:t>
            </w:r>
          </w:p>
        </w:tc>
        <w:tc>
          <w:tcPr>
            <w:tcW w:w="578" w:type="pct"/>
          </w:tcPr>
          <w:p w14:paraId="25C7A92E" w14:textId="77777777" w:rsidR="00473D46" w:rsidRPr="00097A86" w:rsidRDefault="00473D46" w:rsidP="00465C0B">
            <w:pPr>
              <w:pStyle w:val="Tabletext"/>
              <w:rPr>
                <w:snapToGrid w:val="0"/>
              </w:rPr>
            </w:pPr>
            <w:r w:rsidRPr="00097A86">
              <w:rPr>
                <w:snapToGrid w:val="0"/>
              </w:rPr>
              <w:t>0.1</w:t>
            </w:r>
          </w:p>
        </w:tc>
        <w:tc>
          <w:tcPr>
            <w:tcW w:w="591" w:type="pct"/>
          </w:tcPr>
          <w:p w14:paraId="77B21696" w14:textId="77777777" w:rsidR="00473D46" w:rsidRPr="00097A86" w:rsidRDefault="00473D46" w:rsidP="00465C0B">
            <w:pPr>
              <w:pStyle w:val="Tabletext"/>
              <w:rPr>
                <w:snapToGrid w:val="0"/>
              </w:rPr>
            </w:pPr>
            <w:r w:rsidRPr="00097A86">
              <w:rPr>
                <w:snapToGrid w:val="0"/>
              </w:rPr>
              <w:t>0.2</w:t>
            </w:r>
          </w:p>
        </w:tc>
      </w:tr>
      <w:tr w:rsidR="00473D46" w:rsidRPr="00097A86" w14:paraId="76648D3A" w14:textId="77777777" w:rsidTr="00C20CC2">
        <w:trPr>
          <w:cantSplit/>
        </w:trPr>
        <w:tc>
          <w:tcPr>
            <w:tcW w:w="396" w:type="pct"/>
          </w:tcPr>
          <w:p w14:paraId="168F0093" w14:textId="77777777" w:rsidR="00473D46" w:rsidRPr="00097A86" w:rsidRDefault="00473D46" w:rsidP="00465C0B">
            <w:pPr>
              <w:pStyle w:val="Tabletext"/>
              <w:rPr>
                <w:snapToGrid w:val="0"/>
              </w:rPr>
            </w:pPr>
            <w:r w:rsidRPr="00097A86">
              <w:rPr>
                <w:snapToGrid w:val="0"/>
              </w:rPr>
              <w:t>35</w:t>
            </w:r>
          </w:p>
        </w:tc>
        <w:tc>
          <w:tcPr>
            <w:tcW w:w="1917" w:type="pct"/>
            <w:gridSpan w:val="2"/>
          </w:tcPr>
          <w:p w14:paraId="0715C226" w14:textId="77777777" w:rsidR="00473D46" w:rsidRPr="00097A86" w:rsidRDefault="00473D46" w:rsidP="00465C0B">
            <w:pPr>
              <w:pStyle w:val="Tabletext"/>
              <w:rPr>
                <w:snapToGrid w:val="0"/>
              </w:rPr>
            </w:pPr>
            <w:r w:rsidRPr="00097A86">
              <w:rPr>
                <w:snapToGrid w:val="0"/>
              </w:rPr>
              <w:t>Gasoline (other than for use as fuel in an aircraft)</w:t>
            </w:r>
          </w:p>
        </w:tc>
        <w:tc>
          <w:tcPr>
            <w:tcW w:w="940" w:type="pct"/>
          </w:tcPr>
          <w:p w14:paraId="68C5EEDD" w14:textId="77777777" w:rsidR="00473D46" w:rsidRPr="00097A86" w:rsidRDefault="00473D46" w:rsidP="00465C0B">
            <w:pPr>
              <w:pStyle w:val="Tabletext"/>
              <w:rPr>
                <w:snapToGrid w:val="0"/>
              </w:rPr>
            </w:pPr>
            <w:r w:rsidRPr="00097A86">
              <w:rPr>
                <w:snapToGrid w:val="0"/>
              </w:rPr>
              <w:t>34.2</w:t>
            </w:r>
          </w:p>
        </w:tc>
        <w:tc>
          <w:tcPr>
            <w:tcW w:w="578" w:type="pct"/>
          </w:tcPr>
          <w:p w14:paraId="0C6983EF" w14:textId="77777777" w:rsidR="00473D46" w:rsidRPr="00097A86" w:rsidRDefault="00473D46" w:rsidP="00465C0B">
            <w:pPr>
              <w:pStyle w:val="Tabletext"/>
              <w:rPr>
                <w:snapToGrid w:val="0"/>
              </w:rPr>
            </w:pPr>
            <w:r w:rsidRPr="00097A86">
              <w:rPr>
                <w:snapToGrid w:val="0"/>
              </w:rPr>
              <w:t>67.4</w:t>
            </w:r>
          </w:p>
        </w:tc>
        <w:tc>
          <w:tcPr>
            <w:tcW w:w="578" w:type="pct"/>
          </w:tcPr>
          <w:p w14:paraId="46F70DAA" w14:textId="77777777" w:rsidR="00473D46" w:rsidRPr="00097A86" w:rsidRDefault="00473D46" w:rsidP="00465C0B">
            <w:pPr>
              <w:pStyle w:val="Tabletext"/>
              <w:rPr>
                <w:snapToGrid w:val="0"/>
              </w:rPr>
            </w:pPr>
            <w:r w:rsidRPr="00097A86">
              <w:rPr>
                <w:snapToGrid w:val="0"/>
              </w:rPr>
              <w:t>0.2</w:t>
            </w:r>
          </w:p>
        </w:tc>
        <w:tc>
          <w:tcPr>
            <w:tcW w:w="591" w:type="pct"/>
          </w:tcPr>
          <w:p w14:paraId="0ED4022F" w14:textId="77777777" w:rsidR="00473D46" w:rsidRPr="00097A86" w:rsidRDefault="00473D46" w:rsidP="00465C0B">
            <w:pPr>
              <w:pStyle w:val="Tabletext"/>
              <w:rPr>
                <w:snapToGrid w:val="0"/>
              </w:rPr>
            </w:pPr>
            <w:r w:rsidRPr="00097A86">
              <w:rPr>
                <w:snapToGrid w:val="0"/>
              </w:rPr>
              <w:t>0.2</w:t>
            </w:r>
          </w:p>
        </w:tc>
      </w:tr>
      <w:tr w:rsidR="00473D46" w:rsidRPr="00097A86" w14:paraId="6A94888F" w14:textId="77777777" w:rsidTr="00C20CC2">
        <w:trPr>
          <w:cantSplit/>
        </w:trPr>
        <w:tc>
          <w:tcPr>
            <w:tcW w:w="396" w:type="pct"/>
          </w:tcPr>
          <w:p w14:paraId="0A8AE734" w14:textId="77777777" w:rsidR="00473D46" w:rsidRPr="00097A86" w:rsidRDefault="00473D46" w:rsidP="00465C0B">
            <w:pPr>
              <w:pStyle w:val="Tabletext"/>
              <w:rPr>
                <w:snapToGrid w:val="0"/>
              </w:rPr>
            </w:pPr>
            <w:r w:rsidRPr="00097A86">
              <w:rPr>
                <w:snapToGrid w:val="0"/>
              </w:rPr>
              <w:t>36</w:t>
            </w:r>
          </w:p>
        </w:tc>
        <w:tc>
          <w:tcPr>
            <w:tcW w:w="1917" w:type="pct"/>
            <w:gridSpan w:val="2"/>
          </w:tcPr>
          <w:p w14:paraId="0DD4768F" w14:textId="77777777" w:rsidR="00473D46" w:rsidRPr="00097A86" w:rsidRDefault="00473D46" w:rsidP="00465C0B">
            <w:pPr>
              <w:pStyle w:val="Tabletext"/>
              <w:rPr>
                <w:snapToGrid w:val="0"/>
              </w:rPr>
            </w:pPr>
            <w:r w:rsidRPr="00097A86">
              <w:rPr>
                <w:snapToGrid w:val="0"/>
              </w:rPr>
              <w:t>Gasoline for use as fuel in an aircraft</w:t>
            </w:r>
          </w:p>
        </w:tc>
        <w:tc>
          <w:tcPr>
            <w:tcW w:w="940" w:type="pct"/>
          </w:tcPr>
          <w:p w14:paraId="2AD4F60F" w14:textId="77777777" w:rsidR="00473D46" w:rsidRPr="00097A86" w:rsidRDefault="00473D46" w:rsidP="00465C0B">
            <w:pPr>
              <w:pStyle w:val="Tabletext"/>
              <w:rPr>
                <w:snapToGrid w:val="0"/>
              </w:rPr>
            </w:pPr>
            <w:r w:rsidRPr="00097A86">
              <w:rPr>
                <w:snapToGrid w:val="0"/>
              </w:rPr>
              <w:t>33.1</w:t>
            </w:r>
          </w:p>
        </w:tc>
        <w:tc>
          <w:tcPr>
            <w:tcW w:w="578" w:type="pct"/>
          </w:tcPr>
          <w:p w14:paraId="46F07A6F" w14:textId="77777777" w:rsidR="00473D46" w:rsidRPr="00097A86" w:rsidRDefault="00473D46" w:rsidP="00465C0B">
            <w:pPr>
              <w:pStyle w:val="Tabletext"/>
              <w:rPr>
                <w:snapToGrid w:val="0"/>
              </w:rPr>
            </w:pPr>
            <w:r w:rsidRPr="00097A86">
              <w:rPr>
                <w:snapToGrid w:val="0"/>
              </w:rPr>
              <w:t>67.0</w:t>
            </w:r>
          </w:p>
        </w:tc>
        <w:tc>
          <w:tcPr>
            <w:tcW w:w="578" w:type="pct"/>
          </w:tcPr>
          <w:p w14:paraId="1295DE20" w14:textId="77777777" w:rsidR="00473D46" w:rsidRPr="00097A86" w:rsidRDefault="00473D46" w:rsidP="00465C0B">
            <w:pPr>
              <w:pStyle w:val="Tabletext"/>
              <w:rPr>
                <w:snapToGrid w:val="0"/>
              </w:rPr>
            </w:pPr>
            <w:r w:rsidRPr="00097A86">
              <w:rPr>
                <w:snapToGrid w:val="0"/>
              </w:rPr>
              <w:t>0.2</w:t>
            </w:r>
          </w:p>
        </w:tc>
        <w:tc>
          <w:tcPr>
            <w:tcW w:w="591" w:type="pct"/>
          </w:tcPr>
          <w:p w14:paraId="1A773763" w14:textId="77777777" w:rsidR="00473D46" w:rsidRPr="00097A86" w:rsidRDefault="00473D46" w:rsidP="00465C0B">
            <w:pPr>
              <w:pStyle w:val="Tabletext"/>
              <w:rPr>
                <w:snapToGrid w:val="0"/>
              </w:rPr>
            </w:pPr>
            <w:r w:rsidRPr="00097A86">
              <w:rPr>
                <w:snapToGrid w:val="0"/>
              </w:rPr>
              <w:t>0.2</w:t>
            </w:r>
          </w:p>
        </w:tc>
      </w:tr>
      <w:tr w:rsidR="00473D46" w:rsidRPr="00097A86" w14:paraId="5EDC1072" w14:textId="77777777" w:rsidTr="00C20CC2">
        <w:trPr>
          <w:cantSplit/>
        </w:trPr>
        <w:tc>
          <w:tcPr>
            <w:tcW w:w="396" w:type="pct"/>
          </w:tcPr>
          <w:p w14:paraId="5F47CD9C" w14:textId="77777777" w:rsidR="00473D46" w:rsidRPr="00097A86" w:rsidRDefault="00473D46" w:rsidP="00465C0B">
            <w:pPr>
              <w:pStyle w:val="Tabletext"/>
            </w:pPr>
            <w:r w:rsidRPr="00097A86">
              <w:t>37</w:t>
            </w:r>
          </w:p>
        </w:tc>
        <w:tc>
          <w:tcPr>
            <w:tcW w:w="1917" w:type="pct"/>
            <w:gridSpan w:val="2"/>
          </w:tcPr>
          <w:p w14:paraId="60A7B695" w14:textId="77777777" w:rsidR="00473D46" w:rsidRPr="00097A86" w:rsidRDefault="00473D46" w:rsidP="00465C0B">
            <w:pPr>
              <w:pStyle w:val="Tabletext"/>
            </w:pPr>
            <w:r w:rsidRPr="00097A86">
              <w:rPr>
                <w:snapToGrid w:val="0"/>
              </w:rPr>
              <w:t>Kerosene (other than for use as fuel in an aircraft)</w:t>
            </w:r>
          </w:p>
        </w:tc>
        <w:tc>
          <w:tcPr>
            <w:tcW w:w="940" w:type="pct"/>
          </w:tcPr>
          <w:p w14:paraId="1D1454F6" w14:textId="77777777" w:rsidR="00473D46" w:rsidRPr="00097A86" w:rsidRDefault="00473D46" w:rsidP="00465C0B">
            <w:pPr>
              <w:pStyle w:val="Tabletext"/>
              <w:rPr>
                <w:snapToGrid w:val="0"/>
              </w:rPr>
            </w:pPr>
            <w:r w:rsidRPr="00097A86">
              <w:rPr>
                <w:snapToGrid w:val="0"/>
              </w:rPr>
              <w:t>37.5</w:t>
            </w:r>
          </w:p>
        </w:tc>
        <w:tc>
          <w:tcPr>
            <w:tcW w:w="578" w:type="pct"/>
          </w:tcPr>
          <w:p w14:paraId="300C2B3F" w14:textId="77777777" w:rsidR="00473D46" w:rsidRPr="00097A86" w:rsidRDefault="00473D46" w:rsidP="00465C0B">
            <w:pPr>
              <w:pStyle w:val="Tabletext"/>
              <w:rPr>
                <w:snapToGrid w:val="0"/>
              </w:rPr>
            </w:pPr>
            <w:r w:rsidRPr="00097A86">
              <w:rPr>
                <w:snapToGrid w:val="0"/>
              </w:rPr>
              <w:t>68.9</w:t>
            </w:r>
          </w:p>
        </w:tc>
        <w:tc>
          <w:tcPr>
            <w:tcW w:w="578" w:type="pct"/>
          </w:tcPr>
          <w:p w14:paraId="5DE3ED78" w14:textId="77777777" w:rsidR="00473D46" w:rsidRPr="00097A86" w:rsidRDefault="00473D46" w:rsidP="00465C0B">
            <w:pPr>
              <w:pStyle w:val="Tabletext"/>
              <w:rPr>
                <w:snapToGrid w:val="0"/>
              </w:rPr>
            </w:pPr>
            <w:r w:rsidRPr="00097A86">
              <w:rPr>
                <w:snapToGrid w:val="0"/>
              </w:rPr>
              <w:t>0.0</w:t>
            </w:r>
          </w:p>
        </w:tc>
        <w:tc>
          <w:tcPr>
            <w:tcW w:w="591" w:type="pct"/>
          </w:tcPr>
          <w:p w14:paraId="0C1A0FC8" w14:textId="77777777" w:rsidR="00473D46" w:rsidRPr="00097A86" w:rsidRDefault="00473D46" w:rsidP="00465C0B">
            <w:pPr>
              <w:pStyle w:val="Tabletext"/>
              <w:rPr>
                <w:snapToGrid w:val="0"/>
              </w:rPr>
            </w:pPr>
            <w:r w:rsidRPr="00097A86">
              <w:rPr>
                <w:snapToGrid w:val="0"/>
              </w:rPr>
              <w:t>0.2</w:t>
            </w:r>
          </w:p>
        </w:tc>
      </w:tr>
      <w:tr w:rsidR="00473D46" w:rsidRPr="00097A86" w14:paraId="1A99D445" w14:textId="77777777" w:rsidTr="00C20CC2">
        <w:trPr>
          <w:cantSplit/>
        </w:trPr>
        <w:tc>
          <w:tcPr>
            <w:tcW w:w="396" w:type="pct"/>
          </w:tcPr>
          <w:p w14:paraId="3B6FC65F" w14:textId="77777777" w:rsidR="00473D46" w:rsidRPr="00097A86" w:rsidRDefault="00473D46" w:rsidP="00465C0B">
            <w:pPr>
              <w:pStyle w:val="Tabletext"/>
              <w:rPr>
                <w:snapToGrid w:val="0"/>
              </w:rPr>
            </w:pPr>
            <w:r w:rsidRPr="00097A86">
              <w:rPr>
                <w:snapToGrid w:val="0"/>
              </w:rPr>
              <w:t>38</w:t>
            </w:r>
          </w:p>
        </w:tc>
        <w:tc>
          <w:tcPr>
            <w:tcW w:w="1917" w:type="pct"/>
            <w:gridSpan w:val="2"/>
          </w:tcPr>
          <w:p w14:paraId="4A1A0600" w14:textId="77777777" w:rsidR="00473D46" w:rsidRPr="00097A86" w:rsidRDefault="00473D46" w:rsidP="00465C0B">
            <w:pPr>
              <w:pStyle w:val="Tabletext"/>
              <w:rPr>
                <w:snapToGrid w:val="0"/>
              </w:rPr>
            </w:pPr>
            <w:r w:rsidRPr="00097A86">
              <w:t>Kerosene for use as fuel in an aircraft</w:t>
            </w:r>
          </w:p>
        </w:tc>
        <w:tc>
          <w:tcPr>
            <w:tcW w:w="940" w:type="pct"/>
          </w:tcPr>
          <w:p w14:paraId="6364FF85" w14:textId="77777777" w:rsidR="00473D46" w:rsidRPr="00097A86" w:rsidRDefault="00473D46" w:rsidP="00465C0B">
            <w:pPr>
              <w:pStyle w:val="Tabletext"/>
              <w:rPr>
                <w:snapToGrid w:val="0"/>
              </w:rPr>
            </w:pPr>
            <w:r w:rsidRPr="00097A86">
              <w:rPr>
                <w:snapToGrid w:val="0"/>
              </w:rPr>
              <w:t>36.8</w:t>
            </w:r>
          </w:p>
        </w:tc>
        <w:tc>
          <w:tcPr>
            <w:tcW w:w="578" w:type="pct"/>
          </w:tcPr>
          <w:p w14:paraId="34AB8322" w14:textId="77777777" w:rsidR="00473D46" w:rsidRPr="00097A86" w:rsidRDefault="00473D46" w:rsidP="00465C0B">
            <w:pPr>
              <w:pStyle w:val="Tabletext"/>
              <w:rPr>
                <w:snapToGrid w:val="0"/>
              </w:rPr>
            </w:pPr>
            <w:r w:rsidRPr="00097A86">
              <w:rPr>
                <w:snapToGrid w:val="0"/>
              </w:rPr>
              <w:t>69.6</w:t>
            </w:r>
          </w:p>
        </w:tc>
        <w:tc>
          <w:tcPr>
            <w:tcW w:w="578" w:type="pct"/>
          </w:tcPr>
          <w:p w14:paraId="32D285D2" w14:textId="77777777" w:rsidR="00473D46" w:rsidRPr="00097A86" w:rsidRDefault="00473D46" w:rsidP="00465C0B">
            <w:pPr>
              <w:pStyle w:val="Tabletext"/>
              <w:rPr>
                <w:snapToGrid w:val="0"/>
              </w:rPr>
            </w:pPr>
            <w:r w:rsidRPr="00097A86">
              <w:rPr>
                <w:snapToGrid w:val="0"/>
              </w:rPr>
              <w:t>0.02</w:t>
            </w:r>
          </w:p>
        </w:tc>
        <w:tc>
          <w:tcPr>
            <w:tcW w:w="591" w:type="pct"/>
          </w:tcPr>
          <w:p w14:paraId="5164944B" w14:textId="77777777" w:rsidR="00473D46" w:rsidRPr="00097A86" w:rsidRDefault="00473D46" w:rsidP="00465C0B">
            <w:pPr>
              <w:pStyle w:val="Tabletext"/>
              <w:rPr>
                <w:snapToGrid w:val="0"/>
              </w:rPr>
            </w:pPr>
            <w:r w:rsidRPr="00097A86">
              <w:rPr>
                <w:snapToGrid w:val="0"/>
              </w:rPr>
              <w:t>0.2</w:t>
            </w:r>
          </w:p>
        </w:tc>
      </w:tr>
      <w:tr w:rsidR="00473D46" w:rsidRPr="00097A86" w14:paraId="572B324D" w14:textId="77777777" w:rsidTr="00C20CC2">
        <w:trPr>
          <w:cantSplit/>
        </w:trPr>
        <w:tc>
          <w:tcPr>
            <w:tcW w:w="396" w:type="pct"/>
          </w:tcPr>
          <w:p w14:paraId="1A71186F" w14:textId="77777777" w:rsidR="00473D46" w:rsidRPr="00097A86" w:rsidRDefault="00473D46" w:rsidP="00465C0B">
            <w:pPr>
              <w:pStyle w:val="Tabletext"/>
              <w:rPr>
                <w:snapToGrid w:val="0"/>
              </w:rPr>
            </w:pPr>
            <w:r w:rsidRPr="00097A86">
              <w:rPr>
                <w:snapToGrid w:val="0"/>
              </w:rPr>
              <w:t>39</w:t>
            </w:r>
          </w:p>
        </w:tc>
        <w:tc>
          <w:tcPr>
            <w:tcW w:w="1917" w:type="pct"/>
            <w:gridSpan w:val="2"/>
          </w:tcPr>
          <w:p w14:paraId="7FC32B18" w14:textId="77777777" w:rsidR="00473D46" w:rsidRPr="00097A86" w:rsidRDefault="00473D46" w:rsidP="00465C0B">
            <w:pPr>
              <w:pStyle w:val="Tabletext"/>
              <w:rPr>
                <w:snapToGrid w:val="0"/>
              </w:rPr>
            </w:pPr>
            <w:r w:rsidRPr="00097A86">
              <w:rPr>
                <w:snapToGrid w:val="0"/>
              </w:rPr>
              <w:t>Heating oil</w:t>
            </w:r>
          </w:p>
        </w:tc>
        <w:tc>
          <w:tcPr>
            <w:tcW w:w="940" w:type="pct"/>
          </w:tcPr>
          <w:p w14:paraId="7D593093" w14:textId="77777777" w:rsidR="00473D46" w:rsidRPr="00097A86" w:rsidRDefault="00473D46" w:rsidP="00465C0B">
            <w:pPr>
              <w:pStyle w:val="Tabletext"/>
              <w:rPr>
                <w:snapToGrid w:val="0"/>
              </w:rPr>
            </w:pPr>
            <w:r w:rsidRPr="00097A86">
              <w:rPr>
                <w:snapToGrid w:val="0"/>
              </w:rPr>
              <w:t>37.3</w:t>
            </w:r>
          </w:p>
        </w:tc>
        <w:tc>
          <w:tcPr>
            <w:tcW w:w="578" w:type="pct"/>
          </w:tcPr>
          <w:p w14:paraId="61A97727" w14:textId="77777777" w:rsidR="00473D46" w:rsidRPr="00097A86" w:rsidRDefault="00473D46" w:rsidP="00465C0B">
            <w:pPr>
              <w:pStyle w:val="Tabletext"/>
              <w:rPr>
                <w:snapToGrid w:val="0"/>
              </w:rPr>
            </w:pPr>
            <w:r w:rsidRPr="00097A86">
              <w:rPr>
                <w:snapToGrid w:val="0"/>
              </w:rPr>
              <w:t>69.5</w:t>
            </w:r>
          </w:p>
        </w:tc>
        <w:tc>
          <w:tcPr>
            <w:tcW w:w="578" w:type="pct"/>
          </w:tcPr>
          <w:p w14:paraId="3D4D07D5" w14:textId="77777777" w:rsidR="00473D46" w:rsidRPr="00097A86" w:rsidRDefault="00473D46" w:rsidP="00465C0B">
            <w:pPr>
              <w:pStyle w:val="Tabletext"/>
              <w:rPr>
                <w:snapToGrid w:val="0"/>
              </w:rPr>
            </w:pPr>
            <w:r w:rsidRPr="00097A86">
              <w:rPr>
                <w:snapToGrid w:val="0"/>
              </w:rPr>
              <w:t>0.03</w:t>
            </w:r>
          </w:p>
        </w:tc>
        <w:tc>
          <w:tcPr>
            <w:tcW w:w="591" w:type="pct"/>
          </w:tcPr>
          <w:p w14:paraId="4F324919" w14:textId="77777777" w:rsidR="00473D46" w:rsidRPr="00097A86" w:rsidRDefault="00473D46" w:rsidP="00465C0B">
            <w:pPr>
              <w:pStyle w:val="Tabletext"/>
              <w:rPr>
                <w:snapToGrid w:val="0"/>
              </w:rPr>
            </w:pPr>
            <w:r w:rsidRPr="00097A86">
              <w:rPr>
                <w:snapToGrid w:val="0"/>
              </w:rPr>
              <w:t>0.2</w:t>
            </w:r>
          </w:p>
        </w:tc>
      </w:tr>
      <w:tr w:rsidR="00473D46" w:rsidRPr="00097A86" w14:paraId="3FA3B1BE" w14:textId="77777777" w:rsidTr="00C20CC2">
        <w:trPr>
          <w:cantSplit/>
        </w:trPr>
        <w:tc>
          <w:tcPr>
            <w:tcW w:w="396" w:type="pct"/>
          </w:tcPr>
          <w:p w14:paraId="2F35953B" w14:textId="77777777" w:rsidR="00473D46" w:rsidRPr="00097A86" w:rsidRDefault="00473D46" w:rsidP="00465C0B">
            <w:pPr>
              <w:pStyle w:val="Tabletext"/>
              <w:rPr>
                <w:snapToGrid w:val="0"/>
              </w:rPr>
            </w:pPr>
            <w:r w:rsidRPr="00097A86">
              <w:rPr>
                <w:snapToGrid w:val="0"/>
              </w:rPr>
              <w:t>40</w:t>
            </w:r>
          </w:p>
        </w:tc>
        <w:tc>
          <w:tcPr>
            <w:tcW w:w="1917" w:type="pct"/>
            <w:gridSpan w:val="2"/>
          </w:tcPr>
          <w:p w14:paraId="35AAC96F" w14:textId="77777777" w:rsidR="00473D46" w:rsidRPr="00097A86" w:rsidRDefault="00473D46" w:rsidP="00465C0B">
            <w:pPr>
              <w:pStyle w:val="Tabletext"/>
              <w:rPr>
                <w:snapToGrid w:val="0"/>
              </w:rPr>
            </w:pPr>
            <w:r w:rsidRPr="00097A86">
              <w:rPr>
                <w:snapToGrid w:val="0"/>
              </w:rPr>
              <w:t>Diesel oil</w:t>
            </w:r>
          </w:p>
        </w:tc>
        <w:tc>
          <w:tcPr>
            <w:tcW w:w="940" w:type="pct"/>
          </w:tcPr>
          <w:p w14:paraId="73FE685C" w14:textId="77777777" w:rsidR="00473D46" w:rsidRPr="00097A86" w:rsidRDefault="00473D46" w:rsidP="00465C0B">
            <w:pPr>
              <w:pStyle w:val="Tabletext"/>
              <w:rPr>
                <w:snapToGrid w:val="0"/>
              </w:rPr>
            </w:pPr>
            <w:r w:rsidRPr="00097A86">
              <w:rPr>
                <w:snapToGrid w:val="0"/>
              </w:rPr>
              <w:t>38.6</w:t>
            </w:r>
          </w:p>
        </w:tc>
        <w:tc>
          <w:tcPr>
            <w:tcW w:w="578" w:type="pct"/>
          </w:tcPr>
          <w:p w14:paraId="01F684BE" w14:textId="77777777" w:rsidR="00473D46" w:rsidRPr="00097A86" w:rsidRDefault="00473D46" w:rsidP="00465C0B">
            <w:pPr>
              <w:pStyle w:val="Tabletext"/>
              <w:rPr>
                <w:snapToGrid w:val="0"/>
              </w:rPr>
            </w:pPr>
            <w:r w:rsidRPr="00097A86">
              <w:rPr>
                <w:snapToGrid w:val="0"/>
              </w:rPr>
              <w:t>69.9</w:t>
            </w:r>
          </w:p>
        </w:tc>
        <w:tc>
          <w:tcPr>
            <w:tcW w:w="578" w:type="pct"/>
          </w:tcPr>
          <w:p w14:paraId="694F0F1D" w14:textId="77777777" w:rsidR="00473D46" w:rsidRPr="00097A86" w:rsidRDefault="00473D46" w:rsidP="00465C0B">
            <w:pPr>
              <w:pStyle w:val="Tabletext"/>
              <w:rPr>
                <w:snapToGrid w:val="0"/>
              </w:rPr>
            </w:pPr>
            <w:r w:rsidRPr="00097A86">
              <w:rPr>
                <w:snapToGrid w:val="0"/>
              </w:rPr>
              <w:t>0.1</w:t>
            </w:r>
          </w:p>
        </w:tc>
        <w:tc>
          <w:tcPr>
            <w:tcW w:w="591" w:type="pct"/>
          </w:tcPr>
          <w:p w14:paraId="1903BE2E" w14:textId="77777777" w:rsidR="00473D46" w:rsidRPr="00097A86" w:rsidRDefault="00473D46" w:rsidP="00465C0B">
            <w:pPr>
              <w:pStyle w:val="Tabletext"/>
              <w:rPr>
                <w:snapToGrid w:val="0"/>
              </w:rPr>
            </w:pPr>
            <w:r w:rsidRPr="00097A86">
              <w:rPr>
                <w:snapToGrid w:val="0"/>
              </w:rPr>
              <w:t>0.2</w:t>
            </w:r>
          </w:p>
        </w:tc>
      </w:tr>
      <w:tr w:rsidR="00473D46" w:rsidRPr="00097A86" w14:paraId="6274948D" w14:textId="77777777" w:rsidTr="00C20CC2">
        <w:trPr>
          <w:cantSplit/>
        </w:trPr>
        <w:tc>
          <w:tcPr>
            <w:tcW w:w="396" w:type="pct"/>
          </w:tcPr>
          <w:p w14:paraId="05E6A75C" w14:textId="77777777" w:rsidR="00473D46" w:rsidRPr="00097A86" w:rsidRDefault="00473D46" w:rsidP="00465C0B">
            <w:pPr>
              <w:pStyle w:val="Tabletext"/>
              <w:rPr>
                <w:snapToGrid w:val="0"/>
              </w:rPr>
            </w:pPr>
            <w:r w:rsidRPr="00097A86">
              <w:rPr>
                <w:snapToGrid w:val="0"/>
              </w:rPr>
              <w:t>41</w:t>
            </w:r>
          </w:p>
        </w:tc>
        <w:tc>
          <w:tcPr>
            <w:tcW w:w="1917" w:type="pct"/>
            <w:gridSpan w:val="2"/>
          </w:tcPr>
          <w:p w14:paraId="7CAF2605" w14:textId="77777777" w:rsidR="00473D46" w:rsidRPr="00097A86" w:rsidRDefault="00473D46" w:rsidP="00465C0B">
            <w:pPr>
              <w:pStyle w:val="Tabletext"/>
              <w:rPr>
                <w:snapToGrid w:val="0"/>
              </w:rPr>
            </w:pPr>
            <w:r w:rsidRPr="00097A86">
              <w:rPr>
                <w:snapToGrid w:val="0"/>
              </w:rPr>
              <w:t>Fuel oil</w:t>
            </w:r>
          </w:p>
        </w:tc>
        <w:tc>
          <w:tcPr>
            <w:tcW w:w="940" w:type="pct"/>
          </w:tcPr>
          <w:p w14:paraId="66529775" w14:textId="77777777" w:rsidR="00473D46" w:rsidRPr="00097A86" w:rsidRDefault="00473D46" w:rsidP="00465C0B">
            <w:pPr>
              <w:pStyle w:val="Tabletext"/>
              <w:rPr>
                <w:snapToGrid w:val="0"/>
              </w:rPr>
            </w:pPr>
            <w:r w:rsidRPr="00097A86">
              <w:rPr>
                <w:snapToGrid w:val="0"/>
              </w:rPr>
              <w:t>39.7</w:t>
            </w:r>
          </w:p>
        </w:tc>
        <w:tc>
          <w:tcPr>
            <w:tcW w:w="578" w:type="pct"/>
          </w:tcPr>
          <w:p w14:paraId="09895746" w14:textId="77777777" w:rsidR="00473D46" w:rsidRPr="00097A86" w:rsidRDefault="00473D46" w:rsidP="00465C0B">
            <w:pPr>
              <w:pStyle w:val="Tabletext"/>
              <w:rPr>
                <w:snapToGrid w:val="0"/>
              </w:rPr>
            </w:pPr>
            <w:r w:rsidRPr="00097A86">
              <w:rPr>
                <w:snapToGrid w:val="0"/>
              </w:rPr>
              <w:t>73.6</w:t>
            </w:r>
          </w:p>
        </w:tc>
        <w:tc>
          <w:tcPr>
            <w:tcW w:w="578" w:type="pct"/>
          </w:tcPr>
          <w:p w14:paraId="74E5BDE4" w14:textId="77777777" w:rsidR="00473D46" w:rsidRPr="00097A86" w:rsidRDefault="00473D46" w:rsidP="00465C0B">
            <w:pPr>
              <w:pStyle w:val="Tabletext"/>
              <w:rPr>
                <w:snapToGrid w:val="0"/>
              </w:rPr>
            </w:pPr>
            <w:r w:rsidRPr="00097A86">
              <w:rPr>
                <w:snapToGrid w:val="0"/>
              </w:rPr>
              <w:t>0.04</w:t>
            </w:r>
          </w:p>
        </w:tc>
        <w:tc>
          <w:tcPr>
            <w:tcW w:w="591" w:type="pct"/>
          </w:tcPr>
          <w:p w14:paraId="2CB2CD23" w14:textId="77777777" w:rsidR="00473D46" w:rsidRPr="00097A86" w:rsidRDefault="00473D46" w:rsidP="00465C0B">
            <w:pPr>
              <w:pStyle w:val="Tabletext"/>
              <w:rPr>
                <w:snapToGrid w:val="0"/>
              </w:rPr>
            </w:pPr>
            <w:r w:rsidRPr="00097A86">
              <w:rPr>
                <w:snapToGrid w:val="0"/>
              </w:rPr>
              <w:t>0.2</w:t>
            </w:r>
          </w:p>
        </w:tc>
      </w:tr>
      <w:tr w:rsidR="00473D46" w:rsidRPr="00097A86" w14:paraId="14245EDF" w14:textId="77777777" w:rsidTr="00C20CC2">
        <w:trPr>
          <w:cantSplit/>
        </w:trPr>
        <w:tc>
          <w:tcPr>
            <w:tcW w:w="396" w:type="pct"/>
          </w:tcPr>
          <w:p w14:paraId="2D73C116" w14:textId="77777777" w:rsidR="00473D46" w:rsidRPr="00097A86" w:rsidRDefault="00473D46" w:rsidP="00465C0B">
            <w:pPr>
              <w:pStyle w:val="Tabletext"/>
              <w:rPr>
                <w:snapToGrid w:val="0"/>
              </w:rPr>
            </w:pPr>
            <w:r w:rsidRPr="00097A86">
              <w:rPr>
                <w:snapToGrid w:val="0"/>
              </w:rPr>
              <w:t>42</w:t>
            </w:r>
          </w:p>
        </w:tc>
        <w:tc>
          <w:tcPr>
            <w:tcW w:w="1917" w:type="pct"/>
            <w:gridSpan w:val="2"/>
          </w:tcPr>
          <w:p w14:paraId="4CC336FE" w14:textId="77777777" w:rsidR="00473D46" w:rsidRPr="00097A86" w:rsidRDefault="00473D46" w:rsidP="00465C0B">
            <w:pPr>
              <w:pStyle w:val="Tabletext"/>
              <w:rPr>
                <w:snapToGrid w:val="0"/>
              </w:rPr>
            </w:pPr>
            <w:r w:rsidRPr="00097A86">
              <w:rPr>
                <w:snapToGrid w:val="0"/>
              </w:rPr>
              <w:t>Liquefied aromatic hydrocarbons</w:t>
            </w:r>
          </w:p>
        </w:tc>
        <w:tc>
          <w:tcPr>
            <w:tcW w:w="940" w:type="pct"/>
          </w:tcPr>
          <w:p w14:paraId="78218B7B" w14:textId="77777777" w:rsidR="00473D46" w:rsidRPr="00097A86" w:rsidRDefault="00473D46" w:rsidP="00465C0B">
            <w:pPr>
              <w:pStyle w:val="Tabletext"/>
              <w:rPr>
                <w:snapToGrid w:val="0"/>
              </w:rPr>
            </w:pPr>
            <w:r w:rsidRPr="00097A86">
              <w:rPr>
                <w:snapToGrid w:val="0"/>
              </w:rPr>
              <w:t>34.4</w:t>
            </w:r>
          </w:p>
        </w:tc>
        <w:tc>
          <w:tcPr>
            <w:tcW w:w="578" w:type="pct"/>
          </w:tcPr>
          <w:p w14:paraId="39F0EC63" w14:textId="77777777" w:rsidR="00473D46" w:rsidRPr="00097A86" w:rsidRDefault="00473D46" w:rsidP="00465C0B">
            <w:pPr>
              <w:pStyle w:val="Tabletext"/>
              <w:rPr>
                <w:snapToGrid w:val="0"/>
              </w:rPr>
            </w:pPr>
            <w:r w:rsidRPr="00097A86">
              <w:rPr>
                <w:snapToGrid w:val="0"/>
              </w:rPr>
              <w:t>69.7</w:t>
            </w:r>
          </w:p>
        </w:tc>
        <w:tc>
          <w:tcPr>
            <w:tcW w:w="578" w:type="pct"/>
          </w:tcPr>
          <w:p w14:paraId="6AA971CC" w14:textId="77777777" w:rsidR="00473D46" w:rsidRPr="00097A86" w:rsidRDefault="00473D46" w:rsidP="00465C0B">
            <w:pPr>
              <w:pStyle w:val="Tabletext"/>
              <w:rPr>
                <w:snapToGrid w:val="0"/>
              </w:rPr>
            </w:pPr>
            <w:r w:rsidRPr="00097A86">
              <w:rPr>
                <w:snapToGrid w:val="0"/>
              </w:rPr>
              <w:t>0.02</w:t>
            </w:r>
          </w:p>
        </w:tc>
        <w:tc>
          <w:tcPr>
            <w:tcW w:w="591" w:type="pct"/>
          </w:tcPr>
          <w:p w14:paraId="017F852A" w14:textId="77777777" w:rsidR="00473D46" w:rsidRPr="00097A86" w:rsidRDefault="00473D46" w:rsidP="00465C0B">
            <w:pPr>
              <w:pStyle w:val="Tabletext"/>
              <w:rPr>
                <w:snapToGrid w:val="0"/>
              </w:rPr>
            </w:pPr>
            <w:r w:rsidRPr="00097A86">
              <w:rPr>
                <w:snapToGrid w:val="0"/>
              </w:rPr>
              <w:t>0.2</w:t>
            </w:r>
          </w:p>
        </w:tc>
      </w:tr>
      <w:tr w:rsidR="00473D46" w:rsidRPr="00097A86" w14:paraId="5685B81E" w14:textId="77777777" w:rsidTr="00C20CC2">
        <w:trPr>
          <w:cantSplit/>
        </w:trPr>
        <w:tc>
          <w:tcPr>
            <w:tcW w:w="396" w:type="pct"/>
          </w:tcPr>
          <w:p w14:paraId="525856D8" w14:textId="77777777" w:rsidR="00473D46" w:rsidRPr="00097A86" w:rsidRDefault="00473D46" w:rsidP="00465C0B">
            <w:pPr>
              <w:pStyle w:val="Tabletext"/>
              <w:rPr>
                <w:snapToGrid w:val="0"/>
              </w:rPr>
            </w:pPr>
            <w:r w:rsidRPr="00097A86">
              <w:rPr>
                <w:snapToGrid w:val="0"/>
              </w:rPr>
              <w:t>43</w:t>
            </w:r>
          </w:p>
        </w:tc>
        <w:tc>
          <w:tcPr>
            <w:tcW w:w="1917" w:type="pct"/>
            <w:gridSpan w:val="2"/>
          </w:tcPr>
          <w:p w14:paraId="22088CE7" w14:textId="77777777" w:rsidR="00473D46" w:rsidRPr="00097A86" w:rsidRDefault="00473D46" w:rsidP="00465C0B">
            <w:pPr>
              <w:pStyle w:val="Tabletext"/>
              <w:rPr>
                <w:snapToGrid w:val="0"/>
              </w:rPr>
            </w:pPr>
            <w:r w:rsidRPr="00097A86">
              <w:rPr>
                <w:snapToGrid w:val="0"/>
              </w:rPr>
              <w:t>Solvents if mineral turpentine or white spirits</w:t>
            </w:r>
          </w:p>
        </w:tc>
        <w:tc>
          <w:tcPr>
            <w:tcW w:w="940" w:type="pct"/>
          </w:tcPr>
          <w:p w14:paraId="3D122F6B" w14:textId="77777777" w:rsidR="00473D46" w:rsidRPr="00097A86" w:rsidRDefault="00473D46" w:rsidP="00465C0B">
            <w:pPr>
              <w:pStyle w:val="Tabletext"/>
              <w:rPr>
                <w:snapToGrid w:val="0"/>
              </w:rPr>
            </w:pPr>
            <w:r w:rsidRPr="00097A86">
              <w:rPr>
                <w:snapToGrid w:val="0"/>
              </w:rPr>
              <w:t>34.4</w:t>
            </w:r>
          </w:p>
        </w:tc>
        <w:tc>
          <w:tcPr>
            <w:tcW w:w="578" w:type="pct"/>
          </w:tcPr>
          <w:p w14:paraId="7DB1E9DE" w14:textId="77777777" w:rsidR="00473D46" w:rsidRPr="00097A86" w:rsidRDefault="00473D46" w:rsidP="00465C0B">
            <w:pPr>
              <w:pStyle w:val="Tabletext"/>
              <w:rPr>
                <w:snapToGrid w:val="0"/>
              </w:rPr>
            </w:pPr>
            <w:r w:rsidRPr="00097A86">
              <w:rPr>
                <w:snapToGrid w:val="0"/>
              </w:rPr>
              <w:t>69.7</w:t>
            </w:r>
          </w:p>
        </w:tc>
        <w:tc>
          <w:tcPr>
            <w:tcW w:w="578" w:type="pct"/>
          </w:tcPr>
          <w:p w14:paraId="2D65ED39" w14:textId="77777777" w:rsidR="00473D46" w:rsidRPr="00097A86" w:rsidRDefault="00473D46" w:rsidP="00465C0B">
            <w:pPr>
              <w:pStyle w:val="Tabletext"/>
              <w:rPr>
                <w:snapToGrid w:val="0"/>
              </w:rPr>
            </w:pPr>
            <w:r w:rsidRPr="00097A86">
              <w:rPr>
                <w:snapToGrid w:val="0"/>
              </w:rPr>
              <w:t>0.02</w:t>
            </w:r>
          </w:p>
        </w:tc>
        <w:tc>
          <w:tcPr>
            <w:tcW w:w="591" w:type="pct"/>
          </w:tcPr>
          <w:p w14:paraId="3A4A7C0C" w14:textId="77777777" w:rsidR="00473D46" w:rsidRPr="00097A86" w:rsidRDefault="00473D46" w:rsidP="00465C0B">
            <w:pPr>
              <w:pStyle w:val="Tabletext"/>
              <w:rPr>
                <w:snapToGrid w:val="0"/>
              </w:rPr>
            </w:pPr>
            <w:r w:rsidRPr="00097A86">
              <w:rPr>
                <w:snapToGrid w:val="0"/>
              </w:rPr>
              <w:t>0.2</w:t>
            </w:r>
          </w:p>
        </w:tc>
      </w:tr>
      <w:tr w:rsidR="00473D46" w:rsidRPr="00097A86" w14:paraId="268835B8" w14:textId="77777777" w:rsidTr="00C20CC2">
        <w:trPr>
          <w:cantSplit/>
        </w:trPr>
        <w:tc>
          <w:tcPr>
            <w:tcW w:w="396" w:type="pct"/>
          </w:tcPr>
          <w:p w14:paraId="62F535FB" w14:textId="77777777" w:rsidR="00473D46" w:rsidRPr="00097A86" w:rsidRDefault="00473D46" w:rsidP="00465C0B">
            <w:pPr>
              <w:pStyle w:val="Tabletext"/>
            </w:pPr>
            <w:r w:rsidRPr="00097A86">
              <w:t>44</w:t>
            </w:r>
          </w:p>
        </w:tc>
        <w:tc>
          <w:tcPr>
            <w:tcW w:w="1917" w:type="pct"/>
            <w:gridSpan w:val="2"/>
          </w:tcPr>
          <w:p w14:paraId="7424CB47" w14:textId="77777777" w:rsidR="00473D46" w:rsidRPr="00097A86" w:rsidRDefault="00473D46" w:rsidP="00465C0B">
            <w:pPr>
              <w:pStyle w:val="Tabletext"/>
            </w:pPr>
            <w:r w:rsidRPr="00097A86">
              <w:t>Liquefied petroleum gas</w:t>
            </w:r>
          </w:p>
        </w:tc>
        <w:tc>
          <w:tcPr>
            <w:tcW w:w="940" w:type="pct"/>
          </w:tcPr>
          <w:p w14:paraId="42974E9D" w14:textId="77777777" w:rsidR="00473D46" w:rsidRPr="00097A86" w:rsidRDefault="00473D46" w:rsidP="00465C0B">
            <w:pPr>
              <w:pStyle w:val="Tabletext"/>
              <w:rPr>
                <w:snapToGrid w:val="0"/>
              </w:rPr>
            </w:pPr>
            <w:r w:rsidRPr="00097A86">
              <w:rPr>
                <w:snapToGrid w:val="0"/>
              </w:rPr>
              <w:t>25.7</w:t>
            </w:r>
          </w:p>
        </w:tc>
        <w:tc>
          <w:tcPr>
            <w:tcW w:w="578" w:type="pct"/>
          </w:tcPr>
          <w:p w14:paraId="41AFC58F" w14:textId="77777777" w:rsidR="00473D46" w:rsidRPr="00097A86" w:rsidRDefault="00473D46" w:rsidP="00465C0B">
            <w:pPr>
              <w:pStyle w:val="Tabletext"/>
              <w:rPr>
                <w:snapToGrid w:val="0"/>
              </w:rPr>
            </w:pPr>
            <w:r w:rsidRPr="00097A86">
              <w:rPr>
                <w:snapToGrid w:val="0"/>
              </w:rPr>
              <w:t>60.2</w:t>
            </w:r>
          </w:p>
        </w:tc>
        <w:tc>
          <w:tcPr>
            <w:tcW w:w="578" w:type="pct"/>
          </w:tcPr>
          <w:p w14:paraId="0F3AE7B4" w14:textId="77777777" w:rsidR="00473D46" w:rsidRPr="00097A86" w:rsidRDefault="00473D46" w:rsidP="00465C0B">
            <w:pPr>
              <w:pStyle w:val="Tabletext"/>
              <w:rPr>
                <w:snapToGrid w:val="0"/>
              </w:rPr>
            </w:pPr>
            <w:r w:rsidRPr="00097A86">
              <w:rPr>
                <w:snapToGrid w:val="0"/>
              </w:rPr>
              <w:t>0.2</w:t>
            </w:r>
          </w:p>
        </w:tc>
        <w:tc>
          <w:tcPr>
            <w:tcW w:w="591" w:type="pct"/>
          </w:tcPr>
          <w:p w14:paraId="61D79551" w14:textId="77777777" w:rsidR="00473D46" w:rsidRPr="00097A86" w:rsidRDefault="00473D46" w:rsidP="00465C0B">
            <w:pPr>
              <w:pStyle w:val="Tabletext"/>
              <w:rPr>
                <w:snapToGrid w:val="0"/>
              </w:rPr>
            </w:pPr>
            <w:r w:rsidRPr="00097A86">
              <w:rPr>
                <w:snapToGrid w:val="0"/>
              </w:rPr>
              <w:t>0.2</w:t>
            </w:r>
          </w:p>
        </w:tc>
      </w:tr>
      <w:tr w:rsidR="00473D46" w:rsidRPr="00097A86" w14:paraId="509C11EA" w14:textId="77777777" w:rsidTr="00C20CC2">
        <w:trPr>
          <w:cantSplit/>
        </w:trPr>
        <w:tc>
          <w:tcPr>
            <w:tcW w:w="396" w:type="pct"/>
          </w:tcPr>
          <w:p w14:paraId="52819FE5" w14:textId="77777777" w:rsidR="00473D46" w:rsidRPr="00097A86" w:rsidRDefault="00473D46" w:rsidP="00465C0B">
            <w:pPr>
              <w:pStyle w:val="Tabletext"/>
            </w:pPr>
            <w:r w:rsidRPr="00097A86">
              <w:t>45</w:t>
            </w:r>
          </w:p>
        </w:tc>
        <w:tc>
          <w:tcPr>
            <w:tcW w:w="1917" w:type="pct"/>
            <w:gridSpan w:val="2"/>
          </w:tcPr>
          <w:p w14:paraId="51DFFC0B" w14:textId="77777777" w:rsidR="00473D46" w:rsidRPr="00097A86" w:rsidRDefault="00473D46" w:rsidP="00465C0B">
            <w:pPr>
              <w:pStyle w:val="Tabletext"/>
            </w:pPr>
            <w:r w:rsidRPr="00097A86">
              <w:t>Naphtha</w:t>
            </w:r>
          </w:p>
        </w:tc>
        <w:tc>
          <w:tcPr>
            <w:tcW w:w="940" w:type="pct"/>
          </w:tcPr>
          <w:p w14:paraId="18D50266" w14:textId="77777777" w:rsidR="00473D46" w:rsidRPr="00097A86" w:rsidRDefault="00473D46" w:rsidP="00465C0B">
            <w:pPr>
              <w:pStyle w:val="Tabletext"/>
              <w:rPr>
                <w:snapToGrid w:val="0"/>
              </w:rPr>
            </w:pPr>
            <w:r w:rsidRPr="00097A86">
              <w:rPr>
                <w:snapToGrid w:val="0"/>
              </w:rPr>
              <w:t>31.4</w:t>
            </w:r>
          </w:p>
        </w:tc>
        <w:tc>
          <w:tcPr>
            <w:tcW w:w="578" w:type="pct"/>
          </w:tcPr>
          <w:p w14:paraId="3EC9B2B6" w14:textId="77777777" w:rsidR="00473D46" w:rsidRPr="00097A86" w:rsidRDefault="00473D46" w:rsidP="00465C0B">
            <w:pPr>
              <w:pStyle w:val="Tabletext"/>
              <w:rPr>
                <w:snapToGrid w:val="0"/>
              </w:rPr>
            </w:pPr>
            <w:r w:rsidRPr="00097A86">
              <w:rPr>
                <w:snapToGrid w:val="0"/>
              </w:rPr>
              <w:t>69.8</w:t>
            </w:r>
          </w:p>
        </w:tc>
        <w:tc>
          <w:tcPr>
            <w:tcW w:w="578" w:type="pct"/>
          </w:tcPr>
          <w:p w14:paraId="5AD9B7AC" w14:textId="77777777" w:rsidR="00473D46" w:rsidRPr="00097A86" w:rsidRDefault="00473D46" w:rsidP="00465C0B">
            <w:pPr>
              <w:pStyle w:val="Tabletext"/>
              <w:rPr>
                <w:snapToGrid w:val="0"/>
              </w:rPr>
            </w:pPr>
            <w:r w:rsidRPr="00097A86">
              <w:rPr>
                <w:snapToGrid w:val="0"/>
              </w:rPr>
              <w:t>0.00</w:t>
            </w:r>
          </w:p>
        </w:tc>
        <w:tc>
          <w:tcPr>
            <w:tcW w:w="591" w:type="pct"/>
          </w:tcPr>
          <w:p w14:paraId="6D682D3B" w14:textId="77777777" w:rsidR="00473D46" w:rsidRPr="00097A86" w:rsidRDefault="00473D46" w:rsidP="00465C0B">
            <w:pPr>
              <w:pStyle w:val="Tabletext"/>
              <w:rPr>
                <w:snapToGrid w:val="0"/>
              </w:rPr>
            </w:pPr>
            <w:r w:rsidRPr="00097A86">
              <w:rPr>
                <w:snapToGrid w:val="0"/>
              </w:rPr>
              <w:t>0.01</w:t>
            </w:r>
          </w:p>
        </w:tc>
      </w:tr>
      <w:tr w:rsidR="00473D46" w:rsidRPr="00097A86" w14:paraId="5A3C4575" w14:textId="77777777" w:rsidTr="00C20CC2">
        <w:trPr>
          <w:cantSplit/>
        </w:trPr>
        <w:tc>
          <w:tcPr>
            <w:tcW w:w="396" w:type="pct"/>
          </w:tcPr>
          <w:p w14:paraId="0E6823FD" w14:textId="77777777" w:rsidR="00473D46" w:rsidRPr="00097A86" w:rsidRDefault="00473D46" w:rsidP="00465C0B">
            <w:pPr>
              <w:pStyle w:val="Tabletext"/>
              <w:rPr>
                <w:snapToGrid w:val="0"/>
              </w:rPr>
            </w:pPr>
            <w:r w:rsidRPr="00097A86">
              <w:rPr>
                <w:snapToGrid w:val="0"/>
              </w:rPr>
              <w:t>46</w:t>
            </w:r>
          </w:p>
        </w:tc>
        <w:tc>
          <w:tcPr>
            <w:tcW w:w="1917" w:type="pct"/>
            <w:gridSpan w:val="2"/>
          </w:tcPr>
          <w:p w14:paraId="4C395C8D" w14:textId="77777777" w:rsidR="00473D46" w:rsidRPr="00097A86" w:rsidRDefault="00473D46" w:rsidP="00465C0B">
            <w:pPr>
              <w:pStyle w:val="Tabletext"/>
              <w:rPr>
                <w:snapToGrid w:val="0"/>
              </w:rPr>
            </w:pPr>
            <w:r w:rsidRPr="00097A86">
              <w:rPr>
                <w:snapToGrid w:val="0"/>
              </w:rPr>
              <w:t>Petroleum coke</w:t>
            </w:r>
          </w:p>
        </w:tc>
        <w:tc>
          <w:tcPr>
            <w:tcW w:w="940" w:type="pct"/>
          </w:tcPr>
          <w:p w14:paraId="4FA07D8A" w14:textId="77777777" w:rsidR="00473D46" w:rsidRPr="00097A86" w:rsidRDefault="00473D46" w:rsidP="00465C0B">
            <w:pPr>
              <w:pStyle w:val="Tabletext"/>
              <w:rPr>
                <w:snapToGrid w:val="0"/>
              </w:rPr>
            </w:pPr>
            <w:r w:rsidRPr="00097A86">
              <w:rPr>
                <w:snapToGrid w:val="0"/>
              </w:rPr>
              <w:t>34.2 GJ/t</w:t>
            </w:r>
          </w:p>
        </w:tc>
        <w:tc>
          <w:tcPr>
            <w:tcW w:w="578" w:type="pct"/>
          </w:tcPr>
          <w:p w14:paraId="5AFCFBAF" w14:textId="77777777" w:rsidR="00473D46" w:rsidRPr="00097A86" w:rsidRDefault="00473D46" w:rsidP="00465C0B">
            <w:pPr>
              <w:pStyle w:val="Tabletext"/>
              <w:rPr>
                <w:snapToGrid w:val="0"/>
              </w:rPr>
            </w:pPr>
            <w:r w:rsidRPr="00097A86">
              <w:rPr>
                <w:snapToGrid w:val="0"/>
              </w:rPr>
              <w:t>92.6</w:t>
            </w:r>
          </w:p>
        </w:tc>
        <w:tc>
          <w:tcPr>
            <w:tcW w:w="578" w:type="pct"/>
          </w:tcPr>
          <w:p w14:paraId="36505FA3" w14:textId="77777777" w:rsidR="00473D46" w:rsidRPr="00097A86" w:rsidRDefault="00473D46" w:rsidP="00465C0B">
            <w:pPr>
              <w:pStyle w:val="Tabletext"/>
              <w:rPr>
                <w:snapToGrid w:val="0"/>
              </w:rPr>
            </w:pPr>
            <w:r w:rsidRPr="00097A86">
              <w:rPr>
                <w:snapToGrid w:val="0"/>
              </w:rPr>
              <w:t>0.07</w:t>
            </w:r>
          </w:p>
        </w:tc>
        <w:tc>
          <w:tcPr>
            <w:tcW w:w="591" w:type="pct"/>
          </w:tcPr>
          <w:p w14:paraId="4471BBBE" w14:textId="77777777" w:rsidR="00473D46" w:rsidRPr="00097A86" w:rsidRDefault="00473D46" w:rsidP="00465C0B">
            <w:pPr>
              <w:pStyle w:val="Tabletext"/>
              <w:rPr>
                <w:snapToGrid w:val="0"/>
              </w:rPr>
            </w:pPr>
            <w:r w:rsidRPr="00097A86">
              <w:rPr>
                <w:snapToGrid w:val="0"/>
              </w:rPr>
              <w:t>0.2</w:t>
            </w:r>
          </w:p>
        </w:tc>
      </w:tr>
      <w:tr w:rsidR="00473D46" w:rsidRPr="00097A86" w14:paraId="2DEB9DBC" w14:textId="77777777" w:rsidTr="00C20CC2">
        <w:trPr>
          <w:cantSplit/>
        </w:trPr>
        <w:tc>
          <w:tcPr>
            <w:tcW w:w="396" w:type="pct"/>
          </w:tcPr>
          <w:p w14:paraId="554186C0" w14:textId="77777777" w:rsidR="00473D46" w:rsidRPr="00097A86" w:rsidRDefault="00473D46" w:rsidP="00465C0B">
            <w:pPr>
              <w:pStyle w:val="Tabletext"/>
              <w:rPr>
                <w:snapToGrid w:val="0"/>
              </w:rPr>
            </w:pPr>
            <w:r w:rsidRPr="00097A86">
              <w:rPr>
                <w:snapToGrid w:val="0"/>
              </w:rPr>
              <w:t>47</w:t>
            </w:r>
          </w:p>
        </w:tc>
        <w:tc>
          <w:tcPr>
            <w:tcW w:w="1917" w:type="pct"/>
            <w:gridSpan w:val="2"/>
          </w:tcPr>
          <w:p w14:paraId="4DDB4725" w14:textId="77777777" w:rsidR="00473D46" w:rsidRPr="00097A86" w:rsidRDefault="00473D46" w:rsidP="00465C0B">
            <w:pPr>
              <w:pStyle w:val="Tabletext"/>
              <w:rPr>
                <w:snapToGrid w:val="0"/>
              </w:rPr>
            </w:pPr>
            <w:r w:rsidRPr="00097A86">
              <w:rPr>
                <w:snapToGrid w:val="0"/>
              </w:rPr>
              <w:t>Refinery gas and liquids</w:t>
            </w:r>
          </w:p>
        </w:tc>
        <w:tc>
          <w:tcPr>
            <w:tcW w:w="940" w:type="pct"/>
          </w:tcPr>
          <w:p w14:paraId="704536A6" w14:textId="77777777" w:rsidR="00473D46" w:rsidRPr="00097A86" w:rsidRDefault="00473D46" w:rsidP="00465C0B">
            <w:pPr>
              <w:pStyle w:val="Tabletext"/>
              <w:rPr>
                <w:snapToGrid w:val="0"/>
              </w:rPr>
            </w:pPr>
            <w:r w:rsidRPr="00097A86">
              <w:rPr>
                <w:snapToGrid w:val="0"/>
              </w:rPr>
              <w:t>42.9 GJ/t</w:t>
            </w:r>
          </w:p>
        </w:tc>
        <w:tc>
          <w:tcPr>
            <w:tcW w:w="578" w:type="pct"/>
          </w:tcPr>
          <w:p w14:paraId="2A4E60D6" w14:textId="77777777" w:rsidR="00473D46" w:rsidRPr="00097A86" w:rsidRDefault="00473D46" w:rsidP="00465C0B">
            <w:pPr>
              <w:pStyle w:val="Tabletext"/>
              <w:rPr>
                <w:snapToGrid w:val="0"/>
              </w:rPr>
            </w:pPr>
            <w:r w:rsidRPr="00097A86">
              <w:rPr>
                <w:snapToGrid w:val="0"/>
              </w:rPr>
              <w:t>54.7</w:t>
            </w:r>
          </w:p>
        </w:tc>
        <w:tc>
          <w:tcPr>
            <w:tcW w:w="578" w:type="pct"/>
          </w:tcPr>
          <w:p w14:paraId="1BE5C630" w14:textId="77777777" w:rsidR="00473D46" w:rsidRPr="00097A86" w:rsidRDefault="00473D46" w:rsidP="00465C0B">
            <w:pPr>
              <w:pStyle w:val="Tabletext"/>
              <w:rPr>
                <w:snapToGrid w:val="0"/>
              </w:rPr>
            </w:pPr>
            <w:r w:rsidRPr="00097A86">
              <w:rPr>
                <w:snapToGrid w:val="0"/>
              </w:rPr>
              <w:t>0.02</w:t>
            </w:r>
          </w:p>
        </w:tc>
        <w:tc>
          <w:tcPr>
            <w:tcW w:w="591" w:type="pct"/>
          </w:tcPr>
          <w:p w14:paraId="58F0EE1C" w14:textId="77777777" w:rsidR="00473D46" w:rsidRPr="00097A86" w:rsidRDefault="00473D46" w:rsidP="00465C0B">
            <w:pPr>
              <w:pStyle w:val="Tabletext"/>
              <w:rPr>
                <w:snapToGrid w:val="0"/>
              </w:rPr>
            </w:pPr>
            <w:r w:rsidRPr="00097A86">
              <w:rPr>
                <w:snapToGrid w:val="0"/>
              </w:rPr>
              <w:t>0.0</w:t>
            </w:r>
          </w:p>
        </w:tc>
      </w:tr>
      <w:tr w:rsidR="00473D46" w:rsidRPr="00097A86" w14:paraId="4488B233" w14:textId="77777777" w:rsidTr="00C20CC2">
        <w:trPr>
          <w:cantSplit/>
        </w:trPr>
        <w:tc>
          <w:tcPr>
            <w:tcW w:w="396" w:type="pct"/>
          </w:tcPr>
          <w:p w14:paraId="430F0EE9" w14:textId="77777777" w:rsidR="00473D46" w:rsidRPr="00097A86" w:rsidRDefault="00473D46" w:rsidP="00465C0B">
            <w:pPr>
              <w:pStyle w:val="Tabletext"/>
              <w:rPr>
                <w:snapToGrid w:val="0"/>
              </w:rPr>
            </w:pPr>
            <w:r w:rsidRPr="00097A86">
              <w:rPr>
                <w:snapToGrid w:val="0"/>
              </w:rPr>
              <w:t>48</w:t>
            </w:r>
          </w:p>
        </w:tc>
        <w:tc>
          <w:tcPr>
            <w:tcW w:w="1917" w:type="pct"/>
            <w:gridSpan w:val="2"/>
          </w:tcPr>
          <w:p w14:paraId="33BBE3C7" w14:textId="77777777" w:rsidR="00473D46" w:rsidRPr="00097A86" w:rsidRDefault="00473D46" w:rsidP="00465C0B">
            <w:pPr>
              <w:pStyle w:val="Tabletext"/>
              <w:rPr>
                <w:snapToGrid w:val="0"/>
              </w:rPr>
            </w:pPr>
            <w:r w:rsidRPr="00097A86">
              <w:rPr>
                <w:snapToGrid w:val="0"/>
              </w:rPr>
              <w:t>Refinery coke</w:t>
            </w:r>
          </w:p>
        </w:tc>
        <w:tc>
          <w:tcPr>
            <w:tcW w:w="940" w:type="pct"/>
          </w:tcPr>
          <w:p w14:paraId="4A1E08AF" w14:textId="77777777" w:rsidR="00473D46" w:rsidRPr="00097A86" w:rsidRDefault="00473D46" w:rsidP="00465C0B">
            <w:pPr>
              <w:pStyle w:val="Tabletext"/>
              <w:rPr>
                <w:snapToGrid w:val="0"/>
              </w:rPr>
            </w:pPr>
            <w:r w:rsidRPr="00097A86">
              <w:rPr>
                <w:snapToGrid w:val="0"/>
              </w:rPr>
              <w:t>34.2 GJ/t</w:t>
            </w:r>
          </w:p>
        </w:tc>
        <w:tc>
          <w:tcPr>
            <w:tcW w:w="578" w:type="pct"/>
          </w:tcPr>
          <w:p w14:paraId="7D3FEEAC" w14:textId="77777777" w:rsidR="00473D46" w:rsidRPr="00097A86" w:rsidRDefault="00473D46" w:rsidP="00465C0B">
            <w:pPr>
              <w:pStyle w:val="Tabletext"/>
              <w:rPr>
                <w:snapToGrid w:val="0"/>
              </w:rPr>
            </w:pPr>
            <w:r w:rsidRPr="00097A86">
              <w:rPr>
                <w:snapToGrid w:val="0"/>
              </w:rPr>
              <w:t>92.6</w:t>
            </w:r>
          </w:p>
        </w:tc>
        <w:tc>
          <w:tcPr>
            <w:tcW w:w="578" w:type="pct"/>
          </w:tcPr>
          <w:p w14:paraId="18B4392B" w14:textId="77777777" w:rsidR="00473D46" w:rsidRPr="00097A86" w:rsidRDefault="00473D46" w:rsidP="00465C0B">
            <w:pPr>
              <w:pStyle w:val="Tabletext"/>
              <w:rPr>
                <w:snapToGrid w:val="0"/>
              </w:rPr>
            </w:pPr>
            <w:r w:rsidRPr="00097A86">
              <w:rPr>
                <w:snapToGrid w:val="0"/>
              </w:rPr>
              <w:t>0.07</w:t>
            </w:r>
          </w:p>
        </w:tc>
        <w:tc>
          <w:tcPr>
            <w:tcW w:w="591" w:type="pct"/>
          </w:tcPr>
          <w:p w14:paraId="5501E3B0" w14:textId="77777777" w:rsidR="00473D46" w:rsidRPr="00097A86" w:rsidRDefault="00473D46" w:rsidP="00465C0B">
            <w:pPr>
              <w:pStyle w:val="Tabletext"/>
              <w:rPr>
                <w:snapToGrid w:val="0"/>
              </w:rPr>
            </w:pPr>
            <w:r w:rsidRPr="00097A86">
              <w:rPr>
                <w:snapToGrid w:val="0"/>
              </w:rPr>
              <w:t>0.2</w:t>
            </w:r>
          </w:p>
        </w:tc>
      </w:tr>
      <w:tr w:rsidR="00473D46" w:rsidRPr="00097A86" w14:paraId="73F2DAD2" w14:textId="77777777" w:rsidTr="00C20CC2">
        <w:trPr>
          <w:cantSplit/>
        </w:trPr>
        <w:tc>
          <w:tcPr>
            <w:tcW w:w="396" w:type="pct"/>
          </w:tcPr>
          <w:p w14:paraId="4B293182" w14:textId="77777777" w:rsidR="00473D46" w:rsidRPr="00097A86" w:rsidRDefault="00473D46" w:rsidP="00465C0B">
            <w:pPr>
              <w:pStyle w:val="Tabletext"/>
              <w:rPr>
                <w:snapToGrid w:val="0"/>
              </w:rPr>
            </w:pPr>
            <w:r w:rsidRPr="00097A86">
              <w:rPr>
                <w:snapToGrid w:val="0"/>
              </w:rPr>
              <w:t>49</w:t>
            </w:r>
          </w:p>
        </w:tc>
        <w:tc>
          <w:tcPr>
            <w:tcW w:w="1917" w:type="pct"/>
            <w:gridSpan w:val="2"/>
          </w:tcPr>
          <w:p w14:paraId="065D200C" w14:textId="77777777" w:rsidR="00473D46" w:rsidRPr="00097A86" w:rsidRDefault="00473D46" w:rsidP="00465C0B">
            <w:pPr>
              <w:pStyle w:val="Tabletext"/>
              <w:rPr>
                <w:snapToGrid w:val="0"/>
              </w:rPr>
            </w:pPr>
            <w:r w:rsidRPr="00097A86">
              <w:rPr>
                <w:snapToGrid w:val="0"/>
              </w:rPr>
              <w:t>Petroleum based products other than:</w:t>
            </w:r>
          </w:p>
          <w:p w14:paraId="3DA31B57" w14:textId="77777777" w:rsidR="00473D46" w:rsidRPr="00097A86" w:rsidRDefault="00473D46" w:rsidP="00465C0B">
            <w:pPr>
              <w:pStyle w:val="Tablea"/>
              <w:rPr>
                <w:snapToGrid w:val="0"/>
              </w:rPr>
            </w:pPr>
            <w:r w:rsidRPr="00097A86">
              <w:rPr>
                <w:snapToGrid w:val="0"/>
              </w:rPr>
              <w:t xml:space="preserve">(a) </w:t>
            </w:r>
            <w:r w:rsidRPr="00097A86">
              <w:rPr>
                <w:snapToGrid w:val="0"/>
                <w:szCs w:val="22"/>
              </w:rPr>
              <w:t>petroleum based oils and petroleum based greases mentioned in items</w:t>
            </w:r>
            <w:r w:rsidR="00097A86">
              <w:rPr>
                <w:snapToGrid w:val="0"/>
                <w:szCs w:val="22"/>
              </w:rPr>
              <w:t> </w:t>
            </w:r>
            <w:r w:rsidRPr="00097A86">
              <w:rPr>
                <w:snapToGrid w:val="0"/>
                <w:szCs w:val="22"/>
              </w:rPr>
              <w:t>31 and 32; and</w:t>
            </w:r>
          </w:p>
          <w:p w14:paraId="355CAE2D" w14:textId="77777777" w:rsidR="00473D46" w:rsidRPr="00097A86" w:rsidRDefault="00473D46" w:rsidP="00465C0B">
            <w:pPr>
              <w:pStyle w:val="Tablea"/>
              <w:rPr>
                <w:snapToGrid w:val="0"/>
              </w:rPr>
            </w:pPr>
            <w:r w:rsidRPr="00097A86">
              <w:rPr>
                <w:snapToGrid w:val="0"/>
              </w:rPr>
              <w:t>(b) the petroleum based products mentioned in items</w:t>
            </w:r>
            <w:r w:rsidR="00097A86">
              <w:rPr>
                <w:snapToGrid w:val="0"/>
              </w:rPr>
              <w:t> </w:t>
            </w:r>
            <w:r w:rsidRPr="00097A86">
              <w:rPr>
                <w:snapToGrid w:val="0"/>
              </w:rPr>
              <w:t>33 to 48.</w:t>
            </w:r>
          </w:p>
        </w:tc>
        <w:tc>
          <w:tcPr>
            <w:tcW w:w="940" w:type="pct"/>
          </w:tcPr>
          <w:p w14:paraId="3F92B875" w14:textId="77777777" w:rsidR="00473D46" w:rsidRPr="00097A86" w:rsidRDefault="00473D46" w:rsidP="00465C0B">
            <w:pPr>
              <w:pStyle w:val="Tabletext"/>
              <w:rPr>
                <w:snapToGrid w:val="0"/>
              </w:rPr>
            </w:pPr>
            <w:r w:rsidRPr="00097A86">
              <w:rPr>
                <w:snapToGrid w:val="0"/>
              </w:rPr>
              <w:t>34.4</w:t>
            </w:r>
          </w:p>
        </w:tc>
        <w:tc>
          <w:tcPr>
            <w:tcW w:w="578" w:type="pct"/>
          </w:tcPr>
          <w:p w14:paraId="7ABB3E9C" w14:textId="77777777" w:rsidR="00473D46" w:rsidRPr="00097A86" w:rsidRDefault="00473D46" w:rsidP="00465C0B">
            <w:pPr>
              <w:pStyle w:val="Tabletext"/>
              <w:rPr>
                <w:snapToGrid w:val="0"/>
              </w:rPr>
            </w:pPr>
            <w:r w:rsidRPr="00097A86">
              <w:rPr>
                <w:snapToGrid w:val="0"/>
              </w:rPr>
              <w:t>69.8</w:t>
            </w:r>
          </w:p>
        </w:tc>
        <w:tc>
          <w:tcPr>
            <w:tcW w:w="578" w:type="pct"/>
          </w:tcPr>
          <w:p w14:paraId="7C5DEC44" w14:textId="77777777" w:rsidR="00473D46" w:rsidRPr="00097A86" w:rsidRDefault="00473D46" w:rsidP="00465C0B">
            <w:pPr>
              <w:pStyle w:val="Tabletext"/>
              <w:rPr>
                <w:snapToGrid w:val="0"/>
              </w:rPr>
            </w:pPr>
            <w:r w:rsidRPr="00097A86">
              <w:rPr>
                <w:snapToGrid w:val="0"/>
              </w:rPr>
              <w:t>0.0</w:t>
            </w:r>
          </w:p>
        </w:tc>
        <w:tc>
          <w:tcPr>
            <w:tcW w:w="591" w:type="pct"/>
          </w:tcPr>
          <w:p w14:paraId="3A3DE7D0" w14:textId="77777777" w:rsidR="00473D46" w:rsidRPr="00097A86" w:rsidRDefault="00473D46" w:rsidP="00465C0B">
            <w:pPr>
              <w:pStyle w:val="Tabletext"/>
              <w:rPr>
                <w:snapToGrid w:val="0"/>
              </w:rPr>
            </w:pPr>
            <w:r w:rsidRPr="00097A86">
              <w:rPr>
                <w:snapToGrid w:val="0"/>
              </w:rPr>
              <w:t>0.2</w:t>
            </w:r>
          </w:p>
        </w:tc>
      </w:tr>
      <w:tr w:rsidR="00473D46" w:rsidRPr="00097A86" w14:paraId="26B7AAD1" w14:textId="77777777" w:rsidTr="00C20CC2">
        <w:trPr>
          <w:cantSplit/>
        </w:trPr>
        <w:tc>
          <w:tcPr>
            <w:tcW w:w="396" w:type="pct"/>
          </w:tcPr>
          <w:p w14:paraId="46C19656" w14:textId="77777777" w:rsidR="00473D46" w:rsidRPr="00097A86" w:rsidRDefault="00473D46" w:rsidP="00465C0B">
            <w:pPr>
              <w:pStyle w:val="Tabletext"/>
              <w:rPr>
                <w:snapToGrid w:val="0"/>
              </w:rPr>
            </w:pPr>
            <w:r w:rsidRPr="00097A86">
              <w:rPr>
                <w:snapToGrid w:val="0"/>
              </w:rPr>
              <w:lastRenderedPageBreak/>
              <w:t>50</w:t>
            </w:r>
          </w:p>
        </w:tc>
        <w:tc>
          <w:tcPr>
            <w:tcW w:w="1917" w:type="pct"/>
            <w:gridSpan w:val="2"/>
          </w:tcPr>
          <w:p w14:paraId="0BB13863" w14:textId="77777777" w:rsidR="00473D46" w:rsidRPr="00097A86" w:rsidRDefault="00473D46" w:rsidP="00465C0B">
            <w:pPr>
              <w:pStyle w:val="Tabletext"/>
              <w:rPr>
                <w:snapToGrid w:val="0"/>
              </w:rPr>
            </w:pPr>
            <w:r w:rsidRPr="00097A86">
              <w:rPr>
                <w:snapToGrid w:val="0"/>
              </w:rPr>
              <w:t>Biodiesel</w:t>
            </w:r>
          </w:p>
        </w:tc>
        <w:tc>
          <w:tcPr>
            <w:tcW w:w="940" w:type="pct"/>
          </w:tcPr>
          <w:p w14:paraId="28CCEAF5" w14:textId="77777777" w:rsidR="00473D46" w:rsidRPr="00097A86" w:rsidRDefault="00473D46" w:rsidP="00465C0B">
            <w:pPr>
              <w:pStyle w:val="Tabletext"/>
              <w:rPr>
                <w:snapToGrid w:val="0"/>
              </w:rPr>
            </w:pPr>
            <w:r w:rsidRPr="00097A86">
              <w:rPr>
                <w:snapToGrid w:val="0"/>
              </w:rPr>
              <w:t>34.6</w:t>
            </w:r>
          </w:p>
        </w:tc>
        <w:tc>
          <w:tcPr>
            <w:tcW w:w="578" w:type="pct"/>
          </w:tcPr>
          <w:p w14:paraId="585E8D4C" w14:textId="77777777" w:rsidR="00473D46" w:rsidRPr="00097A86" w:rsidRDefault="00473D46" w:rsidP="00465C0B">
            <w:pPr>
              <w:pStyle w:val="Tabletext"/>
              <w:rPr>
                <w:snapToGrid w:val="0"/>
              </w:rPr>
            </w:pPr>
            <w:r w:rsidRPr="00097A86">
              <w:rPr>
                <w:snapToGrid w:val="0"/>
              </w:rPr>
              <w:t>0.0</w:t>
            </w:r>
          </w:p>
        </w:tc>
        <w:tc>
          <w:tcPr>
            <w:tcW w:w="578" w:type="pct"/>
          </w:tcPr>
          <w:p w14:paraId="3E5F83B6" w14:textId="77777777" w:rsidR="00473D46" w:rsidRPr="00097A86" w:rsidRDefault="00473D46" w:rsidP="00465C0B">
            <w:pPr>
              <w:pStyle w:val="Tabletext"/>
              <w:rPr>
                <w:snapToGrid w:val="0"/>
              </w:rPr>
            </w:pPr>
            <w:r w:rsidRPr="00097A86">
              <w:rPr>
                <w:snapToGrid w:val="0"/>
              </w:rPr>
              <w:t>0.07</w:t>
            </w:r>
          </w:p>
        </w:tc>
        <w:tc>
          <w:tcPr>
            <w:tcW w:w="591" w:type="pct"/>
          </w:tcPr>
          <w:p w14:paraId="714CB48E" w14:textId="77777777" w:rsidR="00473D46" w:rsidRPr="00097A86" w:rsidRDefault="00473D46" w:rsidP="00465C0B">
            <w:pPr>
              <w:pStyle w:val="Tabletext"/>
              <w:rPr>
                <w:snapToGrid w:val="0"/>
              </w:rPr>
            </w:pPr>
            <w:r w:rsidRPr="00097A86">
              <w:rPr>
                <w:snapToGrid w:val="0"/>
              </w:rPr>
              <w:t>0.2</w:t>
            </w:r>
          </w:p>
        </w:tc>
      </w:tr>
      <w:tr w:rsidR="00473D46" w:rsidRPr="00097A86" w14:paraId="27A40206" w14:textId="77777777" w:rsidTr="00C20CC2">
        <w:trPr>
          <w:cantSplit/>
        </w:trPr>
        <w:tc>
          <w:tcPr>
            <w:tcW w:w="396" w:type="pct"/>
          </w:tcPr>
          <w:p w14:paraId="6F20D7E2" w14:textId="77777777" w:rsidR="00473D46" w:rsidRPr="00097A86" w:rsidRDefault="00473D46" w:rsidP="00465C0B">
            <w:pPr>
              <w:pStyle w:val="Tabletext"/>
              <w:rPr>
                <w:snapToGrid w:val="0"/>
              </w:rPr>
            </w:pPr>
            <w:r w:rsidRPr="00097A86">
              <w:rPr>
                <w:snapToGrid w:val="0"/>
              </w:rPr>
              <w:t>51</w:t>
            </w:r>
          </w:p>
        </w:tc>
        <w:tc>
          <w:tcPr>
            <w:tcW w:w="1917" w:type="pct"/>
            <w:gridSpan w:val="2"/>
          </w:tcPr>
          <w:p w14:paraId="5A06EFA3" w14:textId="77777777" w:rsidR="00473D46" w:rsidRPr="00097A86" w:rsidRDefault="00473D46" w:rsidP="00465C0B">
            <w:pPr>
              <w:pStyle w:val="BodyTextFirstIndent"/>
              <w:spacing w:before="60" w:after="60"/>
              <w:ind w:firstLine="0"/>
              <w:rPr>
                <w:b/>
                <w:snapToGrid w:val="0"/>
                <w:szCs w:val="22"/>
              </w:rPr>
            </w:pPr>
            <w:r w:rsidRPr="00097A86">
              <w:rPr>
                <w:snapToGrid w:val="0"/>
                <w:szCs w:val="22"/>
              </w:rPr>
              <w:t>Ethanol for use as a fuel in an internal combustion engine</w:t>
            </w:r>
          </w:p>
        </w:tc>
        <w:tc>
          <w:tcPr>
            <w:tcW w:w="940" w:type="pct"/>
          </w:tcPr>
          <w:p w14:paraId="572427D7" w14:textId="77777777" w:rsidR="00473D46" w:rsidRPr="00097A86" w:rsidRDefault="00473D46" w:rsidP="00465C0B">
            <w:pPr>
              <w:pStyle w:val="Tabletext"/>
              <w:rPr>
                <w:snapToGrid w:val="0"/>
              </w:rPr>
            </w:pPr>
            <w:r w:rsidRPr="00097A86">
              <w:rPr>
                <w:snapToGrid w:val="0"/>
              </w:rPr>
              <w:t>23.4</w:t>
            </w:r>
          </w:p>
        </w:tc>
        <w:tc>
          <w:tcPr>
            <w:tcW w:w="578" w:type="pct"/>
          </w:tcPr>
          <w:p w14:paraId="211944F7" w14:textId="77777777" w:rsidR="00473D46" w:rsidRPr="00097A86" w:rsidRDefault="00473D46" w:rsidP="00465C0B">
            <w:pPr>
              <w:pStyle w:val="Tabletext"/>
              <w:rPr>
                <w:snapToGrid w:val="0"/>
              </w:rPr>
            </w:pPr>
            <w:r w:rsidRPr="00097A86">
              <w:rPr>
                <w:snapToGrid w:val="0"/>
              </w:rPr>
              <w:t>0.0</w:t>
            </w:r>
          </w:p>
        </w:tc>
        <w:tc>
          <w:tcPr>
            <w:tcW w:w="578" w:type="pct"/>
          </w:tcPr>
          <w:p w14:paraId="617773BF" w14:textId="77777777" w:rsidR="00473D46" w:rsidRPr="00097A86" w:rsidRDefault="00473D46" w:rsidP="00465C0B">
            <w:pPr>
              <w:pStyle w:val="Tabletext"/>
              <w:rPr>
                <w:snapToGrid w:val="0"/>
              </w:rPr>
            </w:pPr>
            <w:r w:rsidRPr="00097A86">
              <w:rPr>
                <w:snapToGrid w:val="0"/>
              </w:rPr>
              <w:t>0.07</w:t>
            </w:r>
          </w:p>
        </w:tc>
        <w:tc>
          <w:tcPr>
            <w:tcW w:w="591" w:type="pct"/>
          </w:tcPr>
          <w:p w14:paraId="3EA0532F" w14:textId="77777777" w:rsidR="00473D46" w:rsidRPr="00097A86" w:rsidRDefault="00473D46" w:rsidP="00465C0B">
            <w:pPr>
              <w:pStyle w:val="Tabletext"/>
              <w:rPr>
                <w:snapToGrid w:val="0"/>
              </w:rPr>
            </w:pPr>
            <w:r w:rsidRPr="00097A86">
              <w:rPr>
                <w:snapToGrid w:val="0"/>
              </w:rPr>
              <w:t>0.2</w:t>
            </w:r>
          </w:p>
        </w:tc>
      </w:tr>
      <w:tr w:rsidR="00473D46" w:rsidRPr="00097A86" w14:paraId="7502F37D" w14:textId="77777777" w:rsidTr="00C20CC2">
        <w:trPr>
          <w:cantSplit/>
        </w:trPr>
        <w:tc>
          <w:tcPr>
            <w:tcW w:w="396" w:type="pct"/>
            <w:tcBorders>
              <w:bottom w:val="single" w:sz="12" w:space="0" w:color="auto"/>
            </w:tcBorders>
          </w:tcPr>
          <w:p w14:paraId="59EE72C0" w14:textId="77777777" w:rsidR="00473D46" w:rsidRPr="00097A86" w:rsidRDefault="00473D46" w:rsidP="00465C0B">
            <w:pPr>
              <w:pStyle w:val="Tabletext"/>
              <w:rPr>
                <w:snapToGrid w:val="0"/>
              </w:rPr>
            </w:pPr>
            <w:r w:rsidRPr="00097A86">
              <w:rPr>
                <w:snapToGrid w:val="0"/>
              </w:rPr>
              <w:t>52</w:t>
            </w:r>
          </w:p>
        </w:tc>
        <w:tc>
          <w:tcPr>
            <w:tcW w:w="1917" w:type="pct"/>
            <w:gridSpan w:val="2"/>
            <w:tcBorders>
              <w:bottom w:val="single" w:sz="12" w:space="0" w:color="auto"/>
            </w:tcBorders>
          </w:tcPr>
          <w:p w14:paraId="2BB51009" w14:textId="77777777" w:rsidR="00473D46" w:rsidRPr="00097A86" w:rsidRDefault="00473D46" w:rsidP="00465C0B">
            <w:pPr>
              <w:pStyle w:val="Tabletext"/>
              <w:rPr>
                <w:snapToGrid w:val="0"/>
              </w:rPr>
            </w:pPr>
            <w:r w:rsidRPr="00097A86">
              <w:rPr>
                <w:snapToGrid w:val="0"/>
              </w:rPr>
              <w:t>Biofuels other than those mentioned in items</w:t>
            </w:r>
            <w:r w:rsidR="00097A86">
              <w:rPr>
                <w:snapToGrid w:val="0"/>
              </w:rPr>
              <w:t> </w:t>
            </w:r>
            <w:r w:rsidRPr="00097A86">
              <w:rPr>
                <w:snapToGrid w:val="0"/>
              </w:rPr>
              <w:t>50 and 51</w:t>
            </w:r>
          </w:p>
        </w:tc>
        <w:tc>
          <w:tcPr>
            <w:tcW w:w="940" w:type="pct"/>
            <w:tcBorders>
              <w:bottom w:val="single" w:sz="12" w:space="0" w:color="auto"/>
            </w:tcBorders>
          </w:tcPr>
          <w:p w14:paraId="5C34EC67" w14:textId="77777777" w:rsidR="00473D46" w:rsidRPr="00097A86" w:rsidRDefault="00473D46" w:rsidP="00465C0B">
            <w:pPr>
              <w:pStyle w:val="Tabletext"/>
              <w:rPr>
                <w:snapToGrid w:val="0"/>
              </w:rPr>
            </w:pPr>
            <w:r w:rsidRPr="00097A86">
              <w:rPr>
                <w:snapToGrid w:val="0"/>
              </w:rPr>
              <w:t>23.4</w:t>
            </w:r>
          </w:p>
        </w:tc>
        <w:tc>
          <w:tcPr>
            <w:tcW w:w="578" w:type="pct"/>
            <w:tcBorders>
              <w:bottom w:val="single" w:sz="12" w:space="0" w:color="auto"/>
            </w:tcBorders>
          </w:tcPr>
          <w:p w14:paraId="755E2207" w14:textId="77777777" w:rsidR="00473D46" w:rsidRPr="00097A86" w:rsidRDefault="00473D46" w:rsidP="00465C0B">
            <w:pPr>
              <w:pStyle w:val="Tabletext"/>
              <w:rPr>
                <w:snapToGrid w:val="0"/>
              </w:rPr>
            </w:pPr>
            <w:r w:rsidRPr="00097A86">
              <w:rPr>
                <w:snapToGrid w:val="0"/>
              </w:rPr>
              <w:t>0.0</w:t>
            </w:r>
          </w:p>
        </w:tc>
        <w:tc>
          <w:tcPr>
            <w:tcW w:w="578" w:type="pct"/>
            <w:tcBorders>
              <w:bottom w:val="single" w:sz="12" w:space="0" w:color="auto"/>
            </w:tcBorders>
          </w:tcPr>
          <w:p w14:paraId="374C54FD" w14:textId="77777777" w:rsidR="00473D46" w:rsidRPr="00097A86" w:rsidRDefault="00473D46" w:rsidP="00465C0B">
            <w:pPr>
              <w:pStyle w:val="Tabletext"/>
              <w:rPr>
                <w:snapToGrid w:val="0"/>
              </w:rPr>
            </w:pPr>
            <w:r w:rsidRPr="00097A86">
              <w:rPr>
                <w:snapToGrid w:val="0"/>
              </w:rPr>
              <w:t>0.07</w:t>
            </w:r>
          </w:p>
        </w:tc>
        <w:tc>
          <w:tcPr>
            <w:tcW w:w="591" w:type="pct"/>
            <w:tcBorders>
              <w:bottom w:val="single" w:sz="12" w:space="0" w:color="auto"/>
            </w:tcBorders>
          </w:tcPr>
          <w:p w14:paraId="06653DDD" w14:textId="77777777" w:rsidR="00473D46" w:rsidRPr="00097A86" w:rsidRDefault="00473D46" w:rsidP="00465C0B">
            <w:pPr>
              <w:pStyle w:val="Tabletext"/>
              <w:rPr>
                <w:snapToGrid w:val="0"/>
              </w:rPr>
            </w:pPr>
            <w:r w:rsidRPr="00097A86">
              <w:rPr>
                <w:snapToGrid w:val="0"/>
              </w:rPr>
              <w:t>0.2</w:t>
            </w:r>
          </w:p>
        </w:tc>
      </w:tr>
    </w:tbl>
    <w:p w14:paraId="0D44090F" w14:textId="77777777" w:rsidR="003F0D4E" w:rsidRPr="00097A86" w:rsidRDefault="003F0D4E" w:rsidP="00D22D3F">
      <w:pPr>
        <w:pStyle w:val="ActHead2"/>
        <w:pageBreakBefore/>
      </w:pPr>
      <w:bookmarkStart w:id="680" w:name="_Toc13234103"/>
      <w:r w:rsidRPr="00097A86">
        <w:rPr>
          <w:rStyle w:val="CharPartNo"/>
        </w:rPr>
        <w:lastRenderedPageBreak/>
        <w:t>Part</w:t>
      </w:r>
      <w:r w:rsidR="00097A86">
        <w:rPr>
          <w:rStyle w:val="CharPartNo"/>
        </w:rPr>
        <w:t> </w:t>
      </w:r>
      <w:r w:rsidRPr="00097A86">
        <w:rPr>
          <w:rStyle w:val="CharPartNo"/>
        </w:rPr>
        <w:t>4</w:t>
      </w:r>
      <w:r w:rsidR="00D22D3F" w:rsidRPr="00097A86">
        <w:t>—</w:t>
      </w:r>
      <w:r w:rsidRPr="00097A86">
        <w:rPr>
          <w:rStyle w:val="CharPartText"/>
        </w:rPr>
        <w:t>Fuel combustion</w:t>
      </w:r>
      <w:r w:rsidR="00D22D3F" w:rsidRPr="00097A86">
        <w:rPr>
          <w:rStyle w:val="CharPartText"/>
        </w:rPr>
        <w:t>—</w:t>
      </w:r>
      <w:r w:rsidRPr="00097A86">
        <w:rPr>
          <w:rStyle w:val="CharPartText"/>
        </w:rPr>
        <w:t>fuels for transport energy purposes</w:t>
      </w:r>
      <w:bookmarkEnd w:id="680"/>
    </w:p>
    <w:p w14:paraId="061C47AA" w14:textId="77777777" w:rsidR="003F0D4E" w:rsidRPr="00097A86" w:rsidRDefault="003F0D4E" w:rsidP="00D22D3F">
      <w:pPr>
        <w:pStyle w:val="ActHead3"/>
      </w:pPr>
      <w:bookmarkStart w:id="681" w:name="_Toc13234104"/>
      <w:r w:rsidRPr="00097A86">
        <w:rPr>
          <w:rStyle w:val="CharDivNo"/>
        </w:rPr>
        <w:t>Division</w:t>
      </w:r>
      <w:r w:rsidR="00097A86">
        <w:rPr>
          <w:rStyle w:val="CharDivNo"/>
        </w:rPr>
        <w:t> </w:t>
      </w:r>
      <w:r w:rsidRPr="00097A86">
        <w:rPr>
          <w:rStyle w:val="CharDivNo"/>
        </w:rPr>
        <w:t>4.1</w:t>
      </w:r>
      <w:r w:rsidR="00D22D3F" w:rsidRPr="00097A86">
        <w:t>—</w:t>
      </w:r>
      <w:r w:rsidRPr="00097A86">
        <w:rPr>
          <w:rStyle w:val="CharDivText"/>
        </w:rPr>
        <w:t>Fuel combustion</w:t>
      </w:r>
      <w:r w:rsidR="00D22D3F" w:rsidRPr="00097A86">
        <w:rPr>
          <w:rStyle w:val="CharDivText"/>
        </w:rPr>
        <w:t>—</w:t>
      </w:r>
      <w:r w:rsidRPr="00097A86">
        <w:rPr>
          <w:rStyle w:val="CharDivText"/>
        </w:rPr>
        <w:t>fuels for transport energy purposes</w:t>
      </w:r>
      <w:bookmarkEnd w:id="681"/>
    </w:p>
    <w:p w14:paraId="05F5F59D"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2"/>
        <w:gridCol w:w="2946"/>
        <w:gridCol w:w="1922"/>
        <w:gridCol w:w="841"/>
        <w:gridCol w:w="971"/>
        <w:gridCol w:w="973"/>
      </w:tblGrid>
      <w:tr w:rsidR="003F0D4E" w:rsidRPr="00097A86" w14:paraId="7357173B" w14:textId="77777777" w:rsidTr="00C20CC2">
        <w:trPr>
          <w:cantSplit/>
          <w:tblHeader/>
        </w:trPr>
        <w:tc>
          <w:tcPr>
            <w:tcW w:w="397" w:type="pct"/>
            <w:gridSpan w:val="2"/>
            <w:vMerge w:val="restart"/>
            <w:tcBorders>
              <w:top w:val="single" w:sz="12" w:space="0" w:color="auto"/>
              <w:left w:val="nil"/>
              <w:bottom w:val="single" w:sz="4" w:space="0" w:color="auto"/>
              <w:right w:val="nil"/>
            </w:tcBorders>
          </w:tcPr>
          <w:p w14:paraId="47DC4BFF" w14:textId="77777777" w:rsidR="003F0D4E" w:rsidRPr="00097A86" w:rsidRDefault="003F0D4E" w:rsidP="00B278A7">
            <w:pPr>
              <w:pStyle w:val="TableHeading"/>
            </w:pPr>
            <w:r w:rsidRPr="00097A86">
              <w:t>Item</w:t>
            </w:r>
          </w:p>
        </w:tc>
        <w:tc>
          <w:tcPr>
            <w:tcW w:w="1772" w:type="pct"/>
            <w:vMerge w:val="restart"/>
            <w:tcBorders>
              <w:top w:val="single" w:sz="12" w:space="0" w:color="auto"/>
              <w:left w:val="nil"/>
              <w:bottom w:val="single" w:sz="4" w:space="0" w:color="auto"/>
              <w:right w:val="nil"/>
            </w:tcBorders>
          </w:tcPr>
          <w:p w14:paraId="695C45CF" w14:textId="77777777" w:rsidR="003F0D4E" w:rsidRPr="00097A86" w:rsidRDefault="003F0D4E" w:rsidP="00B278A7">
            <w:pPr>
              <w:pStyle w:val="TableHeading"/>
            </w:pPr>
            <w:r w:rsidRPr="00097A86">
              <w:t>Fuel combusted</w:t>
            </w:r>
          </w:p>
        </w:tc>
        <w:tc>
          <w:tcPr>
            <w:tcW w:w="1156" w:type="pct"/>
            <w:vMerge w:val="restart"/>
            <w:tcBorders>
              <w:top w:val="single" w:sz="12" w:space="0" w:color="auto"/>
              <w:left w:val="nil"/>
              <w:bottom w:val="single" w:sz="4" w:space="0" w:color="auto"/>
              <w:right w:val="nil"/>
            </w:tcBorders>
          </w:tcPr>
          <w:p w14:paraId="13EEFDAE" w14:textId="77777777" w:rsidR="003F0D4E" w:rsidRPr="00097A86" w:rsidRDefault="003F0D4E" w:rsidP="00B278A7">
            <w:pPr>
              <w:pStyle w:val="TableHeading"/>
            </w:pPr>
            <w:r w:rsidRPr="00097A86">
              <w:t>Energy content factor</w:t>
            </w:r>
          </w:p>
          <w:p w14:paraId="5286A9C4" w14:textId="77777777" w:rsidR="003F0D4E" w:rsidRPr="00097A86" w:rsidRDefault="003F0D4E" w:rsidP="00B278A7">
            <w:pPr>
              <w:pStyle w:val="TableHeading"/>
            </w:pPr>
            <w:r w:rsidRPr="00097A86">
              <w:t>(GJ/kL unless otherwise indicated)</w:t>
            </w:r>
          </w:p>
        </w:tc>
        <w:tc>
          <w:tcPr>
            <w:tcW w:w="1675" w:type="pct"/>
            <w:gridSpan w:val="3"/>
            <w:tcBorders>
              <w:top w:val="single" w:sz="12" w:space="0" w:color="auto"/>
              <w:left w:val="nil"/>
              <w:bottom w:val="single" w:sz="4" w:space="0" w:color="auto"/>
              <w:right w:val="nil"/>
            </w:tcBorders>
          </w:tcPr>
          <w:p w14:paraId="132BAED4" w14:textId="77777777" w:rsidR="003F0D4E" w:rsidRPr="00097A86" w:rsidRDefault="003F0D4E" w:rsidP="00B278A7">
            <w:pPr>
              <w:pStyle w:val="TableHeading"/>
            </w:pPr>
            <w:r w:rsidRPr="00097A86">
              <w:t>Emission factor</w:t>
            </w:r>
          </w:p>
          <w:p w14:paraId="0DDEC0B4" w14:textId="77777777" w:rsidR="003F0D4E" w:rsidRPr="00097A86" w:rsidRDefault="003F0D4E" w:rsidP="00B278A7">
            <w:pPr>
              <w:pStyle w:val="TableHeading"/>
            </w:pPr>
            <w:r w:rsidRPr="00097A86">
              <w:t>kg CO</w:t>
            </w:r>
            <w:r w:rsidRPr="00097A86">
              <w:rPr>
                <w:vertAlign w:val="subscript"/>
              </w:rPr>
              <w:t>2</w:t>
            </w:r>
            <w:r w:rsidR="00097A86">
              <w:noBreakHyphen/>
            </w:r>
            <w:r w:rsidRPr="00097A86">
              <w:t>e/GJ</w:t>
            </w:r>
          </w:p>
          <w:p w14:paraId="35936A05" w14:textId="77777777" w:rsidR="003F0D4E" w:rsidRPr="00097A86" w:rsidRDefault="003F0D4E" w:rsidP="00B278A7">
            <w:pPr>
              <w:pStyle w:val="TableHeading"/>
            </w:pPr>
            <w:r w:rsidRPr="00097A86">
              <w:t>(relevant oxidation factors incorporated)</w:t>
            </w:r>
          </w:p>
        </w:tc>
      </w:tr>
      <w:tr w:rsidR="003F0D4E" w:rsidRPr="00097A86" w14:paraId="700889FF" w14:textId="77777777" w:rsidTr="00C20CC2">
        <w:trPr>
          <w:cantSplit/>
          <w:tblHeader/>
        </w:trPr>
        <w:tc>
          <w:tcPr>
            <w:tcW w:w="397" w:type="pct"/>
            <w:gridSpan w:val="2"/>
            <w:vMerge/>
            <w:tcBorders>
              <w:top w:val="single" w:sz="4" w:space="0" w:color="auto"/>
              <w:left w:val="nil"/>
              <w:bottom w:val="single" w:sz="12" w:space="0" w:color="auto"/>
              <w:right w:val="nil"/>
            </w:tcBorders>
          </w:tcPr>
          <w:p w14:paraId="6F233555" w14:textId="77777777" w:rsidR="003F0D4E" w:rsidRPr="00097A86" w:rsidRDefault="003F0D4E" w:rsidP="00B278A7">
            <w:pPr>
              <w:pStyle w:val="TableHeading"/>
            </w:pPr>
          </w:p>
        </w:tc>
        <w:tc>
          <w:tcPr>
            <w:tcW w:w="1772" w:type="pct"/>
            <w:vMerge/>
            <w:tcBorders>
              <w:top w:val="single" w:sz="4" w:space="0" w:color="auto"/>
              <w:left w:val="nil"/>
              <w:bottom w:val="single" w:sz="12" w:space="0" w:color="auto"/>
              <w:right w:val="nil"/>
            </w:tcBorders>
          </w:tcPr>
          <w:p w14:paraId="34C1E44F" w14:textId="77777777" w:rsidR="003F0D4E" w:rsidRPr="00097A86" w:rsidRDefault="003F0D4E" w:rsidP="00B278A7">
            <w:pPr>
              <w:pStyle w:val="TableHeading"/>
            </w:pPr>
          </w:p>
        </w:tc>
        <w:tc>
          <w:tcPr>
            <w:tcW w:w="1156" w:type="pct"/>
            <w:vMerge/>
            <w:tcBorders>
              <w:top w:val="single" w:sz="4" w:space="0" w:color="auto"/>
              <w:left w:val="nil"/>
              <w:bottom w:val="single" w:sz="12" w:space="0" w:color="auto"/>
              <w:right w:val="nil"/>
            </w:tcBorders>
          </w:tcPr>
          <w:p w14:paraId="0D6069DE" w14:textId="77777777" w:rsidR="003F0D4E" w:rsidRPr="00097A86" w:rsidRDefault="003F0D4E" w:rsidP="00B278A7">
            <w:pPr>
              <w:pStyle w:val="TableHeading"/>
            </w:pPr>
          </w:p>
        </w:tc>
        <w:tc>
          <w:tcPr>
            <w:tcW w:w="506" w:type="pct"/>
            <w:tcBorders>
              <w:top w:val="single" w:sz="4" w:space="0" w:color="auto"/>
              <w:left w:val="nil"/>
              <w:bottom w:val="single" w:sz="12" w:space="0" w:color="auto"/>
              <w:right w:val="nil"/>
            </w:tcBorders>
          </w:tcPr>
          <w:p w14:paraId="46CA21D8" w14:textId="77777777" w:rsidR="003F0D4E" w:rsidRPr="00097A86" w:rsidRDefault="003F0D4E" w:rsidP="00B278A7">
            <w:pPr>
              <w:pStyle w:val="TableHeading"/>
            </w:pPr>
            <w:r w:rsidRPr="00097A86">
              <w:t>CO</w:t>
            </w:r>
            <w:r w:rsidRPr="00097A86">
              <w:rPr>
                <w:vertAlign w:val="subscript"/>
              </w:rPr>
              <w:t>2</w:t>
            </w:r>
          </w:p>
        </w:tc>
        <w:tc>
          <w:tcPr>
            <w:tcW w:w="584" w:type="pct"/>
            <w:tcBorders>
              <w:top w:val="single" w:sz="4" w:space="0" w:color="auto"/>
              <w:left w:val="nil"/>
              <w:bottom w:val="single" w:sz="12" w:space="0" w:color="auto"/>
              <w:right w:val="nil"/>
            </w:tcBorders>
          </w:tcPr>
          <w:p w14:paraId="53813E26" w14:textId="77777777" w:rsidR="003F0D4E" w:rsidRPr="00097A86" w:rsidRDefault="003F0D4E" w:rsidP="00B278A7">
            <w:pPr>
              <w:pStyle w:val="TableHeading"/>
            </w:pPr>
            <w:r w:rsidRPr="00097A86">
              <w:t>CH</w:t>
            </w:r>
            <w:r w:rsidRPr="00097A86">
              <w:rPr>
                <w:vertAlign w:val="subscript"/>
              </w:rPr>
              <w:t>4</w:t>
            </w:r>
          </w:p>
        </w:tc>
        <w:tc>
          <w:tcPr>
            <w:tcW w:w="585" w:type="pct"/>
            <w:tcBorders>
              <w:top w:val="single" w:sz="4" w:space="0" w:color="auto"/>
              <w:left w:val="nil"/>
              <w:bottom w:val="single" w:sz="12" w:space="0" w:color="auto"/>
              <w:right w:val="nil"/>
            </w:tcBorders>
          </w:tcPr>
          <w:p w14:paraId="203A1A1D" w14:textId="77777777" w:rsidR="003F0D4E" w:rsidRPr="00097A86" w:rsidRDefault="003F0D4E" w:rsidP="00B278A7">
            <w:pPr>
              <w:pStyle w:val="TableHeading"/>
            </w:pPr>
            <w:r w:rsidRPr="00097A86">
              <w:t>N</w:t>
            </w:r>
            <w:r w:rsidRPr="00097A86">
              <w:rPr>
                <w:vertAlign w:val="subscript"/>
              </w:rPr>
              <w:t>2</w:t>
            </w:r>
            <w:r w:rsidRPr="00097A86">
              <w:t>O</w:t>
            </w:r>
          </w:p>
        </w:tc>
      </w:tr>
      <w:tr w:rsidR="00473D46" w:rsidRPr="00097A86" w14:paraId="209E0A2A"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12A2F613" w14:textId="77777777" w:rsidR="00473D46" w:rsidRPr="00097A86" w:rsidRDefault="00473D46" w:rsidP="00465C0B">
            <w:pPr>
              <w:pStyle w:val="Tabletext"/>
              <w:rPr>
                <w:snapToGrid w:val="0"/>
              </w:rPr>
            </w:pPr>
            <w:r w:rsidRPr="00097A86">
              <w:rPr>
                <w:snapToGrid w:val="0"/>
              </w:rPr>
              <w:t>53</w:t>
            </w:r>
          </w:p>
        </w:tc>
        <w:tc>
          <w:tcPr>
            <w:tcW w:w="1797" w:type="pct"/>
            <w:gridSpan w:val="2"/>
          </w:tcPr>
          <w:p w14:paraId="10C6E2E3" w14:textId="77777777" w:rsidR="00473D46" w:rsidRPr="00097A86" w:rsidRDefault="00473D46" w:rsidP="00465C0B">
            <w:pPr>
              <w:pStyle w:val="Tabletext"/>
              <w:rPr>
                <w:snapToGrid w:val="0"/>
              </w:rPr>
            </w:pPr>
            <w:r w:rsidRPr="00097A86">
              <w:rPr>
                <w:snapToGrid w:val="0"/>
              </w:rPr>
              <w:t>Gasoline (other than for use as fuel in an aircraft)</w:t>
            </w:r>
          </w:p>
        </w:tc>
        <w:tc>
          <w:tcPr>
            <w:tcW w:w="1156" w:type="pct"/>
          </w:tcPr>
          <w:p w14:paraId="38FAE9D8" w14:textId="77777777" w:rsidR="00473D46" w:rsidRPr="00097A86" w:rsidRDefault="00473D46" w:rsidP="00465C0B">
            <w:pPr>
              <w:pStyle w:val="Tabletext"/>
              <w:rPr>
                <w:snapToGrid w:val="0"/>
              </w:rPr>
            </w:pPr>
            <w:r w:rsidRPr="00097A86">
              <w:rPr>
                <w:snapToGrid w:val="0"/>
              </w:rPr>
              <w:t>34.2</w:t>
            </w:r>
          </w:p>
        </w:tc>
        <w:tc>
          <w:tcPr>
            <w:tcW w:w="506" w:type="pct"/>
          </w:tcPr>
          <w:p w14:paraId="0CE9D2F9" w14:textId="77777777" w:rsidR="00473D46" w:rsidRPr="00097A86" w:rsidRDefault="00473D46" w:rsidP="00465C0B">
            <w:pPr>
              <w:pStyle w:val="Tabletext"/>
              <w:rPr>
                <w:snapToGrid w:val="0"/>
              </w:rPr>
            </w:pPr>
            <w:r w:rsidRPr="00097A86">
              <w:rPr>
                <w:snapToGrid w:val="0"/>
              </w:rPr>
              <w:t>67.4</w:t>
            </w:r>
          </w:p>
        </w:tc>
        <w:tc>
          <w:tcPr>
            <w:tcW w:w="584" w:type="pct"/>
          </w:tcPr>
          <w:p w14:paraId="014F4339" w14:textId="77777777" w:rsidR="00473D46" w:rsidRPr="00097A86" w:rsidRDefault="00473D46" w:rsidP="00465C0B">
            <w:pPr>
              <w:pStyle w:val="Tabletext"/>
              <w:rPr>
                <w:snapToGrid w:val="0"/>
              </w:rPr>
            </w:pPr>
            <w:r w:rsidRPr="00097A86">
              <w:rPr>
                <w:snapToGrid w:val="0"/>
              </w:rPr>
              <w:t>0.5</w:t>
            </w:r>
          </w:p>
        </w:tc>
        <w:tc>
          <w:tcPr>
            <w:tcW w:w="585" w:type="pct"/>
          </w:tcPr>
          <w:p w14:paraId="58D28DFD" w14:textId="77777777" w:rsidR="00473D46" w:rsidRPr="00097A86" w:rsidRDefault="00473D46" w:rsidP="00465C0B">
            <w:pPr>
              <w:pStyle w:val="Tabletext"/>
              <w:rPr>
                <w:snapToGrid w:val="0"/>
              </w:rPr>
            </w:pPr>
            <w:r w:rsidRPr="00097A86">
              <w:rPr>
                <w:snapToGrid w:val="0"/>
              </w:rPr>
              <w:t>1.8</w:t>
            </w:r>
          </w:p>
        </w:tc>
      </w:tr>
      <w:tr w:rsidR="00473D46" w:rsidRPr="00097A86" w14:paraId="618853EA"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69F8B7BC" w14:textId="77777777" w:rsidR="00473D46" w:rsidRPr="00097A86" w:rsidRDefault="00473D46" w:rsidP="00465C0B">
            <w:pPr>
              <w:pStyle w:val="Tabletext"/>
              <w:rPr>
                <w:snapToGrid w:val="0"/>
              </w:rPr>
            </w:pPr>
            <w:r w:rsidRPr="00097A86">
              <w:rPr>
                <w:snapToGrid w:val="0"/>
              </w:rPr>
              <w:t>54</w:t>
            </w:r>
          </w:p>
        </w:tc>
        <w:tc>
          <w:tcPr>
            <w:tcW w:w="1797" w:type="pct"/>
            <w:gridSpan w:val="2"/>
          </w:tcPr>
          <w:p w14:paraId="05AD9645" w14:textId="77777777" w:rsidR="00473D46" w:rsidRPr="00097A86" w:rsidRDefault="00473D46" w:rsidP="00465C0B">
            <w:pPr>
              <w:pStyle w:val="Tabletext"/>
              <w:rPr>
                <w:snapToGrid w:val="0"/>
              </w:rPr>
            </w:pPr>
            <w:r w:rsidRPr="00097A86">
              <w:rPr>
                <w:snapToGrid w:val="0"/>
              </w:rPr>
              <w:t>Diesel oil</w:t>
            </w:r>
          </w:p>
        </w:tc>
        <w:tc>
          <w:tcPr>
            <w:tcW w:w="1156" w:type="pct"/>
          </w:tcPr>
          <w:p w14:paraId="6F6A88EA" w14:textId="77777777" w:rsidR="00473D46" w:rsidRPr="00097A86" w:rsidRDefault="00473D46" w:rsidP="00465C0B">
            <w:pPr>
              <w:pStyle w:val="Tabletext"/>
              <w:rPr>
                <w:snapToGrid w:val="0"/>
              </w:rPr>
            </w:pPr>
            <w:r w:rsidRPr="00097A86">
              <w:rPr>
                <w:snapToGrid w:val="0"/>
              </w:rPr>
              <w:t>38.6</w:t>
            </w:r>
          </w:p>
        </w:tc>
        <w:tc>
          <w:tcPr>
            <w:tcW w:w="506" w:type="pct"/>
          </w:tcPr>
          <w:p w14:paraId="65136D85" w14:textId="77777777" w:rsidR="00473D46" w:rsidRPr="00097A86" w:rsidRDefault="00473D46" w:rsidP="00465C0B">
            <w:pPr>
              <w:pStyle w:val="Tabletext"/>
              <w:rPr>
                <w:snapToGrid w:val="0"/>
              </w:rPr>
            </w:pPr>
            <w:r w:rsidRPr="00097A86">
              <w:rPr>
                <w:snapToGrid w:val="0"/>
              </w:rPr>
              <w:t>69.9</w:t>
            </w:r>
          </w:p>
        </w:tc>
        <w:tc>
          <w:tcPr>
            <w:tcW w:w="584" w:type="pct"/>
          </w:tcPr>
          <w:p w14:paraId="355D728A" w14:textId="77777777" w:rsidR="00473D46" w:rsidRPr="00097A86" w:rsidRDefault="00473D46" w:rsidP="00465C0B">
            <w:pPr>
              <w:pStyle w:val="Tabletext"/>
              <w:rPr>
                <w:snapToGrid w:val="0"/>
              </w:rPr>
            </w:pPr>
            <w:r w:rsidRPr="00097A86">
              <w:rPr>
                <w:snapToGrid w:val="0"/>
              </w:rPr>
              <w:t>0.1</w:t>
            </w:r>
          </w:p>
        </w:tc>
        <w:tc>
          <w:tcPr>
            <w:tcW w:w="585" w:type="pct"/>
          </w:tcPr>
          <w:p w14:paraId="5CFFEF33" w14:textId="77777777" w:rsidR="00473D46" w:rsidRPr="00097A86" w:rsidRDefault="00473D46" w:rsidP="00465C0B">
            <w:pPr>
              <w:pStyle w:val="Tabletext"/>
              <w:rPr>
                <w:snapToGrid w:val="0"/>
              </w:rPr>
            </w:pPr>
            <w:r w:rsidRPr="00097A86">
              <w:rPr>
                <w:snapToGrid w:val="0"/>
              </w:rPr>
              <w:t>0.5</w:t>
            </w:r>
          </w:p>
        </w:tc>
      </w:tr>
      <w:tr w:rsidR="00473D46" w:rsidRPr="00097A86" w14:paraId="204FD381"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4608106C" w14:textId="77777777" w:rsidR="00473D46" w:rsidRPr="00097A86" w:rsidRDefault="00473D46" w:rsidP="00465C0B">
            <w:pPr>
              <w:pStyle w:val="Tabletext"/>
              <w:rPr>
                <w:snapToGrid w:val="0"/>
              </w:rPr>
            </w:pPr>
            <w:r w:rsidRPr="00097A86">
              <w:rPr>
                <w:snapToGrid w:val="0"/>
              </w:rPr>
              <w:t>55</w:t>
            </w:r>
          </w:p>
        </w:tc>
        <w:tc>
          <w:tcPr>
            <w:tcW w:w="1797" w:type="pct"/>
            <w:gridSpan w:val="2"/>
          </w:tcPr>
          <w:p w14:paraId="3E6AE5F6" w14:textId="77777777" w:rsidR="00473D46" w:rsidRPr="00097A86" w:rsidRDefault="00473D46" w:rsidP="00465C0B">
            <w:pPr>
              <w:pStyle w:val="Tabletext"/>
              <w:rPr>
                <w:snapToGrid w:val="0"/>
              </w:rPr>
            </w:pPr>
            <w:r w:rsidRPr="00097A86">
              <w:rPr>
                <w:snapToGrid w:val="0"/>
              </w:rPr>
              <w:t>Gasoline for use as fuel in an aircraft</w:t>
            </w:r>
          </w:p>
        </w:tc>
        <w:tc>
          <w:tcPr>
            <w:tcW w:w="1156" w:type="pct"/>
          </w:tcPr>
          <w:p w14:paraId="2604E955" w14:textId="77777777" w:rsidR="00473D46" w:rsidRPr="00097A86" w:rsidRDefault="00473D46" w:rsidP="00465C0B">
            <w:pPr>
              <w:pStyle w:val="Tabletext"/>
              <w:rPr>
                <w:snapToGrid w:val="0"/>
              </w:rPr>
            </w:pPr>
            <w:r w:rsidRPr="00097A86">
              <w:rPr>
                <w:snapToGrid w:val="0"/>
              </w:rPr>
              <w:t>33.1</w:t>
            </w:r>
          </w:p>
        </w:tc>
        <w:tc>
          <w:tcPr>
            <w:tcW w:w="506" w:type="pct"/>
          </w:tcPr>
          <w:p w14:paraId="257828FD" w14:textId="77777777" w:rsidR="00473D46" w:rsidRPr="00097A86" w:rsidRDefault="00473D46" w:rsidP="00465C0B">
            <w:pPr>
              <w:pStyle w:val="Tabletext"/>
              <w:rPr>
                <w:snapToGrid w:val="0"/>
              </w:rPr>
            </w:pPr>
            <w:r w:rsidRPr="00097A86">
              <w:rPr>
                <w:snapToGrid w:val="0"/>
              </w:rPr>
              <w:t>67.0</w:t>
            </w:r>
          </w:p>
        </w:tc>
        <w:tc>
          <w:tcPr>
            <w:tcW w:w="584" w:type="pct"/>
          </w:tcPr>
          <w:p w14:paraId="0DC933DA" w14:textId="77777777" w:rsidR="00473D46" w:rsidRPr="00097A86" w:rsidRDefault="00473D46" w:rsidP="00465C0B">
            <w:pPr>
              <w:pStyle w:val="Tabletext"/>
              <w:rPr>
                <w:snapToGrid w:val="0"/>
              </w:rPr>
            </w:pPr>
            <w:r w:rsidRPr="00097A86">
              <w:rPr>
                <w:snapToGrid w:val="0"/>
              </w:rPr>
              <w:t>0.05</w:t>
            </w:r>
          </w:p>
        </w:tc>
        <w:tc>
          <w:tcPr>
            <w:tcW w:w="585" w:type="pct"/>
          </w:tcPr>
          <w:p w14:paraId="7AD6DFAC" w14:textId="77777777" w:rsidR="00473D46" w:rsidRPr="00097A86" w:rsidRDefault="00473D46" w:rsidP="00465C0B">
            <w:pPr>
              <w:pStyle w:val="Tabletext"/>
              <w:rPr>
                <w:snapToGrid w:val="0"/>
              </w:rPr>
            </w:pPr>
            <w:r w:rsidRPr="00097A86">
              <w:rPr>
                <w:snapToGrid w:val="0"/>
              </w:rPr>
              <w:t>0.7</w:t>
            </w:r>
          </w:p>
        </w:tc>
      </w:tr>
      <w:tr w:rsidR="00473D46" w:rsidRPr="00097A86" w14:paraId="0A345649"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3171C5D2" w14:textId="77777777" w:rsidR="00473D46" w:rsidRPr="00097A86" w:rsidRDefault="00473D46" w:rsidP="00465C0B">
            <w:pPr>
              <w:pStyle w:val="Tabletext"/>
              <w:rPr>
                <w:snapToGrid w:val="0"/>
              </w:rPr>
            </w:pPr>
            <w:r w:rsidRPr="00097A86">
              <w:rPr>
                <w:snapToGrid w:val="0"/>
              </w:rPr>
              <w:t>56</w:t>
            </w:r>
          </w:p>
        </w:tc>
        <w:tc>
          <w:tcPr>
            <w:tcW w:w="1797" w:type="pct"/>
            <w:gridSpan w:val="2"/>
          </w:tcPr>
          <w:p w14:paraId="74BEC77A" w14:textId="77777777" w:rsidR="00473D46" w:rsidRPr="00097A86" w:rsidRDefault="00473D46" w:rsidP="00465C0B">
            <w:pPr>
              <w:pStyle w:val="Tabletext"/>
              <w:rPr>
                <w:snapToGrid w:val="0"/>
              </w:rPr>
            </w:pPr>
            <w:r w:rsidRPr="00097A86">
              <w:t>Kerosene for use as fuel in an aircraft</w:t>
            </w:r>
          </w:p>
        </w:tc>
        <w:tc>
          <w:tcPr>
            <w:tcW w:w="1156" w:type="pct"/>
          </w:tcPr>
          <w:p w14:paraId="55F78A61" w14:textId="77777777" w:rsidR="00473D46" w:rsidRPr="00097A86" w:rsidRDefault="00473D46" w:rsidP="00465C0B">
            <w:pPr>
              <w:pStyle w:val="Tabletext"/>
              <w:rPr>
                <w:snapToGrid w:val="0"/>
              </w:rPr>
            </w:pPr>
            <w:r w:rsidRPr="00097A86">
              <w:rPr>
                <w:snapToGrid w:val="0"/>
              </w:rPr>
              <w:t>36.8</w:t>
            </w:r>
          </w:p>
        </w:tc>
        <w:tc>
          <w:tcPr>
            <w:tcW w:w="506" w:type="pct"/>
          </w:tcPr>
          <w:p w14:paraId="14849D35" w14:textId="77777777" w:rsidR="00473D46" w:rsidRPr="00097A86" w:rsidRDefault="00473D46" w:rsidP="00465C0B">
            <w:pPr>
              <w:pStyle w:val="Tabletext"/>
              <w:rPr>
                <w:snapToGrid w:val="0"/>
              </w:rPr>
            </w:pPr>
            <w:r w:rsidRPr="00097A86">
              <w:rPr>
                <w:snapToGrid w:val="0"/>
              </w:rPr>
              <w:t>69.6</w:t>
            </w:r>
          </w:p>
        </w:tc>
        <w:tc>
          <w:tcPr>
            <w:tcW w:w="584" w:type="pct"/>
          </w:tcPr>
          <w:p w14:paraId="3E8FB84C" w14:textId="77777777" w:rsidR="00473D46" w:rsidRPr="00097A86" w:rsidRDefault="00473D46" w:rsidP="00465C0B">
            <w:pPr>
              <w:pStyle w:val="Tabletext"/>
              <w:rPr>
                <w:snapToGrid w:val="0"/>
              </w:rPr>
            </w:pPr>
            <w:r w:rsidRPr="00097A86">
              <w:rPr>
                <w:snapToGrid w:val="0"/>
              </w:rPr>
              <w:t>0.01</w:t>
            </w:r>
          </w:p>
        </w:tc>
        <w:tc>
          <w:tcPr>
            <w:tcW w:w="585" w:type="pct"/>
          </w:tcPr>
          <w:p w14:paraId="2A9DFE5F" w14:textId="77777777" w:rsidR="00473D46" w:rsidRPr="00097A86" w:rsidRDefault="00473D46" w:rsidP="00465C0B">
            <w:pPr>
              <w:pStyle w:val="Tabletext"/>
              <w:rPr>
                <w:snapToGrid w:val="0"/>
              </w:rPr>
            </w:pPr>
            <w:r w:rsidRPr="00097A86">
              <w:rPr>
                <w:snapToGrid w:val="0"/>
              </w:rPr>
              <w:t>0.6</w:t>
            </w:r>
          </w:p>
        </w:tc>
      </w:tr>
      <w:tr w:rsidR="00473D46" w:rsidRPr="00097A86" w14:paraId="2FC5D005"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14DEE4D8" w14:textId="77777777" w:rsidR="00473D46" w:rsidRPr="00097A86" w:rsidRDefault="00473D46" w:rsidP="00465C0B">
            <w:pPr>
              <w:pStyle w:val="Tabletext"/>
              <w:rPr>
                <w:snapToGrid w:val="0"/>
              </w:rPr>
            </w:pPr>
            <w:r w:rsidRPr="00097A86">
              <w:rPr>
                <w:snapToGrid w:val="0"/>
              </w:rPr>
              <w:t>57</w:t>
            </w:r>
          </w:p>
        </w:tc>
        <w:tc>
          <w:tcPr>
            <w:tcW w:w="1797" w:type="pct"/>
            <w:gridSpan w:val="2"/>
          </w:tcPr>
          <w:p w14:paraId="45FE0065" w14:textId="77777777" w:rsidR="00473D46" w:rsidRPr="00097A86" w:rsidRDefault="00473D46" w:rsidP="00465C0B">
            <w:pPr>
              <w:pStyle w:val="Tabletext"/>
              <w:rPr>
                <w:snapToGrid w:val="0"/>
              </w:rPr>
            </w:pPr>
            <w:r w:rsidRPr="00097A86">
              <w:rPr>
                <w:snapToGrid w:val="0"/>
              </w:rPr>
              <w:t>Fuel oil</w:t>
            </w:r>
          </w:p>
        </w:tc>
        <w:tc>
          <w:tcPr>
            <w:tcW w:w="1156" w:type="pct"/>
          </w:tcPr>
          <w:p w14:paraId="3C61F8EF" w14:textId="77777777" w:rsidR="00473D46" w:rsidRPr="00097A86" w:rsidRDefault="00473D46" w:rsidP="00465C0B">
            <w:pPr>
              <w:pStyle w:val="Tabletext"/>
              <w:rPr>
                <w:snapToGrid w:val="0"/>
              </w:rPr>
            </w:pPr>
            <w:r w:rsidRPr="00097A86">
              <w:rPr>
                <w:snapToGrid w:val="0"/>
              </w:rPr>
              <w:t>39.7</w:t>
            </w:r>
          </w:p>
        </w:tc>
        <w:tc>
          <w:tcPr>
            <w:tcW w:w="506" w:type="pct"/>
          </w:tcPr>
          <w:p w14:paraId="1597C54A" w14:textId="77777777" w:rsidR="00473D46" w:rsidRPr="00097A86" w:rsidRDefault="00473D46" w:rsidP="00465C0B">
            <w:pPr>
              <w:pStyle w:val="Tabletext"/>
              <w:rPr>
                <w:snapToGrid w:val="0"/>
              </w:rPr>
            </w:pPr>
            <w:r w:rsidRPr="00097A86">
              <w:rPr>
                <w:snapToGrid w:val="0"/>
              </w:rPr>
              <w:t>73.6</w:t>
            </w:r>
          </w:p>
        </w:tc>
        <w:tc>
          <w:tcPr>
            <w:tcW w:w="584" w:type="pct"/>
          </w:tcPr>
          <w:p w14:paraId="7A7860E6" w14:textId="77777777" w:rsidR="00473D46" w:rsidRPr="00097A86" w:rsidRDefault="00473D46" w:rsidP="00465C0B">
            <w:pPr>
              <w:pStyle w:val="Tabletext"/>
              <w:rPr>
                <w:snapToGrid w:val="0"/>
              </w:rPr>
            </w:pPr>
            <w:r w:rsidRPr="00097A86">
              <w:rPr>
                <w:snapToGrid w:val="0"/>
              </w:rPr>
              <w:t>0.07</w:t>
            </w:r>
          </w:p>
        </w:tc>
        <w:tc>
          <w:tcPr>
            <w:tcW w:w="585" w:type="pct"/>
          </w:tcPr>
          <w:p w14:paraId="772A6085" w14:textId="77777777" w:rsidR="00473D46" w:rsidRPr="00097A86" w:rsidRDefault="00473D46" w:rsidP="00465C0B">
            <w:pPr>
              <w:pStyle w:val="Tabletext"/>
              <w:rPr>
                <w:snapToGrid w:val="0"/>
              </w:rPr>
            </w:pPr>
            <w:r w:rsidRPr="00097A86">
              <w:rPr>
                <w:snapToGrid w:val="0"/>
              </w:rPr>
              <w:t>0.6</w:t>
            </w:r>
          </w:p>
        </w:tc>
      </w:tr>
      <w:tr w:rsidR="00473D46" w:rsidRPr="00097A86" w14:paraId="37B36BEF"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52CA137A" w14:textId="77777777" w:rsidR="00473D46" w:rsidRPr="00097A86" w:rsidRDefault="00473D46" w:rsidP="00465C0B">
            <w:pPr>
              <w:pStyle w:val="Tabletext"/>
              <w:rPr>
                <w:snapToGrid w:val="0"/>
              </w:rPr>
            </w:pPr>
            <w:r w:rsidRPr="00097A86">
              <w:rPr>
                <w:snapToGrid w:val="0"/>
              </w:rPr>
              <w:t>58</w:t>
            </w:r>
          </w:p>
        </w:tc>
        <w:tc>
          <w:tcPr>
            <w:tcW w:w="1797" w:type="pct"/>
            <w:gridSpan w:val="2"/>
          </w:tcPr>
          <w:p w14:paraId="2D5A09FC" w14:textId="77777777" w:rsidR="00473D46" w:rsidRPr="00097A86" w:rsidRDefault="00473D46" w:rsidP="00465C0B">
            <w:pPr>
              <w:pStyle w:val="Tabletext"/>
              <w:rPr>
                <w:snapToGrid w:val="0"/>
              </w:rPr>
            </w:pPr>
            <w:r w:rsidRPr="00097A86">
              <w:rPr>
                <w:snapToGrid w:val="0"/>
              </w:rPr>
              <w:t>Liquefied petroleum gas</w:t>
            </w:r>
          </w:p>
        </w:tc>
        <w:tc>
          <w:tcPr>
            <w:tcW w:w="1156" w:type="pct"/>
          </w:tcPr>
          <w:p w14:paraId="723DDA24" w14:textId="77777777" w:rsidR="00473D46" w:rsidRPr="00097A86" w:rsidRDefault="00473D46" w:rsidP="00465C0B">
            <w:pPr>
              <w:pStyle w:val="Tabletext"/>
              <w:rPr>
                <w:snapToGrid w:val="0"/>
              </w:rPr>
            </w:pPr>
            <w:r w:rsidRPr="00097A86">
              <w:rPr>
                <w:snapToGrid w:val="0"/>
              </w:rPr>
              <w:t>26.2</w:t>
            </w:r>
          </w:p>
        </w:tc>
        <w:tc>
          <w:tcPr>
            <w:tcW w:w="506" w:type="pct"/>
          </w:tcPr>
          <w:p w14:paraId="49E68FDD" w14:textId="77777777" w:rsidR="00473D46" w:rsidRPr="00097A86" w:rsidRDefault="00473D46" w:rsidP="00465C0B">
            <w:pPr>
              <w:pStyle w:val="Tabletext"/>
              <w:rPr>
                <w:snapToGrid w:val="0"/>
              </w:rPr>
            </w:pPr>
            <w:r w:rsidRPr="00097A86">
              <w:rPr>
                <w:snapToGrid w:val="0"/>
              </w:rPr>
              <w:t>60.2</w:t>
            </w:r>
          </w:p>
        </w:tc>
        <w:tc>
          <w:tcPr>
            <w:tcW w:w="584" w:type="pct"/>
          </w:tcPr>
          <w:p w14:paraId="2D29E3A2" w14:textId="77777777" w:rsidR="00473D46" w:rsidRPr="00097A86" w:rsidRDefault="00473D46" w:rsidP="00465C0B">
            <w:pPr>
              <w:pStyle w:val="Tabletext"/>
              <w:rPr>
                <w:snapToGrid w:val="0"/>
              </w:rPr>
            </w:pPr>
            <w:r w:rsidRPr="00097A86">
              <w:rPr>
                <w:snapToGrid w:val="0"/>
              </w:rPr>
              <w:t>0.6</w:t>
            </w:r>
          </w:p>
        </w:tc>
        <w:tc>
          <w:tcPr>
            <w:tcW w:w="585" w:type="pct"/>
          </w:tcPr>
          <w:p w14:paraId="3B0E893B" w14:textId="77777777" w:rsidR="00473D46" w:rsidRPr="00097A86" w:rsidRDefault="00473D46" w:rsidP="00465C0B">
            <w:pPr>
              <w:pStyle w:val="Tabletext"/>
              <w:rPr>
                <w:snapToGrid w:val="0"/>
              </w:rPr>
            </w:pPr>
            <w:r w:rsidRPr="00097A86">
              <w:rPr>
                <w:snapToGrid w:val="0"/>
              </w:rPr>
              <w:t>0.7</w:t>
            </w:r>
          </w:p>
        </w:tc>
      </w:tr>
      <w:tr w:rsidR="00473D46" w:rsidRPr="00097A86" w14:paraId="36561B21"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79407EF2" w14:textId="77777777" w:rsidR="00473D46" w:rsidRPr="00097A86" w:rsidRDefault="00473D46" w:rsidP="00465C0B">
            <w:pPr>
              <w:pStyle w:val="Tabletext"/>
              <w:rPr>
                <w:snapToGrid w:val="0"/>
              </w:rPr>
            </w:pPr>
            <w:r w:rsidRPr="00097A86">
              <w:rPr>
                <w:snapToGrid w:val="0"/>
              </w:rPr>
              <w:t>59</w:t>
            </w:r>
          </w:p>
        </w:tc>
        <w:tc>
          <w:tcPr>
            <w:tcW w:w="1797" w:type="pct"/>
            <w:gridSpan w:val="2"/>
          </w:tcPr>
          <w:p w14:paraId="3A5302ED" w14:textId="77777777" w:rsidR="00473D46" w:rsidRPr="00097A86" w:rsidRDefault="00473D46" w:rsidP="00465C0B">
            <w:pPr>
              <w:pStyle w:val="Tabletext"/>
              <w:rPr>
                <w:snapToGrid w:val="0"/>
              </w:rPr>
            </w:pPr>
            <w:r w:rsidRPr="00097A86">
              <w:rPr>
                <w:snapToGrid w:val="0"/>
              </w:rPr>
              <w:t>Biodiesel</w:t>
            </w:r>
          </w:p>
        </w:tc>
        <w:tc>
          <w:tcPr>
            <w:tcW w:w="1156" w:type="pct"/>
          </w:tcPr>
          <w:p w14:paraId="1DA3FF10" w14:textId="77777777" w:rsidR="00473D46" w:rsidRPr="00097A86" w:rsidRDefault="00473D46" w:rsidP="00465C0B">
            <w:pPr>
              <w:pStyle w:val="Tabletext"/>
              <w:rPr>
                <w:snapToGrid w:val="0"/>
              </w:rPr>
            </w:pPr>
            <w:r w:rsidRPr="00097A86">
              <w:rPr>
                <w:snapToGrid w:val="0"/>
              </w:rPr>
              <w:t>34.6</w:t>
            </w:r>
          </w:p>
        </w:tc>
        <w:tc>
          <w:tcPr>
            <w:tcW w:w="506" w:type="pct"/>
          </w:tcPr>
          <w:p w14:paraId="377CCECC" w14:textId="77777777" w:rsidR="00473D46" w:rsidRPr="00097A86" w:rsidRDefault="00473D46" w:rsidP="00465C0B">
            <w:pPr>
              <w:pStyle w:val="Tabletext"/>
              <w:rPr>
                <w:snapToGrid w:val="0"/>
              </w:rPr>
            </w:pPr>
            <w:r w:rsidRPr="00097A86">
              <w:rPr>
                <w:snapToGrid w:val="0"/>
              </w:rPr>
              <w:t>0.0</w:t>
            </w:r>
          </w:p>
        </w:tc>
        <w:tc>
          <w:tcPr>
            <w:tcW w:w="584" w:type="pct"/>
          </w:tcPr>
          <w:p w14:paraId="4A16349C" w14:textId="77777777" w:rsidR="00473D46" w:rsidRPr="00097A86" w:rsidRDefault="00473D46" w:rsidP="00465C0B">
            <w:pPr>
              <w:pStyle w:val="Tabletext"/>
              <w:rPr>
                <w:snapToGrid w:val="0"/>
              </w:rPr>
            </w:pPr>
            <w:r w:rsidRPr="00097A86">
              <w:rPr>
                <w:snapToGrid w:val="0"/>
              </w:rPr>
              <w:t>0.7</w:t>
            </w:r>
          </w:p>
        </w:tc>
        <w:tc>
          <w:tcPr>
            <w:tcW w:w="585" w:type="pct"/>
          </w:tcPr>
          <w:p w14:paraId="50ED2FF8" w14:textId="77777777" w:rsidR="00473D46" w:rsidRPr="00097A86" w:rsidRDefault="00473D46" w:rsidP="00465C0B">
            <w:pPr>
              <w:pStyle w:val="Tabletext"/>
              <w:rPr>
                <w:snapToGrid w:val="0"/>
              </w:rPr>
            </w:pPr>
            <w:r w:rsidRPr="00097A86">
              <w:rPr>
                <w:snapToGrid w:val="0"/>
              </w:rPr>
              <w:t>1.9</w:t>
            </w:r>
          </w:p>
        </w:tc>
      </w:tr>
      <w:tr w:rsidR="00473D46" w:rsidRPr="00097A86" w14:paraId="78480DBE"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205B9942" w14:textId="77777777" w:rsidR="00473D46" w:rsidRPr="00097A86" w:rsidRDefault="00473D46" w:rsidP="00465C0B">
            <w:pPr>
              <w:pStyle w:val="Tabletext"/>
              <w:rPr>
                <w:snapToGrid w:val="0"/>
              </w:rPr>
            </w:pPr>
            <w:r w:rsidRPr="00097A86">
              <w:rPr>
                <w:snapToGrid w:val="0"/>
              </w:rPr>
              <w:t>60</w:t>
            </w:r>
          </w:p>
        </w:tc>
        <w:tc>
          <w:tcPr>
            <w:tcW w:w="1797" w:type="pct"/>
            <w:gridSpan w:val="2"/>
          </w:tcPr>
          <w:p w14:paraId="75132B67" w14:textId="77777777" w:rsidR="00473D46" w:rsidRPr="00097A86" w:rsidRDefault="00473D46" w:rsidP="00465C0B">
            <w:pPr>
              <w:pStyle w:val="Tabletext"/>
              <w:rPr>
                <w:b/>
                <w:snapToGrid w:val="0"/>
              </w:rPr>
            </w:pPr>
            <w:r w:rsidRPr="00097A86">
              <w:rPr>
                <w:snapToGrid w:val="0"/>
              </w:rPr>
              <w:t>Ethanol for use as fuel in an internal combustion engine</w:t>
            </w:r>
          </w:p>
        </w:tc>
        <w:tc>
          <w:tcPr>
            <w:tcW w:w="1156" w:type="pct"/>
          </w:tcPr>
          <w:p w14:paraId="7B74F19F" w14:textId="77777777" w:rsidR="00473D46" w:rsidRPr="00097A86" w:rsidRDefault="00473D46" w:rsidP="00465C0B">
            <w:pPr>
              <w:pStyle w:val="Tabletext"/>
              <w:rPr>
                <w:snapToGrid w:val="0"/>
              </w:rPr>
            </w:pPr>
            <w:r w:rsidRPr="00097A86">
              <w:rPr>
                <w:snapToGrid w:val="0"/>
              </w:rPr>
              <w:t>23.4</w:t>
            </w:r>
          </w:p>
        </w:tc>
        <w:tc>
          <w:tcPr>
            <w:tcW w:w="506" w:type="pct"/>
          </w:tcPr>
          <w:p w14:paraId="50664D7B" w14:textId="77777777" w:rsidR="00473D46" w:rsidRPr="00097A86" w:rsidRDefault="00473D46" w:rsidP="00465C0B">
            <w:pPr>
              <w:pStyle w:val="Tabletext"/>
              <w:rPr>
                <w:snapToGrid w:val="0"/>
              </w:rPr>
            </w:pPr>
            <w:r w:rsidRPr="00097A86">
              <w:rPr>
                <w:snapToGrid w:val="0"/>
              </w:rPr>
              <w:t>0.0</w:t>
            </w:r>
          </w:p>
        </w:tc>
        <w:tc>
          <w:tcPr>
            <w:tcW w:w="584" w:type="pct"/>
          </w:tcPr>
          <w:p w14:paraId="7FB75719" w14:textId="77777777" w:rsidR="00473D46" w:rsidRPr="00097A86" w:rsidRDefault="00473D46" w:rsidP="00465C0B">
            <w:pPr>
              <w:pStyle w:val="Tabletext"/>
              <w:rPr>
                <w:snapToGrid w:val="0"/>
              </w:rPr>
            </w:pPr>
            <w:r w:rsidRPr="00097A86">
              <w:rPr>
                <w:snapToGrid w:val="0"/>
              </w:rPr>
              <w:t>0.7</w:t>
            </w:r>
          </w:p>
        </w:tc>
        <w:tc>
          <w:tcPr>
            <w:tcW w:w="585" w:type="pct"/>
          </w:tcPr>
          <w:p w14:paraId="37955E1B" w14:textId="77777777" w:rsidR="00473D46" w:rsidRPr="00097A86" w:rsidRDefault="00473D46" w:rsidP="00465C0B">
            <w:pPr>
              <w:pStyle w:val="Tabletext"/>
              <w:rPr>
                <w:snapToGrid w:val="0"/>
              </w:rPr>
            </w:pPr>
            <w:r w:rsidRPr="00097A86">
              <w:rPr>
                <w:snapToGrid w:val="0"/>
              </w:rPr>
              <w:t>1.9</w:t>
            </w:r>
          </w:p>
        </w:tc>
      </w:tr>
      <w:tr w:rsidR="00473D46" w:rsidRPr="00097A86" w14:paraId="2CE1F342"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7F442D5A" w14:textId="77777777" w:rsidR="00473D46" w:rsidRPr="00097A86" w:rsidRDefault="00473D46" w:rsidP="00465C0B">
            <w:pPr>
              <w:pStyle w:val="Tabletext"/>
              <w:rPr>
                <w:snapToGrid w:val="0"/>
              </w:rPr>
            </w:pPr>
            <w:r w:rsidRPr="00097A86">
              <w:rPr>
                <w:snapToGrid w:val="0"/>
              </w:rPr>
              <w:t>61</w:t>
            </w:r>
          </w:p>
        </w:tc>
        <w:tc>
          <w:tcPr>
            <w:tcW w:w="1797" w:type="pct"/>
            <w:gridSpan w:val="2"/>
          </w:tcPr>
          <w:p w14:paraId="758CD54C" w14:textId="77777777" w:rsidR="00473D46" w:rsidRPr="00097A86" w:rsidRDefault="00473D46" w:rsidP="00465C0B">
            <w:pPr>
              <w:pStyle w:val="Tabletext"/>
              <w:rPr>
                <w:snapToGrid w:val="0"/>
              </w:rPr>
            </w:pPr>
            <w:r w:rsidRPr="00097A86">
              <w:rPr>
                <w:snapToGrid w:val="0"/>
              </w:rPr>
              <w:t>Biofuels other than those mentioned in items</w:t>
            </w:r>
            <w:r w:rsidR="00097A86">
              <w:rPr>
                <w:snapToGrid w:val="0"/>
              </w:rPr>
              <w:t> </w:t>
            </w:r>
            <w:r w:rsidRPr="00097A86">
              <w:rPr>
                <w:snapToGrid w:val="0"/>
              </w:rPr>
              <w:t>59 and 60</w:t>
            </w:r>
          </w:p>
        </w:tc>
        <w:tc>
          <w:tcPr>
            <w:tcW w:w="1156" w:type="pct"/>
          </w:tcPr>
          <w:p w14:paraId="36DFAB56" w14:textId="77777777" w:rsidR="00473D46" w:rsidRPr="00097A86" w:rsidRDefault="00473D46" w:rsidP="00465C0B">
            <w:pPr>
              <w:pStyle w:val="Tabletext"/>
              <w:rPr>
                <w:snapToGrid w:val="0"/>
              </w:rPr>
            </w:pPr>
            <w:r w:rsidRPr="00097A86">
              <w:rPr>
                <w:snapToGrid w:val="0"/>
              </w:rPr>
              <w:t>23.4</w:t>
            </w:r>
          </w:p>
        </w:tc>
        <w:tc>
          <w:tcPr>
            <w:tcW w:w="506" w:type="pct"/>
          </w:tcPr>
          <w:p w14:paraId="3DBCDD48" w14:textId="77777777" w:rsidR="00473D46" w:rsidRPr="00097A86" w:rsidRDefault="00473D46" w:rsidP="00465C0B">
            <w:pPr>
              <w:pStyle w:val="Tabletext"/>
              <w:rPr>
                <w:snapToGrid w:val="0"/>
              </w:rPr>
            </w:pPr>
            <w:r w:rsidRPr="00097A86">
              <w:rPr>
                <w:snapToGrid w:val="0"/>
              </w:rPr>
              <w:t>0.0</w:t>
            </w:r>
          </w:p>
        </w:tc>
        <w:tc>
          <w:tcPr>
            <w:tcW w:w="584" w:type="pct"/>
          </w:tcPr>
          <w:p w14:paraId="1181E13C" w14:textId="77777777" w:rsidR="00473D46" w:rsidRPr="00097A86" w:rsidRDefault="00473D46" w:rsidP="00465C0B">
            <w:pPr>
              <w:pStyle w:val="Tabletext"/>
              <w:rPr>
                <w:snapToGrid w:val="0"/>
              </w:rPr>
            </w:pPr>
            <w:r w:rsidRPr="00097A86">
              <w:rPr>
                <w:snapToGrid w:val="0"/>
              </w:rPr>
              <w:t>0.7</w:t>
            </w:r>
          </w:p>
        </w:tc>
        <w:tc>
          <w:tcPr>
            <w:tcW w:w="585" w:type="pct"/>
          </w:tcPr>
          <w:p w14:paraId="3EAA789D" w14:textId="77777777" w:rsidR="00473D46" w:rsidRPr="00097A86" w:rsidRDefault="00473D46" w:rsidP="00465C0B">
            <w:pPr>
              <w:pStyle w:val="Tabletext"/>
              <w:rPr>
                <w:snapToGrid w:val="0"/>
              </w:rPr>
            </w:pPr>
            <w:r w:rsidRPr="00097A86">
              <w:rPr>
                <w:snapToGrid w:val="0"/>
              </w:rPr>
              <w:t>1.9</w:t>
            </w:r>
          </w:p>
        </w:tc>
      </w:tr>
      <w:tr w:rsidR="00473D46" w:rsidRPr="00097A86" w14:paraId="23F0BD4A"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733DE4BE" w14:textId="77777777" w:rsidR="00473D46" w:rsidRPr="00097A86" w:rsidRDefault="00473D46" w:rsidP="00465C0B">
            <w:pPr>
              <w:pStyle w:val="Tabletext"/>
              <w:rPr>
                <w:snapToGrid w:val="0"/>
              </w:rPr>
            </w:pPr>
            <w:r w:rsidRPr="00097A86">
              <w:rPr>
                <w:snapToGrid w:val="0"/>
              </w:rPr>
              <w:t>62</w:t>
            </w:r>
          </w:p>
        </w:tc>
        <w:tc>
          <w:tcPr>
            <w:tcW w:w="1797" w:type="pct"/>
            <w:gridSpan w:val="2"/>
          </w:tcPr>
          <w:p w14:paraId="287D4EF3" w14:textId="77777777" w:rsidR="00473D46" w:rsidRPr="00097A86" w:rsidRDefault="00473D46" w:rsidP="00465C0B">
            <w:pPr>
              <w:pStyle w:val="Tabletext"/>
              <w:rPr>
                <w:snapToGrid w:val="0"/>
              </w:rPr>
            </w:pPr>
            <w:r w:rsidRPr="00097A86">
              <w:t>Compressed natural gas that has reverted to standard conditions (light duty vehicles)</w:t>
            </w:r>
          </w:p>
        </w:tc>
        <w:tc>
          <w:tcPr>
            <w:tcW w:w="1156" w:type="pct"/>
          </w:tcPr>
          <w:p w14:paraId="6A4A98EA" w14:textId="77777777" w:rsidR="00473D46" w:rsidRPr="00097A86" w:rsidRDefault="00473D46" w:rsidP="00465C0B">
            <w:pPr>
              <w:pStyle w:val="Tabletext"/>
              <w:rPr>
                <w:snapToGrid w:val="0"/>
              </w:rPr>
            </w:pPr>
            <w:r w:rsidRPr="00097A86">
              <w:rPr>
                <w:snapToGrid w:val="0"/>
              </w:rPr>
              <w:t xml:space="preserve">39.3 </w:t>
            </w:r>
            <w:r w:rsidRPr="00097A86">
              <w:t>×</w:t>
            </w:r>
            <w:r w:rsidRPr="00097A86">
              <w:rPr>
                <w:snapToGrid w:val="0"/>
              </w:rPr>
              <w:t xml:space="preserve"> 10</w:t>
            </w:r>
            <w:r w:rsidR="00097A86">
              <w:rPr>
                <w:snapToGrid w:val="0"/>
              </w:rPr>
              <w:noBreakHyphen/>
            </w:r>
            <w:r w:rsidRPr="00097A86">
              <w:rPr>
                <w:snapToGrid w:val="0"/>
              </w:rPr>
              <w:t>3 GJ/m3</w:t>
            </w:r>
          </w:p>
        </w:tc>
        <w:tc>
          <w:tcPr>
            <w:tcW w:w="506" w:type="pct"/>
          </w:tcPr>
          <w:p w14:paraId="4AD944A4" w14:textId="77777777" w:rsidR="00473D46" w:rsidRPr="00097A86" w:rsidRDefault="00473D46" w:rsidP="00465C0B">
            <w:pPr>
              <w:pStyle w:val="Tabletext"/>
              <w:rPr>
                <w:snapToGrid w:val="0"/>
              </w:rPr>
            </w:pPr>
            <w:r w:rsidRPr="00097A86">
              <w:rPr>
                <w:snapToGrid w:val="0"/>
              </w:rPr>
              <w:t>51.4</w:t>
            </w:r>
          </w:p>
        </w:tc>
        <w:tc>
          <w:tcPr>
            <w:tcW w:w="584" w:type="pct"/>
          </w:tcPr>
          <w:p w14:paraId="0C2B162E" w14:textId="77777777" w:rsidR="00473D46" w:rsidRPr="00097A86" w:rsidRDefault="00473D46" w:rsidP="00465C0B">
            <w:pPr>
              <w:pStyle w:val="Tabletext"/>
              <w:rPr>
                <w:snapToGrid w:val="0"/>
              </w:rPr>
            </w:pPr>
            <w:r w:rsidRPr="00097A86">
              <w:rPr>
                <w:snapToGrid w:val="0"/>
              </w:rPr>
              <w:t>6.5</w:t>
            </w:r>
          </w:p>
        </w:tc>
        <w:tc>
          <w:tcPr>
            <w:tcW w:w="585" w:type="pct"/>
          </w:tcPr>
          <w:p w14:paraId="6BFEAAF1" w14:textId="77777777" w:rsidR="00473D46" w:rsidRPr="00097A86" w:rsidRDefault="00473D46" w:rsidP="00465C0B">
            <w:pPr>
              <w:pStyle w:val="Tabletext"/>
              <w:rPr>
                <w:snapToGrid w:val="0"/>
              </w:rPr>
            </w:pPr>
            <w:r w:rsidRPr="00097A86">
              <w:rPr>
                <w:snapToGrid w:val="0"/>
              </w:rPr>
              <w:t>0.3</w:t>
            </w:r>
          </w:p>
        </w:tc>
      </w:tr>
      <w:tr w:rsidR="00473D46" w:rsidRPr="00097A86" w14:paraId="09756EF9"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pct"/>
          </w:tcPr>
          <w:p w14:paraId="659A7C59" w14:textId="77777777" w:rsidR="00473D46" w:rsidRPr="00097A86" w:rsidRDefault="00473D46" w:rsidP="00465C0B">
            <w:pPr>
              <w:pStyle w:val="Tabletext"/>
              <w:rPr>
                <w:snapToGrid w:val="0"/>
              </w:rPr>
            </w:pPr>
            <w:r w:rsidRPr="00097A86">
              <w:rPr>
                <w:snapToGrid w:val="0"/>
              </w:rPr>
              <w:t>63</w:t>
            </w:r>
          </w:p>
        </w:tc>
        <w:tc>
          <w:tcPr>
            <w:tcW w:w="1797" w:type="pct"/>
            <w:gridSpan w:val="2"/>
          </w:tcPr>
          <w:p w14:paraId="72A15292" w14:textId="77777777" w:rsidR="00473D46" w:rsidRPr="00097A86" w:rsidRDefault="00473D46" w:rsidP="00465C0B">
            <w:pPr>
              <w:pStyle w:val="Tabletext"/>
              <w:rPr>
                <w:snapToGrid w:val="0"/>
              </w:rPr>
            </w:pPr>
            <w:r w:rsidRPr="00097A86">
              <w:t>Compressed natural gas that has reverted to standard conditions (heavy duty vehicles)</w:t>
            </w:r>
          </w:p>
        </w:tc>
        <w:tc>
          <w:tcPr>
            <w:tcW w:w="1156" w:type="pct"/>
          </w:tcPr>
          <w:p w14:paraId="31E9AEFD" w14:textId="77777777" w:rsidR="00473D46" w:rsidRPr="00097A86" w:rsidRDefault="00473D46" w:rsidP="00465C0B">
            <w:pPr>
              <w:pStyle w:val="Tabletext"/>
              <w:rPr>
                <w:snapToGrid w:val="0"/>
              </w:rPr>
            </w:pPr>
            <w:r w:rsidRPr="00097A86">
              <w:rPr>
                <w:snapToGrid w:val="0"/>
              </w:rPr>
              <w:t xml:space="preserve">39.3 </w:t>
            </w:r>
            <w:r w:rsidRPr="00097A86">
              <w:t>×</w:t>
            </w:r>
            <w:r w:rsidRPr="00097A86">
              <w:rPr>
                <w:snapToGrid w:val="0"/>
              </w:rPr>
              <w:t xml:space="preserve"> 10</w:t>
            </w:r>
            <w:r w:rsidR="00097A86">
              <w:rPr>
                <w:snapToGrid w:val="0"/>
              </w:rPr>
              <w:noBreakHyphen/>
            </w:r>
            <w:r w:rsidRPr="00097A86">
              <w:rPr>
                <w:snapToGrid w:val="0"/>
              </w:rPr>
              <w:t>3 GJ/m3</w:t>
            </w:r>
          </w:p>
        </w:tc>
        <w:tc>
          <w:tcPr>
            <w:tcW w:w="506" w:type="pct"/>
          </w:tcPr>
          <w:p w14:paraId="6CEAF4CD" w14:textId="77777777" w:rsidR="00473D46" w:rsidRPr="00097A86" w:rsidRDefault="00473D46" w:rsidP="00465C0B">
            <w:pPr>
              <w:pStyle w:val="Tabletext"/>
              <w:rPr>
                <w:snapToGrid w:val="0"/>
              </w:rPr>
            </w:pPr>
            <w:r w:rsidRPr="00097A86">
              <w:rPr>
                <w:snapToGrid w:val="0"/>
              </w:rPr>
              <w:t>51.4</w:t>
            </w:r>
          </w:p>
        </w:tc>
        <w:tc>
          <w:tcPr>
            <w:tcW w:w="584" w:type="pct"/>
          </w:tcPr>
          <w:p w14:paraId="0CBE54F6" w14:textId="77777777" w:rsidR="00473D46" w:rsidRPr="00097A86" w:rsidRDefault="00473D46" w:rsidP="00465C0B">
            <w:pPr>
              <w:pStyle w:val="Tabletext"/>
              <w:rPr>
                <w:snapToGrid w:val="0"/>
              </w:rPr>
            </w:pPr>
            <w:r w:rsidRPr="00097A86">
              <w:rPr>
                <w:snapToGrid w:val="0"/>
              </w:rPr>
              <w:t>2.5</w:t>
            </w:r>
          </w:p>
        </w:tc>
        <w:tc>
          <w:tcPr>
            <w:tcW w:w="585" w:type="pct"/>
          </w:tcPr>
          <w:p w14:paraId="7CCE17D6" w14:textId="77777777" w:rsidR="00473D46" w:rsidRPr="00097A86" w:rsidRDefault="00473D46" w:rsidP="00465C0B">
            <w:pPr>
              <w:pStyle w:val="Tabletext"/>
              <w:rPr>
                <w:snapToGrid w:val="0"/>
              </w:rPr>
            </w:pPr>
            <w:r w:rsidRPr="00097A86">
              <w:rPr>
                <w:snapToGrid w:val="0"/>
              </w:rPr>
              <w:t>0.3</w:t>
            </w:r>
          </w:p>
        </w:tc>
      </w:tr>
      <w:tr w:rsidR="00473D46" w:rsidRPr="00097A86" w14:paraId="0643373B" w14:textId="77777777" w:rsidTr="00C20CC2">
        <w:trPr>
          <w:cantSplit/>
        </w:trPr>
        <w:tc>
          <w:tcPr>
            <w:tcW w:w="372" w:type="pct"/>
            <w:tcBorders>
              <w:top w:val="nil"/>
              <w:left w:val="nil"/>
              <w:bottom w:val="nil"/>
              <w:right w:val="nil"/>
            </w:tcBorders>
          </w:tcPr>
          <w:p w14:paraId="792EEE3E" w14:textId="77777777" w:rsidR="00473D46" w:rsidRPr="00097A86" w:rsidRDefault="00473D46" w:rsidP="00465C0B">
            <w:pPr>
              <w:pStyle w:val="Tabletext"/>
              <w:rPr>
                <w:snapToGrid w:val="0"/>
              </w:rPr>
            </w:pPr>
            <w:r w:rsidRPr="00097A86">
              <w:rPr>
                <w:snapToGrid w:val="0"/>
              </w:rPr>
              <w:t>63A</w:t>
            </w:r>
          </w:p>
        </w:tc>
        <w:tc>
          <w:tcPr>
            <w:tcW w:w="1797" w:type="pct"/>
            <w:gridSpan w:val="2"/>
            <w:tcBorders>
              <w:top w:val="nil"/>
              <w:left w:val="nil"/>
              <w:bottom w:val="nil"/>
              <w:right w:val="nil"/>
            </w:tcBorders>
          </w:tcPr>
          <w:p w14:paraId="1876ABAC" w14:textId="77777777" w:rsidR="00473D46" w:rsidRPr="00097A86" w:rsidRDefault="00473D46" w:rsidP="00465C0B">
            <w:pPr>
              <w:pStyle w:val="Tabletext"/>
              <w:rPr>
                <w:snapToGrid w:val="0"/>
              </w:rPr>
            </w:pPr>
            <w:r w:rsidRPr="00097A86">
              <w:rPr>
                <w:snapToGrid w:val="0"/>
              </w:rPr>
              <w:t>Liquefied natural gas (light duty vehicles)</w:t>
            </w:r>
          </w:p>
        </w:tc>
        <w:tc>
          <w:tcPr>
            <w:tcW w:w="1156" w:type="pct"/>
            <w:tcBorders>
              <w:top w:val="nil"/>
              <w:left w:val="nil"/>
              <w:bottom w:val="nil"/>
              <w:right w:val="nil"/>
            </w:tcBorders>
          </w:tcPr>
          <w:p w14:paraId="1BA4B5BC" w14:textId="77777777" w:rsidR="00473D46" w:rsidRPr="00097A86" w:rsidRDefault="00473D46" w:rsidP="00465C0B">
            <w:pPr>
              <w:pStyle w:val="Tabletext"/>
              <w:rPr>
                <w:snapToGrid w:val="0"/>
              </w:rPr>
            </w:pPr>
            <w:r w:rsidRPr="00097A86">
              <w:rPr>
                <w:snapToGrid w:val="0"/>
              </w:rPr>
              <w:t>25.3</w:t>
            </w:r>
          </w:p>
        </w:tc>
        <w:tc>
          <w:tcPr>
            <w:tcW w:w="506" w:type="pct"/>
            <w:tcBorders>
              <w:top w:val="nil"/>
              <w:left w:val="nil"/>
              <w:bottom w:val="nil"/>
              <w:right w:val="nil"/>
            </w:tcBorders>
          </w:tcPr>
          <w:p w14:paraId="18DCB561" w14:textId="77777777" w:rsidR="00473D46" w:rsidRPr="00097A86" w:rsidRDefault="00473D46" w:rsidP="00465C0B">
            <w:pPr>
              <w:pStyle w:val="Tabletext"/>
              <w:rPr>
                <w:snapToGrid w:val="0"/>
              </w:rPr>
            </w:pPr>
            <w:r w:rsidRPr="00097A86">
              <w:rPr>
                <w:snapToGrid w:val="0"/>
              </w:rPr>
              <w:t>51.4</w:t>
            </w:r>
          </w:p>
        </w:tc>
        <w:tc>
          <w:tcPr>
            <w:tcW w:w="584" w:type="pct"/>
            <w:tcBorders>
              <w:top w:val="nil"/>
              <w:left w:val="nil"/>
              <w:bottom w:val="nil"/>
              <w:right w:val="nil"/>
            </w:tcBorders>
          </w:tcPr>
          <w:p w14:paraId="66271A09" w14:textId="77777777" w:rsidR="00473D46" w:rsidRPr="00097A86" w:rsidRDefault="00473D46" w:rsidP="00465C0B">
            <w:pPr>
              <w:pStyle w:val="Tabletext"/>
              <w:rPr>
                <w:snapToGrid w:val="0"/>
              </w:rPr>
            </w:pPr>
            <w:r w:rsidRPr="00097A86">
              <w:rPr>
                <w:snapToGrid w:val="0"/>
              </w:rPr>
              <w:t>6.5</w:t>
            </w:r>
          </w:p>
        </w:tc>
        <w:tc>
          <w:tcPr>
            <w:tcW w:w="585" w:type="pct"/>
            <w:tcBorders>
              <w:top w:val="nil"/>
              <w:left w:val="nil"/>
              <w:bottom w:val="nil"/>
              <w:right w:val="nil"/>
            </w:tcBorders>
          </w:tcPr>
          <w:p w14:paraId="051EB645" w14:textId="77777777" w:rsidR="00473D46" w:rsidRPr="00097A86" w:rsidRDefault="00473D46" w:rsidP="00465C0B">
            <w:pPr>
              <w:pStyle w:val="Tabletext"/>
              <w:rPr>
                <w:snapToGrid w:val="0"/>
              </w:rPr>
            </w:pPr>
            <w:r w:rsidRPr="00097A86">
              <w:rPr>
                <w:snapToGrid w:val="0"/>
              </w:rPr>
              <w:t>0.3</w:t>
            </w:r>
          </w:p>
        </w:tc>
      </w:tr>
      <w:tr w:rsidR="00473D46" w:rsidRPr="00097A86" w14:paraId="1775CABD" w14:textId="77777777" w:rsidTr="00C20CC2">
        <w:trPr>
          <w:cantSplit/>
        </w:trPr>
        <w:tc>
          <w:tcPr>
            <w:tcW w:w="372" w:type="pct"/>
            <w:tcBorders>
              <w:top w:val="nil"/>
              <w:left w:val="nil"/>
              <w:bottom w:val="single" w:sz="12" w:space="0" w:color="auto"/>
              <w:right w:val="nil"/>
            </w:tcBorders>
          </w:tcPr>
          <w:p w14:paraId="5BAA94D2" w14:textId="77777777" w:rsidR="00473D46" w:rsidRPr="00097A86" w:rsidRDefault="00473D46" w:rsidP="00465C0B">
            <w:pPr>
              <w:pStyle w:val="Tabletext"/>
              <w:rPr>
                <w:snapToGrid w:val="0"/>
              </w:rPr>
            </w:pPr>
            <w:r w:rsidRPr="00097A86">
              <w:rPr>
                <w:snapToGrid w:val="0"/>
              </w:rPr>
              <w:t>63B</w:t>
            </w:r>
          </w:p>
        </w:tc>
        <w:tc>
          <w:tcPr>
            <w:tcW w:w="1797" w:type="pct"/>
            <w:gridSpan w:val="2"/>
            <w:tcBorders>
              <w:top w:val="nil"/>
              <w:left w:val="nil"/>
              <w:bottom w:val="single" w:sz="12" w:space="0" w:color="auto"/>
              <w:right w:val="nil"/>
            </w:tcBorders>
          </w:tcPr>
          <w:p w14:paraId="3A1C1395" w14:textId="77777777" w:rsidR="00473D46" w:rsidRPr="00097A86" w:rsidRDefault="00473D46" w:rsidP="00465C0B">
            <w:pPr>
              <w:pStyle w:val="Tabletext"/>
              <w:rPr>
                <w:snapToGrid w:val="0"/>
              </w:rPr>
            </w:pPr>
            <w:r w:rsidRPr="00097A86">
              <w:rPr>
                <w:snapToGrid w:val="0"/>
              </w:rPr>
              <w:t>Liquefied natural gas (heavy duty vehicles)</w:t>
            </w:r>
          </w:p>
        </w:tc>
        <w:tc>
          <w:tcPr>
            <w:tcW w:w="1156" w:type="pct"/>
            <w:tcBorders>
              <w:top w:val="nil"/>
              <w:left w:val="nil"/>
              <w:bottom w:val="single" w:sz="12" w:space="0" w:color="auto"/>
              <w:right w:val="nil"/>
            </w:tcBorders>
          </w:tcPr>
          <w:p w14:paraId="6228060E" w14:textId="77777777" w:rsidR="00473D46" w:rsidRPr="00097A86" w:rsidRDefault="00473D46" w:rsidP="00465C0B">
            <w:pPr>
              <w:pStyle w:val="Tabletext"/>
              <w:rPr>
                <w:snapToGrid w:val="0"/>
              </w:rPr>
            </w:pPr>
            <w:r w:rsidRPr="00097A86">
              <w:rPr>
                <w:snapToGrid w:val="0"/>
              </w:rPr>
              <w:t>25.3</w:t>
            </w:r>
          </w:p>
        </w:tc>
        <w:tc>
          <w:tcPr>
            <w:tcW w:w="506" w:type="pct"/>
            <w:tcBorders>
              <w:top w:val="nil"/>
              <w:left w:val="nil"/>
              <w:bottom w:val="single" w:sz="12" w:space="0" w:color="auto"/>
              <w:right w:val="nil"/>
            </w:tcBorders>
          </w:tcPr>
          <w:p w14:paraId="347D3981" w14:textId="77777777" w:rsidR="00473D46" w:rsidRPr="00097A86" w:rsidRDefault="00473D46" w:rsidP="00465C0B">
            <w:pPr>
              <w:pStyle w:val="Tabletext"/>
              <w:rPr>
                <w:snapToGrid w:val="0"/>
              </w:rPr>
            </w:pPr>
            <w:r w:rsidRPr="00097A86">
              <w:rPr>
                <w:snapToGrid w:val="0"/>
              </w:rPr>
              <w:t>51.4</w:t>
            </w:r>
          </w:p>
        </w:tc>
        <w:tc>
          <w:tcPr>
            <w:tcW w:w="584" w:type="pct"/>
            <w:tcBorders>
              <w:top w:val="nil"/>
              <w:left w:val="nil"/>
              <w:bottom w:val="single" w:sz="12" w:space="0" w:color="auto"/>
              <w:right w:val="nil"/>
            </w:tcBorders>
          </w:tcPr>
          <w:p w14:paraId="4313CB5A" w14:textId="77777777" w:rsidR="00473D46" w:rsidRPr="00097A86" w:rsidRDefault="00473D46" w:rsidP="00465C0B">
            <w:pPr>
              <w:pStyle w:val="Tabletext"/>
              <w:rPr>
                <w:snapToGrid w:val="0"/>
              </w:rPr>
            </w:pPr>
            <w:r w:rsidRPr="00097A86">
              <w:rPr>
                <w:snapToGrid w:val="0"/>
              </w:rPr>
              <w:t>2.5</w:t>
            </w:r>
          </w:p>
        </w:tc>
        <w:tc>
          <w:tcPr>
            <w:tcW w:w="585" w:type="pct"/>
            <w:tcBorders>
              <w:top w:val="nil"/>
              <w:left w:val="nil"/>
              <w:bottom w:val="single" w:sz="12" w:space="0" w:color="auto"/>
              <w:right w:val="nil"/>
            </w:tcBorders>
          </w:tcPr>
          <w:p w14:paraId="696D0C17" w14:textId="77777777" w:rsidR="00473D46" w:rsidRPr="00097A86" w:rsidRDefault="00473D46" w:rsidP="00465C0B">
            <w:pPr>
              <w:pStyle w:val="Tabletext"/>
              <w:rPr>
                <w:snapToGrid w:val="0"/>
              </w:rPr>
            </w:pPr>
            <w:r w:rsidRPr="00097A86">
              <w:rPr>
                <w:snapToGrid w:val="0"/>
              </w:rPr>
              <w:t>0.3</w:t>
            </w:r>
          </w:p>
        </w:tc>
      </w:tr>
    </w:tbl>
    <w:p w14:paraId="1CEF7C38" w14:textId="77777777" w:rsidR="003F0D4E" w:rsidRPr="00097A86" w:rsidRDefault="003F0D4E" w:rsidP="00D22D3F">
      <w:pPr>
        <w:pStyle w:val="ActHead3"/>
        <w:pageBreakBefore/>
      </w:pPr>
      <w:bookmarkStart w:id="682" w:name="_Toc13234105"/>
      <w:r w:rsidRPr="00097A86">
        <w:rPr>
          <w:rStyle w:val="CharDivNo"/>
        </w:rPr>
        <w:lastRenderedPageBreak/>
        <w:t>Division</w:t>
      </w:r>
      <w:r w:rsidR="00097A86">
        <w:rPr>
          <w:rStyle w:val="CharDivNo"/>
        </w:rPr>
        <w:t> </w:t>
      </w:r>
      <w:r w:rsidRPr="00097A86">
        <w:rPr>
          <w:rStyle w:val="CharDivNo"/>
        </w:rPr>
        <w:t>4.2</w:t>
      </w:r>
      <w:r w:rsidR="00D22D3F" w:rsidRPr="00097A86">
        <w:t>—</w:t>
      </w:r>
      <w:r w:rsidRPr="00097A86">
        <w:rPr>
          <w:rStyle w:val="CharDivText"/>
        </w:rPr>
        <w:t>Fuel combustion</w:t>
      </w:r>
      <w:r w:rsidR="00D22D3F" w:rsidRPr="00097A86">
        <w:rPr>
          <w:rStyle w:val="CharDivText"/>
        </w:rPr>
        <w:t>—</w:t>
      </w:r>
      <w:r w:rsidRPr="00097A86">
        <w:rPr>
          <w:rStyle w:val="CharDivText"/>
        </w:rPr>
        <w:t>liquid fuels for transport energy purposes for post</w:t>
      </w:r>
      <w:r w:rsidR="00097A86">
        <w:rPr>
          <w:rStyle w:val="CharDivText"/>
        </w:rPr>
        <w:noBreakHyphen/>
      </w:r>
      <w:r w:rsidRPr="00097A86">
        <w:rPr>
          <w:rStyle w:val="CharDivText"/>
        </w:rPr>
        <w:t>2004 vehicles</w:t>
      </w:r>
      <w:bookmarkEnd w:id="682"/>
    </w:p>
    <w:p w14:paraId="2A7D35BB"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8"/>
        <w:gridCol w:w="3156"/>
        <w:gridCol w:w="13"/>
        <w:gridCol w:w="1538"/>
        <w:gridCol w:w="8"/>
        <w:gridCol w:w="963"/>
        <w:gridCol w:w="7"/>
        <w:gridCol w:w="969"/>
        <w:gridCol w:w="973"/>
      </w:tblGrid>
      <w:tr w:rsidR="003F0D4E" w:rsidRPr="00097A86" w14:paraId="4BFA6F11" w14:textId="77777777" w:rsidTr="00C20CC2">
        <w:trPr>
          <w:cantSplit/>
          <w:tblHeader/>
        </w:trPr>
        <w:tc>
          <w:tcPr>
            <w:tcW w:w="412" w:type="pct"/>
            <w:gridSpan w:val="2"/>
            <w:vMerge w:val="restart"/>
            <w:tcBorders>
              <w:top w:val="single" w:sz="12" w:space="0" w:color="auto"/>
              <w:left w:val="nil"/>
              <w:bottom w:val="single" w:sz="4" w:space="0" w:color="auto"/>
              <w:right w:val="nil"/>
            </w:tcBorders>
          </w:tcPr>
          <w:p w14:paraId="2083020E" w14:textId="77777777" w:rsidR="003F0D4E" w:rsidRPr="00097A86" w:rsidRDefault="003F0D4E" w:rsidP="00B278A7">
            <w:pPr>
              <w:pStyle w:val="TableHeading"/>
            </w:pPr>
            <w:r w:rsidRPr="00097A86">
              <w:t>Item</w:t>
            </w:r>
          </w:p>
        </w:tc>
        <w:tc>
          <w:tcPr>
            <w:tcW w:w="1906" w:type="pct"/>
            <w:gridSpan w:val="2"/>
            <w:vMerge w:val="restart"/>
            <w:tcBorders>
              <w:top w:val="single" w:sz="12" w:space="0" w:color="auto"/>
              <w:left w:val="nil"/>
              <w:bottom w:val="single" w:sz="4" w:space="0" w:color="auto"/>
              <w:right w:val="nil"/>
            </w:tcBorders>
          </w:tcPr>
          <w:p w14:paraId="5CF292A0" w14:textId="77777777" w:rsidR="003F0D4E" w:rsidRPr="00097A86" w:rsidRDefault="003F0D4E" w:rsidP="00B278A7">
            <w:pPr>
              <w:pStyle w:val="TableHeading"/>
            </w:pPr>
            <w:r w:rsidRPr="00097A86">
              <w:t>Fuel combusted</w:t>
            </w:r>
          </w:p>
        </w:tc>
        <w:tc>
          <w:tcPr>
            <w:tcW w:w="930" w:type="pct"/>
            <w:gridSpan w:val="2"/>
            <w:vMerge w:val="restart"/>
            <w:tcBorders>
              <w:top w:val="single" w:sz="12" w:space="0" w:color="auto"/>
              <w:left w:val="nil"/>
              <w:bottom w:val="single" w:sz="4" w:space="0" w:color="auto"/>
              <w:right w:val="nil"/>
            </w:tcBorders>
          </w:tcPr>
          <w:p w14:paraId="60EFDF29" w14:textId="77777777" w:rsidR="003F0D4E" w:rsidRPr="00097A86" w:rsidRDefault="003F0D4E" w:rsidP="00B278A7">
            <w:pPr>
              <w:pStyle w:val="TableHeading"/>
            </w:pPr>
            <w:r w:rsidRPr="00097A86">
              <w:t>Energy content factor</w:t>
            </w:r>
          </w:p>
          <w:p w14:paraId="6D511C55" w14:textId="77777777" w:rsidR="003F0D4E" w:rsidRPr="00097A86" w:rsidRDefault="003F0D4E" w:rsidP="00B278A7">
            <w:pPr>
              <w:pStyle w:val="TableHeading"/>
            </w:pPr>
            <w:r w:rsidRPr="00097A86">
              <w:t>GJ/kL</w:t>
            </w:r>
          </w:p>
        </w:tc>
        <w:tc>
          <w:tcPr>
            <w:tcW w:w="1751" w:type="pct"/>
            <w:gridSpan w:val="4"/>
            <w:tcBorders>
              <w:top w:val="single" w:sz="12" w:space="0" w:color="auto"/>
              <w:left w:val="nil"/>
              <w:bottom w:val="single" w:sz="4" w:space="0" w:color="auto"/>
              <w:right w:val="nil"/>
            </w:tcBorders>
          </w:tcPr>
          <w:p w14:paraId="5BB8CD0F" w14:textId="77777777" w:rsidR="003F0D4E" w:rsidRPr="00097A86" w:rsidRDefault="003F0D4E" w:rsidP="00B278A7">
            <w:pPr>
              <w:pStyle w:val="TableHeading"/>
            </w:pPr>
            <w:r w:rsidRPr="00097A86">
              <w:t>Emission factor</w:t>
            </w:r>
          </w:p>
          <w:p w14:paraId="5B9F8CBE" w14:textId="77777777" w:rsidR="003F0D4E" w:rsidRPr="00097A86" w:rsidRDefault="003F0D4E" w:rsidP="00B278A7">
            <w:pPr>
              <w:pStyle w:val="TableHeading"/>
            </w:pPr>
            <w:r w:rsidRPr="00097A86">
              <w:t>kg CO</w:t>
            </w:r>
            <w:r w:rsidRPr="00097A86">
              <w:rPr>
                <w:vertAlign w:val="subscript"/>
              </w:rPr>
              <w:t>2</w:t>
            </w:r>
            <w:r w:rsidR="00097A86">
              <w:noBreakHyphen/>
            </w:r>
            <w:r w:rsidRPr="00097A86">
              <w:t>e/GJ</w:t>
            </w:r>
          </w:p>
          <w:p w14:paraId="12E73C21" w14:textId="77777777" w:rsidR="003F0D4E" w:rsidRPr="00097A86" w:rsidRDefault="003F0D4E" w:rsidP="00B278A7">
            <w:pPr>
              <w:pStyle w:val="TableHeading"/>
            </w:pPr>
            <w:r w:rsidRPr="00097A86">
              <w:t>(relevant oxidation factors incorporated)</w:t>
            </w:r>
          </w:p>
        </w:tc>
      </w:tr>
      <w:tr w:rsidR="003F0D4E" w:rsidRPr="00097A86" w14:paraId="470997A1" w14:textId="77777777" w:rsidTr="00C20CC2">
        <w:trPr>
          <w:cantSplit/>
          <w:tblHeader/>
        </w:trPr>
        <w:tc>
          <w:tcPr>
            <w:tcW w:w="412" w:type="pct"/>
            <w:gridSpan w:val="2"/>
            <w:vMerge/>
            <w:tcBorders>
              <w:top w:val="single" w:sz="4" w:space="0" w:color="auto"/>
              <w:left w:val="nil"/>
              <w:bottom w:val="single" w:sz="12" w:space="0" w:color="auto"/>
              <w:right w:val="nil"/>
            </w:tcBorders>
          </w:tcPr>
          <w:p w14:paraId="6183B80A" w14:textId="77777777" w:rsidR="003F0D4E" w:rsidRPr="00097A86" w:rsidRDefault="003F0D4E" w:rsidP="00B278A7">
            <w:pPr>
              <w:pStyle w:val="TableHeading"/>
            </w:pPr>
          </w:p>
        </w:tc>
        <w:tc>
          <w:tcPr>
            <w:tcW w:w="1906" w:type="pct"/>
            <w:gridSpan w:val="2"/>
            <w:vMerge/>
            <w:tcBorders>
              <w:top w:val="single" w:sz="4" w:space="0" w:color="auto"/>
              <w:left w:val="nil"/>
              <w:bottom w:val="single" w:sz="12" w:space="0" w:color="auto"/>
              <w:right w:val="nil"/>
            </w:tcBorders>
          </w:tcPr>
          <w:p w14:paraId="153841CF" w14:textId="77777777" w:rsidR="003F0D4E" w:rsidRPr="00097A86" w:rsidRDefault="003F0D4E" w:rsidP="00B278A7">
            <w:pPr>
              <w:pStyle w:val="TableHeading"/>
            </w:pPr>
          </w:p>
        </w:tc>
        <w:tc>
          <w:tcPr>
            <w:tcW w:w="930" w:type="pct"/>
            <w:gridSpan w:val="2"/>
            <w:vMerge/>
            <w:tcBorders>
              <w:top w:val="single" w:sz="4" w:space="0" w:color="auto"/>
              <w:left w:val="nil"/>
              <w:bottom w:val="single" w:sz="12" w:space="0" w:color="auto"/>
              <w:right w:val="nil"/>
            </w:tcBorders>
          </w:tcPr>
          <w:p w14:paraId="2A416470" w14:textId="77777777" w:rsidR="003F0D4E" w:rsidRPr="00097A86" w:rsidRDefault="003F0D4E" w:rsidP="00B278A7">
            <w:pPr>
              <w:pStyle w:val="TableHeading"/>
            </w:pPr>
          </w:p>
        </w:tc>
        <w:tc>
          <w:tcPr>
            <w:tcW w:w="583" w:type="pct"/>
            <w:gridSpan w:val="2"/>
            <w:tcBorders>
              <w:top w:val="single" w:sz="4" w:space="0" w:color="auto"/>
              <w:left w:val="nil"/>
              <w:bottom w:val="single" w:sz="12" w:space="0" w:color="auto"/>
              <w:right w:val="nil"/>
            </w:tcBorders>
          </w:tcPr>
          <w:p w14:paraId="29B6E60B" w14:textId="77777777" w:rsidR="003F0D4E" w:rsidRPr="00097A86" w:rsidRDefault="003F0D4E" w:rsidP="00B278A7">
            <w:pPr>
              <w:pStyle w:val="TableHeading"/>
            </w:pPr>
            <w:r w:rsidRPr="00097A86">
              <w:t>CO</w:t>
            </w:r>
            <w:r w:rsidRPr="00097A86">
              <w:rPr>
                <w:vertAlign w:val="subscript"/>
              </w:rPr>
              <w:t>2</w:t>
            </w:r>
          </w:p>
        </w:tc>
        <w:tc>
          <w:tcPr>
            <w:tcW w:w="583" w:type="pct"/>
            <w:tcBorders>
              <w:top w:val="single" w:sz="4" w:space="0" w:color="auto"/>
              <w:left w:val="nil"/>
              <w:bottom w:val="single" w:sz="12" w:space="0" w:color="auto"/>
              <w:right w:val="nil"/>
            </w:tcBorders>
          </w:tcPr>
          <w:p w14:paraId="68A4072A" w14:textId="77777777" w:rsidR="003F0D4E" w:rsidRPr="00097A86" w:rsidRDefault="003F0D4E" w:rsidP="00B278A7">
            <w:pPr>
              <w:pStyle w:val="TableHeading"/>
            </w:pPr>
            <w:r w:rsidRPr="00097A86">
              <w:t>CH</w:t>
            </w:r>
            <w:r w:rsidRPr="00097A86">
              <w:rPr>
                <w:vertAlign w:val="subscript"/>
              </w:rPr>
              <w:t>4</w:t>
            </w:r>
          </w:p>
        </w:tc>
        <w:tc>
          <w:tcPr>
            <w:tcW w:w="585" w:type="pct"/>
            <w:tcBorders>
              <w:top w:val="single" w:sz="4" w:space="0" w:color="auto"/>
              <w:left w:val="nil"/>
              <w:bottom w:val="single" w:sz="12" w:space="0" w:color="auto"/>
              <w:right w:val="nil"/>
            </w:tcBorders>
          </w:tcPr>
          <w:p w14:paraId="77B3C7EC" w14:textId="77777777" w:rsidR="003F0D4E" w:rsidRPr="00097A86" w:rsidRDefault="003F0D4E" w:rsidP="00B278A7">
            <w:pPr>
              <w:pStyle w:val="TableHeading"/>
            </w:pPr>
            <w:r w:rsidRPr="00097A86">
              <w:t>N</w:t>
            </w:r>
            <w:r w:rsidRPr="00097A86">
              <w:rPr>
                <w:vertAlign w:val="subscript"/>
              </w:rPr>
              <w:t>2</w:t>
            </w:r>
            <w:r w:rsidRPr="00097A86">
              <w:t>O</w:t>
            </w:r>
          </w:p>
        </w:tc>
      </w:tr>
      <w:tr w:rsidR="00473D46" w:rsidRPr="00097A86" w14:paraId="5904600F"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3" w:type="pct"/>
          </w:tcPr>
          <w:p w14:paraId="560ACEBC" w14:textId="77777777" w:rsidR="00473D46" w:rsidRPr="00097A86" w:rsidRDefault="00473D46" w:rsidP="00465C0B">
            <w:pPr>
              <w:pStyle w:val="Tabletext"/>
              <w:rPr>
                <w:snapToGrid w:val="0"/>
              </w:rPr>
            </w:pPr>
            <w:r w:rsidRPr="00097A86">
              <w:rPr>
                <w:snapToGrid w:val="0"/>
              </w:rPr>
              <w:t>64</w:t>
            </w:r>
          </w:p>
        </w:tc>
        <w:tc>
          <w:tcPr>
            <w:tcW w:w="1957" w:type="pct"/>
            <w:gridSpan w:val="2"/>
          </w:tcPr>
          <w:p w14:paraId="77A9D491" w14:textId="77777777" w:rsidR="00473D46" w:rsidRPr="00097A86" w:rsidRDefault="00473D46" w:rsidP="00465C0B">
            <w:pPr>
              <w:pStyle w:val="Tabletext"/>
              <w:rPr>
                <w:snapToGrid w:val="0"/>
                <w:szCs w:val="16"/>
              </w:rPr>
            </w:pPr>
            <w:r w:rsidRPr="00097A86">
              <w:rPr>
                <w:snapToGrid w:val="0"/>
              </w:rPr>
              <w:t>Gasoline (other than for use as fuel in an aircraft)</w:t>
            </w:r>
          </w:p>
        </w:tc>
        <w:tc>
          <w:tcPr>
            <w:tcW w:w="933" w:type="pct"/>
            <w:gridSpan w:val="2"/>
          </w:tcPr>
          <w:p w14:paraId="494CA973" w14:textId="77777777" w:rsidR="00473D46" w:rsidRPr="00097A86" w:rsidRDefault="00473D46" w:rsidP="00465C0B">
            <w:pPr>
              <w:pStyle w:val="Tabletext"/>
              <w:rPr>
                <w:snapToGrid w:val="0"/>
              </w:rPr>
            </w:pPr>
            <w:r w:rsidRPr="00097A86">
              <w:rPr>
                <w:snapToGrid w:val="0"/>
              </w:rPr>
              <w:t>34.2</w:t>
            </w:r>
          </w:p>
        </w:tc>
        <w:tc>
          <w:tcPr>
            <w:tcW w:w="584" w:type="pct"/>
            <w:gridSpan w:val="2"/>
          </w:tcPr>
          <w:p w14:paraId="1D0D747A" w14:textId="77777777" w:rsidR="00473D46" w:rsidRPr="00097A86" w:rsidRDefault="00473D46" w:rsidP="00465C0B">
            <w:pPr>
              <w:pStyle w:val="Tabletext"/>
              <w:rPr>
                <w:snapToGrid w:val="0"/>
              </w:rPr>
            </w:pPr>
            <w:r w:rsidRPr="00097A86">
              <w:rPr>
                <w:snapToGrid w:val="0"/>
              </w:rPr>
              <w:t>67.4</w:t>
            </w:r>
          </w:p>
        </w:tc>
        <w:tc>
          <w:tcPr>
            <w:tcW w:w="587" w:type="pct"/>
            <w:gridSpan w:val="2"/>
          </w:tcPr>
          <w:p w14:paraId="283A1BAD" w14:textId="77777777" w:rsidR="00473D46" w:rsidRPr="00097A86" w:rsidRDefault="00473D46" w:rsidP="00465C0B">
            <w:pPr>
              <w:pStyle w:val="Tabletext"/>
              <w:rPr>
                <w:snapToGrid w:val="0"/>
              </w:rPr>
            </w:pPr>
            <w:r w:rsidRPr="00097A86">
              <w:rPr>
                <w:snapToGrid w:val="0"/>
              </w:rPr>
              <w:t>0.02</w:t>
            </w:r>
          </w:p>
        </w:tc>
        <w:tc>
          <w:tcPr>
            <w:tcW w:w="585" w:type="pct"/>
          </w:tcPr>
          <w:p w14:paraId="58448DE5" w14:textId="77777777" w:rsidR="00473D46" w:rsidRPr="00097A86" w:rsidRDefault="00473D46" w:rsidP="00465C0B">
            <w:pPr>
              <w:pStyle w:val="Tabletext"/>
              <w:rPr>
                <w:snapToGrid w:val="0"/>
              </w:rPr>
            </w:pPr>
            <w:r w:rsidRPr="00097A86">
              <w:rPr>
                <w:snapToGrid w:val="0"/>
              </w:rPr>
              <w:t>0.2</w:t>
            </w:r>
          </w:p>
        </w:tc>
      </w:tr>
      <w:tr w:rsidR="00473D46" w:rsidRPr="00097A86" w14:paraId="473E1D15"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3" w:type="pct"/>
          </w:tcPr>
          <w:p w14:paraId="17E5FF6F" w14:textId="77777777" w:rsidR="00473D46" w:rsidRPr="00097A86" w:rsidRDefault="00473D46" w:rsidP="00465C0B">
            <w:pPr>
              <w:pStyle w:val="Tabletext"/>
              <w:rPr>
                <w:snapToGrid w:val="0"/>
              </w:rPr>
            </w:pPr>
            <w:r w:rsidRPr="00097A86">
              <w:rPr>
                <w:snapToGrid w:val="0"/>
              </w:rPr>
              <w:t>65</w:t>
            </w:r>
          </w:p>
        </w:tc>
        <w:tc>
          <w:tcPr>
            <w:tcW w:w="1957" w:type="pct"/>
            <w:gridSpan w:val="2"/>
          </w:tcPr>
          <w:p w14:paraId="6D8512F3" w14:textId="77777777" w:rsidR="00473D46" w:rsidRPr="00097A86" w:rsidRDefault="00473D46" w:rsidP="00465C0B">
            <w:pPr>
              <w:pStyle w:val="Tabletext"/>
              <w:rPr>
                <w:snapToGrid w:val="0"/>
                <w:szCs w:val="16"/>
              </w:rPr>
            </w:pPr>
            <w:r w:rsidRPr="00097A86">
              <w:rPr>
                <w:snapToGrid w:val="0"/>
              </w:rPr>
              <w:t>Diesel oil</w:t>
            </w:r>
          </w:p>
        </w:tc>
        <w:tc>
          <w:tcPr>
            <w:tcW w:w="933" w:type="pct"/>
            <w:gridSpan w:val="2"/>
          </w:tcPr>
          <w:p w14:paraId="2534D503" w14:textId="77777777" w:rsidR="00473D46" w:rsidRPr="00097A86" w:rsidRDefault="00473D46" w:rsidP="00465C0B">
            <w:pPr>
              <w:pStyle w:val="Tabletext"/>
              <w:rPr>
                <w:snapToGrid w:val="0"/>
              </w:rPr>
            </w:pPr>
            <w:r w:rsidRPr="00097A86">
              <w:rPr>
                <w:snapToGrid w:val="0"/>
              </w:rPr>
              <w:t>38.6</w:t>
            </w:r>
          </w:p>
        </w:tc>
        <w:tc>
          <w:tcPr>
            <w:tcW w:w="584" w:type="pct"/>
            <w:gridSpan w:val="2"/>
          </w:tcPr>
          <w:p w14:paraId="76DC9ABF" w14:textId="77777777" w:rsidR="00473D46" w:rsidRPr="00097A86" w:rsidRDefault="00473D46" w:rsidP="00465C0B">
            <w:pPr>
              <w:pStyle w:val="Tabletext"/>
              <w:rPr>
                <w:snapToGrid w:val="0"/>
              </w:rPr>
            </w:pPr>
            <w:r w:rsidRPr="00097A86">
              <w:rPr>
                <w:snapToGrid w:val="0"/>
              </w:rPr>
              <w:t>69.9</w:t>
            </w:r>
          </w:p>
        </w:tc>
        <w:tc>
          <w:tcPr>
            <w:tcW w:w="587" w:type="pct"/>
            <w:gridSpan w:val="2"/>
          </w:tcPr>
          <w:p w14:paraId="0829763E" w14:textId="77777777" w:rsidR="00473D46" w:rsidRPr="00097A86" w:rsidRDefault="00473D46" w:rsidP="00465C0B">
            <w:pPr>
              <w:pStyle w:val="Tabletext"/>
              <w:rPr>
                <w:snapToGrid w:val="0"/>
              </w:rPr>
            </w:pPr>
            <w:r w:rsidRPr="00097A86">
              <w:rPr>
                <w:snapToGrid w:val="0"/>
              </w:rPr>
              <w:t>0.01</w:t>
            </w:r>
          </w:p>
        </w:tc>
        <w:tc>
          <w:tcPr>
            <w:tcW w:w="585" w:type="pct"/>
          </w:tcPr>
          <w:p w14:paraId="39A9EEE2" w14:textId="77777777" w:rsidR="00473D46" w:rsidRPr="00097A86" w:rsidRDefault="00473D46" w:rsidP="00465C0B">
            <w:pPr>
              <w:pStyle w:val="Tabletext"/>
              <w:rPr>
                <w:snapToGrid w:val="0"/>
              </w:rPr>
            </w:pPr>
            <w:r w:rsidRPr="00097A86">
              <w:rPr>
                <w:snapToGrid w:val="0"/>
              </w:rPr>
              <w:t>0.6</w:t>
            </w:r>
          </w:p>
        </w:tc>
      </w:tr>
      <w:tr w:rsidR="00473D46" w:rsidRPr="00097A86" w14:paraId="7AF05579" w14:textId="77777777" w:rsidTr="00C2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3" w:type="pct"/>
          </w:tcPr>
          <w:p w14:paraId="34EE8552" w14:textId="77777777" w:rsidR="00473D46" w:rsidRPr="00097A86" w:rsidRDefault="00473D46" w:rsidP="00465C0B">
            <w:pPr>
              <w:pStyle w:val="Tabletext"/>
              <w:rPr>
                <w:snapToGrid w:val="0"/>
              </w:rPr>
            </w:pPr>
            <w:r w:rsidRPr="00097A86">
              <w:rPr>
                <w:snapToGrid w:val="0"/>
              </w:rPr>
              <w:t>66</w:t>
            </w:r>
          </w:p>
        </w:tc>
        <w:tc>
          <w:tcPr>
            <w:tcW w:w="1957" w:type="pct"/>
            <w:gridSpan w:val="2"/>
          </w:tcPr>
          <w:p w14:paraId="3D7D7AB3" w14:textId="77777777" w:rsidR="00473D46" w:rsidRPr="00097A86" w:rsidRDefault="00473D46" w:rsidP="00465C0B">
            <w:pPr>
              <w:pStyle w:val="Tabletext"/>
              <w:rPr>
                <w:snapToGrid w:val="0"/>
              </w:rPr>
            </w:pPr>
            <w:r w:rsidRPr="00097A86">
              <w:rPr>
                <w:snapToGrid w:val="0"/>
              </w:rPr>
              <w:t>Liquefied petroleum gas</w:t>
            </w:r>
          </w:p>
        </w:tc>
        <w:tc>
          <w:tcPr>
            <w:tcW w:w="933" w:type="pct"/>
            <w:gridSpan w:val="2"/>
          </w:tcPr>
          <w:p w14:paraId="11D8EBB0" w14:textId="77777777" w:rsidR="00473D46" w:rsidRPr="00097A86" w:rsidRDefault="00473D46" w:rsidP="00465C0B">
            <w:pPr>
              <w:pStyle w:val="Tabletext"/>
              <w:rPr>
                <w:snapToGrid w:val="0"/>
              </w:rPr>
            </w:pPr>
            <w:r w:rsidRPr="00097A86">
              <w:rPr>
                <w:snapToGrid w:val="0"/>
              </w:rPr>
              <w:t>26.2</w:t>
            </w:r>
          </w:p>
        </w:tc>
        <w:tc>
          <w:tcPr>
            <w:tcW w:w="584" w:type="pct"/>
            <w:gridSpan w:val="2"/>
          </w:tcPr>
          <w:p w14:paraId="49D67D6D" w14:textId="77777777" w:rsidR="00473D46" w:rsidRPr="00097A86" w:rsidRDefault="00473D46" w:rsidP="00465C0B">
            <w:pPr>
              <w:pStyle w:val="Tabletext"/>
              <w:rPr>
                <w:snapToGrid w:val="0"/>
              </w:rPr>
            </w:pPr>
            <w:r w:rsidRPr="00097A86">
              <w:rPr>
                <w:snapToGrid w:val="0"/>
              </w:rPr>
              <w:t>60.2</w:t>
            </w:r>
          </w:p>
        </w:tc>
        <w:tc>
          <w:tcPr>
            <w:tcW w:w="587" w:type="pct"/>
            <w:gridSpan w:val="2"/>
          </w:tcPr>
          <w:p w14:paraId="4496AB2B" w14:textId="77777777" w:rsidR="00473D46" w:rsidRPr="00097A86" w:rsidRDefault="00473D46" w:rsidP="00465C0B">
            <w:pPr>
              <w:pStyle w:val="Tabletext"/>
              <w:rPr>
                <w:snapToGrid w:val="0"/>
              </w:rPr>
            </w:pPr>
            <w:r w:rsidRPr="00097A86">
              <w:rPr>
                <w:snapToGrid w:val="0"/>
              </w:rPr>
              <w:t>0.4</w:t>
            </w:r>
          </w:p>
        </w:tc>
        <w:tc>
          <w:tcPr>
            <w:tcW w:w="585" w:type="pct"/>
          </w:tcPr>
          <w:p w14:paraId="63317207" w14:textId="77777777" w:rsidR="00473D46" w:rsidRPr="00097A86" w:rsidRDefault="00473D46" w:rsidP="00465C0B">
            <w:pPr>
              <w:pStyle w:val="Tabletext"/>
              <w:rPr>
                <w:snapToGrid w:val="0"/>
              </w:rPr>
            </w:pPr>
            <w:r w:rsidRPr="00097A86">
              <w:rPr>
                <w:snapToGrid w:val="0"/>
              </w:rPr>
              <w:t>0.3</w:t>
            </w:r>
          </w:p>
        </w:tc>
      </w:tr>
      <w:tr w:rsidR="003F0D4E" w:rsidRPr="00097A86" w14:paraId="06589F9B" w14:textId="77777777" w:rsidTr="00C20CC2">
        <w:trPr>
          <w:cantSplit/>
        </w:trPr>
        <w:tc>
          <w:tcPr>
            <w:tcW w:w="412" w:type="pct"/>
            <w:gridSpan w:val="2"/>
            <w:tcBorders>
              <w:top w:val="nil"/>
              <w:left w:val="nil"/>
              <w:bottom w:val="single" w:sz="12" w:space="0" w:color="auto"/>
              <w:right w:val="nil"/>
            </w:tcBorders>
          </w:tcPr>
          <w:p w14:paraId="710C087A" w14:textId="77777777" w:rsidR="003F0D4E" w:rsidRPr="00097A86" w:rsidRDefault="003F0D4E" w:rsidP="00D22D3F">
            <w:pPr>
              <w:pStyle w:val="Tabletext"/>
              <w:rPr>
                <w:snapToGrid w:val="0"/>
              </w:rPr>
            </w:pPr>
            <w:r w:rsidRPr="00097A86">
              <w:rPr>
                <w:snapToGrid w:val="0"/>
              </w:rPr>
              <w:t>67</w:t>
            </w:r>
          </w:p>
        </w:tc>
        <w:tc>
          <w:tcPr>
            <w:tcW w:w="1906" w:type="pct"/>
            <w:gridSpan w:val="2"/>
            <w:tcBorders>
              <w:top w:val="nil"/>
              <w:left w:val="nil"/>
              <w:bottom w:val="single" w:sz="12" w:space="0" w:color="auto"/>
              <w:right w:val="nil"/>
            </w:tcBorders>
          </w:tcPr>
          <w:p w14:paraId="75AE2488" w14:textId="77777777" w:rsidR="003F0D4E" w:rsidRPr="00097A86" w:rsidRDefault="003F0D4E" w:rsidP="00D22D3F">
            <w:pPr>
              <w:pStyle w:val="Tabletext"/>
              <w:rPr>
                <w:b/>
                <w:snapToGrid w:val="0"/>
                <w:szCs w:val="16"/>
              </w:rPr>
            </w:pPr>
            <w:r w:rsidRPr="00097A86">
              <w:rPr>
                <w:snapToGrid w:val="0"/>
                <w:szCs w:val="16"/>
              </w:rPr>
              <w:t xml:space="preserve">Ethanol </w:t>
            </w:r>
            <w:r w:rsidRPr="00097A86">
              <w:rPr>
                <w:snapToGrid w:val="0"/>
              </w:rPr>
              <w:t>for use as fuel in an internal combustion engine</w:t>
            </w:r>
          </w:p>
        </w:tc>
        <w:tc>
          <w:tcPr>
            <w:tcW w:w="930" w:type="pct"/>
            <w:gridSpan w:val="2"/>
            <w:tcBorders>
              <w:top w:val="nil"/>
              <w:left w:val="nil"/>
              <w:bottom w:val="single" w:sz="12" w:space="0" w:color="auto"/>
              <w:right w:val="nil"/>
            </w:tcBorders>
          </w:tcPr>
          <w:p w14:paraId="34BC6B1F" w14:textId="77777777" w:rsidR="003F0D4E" w:rsidRPr="00097A86" w:rsidRDefault="003F0D4E" w:rsidP="00D22D3F">
            <w:pPr>
              <w:pStyle w:val="Tabletext"/>
              <w:rPr>
                <w:snapToGrid w:val="0"/>
              </w:rPr>
            </w:pPr>
            <w:r w:rsidRPr="00097A86">
              <w:rPr>
                <w:snapToGrid w:val="0"/>
              </w:rPr>
              <w:t>23.4</w:t>
            </w:r>
          </w:p>
        </w:tc>
        <w:tc>
          <w:tcPr>
            <w:tcW w:w="583" w:type="pct"/>
            <w:gridSpan w:val="2"/>
            <w:tcBorders>
              <w:top w:val="nil"/>
              <w:left w:val="nil"/>
              <w:bottom w:val="single" w:sz="12" w:space="0" w:color="auto"/>
              <w:right w:val="nil"/>
            </w:tcBorders>
          </w:tcPr>
          <w:p w14:paraId="3B664586" w14:textId="77777777" w:rsidR="003F0D4E" w:rsidRPr="00097A86" w:rsidRDefault="003F0D4E" w:rsidP="00D22D3F">
            <w:pPr>
              <w:pStyle w:val="Tabletext"/>
              <w:rPr>
                <w:snapToGrid w:val="0"/>
              </w:rPr>
            </w:pPr>
            <w:r w:rsidRPr="00097A86">
              <w:rPr>
                <w:snapToGrid w:val="0"/>
              </w:rPr>
              <w:t>0.0</w:t>
            </w:r>
          </w:p>
        </w:tc>
        <w:tc>
          <w:tcPr>
            <w:tcW w:w="583" w:type="pct"/>
            <w:tcBorders>
              <w:top w:val="nil"/>
              <w:left w:val="nil"/>
              <w:bottom w:val="single" w:sz="12" w:space="0" w:color="auto"/>
              <w:right w:val="nil"/>
            </w:tcBorders>
          </w:tcPr>
          <w:p w14:paraId="5D860789" w14:textId="77777777" w:rsidR="003F0D4E" w:rsidRPr="00097A86" w:rsidRDefault="003F0D4E" w:rsidP="00D22D3F">
            <w:pPr>
              <w:pStyle w:val="Tabletext"/>
              <w:rPr>
                <w:snapToGrid w:val="0"/>
              </w:rPr>
            </w:pPr>
            <w:r w:rsidRPr="00097A86">
              <w:rPr>
                <w:snapToGrid w:val="0"/>
              </w:rPr>
              <w:t>0.2</w:t>
            </w:r>
          </w:p>
        </w:tc>
        <w:tc>
          <w:tcPr>
            <w:tcW w:w="585" w:type="pct"/>
            <w:tcBorders>
              <w:top w:val="nil"/>
              <w:left w:val="nil"/>
              <w:bottom w:val="single" w:sz="12" w:space="0" w:color="auto"/>
              <w:right w:val="nil"/>
            </w:tcBorders>
          </w:tcPr>
          <w:p w14:paraId="79DBF526" w14:textId="77777777" w:rsidR="003F0D4E" w:rsidRPr="00097A86" w:rsidRDefault="003F0D4E" w:rsidP="00D22D3F">
            <w:pPr>
              <w:pStyle w:val="Tabletext"/>
              <w:rPr>
                <w:snapToGrid w:val="0"/>
              </w:rPr>
            </w:pPr>
            <w:r w:rsidRPr="00097A86">
              <w:rPr>
                <w:snapToGrid w:val="0"/>
              </w:rPr>
              <w:t>0.2</w:t>
            </w:r>
          </w:p>
        </w:tc>
      </w:tr>
    </w:tbl>
    <w:p w14:paraId="10EFA6E6" w14:textId="77777777" w:rsidR="003F0D4E" w:rsidRPr="00097A86" w:rsidRDefault="003F0D4E" w:rsidP="00D22D3F">
      <w:pPr>
        <w:pStyle w:val="ActHead3"/>
        <w:pageBreakBefore/>
      </w:pPr>
      <w:bookmarkStart w:id="683" w:name="_Toc13234106"/>
      <w:r w:rsidRPr="00097A86">
        <w:rPr>
          <w:rStyle w:val="CharDivNo"/>
        </w:rPr>
        <w:lastRenderedPageBreak/>
        <w:t>Division</w:t>
      </w:r>
      <w:r w:rsidR="00097A86">
        <w:rPr>
          <w:rStyle w:val="CharDivNo"/>
        </w:rPr>
        <w:t> </w:t>
      </w:r>
      <w:r w:rsidRPr="00097A86">
        <w:rPr>
          <w:rStyle w:val="CharDivNo"/>
        </w:rPr>
        <w:t>4.3</w:t>
      </w:r>
      <w:r w:rsidR="00D22D3F" w:rsidRPr="00097A86">
        <w:t>—</w:t>
      </w:r>
      <w:r w:rsidRPr="00097A86">
        <w:rPr>
          <w:rStyle w:val="CharDivText"/>
        </w:rPr>
        <w:t>Fuel combustion</w:t>
      </w:r>
      <w:r w:rsidR="00D22D3F" w:rsidRPr="00097A86">
        <w:rPr>
          <w:rStyle w:val="CharDivText"/>
        </w:rPr>
        <w:t>—</w:t>
      </w:r>
      <w:r w:rsidRPr="00097A86">
        <w:rPr>
          <w:rStyle w:val="CharDivText"/>
        </w:rPr>
        <w:t>liquid fuels for transport energy purposes for certain trucks</w:t>
      </w:r>
      <w:bookmarkEnd w:id="683"/>
    </w:p>
    <w:p w14:paraId="54E271C3"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75"/>
        <w:gridCol w:w="1676"/>
        <w:gridCol w:w="1546"/>
        <w:gridCol w:w="968"/>
        <w:gridCol w:w="968"/>
        <w:gridCol w:w="971"/>
      </w:tblGrid>
      <w:tr w:rsidR="003F0D4E" w:rsidRPr="00097A86" w14:paraId="46EC03AB" w14:textId="77777777" w:rsidTr="00C20CC2">
        <w:trPr>
          <w:cantSplit/>
          <w:tblHeader/>
        </w:trPr>
        <w:tc>
          <w:tcPr>
            <w:tcW w:w="427" w:type="pct"/>
            <w:vMerge w:val="restart"/>
            <w:tcBorders>
              <w:top w:val="single" w:sz="12" w:space="0" w:color="auto"/>
              <w:left w:val="nil"/>
              <w:bottom w:val="single" w:sz="4" w:space="0" w:color="auto"/>
              <w:right w:val="nil"/>
            </w:tcBorders>
          </w:tcPr>
          <w:p w14:paraId="0E332620" w14:textId="77777777" w:rsidR="003F0D4E" w:rsidRPr="00097A86" w:rsidRDefault="003F0D4E" w:rsidP="00B278A7">
            <w:pPr>
              <w:pStyle w:val="TableHeading"/>
            </w:pPr>
            <w:r w:rsidRPr="00097A86">
              <w:t>Item</w:t>
            </w:r>
          </w:p>
        </w:tc>
        <w:tc>
          <w:tcPr>
            <w:tcW w:w="887" w:type="pct"/>
            <w:vMerge w:val="restart"/>
            <w:tcBorders>
              <w:top w:val="single" w:sz="12" w:space="0" w:color="auto"/>
              <w:left w:val="nil"/>
              <w:bottom w:val="single" w:sz="4" w:space="0" w:color="auto"/>
              <w:right w:val="nil"/>
            </w:tcBorders>
          </w:tcPr>
          <w:p w14:paraId="5B4A5CC2" w14:textId="77777777" w:rsidR="003F0D4E" w:rsidRPr="00097A86" w:rsidRDefault="003F0D4E" w:rsidP="00B278A7">
            <w:pPr>
              <w:pStyle w:val="TableHeading"/>
            </w:pPr>
            <w:r w:rsidRPr="00097A86">
              <w:t>Fuel type</w:t>
            </w:r>
          </w:p>
        </w:tc>
        <w:tc>
          <w:tcPr>
            <w:tcW w:w="1008" w:type="pct"/>
            <w:vMerge w:val="restart"/>
            <w:tcBorders>
              <w:top w:val="single" w:sz="12" w:space="0" w:color="auto"/>
              <w:left w:val="nil"/>
              <w:bottom w:val="single" w:sz="4" w:space="0" w:color="auto"/>
              <w:right w:val="nil"/>
            </w:tcBorders>
          </w:tcPr>
          <w:p w14:paraId="4ED57516" w14:textId="77777777" w:rsidR="003F0D4E" w:rsidRPr="00097A86" w:rsidRDefault="003F0D4E" w:rsidP="00B278A7">
            <w:pPr>
              <w:pStyle w:val="TableHeading"/>
            </w:pPr>
            <w:r w:rsidRPr="00097A86">
              <w:t>Heavy vehicles design standard</w:t>
            </w:r>
          </w:p>
        </w:tc>
        <w:tc>
          <w:tcPr>
            <w:tcW w:w="930" w:type="pct"/>
            <w:vMerge w:val="restart"/>
            <w:tcBorders>
              <w:top w:val="single" w:sz="12" w:space="0" w:color="auto"/>
              <w:left w:val="nil"/>
              <w:bottom w:val="single" w:sz="4" w:space="0" w:color="auto"/>
              <w:right w:val="nil"/>
            </w:tcBorders>
          </w:tcPr>
          <w:p w14:paraId="6DF9BB6F" w14:textId="77777777" w:rsidR="003F0D4E" w:rsidRPr="00097A86" w:rsidRDefault="003F0D4E" w:rsidP="00B278A7">
            <w:pPr>
              <w:pStyle w:val="TableHeading"/>
            </w:pPr>
            <w:r w:rsidRPr="00097A86">
              <w:t>Energy content factor</w:t>
            </w:r>
          </w:p>
          <w:p w14:paraId="2098877D" w14:textId="77777777" w:rsidR="003F0D4E" w:rsidRPr="00097A86" w:rsidRDefault="003F0D4E" w:rsidP="00B278A7">
            <w:pPr>
              <w:pStyle w:val="TableHeading"/>
            </w:pPr>
            <w:r w:rsidRPr="00097A86">
              <w:t>GJ/kL</w:t>
            </w:r>
          </w:p>
        </w:tc>
        <w:tc>
          <w:tcPr>
            <w:tcW w:w="1748" w:type="pct"/>
            <w:gridSpan w:val="3"/>
            <w:tcBorders>
              <w:top w:val="single" w:sz="12" w:space="0" w:color="auto"/>
              <w:left w:val="nil"/>
              <w:bottom w:val="single" w:sz="4" w:space="0" w:color="auto"/>
              <w:right w:val="nil"/>
            </w:tcBorders>
          </w:tcPr>
          <w:p w14:paraId="16928B1F" w14:textId="77777777" w:rsidR="003F0D4E" w:rsidRPr="00097A86" w:rsidRDefault="003F0D4E" w:rsidP="00B278A7">
            <w:pPr>
              <w:pStyle w:val="TableHeading"/>
            </w:pPr>
            <w:r w:rsidRPr="00097A86">
              <w:t>Emission factor</w:t>
            </w:r>
          </w:p>
          <w:p w14:paraId="0EEFED65" w14:textId="77777777" w:rsidR="003F0D4E" w:rsidRPr="00097A86" w:rsidRDefault="003F0D4E" w:rsidP="00B278A7">
            <w:pPr>
              <w:pStyle w:val="TableHeading"/>
            </w:pPr>
            <w:r w:rsidRPr="00097A86">
              <w:t>kg CO</w:t>
            </w:r>
            <w:r w:rsidRPr="00097A86">
              <w:rPr>
                <w:vertAlign w:val="subscript"/>
              </w:rPr>
              <w:t>2</w:t>
            </w:r>
            <w:r w:rsidR="00097A86">
              <w:noBreakHyphen/>
            </w:r>
            <w:r w:rsidRPr="00097A86">
              <w:t>e/GJ</w:t>
            </w:r>
          </w:p>
          <w:p w14:paraId="2572F9F5" w14:textId="77777777" w:rsidR="003F0D4E" w:rsidRPr="00097A86" w:rsidRDefault="003F0D4E" w:rsidP="00B278A7">
            <w:pPr>
              <w:pStyle w:val="TableHeading"/>
            </w:pPr>
            <w:r w:rsidRPr="00097A86">
              <w:t>(relevant oxidation factors incorporated)</w:t>
            </w:r>
          </w:p>
        </w:tc>
      </w:tr>
      <w:tr w:rsidR="003F0D4E" w:rsidRPr="00097A86" w14:paraId="1AFAA922" w14:textId="77777777" w:rsidTr="00C20CC2">
        <w:trPr>
          <w:cantSplit/>
          <w:tblHeader/>
        </w:trPr>
        <w:tc>
          <w:tcPr>
            <w:tcW w:w="427" w:type="pct"/>
            <w:vMerge/>
            <w:tcBorders>
              <w:top w:val="single" w:sz="4" w:space="0" w:color="auto"/>
              <w:left w:val="nil"/>
              <w:bottom w:val="single" w:sz="12" w:space="0" w:color="auto"/>
              <w:right w:val="nil"/>
            </w:tcBorders>
          </w:tcPr>
          <w:p w14:paraId="6755A4E4" w14:textId="77777777" w:rsidR="003F0D4E" w:rsidRPr="00097A86" w:rsidRDefault="003F0D4E" w:rsidP="00B278A7">
            <w:pPr>
              <w:pStyle w:val="TableHeading"/>
            </w:pPr>
          </w:p>
        </w:tc>
        <w:tc>
          <w:tcPr>
            <w:tcW w:w="887" w:type="pct"/>
            <w:vMerge/>
            <w:tcBorders>
              <w:top w:val="single" w:sz="4" w:space="0" w:color="auto"/>
              <w:left w:val="nil"/>
              <w:bottom w:val="single" w:sz="12" w:space="0" w:color="auto"/>
              <w:right w:val="nil"/>
            </w:tcBorders>
          </w:tcPr>
          <w:p w14:paraId="5BA39CA3" w14:textId="77777777" w:rsidR="003F0D4E" w:rsidRPr="00097A86" w:rsidRDefault="003F0D4E" w:rsidP="00B278A7">
            <w:pPr>
              <w:pStyle w:val="TableHeading"/>
            </w:pPr>
          </w:p>
        </w:tc>
        <w:tc>
          <w:tcPr>
            <w:tcW w:w="1008" w:type="pct"/>
            <w:vMerge/>
            <w:tcBorders>
              <w:top w:val="single" w:sz="4" w:space="0" w:color="auto"/>
              <w:left w:val="nil"/>
              <w:bottom w:val="single" w:sz="12" w:space="0" w:color="auto"/>
              <w:right w:val="nil"/>
            </w:tcBorders>
          </w:tcPr>
          <w:p w14:paraId="2EBD02F1" w14:textId="77777777" w:rsidR="003F0D4E" w:rsidRPr="00097A86" w:rsidRDefault="003F0D4E" w:rsidP="00B278A7">
            <w:pPr>
              <w:pStyle w:val="TableHeading"/>
            </w:pPr>
          </w:p>
        </w:tc>
        <w:tc>
          <w:tcPr>
            <w:tcW w:w="930" w:type="pct"/>
            <w:vMerge/>
            <w:tcBorders>
              <w:top w:val="single" w:sz="4" w:space="0" w:color="auto"/>
              <w:left w:val="nil"/>
              <w:bottom w:val="single" w:sz="12" w:space="0" w:color="auto"/>
              <w:right w:val="nil"/>
            </w:tcBorders>
          </w:tcPr>
          <w:p w14:paraId="24269658" w14:textId="77777777" w:rsidR="003F0D4E" w:rsidRPr="00097A86" w:rsidRDefault="003F0D4E" w:rsidP="00B278A7">
            <w:pPr>
              <w:pStyle w:val="TableHeading"/>
            </w:pPr>
          </w:p>
        </w:tc>
        <w:tc>
          <w:tcPr>
            <w:tcW w:w="582" w:type="pct"/>
            <w:tcBorders>
              <w:top w:val="single" w:sz="4" w:space="0" w:color="auto"/>
              <w:left w:val="nil"/>
              <w:bottom w:val="single" w:sz="12" w:space="0" w:color="auto"/>
              <w:right w:val="nil"/>
            </w:tcBorders>
          </w:tcPr>
          <w:p w14:paraId="776269AF" w14:textId="77777777" w:rsidR="003F0D4E" w:rsidRPr="00097A86" w:rsidRDefault="003F0D4E" w:rsidP="00B278A7">
            <w:pPr>
              <w:pStyle w:val="TableHeading"/>
            </w:pPr>
            <w:r w:rsidRPr="00097A86">
              <w:t>CO</w:t>
            </w:r>
            <w:r w:rsidRPr="00097A86">
              <w:rPr>
                <w:vertAlign w:val="subscript"/>
              </w:rPr>
              <w:t>2</w:t>
            </w:r>
          </w:p>
        </w:tc>
        <w:tc>
          <w:tcPr>
            <w:tcW w:w="582" w:type="pct"/>
            <w:tcBorders>
              <w:top w:val="single" w:sz="4" w:space="0" w:color="auto"/>
              <w:left w:val="nil"/>
              <w:bottom w:val="single" w:sz="12" w:space="0" w:color="auto"/>
              <w:right w:val="nil"/>
            </w:tcBorders>
          </w:tcPr>
          <w:p w14:paraId="157D55DD" w14:textId="77777777" w:rsidR="003F0D4E" w:rsidRPr="00097A86" w:rsidRDefault="003F0D4E" w:rsidP="00B278A7">
            <w:pPr>
              <w:pStyle w:val="TableHeading"/>
            </w:pPr>
            <w:r w:rsidRPr="00097A86">
              <w:t>CH</w:t>
            </w:r>
            <w:r w:rsidRPr="00097A86">
              <w:rPr>
                <w:vertAlign w:val="subscript"/>
              </w:rPr>
              <w:t>4</w:t>
            </w:r>
          </w:p>
        </w:tc>
        <w:tc>
          <w:tcPr>
            <w:tcW w:w="584" w:type="pct"/>
            <w:tcBorders>
              <w:top w:val="single" w:sz="4" w:space="0" w:color="auto"/>
              <w:left w:val="nil"/>
              <w:bottom w:val="single" w:sz="12" w:space="0" w:color="auto"/>
              <w:right w:val="nil"/>
            </w:tcBorders>
          </w:tcPr>
          <w:p w14:paraId="0453B95C" w14:textId="77777777" w:rsidR="003F0D4E" w:rsidRPr="00097A86" w:rsidRDefault="003F0D4E" w:rsidP="00B278A7">
            <w:pPr>
              <w:pStyle w:val="TableHeading"/>
            </w:pPr>
            <w:r w:rsidRPr="00097A86">
              <w:t>N</w:t>
            </w:r>
            <w:r w:rsidRPr="00097A86">
              <w:rPr>
                <w:vertAlign w:val="subscript"/>
              </w:rPr>
              <w:t>2</w:t>
            </w:r>
            <w:r w:rsidRPr="00097A86">
              <w:t>O</w:t>
            </w:r>
          </w:p>
        </w:tc>
      </w:tr>
      <w:tr w:rsidR="00473D46" w:rsidRPr="00097A86" w:rsidDel="00473D46" w14:paraId="02F0871A" w14:textId="77777777" w:rsidTr="00C20CC2">
        <w:trPr>
          <w:cantSplit/>
        </w:trPr>
        <w:tc>
          <w:tcPr>
            <w:tcW w:w="427" w:type="pct"/>
            <w:tcBorders>
              <w:top w:val="nil"/>
              <w:left w:val="nil"/>
              <w:bottom w:val="nil"/>
              <w:right w:val="nil"/>
            </w:tcBorders>
            <w:shd w:val="clear" w:color="auto" w:fill="auto"/>
          </w:tcPr>
          <w:p w14:paraId="1D37455C" w14:textId="77777777" w:rsidR="00473D46" w:rsidRPr="00097A86" w:rsidDel="00473D46" w:rsidRDefault="00473D46" w:rsidP="00D22D3F">
            <w:pPr>
              <w:pStyle w:val="Tabletext"/>
              <w:rPr>
                <w:snapToGrid w:val="0"/>
              </w:rPr>
            </w:pPr>
            <w:r w:rsidRPr="00097A86">
              <w:rPr>
                <w:snapToGrid w:val="0"/>
              </w:rPr>
              <w:t>68</w:t>
            </w:r>
          </w:p>
        </w:tc>
        <w:tc>
          <w:tcPr>
            <w:tcW w:w="887" w:type="pct"/>
            <w:tcBorders>
              <w:top w:val="nil"/>
              <w:left w:val="nil"/>
              <w:bottom w:val="nil"/>
              <w:right w:val="nil"/>
            </w:tcBorders>
            <w:shd w:val="clear" w:color="auto" w:fill="auto"/>
          </w:tcPr>
          <w:p w14:paraId="6C6CA340" w14:textId="77777777" w:rsidR="00473D46" w:rsidRPr="00097A86" w:rsidDel="00473D46" w:rsidRDefault="00473D46" w:rsidP="00D22D3F">
            <w:pPr>
              <w:pStyle w:val="Tabletext"/>
              <w:rPr>
                <w:snapToGrid w:val="0"/>
              </w:rPr>
            </w:pPr>
            <w:r w:rsidRPr="00097A86">
              <w:rPr>
                <w:snapToGrid w:val="0"/>
              </w:rPr>
              <w:t>Diesel oil</w:t>
            </w:r>
          </w:p>
        </w:tc>
        <w:tc>
          <w:tcPr>
            <w:tcW w:w="1008" w:type="pct"/>
            <w:tcBorders>
              <w:top w:val="nil"/>
              <w:left w:val="nil"/>
              <w:bottom w:val="nil"/>
              <w:right w:val="nil"/>
            </w:tcBorders>
            <w:shd w:val="clear" w:color="auto" w:fill="auto"/>
          </w:tcPr>
          <w:p w14:paraId="1EBFBD5F" w14:textId="77777777" w:rsidR="00473D46" w:rsidRPr="00097A86" w:rsidDel="00473D46" w:rsidRDefault="00473D46" w:rsidP="00D22D3F">
            <w:pPr>
              <w:pStyle w:val="Tabletext"/>
            </w:pPr>
            <w:r w:rsidRPr="00097A86">
              <w:t>Euro iv or higher</w:t>
            </w:r>
          </w:p>
        </w:tc>
        <w:tc>
          <w:tcPr>
            <w:tcW w:w="930" w:type="pct"/>
            <w:tcBorders>
              <w:top w:val="nil"/>
              <w:left w:val="nil"/>
              <w:bottom w:val="nil"/>
              <w:right w:val="nil"/>
            </w:tcBorders>
          </w:tcPr>
          <w:p w14:paraId="3CD0A760" w14:textId="77777777" w:rsidR="00473D46" w:rsidRPr="00097A86" w:rsidDel="00473D46" w:rsidRDefault="00473D46" w:rsidP="00D22D3F">
            <w:pPr>
              <w:pStyle w:val="Tabletext"/>
              <w:rPr>
                <w:snapToGrid w:val="0"/>
              </w:rPr>
            </w:pPr>
            <w:r w:rsidRPr="00097A86">
              <w:rPr>
                <w:snapToGrid w:val="0"/>
              </w:rPr>
              <w:t>38.6</w:t>
            </w:r>
          </w:p>
        </w:tc>
        <w:tc>
          <w:tcPr>
            <w:tcW w:w="582" w:type="pct"/>
            <w:tcBorders>
              <w:top w:val="nil"/>
              <w:left w:val="nil"/>
              <w:bottom w:val="nil"/>
              <w:right w:val="nil"/>
            </w:tcBorders>
          </w:tcPr>
          <w:p w14:paraId="2BB1DAC1" w14:textId="77777777" w:rsidR="00473D46" w:rsidRPr="00097A86" w:rsidDel="00473D46" w:rsidRDefault="00473D46" w:rsidP="00D22D3F">
            <w:pPr>
              <w:pStyle w:val="Tabletext"/>
              <w:rPr>
                <w:snapToGrid w:val="0"/>
              </w:rPr>
            </w:pPr>
            <w:r w:rsidRPr="00097A86">
              <w:rPr>
                <w:snapToGrid w:val="0"/>
              </w:rPr>
              <w:t>69.9</w:t>
            </w:r>
          </w:p>
        </w:tc>
        <w:tc>
          <w:tcPr>
            <w:tcW w:w="582" w:type="pct"/>
            <w:tcBorders>
              <w:top w:val="nil"/>
              <w:left w:val="nil"/>
              <w:bottom w:val="nil"/>
              <w:right w:val="nil"/>
            </w:tcBorders>
          </w:tcPr>
          <w:p w14:paraId="6121DF86" w14:textId="77777777" w:rsidR="00473D46" w:rsidRPr="00097A86" w:rsidDel="00473D46" w:rsidRDefault="00473D46" w:rsidP="00D22D3F">
            <w:pPr>
              <w:pStyle w:val="Tabletext"/>
              <w:rPr>
                <w:snapToGrid w:val="0"/>
              </w:rPr>
            </w:pPr>
            <w:r w:rsidRPr="00097A86">
              <w:rPr>
                <w:snapToGrid w:val="0"/>
              </w:rPr>
              <w:t>0.06</w:t>
            </w:r>
          </w:p>
        </w:tc>
        <w:tc>
          <w:tcPr>
            <w:tcW w:w="584" w:type="pct"/>
            <w:tcBorders>
              <w:top w:val="nil"/>
              <w:left w:val="nil"/>
              <w:bottom w:val="nil"/>
              <w:right w:val="nil"/>
            </w:tcBorders>
          </w:tcPr>
          <w:p w14:paraId="6B890778" w14:textId="77777777" w:rsidR="00473D46" w:rsidRPr="00097A86" w:rsidDel="00473D46" w:rsidRDefault="00473D46" w:rsidP="00D22D3F">
            <w:pPr>
              <w:pStyle w:val="Tabletext"/>
              <w:rPr>
                <w:snapToGrid w:val="0"/>
              </w:rPr>
            </w:pPr>
            <w:r w:rsidRPr="00097A86">
              <w:rPr>
                <w:snapToGrid w:val="0"/>
              </w:rPr>
              <w:t>0.5</w:t>
            </w:r>
          </w:p>
        </w:tc>
      </w:tr>
      <w:tr w:rsidR="00473D46" w:rsidRPr="00097A86" w:rsidDel="00473D46" w14:paraId="4C697B51" w14:textId="77777777" w:rsidTr="00C20CC2">
        <w:trPr>
          <w:cantSplit/>
        </w:trPr>
        <w:tc>
          <w:tcPr>
            <w:tcW w:w="427" w:type="pct"/>
            <w:tcBorders>
              <w:top w:val="nil"/>
              <w:left w:val="nil"/>
              <w:bottom w:val="nil"/>
              <w:right w:val="nil"/>
            </w:tcBorders>
            <w:shd w:val="clear" w:color="auto" w:fill="auto"/>
          </w:tcPr>
          <w:p w14:paraId="607B9156" w14:textId="77777777" w:rsidR="00473D46" w:rsidRPr="00097A86" w:rsidDel="00473D46" w:rsidRDefault="00473D46" w:rsidP="00D22D3F">
            <w:pPr>
              <w:pStyle w:val="Tabletext"/>
              <w:rPr>
                <w:snapToGrid w:val="0"/>
              </w:rPr>
            </w:pPr>
            <w:r w:rsidRPr="00097A86">
              <w:rPr>
                <w:snapToGrid w:val="0"/>
              </w:rPr>
              <w:t>69</w:t>
            </w:r>
          </w:p>
        </w:tc>
        <w:tc>
          <w:tcPr>
            <w:tcW w:w="887" w:type="pct"/>
            <w:tcBorders>
              <w:top w:val="nil"/>
              <w:left w:val="nil"/>
              <w:bottom w:val="nil"/>
              <w:right w:val="nil"/>
            </w:tcBorders>
            <w:shd w:val="clear" w:color="auto" w:fill="auto"/>
          </w:tcPr>
          <w:p w14:paraId="7F83867A" w14:textId="77777777" w:rsidR="00473D46" w:rsidRPr="00097A86" w:rsidDel="00473D46" w:rsidRDefault="00473D46" w:rsidP="00D22D3F">
            <w:pPr>
              <w:pStyle w:val="Tabletext"/>
              <w:rPr>
                <w:snapToGrid w:val="0"/>
              </w:rPr>
            </w:pPr>
            <w:r w:rsidRPr="00097A86">
              <w:rPr>
                <w:snapToGrid w:val="0"/>
              </w:rPr>
              <w:t>Diesel oil</w:t>
            </w:r>
          </w:p>
        </w:tc>
        <w:tc>
          <w:tcPr>
            <w:tcW w:w="1008" w:type="pct"/>
            <w:tcBorders>
              <w:top w:val="nil"/>
              <w:left w:val="nil"/>
              <w:bottom w:val="nil"/>
              <w:right w:val="nil"/>
            </w:tcBorders>
            <w:shd w:val="clear" w:color="auto" w:fill="auto"/>
          </w:tcPr>
          <w:p w14:paraId="73CAFF49" w14:textId="77777777" w:rsidR="00473D46" w:rsidRPr="00097A86" w:rsidDel="00473D46" w:rsidRDefault="00473D46" w:rsidP="00D22D3F">
            <w:pPr>
              <w:pStyle w:val="Tabletext"/>
            </w:pPr>
            <w:r w:rsidRPr="00097A86">
              <w:t>Euro iii</w:t>
            </w:r>
          </w:p>
        </w:tc>
        <w:tc>
          <w:tcPr>
            <w:tcW w:w="930" w:type="pct"/>
            <w:tcBorders>
              <w:top w:val="nil"/>
              <w:left w:val="nil"/>
              <w:bottom w:val="nil"/>
              <w:right w:val="nil"/>
            </w:tcBorders>
          </w:tcPr>
          <w:p w14:paraId="4DB09538" w14:textId="77777777" w:rsidR="00473D46" w:rsidRPr="00097A86" w:rsidDel="00473D46" w:rsidRDefault="00473D46" w:rsidP="00D22D3F">
            <w:pPr>
              <w:pStyle w:val="Tabletext"/>
              <w:rPr>
                <w:snapToGrid w:val="0"/>
              </w:rPr>
            </w:pPr>
            <w:r w:rsidRPr="00097A86">
              <w:rPr>
                <w:snapToGrid w:val="0"/>
              </w:rPr>
              <w:t>38.6</w:t>
            </w:r>
          </w:p>
        </w:tc>
        <w:tc>
          <w:tcPr>
            <w:tcW w:w="582" w:type="pct"/>
            <w:tcBorders>
              <w:top w:val="nil"/>
              <w:left w:val="nil"/>
              <w:bottom w:val="nil"/>
              <w:right w:val="nil"/>
            </w:tcBorders>
          </w:tcPr>
          <w:p w14:paraId="0A596F5F" w14:textId="77777777" w:rsidR="00473D46" w:rsidRPr="00097A86" w:rsidDel="00473D46" w:rsidRDefault="00473D46" w:rsidP="00D22D3F">
            <w:pPr>
              <w:pStyle w:val="Tabletext"/>
              <w:rPr>
                <w:snapToGrid w:val="0"/>
              </w:rPr>
            </w:pPr>
            <w:r w:rsidRPr="00097A86">
              <w:rPr>
                <w:snapToGrid w:val="0"/>
              </w:rPr>
              <w:t>69.9</w:t>
            </w:r>
          </w:p>
        </w:tc>
        <w:tc>
          <w:tcPr>
            <w:tcW w:w="582" w:type="pct"/>
            <w:tcBorders>
              <w:top w:val="nil"/>
              <w:left w:val="nil"/>
              <w:bottom w:val="nil"/>
              <w:right w:val="nil"/>
            </w:tcBorders>
          </w:tcPr>
          <w:p w14:paraId="241243D0" w14:textId="77777777" w:rsidR="00473D46" w:rsidRPr="00097A86" w:rsidDel="00473D46" w:rsidRDefault="00473D46" w:rsidP="00D22D3F">
            <w:pPr>
              <w:pStyle w:val="Tabletext"/>
              <w:rPr>
                <w:snapToGrid w:val="0"/>
              </w:rPr>
            </w:pPr>
            <w:r w:rsidRPr="00097A86">
              <w:rPr>
                <w:snapToGrid w:val="0"/>
              </w:rPr>
              <w:t>0.1</w:t>
            </w:r>
          </w:p>
        </w:tc>
        <w:tc>
          <w:tcPr>
            <w:tcW w:w="584" w:type="pct"/>
            <w:tcBorders>
              <w:top w:val="nil"/>
              <w:left w:val="nil"/>
              <w:bottom w:val="nil"/>
              <w:right w:val="nil"/>
            </w:tcBorders>
          </w:tcPr>
          <w:p w14:paraId="6BC05428" w14:textId="77777777" w:rsidR="00473D46" w:rsidRPr="00097A86" w:rsidDel="00473D46" w:rsidRDefault="00473D46" w:rsidP="00D22D3F">
            <w:pPr>
              <w:pStyle w:val="Tabletext"/>
              <w:rPr>
                <w:snapToGrid w:val="0"/>
              </w:rPr>
            </w:pPr>
            <w:r w:rsidRPr="00097A86">
              <w:rPr>
                <w:snapToGrid w:val="0"/>
              </w:rPr>
              <w:t>0.5</w:t>
            </w:r>
          </w:p>
        </w:tc>
      </w:tr>
      <w:tr w:rsidR="00473D46" w:rsidRPr="00097A86" w:rsidDel="00473D46" w14:paraId="4E23BEBF" w14:textId="77777777" w:rsidTr="00C20CC2">
        <w:trPr>
          <w:cantSplit/>
        </w:trPr>
        <w:tc>
          <w:tcPr>
            <w:tcW w:w="427" w:type="pct"/>
            <w:tcBorders>
              <w:top w:val="nil"/>
              <w:left w:val="nil"/>
              <w:bottom w:val="single" w:sz="12" w:space="0" w:color="auto"/>
              <w:right w:val="nil"/>
            </w:tcBorders>
            <w:shd w:val="clear" w:color="auto" w:fill="auto"/>
          </w:tcPr>
          <w:p w14:paraId="05ACA4C7" w14:textId="77777777" w:rsidR="00473D46" w:rsidRPr="00097A86" w:rsidDel="00473D46" w:rsidRDefault="00473D46" w:rsidP="00D22D3F">
            <w:pPr>
              <w:pStyle w:val="Tabletext"/>
              <w:rPr>
                <w:snapToGrid w:val="0"/>
              </w:rPr>
            </w:pPr>
            <w:r w:rsidRPr="00097A86">
              <w:rPr>
                <w:snapToGrid w:val="0"/>
              </w:rPr>
              <w:t>70</w:t>
            </w:r>
          </w:p>
        </w:tc>
        <w:tc>
          <w:tcPr>
            <w:tcW w:w="887" w:type="pct"/>
            <w:tcBorders>
              <w:top w:val="nil"/>
              <w:left w:val="nil"/>
              <w:bottom w:val="single" w:sz="12" w:space="0" w:color="auto"/>
              <w:right w:val="nil"/>
            </w:tcBorders>
            <w:shd w:val="clear" w:color="auto" w:fill="auto"/>
          </w:tcPr>
          <w:p w14:paraId="4B3A0B4F" w14:textId="77777777" w:rsidR="00473D46" w:rsidRPr="00097A86" w:rsidDel="00473D46" w:rsidRDefault="00473D46" w:rsidP="00D22D3F">
            <w:pPr>
              <w:pStyle w:val="Tabletext"/>
              <w:rPr>
                <w:snapToGrid w:val="0"/>
              </w:rPr>
            </w:pPr>
            <w:r w:rsidRPr="00097A86">
              <w:rPr>
                <w:snapToGrid w:val="0"/>
              </w:rPr>
              <w:t>Diesel oil</w:t>
            </w:r>
          </w:p>
        </w:tc>
        <w:tc>
          <w:tcPr>
            <w:tcW w:w="1008" w:type="pct"/>
            <w:tcBorders>
              <w:top w:val="nil"/>
              <w:left w:val="nil"/>
              <w:bottom w:val="single" w:sz="12" w:space="0" w:color="auto"/>
              <w:right w:val="nil"/>
            </w:tcBorders>
            <w:shd w:val="clear" w:color="auto" w:fill="auto"/>
          </w:tcPr>
          <w:p w14:paraId="0CD0A534" w14:textId="77777777" w:rsidR="00473D46" w:rsidRPr="00097A86" w:rsidDel="00473D46" w:rsidRDefault="00473D46" w:rsidP="00D22D3F">
            <w:pPr>
              <w:pStyle w:val="Tabletext"/>
            </w:pPr>
            <w:r w:rsidRPr="00097A86">
              <w:t>Euro i</w:t>
            </w:r>
          </w:p>
        </w:tc>
        <w:tc>
          <w:tcPr>
            <w:tcW w:w="930" w:type="pct"/>
            <w:tcBorders>
              <w:top w:val="nil"/>
              <w:left w:val="nil"/>
              <w:bottom w:val="single" w:sz="12" w:space="0" w:color="auto"/>
              <w:right w:val="nil"/>
            </w:tcBorders>
          </w:tcPr>
          <w:p w14:paraId="3B5E64A7" w14:textId="77777777" w:rsidR="00473D46" w:rsidRPr="00097A86" w:rsidDel="00473D46" w:rsidRDefault="00473D46" w:rsidP="00D22D3F">
            <w:pPr>
              <w:pStyle w:val="Tabletext"/>
              <w:rPr>
                <w:snapToGrid w:val="0"/>
              </w:rPr>
            </w:pPr>
            <w:r w:rsidRPr="00097A86">
              <w:rPr>
                <w:snapToGrid w:val="0"/>
              </w:rPr>
              <w:t>38.6</w:t>
            </w:r>
          </w:p>
        </w:tc>
        <w:tc>
          <w:tcPr>
            <w:tcW w:w="582" w:type="pct"/>
            <w:tcBorders>
              <w:top w:val="nil"/>
              <w:left w:val="nil"/>
              <w:bottom w:val="single" w:sz="12" w:space="0" w:color="auto"/>
              <w:right w:val="nil"/>
            </w:tcBorders>
          </w:tcPr>
          <w:p w14:paraId="2F482D51" w14:textId="77777777" w:rsidR="00473D46" w:rsidRPr="00097A86" w:rsidDel="00473D46" w:rsidRDefault="00473D46" w:rsidP="00D22D3F">
            <w:pPr>
              <w:pStyle w:val="Tabletext"/>
              <w:rPr>
                <w:snapToGrid w:val="0"/>
              </w:rPr>
            </w:pPr>
            <w:r w:rsidRPr="00097A86">
              <w:rPr>
                <w:snapToGrid w:val="0"/>
              </w:rPr>
              <w:t>69.9</w:t>
            </w:r>
          </w:p>
        </w:tc>
        <w:tc>
          <w:tcPr>
            <w:tcW w:w="582" w:type="pct"/>
            <w:tcBorders>
              <w:top w:val="nil"/>
              <w:left w:val="nil"/>
              <w:bottom w:val="single" w:sz="12" w:space="0" w:color="auto"/>
              <w:right w:val="nil"/>
            </w:tcBorders>
          </w:tcPr>
          <w:p w14:paraId="7EFF3D4F" w14:textId="77777777" w:rsidR="00473D46" w:rsidRPr="00097A86" w:rsidDel="00473D46" w:rsidRDefault="00473D46" w:rsidP="00D22D3F">
            <w:pPr>
              <w:pStyle w:val="Tabletext"/>
              <w:rPr>
                <w:snapToGrid w:val="0"/>
              </w:rPr>
            </w:pPr>
            <w:r w:rsidRPr="00097A86">
              <w:rPr>
                <w:snapToGrid w:val="0"/>
              </w:rPr>
              <w:t>0.2</w:t>
            </w:r>
          </w:p>
        </w:tc>
        <w:tc>
          <w:tcPr>
            <w:tcW w:w="584" w:type="pct"/>
            <w:tcBorders>
              <w:top w:val="nil"/>
              <w:left w:val="nil"/>
              <w:bottom w:val="single" w:sz="12" w:space="0" w:color="auto"/>
              <w:right w:val="nil"/>
            </w:tcBorders>
          </w:tcPr>
          <w:p w14:paraId="20E00B71" w14:textId="77777777" w:rsidR="00473D46" w:rsidRPr="00097A86" w:rsidDel="00473D46" w:rsidRDefault="00473D46" w:rsidP="00D22D3F">
            <w:pPr>
              <w:pStyle w:val="Tabletext"/>
              <w:rPr>
                <w:snapToGrid w:val="0"/>
              </w:rPr>
            </w:pPr>
            <w:r w:rsidRPr="00097A86">
              <w:rPr>
                <w:snapToGrid w:val="0"/>
              </w:rPr>
              <w:t>0.5</w:t>
            </w:r>
          </w:p>
        </w:tc>
      </w:tr>
    </w:tbl>
    <w:p w14:paraId="4C599747" w14:textId="77777777" w:rsidR="003F0D4E" w:rsidRPr="00097A86" w:rsidRDefault="003F0D4E" w:rsidP="00D22D3F">
      <w:pPr>
        <w:pStyle w:val="ActHead2"/>
        <w:pageBreakBefore/>
      </w:pPr>
      <w:bookmarkStart w:id="684" w:name="_Toc13234107"/>
      <w:r w:rsidRPr="00097A86">
        <w:rPr>
          <w:rStyle w:val="CharPartNo"/>
        </w:rPr>
        <w:lastRenderedPageBreak/>
        <w:t>Part</w:t>
      </w:r>
      <w:r w:rsidR="00097A86">
        <w:rPr>
          <w:rStyle w:val="CharPartNo"/>
        </w:rPr>
        <w:t> </w:t>
      </w:r>
      <w:r w:rsidRPr="00097A86">
        <w:rPr>
          <w:rStyle w:val="CharPartNo"/>
        </w:rPr>
        <w:t>5</w:t>
      </w:r>
      <w:r w:rsidR="00D22D3F" w:rsidRPr="00097A86">
        <w:t>—</w:t>
      </w:r>
      <w:r w:rsidRPr="00097A86">
        <w:rPr>
          <w:rStyle w:val="CharPartText"/>
        </w:rPr>
        <w:t>Consumption of fuels for non</w:t>
      </w:r>
      <w:r w:rsidR="00097A86">
        <w:rPr>
          <w:rStyle w:val="CharPartText"/>
        </w:rPr>
        <w:noBreakHyphen/>
      </w:r>
      <w:r w:rsidRPr="00097A86">
        <w:rPr>
          <w:rStyle w:val="CharPartText"/>
        </w:rPr>
        <w:t>energy product purposes</w:t>
      </w:r>
      <w:bookmarkEnd w:id="684"/>
    </w:p>
    <w:p w14:paraId="240D5C3B" w14:textId="77777777" w:rsidR="00D22D3F" w:rsidRPr="00097A86" w:rsidRDefault="00D22D3F" w:rsidP="00D22D3F">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3172"/>
        <w:gridCol w:w="1548"/>
        <w:gridCol w:w="968"/>
        <w:gridCol w:w="968"/>
        <w:gridCol w:w="971"/>
      </w:tblGrid>
      <w:tr w:rsidR="003F0D4E" w:rsidRPr="00097A86" w14:paraId="5CF82879" w14:textId="77777777" w:rsidTr="00C20CC2">
        <w:trPr>
          <w:cantSplit/>
          <w:tblHeader/>
        </w:trPr>
        <w:tc>
          <w:tcPr>
            <w:tcW w:w="413" w:type="pct"/>
            <w:vMerge w:val="restart"/>
            <w:tcBorders>
              <w:top w:val="single" w:sz="12" w:space="0" w:color="auto"/>
              <w:left w:val="nil"/>
              <w:bottom w:val="single" w:sz="4" w:space="0" w:color="auto"/>
              <w:right w:val="nil"/>
            </w:tcBorders>
          </w:tcPr>
          <w:p w14:paraId="2F980A51" w14:textId="77777777" w:rsidR="003F0D4E" w:rsidRPr="00097A86" w:rsidRDefault="003F0D4E" w:rsidP="00B278A7">
            <w:pPr>
              <w:pStyle w:val="TableHeading"/>
            </w:pPr>
            <w:r w:rsidRPr="00097A86">
              <w:t>Item</w:t>
            </w:r>
          </w:p>
        </w:tc>
        <w:tc>
          <w:tcPr>
            <w:tcW w:w="1908" w:type="pct"/>
            <w:vMerge w:val="restart"/>
            <w:tcBorders>
              <w:top w:val="single" w:sz="12" w:space="0" w:color="auto"/>
              <w:left w:val="nil"/>
              <w:bottom w:val="single" w:sz="4" w:space="0" w:color="auto"/>
              <w:right w:val="nil"/>
            </w:tcBorders>
          </w:tcPr>
          <w:p w14:paraId="76D098D1" w14:textId="77777777" w:rsidR="003F0D4E" w:rsidRPr="00097A86" w:rsidRDefault="003F0D4E" w:rsidP="00B278A7">
            <w:pPr>
              <w:pStyle w:val="TableHeading"/>
            </w:pPr>
            <w:r w:rsidRPr="00097A86">
              <w:t>Fuel consumed</w:t>
            </w:r>
          </w:p>
        </w:tc>
        <w:tc>
          <w:tcPr>
            <w:tcW w:w="931" w:type="pct"/>
            <w:vMerge w:val="restart"/>
            <w:tcBorders>
              <w:top w:val="single" w:sz="12" w:space="0" w:color="auto"/>
              <w:left w:val="nil"/>
              <w:bottom w:val="single" w:sz="4" w:space="0" w:color="auto"/>
              <w:right w:val="nil"/>
            </w:tcBorders>
          </w:tcPr>
          <w:p w14:paraId="3B83907F" w14:textId="77777777" w:rsidR="003F0D4E" w:rsidRPr="00097A86" w:rsidRDefault="003F0D4E" w:rsidP="00B278A7">
            <w:pPr>
              <w:pStyle w:val="TableHeading"/>
            </w:pPr>
            <w:r w:rsidRPr="00097A86">
              <w:t>Energy content factor</w:t>
            </w:r>
          </w:p>
          <w:p w14:paraId="414B3AAB" w14:textId="77777777" w:rsidR="003F0D4E" w:rsidRPr="00097A86" w:rsidRDefault="003F0D4E" w:rsidP="00B278A7">
            <w:pPr>
              <w:pStyle w:val="TableHeading"/>
            </w:pPr>
            <w:r w:rsidRPr="00097A86">
              <w:t>(GJ/t unless otherwise indicated)</w:t>
            </w:r>
          </w:p>
        </w:tc>
        <w:tc>
          <w:tcPr>
            <w:tcW w:w="1748" w:type="pct"/>
            <w:gridSpan w:val="3"/>
            <w:tcBorders>
              <w:top w:val="single" w:sz="12" w:space="0" w:color="auto"/>
              <w:left w:val="nil"/>
              <w:bottom w:val="single" w:sz="4" w:space="0" w:color="auto"/>
              <w:right w:val="nil"/>
            </w:tcBorders>
          </w:tcPr>
          <w:p w14:paraId="7E16867D" w14:textId="77777777" w:rsidR="003F0D4E" w:rsidRPr="00097A86" w:rsidRDefault="003F0D4E" w:rsidP="00B278A7">
            <w:pPr>
              <w:pStyle w:val="TableHeading"/>
            </w:pPr>
            <w:r w:rsidRPr="00097A86">
              <w:t>Emission factor</w:t>
            </w:r>
          </w:p>
          <w:p w14:paraId="4132577B" w14:textId="77777777" w:rsidR="003F0D4E" w:rsidRPr="00097A86" w:rsidRDefault="003F0D4E" w:rsidP="00B278A7">
            <w:pPr>
              <w:pStyle w:val="TableHeading"/>
            </w:pPr>
            <w:r w:rsidRPr="00097A86">
              <w:t>kg CO</w:t>
            </w:r>
            <w:r w:rsidRPr="00097A86">
              <w:rPr>
                <w:vertAlign w:val="subscript"/>
              </w:rPr>
              <w:t>2</w:t>
            </w:r>
            <w:r w:rsidR="00097A86">
              <w:noBreakHyphen/>
            </w:r>
            <w:r w:rsidRPr="00097A86">
              <w:t>e/GJ</w:t>
            </w:r>
          </w:p>
          <w:p w14:paraId="4352DD14" w14:textId="77777777" w:rsidR="003F0D4E" w:rsidRPr="00097A86" w:rsidRDefault="003F0D4E" w:rsidP="00B278A7">
            <w:pPr>
              <w:pStyle w:val="TableHeading"/>
            </w:pPr>
            <w:r w:rsidRPr="00097A86">
              <w:t>(relevant oxidation factors incorporated)</w:t>
            </w:r>
          </w:p>
        </w:tc>
      </w:tr>
      <w:tr w:rsidR="003F0D4E" w:rsidRPr="00097A86" w14:paraId="5985B915" w14:textId="77777777" w:rsidTr="00C20CC2">
        <w:trPr>
          <w:cantSplit/>
          <w:tblHeader/>
        </w:trPr>
        <w:tc>
          <w:tcPr>
            <w:tcW w:w="413" w:type="pct"/>
            <w:vMerge/>
            <w:tcBorders>
              <w:top w:val="single" w:sz="4" w:space="0" w:color="auto"/>
              <w:left w:val="nil"/>
              <w:bottom w:val="single" w:sz="12" w:space="0" w:color="auto"/>
              <w:right w:val="nil"/>
            </w:tcBorders>
          </w:tcPr>
          <w:p w14:paraId="37358C7D" w14:textId="77777777" w:rsidR="003F0D4E" w:rsidRPr="00097A86" w:rsidRDefault="003F0D4E" w:rsidP="00B278A7">
            <w:pPr>
              <w:pStyle w:val="TableHeading"/>
            </w:pPr>
          </w:p>
        </w:tc>
        <w:tc>
          <w:tcPr>
            <w:tcW w:w="1908" w:type="pct"/>
            <w:vMerge/>
            <w:tcBorders>
              <w:top w:val="single" w:sz="4" w:space="0" w:color="auto"/>
              <w:left w:val="nil"/>
              <w:bottom w:val="single" w:sz="12" w:space="0" w:color="auto"/>
              <w:right w:val="nil"/>
            </w:tcBorders>
          </w:tcPr>
          <w:p w14:paraId="1C5B6BC8" w14:textId="77777777" w:rsidR="003F0D4E" w:rsidRPr="00097A86" w:rsidRDefault="003F0D4E" w:rsidP="00B278A7">
            <w:pPr>
              <w:pStyle w:val="TableHeading"/>
            </w:pPr>
          </w:p>
        </w:tc>
        <w:tc>
          <w:tcPr>
            <w:tcW w:w="931" w:type="pct"/>
            <w:vMerge/>
            <w:tcBorders>
              <w:top w:val="single" w:sz="4" w:space="0" w:color="auto"/>
              <w:left w:val="nil"/>
              <w:bottom w:val="single" w:sz="12" w:space="0" w:color="auto"/>
              <w:right w:val="nil"/>
            </w:tcBorders>
          </w:tcPr>
          <w:p w14:paraId="7A429F5C" w14:textId="77777777" w:rsidR="003F0D4E" w:rsidRPr="00097A86" w:rsidRDefault="003F0D4E" w:rsidP="00B278A7">
            <w:pPr>
              <w:pStyle w:val="TableHeading"/>
            </w:pPr>
          </w:p>
        </w:tc>
        <w:tc>
          <w:tcPr>
            <w:tcW w:w="582" w:type="pct"/>
            <w:tcBorders>
              <w:top w:val="single" w:sz="4" w:space="0" w:color="auto"/>
              <w:left w:val="nil"/>
              <w:bottom w:val="single" w:sz="12" w:space="0" w:color="auto"/>
              <w:right w:val="nil"/>
            </w:tcBorders>
          </w:tcPr>
          <w:p w14:paraId="68E8861A" w14:textId="77777777" w:rsidR="003F0D4E" w:rsidRPr="00097A86" w:rsidRDefault="003F0D4E" w:rsidP="00B278A7">
            <w:pPr>
              <w:pStyle w:val="TableHeading"/>
            </w:pPr>
            <w:r w:rsidRPr="00097A86">
              <w:t>CO</w:t>
            </w:r>
            <w:r w:rsidRPr="00097A86">
              <w:rPr>
                <w:vertAlign w:val="subscript"/>
              </w:rPr>
              <w:t>2</w:t>
            </w:r>
          </w:p>
        </w:tc>
        <w:tc>
          <w:tcPr>
            <w:tcW w:w="582" w:type="pct"/>
            <w:tcBorders>
              <w:top w:val="single" w:sz="4" w:space="0" w:color="auto"/>
              <w:left w:val="nil"/>
              <w:bottom w:val="single" w:sz="12" w:space="0" w:color="auto"/>
              <w:right w:val="nil"/>
            </w:tcBorders>
          </w:tcPr>
          <w:p w14:paraId="3B6D930C" w14:textId="77777777" w:rsidR="003F0D4E" w:rsidRPr="00097A86" w:rsidRDefault="003F0D4E" w:rsidP="00B278A7">
            <w:pPr>
              <w:pStyle w:val="TableHeading"/>
            </w:pPr>
            <w:r w:rsidRPr="00097A86">
              <w:t>CH</w:t>
            </w:r>
            <w:r w:rsidRPr="00097A86">
              <w:rPr>
                <w:vertAlign w:val="subscript"/>
              </w:rPr>
              <w:t>4</w:t>
            </w:r>
          </w:p>
        </w:tc>
        <w:tc>
          <w:tcPr>
            <w:tcW w:w="584" w:type="pct"/>
            <w:tcBorders>
              <w:top w:val="single" w:sz="4" w:space="0" w:color="auto"/>
              <w:left w:val="nil"/>
              <w:bottom w:val="single" w:sz="12" w:space="0" w:color="auto"/>
              <w:right w:val="nil"/>
            </w:tcBorders>
          </w:tcPr>
          <w:p w14:paraId="75AF1A02" w14:textId="77777777" w:rsidR="003F0D4E" w:rsidRPr="00097A86" w:rsidRDefault="003F0D4E" w:rsidP="00B278A7">
            <w:pPr>
              <w:pStyle w:val="TableHeading"/>
            </w:pPr>
            <w:r w:rsidRPr="00097A86">
              <w:t>N</w:t>
            </w:r>
            <w:r w:rsidRPr="00097A86">
              <w:rPr>
                <w:vertAlign w:val="subscript"/>
              </w:rPr>
              <w:t>2</w:t>
            </w:r>
            <w:r w:rsidRPr="00097A86">
              <w:t>O</w:t>
            </w:r>
          </w:p>
        </w:tc>
      </w:tr>
      <w:tr w:rsidR="003F0D4E" w:rsidRPr="00097A86" w14:paraId="21A0F402" w14:textId="77777777" w:rsidTr="00C20CC2">
        <w:trPr>
          <w:cantSplit/>
        </w:trPr>
        <w:tc>
          <w:tcPr>
            <w:tcW w:w="413" w:type="pct"/>
            <w:tcBorders>
              <w:top w:val="single" w:sz="12" w:space="0" w:color="auto"/>
              <w:left w:val="nil"/>
              <w:bottom w:val="nil"/>
              <w:right w:val="nil"/>
            </w:tcBorders>
          </w:tcPr>
          <w:p w14:paraId="7A1A4C4B" w14:textId="77777777" w:rsidR="003F0D4E" w:rsidRPr="00097A86" w:rsidRDefault="003F0D4E" w:rsidP="00D22D3F">
            <w:pPr>
              <w:pStyle w:val="Tabletext"/>
              <w:rPr>
                <w:snapToGrid w:val="0"/>
              </w:rPr>
            </w:pPr>
            <w:r w:rsidRPr="00097A86">
              <w:rPr>
                <w:snapToGrid w:val="0"/>
              </w:rPr>
              <w:t>71</w:t>
            </w:r>
          </w:p>
        </w:tc>
        <w:tc>
          <w:tcPr>
            <w:tcW w:w="1908" w:type="pct"/>
            <w:tcBorders>
              <w:top w:val="single" w:sz="12" w:space="0" w:color="auto"/>
              <w:left w:val="nil"/>
              <w:bottom w:val="nil"/>
              <w:right w:val="nil"/>
            </w:tcBorders>
          </w:tcPr>
          <w:p w14:paraId="5DEDC823" w14:textId="77777777" w:rsidR="003F0D4E" w:rsidRPr="00097A86" w:rsidRDefault="003F0D4E" w:rsidP="00D22D3F">
            <w:pPr>
              <w:pStyle w:val="Tabletext"/>
              <w:rPr>
                <w:snapToGrid w:val="0"/>
              </w:rPr>
            </w:pPr>
            <w:r w:rsidRPr="00097A86">
              <w:rPr>
                <w:snapToGrid w:val="0"/>
              </w:rPr>
              <w:t>Solvents if mineral turpentine or white spirits</w:t>
            </w:r>
          </w:p>
        </w:tc>
        <w:tc>
          <w:tcPr>
            <w:tcW w:w="931" w:type="pct"/>
            <w:tcBorders>
              <w:top w:val="single" w:sz="12" w:space="0" w:color="auto"/>
              <w:left w:val="nil"/>
              <w:bottom w:val="nil"/>
              <w:right w:val="nil"/>
            </w:tcBorders>
          </w:tcPr>
          <w:p w14:paraId="0623E054" w14:textId="77777777" w:rsidR="003F0D4E" w:rsidRPr="00097A86" w:rsidRDefault="003F0D4E" w:rsidP="00D22D3F">
            <w:pPr>
              <w:pStyle w:val="Tabletext"/>
              <w:rPr>
                <w:snapToGrid w:val="0"/>
              </w:rPr>
            </w:pPr>
            <w:r w:rsidRPr="00097A86">
              <w:rPr>
                <w:snapToGrid w:val="0"/>
              </w:rPr>
              <w:t>34.4 GJ/kL</w:t>
            </w:r>
          </w:p>
        </w:tc>
        <w:tc>
          <w:tcPr>
            <w:tcW w:w="1748" w:type="pct"/>
            <w:gridSpan w:val="3"/>
            <w:tcBorders>
              <w:top w:val="single" w:sz="12" w:space="0" w:color="auto"/>
              <w:left w:val="nil"/>
              <w:bottom w:val="nil"/>
              <w:right w:val="nil"/>
            </w:tcBorders>
          </w:tcPr>
          <w:p w14:paraId="2961A26D" w14:textId="77777777" w:rsidR="003F0D4E" w:rsidRPr="00097A86" w:rsidRDefault="003F0D4E" w:rsidP="00D22D3F">
            <w:pPr>
              <w:pStyle w:val="Tabletext"/>
              <w:rPr>
                <w:snapToGrid w:val="0"/>
              </w:rPr>
            </w:pPr>
            <w:r w:rsidRPr="00097A86">
              <w:rPr>
                <w:snapToGrid w:val="0"/>
              </w:rPr>
              <w:t>Not applicable</w:t>
            </w:r>
          </w:p>
        </w:tc>
      </w:tr>
      <w:tr w:rsidR="003F0D4E" w:rsidRPr="00097A86" w14:paraId="3A413273" w14:textId="77777777" w:rsidTr="00C20CC2">
        <w:trPr>
          <w:cantSplit/>
        </w:trPr>
        <w:tc>
          <w:tcPr>
            <w:tcW w:w="413" w:type="pct"/>
            <w:tcBorders>
              <w:top w:val="nil"/>
              <w:left w:val="nil"/>
              <w:bottom w:val="nil"/>
              <w:right w:val="nil"/>
            </w:tcBorders>
          </w:tcPr>
          <w:p w14:paraId="36BDC459" w14:textId="77777777" w:rsidR="003F0D4E" w:rsidRPr="00097A86" w:rsidRDefault="003F0D4E" w:rsidP="00D22D3F">
            <w:pPr>
              <w:pStyle w:val="Tabletext"/>
              <w:rPr>
                <w:snapToGrid w:val="0"/>
              </w:rPr>
            </w:pPr>
            <w:r w:rsidRPr="00097A86">
              <w:rPr>
                <w:snapToGrid w:val="0"/>
              </w:rPr>
              <w:t>72</w:t>
            </w:r>
          </w:p>
        </w:tc>
        <w:tc>
          <w:tcPr>
            <w:tcW w:w="1908" w:type="pct"/>
            <w:tcBorders>
              <w:top w:val="nil"/>
              <w:left w:val="nil"/>
              <w:bottom w:val="nil"/>
              <w:right w:val="nil"/>
            </w:tcBorders>
          </w:tcPr>
          <w:p w14:paraId="29225915" w14:textId="77777777" w:rsidR="003F0D4E" w:rsidRPr="00097A86" w:rsidRDefault="003F0D4E" w:rsidP="00D22D3F">
            <w:pPr>
              <w:pStyle w:val="Tabletext"/>
              <w:rPr>
                <w:snapToGrid w:val="0"/>
              </w:rPr>
            </w:pPr>
            <w:r w:rsidRPr="00097A86">
              <w:rPr>
                <w:snapToGrid w:val="0"/>
              </w:rPr>
              <w:t xml:space="preserve">Bitumen </w:t>
            </w:r>
          </w:p>
        </w:tc>
        <w:tc>
          <w:tcPr>
            <w:tcW w:w="931" w:type="pct"/>
            <w:tcBorders>
              <w:top w:val="nil"/>
              <w:left w:val="nil"/>
              <w:bottom w:val="nil"/>
              <w:right w:val="nil"/>
            </w:tcBorders>
          </w:tcPr>
          <w:p w14:paraId="25C050CC" w14:textId="77777777" w:rsidR="003F0D4E" w:rsidRPr="00097A86" w:rsidRDefault="003F0D4E" w:rsidP="00D22D3F">
            <w:pPr>
              <w:pStyle w:val="Tabletext"/>
              <w:rPr>
                <w:snapToGrid w:val="0"/>
              </w:rPr>
            </w:pPr>
            <w:r w:rsidRPr="00097A86">
              <w:rPr>
                <w:snapToGrid w:val="0"/>
              </w:rPr>
              <w:t>43.2</w:t>
            </w:r>
          </w:p>
        </w:tc>
        <w:tc>
          <w:tcPr>
            <w:tcW w:w="1748" w:type="pct"/>
            <w:gridSpan w:val="3"/>
            <w:tcBorders>
              <w:top w:val="nil"/>
              <w:left w:val="nil"/>
              <w:bottom w:val="nil"/>
              <w:right w:val="nil"/>
            </w:tcBorders>
          </w:tcPr>
          <w:p w14:paraId="5DE8779A" w14:textId="77777777" w:rsidR="003F0D4E" w:rsidRPr="00097A86" w:rsidRDefault="003F0D4E" w:rsidP="00D22D3F">
            <w:pPr>
              <w:pStyle w:val="Tabletext"/>
              <w:rPr>
                <w:snapToGrid w:val="0"/>
              </w:rPr>
            </w:pPr>
            <w:r w:rsidRPr="00097A86">
              <w:rPr>
                <w:snapToGrid w:val="0"/>
              </w:rPr>
              <w:t>Not applicable</w:t>
            </w:r>
          </w:p>
        </w:tc>
      </w:tr>
      <w:tr w:rsidR="003F0D4E" w:rsidRPr="00097A86" w14:paraId="3F54DDCD" w14:textId="77777777" w:rsidTr="00C20CC2">
        <w:trPr>
          <w:cantSplit/>
        </w:trPr>
        <w:tc>
          <w:tcPr>
            <w:tcW w:w="413" w:type="pct"/>
            <w:tcBorders>
              <w:top w:val="nil"/>
              <w:left w:val="nil"/>
              <w:bottom w:val="nil"/>
              <w:right w:val="nil"/>
            </w:tcBorders>
          </w:tcPr>
          <w:p w14:paraId="72394801" w14:textId="77777777" w:rsidR="003F0D4E" w:rsidRPr="00097A86" w:rsidRDefault="003F0D4E" w:rsidP="00D22D3F">
            <w:pPr>
              <w:pStyle w:val="Tabletext"/>
              <w:rPr>
                <w:snapToGrid w:val="0"/>
              </w:rPr>
            </w:pPr>
            <w:r w:rsidRPr="00097A86">
              <w:rPr>
                <w:snapToGrid w:val="0"/>
              </w:rPr>
              <w:t>73</w:t>
            </w:r>
          </w:p>
        </w:tc>
        <w:tc>
          <w:tcPr>
            <w:tcW w:w="1908" w:type="pct"/>
            <w:tcBorders>
              <w:top w:val="nil"/>
              <w:left w:val="nil"/>
              <w:bottom w:val="nil"/>
              <w:right w:val="nil"/>
            </w:tcBorders>
          </w:tcPr>
          <w:p w14:paraId="1A8C5397" w14:textId="77777777" w:rsidR="003F0D4E" w:rsidRPr="00097A86" w:rsidRDefault="003F0D4E" w:rsidP="00D22D3F">
            <w:pPr>
              <w:pStyle w:val="Tabletext"/>
              <w:rPr>
                <w:snapToGrid w:val="0"/>
              </w:rPr>
            </w:pPr>
            <w:r w:rsidRPr="00097A86">
              <w:rPr>
                <w:snapToGrid w:val="0"/>
              </w:rPr>
              <w:t>Waxes</w:t>
            </w:r>
          </w:p>
        </w:tc>
        <w:tc>
          <w:tcPr>
            <w:tcW w:w="931" w:type="pct"/>
            <w:tcBorders>
              <w:top w:val="nil"/>
              <w:left w:val="nil"/>
              <w:bottom w:val="nil"/>
              <w:right w:val="nil"/>
            </w:tcBorders>
          </w:tcPr>
          <w:p w14:paraId="146F79D6" w14:textId="77777777" w:rsidR="003F0D4E" w:rsidRPr="00097A86" w:rsidRDefault="003F0D4E" w:rsidP="00D22D3F">
            <w:pPr>
              <w:pStyle w:val="Tabletext"/>
              <w:rPr>
                <w:snapToGrid w:val="0"/>
              </w:rPr>
            </w:pPr>
            <w:r w:rsidRPr="00097A86">
              <w:rPr>
                <w:snapToGrid w:val="0"/>
              </w:rPr>
              <w:t>45.8</w:t>
            </w:r>
          </w:p>
        </w:tc>
        <w:tc>
          <w:tcPr>
            <w:tcW w:w="1748" w:type="pct"/>
            <w:gridSpan w:val="3"/>
            <w:tcBorders>
              <w:top w:val="nil"/>
              <w:left w:val="nil"/>
              <w:bottom w:val="nil"/>
              <w:right w:val="nil"/>
            </w:tcBorders>
          </w:tcPr>
          <w:p w14:paraId="13A1C024" w14:textId="77777777" w:rsidR="003F0D4E" w:rsidRPr="00097A86" w:rsidRDefault="003F0D4E" w:rsidP="00D22D3F">
            <w:pPr>
              <w:pStyle w:val="Tabletext"/>
              <w:rPr>
                <w:snapToGrid w:val="0"/>
              </w:rPr>
            </w:pPr>
            <w:r w:rsidRPr="00097A86">
              <w:rPr>
                <w:snapToGrid w:val="0"/>
              </w:rPr>
              <w:t>Not applicable</w:t>
            </w:r>
          </w:p>
        </w:tc>
      </w:tr>
      <w:tr w:rsidR="003F0D4E" w:rsidRPr="00097A86" w14:paraId="586B03EA" w14:textId="77777777" w:rsidTr="00C20CC2">
        <w:trPr>
          <w:cantSplit/>
        </w:trPr>
        <w:tc>
          <w:tcPr>
            <w:tcW w:w="413" w:type="pct"/>
            <w:tcBorders>
              <w:top w:val="nil"/>
              <w:left w:val="nil"/>
              <w:bottom w:val="nil"/>
              <w:right w:val="nil"/>
            </w:tcBorders>
          </w:tcPr>
          <w:p w14:paraId="35CDC835" w14:textId="77777777" w:rsidR="003F0D4E" w:rsidRPr="00097A86" w:rsidRDefault="003F0D4E" w:rsidP="00D22D3F">
            <w:pPr>
              <w:pStyle w:val="Tabletext"/>
              <w:rPr>
                <w:snapToGrid w:val="0"/>
              </w:rPr>
            </w:pPr>
            <w:r w:rsidRPr="00097A86">
              <w:rPr>
                <w:snapToGrid w:val="0"/>
              </w:rPr>
              <w:t>74</w:t>
            </w:r>
          </w:p>
        </w:tc>
        <w:tc>
          <w:tcPr>
            <w:tcW w:w="1908" w:type="pct"/>
            <w:tcBorders>
              <w:top w:val="nil"/>
              <w:left w:val="nil"/>
              <w:bottom w:val="nil"/>
              <w:right w:val="nil"/>
            </w:tcBorders>
          </w:tcPr>
          <w:p w14:paraId="32865EB7" w14:textId="77777777" w:rsidR="003F0D4E" w:rsidRPr="00097A86" w:rsidRDefault="003F0D4E" w:rsidP="00D22D3F">
            <w:pPr>
              <w:pStyle w:val="Tabletext"/>
              <w:rPr>
                <w:snapToGrid w:val="0"/>
              </w:rPr>
            </w:pPr>
            <w:r w:rsidRPr="00097A86">
              <w:rPr>
                <w:snapToGrid w:val="0"/>
              </w:rPr>
              <w:t>Carbon black if used as a petrochemical feedstock</w:t>
            </w:r>
          </w:p>
        </w:tc>
        <w:tc>
          <w:tcPr>
            <w:tcW w:w="931" w:type="pct"/>
            <w:tcBorders>
              <w:top w:val="nil"/>
              <w:left w:val="nil"/>
              <w:bottom w:val="nil"/>
              <w:right w:val="nil"/>
            </w:tcBorders>
          </w:tcPr>
          <w:p w14:paraId="67EC5491" w14:textId="77777777" w:rsidR="003F0D4E" w:rsidRPr="00097A86" w:rsidRDefault="003F0D4E" w:rsidP="00D22D3F">
            <w:pPr>
              <w:pStyle w:val="Tabletext"/>
              <w:rPr>
                <w:snapToGrid w:val="0"/>
              </w:rPr>
            </w:pPr>
            <w:r w:rsidRPr="00097A86">
              <w:rPr>
                <w:snapToGrid w:val="0"/>
              </w:rPr>
              <w:t>37.1</w:t>
            </w:r>
          </w:p>
        </w:tc>
        <w:tc>
          <w:tcPr>
            <w:tcW w:w="1748" w:type="pct"/>
            <w:gridSpan w:val="3"/>
            <w:tcBorders>
              <w:top w:val="nil"/>
              <w:left w:val="nil"/>
              <w:bottom w:val="nil"/>
              <w:right w:val="nil"/>
            </w:tcBorders>
          </w:tcPr>
          <w:p w14:paraId="70752074" w14:textId="77777777" w:rsidR="003F0D4E" w:rsidRPr="00097A86" w:rsidRDefault="003F0D4E" w:rsidP="00D22D3F">
            <w:pPr>
              <w:pStyle w:val="Tabletext"/>
              <w:rPr>
                <w:snapToGrid w:val="0"/>
              </w:rPr>
            </w:pPr>
            <w:r w:rsidRPr="00097A86">
              <w:rPr>
                <w:snapToGrid w:val="0"/>
              </w:rPr>
              <w:t>Not applicable</w:t>
            </w:r>
          </w:p>
        </w:tc>
      </w:tr>
      <w:tr w:rsidR="003F0D4E" w:rsidRPr="00097A86" w14:paraId="2E593D83" w14:textId="77777777" w:rsidTr="00C20CC2">
        <w:trPr>
          <w:cantSplit/>
        </w:trPr>
        <w:tc>
          <w:tcPr>
            <w:tcW w:w="413" w:type="pct"/>
            <w:tcBorders>
              <w:top w:val="nil"/>
              <w:left w:val="nil"/>
              <w:bottom w:val="nil"/>
              <w:right w:val="nil"/>
            </w:tcBorders>
          </w:tcPr>
          <w:p w14:paraId="1C8218ED" w14:textId="77777777" w:rsidR="003F0D4E" w:rsidRPr="00097A86" w:rsidRDefault="003F0D4E" w:rsidP="00D22D3F">
            <w:pPr>
              <w:pStyle w:val="Tabletext"/>
              <w:rPr>
                <w:snapToGrid w:val="0"/>
              </w:rPr>
            </w:pPr>
            <w:r w:rsidRPr="00097A86">
              <w:rPr>
                <w:snapToGrid w:val="0"/>
              </w:rPr>
              <w:t>75</w:t>
            </w:r>
          </w:p>
        </w:tc>
        <w:tc>
          <w:tcPr>
            <w:tcW w:w="1908" w:type="pct"/>
            <w:tcBorders>
              <w:top w:val="nil"/>
              <w:left w:val="nil"/>
              <w:bottom w:val="nil"/>
              <w:right w:val="nil"/>
            </w:tcBorders>
          </w:tcPr>
          <w:p w14:paraId="46030BAC" w14:textId="77777777" w:rsidR="003F0D4E" w:rsidRPr="00097A86" w:rsidRDefault="003F0D4E" w:rsidP="00D22D3F">
            <w:pPr>
              <w:pStyle w:val="Tabletext"/>
              <w:rPr>
                <w:snapToGrid w:val="0"/>
              </w:rPr>
            </w:pPr>
            <w:r w:rsidRPr="00097A86">
              <w:rPr>
                <w:snapToGrid w:val="0"/>
              </w:rPr>
              <w:t>Ethylene if used as a petrochemical feedstock</w:t>
            </w:r>
          </w:p>
        </w:tc>
        <w:tc>
          <w:tcPr>
            <w:tcW w:w="931" w:type="pct"/>
            <w:tcBorders>
              <w:top w:val="nil"/>
              <w:left w:val="nil"/>
              <w:bottom w:val="nil"/>
              <w:right w:val="nil"/>
            </w:tcBorders>
          </w:tcPr>
          <w:p w14:paraId="7DE39B93" w14:textId="77777777" w:rsidR="003F0D4E" w:rsidRPr="00097A86" w:rsidRDefault="003F0D4E" w:rsidP="00D22D3F">
            <w:pPr>
              <w:pStyle w:val="Tabletext"/>
              <w:rPr>
                <w:snapToGrid w:val="0"/>
              </w:rPr>
            </w:pPr>
            <w:r w:rsidRPr="00097A86">
              <w:rPr>
                <w:snapToGrid w:val="0"/>
              </w:rPr>
              <w:t>50.3</w:t>
            </w:r>
          </w:p>
        </w:tc>
        <w:tc>
          <w:tcPr>
            <w:tcW w:w="1748" w:type="pct"/>
            <w:gridSpan w:val="3"/>
            <w:tcBorders>
              <w:top w:val="nil"/>
              <w:left w:val="nil"/>
              <w:bottom w:val="nil"/>
              <w:right w:val="nil"/>
            </w:tcBorders>
          </w:tcPr>
          <w:p w14:paraId="1FD44B4B" w14:textId="77777777" w:rsidR="003F0D4E" w:rsidRPr="00097A86" w:rsidRDefault="003F0D4E" w:rsidP="00D22D3F">
            <w:pPr>
              <w:pStyle w:val="Tabletext"/>
              <w:rPr>
                <w:snapToGrid w:val="0"/>
              </w:rPr>
            </w:pPr>
            <w:r w:rsidRPr="00097A86">
              <w:rPr>
                <w:snapToGrid w:val="0"/>
              </w:rPr>
              <w:t>Not applicable</w:t>
            </w:r>
          </w:p>
        </w:tc>
      </w:tr>
      <w:tr w:rsidR="003F0D4E" w:rsidRPr="00097A86" w14:paraId="3737160F" w14:textId="77777777" w:rsidTr="00C20CC2">
        <w:trPr>
          <w:cantSplit/>
        </w:trPr>
        <w:tc>
          <w:tcPr>
            <w:tcW w:w="413" w:type="pct"/>
            <w:tcBorders>
              <w:top w:val="nil"/>
              <w:left w:val="nil"/>
              <w:bottom w:val="single" w:sz="12" w:space="0" w:color="auto"/>
              <w:right w:val="nil"/>
            </w:tcBorders>
          </w:tcPr>
          <w:p w14:paraId="30998616" w14:textId="77777777" w:rsidR="003F0D4E" w:rsidRPr="00097A86" w:rsidRDefault="003F0D4E" w:rsidP="00D22D3F">
            <w:pPr>
              <w:pStyle w:val="Tabletext"/>
              <w:rPr>
                <w:snapToGrid w:val="0"/>
              </w:rPr>
            </w:pPr>
            <w:r w:rsidRPr="00097A86">
              <w:rPr>
                <w:snapToGrid w:val="0"/>
              </w:rPr>
              <w:t>76</w:t>
            </w:r>
          </w:p>
        </w:tc>
        <w:tc>
          <w:tcPr>
            <w:tcW w:w="1908" w:type="pct"/>
            <w:tcBorders>
              <w:top w:val="nil"/>
              <w:left w:val="nil"/>
              <w:bottom w:val="single" w:sz="12" w:space="0" w:color="auto"/>
              <w:right w:val="nil"/>
            </w:tcBorders>
          </w:tcPr>
          <w:p w14:paraId="0CB9B603" w14:textId="77777777" w:rsidR="003F0D4E" w:rsidRPr="00097A86" w:rsidRDefault="003F0D4E" w:rsidP="00D22D3F">
            <w:pPr>
              <w:pStyle w:val="Tabletext"/>
              <w:rPr>
                <w:snapToGrid w:val="0"/>
              </w:rPr>
            </w:pPr>
            <w:r w:rsidRPr="00097A86">
              <w:rPr>
                <w:snapToGrid w:val="0"/>
              </w:rPr>
              <w:t>Petrochemical feedstock other than those mentioned in items</w:t>
            </w:r>
            <w:r w:rsidR="00097A86">
              <w:rPr>
                <w:snapToGrid w:val="0"/>
              </w:rPr>
              <w:t> </w:t>
            </w:r>
            <w:r w:rsidRPr="00097A86">
              <w:rPr>
                <w:snapToGrid w:val="0"/>
              </w:rPr>
              <w:t>74 and 75</w:t>
            </w:r>
          </w:p>
        </w:tc>
        <w:tc>
          <w:tcPr>
            <w:tcW w:w="931" w:type="pct"/>
            <w:tcBorders>
              <w:top w:val="nil"/>
              <w:left w:val="nil"/>
              <w:bottom w:val="single" w:sz="12" w:space="0" w:color="auto"/>
              <w:right w:val="nil"/>
            </w:tcBorders>
          </w:tcPr>
          <w:p w14:paraId="4B885786" w14:textId="77777777" w:rsidR="003F0D4E" w:rsidRPr="00097A86" w:rsidRDefault="003F0D4E" w:rsidP="00D22D3F">
            <w:pPr>
              <w:pStyle w:val="Tabletext"/>
              <w:rPr>
                <w:snapToGrid w:val="0"/>
              </w:rPr>
            </w:pPr>
          </w:p>
        </w:tc>
        <w:tc>
          <w:tcPr>
            <w:tcW w:w="1748" w:type="pct"/>
            <w:gridSpan w:val="3"/>
            <w:tcBorders>
              <w:top w:val="nil"/>
              <w:left w:val="nil"/>
              <w:bottom w:val="single" w:sz="12" w:space="0" w:color="auto"/>
              <w:right w:val="nil"/>
            </w:tcBorders>
          </w:tcPr>
          <w:p w14:paraId="48927FA1" w14:textId="77777777" w:rsidR="003F0D4E" w:rsidRPr="00097A86" w:rsidRDefault="003F0D4E" w:rsidP="00D22D3F">
            <w:pPr>
              <w:pStyle w:val="Tabletext"/>
              <w:rPr>
                <w:snapToGrid w:val="0"/>
              </w:rPr>
            </w:pPr>
            <w:r w:rsidRPr="00097A86">
              <w:rPr>
                <w:snapToGrid w:val="0"/>
              </w:rPr>
              <w:t>Not applicable</w:t>
            </w:r>
          </w:p>
        </w:tc>
      </w:tr>
    </w:tbl>
    <w:p w14:paraId="57561DBB" w14:textId="77777777" w:rsidR="005D11E0" w:rsidRPr="00C021B3" w:rsidRDefault="005D11E0" w:rsidP="00D60E39">
      <w:pPr>
        <w:pStyle w:val="ActHead2"/>
        <w:pageBreakBefore/>
      </w:pPr>
      <w:bookmarkStart w:id="685" w:name="_Toc13234108"/>
      <w:r w:rsidRPr="00C021B3">
        <w:rPr>
          <w:rStyle w:val="CharPartNo"/>
        </w:rPr>
        <w:lastRenderedPageBreak/>
        <w:t>Part 6</w:t>
      </w:r>
      <w:r w:rsidRPr="00C021B3">
        <w:t>—</w:t>
      </w:r>
      <w:r w:rsidRPr="00C021B3">
        <w:rPr>
          <w:rStyle w:val="CharPartText"/>
        </w:rPr>
        <w:t>Indirect (scope 2) emission factors from consumption of electricity purchased or lost from grid</w:t>
      </w:r>
      <w:bookmarkEnd w:id="685"/>
    </w:p>
    <w:p w14:paraId="1DBF786F" w14:textId="77777777" w:rsidR="005D11E0" w:rsidRPr="00C021B3" w:rsidRDefault="005D11E0" w:rsidP="005D11E0">
      <w:pPr>
        <w:pStyle w:val="Header"/>
      </w:pPr>
      <w:r w:rsidRPr="00C021B3">
        <w:rPr>
          <w:rStyle w:val="CharDivNo"/>
        </w:rPr>
        <w:t xml:space="preserve"> </w:t>
      </w:r>
      <w:r w:rsidRPr="00C021B3">
        <w:rPr>
          <w:rStyle w:val="CharDivText"/>
        </w:rPr>
        <w:t xml:space="preserve"> </w:t>
      </w:r>
    </w:p>
    <w:p w14:paraId="557C0A92" w14:textId="77777777" w:rsidR="005B4E54" w:rsidRPr="00C021B3" w:rsidRDefault="005B4E54" w:rsidP="005B4E54">
      <w:pPr>
        <w:pStyle w:val="Tabletext"/>
      </w:pPr>
    </w:p>
    <w:tbl>
      <w:tblPr>
        <w:tblW w:w="8415"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3"/>
        <w:gridCol w:w="5874"/>
        <w:gridCol w:w="1818"/>
      </w:tblGrid>
      <w:tr w:rsidR="005B4E54" w:rsidRPr="00C021B3" w14:paraId="494471D8" w14:textId="77777777" w:rsidTr="00497E3C">
        <w:trPr>
          <w:tblHeader/>
        </w:trPr>
        <w:tc>
          <w:tcPr>
            <w:tcW w:w="8415" w:type="dxa"/>
            <w:gridSpan w:val="3"/>
            <w:tcBorders>
              <w:top w:val="single" w:sz="12" w:space="0" w:color="auto"/>
              <w:bottom w:val="single" w:sz="6" w:space="0" w:color="auto"/>
            </w:tcBorders>
            <w:shd w:val="clear" w:color="auto" w:fill="auto"/>
          </w:tcPr>
          <w:p w14:paraId="12AE717D" w14:textId="77777777" w:rsidR="005B4E54" w:rsidRPr="00C021B3" w:rsidRDefault="005B4E54" w:rsidP="00497E3C">
            <w:pPr>
              <w:pStyle w:val="TableHeading"/>
            </w:pPr>
            <w:r w:rsidRPr="00C021B3">
              <w:t>Indirect (scope 2) emissions factors from consumption of electricity purchased or lost from grid</w:t>
            </w:r>
          </w:p>
        </w:tc>
      </w:tr>
      <w:tr w:rsidR="005B4E54" w:rsidRPr="00C021B3" w14:paraId="4C3DFCB7" w14:textId="77777777" w:rsidTr="00497E3C">
        <w:trPr>
          <w:tblHeader/>
        </w:trPr>
        <w:tc>
          <w:tcPr>
            <w:tcW w:w="723" w:type="dxa"/>
            <w:tcBorders>
              <w:top w:val="single" w:sz="6" w:space="0" w:color="auto"/>
              <w:bottom w:val="single" w:sz="12" w:space="0" w:color="auto"/>
            </w:tcBorders>
            <w:shd w:val="clear" w:color="auto" w:fill="auto"/>
          </w:tcPr>
          <w:p w14:paraId="61D05677" w14:textId="77777777" w:rsidR="005B4E54" w:rsidRPr="00C021B3" w:rsidRDefault="005B4E54" w:rsidP="00497E3C">
            <w:pPr>
              <w:pStyle w:val="TableHeading"/>
            </w:pPr>
            <w:r w:rsidRPr="00C021B3">
              <w:t>Item</w:t>
            </w:r>
          </w:p>
        </w:tc>
        <w:tc>
          <w:tcPr>
            <w:tcW w:w="5874" w:type="dxa"/>
            <w:tcBorders>
              <w:top w:val="single" w:sz="6" w:space="0" w:color="auto"/>
              <w:bottom w:val="single" w:sz="12" w:space="0" w:color="auto"/>
            </w:tcBorders>
            <w:shd w:val="clear" w:color="auto" w:fill="auto"/>
          </w:tcPr>
          <w:p w14:paraId="1091FBC2" w14:textId="77777777" w:rsidR="005B4E54" w:rsidRPr="00C021B3" w:rsidRDefault="005B4E54" w:rsidP="00497E3C">
            <w:pPr>
              <w:pStyle w:val="TableHeading"/>
            </w:pPr>
            <w:r w:rsidRPr="00C021B3">
              <w:t>Column 1</w:t>
            </w:r>
          </w:p>
          <w:p w14:paraId="4B7403DD" w14:textId="77777777" w:rsidR="005B4E54" w:rsidRPr="00C021B3" w:rsidRDefault="005B4E54" w:rsidP="00497E3C">
            <w:pPr>
              <w:pStyle w:val="TableHeading"/>
            </w:pPr>
            <w:r w:rsidRPr="00C021B3">
              <w:t>State, Territory or grid description</w:t>
            </w:r>
          </w:p>
        </w:tc>
        <w:tc>
          <w:tcPr>
            <w:tcW w:w="1818" w:type="dxa"/>
            <w:tcBorders>
              <w:top w:val="single" w:sz="6" w:space="0" w:color="auto"/>
              <w:bottom w:val="single" w:sz="12" w:space="0" w:color="auto"/>
            </w:tcBorders>
            <w:shd w:val="clear" w:color="auto" w:fill="auto"/>
          </w:tcPr>
          <w:p w14:paraId="3CC50C94" w14:textId="77777777" w:rsidR="005B4E54" w:rsidRPr="00C021B3" w:rsidRDefault="005B4E54" w:rsidP="00497E3C">
            <w:pPr>
              <w:pStyle w:val="TableHeading"/>
              <w:jc w:val="right"/>
            </w:pPr>
            <w:r w:rsidRPr="00C021B3">
              <w:t>Column 2</w:t>
            </w:r>
          </w:p>
          <w:p w14:paraId="6E8054B1" w14:textId="77777777" w:rsidR="005B4E54" w:rsidRPr="00C021B3" w:rsidRDefault="005B4E54" w:rsidP="00497E3C">
            <w:pPr>
              <w:pStyle w:val="TableHeading"/>
              <w:jc w:val="right"/>
            </w:pPr>
            <w:r w:rsidRPr="00C021B3">
              <w:t>Emission factor</w:t>
            </w:r>
            <w:r w:rsidRPr="00C021B3">
              <w:br/>
              <w:t>kg CO</w:t>
            </w:r>
            <w:r w:rsidRPr="00C021B3">
              <w:rPr>
                <w:vertAlign w:val="subscript"/>
              </w:rPr>
              <w:t>2</w:t>
            </w:r>
            <w:r>
              <w:noBreakHyphen/>
            </w:r>
            <w:r w:rsidRPr="00C021B3">
              <w:t>e/kWh</w:t>
            </w:r>
          </w:p>
        </w:tc>
      </w:tr>
      <w:tr w:rsidR="005B4E54" w:rsidRPr="00C021B3" w14:paraId="3D8658D3" w14:textId="77777777" w:rsidTr="00497E3C">
        <w:tc>
          <w:tcPr>
            <w:tcW w:w="723" w:type="dxa"/>
            <w:tcBorders>
              <w:top w:val="single" w:sz="12" w:space="0" w:color="auto"/>
            </w:tcBorders>
            <w:shd w:val="clear" w:color="auto" w:fill="auto"/>
          </w:tcPr>
          <w:p w14:paraId="0114E069" w14:textId="77777777" w:rsidR="005B4E54" w:rsidRPr="00C021B3" w:rsidRDefault="005B4E54" w:rsidP="00497E3C">
            <w:pPr>
              <w:pStyle w:val="Tabletext"/>
            </w:pPr>
            <w:r w:rsidRPr="00C021B3">
              <w:t>77</w:t>
            </w:r>
          </w:p>
        </w:tc>
        <w:tc>
          <w:tcPr>
            <w:tcW w:w="5874" w:type="dxa"/>
            <w:tcBorders>
              <w:top w:val="single" w:sz="12" w:space="0" w:color="auto"/>
            </w:tcBorders>
            <w:shd w:val="clear" w:color="auto" w:fill="auto"/>
          </w:tcPr>
          <w:p w14:paraId="18F1CD26" w14:textId="77777777" w:rsidR="005B4E54" w:rsidRPr="00C021B3" w:rsidRDefault="005B4E54" w:rsidP="00497E3C">
            <w:pPr>
              <w:pStyle w:val="Tabletext"/>
            </w:pPr>
            <w:r w:rsidRPr="00C021B3">
              <w:t>New South Wales and Australian Capital Territory</w:t>
            </w:r>
          </w:p>
        </w:tc>
        <w:tc>
          <w:tcPr>
            <w:tcW w:w="1818" w:type="dxa"/>
            <w:tcBorders>
              <w:top w:val="single" w:sz="12" w:space="0" w:color="auto"/>
            </w:tcBorders>
            <w:shd w:val="clear" w:color="auto" w:fill="auto"/>
          </w:tcPr>
          <w:p w14:paraId="0F57FCB5" w14:textId="77777777" w:rsidR="005B4E54" w:rsidRPr="00C021B3" w:rsidRDefault="005B4E54" w:rsidP="00497E3C">
            <w:pPr>
              <w:pStyle w:val="Tabletext"/>
              <w:jc w:val="right"/>
            </w:pPr>
            <w:r>
              <w:t>0.81</w:t>
            </w:r>
          </w:p>
        </w:tc>
      </w:tr>
      <w:tr w:rsidR="005B4E54" w:rsidRPr="00C021B3" w14:paraId="78A411C2" w14:textId="77777777" w:rsidTr="00497E3C">
        <w:tc>
          <w:tcPr>
            <w:tcW w:w="723" w:type="dxa"/>
            <w:shd w:val="clear" w:color="auto" w:fill="auto"/>
          </w:tcPr>
          <w:p w14:paraId="660A6729" w14:textId="77777777" w:rsidR="005B4E54" w:rsidRPr="00C021B3" w:rsidRDefault="005B4E54" w:rsidP="00497E3C">
            <w:pPr>
              <w:pStyle w:val="Tabletext"/>
            </w:pPr>
            <w:r w:rsidRPr="00C021B3">
              <w:t>78</w:t>
            </w:r>
          </w:p>
        </w:tc>
        <w:tc>
          <w:tcPr>
            <w:tcW w:w="5874" w:type="dxa"/>
            <w:shd w:val="clear" w:color="auto" w:fill="auto"/>
          </w:tcPr>
          <w:p w14:paraId="38248396" w14:textId="77777777" w:rsidR="005B4E54" w:rsidRPr="00C021B3" w:rsidRDefault="005B4E54" w:rsidP="00497E3C">
            <w:pPr>
              <w:pStyle w:val="Tabletext"/>
            </w:pPr>
            <w:r w:rsidRPr="00C021B3">
              <w:t>Victoria</w:t>
            </w:r>
          </w:p>
        </w:tc>
        <w:tc>
          <w:tcPr>
            <w:tcW w:w="1818" w:type="dxa"/>
            <w:shd w:val="clear" w:color="auto" w:fill="auto"/>
          </w:tcPr>
          <w:p w14:paraId="6BD8D659" w14:textId="77777777" w:rsidR="005B4E54" w:rsidRPr="00C021B3" w:rsidRDefault="005B4E54" w:rsidP="00497E3C">
            <w:pPr>
              <w:pStyle w:val="Tabletext"/>
              <w:jc w:val="right"/>
            </w:pPr>
            <w:r>
              <w:t>1.02</w:t>
            </w:r>
          </w:p>
        </w:tc>
      </w:tr>
      <w:tr w:rsidR="005B4E54" w:rsidRPr="00C021B3" w14:paraId="4FCC1B30" w14:textId="77777777" w:rsidTr="00497E3C">
        <w:tc>
          <w:tcPr>
            <w:tcW w:w="723" w:type="dxa"/>
            <w:shd w:val="clear" w:color="auto" w:fill="auto"/>
          </w:tcPr>
          <w:p w14:paraId="494A4260" w14:textId="77777777" w:rsidR="005B4E54" w:rsidRPr="00C021B3" w:rsidRDefault="005B4E54" w:rsidP="00497E3C">
            <w:pPr>
              <w:pStyle w:val="Tabletext"/>
            </w:pPr>
            <w:r w:rsidRPr="00C021B3">
              <w:t>79</w:t>
            </w:r>
          </w:p>
        </w:tc>
        <w:tc>
          <w:tcPr>
            <w:tcW w:w="5874" w:type="dxa"/>
            <w:shd w:val="clear" w:color="auto" w:fill="auto"/>
          </w:tcPr>
          <w:p w14:paraId="40E1434D" w14:textId="77777777" w:rsidR="005B4E54" w:rsidRPr="00C021B3" w:rsidRDefault="005B4E54" w:rsidP="00497E3C">
            <w:pPr>
              <w:pStyle w:val="Tabletext"/>
            </w:pPr>
            <w:r w:rsidRPr="00C021B3">
              <w:t>Queensland</w:t>
            </w:r>
          </w:p>
        </w:tc>
        <w:tc>
          <w:tcPr>
            <w:tcW w:w="1818" w:type="dxa"/>
            <w:shd w:val="clear" w:color="auto" w:fill="auto"/>
          </w:tcPr>
          <w:p w14:paraId="1CDFC66E" w14:textId="77777777" w:rsidR="005B4E54" w:rsidRPr="00C021B3" w:rsidRDefault="005B4E54" w:rsidP="00497E3C">
            <w:pPr>
              <w:pStyle w:val="Tabletext"/>
              <w:jc w:val="right"/>
            </w:pPr>
            <w:r>
              <w:t>0.81</w:t>
            </w:r>
          </w:p>
        </w:tc>
      </w:tr>
      <w:tr w:rsidR="005B4E54" w:rsidRPr="00C021B3" w14:paraId="04F72A12" w14:textId="77777777" w:rsidTr="00497E3C">
        <w:tc>
          <w:tcPr>
            <w:tcW w:w="723" w:type="dxa"/>
            <w:shd w:val="clear" w:color="auto" w:fill="auto"/>
          </w:tcPr>
          <w:p w14:paraId="643BE73D" w14:textId="77777777" w:rsidR="005B4E54" w:rsidRPr="00C021B3" w:rsidRDefault="005B4E54" w:rsidP="00497E3C">
            <w:pPr>
              <w:pStyle w:val="Tabletext"/>
            </w:pPr>
            <w:r w:rsidRPr="00C021B3">
              <w:t>80</w:t>
            </w:r>
          </w:p>
        </w:tc>
        <w:tc>
          <w:tcPr>
            <w:tcW w:w="5874" w:type="dxa"/>
            <w:shd w:val="clear" w:color="auto" w:fill="auto"/>
          </w:tcPr>
          <w:p w14:paraId="6922F117" w14:textId="77777777" w:rsidR="005B4E54" w:rsidRPr="00C021B3" w:rsidRDefault="005B4E54" w:rsidP="00497E3C">
            <w:pPr>
              <w:pStyle w:val="Tabletext"/>
            </w:pPr>
            <w:r w:rsidRPr="00C021B3">
              <w:t>South Australia</w:t>
            </w:r>
          </w:p>
        </w:tc>
        <w:tc>
          <w:tcPr>
            <w:tcW w:w="1818" w:type="dxa"/>
            <w:shd w:val="clear" w:color="auto" w:fill="auto"/>
          </w:tcPr>
          <w:p w14:paraId="7C87E8B4" w14:textId="77777777" w:rsidR="005B4E54" w:rsidRPr="00C021B3" w:rsidRDefault="005B4E54" w:rsidP="00497E3C">
            <w:pPr>
              <w:pStyle w:val="Tabletext"/>
              <w:jc w:val="right"/>
            </w:pPr>
            <w:r>
              <w:t>0.44</w:t>
            </w:r>
          </w:p>
        </w:tc>
      </w:tr>
      <w:tr w:rsidR="005B4E54" w:rsidRPr="00C021B3" w14:paraId="4A992A34" w14:textId="77777777" w:rsidTr="00497E3C">
        <w:tc>
          <w:tcPr>
            <w:tcW w:w="723" w:type="dxa"/>
            <w:shd w:val="clear" w:color="auto" w:fill="auto"/>
          </w:tcPr>
          <w:p w14:paraId="19159E94" w14:textId="77777777" w:rsidR="005B4E54" w:rsidRPr="00C021B3" w:rsidRDefault="005B4E54" w:rsidP="00497E3C">
            <w:pPr>
              <w:pStyle w:val="Tabletext"/>
            </w:pPr>
            <w:r w:rsidRPr="00C021B3">
              <w:t>81</w:t>
            </w:r>
          </w:p>
        </w:tc>
        <w:tc>
          <w:tcPr>
            <w:tcW w:w="5874" w:type="dxa"/>
            <w:shd w:val="clear" w:color="auto" w:fill="auto"/>
          </w:tcPr>
          <w:p w14:paraId="6D71436B" w14:textId="77777777" w:rsidR="005B4E54" w:rsidRPr="00C021B3" w:rsidRDefault="005B4E54" w:rsidP="00497E3C">
            <w:pPr>
              <w:pStyle w:val="Tabletext"/>
            </w:pPr>
            <w:r w:rsidRPr="00C021B3">
              <w:t>South West Interconnected System in Western Australia</w:t>
            </w:r>
          </w:p>
        </w:tc>
        <w:tc>
          <w:tcPr>
            <w:tcW w:w="1818" w:type="dxa"/>
            <w:shd w:val="clear" w:color="auto" w:fill="auto"/>
          </w:tcPr>
          <w:p w14:paraId="2D344DCB" w14:textId="77777777" w:rsidR="005B4E54" w:rsidRPr="00C021B3" w:rsidRDefault="005B4E54" w:rsidP="00497E3C">
            <w:pPr>
              <w:pStyle w:val="Tabletext"/>
              <w:jc w:val="right"/>
            </w:pPr>
            <w:r>
              <w:t>0.69</w:t>
            </w:r>
          </w:p>
        </w:tc>
      </w:tr>
      <w:tr w:rsidR="005B4E54" w:rsidRPr="00C021B3" w14:paraId="527CCCAA" w14:textId="77777777" w:rsidTr="00497E3C">
        <w:tc>
          <w:tcPr>
            <w:tcW w:w="723" w:type="dxa"/>
            <w:tcBorders>
              <w:bottom w:val="single" w:sz="4" w:space="0" w:color="auto"/>
            </w:tcBorders>
            <w:shd w:val="clear" w:color="auto" w:fill="auto"/>
          </w:tcPr>
          <w:p w14:paraId="70F4F557" w14:textId="77777777" w:rsidR="005B4E54" w:rsidRPr="00C021B3" w:rsidRDefault="005B4E54" w:rsidP="00497E3C">
            <w:pPr>
              <w:pStyle w:val="Tabletext"/>
            </w:pPr>
            <w:r w:rsidRPr="00C021B3">
              <w:t>82</w:t>
            </w:r>
          </w:p>
        </w:tc>
        <w:tc>
          <w:tcPr>
            <w:tcW w:w="5874" w:type="dxa"/>
            <w:tcBorders>
              <w:bottom w:val="single" w:sz="4" w:space="0" w:color="auto"/>
            </w:tcBorders>
            <w:shd w:val="clear" w:color="auto" w:fill="auto"/>
          </w:tcPr>
          <w:p w14:paraId="0074EC64" w14:textId="77777777" w:rsidR="005B4E54" w:rsidRPr="00C021B3" w:rsidRDefault="005B4E54" w:rsidP="00497E3C">
            <w:pPr>
              <w:pStyle w:val="Tabletext"/>
            </w:pPr>
            <w:r w:rsidRPr="00C021B3">
              <w:t>Tasmania</w:t>
            </w:r>
          </w:p>
        </w:tc>
        <w:tc>
          <w:tcPr>
            <w:tcW w:w="1818" w:type="dxa"/>
            <w:tcBorders>
              <w:bottom w:val="single" w:sz="4" w:space="0" w:color="auto"/>
            </w:tcBorders>
            <w:shd w:val="clear" w:color="auto" w:fill="auto"/>
          </w:tcPr>
          <w:p w14:paraId="209D6D74" w14:textId="77777777" w:rsidR="005B4E54" w:rsidRPr="00C021B3" w:rsidRDefault="005B4E54" w:rsidP="00497E3C">
            <w:pPr>
              <w:pStyle w:val="Tabletext"/>
              <w:jc w:val="right"/>
            </w:pPr>
            <w:r>
              <w:t>0.15</w:t>
            </w:r>
          </w:p>
        </w:tc>
      </w:tr>
      <w:tr w:rsidR="005B4E54" w:rsidRPr="00C021B3" w14:paraId="687716BA" w14:textId="77777777" w:rsidTr="00497E3C">
        <w:tc>
          <w:tcPr>
            <w:tcW w:w="723" w:type="dxa"/>
            <w:tcBorders>
              <w:bottom w:val="single" w:sz="12" w:space="0" w:color="auto"/>
            </w:tcBorders>
            <w:shd w:val="clear" w:color="auto" w:fill="auto"/>
          </w:tcPr>
          <w:p w14:paraId="18C46CB7" w14:textId="77777777" w:rsidR="005B4E54" w:rsidRPr="00C021B3" w:rsidRDefault="005B4E54" w:rsidP="00497E3C">
            <w:pPr>
              <w:pStyle w:val="Tabletext"/>
            </w:pPr>
            <w:r w:rsidRPr="00C021B3">
              <w:t>83</w:t>
            </w:r>
          </w:p>
        </w:tc>
        <w:tc>
          <w:tcPr>
            <w:tcW w:w="5874" w:type="dxa"/>
            <w:tcBorders>
              <w:bottom w:val="single" w:sz="12" w:space="0" w:color="auto"/>
            </w:tcBorders>
            <w:shd w:val="clear" w:color="auto" w:fill="auto"/>
          </w:tcPr>
          <w:p w14:paraId="428B6745" w14:textId="77777777" w:rsidR="005B4E54" w:rsidRPr="00C021B3" w:rsidRDefault="005B4E54" w:rsidP="00497E3C">
            <w:pPr>
              <w:pStyle w:val="Tabletext"/>
            </w:pPr>
            <w:r w:rsidRPr="00C021B3">
              <w:t>Northern Territory</w:t>
            </w:r>
          </w:p>
        </w:tc>
        <w:tc>
          <w:tcPr>
            <w:tcW w:w="1818" w:type="dxa"/>
            <w:tcBorders>
              <w:bottom w:val="single" w:sz="12" w:space="0" w:color="auto"/>
            </w:tcBorders>
            <w:shd w:val="clear" w:color="auto" w:fill="auto"/>
          </w:tcPr>
          <w:p w14:paraId="7905A425" w14:textId="77777777" w:rsidR="005B4E54" w:rsidRPr="00C021B3" w:rsidRDefault="005B4E54" w:rsidP="00497E3C">
            <w:pPr>
              <w:pStyle w:val="Tabletext"/>
              <w:jc w:val="right"/>
            </w:pPr>
            <w:r>
              <w:t>0.63</w:t>
            </w:r>
          </w:p>
        </w:tc>
      </w:tr>
    </w:tbl>
    <w:p w14:paraId="3BAFBE01" w14:textId="77777777" w:rsidR="005B4E54" w:rsidRPr="00356952" w:rsidRDefault="005B4E54" w:rsidP="005B4E54">
      <w:pPr>
        <w:pStyle w:val="Tabletext"/>
      </w:pPr>
    </w:p>
    <w:p w14:paraId="6018FD6F" w14:textId="77777777" w:rsidR="005B4E54" w:rsidRPr="006D1CFB" w:rsidRDefault="005B4E54" w:rsidP="005B4E54">
      <w:pPr>
        <w:pStyle w:val="Definition"/>
      </w:pPr>
    </w:p>
    <w:p w14:paraId="39BF79B2" w14:textId="77777777" w:rsidR="0073135F" w:rsidRPr="00097A86" w:rsidRDefault="008104E7" w:rsidP="00D22D3F">
      <w:pPr>
        <w:pStyle w:val="ActHead2"/>
        <w:pageBreakBefore/>
      </w:pPr>
      <w:bookmarkStart w:id="686" w:name="_Toc13234109"/>
      <w:r w:rsidRPr="00097A86">
        <w:rPr>
          <w:rStyle w:val="CharPartNo"/>
        </w:rPr>
        <w:lastRenderedPageBreak/>
        <w:t>Part</w:t>
      </w:r>
      <w:r w:rsidR="00097A86">
        <w:rPr>
          <w:rStyle w:val="CharPartNo"/>
        </w:rPr>
        <w:t> </w:t>
      </w:r>
      <w:r w:rsidRPr="00097A86">
        <w:rPr>
          <w:rStyle w:val="CharPartNo"/>
        </w:rPr>
        <w:t>7</w:t>
      </w:r>
      <w:r w:rsidRPr="00097A86">
        <w:t>—</w:t>
      </w:r>
      <w:r w:rsidRPr="00097A86">
        <w:rPr>
          <w:rStyle w:val="CharPartText"/>
        </w:rPr>
        <w:t>Energy commodities</w:t>
      </w:r>
      <w:bookmarkEnd w:id="686"/>
    </w:p>
    <w:p w14:paraId="01AC6A80"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30"/>
        <w:gridCol w:w="2133"/>
        <w:gridCol w:w="5350"/>
      </w:tblGrid>
      <w:tr w:rsidR="0073135F" w:rsidRPr="00097A86" w14:paraId="4F49898C" w14:textId="77777777" w:rsidTr="00C20CC2">
        <w:trPr>
          <w:tblHeader/>
        </w:trPr>
        <w:tc>
          <w:tcPr>
            <w:tcW w:w="499" w:type="pct"/>
            <w:tcBorders>
              <w:top w:val="single" w:sz="12" w:space="0" w:color="auto"/>
              <w:bottom w:val="single" w:sz="12" w:space="0" w:color="auto"/>
            </w:tcBorders>
            <w:shd w:val="clear" w:color="auto" w:fill="auto"/>
            <w:vAlign w:val="bottom"/>
          </w:tcPr>
          <w:p w14:paraId="4E7E52E4" w14:textId="77777777" w:rsidR="0073135F" w:rsidRPr="00097A86" w:rsidRDefault="0073135F" w:rsidP="00D22D3F">
            <w:pPr>
              <w:pStyle w:val="TableHeading"/>
            </w:pPr>
            <w:r w:rsidRPr="00097A86">
              <w:t xml:space="preserve">Item </w:t>
            </w:r>
          </w:p>
        </w:tc>
        <w:tc>
          <w:tcPr>
            <w:tcW w:w="1283" w:type="pct"/>
            <w:tcBorders>
              <w:top w:val="single" w:sz="12" w:space="0" w:color="auto"/>
              <w:bottom w:val="single" w:sz="12" w:space="0" w:color="auto"/>
            </w:tcBorders>
            <w:shd w:val="clear" w:color="auto" w:fill="auto"/>
            <w:vAlign w:val="bottom"/>
          </w:tcPr>
          <w:p w14:paraId="5F3EDCFB" w14:textId="77777777" w:rsidR="0073135F" w:rsidRPr="00097A86" w:rsidRDefault="008104E7" w:rsidP="00D22D3F">
            <w:pPr>
              <w:pStyle w:val="TableHeading"/>
            </w:pPr>
            <w:r w:rsidRPr="00097A86">
              <w:t>Energy commodity</w:t>
            </w:r>
          </w:p>
        </w:tc>
        <w:tc>
          <w:tcPr>
            <w:tcW w:w="3218" w:type="pct"/>
            <w:tcBorders>
              <w:top w:val="single" w:sz="12" w:space="0" w:color="auto"/>
              <w:bottom w:val="single" w:sz="12" w:space="0" w:color="auto"/>
            </w:tcBorders>
            <w:shd w:val="clear" w:color="auto" w:fill="auto"/>
          </w:tcPr>
          <w:p w14:paraId="09B06619" w14:textId="77777777" w:rsidR="0073135F" w:rsidRPr="00097A86" w:rsidRDefault="0073135F" w:rsidP="00D22D3F">
            <w:pPr>
              <w:pStyle w:val="TableHeading"/>
            </w:pPr>
            <w:r w:rsidRPr="00097A86">
              <w:t>Energy content factor (GJ/t unless otherwise indicated)</w:t>
            </w:r>
          </w:p>
        </w:tc>
      </w:tr>
      <w:tr w:rsidR="0073135F" w:rsidRPr="00097A86" w14:paraId="4AD4C0B9" w14:textId="77777777" w:rsidTr="00C20CC2">
        <w:tc>
          <w:tcPr>
            <w:tcW w:w="499" w:type="pct"/>
            <w:tcBorders>
              <w:top w:val="single" w:sz="12" w:space="0" w:color="auto"/>
            </w:tcBorders>
            <w:shd w:val="clear" w:color="auto" w:fill="auto"/>
          </w:tcPr>
          <w:p w14:paraId="532EB01A" w14:textId="77777777" w:rsidR="0073135F" w:rsidRPr="00097A86" w:rsidRDefault="0073135F" w:rsidP="00D22D3F">
            <w:pPr>
              <w:pStyle w:val="Tabletext"/>
            </w:pPr>
            <w:r w:rsidRPr="00097A86">
              <w:t>84</w:t>
            </w:r>
          </w:p>
        </w:tc>
        <w:tc>
          <w:tcPr>
            <w:tcW w:w="1283" w:type="pct"/>
            <w:tcBorders>
              <w:top w:val="single" w:sz="12" w:space="0" w:color="auto"/>
            </w:tcBorders>
            <w:shd w:val="clear" w:color="auto" w:fill="auto"/>
          </w:tcPr>
          <w:p w14:paraId="4126B308" w14:textId="77777777" w:rsidR="0073135F" w:rsidRPr="00097A86" w:rsidRDefault="0073135F" w:rsidP="00D22D3F">
            <w:pPr>
              <w:pStyle w:val="Tabletext"/>
            </w:pPr>
            <w:r w:rsidRPr="00097A86">
              <w:t>Uranium (U</w:t>
            </w:r>
            <w:r w:rsidRPr="00097A86">
              <w:rPr>
                <w:b/>
                <w:bCs/>
                <w:snapToGrid w:val="0"/>
                <w:sz w:val="18"/>
                <w:szCs w:val="18"/>
                <w:vertAlign w:val="subscript"/>
              </w:rPr>
              <w:t>3</w:t>
            </w:r>
            <w:r w:rsidRPr="00097A86">
              <w:t>O</w:t>
            </w:r>
            <w:r w:rsidRPr="00097A86">
              <w:rPr>
                <w:b/>
                <w:bCs/>
                <w:snapToGrid w:val="0"/>
                <w:sz w:val="18"/>
                <w:szCs w:val="18"/>
                <w:vertAlign w:val="subscript"/>
              </w:rPr>
              <w:t>8</w:t>
            </w:r>
            <w:r w:rsidRPr="00097A86">
              <w:t>)</w:t>
            </w:r>
          </w:p>
        </w:tc>
        <w:tc>
          <w:tcPr>
            <w:tcW w:w="3218" w:type="pct"/>
            <w:tcBorders>
              <w:top w:val="single" w:sz="12" w:space="0" w:color="auto"/>
            </w:tcBorders>
            <w:shd w:val="clear" w:color="auto" w:fill="auto"/>
          </w:tcPr>
          <w:p w14:paraId="04AF0EBB" w14:textId="77777777" w:rsidR="0073135F" w:rsidRPr="00097A86" w:rsidRDefault="0073135F" w:rsidP="00D22D3F">
            <w:pPr>
              <w:pStyle w:val="Tabletext"/>
            </w:pPr>
            <w:r w:rsidRPr="00097A86">
              <w:t>470</w:t>
            </w:r>
            <w:r w:rsidR="00097A86">
              <w:t> </w:t>
            </w:r>
            <w:r w:rsidRPr="00097A86">
              <w:t>000</w:t>
            </w:r>
          </w:p>
        </w:tc>
      </w:tr>
      <w:tr w:rsidR="0073135F" w:rsidRPr="00097A86" w14:paraId="3DFFFE19" w14:textId="77777777" w:rsidTr="00C20CC2">
        <w:tc>
          <w:tcPr>
            <w:tcW w:w="499" w:type="pct"/>
            <w:tcBorders>
              <w:bottom w:val="single" w:sz="4" w:space="0" w:color="auto"/>
            </w:tcBorders>
            <w:shd w:val="clear" w:color="auto" w:fill="auto"/>
          </w:tcPr>
          <w:p w14:paraId="5EF25A2A" w14:textId="77777777" w:rsidR="0073135F" w:rsidRPr="00097A86" w:rsidRDefault="0073135F" w:rsidP="00D22D3F">
            <w:pPr>
              <w:pStyle w:val="Tabletext"/>
            </w:pPr>
            <w:r w:rsidRPr="00097A86">
              <w:t>85</w:t>
            </w:r>
          </w:p>
        </w:tc>
        <w:tc>
          <w:tcPr>
            <w:tcW w:w="1283" w:type="pct"/>
            <w:tcBorders>
              <w:bottom w:val="single" w:sz="4" w:space="0" w:color="auto"/>
            </w:tcBorders>
            <w:shd w:val="clear" w:color="auto" w:fill="auto"/>
          </w:tcPr>
          <w:p w14:paraId="1279D8C0" w14:textId="77777777" w:rsidR="0073135F" w:rsidRPr="00097A86" w:rsidRDefault="0073135F" w:rsidP="00D22D3F">
            <w:pPr>
              <w:pStyle w:val="Tabletext"/>
            </w:pPr>
            <w:r w:rsidRPr="00097A86">
              <w:t>Sulphur</w:t>
            </w:r>
          </w:p>
        </w:tc>
        <w:tc>
          <w:tcPr>
            <w:tcW w:w="3218" w:type="pct"/>
            <w:tcBorders>
              <w:bottom w:val="single" w:sz="4" w:space="0" w:color="auto"/>
            </w:tcBorders>
            <w:shd w:val="clear" w:color="auto" w:fill="auto"/>
          </w:tcPr>
          <w:p w14:paraId="677CE8E8" w14:textId="77777777" w:rsidR="0073135F" w:rsidRPr="00097A86" w:rsidRDefault="0073135F" w:rsidP="00D22D3F">
            <w:pPr>
              <w:pStyle w:val="Tabletext"/>
            </w:pPr>
            <w:r w:rsidRPr="00097A86">
              <w:t>4.9</w:t>
            </w:r>
          </w:p>
        </w:tc>
      </w:tr>
      <w:tr w:rsidR="0073135F" w:rsidRPr="00097A86" w14:paraId="3842DD16" w14:textId="77777777" w:rsidTr="00C20CC2">
        <w:tc>
          <w:tcPr>
            <w:tcW w:w="499" w:type="pct"/>
            <w:tcBorders>
              <w:bottom w:val="single" w:sz="12" w:space="0" w:color="auto"/>
            </w:tcBorders>
            <w:shd w:val="clear" w:color="auto" w:fill="auto"/>
          </w:tcPr>
          <w:p w14:paraId="20C3DB8D" w14:textId="77777777" w:rsidR="0073135F" w:rsidRPr="00097A86" w:rsidRDefault="0073135F" w:rsidP="00D22D3F">
            <w:pPr>
              <w:pStyle w:val="Tabletext"/>
            </w:pPr>
            <w:r w:rsidRPr="00097A86">
              <w:t>86</w:t>
            </w:r>
          </w:p>
        </w:tc>
        <w:tc>
          <w:tcPr>
            <w:tcW w:w="1283" w:type="pct"/>
            <w:tcBorders>
              <w:bottom w:val="single" w:sz="12" w:space="0" w:color="auto"/>
            </w:tcBorders>
            <w:shd w:val="clear" w:color="auto" w:fill="auto"/>
          </w:tcPr>
          <w:p w14:paraId="14CA7B3B" w14:textId="77777777" w:rsidR="0073135F" w:rsidRPr="00097A86" w:rsidRDefault="0073135F" w:rsidP="00D22D3F">
            <w:pPr>
              <w:pStyle w:val="Tabletext"/>
            </w:pPr>
            <w:r w:rsidRPr="00097A86">
              <w:t>Hydrogen</w:t>
            </w:r>
          </w:p>
        </w:tc>
        <w:tc>
          <w:tcPr>
            <w:tcW w:w="3218" w:type="pct"/>
            <w:tcBorders>
              <w:bottom w:val="single" w:sz="12" w:space="0" w:color="auto"/>
            </w:tcBorders>
            <w:shd w:val="clear" w:color="auto" w:fill="auto"/>
          </w:tcPr>
          <w:p w14:paraId="36E63317" w14:textId="77777777" w:rsidR="0073135F" w:rsidRPr="00097A86" w:rsidRDefault="0073135F" w:rsidP="00D22D3F">
            <w:pPr>
              <w:pStyle w:val="Tabletext"/>
            </w:pPr>
            <w:r w:rsidRPr="00097A86">
              <w:t>143</w:t>
            </w:r>
          </w:p>
        </w:tc>
      </w:tr>
    </w:tbl>
    <w:p w14:paraId="782865C3" w14:textId="77777777" w:rsidR="003F0D4E" w:rsidRPr="00097A86" w:rsidRDefault="003F0D4E" w:rsidP="00396D38">
      <w:pPr>
        <w:pStyle w:val="ActHead1"/>
        <w:pageBreakBefore/>
        <w:spacing w:before="240"/>
      </w:pPr>
      <w:bookmarkStart w:id="687" w:name="_Toc13234110"/>
      <w:r w:rsidRPr="00097A86">
        <w:rPr>
          <w:rStyle w:val="CharChapNo"/>
        </w:rPr>
        <w:lastRenderedPageBreak/>
        <w:t>Schedule</w:t>
      </w:r>
      <w:r w:rsidR="00097A86">
        <w:rPr>
          <w:rStyle w:val="CharChapNo"/>
        </w:rPr>
        <w:t> </w:t>
      </w:r>
      <w:r w:rsidRPr="00097A86">
        <w:rPr>
          <w:rStyle w:val="CharChapNo"/>
        </w:rPr>
        <w:t>2</w:t>
      </w:r>
      <w:r w:rsidR="00D22D3F" w:rsidRPr="00097A86">
        <w:t>—</w:t>
      </w:r>
      <w:r w:rsidRPr="00097A86">
        <w:rPr>
          <w:rStyle w:val="CharChapText"/>
        </w:rPr>
        <w:t>Standards and frequency for analysing energy content factor etc for solid fuels</w:t>
      </w:r>
      <w:bookmarkEnd w:id="687"/>
    </w:p>
    <w:p w14:paraId="40D4E2B3" w14:textId="77777777" w:rsidR="003F0D4E" w:rsidRPr="00097A86" w:rsidRDefault="003F0D4E" w:rsidP="00D22D3F">
      <w:pPr>
        <w:pStyle w:val="notemargin"/>
      </w:pPr>
      <w:r w:rsidRPr="00097A86">
        <w:t>(subsections</w:t>
      </w:r>
      <w:r w:rsidR="00097A86">
        <w:t> </w:t>
      </w:r>
      <w:r w:rsidRPr="00097A86">
        <w:t>2.5(1), 2.6(1) and 2.8(1) and (2))</w:t>
      </w:r>
    </w:p>
    <w:p w14:paraId="4209C66B" w14:textId="77777777" w:rsidR="003F0D4E" w:rsidRPr="00097A86" w:rsidRDefault="00D22D3F" w:rsidP="003F0D4E">
      <w:pPr>
        <w:pStyle w:val="Header"/>
      </w:pPr>
      <w:r w:rsidRPr="00097A86">
        <w:rPr>
          <w:rStyle w:val="CharPartNo"/>
        </w:rPr>
        <w:t xml:space="preserve"> </w:t>
      </w:r>
      <w:r w:rsidRPr="00097A86">
        <w:rPr>
          <w:rStyle w:val="CharPartText"/>
        </w:rPr>
        <w:t xml:space="preserve"> </w:t>
      </w:r>
    </w:p>
    <w:p w14:paraId="0C0DC51A" w14:textId="77777777" w:rsidR="00396D38" w:rsidRPr="00097A86" w:rsidRDefault="00396D38" w:rsidP="00D22D3F">
      <w:pPr>
        <w:pStyle w:val="Tabletext"/>
      </w:pPr>
    </w:p>
    <w:tbl>
      <w:tblPr>
        <w:tblW w:w="5000" w:type="pct"/>
        <w:tblLook w:val="0000" w:firstRow="0" w:lastRow="0" w:firstColumn="0" w:lastColumn="0" w:noHBand="0" w:noVBand="0"/>
      </w:tblPr>
      <w:tblGrid>
        <w:gridCol w:w="666"/>
        <w:gridCol w:w="2225"/>
        <w:gridCol w:w="1566"/>
        <w:gridCol w:w="2057"/>
        <w:gridCol w:w="1799"/>
      </w:tblGrid>
      <w:tr w:rsidR="003F0D4E" w:rsidRPr="00097A86" w14:paraId="05789E2A" w14:textId="77777777" w:rsidTr="00C20CC2">
        <w:trPr>
          <w:cantSplit/>
          <w:tblHeader/>
        </w:trPr>
        <w:tc>
          <w:tcPr>
            <w:tcW w:w="401" w:type="pct"/>
            <w:tcBorders>
              <w:top w:val="single" w:sz="12" w:space="0" w:color="auto"/>
              <w:bottom w:val="single" w:sz="12" w:space="0" w:color="auto"/>
            </w:tcBorders>
          </w:tcPr>
          <w:p w14:paraId="074F1BD7" w14:textId="77777777" w:rsidR="003F0D4E" w:rsidRPr="00097A86" w:rsidRDefault="003F0D4E" w:rsidP="00C87D92">
            <w:pPr>
              <w:pStyle w:val="TableHeading"/>
            </w:pPr>
            <w:r w:rsidRPr="00097A86">
              <w:t>Item</w:t>
            </w:r>
          </w:p>
        </w:tc>
        <w:tc>
          <w:tcPr>
            <w:tcW w:w="1338" w:type="pct"/>
            <w:tcBorders>
              <w:top w:val="single" w:sz="12" w:space="0" w:color="auto"/>
              <w:bottom w:val="single" w:sz="12" w:space="0" w:color="auto"/>
            </w:tcBorders>
          </w:tcPr>
          <w:p w14:paraId="00EBACB9" w14:textId="77777777" w:rsidR="003F0D4E" w:rsidRPr="00097A86" w:rsidRDefault="003F0D4E" w:rsidP="00C87D92">
            <w:pPr>
              <w:pStyle w:val="TableHeading"/>
            </w:pPr>
            <w:r w:rsidRPr="00097A86">
              <w:t>Fuel combusted</w:t>
            </w:r>
          </w:p>
        </w:tc>
        <w:tc>
          <w:tcPr>
            <w:tcW w:w="942" w:type="pct"/>
            <w:tcBorders>
              <w:top w:val="single" w:sz="12" w:space="0" w:color="auto"/>
              <w:bottom w:val="single" w:sz="12" w:space="0" w:color="auto"/>
            </w:tcBorders>
          </w:tcPr>
          <w:p w14:paraId="6C4DEFB9" w14:textId="77777777" w:rsidR="003F0D4E" w:rsidRPr="00097A86" w:rsidRDefault="003F0D4E" w:rsidP="00C87D92">
            <w:pPr>
              <w:pStyle w:val="TableHeading"/>
            </w:pPr>
            <w:r w:rsidRPr="00097A86">
              <w:t>Parameter</w:t>
            </w:r>
          </w:p>
        </w:tc>
        <w:tc>
          <w:tcPr>
            <w:tcW w:w="1237" w:type="pct"/>
            <w:tcBorders>
              <w:top w:val="single" w:sz="12" w:space="0" w:color="auto"/>
              <w:bottom w:val="single" w:sz="12" w:space="0" w:color="auto"/>
            </w:tcBorders>
          </w:tcPr>
          <w:p w14:paraId="04F28718" w14:textId="77777777" w:rsidR="003F0D4E" w:rsidRPr="00097A86" w:rsidRDefault="003F0D4E" w:rsidP="00C87D92">
            <w:pPr>
              <w:pStyle w:val="TableHeading"/>
            </w:pPr>
            <w:r w:rsidRPr="00097A86">
              <w:t>Standard</w:t>
            </w:r>
          </w:p>
        </w:tc>
        <w:tc>
          <w:tcPr>
            <w:tcW w:w="1082" w:type="pct"/>
            <w:tcBorders>
              <w:top w:val="single" w:sz="12" w:space="0" w:color="auto"/>
              <w:bottom w:val="single" w:sz="12" w:space="0" w:color="auto"/>
            </w:tcBorders>
          </w:tcPr>
          <w:p w14:paraId="67355E89" w14:textId="77777777" w:rsidR="003F0D4E" w:rsidRPr="00097A86" w:rsidRDefault="003F0D4E" w:rsidP="00C87D92">
            <w:pPr>
              <w:pStyle w:val="TableHeading"/>
            </w:pPr>
            <w:r w:rsidRPr="00097A86">
              <w:t>Frequency</w:t>
            </w:r>
          </w:p>
        </w:tc>
      </w:tr>
      <w:tr w:rsidR="00443A0E" w:rsidRPr="00097A86" w14:paraId="1317FF45" w14:textId="77777777" w:rsidTr="00C20CC2">
        <w:trPr>
          <w:cantSplit/>
        </w:trPr>
        <w:tc>
          <w:tcPr>
            <w:tcW w:w="401" w:type="pct"/>
            <w:tcBorders>
              <w:top w:val="single" w:sz="12" w:space="0" w:color="auto"/>
            </w:tcBorders>
          </w:tcPr>
          <w:p w14:paraId="7F58766A" w14:textId="77777777" w:rsidR="00443A0E" w:rsidRPr="00097A86" w:rsidRDefault="00443A0E" w:rsidP="00396D38">
            <w:pPr>
              <w:pStyle w:val="Tabletext"/>
            </w:pPr>
            <w:r w:rsidRPr="00097A86">
              <w:t>1</w:t>
            </w:r>
          </w:p>
        </w:tc>
        <w:tc>
          <w:tcPr>
            <w:tcW w:w="1338" w:type="pct"/>
            <w:tcBorders>
              <w:top w:val="single" w:sz="12" w:space="0" w:color="auto"/>
            </w:tcBorders>
          </w:tcPr>
          <w:p w14:paraId="7FC3B372" w14:textId="77777777" w:rsidR="00443A0E" w:rsidRPr="00097A86" w:rsidRDefault="00443A0E" w:rsidP="00396D38">
            <w:pPr>
              <w:pStyle w:val="Tabletext"/>
            </w:pPr>
            <w:r w:rsidRPr="00097A86">
              <w:t>Bituminous coal</w:t>
            </w:r>
          </w:p>
        </w:tc>
        <w:tc>
          <w:tcPr>
            <w:tcW w:w="942" w:type="pct"/>
            <w:tcBorders>
              <w:top w:val="single" w:sz="12" w:space="0" w:color="auto"/>
            </w:tcBorders>
          </w:tcPr>
          <w:p w14:paraId="11C80ED5" w14:textId="77777777" w:rsidR="00443A0E" w:rsidRPr="00097A86" w:rsidDel="008F16F2" w:rsidRDefault="00443A0E" w:rsidP="00D22D3F">
            <w:pPr>
              <w:pStyle w:val="Tabletext"/>
            </w:pPr>
            <w:r w:rsidRPr="00097A86">
              <w:t>Energy content factor</w:t>
            </w:r>
          </w:p>
        </w:tc>
        <w:tc>
          <w:tcPr>
            <w:tcW w:w="1237" w:type="pct"/>
            <w:tcBorders>
              <w:top w:val="single" w:sz="12" w:space="0" w:color="auto"/>
            </w:tcBorders>
          </w:tcPr>
          <w:p w14:paraId="42EDC2F1" w14:textId="77777777" w:rsidR="00443A0E" w:rsidRPr="00097A86" w:rsidDel="008F16F2" w:rsidRDefault="00443A0E" w:rsidP="00D22D3F">
            <w:pPr>
              <w:pStyle w:val="Tabletext"/>
            </w:pPr>
            <w:r w:rsidRPr="00097A86">
              <w:t>AS 1038.5—1998</w:t>
            </w:r>
          </w:p>
        </w:tc>
        <w:tc>
          <w:tcPr>
            <w:tcW w:w="1082" w:type="pct"/>
            <w:tcBorders>
              <w:top w:val="single" w:sz="12" w:space="0" w:color="auto"/>
            </w:tcBorders>
          </w:tcPr>
          <w:p w14:paraId="365C6EEB" w14:textId="77777777" w:rsidR="00443A0E" w:rsidRPr="00097A86" w:rsidDel="008F16F2" w:rsidRDefault="00443A0E" w:rsidP="00D22D3F">
            <w:pPr>
              <w:pStyle w:val="Tabletext"/>
            </w:pPr>
            <w:r w:rsidRPr="00097A86">
              <w:t>Monthly sample composite</w:t>
            </w:r>
          </w:p>
        </w:tc>
      </w:tr>
      <w:tr w:rsidR="00443A0E" w:rsidRPr="00097A86" w14:paraId="01A4D4FE" w14:textId="77777777" w:rsidTr="00C20CC2">
        <w:trPr>
          <w:cantSplit/>
        </w:trPr>
        <w:tc>
          <w:tcPr>
            <w:tcW w:w="401" w:type="pct"/>
          </w:tcPr>
          <w:p w14:paraId="1AA8C200" w14:textId="77777777" w:rsidR="00443A0E" w:rsidRPr="00097A86" w:rsidRDefault="00443A0E" w:rsidP="00396D38">
            <w:pPr>
              <w:pStyle w:val="Tabletext"/>
            </w:pPr>
          </w:p>
        </w:tc>
        <w:tc>
          <w:tcPr>
            <w:tcW w:w="1338" w:type="pct"/>
          </w:tcPr>
          <w:p w14:paraId="57273BDC" w14:textId="77777777" w:rsidR="00443A0E" w:rsidRPr="00097A86" w:rsidRDefault="00443A0E" w:rsidP="00396D38">
            <w:pPr>
              <w:pStyle w:val="Tabletext"/>
            </w:pPr>
          </w:p>
        </w:tc>
        <w:tc>
          <w:tcPr>
            <w:tcW w:w="942" w:type="pct"/>
          </w:tcPr>
          <w:p w14:paraId="17305A2A" w14:textId="77777777" w:rsidR="00443A0E" w:rsidRPr="00097A86" w:rsidDel="008F16F2" w:rsidRDefault="00443A0E" w:rsidP="00D22D3F">
            <w:pPr>
              <w:pStyle w:val="Tabletext"/>
            </w:pPr>
            <w:r w:rsidRPr="00097A86">
              <w:t>Carbon</w:t>
            </w:r>
          </w:p>
        </w:tc>
        <w:tc>
          <w:tcPr>
            <w:tcW w:w="1237" w:type="pct"/>
          </w:tcPr>
          <w:p w14:paraId="34FFBEAC" w14:textId="77777777" w:rsidR="00443A0E" w:rsidRPr="00097A86" w:rsidRDefault="00443A0E" w:rsidP="0081146B">
            <w:pPr>
              <w:pStyle w:val="Tabletext"/>
            </w:pPr>
            <w:r w:rsidRPr="00097A86">
              <w:t>AS 1038.6.1—1997</w:t>
            </w:r>
          </w:p>
          <w:p w14:paraId="524295EA" w14:textId="77777777" w:rsidR="00443A0E" w:rsidRPr="00097A86" w:rsidDel="008F16F2" w:rsidRDefault="00443A0E" w:rsidP="00D22D3F">
            <w:pPr>
              <w:pStyle w:val="Tabletext"/>
            </w:pPr>
            <w:r w:rsidRPr="00097A86">
              <w:t>AS 1038.6.4—2005</w:t>
            </w:r>
          </w:p>
        </w:tc>
        <w:tc>
          <w:tcPr>
            <w:tcW w:w="1082" w:type="pct"/>
          </w:tcPr>
          <w:p w14:paraId="5F7E0C25" w14:textId="77777777" w:rsidR="00443A0E" w:rsidRPr="00097A86" w:rsidDel="008F16F2" w:rsidRDefault="00443A0E" w:rsidP="00D22D3F">
            <w:pPr>
              <w:pStyle w:val="Tabletext"/>
            </w:pPr>
            <w:r w:rsidRPr="00097A86">
              <w:t>Monthly sample composite</w:t>
            </w:r>
          </w:p>
        </w:tc>
      </w:tr>
      <w:tr w:rsidR="00443A0E" w:rsidRPr="00097A86" w14:paraId="16A50A3B" w14:textId="77777777" w:rsidTr="00C20CC2">
        <w:trPr>
          <w:cantSplit/>
        </w:trPr>
        <w:tc>
          <w:tcPr>
            <w:tcW w:w="401" w:type="pct"/>
          </w:tcPr>
          <w:p w14:paraId="2B8BB6D1" w14:textId="77777777" w:rsidR="00443A0E" w:rsidRPr="00097A86" w:rsidRDefault="00443A0E" w:rsidP="00396D38">
            <w:pPr>
              <w:pStyle w:val="Tabletext"/>
            </w:pPr>
          </w:p>
        </w:tc>
        <w:tc>
          <w:tcPr>
            <w:tcW w:w="1338" w:type="pct"/>
          </w:tcPr>
          <w:p w14:paraId="29F13FA7" w14:textId="77777777" w:rsidR="00443A0E" w:rsidRPr="00097A86" w:rsidRDefault="00443A0E" w:rsidP="00396D38">
            <w:pPr>
              <w:pStyle w:val="Tabletext"/>
            </w:pPr>
          </w:p>
        </w:tc>
        <w:tc>
          <w:tcPr>
            <w:tcW w:w="942" w:type="pct"/>
          </w:tcPr>
          <w:p w14:paraId="2723B2D6" w14:textId="77777777" w:rsidR="00443A0E" w:rsidRPr="00097A86" w:rsidDel="008F16F2" w:rsidRDefault="00443A0E" w:rsidP="00D22D3F">
            <w:pPr>
              <w:pStyle w:val="Tabletext"/>
            </w:pPr>
            <w:r w:rsidRPr="00097A86">
              <w:t>Moisture</w:t>
            </w:r>
          </w:p>
        </w:tc>
        <w:tc>
          <w:tcPr>
            <w:tcW w:w="1237" w:type="pct"/>
          </w:tcPr>
          <w:p w14:paraId="1F9090AD" w14:textId="77777777" w:rsidR="00443A0E" w:rsidRPr="00097A86" w:rsidRDefault="00443A0E" w:rsidP="0081146B">
            <w:pPr>
              <w:pStyle w:val="Tabletext"/>
            </w:pPr>
            <w:r w:rsidRPr="00097A86">
              <w:t>AS 1038.1—2001</w:t>
            </w:r>
          </w:p>
          <w:p w14:paraId="080AFF46" w14:textId="77777777" w:rsidR="00443A0E" w:rsidRPr="00097A86" w:rsidDel="008F16F2" w:rsidRDefault="00443A0E" w:rsidP="00D22D3F">
            <w:pPr>
              <w:pStyle w:val="Tabletext"/>
            </w:pPr>
            <w:r w:rsidRPr="00097A86">
              <w:t>AS 1038.3—2000</w:t>
            </w:r>
          </w:p>
        </w:tc>
        <w:tc>
          <w:tcPr>
            <w:tcW w:w="1082" w:type="pct"/>
          </w:tcPr>
          <w:p w14:paraId="28EFE807" w14:textId="77777777" w:rsidR="00443A0E" w:rsidRPr="00097A86" w:rsidDel="008F16F2" w:rsidRDefault="00443A0E" w:rsidP="00D22D3F">
            <w:pPr>
              <w:pStyle w:val="Tabletext"/>
            </w:pPr>
            <w:r w:rsidRPr="00097A86">
              <w:t>Each delivery</w:t>
            </w:r>
          </w:p>
        </w:tc>
      </w:tr>
      <w:tr w:rsidR="00443A0E" w:rsidRPr="00097A86" w14:paraId="0F982D65" w14:textId="77777777" w:rsidTr="00C20CC2">
        <w:trPr>
          <w:cantSplit/>
        </w:trPr>
        <w:tc>
          <w:tcPr>
            <w:tcW w:w="401" w:type="pct"/>
            <w:tcBorders>
              <w:bottom w:val="single" w:sz="4" w:space="0" w:color="auto"/>
            </w:tcBorders>
          </w:tcPr>
          <w:p w14:paraId="548645AC" w14:textId="77777777" w:rsidR="00443A0E" w:rsidRPr="00097A86" w:rsidRDefault="00443A0E" w:rsidP="00396D38">
            <w:pPr>
              <w:pStyle w:val="Tabletext"/>
            </w:pPr>
          </w:p>
        </w:tc>
        <w:tc>
          <w:tcPr>
            <w:tcW w:w="1338" w:type="pct"/>
            <w:tcBorders>
              <w:bottom w:val="single" w:sz="4" w:space="0" w:color="auto"/>
            </w:tcBorders>
          </w:tcPr>
          <w:p w14:paraId="3E2BBD93" w14:textId="77777777" w:rsidR="00443A0E" w:rsidRPr="00097A86" w:rsidRDefault="00443A0E" w:rsidP="00396D38">
            <w:pPr>
              <w:pStyle w:val="Tabletext"/>
            </w:pPr>
          </w:p>
        </w:tc>
        <w:tc>
          <w:tcPr>
            <w:tcW w:w="942" w:type="pct"/>
            <w:tcBorders>
              <w:bottom w:val="single" w:sz="4" w:space="0" w:color="auto"/>
            </w:tcBorders>
          </w:tcPr>
          <w:p w14:paraId="2F1489B8" w14:textId="77777777" w:rsidR="00443A0E" w:rsidRPr="00097A86" w:rsidDel="008F16F2" w:rsidRDefault="00443A0E" w:rsidP="00D22D3F">
            <w:pPr>
              <w:pStyle w:val="Tabletext"/>
            </w:pPr>
            <w:r w:rsidRPr="00097A86">
              <w:t>Ash</w:t>
            </w:r>
          </w:p>
        </w:tc>
        <w:tc>
          <w:tcPr>
            <w:tcW w:w="1237" w:type="pct"/>
            <w:tcBorders>
              <w:bottom w:val="single" w:sz="4" w:space="0" w:color="auto"/>
            </w:tcBorders>
          </w:tcPr>
          <w:p w14:paraId="41F41F1A" w14:textId="77777777" w:rsidR="00443A0E" w:rsidRPr="00097A86" w:rsidDel="008F16F2" w:rsidRDefault="00443A0E" w:rsidP="00D22D3F">
            <w:pPr>
              <w:pStyle w:val="Tabletext"/>
            </w:pPr>
            <w:r w:rsidRPr="00097A86">
              <w:t>AS 1038.3—2000</w:t>
            </w:r>
          </w:p>
        </w:tc>
        <w:tc>
          <w:tcPr>
            <w:tcW w:w="1082" w:type="pct"/>
            <w:tcBorders>
              <w:bottom w:val="single" w:sz="4" w:space="0" w:color="auto"/>
            </w:tcBorders>
          </w:tcPr>
          <w:p w14:paraId="4D59F852" w14:textId="77777777" w:rsidR="00443A0E" w:rsidRPr="00097A86" w:rsidDel="008F16F2" w:rsidRDefault="00443A0E" w:rsidP="00D22D3F">
            <w:pPr>
              <w:pStyle w:val="Tabletext"/>
            </w:pPr>
            <w:r w:rsidRPr="00097A86">
              <w:t>Each delivery</w:t>
            </w:r>
          </w:p>
        </w:tc>
      </w:tr>
      <w:tr w:rsidR="00443A0E" w:rsidRPr="00097A86" w14:paraId="4F620D9F" w14:textId="77777777" w:rsidTr="00C20CC2">
        <w:trPr>
          <w:cantSplit/>
        </w:trPr>
        <w:tc>
          <w:tcPr>
            <w:tcW w:w="401" w:type="pct"/>
            <w:tcBorders>
              <w:top w:val="single" w:sz="4" w:space="0" w:color="auto"/>
            </w:tcBorders>
          </w:tcPr>
          <w:p w14:paraId="5C1239BB" w14:textId="77777777" w:rsidR="00443A0E" w:rsidRPr="00097A86" w:rsidRDefault="00443A0E" w:rsidP="00396D38">
            <w:pPr>
              <w:pStyle w:val="Tabletext"/>
            </w:pPr>
            <w:r w:rsidRPr="00097A86">
              <w:t>1A</w:t>
            </w:r>
          </w:p>
        </w:tc>
        <w:tc>
          <w:tcPr>
            <w:tcW w:w="1338" w:type="pct"/>
            <w:tcBorders>
              <w:top w:val="single" w:sz="4" w:space="0" w:color="auto"/>
            </w:tcBorders>
          </w:tcPr>
          <w:p w14:paraId="423DA40F" w14:textId="77777777" w:rsidR="00443A0E" w:rsidRPr="00097A86" w:rsidRDefault="00443A0E" w:rsidP="00396D38">
            <w:pPr>
              <w:pStyle w:val="Tabletext"/>
            </w:pPr>
            <w:r w:rsidRPr="00097A86">
              <w:t>Sub</w:t>
            </w:r>
            <w:r w:rsidR="00097A86">
              <w:noBreakHyphen/>
            </w:r>
            <w:r w:rsidRPr="00097A86">
              <w:t>bituminous coal</w:t>
            </w:r>
          </w:p>
        </w:tc>
        <w:tc>
          <w:tcPr>
            <w:tcW w:w="942" w:type="pct"/>
            <w:tcBorders>
              <w:top w:val="single" w:sz="4" w:space="0" w:color="auto"/>
            </w:tcBorders>
          </w:tcPr>
          <w:p w14:paraId="51CBA738" w14:textId="77777777" w:rsidR="00443A0E" w:rsidRPr="00097A86" w:rsidDel="008F16F2" w:rsidRDefault="00443A0E" w:rsidP="00D22D3F">
            <w:pPr>
              <w:pStyle w:val="Tabletext"/>
            </w:pPr>
            <w:r w:rsidRPr="00097A86">
              <w:t>Energy content factor</w:t>
            </w:r>
          </w:p>
        </w:tc>
        <w:tc>
          <w:tcPr>
            <w:tcW w:w="1237" w:type="pct"/>
            <w:tcBorders>
              <w:top w:val="single" w:sz="4" w:space="0" w:color="auto"/>
            </w:tcBorders>
          </w:tcPr>
          <w:p w14:paraId="0CDAEC09" w14:textId="77777777" w:rsidR="00443A0E" w:rsidRPr="00097A86" w:rsidDel="008F16F2" w:rsidRDefault="00443A0E" w:rsidP="00D22D3F">
            <w:pPr>
              <w:pStyle w:val="Tabletext"/>
            </w:pPr>
            <w:r w:rsidRPr="00097A86">
              <w:t>AS 1038.5—1998</w:t>
            </w:r>
          </w:p>
        </w:tc>
        <w:tc>
          <w:tcPr>
            <w:tcW w:w="1082" w:type="pct"/>
            <w:tcBorders>
              <w:top w:val="single" w:sz="4" w:space="0" w:color="auto"/>
            </w:tcBorders>
          </w:tcPr>
          <w:p w14:paraId="459DBCD5" w14:textId="77777777" w:rsidR="00443A0E" w:rsidRPr="00097A86" w:rsidDel="008F16F2" w:rsidRDefault="00443A0E" w:rsidP="00D22D3F">
            <w:pPr>
              <w:pStyle w:val="Tabletext"/>
            </w:pPr>
            <w:r w:rsidRPr="00097A86">
              <w:t>Monthly sample composite</w:t>
            </w:r>
          </w:p>
        </w:tc>
      </w:tr>
      <w:tr w:rsidR="00443A0E" w:rsidRPr="00097A86" w14:paraId="27FC4A10" w14:textId="77777777" w:rsidTr="00C20CC2">
        <w:trPr>
          <w:cantSplit/>
        </w:trPr>
        <w:tc>
          <w:tcPr>
            <w:tcW w:w="401" w:type="pct"/>
          </w:tcPr>
          <w:p w14:paraId="7FB16938" w14:textId="77777777" w:rsidR="00443A0E" w:rsidRPr="00097A86" w:rsidRDefault="00443A0E" w:rsidP="00396D38">
            <w:pPr>
              <w:pStyle w:val="Tabletext"/>
            </w:pPr>
          </w:p>
        </w:tc>
        <w:tc>
          <w:tcPr>
            <w:tcW w:w="1338" w:type="pct"/>
          </w:tcPr>
          <w:p w14:paraId="541E8F17" w14:textId="77777777" w:rsidR="00443A0E" w:rsidRPr="00097A86" w:rsidRDefault="00443A0E" w:rsidP="00396D38">
            <w:pPr>
              <w:pStyle w:val="Tabletext"/>
            </w:pPr>
          </w:p>
        </w:tc>
        <w:tc>
          <w:tcPr>
            <w:tcW w:w="942" w:type="pct"/>
          </w:tcPr>
          <w:p w14:paraId="3364480A" w14:textId="77777777" w:rsidR="00443A0E" w:rsidRPr="00097A86" w:rsidDel="008F16F2" w:rsidRDefault="00443A0E" w:rsidP="00D22D3F">
            <w:pPr>
              <w:pStyle w:val="Tabletext"/>
            </w:pPr>
            <w:r w:rsidRPr="00097A86">
              <w:t>Carbon</w:t>
            </w:r>
          </w:p>
        </w:tc>
        <w:tc>
          <w:tcPr>
            <w:tcW w:w="1237" w:type="pct"/>
          </w:tcPr>
          <w:p w14:paraId="292C6394" w14:textId="77777777" w:rsidR="00443A0E" w:rsidRPr="00097A86" w:rsidRDefault="00443A0E" w:rsidP="0081146B">
            <w:pPr>
              <w:pStyle w:val="Tabletext"/>
            </w:pPr>
            <w:r w:rsidRPr="00097A86">
              <w:t>AS 1038.6.1—1997</w:t>
            </w:r>
          </w:p>
          <w:p w14:paraId="26F4E43B" w14:textId="77777777" w:rsidR="00443A0E" w:rsidRPr="00097A86" w:rsidDel="008F16F2" w:rsidRDefault="00443A0E" w:rsidP="00D22D3F">
            <w:pPr>
              <w:pStyle w:val="Tabletext"/>
            </w:pPr>
            <w:r w:rsidRPr="00097A86">
              <w:t>AS 1038.6.4—2005</w:t>
            </w:r>
          </w:p>
        </w:tc>
        <w:tc>
          <w:tcPr>
            <w:tcW w:w="1082" w:type="pct"/>
          </w:tcPr>
          <w:p w14:paraId="1BE47F81" w14:textId="77777777" w:rsidR="00443A0E" w:rsidRPr="00097A86" w:rsidDel="008F16F2" w:rsidRDefault="00443A0E" w:rsidP="00D22D3F">
            <w:pPr>
              <w:pStyle w:val="Tabletext"/>
            </w:pPr>
            <w:r w:rsidRPr="00097A86">
              <w:t>Monthly sample composite</w:t>
            </w:r>
          </w:p>
        </w:tc>
      </w:tr>
      <w:tr w:rsidR="00443A0E" w:rsidRPr="00097A86" w14:paraId="449A8704" w14:textId="77777777" w:rsidTr="00C20CC2">
        <w:trPr>
          <w:cantSplit/>
        </w:trPr>
        <w:tc>
          <w:tcPr>
            <w:tcW w:w="401" w:type="pct"/>
          </w:tcPr>
          <w:p w14:paraId="14B20542" w14:textId="77777777" w:rsidR="00443A0E" w:rsidRPr="00097A86" w:rsidRDefault="00443A0E" w:rsidP="00396D38">
            <w:pPr>
              <w:pStyle w:val="Tabletext"/>
            </w:pPr>
          </w:p>
        </w:tc>
        <w:tc>
          <w:tcPr>
            <w:tcW w:w="1338" w:type="pct"/>
          </w:tcPr>
          <w:p w14:paraId="0C80665C" w14:textId="77777777" w:rsidR="00443A0E" w:rsidRPr="00097A86" w:rsidRDefault="00443A0E" w:rsidP="00396D38">
            <w:pPr>
              <w:pStyle w:val="Tabletext"/>
            </w:pPr>
          </w:p>
        </w:tc>
        <w:tc>
          <w:tcPr>
            <w:tcW w:w="942" w:type="pct"/>
          </w:tcPr>
          <w:p w14:paraId="34E37F6F" w14:textId="77777777" w:rsidR="00443A0E" w:rsidRPr="00097A86" w:rsidDel="008F16F2" w:rsidRDefault="00443A0E" w:rsidP="00D22D3F">
            <w:pPr>
              <w:pStyle w:val="Tabletext"/>
            </w:pPr>
            <w:r w:rsidRPr="00097A86">
              <w:t>Moisture</w:t>
            </w:r>
          </w:p>
        </w:tc>
        <w:tc>
          <w:tcPr>
            <w:tcW w:w="1237" w:type="pct"/>
          </w:tcPr>
          <w:p w14:paraId="169C9F04" w14:textId="77777777" w:rsidR="00443A0E" w:rsidRPr="00097A86" w:rsidRDefault="00443A0E" w:rsidP="0081146B">
            <w:pPr>
              <w:pStyle w:val="Tabletext"/>
            </w:pPr>
            <w:r w:rsidRPr="00097A86">
              <w:t>AS 1038.1—2001</w:t>
            </w:r>
          </w:p>
          <w:p w14:paraId="118D2031" w14:textId="77777777" w:rsidR="00443A0E" w:rsidRPr="00097A86" w:rsidDel="008F16F2" w:rsidRDefault="00443A0E" w:rsidP="00D22D3F">
            <w:pPr>
              <w:pStyle w:val="Tabletext"/>
            </w:pPr>
            <w:r w:rsidRPr="00097A86">
              <w:t>AS 1038.3—2000</w:t>
            </w:r>
          </w:p>
        </w:tc>
        <w:tc>
          <w:tcPr>
            <w:tcW w:w="1082" w:type="pct"/>
          </w:tcPr>
          <w:p w14:paraId="6E18B311" w14:textId="77777777" w:rsidR="00443A0E" w:rsidRPr="00097A86" w:rsidDel="008F16F2" w:rsidRDefault="00443A0E" w:rsidP="00D22D3F">
            <w:pPr>
              <w:pStyle w:val="Tabletext"/>
            </w:pPr>
            <w:r w:rsidRPr="00097A86">
              <w:t>Each delivery</w:t>
            </w:r>
          </w:p>
        </w:tc>
      </w:tr>
      <w:tr w:rsidR="00443A0E" w:rsidRPr="00097A86" w14:paraId="17148974" w14:textId="77777777" w:rsidTr="00C20CC2">
        <w:trPr>
          <w:cantSplit/>
        </w:trPr>
        <w:tc>
          <w:tcPr>
            <w:tcW w:w="401" w:type="pct"/>
            <w:tcBorders>
              <w:bottom w:val="single" w:sz="4" w:space="0" w:color="auto"/>
            </w:tcBorders>
          </w:tcPr>
          <w:p w14:paraId="773A7765" w14:textId="77777777" w:rsidR="00443A0E" w:rsidRPr="00097A86" w:rsidRDefault="00443A0E" w:rsidP="00396D38">
            <w:pPr>
              <w:pStyle w:val="Tabletext"/>
            </w:pPr>
          </w:p>
        </w:tc>
        <w:tc>
          <w:tcPr>
            <w:tcW w:w="1338" w:type="pct"/>
            <w:tcBorders>
              <w:bottom w:val="single" w:sz="4" w:space="0" w:color="auto"/>
            </w:tcBorders>
          </w:tcPr>
          <w:p w14:paraId="190360D2" w14:textId="77777777" w:rsidR="00443A0E" w:rsidRPr="00097A86" w:rsidRDefault="00443A0E" w:rsidP="00396D38">
            <w:pPr>
              <w:pStyle w:val="Tabletext"/>
            </w:pPr>
          </w:p>
        </w:tc>
        <w:tc>
          <w:tcPr>
            <w:tcW w:w="942" w:type="pct"/>
            <w:tcBorders>
              <w:bottom w:val="single" w:sz="4" w:space="0" w:color="auto"/>
            </w:tcBorders>
          </w:tcPr>
          <w:p w14:paraId="31A606F8" w14:textId="77777777" w:rsidR="00443A0E" w:rsidRPr="00097A86" w:rsidDel="008F16F2" w:rsidRDefault="00443A0E" w:rsidP="00D22D3F">
            <w:pPr>
              <w:pStyle w:val="Tabletext"/>
            </w:pPr>
            <w:r w:rsidRPr="00097A86">
              <w:t>Ash</w:t>
            </w:r>
          </w:p>
        </w:tc>
        <w:tc>
          <w:tcPr>
            <w:tcW w:w="1237" w:type="pct"/>
            <w:tcBorders>
              <w:bottom w:val="single" w:sz="4" w:space="0" w:color="auto"/>
            </w:tcBorders>
          </w:tcPr>
          <w:p w14:paraId="49663827" w14:textId="77777777" w:rsidR="00443A0E" w:rsidRPr="00097A86" w:rsidDel="008F16F2" w:rsidRDefault="00443A0E" w:rsidP="00D22D3F">
            <w:pPr>
              <w:pStyle w:val="Tabletext"/>
            </w:pPr>
            <w:r w:rsidRPr="00097A86">
              <w:t>AS 1038.3—2000</w:t>
            </w:r>
          </w:p>
        </w:tc>
        <w:tc>
          <w:tcPr>
            <w:tcW w:w="1082" w:type="pct"/>
            <w:tcBorders>
              <w:bottom w:val="single" w:sz="4" w:space="0" w:color="auto"/>
            </w:tcBorders>
          </w:tcPr>
          <w:p w14:paraId="718504C2" w14:textId="77777777" w:rsidR="00443A0E" w:rsidRPr="00097A86" w:rsidDel="008F16F2" w:rsidRDefault="00443A0E" w:rsidP="00D22D3F">
            <w:pPr>
              <w:pStyle w:val="Tabletext"/>
            </w:pPr>
            <w:r w:rsidRPr="00097A86">
              <w:t>Each delivery</w:t>
            </w:r>
          </w:p>
        </w:tc>
      </w:tr>
      <w:tr w:rsidR="00443A0E" w:rsidRPr="00097A86" w14:paraId="72F09EB6" w14:textId="77777777" w:rsidTr="00C20CC2">
        <w:trPr>
          <w:cantSplit/>
        </w:trPr>
        <w:tc>
          <w:tcPr>
            <w:tcW w:w="401" w:type="pct"/>
            <w:tcBorders>
              <w:top w:val="single" w:sz="4" w:space="0" w:color="auto"/>
            </w:tcBorders>
          </w:tcPr>
          <w:p w14:paraId="09E9EE1A" w14:textId="77777777" w:rsidR="00443A0E" w:rsidRPr="00097A86" w:rsidRDefault="00443A0E" w:rsidP="00396D38">
            <w:pPr>
              <w:pStyle w:val="Tabletext"/>
            </w:pPr>
            <w:r w:rsidRPr="00097A86">
              <w:t>1B</w:t>
            </w:r>
          </w:p>
        </w:tc>
        <w:tc>
          <w:tcPr>
            <w:tcW w:w="1338" w:type="pct"/>
            <w:tcBorders>
              <w:top w:val="single" w:sz="4" w:space="0" w:color="auto"/>
            </w:tcBorders>
          </w:tcPr>
          <w:p w14:paraId="6E600F71" w14:textId="77777777" w:rsidR="00443A0E" w:rsidRPr="00097A86" w:rsidRDefault="00443A0E" w:rsidP="00396D38">
            <w:pPr>
              <w:pStyle w:val="Tabletext"/>
            </w:pPr>
            <w:r w:rsidRPr="00097A86">
              <w:t>Anthracite</w:t>
            </w:r>
          </w:p>
        </w:tc>
        <w:tc>
          <w:tcPr>
            <w:tcW w:w="942" w:type="pct"/>
            <w:tcBorders>
              <w:top w:val="single" w:sz="4" w:space="0" w:color="auto"/>
            </w:tcBorders>
          </w:tcPr>
          <w:p w14:paraId="763D647F" w14:textId="77777777" w:rsidR="00443A0E" w:rsidRPr="00097A86" w:rsidDel="008F16F2" w:rsidRDefault="00443A0E" w:rsidP="00D22D3F">
            <w:pPr>
              <w:pStyle w:val="Tabletext"/>
            </w:pPr>
            <w:r w:rsidRPr="00097A86">
              <w:t>Energy content factor</w:t>
            </w:r>
          </w:p>
        </w:tc>
        <w:tc>
          <w:tcPr>
            <w:tcW w:w="1237" w:type="pct"/>
            <w:tcBorders>
              <w:top w:val="single" w:sz="4" w:space="0" w:color="auto"/>
            </w:tcBorders>
          </w:tcPr>
          <w:p w14:paraId="2C45657B" w14:textId="77777777" w:rsidR="00443A0E" w:rsidRPr="00097A86" w:rsidDel="008F16F2" w:rsidRDefault="00443A0E" w:rsidP="00D22D3F">
            <w:pPr>
              <w:pStyle w:val="Tabletext"/>
            </w:pPr>
            <w:r w:rsidRPr="00097A86">
              <w:t>AS 1038.5—1998</w:t>
            </w:r>
          </w:p>
        </w:tc>
        <w:tc>
          <w:tcPr>
            <w:tcW w:w="1082" w:type="pct"/>
            <w:tcBorders>
              <w:top w:val="single" w:sz="4" w:space="0" w:color="auto"/>
            </w:tcBorders>
          </w:tcPr>
          <w:p w14:paraId="7D52F792" w14:textId="77777777" w:rsidR="00443A0E" w:rsidRPr="00097A86" w:rsidDel="008F16F2" w:rsidRDefault="00443A0E" w:rsidP="00D22D3F">
            <w:pPr>
              <w:pStyle w:val="Tabletext"/>
            </w:pPr>
            <w:r w:rsidRPr="00097A86">
              <w:t>Monthly sample composite</w:t>
            </w:r>
          </w:p>
        </w:tc>
      </w:tr>
      <w:tr w:rsidR="00443A0E" w:rsidRPr="00097A86" w14:paraId="5CC846C4" w14:textId="77777777" w:rsidTr="00C20CC2">
        <w:trPr>
          <w:cantSplit/>
        </w:trPr>
        <w:tc>
          <w:tcPr>
            <w:tcW w:w="401" w:type="pct"/>
          </w:tcPr>
          <w:p w14:paraId="1405A3EE" w14:textId="77777777" w:rsidR="00443A0E" w:rsidRPr="00097A86" w:rsidRDefault="00443A0E" w:rsidP="00396D38">
            <w:pPr>
              <w:pStyle w:val="Tabletext"/>
            </w:pPr>
          </w:p>
        </w:tc>
        <w:tc>
          <w:tcPr>
            <w:tcW w:w="1338" w:type="pct"/>
          </w:tcPr>
          <w:p w14:paraId="376EA605" w14:textId="77777777" w:rsidR="00443A0E" w:rsidRPr="00097A86" w:rsidRDefault="00443A0E" w:rsidP="00396D38">
            <w:pPr>
              <w:pStyle w:val="Tabletext"/>
            </w:pPr>
          </w:p>
        </w:tc>
        <w:tc>
          <w:tcPr>
            <w:tcW w:w="942" w:type="pct"/>
          </w:tcPr>
          <w:p w14:paraId="2AE3EF60" w14:textId="77777777" w:rsidR="00443A0E" w:rsidRPr="00097A86" w:rsidDel="008F16F2" w:rsidRDefault="00443A0E" w:rsidP="00D22D3F">
            <w:pPr>
              <w:pStyle w:val="Tabletext"/>
            </w:pPr>
            <w:r w:rsidRPr="00097A86">
              <w:t>Energy content factor</w:t>
            </w:r>
          </w:p>
        </w:tc>
        <w:tc>
          <w:tcPr>
            <w:tcW w:w="1237" w:type="pct"/>
          </w:tcPr>
          <w:p w14:paraId="0562FC63" w14:textId="77777777" w:rsidR="00443A0E" w:rsidRPr="00097A86" w:rsidDel="008F16F2" w:rsidRDefault="00443A0E" w:rsidP="00D22D3F">
            <w:pPr>
              <w:pStyle w:val="Tabletext"/>
            </w:pPr>
            <w:r w:rsidRPr="00097A86">
              <w:t>AS 1038.5—1998</w:t>
            </w:r>
          </w:p>
        </w:tc>
        <w:tc>
          <w:tcPr>
            <w:tcW w:w="1082" w:type="pct"/>
          </w:tcPr>
          <w:p w14:paraId="41791285" w14:textId="77777777" w:rsidR="00443A0E" w:rsidRPr="00097A86" w:rsidDel="008F16F2" w:rsidRDefault="00443A0E" w:rsidP="00D22D3F">
            <w:pPr>
              <w:pStyle w:val="Tabletext"/>
            </w:pPr>
            <w:r w:rsidRPr="00097A86">
              <w:t>Monthly sample composite</w:t>
            </w:r>
          </w:p>
        </w:tc>
      </w:tr>
      <w:tr w:rsidR="00443A0E" w:rsidRPr="00097A86" w14:paraId="326A9660" w14:textId="77777777" w:rsidTr="00C20CC2">
        <w:trPr>
          <w:cantSplit/>
        </w:trPr>
        <w:tc>
          <w:tcPr>
            <w:tcW w:w="401" w:type="pct"/>
          </w:tcPr>
          <w:p w14:paraId="0A4FADDD" w14:textId="77777777" w:rsidR="00443A0E" w:rsidRPr="00097A86" w:rsidRDefault="00443A0E" w:rsidP="00396D38">
            <w:pPr>
              <w:pStyle w:val="Tabletext"/>
            </w:pPr>
          </w:p>
        </w:tc>
        <w:tc>
          <w:tcPr>
            <w:tcW w:w="1338" w:type="pct"/>
          </w:tcPr>
          <w:p w14:paraId="2DCDB6E7" w14:textId="77777777" w:rsidR="00443A0E" w:rsidRPr="00097A86" w:rsidRDefault="00443A0E" w:rsidP="00396D38">
            <w:pPr>
              <w:pStyle w:val="Tabletext"/>
            </w:pPr>
          </w:p>
        </w:tc>
        <w:tc>
          <w:tcPr>
            <w:tcW w:w="942" w:type="pct"/>
          </w:tcPr>
          <w:p w14:paraId="47EE7790" w14:textId="77777777" w:rsidR="00443A0E" w:rsidRPr="00097A86" w:rsidDel="008F16F2" w:rsidRDefault="00443A0E" w:rsidP="00D22D3F">
            <w:pPr>
              <w:pStyle w:val="Tabletext"/>
            </w:pPr>
            <w:r w:rsidRPr="00097A86">
              <w:t>Carbon</w:t>
            </w:r>
          </w:p>
        </w:tc>
        <w:tc>
          <w:tcPr>
            <w:tcW w:w="1237" w:type="pct"/>
          </w:tcPr>
          <w:p w14:paraId="226D9945" w14:textId="77777777" w:rsidR="00443A0E" w:rsidRPr="00097A86" w:rsidRDefault="00443A0E" w:rsidP="0081146B">
            <w:pPr>
              <w:pStyle w:val="Tabletext"/>
            </w:pPr>
            <w:r w:rsidRPr="00097A86">
              <w:t>AS 1038.6.1—1997</w:t>
            </w:r>
          </w:p>
          <w:p w14:paraId="619DAA41" w14:textId="77777777" w:rsidR="00443A0E" w:rsidRPr="00097A86" w:rsidDel="008F16F2" w:rsidRDefault="00443A0E" w:rsidP="00D22D3F">
            <w:pPr>
              <w:pStyle w:val="Tabletext"/>
            </w:pPr>
            <w:r w:rsidRPr="00097A86">
              <w:t>AS 1038.6.4—2005</w:t>
            </w:r>
          </w:p>
        </w:tc>
        <w:tc>
          <w:tcPr>
            <w:tcW w:w="1082" w:type="pct"/>
          </w:tcPr>
          <w:p w14:paraId="789976AC" w14:textId="77777777" w:rsidR="00443A0E" w:rsidRPr="00097A86" w:rsidDel="008F16F2" w:rsidRDefault="00443A0E" w:rsidP="00D22D3F">
            <w:pPr>
              <w:pStyle w:val="Tabletext"/>
            </w:pPr>
            <w:r w:rsidRPr="00097A86">
              <w:t>Monthly sample composite</w:t>
            </w:r>
          </w:p>
        </w:tc>
      </w:tr>
      <w:tr w:rsidR="00443A0E" w:rsidRPr="00097A86" w14:paraId="6CCFFBAE" w14:textId="77777777" w:rsidTr="00C20CC2">
        <w:trPr>
          <w:cantSplit/>
        </w:trPr>
        <w:tc>
          <w:tcPr>
            <w:tcW w:w="401" w:type="pct"/>
          </w:tcPr>
          <w:p w14:paraId="3E17BE50" w14:textId="77777777" w:rsidR="00443A0E" w:rsidRPr="00097A86" w:rsidRDefault="00443A0E" w:rsidP="00396D38">
            <w:pPr>
              <w:pStyle w:val="Tabletext"/>
            </w:pPr>
          </w:p>
        </w:tc>
        <w:tc>
          <w:tcPr>
            <w:tcW w:w="1338" w:type="pct"/>
          </w:tcPr>
          <w:p w14:paraId="2FECC9F2" w14:textId="77777777" w:rsidR="00443A0E" w:rsidRPr="00097A86" w:rsidRDefault="00443A0E" w:rsidP="00396D38">
            <w:pPr>
              <w:pStyle w:val="Tabletext"/>
            </w:pPr>
          </w:p>
        </w:tc>
        <w:tc>
          <w:tcPr>
            <w:tcW w:w="942" w:type="pct"/>
          </w:tcPr>
          <w:p w14:paraId="2A0C1C50" w14:textId="77777777" w:rsidR="00443A0E" w:rsidRPr="00097A86" w:rsidDel="008F16F2" w:rsidRDefault="00443A0E" w:rsidP="00D22D3F">
            <w:pPr>
              <w:pStyle w:val="Tabletext"/>
            </w:pPr>
            <w:r w:rsidRPr="00097A86">
              <w:t>Moisture</w:t>
            </w:r>
          </w:p>
        </w:tc>
        <w:tc>
          <w:tcPr>
            <w:tcW w:w="1237" w:type="pct"/>
          </w:tcPr>
          <w:p w14:paraId="2DA6E2E9" w14:textId="77777777" w:rsidR="00443A0E" w:rsidRPr="00097A86" w:rsidRDefault="00443A0E" w:rsidP="0081146B">
            <w:pPr>
              <w:pStyle w:val="Tabletext"/>
            </w:pPr>
            <w:r w:rsidRPr="00097A86">
              <w:t>AS 1038.1—2001</w:t>
            </w:r>
          </w:p>
          <w:p w14:paraId="765BC0CF" w14:textId="77777777" w:rsidR="00443A0E" w:rsidRPr="00097A86" w:rsidDel="008F16F2" w:rsidRDefault="00443A0E" w:rsidP="00D22D3F">
            <w:pPr>
              <w:pStyle w:val="Tabletext"/>
            </w:pPr>
            <w:r w:rsidRPr="00097A86">
              <w:t>AS 1038.3—2000</w:t>
            </w:r>
          </w:p>
        </w:tc>
        <w:tc>
          <w:tcPr>
            <w:tcW w:w="1082" w:type="pct"/>
          </w:tcPr>
          <w:p w14:paraId="3900BFEF" w14:textId="77777777" w:rsidR="00443A0E" w:rsidRPr="00097A86" w:rsidDel="008F16F2" w:rsidRDefault="00443A0E" w:rsidP="00D22D3F">
            <w:pPr>
              <w:pStyle w:val="Tabletext"/>
            </w:pPr>
            <w:r w:rsidRPr="00097A86">
              <w:t>Each delivery</w:t>
            </w:r>
          </w:p>
        </w:tc>
      </w:tr>
      <w:tr w:rsidR="00443A0E" w:rsidRPr="00097A86" w14:paraId="4830D72B" w14:textId="77777777" w:rsidTr="00C20CC2">
        <w:trPr>
          <w:cantSplit/>
        </w:trPr>
        <w:tc>
          <w:tcPr>
            <w:tcW w:w="401" w:type="pct"/>
            <w:tcBorders>
              <w:bottom w:val="single" w:sz="4" w:space="0" w:color="auto"/>
            </w:tcBorders>
          </w:tcPr>
          <w:p w14:paraId="01F72379" w14:textId="77777777" w:rsidR="00443A0E" w:rsidRPr="00097A86" w:rsidRDefault="00443A0E" w:rsidP="00396D38">
            <w:pPr>
              <w:pStyle w:val="Tabletext"/>
            </w:pPr>
          </w:p>
        </w:tc>
        <w:tc>
          <w:tcPr>
            <w:tcW w:w="1338" w:type="pct"/>
            <w:tcBorders>
              <w:bottom w:val="single" w:sz="4" w:space="0" w:color="auto"/>
            </w:tcBorders>
          </w:tcPr>
          <w:p w14:paraId="011883BF" w14:textId="77777777" w:rsidR="00443A0E" w:rsidRPr="00097A86" w:rsidRDefault="00443A0E" w:rsidP="00396D38">
            <w:pPr>
              <w:pStyle w:val="Tabletext"/>
            </w:pPr>
          </w:p>
        </w:tc>
        <w:tc>
          <w:tcPr>
            <w:tcW w:w="942" w:type="pct"/>
            <w:tcBorders>
              <w:bottom w:val="single" w:sz="4" w:space="0" w:color="auto"/>
            </w:tcBorders>
          </w:tcPr>
          <w:p w14:paraId="2482DF01" w14:textId="77777777" w:rsidR="00443A0E" w:rsidRPr="00097A86" w:rsidDel="008F16F2" w:rsidRDefault="00443A0E" w:rsidP="00D22D3F">
            <w:pPr>
              <w:pStyle w:val="Tabletext"/>
            </w:pPr>
            <w:r w:rsidRPr="00097A86">
              <w:t>Ash</w:t>
            </w:r>
          </w:p>
        </w:tc>
        <w:tc>
          <w:tcPr>
            <w:tcW w:w="1237" w:type="pct"/>
            <w:tcBorders>
              <w:bottom w:val="single" w:sz="4" w:space="0" w:color="auto"/>
            </w:tcBorders>
          </w:tcPr>
          <w:p w14:paraId="4BB1DEB5" w14:textId="77777777" w:rsidR="00443A0E" w:rsidRPr="00097A86" w:rsidDel="008F16F2" w:rsidRDefault="00443A0E" w:rsidP="00D22D3F">
            <w:pPr>
              <w:pStyle w:val="Tabletext"/>
            </w:pPr>
            <w:r w:rsidRPr="00097A86">
              <w:t>AS 1038.3—2000</w:t>
            </w:r>
          </w:p>
        </w:tc>
        <w:tc>
          <w:tcPr>
            <w:tcW w:w="1082" w:type="pct"/>
            <w:tcBorders>
              <w:bottom w:val="single" w:sz="4" w:space="0" w:color="auto"/>
            </w:tcBorders>
          </w:tcPr>
          <w:p w14:paraId="01B9990A" w14:textId="77777777" w:rsidR="00443A0E" w:rsidRPr="00097A86" w:rsidDel="008F16F2" w:rsidRDefault="00443A0E" w:rsidP="00D22D3F">
            <w:pPr>
              <w:pStyle w:val="Tabletext"/>
            </w:pPr>
            <w:r w:rsidRPr="00097A86">
              <w:t>Each delivery</w:t>
            </w:r>
          </w:p>
        </w:tc>
      </w:tr>
      <w:tr w:rsidR="00443A0E" w:rsidRPr="00097A86" w14:paraId="37E6784F" w14:textId="77777777" w:rsidTr="00C20CC2">
        <w:trPr>
          <w:cantSplit/>
        </w:trPr>
        <w:tc>
          <w:tcPr>
            <w:tcW w:w="401" w:type="pct"/>
            <w:vMerge w:val="restart"/>
            <w:tcBorders>
              <w:top w:val="single" w:sz="4" w:space="0" w:color="auto"/>
            </w:tcBorders>
          </w:tcPr>
          <w:p w14:paraId="14BB71DB" w14:textId="77777777" w:rsidR="00443A0E" w:rsidRPr="00097A86" w:rsidRDefault="00443A0E" w:rsidP="00D22D3F">
            <w:pPr>
              <w:pStyle w:val="Tabletext"/>
            </w:pPr>
            <w:r w:rsidRPr="00097A86">
              <w:t>2</w:t>
            </w:r>
          </w:p>
        </w:tc>
        <w:tc>
          <w:tcPr>
            <w:tcW w:w="1338" w:type="pct"/>
            <w:vMerge w:val="restart"/>
            <w:tcBorders>
              <w:top w:val="single" w:sz="4" w:space="0" w:color="auto"/>
            </w:tcBorders>
          </w:tcPr>
          <w:p w14:paraId="760B91E2" w14:textId="77777777" w:rsidR="00443A0E" w:rsidRPr="00097A86" w:rsidRDefault="00443A0E" w:rsidP="00D22D3F">
            <w:pPr>
              <w:pStyle w:val="Tabletext"/>
            </w:pPr>
            <w:r w:rsidRPr="00097A86">
              <w:t xml:space="preserve">Brown coal </w:t>
            </w:r>
          </w:p>
        </w:tc>
        <w:tc>
          <w:tcPr>
            <w:tcW w:w="942" w:type="pct"/>
            <w:tcBorders>
              <w:top w:val="single" w:sz="4" w:space="0" w:color="auto"/>
            </w:tcBorders>
          </w:tcPr>
          <w:p w14:paraId="34E87533"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54E50728" w14:textId="77777777" w:rsidR="00443A0E" w:rsidRPr="00097A86" w:rsidRDefault="00443A0E" w:rsidP="00D22D3F">
            <w:pPr>
              <w:pStyle w:val="Tabletext"/>
            </w:pPr>
            <w:r w:rsidRPr="00097A86">
              <w:t>AS 1038.5—1998</w:t>
            </w:r>
          </w:p>
        </w:tc>
        <w:tc>
          <w:tcPr>
            <w:tcW w:w="1082" w:type="pct"/>
            <w:tcBorders>
              <w:top w:val="single" w:sz="4" w:space="0" w:color="auto"/>
            </w:tcBorders>
          </w:tcPr>
          <w:p w14:paraId="71507D5E" w14:textId="77777777" w:rsidR="00443A0E" w:rsidRPr="00097A86" w:rsidRDefault="00443A0E" w:rsidP="00D22D3F">
            <w:pPr>
              <w:pStyle w:val="Tabletext"/>
            </w:pPr>
            <w:r w:rsidRPr="00097A86">
              <w:t>Monthly sample composite</w:t>
            </w:r>
          </w:p>
        </w:tc>
      </w:tr>
      <w:tr w:rsidR="00443A0E" w:rsidRPr="00097A86" w14:paraId="61584C6C" w14:textId="77777777" w:rsidTr="00C20CC2">
        <w:trPr>
          <w:cantSplit/>
        </w:trPr>
        <w:tc>
          <w:tcPr>
            <w:tcW w:w="401" w:type="pct"/>
            <w:vMerge/>
          </w:tcPr>
          <w:p w14:paraId="1FA23D9A" w14:textId="77777777" w:rsidR="00443A0E" w:rsidRPr="00097A86" w:rsidRDefault="00443A0E" w:rsidP="007C01C9"/>
        </w:tc>
        <w:tc>
          <w:tcPr>
            <w:tcW w:w="1338" w:type="pct"/>
            <w:vMerge/>
          </w:tcPr>
          <w:p w14:paraId="2E21FAB0" w14:textId="77777777" w:rsidR="00443A0E" w:rsidRPr="00097A86" w:rsidRDefault="00443A0E" w:rsidP="007C01C9"/>
        </w:tc>
        <w:tc>
          <w:tcPr>
            <w:tcW w:w="942" w:type="pct"/>
          </w:tcPr>
          <w:p w14:paraId="689AFF30" w14:textId="77777777" w:rsidR="00443A0E" w:rsidRPr="00097A86" w:rsidRDefault="00443A0E" w:rsidP="00D22D3F">
            <w:pPr>
              <w:pStyle w:val="Tabletext"/>
            </w:pPr>
            <w:r w:rsidRPr="00097A86">
              <w:t>Carbon</w:t>
            </w:r>
          </w:p>
        </w:tc>
        <w:tc>
          <w:tcPr>
            <w:tcW w:w="1237" w:type="pct"/>
          </w:tcPr>
          <w:p w14:paraId="1D3CB8B2" w14:textId="77777777" w:rsidR="00443A0E" w:rsidRPr="00097A86" w:rsidRDefault="00443A0E" w:rsidP="00D22D3F">
            <w:pPr>
              <w:pStyle w:val="Tabletext"/>
            </w:pPr>
            <w:r w:rsidRPr="00097A86">
              <w:t>AS 2434.6—2002</w:t>
            </w:r>
          </w:p>
        </w:tc>
        <w:tc>
          <w:tcPr>
            <w:tcW w:w="1082" w:type="pct"/>
          </w:tcPr>
          <w:p w14:paraId="3D86397D" w14:textId="77777777" w:rsidR="00443A0E" w:rsidRPr="00097A86" w:rsidRDefault="00443A0E" w:rsidP="00D22D3F">
            <w:pPr>
              <w:pStyle w:val="Tabletext"/>
            </w:pPr>
            <w:r w:rsidRPr="00097A86">
              <w:t>Monthly sample composite</w:t>
            </w:r>
          </w:p>
        </w:tc>
      </w:tr>
      <w:tr w:rsidR="00443A0E" w:rsidRPr="00097A86" w14:paraId="6E600CF9" w14:textId="77777777" w:rsidTr="00C20CC2">
        <w:trPr>
          <w:cantSplit/>
        </w:trPr>
        <w:tc>
          <w:tcPr>
            <w:tcW w:w="401" w:type="pct"/>
            <w:vMerge/>
          </w:tcPr>
          <w:p w14:paraId="1378A72D" w14:textId="77777777" w:rsidR="00443A0E" w:rsidRPr="00097A86" w:rsidRDefault="00443A0E" w:rsidP="007C01C9"/>
        </w:tc>
        <w:tc>
          <w:tcPr>
            <w:tcW w:w="1338" w:type="pct"/>
            <w:vMerge/>
          </w:tcPr>
          <w:p w14:paraId="16B217F5" w14:textId="77777777" w:rsidR="00443A0E" w:rsidRPr="00097A86" w:rsidRDefault="00443A0E" w:rsidP="007C01C9"/>
        </w:tc>
        <w:tc>
          <w:tcPr>
            <w:tcW w:w="942" w:type="pct"/>
          </w:tcPr>
          <w:p w14:paraId="494DC4BB" w14:textId="77777777" w:rsidR="00443A0E" w:rsidRPr="00097A86" w:rsidRDefault="00443A0E" w:rsidP="00D22D3F">
            <w:pPr>
              <w:pStyle w:val="Tabletext"/>
            </w:pPr>
            <w:r w:rsidRPr="00097A86">
              <w:t>Moisture</w:t>
            </w:r>
          </w:p>
        </w:tc>
        <w:tc>
          <w:tcPr>
            <w:tcW w:w="1237" w:type="pct"/>
          </w:tcPr>
          <w:p w14:paraId="478112A6" w14:textId="77777777" w:rsidR="00443A0E" w:rsidRPr="00097A86" w:rsidRDefault="00443A0E" w:rsidP="00D22D3F">
            <w:pPr>
              <w:pStyle w:val="Tabletext"/>
            </w:pPr>
            <w:r w:rsidRPr="00097A86">
              <w:t>AS 2434.1—1999</w:t>
            </w:r>
          </w:p>
        </w:tc>
        <w:tc>
          <w:tcPr>
            <w:tcW w:w="1082" w:type="pct"/>
          </w:tcPr>
          <w:p w14:paraId="3DB5468B" w14:textId="77777777" w:rsidR="00443A0E" w:rsidRPr="00097A86" w:rsidRDefault="00443A0E" w:rsidP="00D22D3F">
            <w:pPr>
              <w:pStyle w:val="Tabletext"/>
            </w:pPr>
            <w:r w:rsidRPr="00097A86">
              <w:t>Each delivery</w:t>
            </w:r>
          </w:p>
        </w:tc>
      </w:tr>
      <w:tr w:rsidR="00443A0E" w:rsidRPr="00097A86" w14:paraId="337F5E72" w14:textId="77777777" w:rsidTr="00C20CC2">
        <w:trPr>
          <w:cantSplit/>
        </w:trPr>
        <w:tc>
          <w:tcPr>
            <w:tcW w:w="401" w:type="pct"/>
            <w:vMerge/>
            <w:tcBorders>
              <w:bottom w:val="single" w:sz="4" w:space="0" w:color="auto"/>
            </w:tcBorders>
          </w:tcPr>
          <w:p w14:paraId="75DE9B6C" w14:textId="77777777" w:rsidR="00443A0E" w:rsidRPr="00097A86" w:rsidRDefault="00443A0E" w:rsidP="007C01C9"/>
        </w:tc>
        <w:tc>
          <w:tcPr>
            <w:tcW w:w="1338" w:type="pct"/>
            <w:vMerge/>
            <w:tcBorders>
              <w:bottom w:val="single" w:sz="4" w:space="0" w:color="auto"/>
            </w:tcBorders>
          </w:tcPr>
          <w:p w14:paraId="77FD7EE2" w14:textId="77777777" w:rsidR="00443A0E" w:rsidRPr="00097A86" w:rsidRDefault="00443A0E" w:rsidP="007C01C9"/>
        </w:tc>
        <w:tc>
          <w:tcPr>
            <w:tcW w:w="942" w:type="pct"/>
            <w:tcBorders>
              <w:bottom w:val="single" w:sz="4" w:space="0" w:color="auto"/>
            </w:tcBorders>
          </w:tcPr>
          <w:p w14:paraId="52F99FA8" w14:textId="77777777" w:rsidR="00443A0E" w:rsidRPr="00097A86" w:rsidRDefault="00443A0E" w:rsidP="00D22D3F">
            <w:pPr>
              <w:pStyle w:val="Tabletext"/>
            </w:pPr>
            <w:r w:rsidRPr="00097A86">
              <w:t>Ash</w:t>
            </w:r>
          </w:p>
        </w:tc>
        <w:tc>
          <w:tcPr>
            <w:tcW w:w="1237" w:type="pct"/>
            <w:tcBorders>
              <w:bottom w:val="single" w:sz="4" w:space="0" w:color="auto"/>
            </w:tcBorders>
          </w:tcPr>
          <w:p w14:paraId="4D6EDE1A" w14:textId="77777777" w:rsidR="00443A0E" w:rsidRPr="00097A86" w:rsidRDefault="00443A0E" w:rsidP="00D22D3F">
            <w:pPr>
              <w:pStyle w:val="Tabletext"/>
            </w:pPr>
            <w:r w:rsidRPr="00097A86">
              <w:t>AS 2434.8—2002</w:t>
            </w:r>
          </w:p>
        </w:tc>
        <w:tc>
          <w:tcPr>
            <w:tcW w:w="1082" w:type="pct"/>
            <w:tcBorders>
              <w:bottom w:val="single" w:sz="4" w:space="0" w:color="auto"/>
            </w:tcBorders>
          </w:tcPr>
          <w:p w14:paraId="314B5EC4" w14:textId="77777777" w:rsidR="00443A0E" w:rsidRPr="00097A86" w:rsidRDefault="00443A0E" w:rsidP="00D22D3F">
            <w:pPr>
              <w:pStyle w:val="Tabletext"/>
            </w:pPr>
            <w:r w:rsidRPr="00097A86">
              <w:t>Each delivery</w:t>
            </w:r>
          </w:p>
        </w:tc>
      </w:tr>
      <w:tr w:rsidR="00443A0E" w:rsidRPr="00097A86" w14:paraId="7C8D3F15" w14:textId="77777777" w:rsidTr="00C20CC2">
        <w:trPr>
          <w:cantSplit/>
        </w:trPr>
        <w:tc>
          <w:tcPr>
            <w:tcW w:w="401" w:type="pct"/>
            <w:vMerge w:val="restart"/>
            <w:tcBorders>
              <w:top w:val="single" w:sz="4" w:space="0" w:color="auto"/>
            </w:tcBorders>
          </w:tcPr>
          <w:p w14:paraId="3856FBB4" w14:textId="77777777" w:rsidR="00443A0E" w:rsidRPr="00097A86" w:rsidRDefault="00443A0E" w:rsidP="00D22D3F">
            <w:pPr>
              <w:pStyle w:val="Tabletext"/>
            </w:pPr>
            <w:r w:rsidRPr="00097A86">
              <w:t>3</w:t>
            </w:r>
          </w:p>
        </w:tc>
        <w:tc>
          <w:tcPr>
            <w:tcW w:w="1338" w:type="pct"/>
            <w:vMerge w:val="restart"/>
            <w:tcBorders>
              <w:top w:val="single" w:sz="4" w:space="0" w:color="auto"/>
            </w:tcBorders>
          </w:tcPr>
          <w:p w14:paraId="7C02FC62" w14:textId="77777777" w:rsidR="00443A0E" w:rsidRPr="00097A86" w:rsidRDefault="00443A0E" w:rsidP="00D22D3F">
            <w:pPr>
              <w:pStyle w:val="Tabletext"/>
            </w:pPr>
            <w:r w:rsidRPr="00097A86">
              <w:t>Coking coal</w:t>
            </w:r>
          </w:p>
        </w:tc>
        <w:tc>
          <w:tcPr>
            <w:tcW w:w="942" w:type="pct"/>
            <w:tcBorders>
              <w:top w:val="single" w:sz="4" w:space="0" w:color="auto"/>
            </w:tcBorders>
          </w:tcPr>
          <w:p w14:paraId="19992D32"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246798BA" w14:textId="77777777" w:rsidR="00443A0E" w:rsidRPr="00097A86" w:rsidRDefault="00443A0E" w:rsidP="00D22D3F">
            <w:pPr>
              <w:pStyle w:val="Tabletext"/>
            </w:pPr>
            <w:r w:rsidRPr="00097A86">
              <w:t>AS 1038.5—1998</w:t>
            </w:r>
          </w:p>
        </w:tc>
        <w:tc>
          <w:tcPr>
            <w:tcW w:w="1082" w:type="pct"/>
            <w:tcBorders>
              <w:top w:val="single" w:sz="4" w:space="0" w:color="auto"/>
            </w:tcBorders>
          </w:tcPr>
          <w:p w14:paraId="355AEEF0" w14:textId="77777777" w:rsidR="00443A0E" w:rsidRPr="00097A86" w:rsidRDefault="00443A0E" w:rsidP="00D22D3F">
            <w:pPr>
              <w:pStyle w:val="Tabletext"/>
            </w:pPr>
            <w:r w:rsidRPr="00097A86">
              <w:t>Monthly sample composite</w:t>
            </w:r>
          </w:p>
        </w:tc>
      </w:tr>
      <w:tr w:rsidR="00443A0E" w:rsidRPr="00097A86" w14:paraId="38749035" w14:textId="77777777" w:rsidTr="00C20CC2">
        <w:trPr>
          <w:cantSplit/>
        </w:trPr>
        <w:tc>
          <w:tcPr>
            <w:tcW w:w="401" w:type="pct"/>
            <w:vMerge/>
          </w:tcPr>
          <w:p w14:paraId="51B9F6EC" w14:textId="77777777" w:rsidR="00443A0E" w:rsidRPr="00097A86" w:rsidRDefault="00443A0E" w:rsidP="007C01C9"/>
        </w:tc>
        <w:tc>
          <w:tcPr>
            <w:tcW w:w="1338" w:type="pct"/>
            <w:vMerge/>
          </w:tcPr>
          <w:p w14:paraId="6642A3F5" w14:textId="77777777" w:rsidR="00443A0E" w:rsidRPr="00097A86" w:rsidRDefault="00443A0E" w:rsidP="007C01C9"/>
        </w:tc>
        <w:tc>
          <w:tcPr>
            <w:tcW w:w="942" w:type="pct"/>
          </w:tcPr>
          <w:p w14:paraId="2598E13F" w14:textId="77777777" w:rsidR="00443A0E" w:rsidRPr="00097A86" w:rsidRDefault="00443A0E" w:rsidP="00D22D3F">
            <w:pPr>
              <w:pStyle w:val="Tabletext"/>
            </w:pPr>
            <w:r w:rsidRPr="00097A86">
              <w:t>Carbon</w:t>
            </w:r>
          </w:p>
        </w:tc>
        <w:tc>
          <w:tcPr>
            <w:tcW w:w="1237" w:type="pct"/>
          </w:tcPr>
          <w:p w14:paraId="7505EF4C" w14:textId="77777777" w:rsidR="00443A0E" w:rsidRPr="00097A86" w:rsidRDefault="00443A0E" w:rsidP="00D22D3F">
            <w:pPr>
              <w:pStyle w:val="Tabletext"/>
            </w:pPr>
            <w:r w:rsidRPr="00097A86">
              <w:t>AS 1038.6.1—1997</w:t>
            </w:r>
          </w:p>
          <w:p w14:paraId="7FBA2666" w14:textId="77777777" w:rsidR="00443A0E" w:rsidRPr="00097A86" w:rsidRDefault="00443A0E" w:rsidP="00D22D3F">
            <w:pPr>
              <w:pStyle w:val="Tabletext"/>
            </w:pPr>
            <w:r w:rsidRPr="00097A86">
              <w:t>AS 1038.6.4—2005</w:t>
            </w:r>
          </w:p>
        </w:tc>
        <w:tc>
          <w:tcPr>
            <w:tcW w:w="1082" w:type="pct"/>
          </w:tcPr>
          <w:p w14:paraId="2360178F" w14:textId="77777777" w:rsidR="00443A0E" w:rsidRPr="00097A86" w:rsidRDefault="00443A0E" w:rsidP="00D22D3F">
            <w:pPr>
              <w:pStyle w:val="Tabletext"/>
            </w:pPr>
            <w:r w:rsidRPr="00097A86">
              <w:t>Monthly sample composite</w:t>
            </w:r>
          </w:p>
        </w:tc>
      </w:tr>
      <w:tr w:rsidR="00443A0E" w:rsidRPr="00097A86" w14:paraId="0BA1A8B7" w14:textId="77777777" w:rsidTr="00C20CC2">
        <w:trPr>
          <w:cantSplit/>
        </w:trPr>
        <w:tc>
          <w:tcPr>
            <w:tcW w:w="401" w:type="pct"/>
            <w:vMerge/>
          </w:tcPr>
          <w:p w14:paraId="6ACD1120" w14:textId="77777777" w:rsidR="00443A0E" w:rsidRPr="00097A86" w:rsidRDefault="00443A0E" w:rsidP="007C01C9"/>
        </w:tc>
        <w:tc>
          <w:tcPr>
            <w:tcW w:w="1338" w:type="pct"/>
            <w:vMerge/>
          </w:tcPr>
          <w:p w14:paraId="5816EA97" w14:textId="77777777" w:rsidR="00443A0E" w:rsidRPr="00097A86" w:rsidRDefault="00443A0E" w:rsidP="007C01C9"/>
        </w:tc>
        <w:tc>
          <w:tcPr>
            <w:tcW w:w="942" w:type="pct"/>
          </w:tcPr>
          <w:p w14:paraId="02328757" w14:textId="77777777" w:rsidR="00443A0E" w:rsidRPr="00097A86" w:rsidRDefault="00443A0E" w:rsidP="00D22D3F">
            <w:pPr>
              <w:pStyle w:val="Tabletext"/>
            </w:pPr>
            <w:r w:rsidRPr="00097A86">
              <w:t>Moisture</w:t>
            </w:r>
          </w:p>
        </w:tc>
        <w:tc>
          <w:tcPr>
            <w:tcW w:w="1237" w:type="pct"/>
          </w:tcPr>
          <w:p w14:paraId="677EB7F8" w14:textId="77777777" w:rsidR="00443A0E" w:rsidRPr="00097A86" w:rsidRDefault="00443A0E" w:rsidP="00D22D3F">
            <w:pPr>
              <w:pStyle w:val="Tabletext"/>
            </w:pPr>
            <w:r w:rsidRPr="00097A86">
              <w:t>AS 1038.1—2001</w:t>
            </w:r>
          </w:p>
          <w:p w14:paraId="03649B1D" w14:textId="77777777" w:rsidR="00443A0E" w:rsidRPr="00097A86" w:rsidRDefault="00443A0E" w:rsidP="00D22D3F">
            <w:pPr>
              <w:pStyle w:val="Tabletext"/>
            </w:pPr>
            <w:r w:rsidRPr="00097A86">
              <w:t>AS 1038.3—2000</w:t>
            </w:r>
          </w:p>
        </w:tc>
        <w:tc>
          <w:tcPr>
            <w:tcW w:w="1082" w:type="pct"/>
          </w:tcPr>
          <w:p w14:paraId="459F4EDF" w14:textId="77777777" w:rsidR="00443A0E" w:rsidRPr="00097A86" w:rsidRDefault="00443A0E" w:rsidP="00D22D3F">
            <w:pPr>
              <w:pStyle w:val="Tabletext"/>
            </w:pPr>
            <w:r w:rsidRPr="00097A86">
              <w:t>Each delivery</w:t>
            </w:r>
          </w:p>
        </w:tc>
      </w:tr>
      <w:tr w:rsidR="00443A0E" w:rsidRPr="00097A86" w14:paraId="39AD241C" w14:textId="77777777" w:rsidTr="00C20CC2">
        <w:trPr>
          <w:cantSplit/>
        </w:trPr>
        <w:tc>
          <w:tcPr>
            <w:tcW w:w="401" w:type="pct"/>
            <w:vMerge/>
            <w:tcBorders>
              <w:bottom w:val="single" w:sz="4" w:space="0" w:color="auto"/>
            </w:tcBorders>
          </w:tcPr>
          <w:p w14:paraId="53D236F1" w14:textId="77777777" w:rsidR="00443A0E" w:rsidRPr="00097A86" w:rsidRDefault="00443A0E" w:rsidP="007C01C9"/>
        </w:tc>
        <w:tc>
          <w:tcPr>
            <w:tcW w:w="1338" w:type="pct"/>
            <w:vMerge/>
            <w:tcBorders>
              <w:bottom w:val="single" w:sz="4" w:space="0" w:color="auto"/>
            </w:tcBorders>
          </w:tcPr>
          <w:p w14:paraId="429299D0" w14:textId="77777777" w:rsidR="00443A0E" w:rsidRPr="00097A86" w:rsidRDefault="00443A0E" w:rsidP="007C01C9"/>
        </w:tc>
        <w:tc>
          <w:tcPr>
            <w:tcW w:w="942" w:type="pct"/>
            <w:tcBorders>
              <w:bottom w:val="single" w:sz="4" w:space="0" w:color="auto"/>
            </w:tcBorders>
          </w:tcPr>
          <w:p w14:paraId="0D238760" w14:textId="77777777" w:rsidR="00443A0E" w:rsidRPr="00097A86" w:rsidRDefault="00443A0E" w:rsidP="00D22D3F">
            <w:pPr>
              <w:pStyle w:val="Tabletext"/>
            </w:pPr>
            <w:r w:rsidRPr="00097A86">
              <w:t>Ash</w:t>
            </w:r>
          </w:p>
        </w:tc>
        <w:tc>
          <w:tcPr>
            <w:tcW w:w="1237" w:type="pct"/>
            <w:tcBorders>
              <w:bottom w:val="single" w:sz="4" w:space="0" w:color="auto"/>
            </w:tcBorders>
          </w:tcPr>
          <w:p w14:paraId="270D13F1" w14:textId="77777777" w:rsidR="00443A0E" w:rsidRPr="00097A86" w:rsidRDefault="00443A0E" w:rsidP="00D22D3F">
            <w:pPr>
              <w:pStyle w:val="Tabletext"/>
            </w:pPr>
            <w:r w:rsidRPr="00097A86">
              <w:t>AS 1038.3—2000</w:t>
            </w:r>
          </w:p>
        </w:tc>
        <w:tc>
          <w:tcPr>
            <w:tcW w:w="1082" w:type="pct"/>
            <w:tcBorders>
              <w:bottom w:val="single" w:sz="4" w:space="0" w:color="auto"/>
            </w:tcBorders>
          </w:tcPr>
          <w:p w14:paraId="3BC2C284" w14:textId="77777777" w:rsidR="00443A0E" w:rsidRPr="00097A86" w:rsidRDefault="00443A0E" w:rsidP="00D22D3F">
            <w:pPr>
              <w:pStyle w:val="Tabletext"/>
            </w:pPr>
            <w:r w:rsidRPr="00097A86">
              <w:t>Each delivery</w:t>
            </w:r>
          </w:p>
        </w:tc>
      </w:tr>
      <w:tr w:rsidR="00443A0E" w:rsidRPr="00097A86" w14:paraId="750C6A1A" w14:textId="77777777" w:rsidTr="00C20CC2">
        <w:tc>
          <w:tcPr>
            <w:tcW w:w="401" w:type="pct"/>
            <w:vMerge w:val="restart"/>
            <w:tcBorders>
              <w:top w:val="single" w:sz="4" w:space="0" w:color="auto"/>
            </w:tcBorders>
          </w:tcPr>
          <w:p w14:paraId="424F1E10" w14:textId="77777777" w:rsidR="00443A0E" w:rsidRPr="00097A86" w:rsidRDefault="00443A0E" w:rsidP="00396D38">
            <w:pPr>
              <w:pStyle w:val="Tabletext"/>
              <w:keepNext/>
              <w:keepLines/>
            </w:pPr>
            <w:r w:rsidRPr="00097A86">
              <w:t>4</w:t>
            </w:r>
          </w:p>
        </w:tc>
        <w:tc>
          <w:tcPr>
            <w:tcW w:w="1338" w:type="pct"/>
            <w:vMerge w:val="restart"/>
            <w:tcBorders>
              <w:top w:val="single" w:sz="4" w:space="0" w:color="auto"/>
            </w:tcBorders>
          </w:tcPr>
          <w:p w14:paraId="7041281F" w14:textId="77777777" w:rsidR="00443A0E" w:rsidRPr="00097A86" w:rsidRDefault="00443A0E" w:rsidP="00396D38">
            <w:pPr>
              <w:pStyle w:val="Tabletext"/>
              <w:keepNext/>
              <w:keepLines/>
            </w:pPr>
            <w:r w:rsidRPr="00097A86">
              <w:t xml:space="preserve"> Coal briquettes</w:t>
            </w:r>
          </w:p>
        </w:tc>
        <w:tc>
          <w:tcPr>
            <w:tcW w:w="942" w:type="pct"/>
            <w:tcBorders>
              <w:top w:val="single" w:sz="4" w:space="0" w:color="auto"/>
            </w:tcBorders>
          </w:tcPr>
          <w:p w14:paraId="0EAD2513" w14:textId="77777777" w:rsidR="00443A0E" w:rsidRPr="00097A86" w:rsidRDefault="00443A0E" w:rsidP="00396D38">
            <w:pPr>
              <w:pStyle w:val="Tabletext"/>
              <w:keepNext/>
              <w:keepLines/>
            </w:pPr>
            <w:r w:rsidRPr="00097A86">
              <w:t>Energy content factor</w:t>
            </w:r>
          </w:p>
        </w:tc>
        <w:tc>
          <w:tcPr>
            <w:tcW w:w="1237" w:type="pct"/>
            <w:tcBorders>
              <w:top w:val="single" w:sz="4" w:space="0" w:color="auto"/>
            </w:tcBorders>
          </w:tcPr>
          <w:p w14:paraId="23740E77" w14:textId="77777777" w:rsidR="00443A0E" w:rsidRPr="00097A86" w:rsidRDefault="00443A0E" w:rsidP="00396D38">
            <w:pPr>
              <w:pStyle w:val="Tabletext"/>
              <w:keepNext/>
              <w:keepLines/>
            </w:pPr>
            <w:r w:rsidRPr="00097A86">
              <w:t>AS 1038.5—1998</w:t>
            </w:r>
          </w:p>
        </w:tc>
        <w:tc>
          <w:tcPr>
            <w:tcW w:w="1082" w:type="pct"/>
            <w:tcBorders>
              <w:top w:val="single" w:sz="4" w:space="0" w:color="auto"/>
            </w:tcBorders>
          </w:tcPr>
          <w:p w14:paraId="365BA66D" w14:textId="77777777" w:rsidR="00443A0E" w:rsidRPr="00097A86" w:rsidRDefault="00443A0E" w:rsidP="00396D38">
            <w:pPr>
              <w:pStyle w:val="Tabletext"/>
              <w:keepNext/>
              <w:keepLines/>
            </w:pPr>
            <w:r w:rsidRPr="00097A86">
              <w:t>Monthly sample composite</w:t>
            </w:r>
          </w:p>
        </w:tc>
      </w:tr>
      <w:tr w:rsidR="00443A0E" w:rsidRPr="00097A86" w14:paraId="2388F09D" w14:textId="77777777" w:rsidTr="00C20CC2">
        <w:trPr>
          <w:cantSplit/>
        </w:trPr>
        <w:tc>
          <w:tcPr>
            <w:tcW w:w="401" w:type="pct"/>
            <w:vMerge/>
          </w:tcPr>
          <w:p w14:paraId="784F64B9" w14:textId="77777777" w:rsidR="00443A0E" w:rsidRPr="00097A86" w:rsidRDefault="00443A0E" w:rsidP="007C01C9"/>
        </w:tc>
        <w:tc>
          <w:tcPr>
            <w:tcW w:w="1338" w:type="pct"/>
            <w:vMerge/>
          </w:tcPr>
          <w:p w14:paraId="18D80206" w14:textId="77777777" w:rsidR="00443A0E" w:rsidRPr="00097A86" w:rsidRDefault="00443A0E" w:rsidP="007C01C9"/>
        </w:tc>
        <w:tc>
          <w:tcPr>
            <w:tcW w:w="942" w:type="pct"/>
          </w:tcPr>
          <w:p w14:paraId="31D25A8D" w14:textId="77777777" w:rsidR="00443A0E" w:rsidRPr="00097A86" w:rsidRDefault="00443A0E" w:rsidP="00D22D3F">
            <w:pPr>
              <w:pStyle w:val="Tabletext"/>
            </w:pPr>
            <w:r w:rsidRPr="00097A86">
              <w:t>Carbon</w:t>
            </w:r>
          </w:p>
        </w:tc>
        <w:tc>
          <w:tcPr>
            <w:tcW w:w="1237" w:type="pct"/>
          </w:tcPr>
          <w:p w14:paraId="6DE899CD" w14:textId="77777777" w:rsidR="00443A0E" w:rsidRPr="00097A86" w:rsidRDefault="00443A0E" w:rsidP="00D22D3F">
            <w:pPr>
              <w:pStyle w:val="Tabletext"/>
            </w:pPr>
            <w:r w:rsidRPr="00097A86">
              <w:t>AS 2434.6—2002</w:t>
            </w:r>
          </w:p>
        </w:tc>
        <w:tc>
          <w:tcPr>
            <w:tcW w:w="1082" w:type="pct"/>
          </w:tcPr>
          <w:p w14:paraId="0F6151B9" w14:textId="77777777" w:rsidR="00443A0E" w:rsidRPr="00097A86" w:rsidRDefault="00443A0E" w:rsidP="00D22D3F">
            <w:pPr>
              <w:pStyle w:val="Tabletext"/>
            </w:pPr>
            <w:r w:rsidRPr="00097A86">
              <w:t>Monthly sample composite</w:t>
            </w:r>
          </w:p>
        </w:tc>
      </w:tr>
      <w:tr w:rsidR="00443A0E" w:rsidRPr="00097A86" w14:paraId="7FC74099" w14:textId="77777777" w:rsidTr="00C20CC2">
        <w:trPr>
          <w:cantSplit/>
        </w:trPr>
        <w:tc>
          <w:tcPr>
            <w:tcW w:w="401" w:type="pct"/>
            <w:vMerge/>
          </w:tcPr>
          <w:p w14:paraId="578378AC" w14:textId="77777777" w:rsidR="00443A0E" w:rsidRPr="00097A86" w:rsidRDefault="00443A0E" w:rsidP="007C01C9"/>
        </w:tc>
        <w:tc>
          <w:tcPr>
            <w:tcW w:w="1338" w:type="pct"/>
            <w:vMerge/>
          </w:tcPr>
          <w:p w14:paraId="69B93CD1" w14:textId="77777777" w:rsidR="00443A0E" w:rsidRPr="00097A86" w:rsidRDefault="00443A0E" w:rsidP="007C01C9"/>
        </w:tc>
        <w:tc>
          <w:tcPr>
            <w:tcW w:w="942" w:type="pct"/>
          </w:tcPr>
          <w:p w14:paraId="025F1212" w14:textId="77777777" w:rsidR="00443A0E" w:rsidRPr="00097A86" w:rsidRDefault="00443A0E" w:rsidP="00D22D3F">
            <w:pPr>
              <w:pStyle w:val="Tabletext"/>
            </w:pPr>
            <w:r w:rsidRPr="00097A86">
              <w:t>Moisture</w:t>
            </w:r>
          </w:p>
        </w:tc>
        <w:tc>
          <w:tcPr>
            <w:tcW w:w="1237" w:type="pct"/>
          </w:tcPr>
          <w:p w14:paraId="1444DE7C" w14:textId="77777777" w:rsidR="00443A0E" w:rsidRPr="00097A86" w:rsidRDefault="00443A0E" w:rsidP="00D22D3F">
            <w:pPr>
              <w:pStyle w:val="Tabletext"/>
            </w:pPr>
            <w:r w:rsidRPr="00097A86">
              <w:t>AS 2434.1—1999</w:t>
            </w:r>
          </w:p>
        </w:tc>
        <w:tc>
          <w:tcPr>
            <w:tcW w:w="1082" w:type="pct"/>
          </w:tcPr>
          <w:p w14:paraId="3117F964" w14:textId="77777777" w:rsidR="00443A0E" w:rsidRPr="00097A86" w:rsidRDefault="00443A0E" w:rsidP="00D22D3F">
            <w:pPr>
              <w:pStyle w:val="Tabletext"/>
            </w:pPr>
            <w:r w:rsidRPr="00097A86">
              <w:t>Each delivery</w:t>
            </w:r>
          </w:p>
        </w:tc>
      </w:tr>
      <w:tr w:rsidR="00443A0E" w:rsidRPr="00097A86" w14:paraId="20E65130" w14:textId="77777777" w:rsidTr="00C20CC2">
        <w:trPr>
          <w:cantSplit/>
        </w:trPr>
        <w:tc>
          <w:tcPr>
            <w:tcW w:w="401" w:type="pct"/>
            <w:vMerge/>
            <w:tcBorders>
              <w:bottom w:val="single" w:sz="4" w:space="0" w:color="auto"/>
            </w:tcBorders>
          </w:tcPr>
          <w:p w14:paraId="1A063488" w14:textId="77777777" w:rsidR="00443A0E" w:rsidRPr="00097A86" w:rsidRDefault="00443A0E" w:rsidP="007C01C9"/>
        </w:tc>
        <w:tc>
          <w:tcPr>
            <w:tcW w:w="1338" w:type="pct"/>
            <w:vMerge/>
            <w:tcBorders>
              <w:bottom w:val="single" w:sz="4" w:space="0" w:color="auto"/>
            </w:tcBorders>
          </w:tcPr>
          <w:p w14:paraId="7B19FE20" w14:textId="77777777" w:rsidR="00443A0E" w:rsidRPr="00097A86" w:rsidRDefault="00443A0E" w:rsidP="007C01C9"/>
        </w:tc>
        <w:tc>
          <w:tcPr>
            <w:tcW w:w="942" w:type="pct"/>
            <w:tcBorders>
              <w:bottom w:val="single" w:sz="4" w:space="0" w:color="auto"/>
            </w:tcBorders>
          </w:tcPr>
          <w:p w14:paraId="2F36FEB9" w14:textId="77777777" w:rsidR="00443A0E" w:rsidRPr="00097A86" w:rsidRDefault="00443A0E" w:rsidP="00D22D3F">
            <w:pPr>
              <w:pStyle w:val="Tabletext"/>
            </w:pPr>
            <w:r w:rsidRPr="00097A86">
              <w:t>Ash</w:t>
            </w:r>
          </w:p>
        </w:tc>
        <w:tc>
          <w:tcPr>
            <w:tcW w:w="1237" w:type="pct"/>
            <w:tcBorders>
              <w:bottom w:val="single" w:sz="4" w:space="0" w:color="auto"/>
            </w:tcBorders>
          </w:tcPr>
          <w:p w14:paraId="6BD6C4AA" w14:textId="77777777" w:rsidR="00443A0E" w:rsidRPr="00097A86" w:rsidRDefault="00443A0E" w:rsidP="00D22D3F">
            <w:pPr>
              <w:pStyle w:val="Tabletext"/>
            </w:pPr>
            <w:r w:rsidRPr="00097A86">
              <w:t>AS 2434.8—2002</w:t>
            </w:r>
          </w:p>
        </w:tc>
        <w:tc>
          <w:tcPr>
            <w:tcW w:w="1082" w:type="pct"/>
            <w:tcBorders>
              <w:bottom w:val="single" w:sz="4" w:space="0" w:color="auto"/>
            </w:tcBorders>
          </w:tcPr>
          <w:p w14:paraId="29439636" w14:textId="77777777" w:rsidR="00443A0E" w:rsidRPr="00097A86" w:rsidRDefault="00443A0E" w:rsidP="00D22D3F">
            <w:pPr>
              <w:pStyle w:val="Tabletext"/>
            </w:pPr>
            <w:r w:rsidRPr="00097A86">
              <w:t>Each delivery</w:t>
            </w:r>
          </w:p>
        </w:tc>
      </w:tr>
      <w:tr w:rsidR="00443A0E" w:rsidRPr="00097A86" w14:paraId="03ECBC46" w14:textId="77777777" w:rsidTr="00C20CC2">
        <w:trPr>
          <w:cantSplit/>
        </w:trPr>
        <w:tc>
          <w:tcPr>
            <w:tcW w:w="401" w:type="pct"/>
            <w:vMerge w:val="restart"/>
            <w:tcBorders>
              <w:top w:val="single" w:sz="4" w:space="0" w:color="auto"/>
            </w:tcBorders>
          </w:tcPr>
          <w:p w14:paraId="3EC5616C" w14:textId="77777777" w:rsidR="00443A0E" w:rsidRPr="00097A86" w:rsidRDefault="00443A0E" w:rsidP="00D22D3F">
            <w:pPr>
              <w:pStyle w:val="Tabletext"/>
            </w:pPr>
            <w:r w:rsidRPr="00097A86">
              <w:t>5</w:t>
            </w:r>
          </w:p>
        </w:tc>
        <w:tc>
          <w:tcPr>
            <w:tcW w:w="1338" w:type="pct"/>
            <w:vMerge w:val="restart"/>
            <w:tcBorders>
              <w:top w:val="single" w:sz="4" w:space="0" w:color="auto"/>
            </w:tcBorders>
          </w:tcPr>
          <w:p w14:paraId="353754E9" w14:textId="77777777" w:rsidR="00443A0E" w:rsidRPr="00097A86" w:rsidRDefault="00443A0E" w:rsidP="00D22D3F">
            <w:pPr>
              <w:pStyle w:val="Tabletext"/>
            </w:pPr>
            <w:r w:rsidRPr="00097A86">
              <w:t>Coal coke</w:t>
            </w:r>
          </w:p>
        </w:tc>
        <w:tc>
          <w:tcPr>
            <w:tcW w:w="942" w:type="pct"/>
            <w:tcBorders>
              <w:top w:val="single" w:sz="4" w:space="0" w:color="auto"/>
            </w:tcBorders>
          </w:tcPr>
          <w:p w14:paraId="26C13EF8"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5E997F24" w14:textId="77777777" w:rsidR="00443A0E" w:rsidRPr="00097A86" w:rsidRDefault="00443A0E" w:rsidP="00D22D3F">
            <w:pPr>
              <w:pStyle w:val="Tabletext"/>
            </w:pPr>
            <w:r w:rsidRPr="00097A86">
              <w:t>AS 1038.5—1998</w:t>
            </w:r>
          </w:p>
        </w:tc>
        <w:tc>
          <w:tcPr>
            <w:tcW w:w="1082" w:type="pct"/>
            <w:tcBorders>
              <w:top w:val="single" w:sz="4" w:space="0" w:color="auto"/>
            </w:tcBorders>
          </w:tcPr>
          <w:p w14:paraId="41AF7A1F" w14:textId="77777777" w:rsidR="00443A0E" w:rsidRPr="00097A86" w:rsidRDefault="00443A0E" w:rsidP="00D22D3F">
            <w:pPr>
              <w:pStyle w:val="Tabletext"/>
            </w:pPr>
            <w:r w:rsidRPr="00097A86">
              <w:t>Monthly sample composite</w:t>
            </w:r>
          </w:p>
        </w:tc>
      </w:tr>
      <w:tr w:rsidR="00443A0E" w:rsidRPr="00097A86" w14:paraId="74DE91EA" w14:textId="77777777" w:rsidTr="00C20CC2">
        <w:trPr>
          <w:cantSplit/>
        </w:trPr>
        <w:tc>
          <w:tcPr>
            <w:tcW w:w="401" w:type="pct"/>
            <w:vMerge/>
          </w:tcPr>
          <w:p w14:paraId="2BFF8812" w14:textId="77777777" w:rsidR="00443A0E" w:rsidRPr="00097A86" w:rsidRDefault="00443A0E" w:rsidP="00F529D9">
            <w:pPr>
              <w:keepNext/>
              <w:keepLines/>
            </w:pPr>
          </w:p>
        </w:tc>
        <w:tc>
          <w:tcPr>
            <w:tcW w:w="1338" w:type="pct"/>
            <w:vMerge/>
          </w:tcPr>
          <w:p w14:paraId="0513EEB0" w14:textId="77777777" w:rsidR="00443A0E" w:rsidRPr="00097A86" w:rsidRDefault="00443A0E" w:rsidP="00F529D9">
            <w:pPr>
              <w:keepNext/>
              <w:keepLines/>
            </w:pPr>
          </w:p>
        </w:tc>
        <w:tc>
          <w:tcPr>
            <w:tcW w:w="942" w:type="pct"/>
          </w:tcPr>
          <w:p w14:paraId="68B888BD" w14:textId="77777777" w:rsidR="00443A0E" w:rsidRPr="00097A86" w:rsidRDefault="00443A0E" w:rsidP="00D22D3F">
            <w:pPr>
              <w:pStyle w:val="Tabletext"/>
            </w:pPr>
            <w:r w:rsidRPr="00097A86">
              <w:t>Carbon</w:t>
            </w:r>
          </w:p>
        </w:tc>
        <w:tc>
          <w:tcPr>
            <w:tcW w:w="1237" w:type="pct"/>
          </w:tcPr>
          <w:p w14:paraId="0A629A59" w14:textId="77777777" w:rsidR="00443A0E" w:rsidRPr="00097A86" w:rsidRDefault="00443A0E" w:rsidP="00D22D3F">
            <w:pPr>
              <w:pStyle w:val="Tabletext"/>
            </w:pPr>
            <w:r w:rsidRPr="00097A86">
              <w:t>AS 1038.6.1—1997</w:t>
            </w:r>
          </w:p>
          <w:p w14:paraId="03C7FA17" w14:textId="77777777" w:rsidR="00443A0E" w:rsidRPr="00097A86" w:rsidRDefault="00443A0E" w:rsidP="00D22D3F">
            <w:pPr>
              <w:pStyle w:val="Tabletext"/>
            </w:pPr>
            <w:r w:rsidRPr="00097A86">
              <w:t>AS 1038.6.4—2005</w:t>
            </w:r>
          </w:p>
        </w:tc>
        <w:tc>
          <w:tcPr>
            <w:tcW w:w="1082" w:type="pct"/>
          </w:tcPr>
          <w:p w14:paraId="29D1E8D9" w14:textId="77777777" w:rsidR="00443A0E" w:rsidRPr="00097A86" w:rsidRDefault="00443A0E" w:rsidP="00D22D3F">
            <w:pPr>
              <w:pStyle w:val="Tabletext"/>
            </w:pPr>
            <w:r w:rsidRPr="00097A86">
              <w:t>Monthly sample composite</w:t>
            </w:r>
          </w:p>
        </w:tc>
      </w:tr>
      <w:tr w:rsidR="00443A0E" w:rsidRPr="00097A86" w14:paraId="7D88DB7E" w14:textId="77777777" w:rsidTr="00C20CC2">
        <w:trPr>
          <w:cantSplit/>
        </w:trPr>
        <w:tc>
          <w:tcPr>
            <w:tcW w:w="401" w:type="pct"/>
            <w:vMerge/>
          </w:tcPr>
          <w:p w14:paraId="1990A9FB" w14:textId="77777777" w:rsidR="00443A0E" w:rsidRPr="00097A86" w:rsidRDefault="00443A0E" w:rsidP="00F529D9">
            <w:pPr>
              <w:keepNext/>
              <w:keepLines/>
            </w:pPr>
          </w:p>
        </w:tc>
        <w:tc>
          <w:tcPr>
            <w:tcW w:w="1338" w:type="pct"/>
            <w:vMerge/>
          </w:tcPr>
          <w:p w14:paraId="5DD5D248" w14:textId="77777777" w:rsidR="00443A0E" w:rsidRPr="00097A86" w:rsidRDefault="00443A0E" w:rsidP="00F529D9">
            <w:pPr>
              <w:keepNext/>
              <w:keepLines/>
            </w:pPr>
          </w:p>
        </w:tc>
        <w:tc>
          <w:tcPr>
            <w:tcW w:w="942" w:type="pct"/>
          </w:tcPr>
          <w:p w14:paraId="6EF0F4A9" w14:textId="77777777" w:rsidR="00443A0E" w:rsidRPr="00097A86" w:rsidRDefault="00443A0E" w:rsidP="00D22D3F">
            <w:pPr>
              <w:pStyle w:val="Tabletext"/>
            </w:pPr>
            <w:r w:rsidRPr="00097A86">
              <w:t>Moisture</w:t>
            </w:r>
          </w:p>
        </w:tc>
        <w:tc>
          <w:tcPr>
            <w:tcW w:w="1237" w:type="pct"/>
          </w:tcPr>
          <w:p w14:paraId="2CE6F5CD" w14:textId="77777777" w:rsidR="00443A0E" w:rsidRPr="00097A86" w:rsidRDefault="00443A0E" w:rsidP="00D22D3F">
            <w:pPr>
              <w:pStyle w:val="Tabletext"/>
            </w:pPr>
            <w:r w:rsidRPr="00097A86">
              <w:t>AS 1038.2—2006</w:t>
            </w:r>
          </w:p>
        </w:tc>
        <w:tc>
          <w:tcPr>
            <w:tcW w:w="1082" w:type="pct"/>
          </w:tcPr>
          <w:p w14:paraId="33707D6F" w14:textId="77777777" w:rsidR="00443A0E" w:rsidRPr="00097A86" w:rsidRDefault="00443A0E" w:rsidP="00D22D3F">
            <w:pPr>
              <w:pStyle w:val="Tabletext"/>
            </w:pPr>
            <w:r w:rsidRPr="00097A86">
              <w:t>Each delivery</w:t>
            </w:r>
          </w:p>
        </w:tc>
      </w:tr>
      <w:tr w:rsidR="00443A0E" w:rsidRPr="00097A86" w14:paraId="30646CBD" w14:textId="77777777" w:rsidTr="00C20CC2">
        <w:trPr>
          <w:cantSplit/>
        </w:trPr>
        <w:tc>
          <w:tcPr>
            <w:tcW w:w="401" w:type="pct"/>
            <w:vMerge/>
            <w:tcBorders>
              <w:bottom w:val="single" w:sz="4" w:space="0" w:color="auto"/>
            </w:tcBorders>
          </w:tcPr>
          <w:p w14:paraId="06597E9E" w14:textId="77777777" w:rsidR="00443A0E" w:rsidRPr="00097A86" w:rsidRDefault="00443A0E" w:rsidP="007C01C9"/>
        </w:tc>
        <w:tc>
          <w:tcPr>
            <w:tcW w:w="1338" w:type="pct"/>
            <w:vMerge/>
            <w:tcBorders>
              <w:bottom w:val="single" w:sz="4" w:space="0" w:color="auto"/>
            </w:tcBorders>
          </w:tcPr>
          <w:p w14:paraId="325B2108" w14:textId="77777777" w:rsidR="00443A0E" w:rsidRPr="00097A86" w:rsidRDefault="00443A0E" w:rsidP="007C01C9"/>
        </w:tc>
        <w:tc>
          <w:tcPr>
            <w:tcW w:w="942" w:type="pct"/>
            <w:tcBorders>
              <w:bottom w:val="single" w:sz="4" w:space="0" w:color="auto"/>
            </w:tcBorders>
          </w:tcPr>
          <w:p w14:paraId="6D0EFB22" w14:textId="77777777" w:rsidR="00443A0E" w:rsidRPr="00097A86" w:rsidRDefault="00443A0E" w:rsidP="00D22D3F">
            <w:pPr>
              <w:pStyle w:val="Tabletext"/>
            </w:pPr>
            <w:r w:rsidRPr="00097A86">
              <w:t>Ash</w:t>
            </w:r>
          </w:p>
        </w:tc>
        <w:tc>
          <w:tcPr>
            <w:tcW w:w="1237" w:type="pct"/>
            <w:tcBorders>
              <w:bottom w:val="single" w:sz="4" w:space="0" w:color="auto"/>
            </w:tcBorders>
          </w:tcPr>
          <w:p w14:paraId="72C52F46" w14:textId="77777777" w:rsidR="00443A0E" w:rsidRPr="00097A86" w:rsidRDefault="00443A0E" w:rsidP="00D22D3F">
            <w:pPr>
              <w:pStyle w:val="Tabletext"/>
            </w:pPr>
            <w:r w:rsidRPr="00097A86">
              <w:t>AS 1038.3—2000</w:t>
            </w:r>
          </w:p>
        </w:tc>
        <w:tc>
          <w:tcPr>
            <w:tcW w:w="1082" w:type="pct"/>
            <w:tcBorders>
              <w:bottom w:val="single" w:sz="4" w:space="0" w:color="auto"/>
            </w:tcBorders>
          </w:tcPr>
          <w:p w14:paraId="11B38E3D" w14:textId="77777777" w:rsidR="00443A0E" w:rsidRPr="00097A86" w:rsidRDefault="00443A0E" w:rsidP="00D22D3F">
            <w:pPr>
              <w:pStyle w:val="Tabletext"/>
            </w:pPr>
            <w:r w:rsidRPr="00097A86">
              <w:t>Each delivery</w:t>
            </w:r>
          </w:p>
        </w:tc>
      </w:tr>
      <w:tr w:rsidR="00443A0E" w:rsidRPr="00097A86" w14:paraId="136C2B50" w14:textId="77777777" w:rsidTr="00C20CC2">
        <w:trPr>
          <w:cantSplit/>
        </w:trPr>
        <w:tc>
          <w:tcPr>
            <w:tcW w:w="401" w:type="pct"/>
            <w:vMerge w:val="restart"/>
            <w:tcBorders>
              <w:top w:val="single" w:sz="4" w:space="0" w:color="auto"/>
            </w:tcBorders>
          </w:tcPr>
          <w:p w14:paraId="17AC5971" w14:textId="77777777" w:rsidR="00443A0E" w:rsidRPr="00097A86" w:rsidRDefault="00443A0E" w:rsidP="00D22D3F">
            <w:pPr>
              <w:pStyle w:val="Tabletext"/>
            </w:pPr>
            <w:r w:rsidRPr="00097A86">
              <w:t>6</w:t>
            </w:r>
          </w:p>
        </w:tc>
        <w:tc>
          <w:tcPr>
            <w:tcW w:w="1338" w:type="pct"/>
            <w:vMerge w:val="restart"/>
            <w:tcBorders>
              <w:top w:val="single" w:sz="4" w:space="0" w:color="auto"/>
            </w:tcBorders>
          </w:tcPr>
          <w:p w14:paraId="49F0022B" w14:textId="77777777" w:rsidR="00443A0E" w:rsidRPr="00097A86" w:rsidRDefault="00443A0E" w:rsidP="00D22D3F">
            <w:pPr>
              <w:pStyle w:val="Tabletext"/>
            </w:pPr>
            <w:r w:rsidRPr="00097A86">
              <w:rPr>
                <w:snapToGrid w:val="0"/>
              </w:rPr>
              <w:t>Coal tar</w:t>
            </w:r>
          </w:p>
        </w:tc>
        <w:tc>
          <w:tcPr>
            <w:tcW w:w="942" w:type="pct"/>
            <w:tcBorders>
              <w:top w:val="single" w:sz="4" w:space="0" w:color="auto"/>
            </w:tcBorders>
          </w:tcPr>
          <w:p w14:paraId="178FF55A"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08C44D59" w14:textId="77777777" w:rsidR="00443A0E" w:rsidRPr="00097A86" w:rsidRDefault="00443A0E" w:rsidP="00D22D3F">
            <w:pPr>
              <w:pStyle w:val="Tabletext"/>
            </w:pPr>
            <w:r w:rsidRPr="00097A86">
              <w:t>N/A</w:t>
            </w:r>
          </w:p>
        </w:tc>
        <w:tc>
          <w:tcPr>
            <w:tcW w:w="1082" w:type="pct"/>
            <w:tcBorders>
              <w:top w:val="single" w:sz="4" w:space="0" w:color="auto"/>
            </w:tcBorders>
          </w:tcPr>
          <w:p w14:paraId="6DD80607" w14:textId="77777777" w:rsidR="00443A0E" w:rsidRPr="00097A86" w:rsidRDefault="00443A0E" w:rsidP="00D22D3F">
            <w:pPr>
              <w:pStyle w:val="Tabletext"/>
            </w:pPr>
            <w:r w:rsidRPr="00097A86">
              <w:t>Monthly sample composite</w:t>
            </w:r>
          </w:p>
        </w:tc>
      </w:tr>
      <w:tr w:rsidR="00443A0E" w:rsidRPr="00097A86" w14:paraId="781457B9" w14:textId="77777777" w:rsidTr="00C20CC2">
        <w:trPr>
          <w:cantSplit/>
        </w:trPr>
        <w:tc>
          <w:tcPr>
            <w:tcW w:w="401" w:type="pct"/>
            <w:vMerge/>
          </w:tcPr>
          <w:p w14:paraId="37C65DC7" w14:textId="77777777" w:rsidR="00443A0E" w:rsidRPr="00097A86" w:rsidRDefault="00443A0E" w:rsidP="007C01C9"/>
        </w:tc>
        <w:tc>
          <w:tcPr>
            <w:tcW w:w="1338" w:type="pct"/>
            <w:vMerge/>
          </w:tcPr>
          <w:p w14:paraId="50085A3B" w14:textId="77777777" w:rsidR="00443A0E" w:rsidRPr="00097A86" w:rsidRDefault="00443A0E" w:rsidP="007C01C9"/>
        </w:tc>
        <w:tc>
          <w:tcPr>
            <w:tcW w:w="942" w:type="pct"/>
          </w:tcPr>
          <w:p w14:paraId="6B7A7973" w14:textId="77777777" w:rsidR="00443A0E" w:rsidRPr="00097A86" w:rsidRDefault="00443A0E" w:rsidP="00D22D3F">
            <w:pPr>
              <w:pStyle w:val="Tabletext"/>
            </w:pPr>
            <w:r w:rsidRPr="00097A86">
              <w:t>Carbon</w:t>
            </w:r>
          </w:p>
        </w:tc>
        <w:tc>
          <w:tcPr>
            <w:tcW w:w="1237" w:type="pct"/>
          </w:tcPr>
          <w:p w14:paraId="54921FD2" w14:textId="77777777" w:rsidR="00443A0E" w:rsidRPr="00097A86" w:rsidRDefault="00443A0E" w:rsidP="00D22D3F">
            <w:pPr>
              <w:pStyle w:val="Tabletext"/>
            </w:pPr>
            <w:r w:rsidRPr="00097A86">
              <w:t>N/A</w:t>
            </w:r>
          </w:p>
        </w:tc>
        <w:tc>
          <w:tcPr>
            <w:tcW w:w="1082" w:type="pct"/>
          </w:tcPr>
          <w:p w14:paraId="04DB9CA0" w14:textId="77777777" w:rsidR="00443A0E" w:rsidRPr="00097A86" w:rsidRDefault="00443A0E" w:rsidP="00D22D3F">
            <w:pPr>
              <w:pStyle w:val="Tabletext"/>
            </w:pPr>
            <w:r w:rsidRPr="00097A86">
              <w:t>Monthly sample composite</w:t>
            </w:r>
          </w:p>
        </w:tc>
      </w:tr>
      <w:tr w:rsidR="00443A0E" w:rsidRPr="00097A86" w14:paraId="3538FBCB" w14:textId="77777777" w:rsidTr="00C20CC2">
        <w:trPr>
          <w:cantSplit/>
        </w:trPr>
        <w:tc>
          <w:tcPr>
            <w:tcW w:w="401" w:type="pct"/>
            <w:vMerge/>
          </w:tcPr>
          <w:p w14:paraId="3F765DDA" w14:textId="77777777" w:rsidR="00443A0E" w:rsidRPr="00097A86" w:rsidRDefault="00443A0E" w:rsidP="007C01C9"/>
        </w:tc>
        <w:tc>
          <w:tcPr>
            <w:tcW w:w="1338" w:type="pct"/>
            <w:vMerge/>
          </w:tcPr>
          <w:p w14:paraId="3AFB4199" w14:textId="77777777" w:rsidR="00443A0E" w:rsidRPr="00097A86" w:rsidRDefault="00443A0E" w:rsidP="007C01C9"/>
        </w:tc>
        <w:tc>
          <w:tcPr>
            <w:tcW w:w="942" w:type="pct"/>
          </w:tcPr>
          <w:p w14:paraId="54105669" w14:textId="77777777" w:rsidR="00443A0E" w:rsidRPr="00097A86" w:rsidRDefault="00443A0E" w:rsidP="00D22D3F">
            <w:pPr>
              <w:pStyle w:val="Tabletext"/>
            </w:pPr>
            <w:r w:rsidRPr="00097A86">
              <w:t>Moisture</w:t>
            </w:r>
          </w:p>
        </w:tc>
        <w:tc>
          <w:tcPr>
            <w:tcW w:w="1237" w:type="pct"/>
          </w:tcPr>
          <w:p w14:paraId="11CFCD18" w14:textId="77777777" w:rsidR="00443A0E" w:rsidRPr="00097A86" w:rsidRDefault="00443A0E" w:rsidP="00D22D3F">
            <w:pPr>
              <w:pStyle w:val="Tabletext"/>
            </w:pPr>
            <w:r w:rsidRPr="00097A86">
              <w:t>N/A</w:t>
            </w:r>
          </w:p>
        </w:tc>
        <w:tc>
          <w:tcPr>
            <w:tcW w:w="1082" w:type="pct"/>
          </w:tcPr>
          <w:p w14:paraId="6BFBC81D" w14:textId="77777777" w:rsidR="00443A0E" w:rsidRPr="00097A86" w:rsidRDefault="00443A0E" w:rsidP="00D22D3F">
            <w:pPr>
              <w:pStyle w:val="Tabletext"/>
            </w:pPr>
            <w:r w:rsidRPr="00097A86">
              <w:t>Each delivery</w:t>
            </w:r>
          </w:p>
        </w:tc>
      </w:tr>
      <w:tr w:rsidR="00443A0E" w:rsidRPr="00097A86" w14:paraId="3A41233B" w14:textId="77777777" w:rsidTr="00C20CC2">
        <w:trPr>
          <w:cantSplit/>
        </w:trPr>
        <w:tc>
          <w:tcPr>
            <w:tcW w:w="401" w:type="pct"/>
            <w:vMerge/>
            <w:tcBorders>
              <w:bottom w:val="single" w:sz="4" w:space="0" w:color="auto"/>
            </w:tcBorders>
          </w:tcPr>
          <w:p w14:paraId="66206CF1" w14:textId="77777777" w:rsidR="00443A0E" w:rsidRPr="00097A86" w:rsidRDefault="00443A0E" w:rsidP="007C01C9"/>
        </w:tc>
        <w:tc>
          <w:tcPr>
            <w:tcW w:w="1338" w:type="pct"/>
            <w:vMerge/>
            <w:tcBorders>
              <w:bottom w:val="single" w:sz="4" w:space="0" w:color="auto"/>
            </w:tcBorders>
          </w:tcPr>
          <w:p w14:paraId="05003D5C" w14:textId="77777777" w:rsidR="00443A0E" w:rsidRPr="00097A86" w:rsidRDefault="00443A0E" w:rsidP="007C01C9"/>
        </w:tc>
        <w:tc>
          <w:tcPr>
            <w:tcW w:w="942" w:type="pct"/>
            <w:tcBorders>
              <w:bottom w:val="single" w:sz="4" w:space="0" w:color="auto"/>
            </w:tcBorders>
          </w:tcPr>
          <w:p w14:paraId="753EA3CC" w14:textId="77777777" w:rsidR="00443A0E" w:rsidRPr="00097A86" w:rsidRDefault="00443A0E" w:rsidP="00D22D3F">
            <w:pPr>
              <w:pStyle w:val="Tabletext"/>
            </w:pPr>
            <w:r w:rsidRPr="00097A86">
              <w:t>Ash</w:t>
            </w:r>
          </w:p>
        </w:tc>
        <w:tc>
          <w:tcPr>
            <w:tcW w:w="1237" w:type="pct"/>
            <w:tcBorders>
              <w:bottom w:val="single" w:sz="4" w:space="0" w:color="auto"/>
            </w:tcBorders>
          </w:tcPr>
          <w:p w14:paraId="7F1EBDD8" w14:textId="77777777" w:rsidR="00443A0E" w:rsidRPr="00097A86" w:rsidRDefault="00443A0E" w:rsidP="00D22D3F">
            <w:pPr>
              <w:pStyle w:val="Tabletext"/>
            </w:pPr>
            <w:r w:rsidRPr="00097A86">
              <w:t>N/A</w:t>
            </w:r>
          </w:p>
        </w:tc>
        <w:tc>
          <w:tcPr>
            <w:tcW w:w="1082" w:type="pct"/>
            <w:tcBorders>
              <w:bottom w:val="single" w:sz="4" w:space="0" w:color="auto"/>
            </w:tcBorders>
          </w:tcPr>
          <w:p w14:paraId="596607AB" w14:textId="77777777" w:rsidR="00443A0E" w:rsidRPr="00097A86" w:rsidRDefault="00443A0E" w:rsidP="00D22D3F">
            <w:pPr>
              <w:pStyle w:val="Tabletext"/>
            </w:pPr>
            <w:r w:rsidRPr="00097A86">
              <w:t>Each delivery</w:t>
            </w:r>
          </w:p>
        </w:tc>
      </w:tr>
      <w:tr w:rsidR="00443A0E" w:rsidRPr="00097A86" w14:paraId="0C0DF2F3" w14:textId="77777777" w:rsidTr="00C20CC2">
        <w:trPr>
          <w:cantSplit/>
        </w:trPr>
        <w:tc>
          <w:tcPr>
            <w:tcW w:w="401" w:type="pct"/>
            <w:tcBorders>
              <w:top w:val="single" w:sz="4" w:space="0" w:color="auto"/>
              <w:bottom w:val="single" w:sz="4" w:space="0" w:color="auto"/>
            </w:tcBorders>
          </w:tcPr>
          <w:p w14:paraId="6FF16ECA" w14:textId="77777777" w:rsidR="00443A0E" w:rsidRPr="00097A86" w:rsidRDefault="00443A0E" w:rsidP="00D22D3F">
            <w:pPr>
              <w:pStyle w:val="Tabletext"/>
            </w:pPr>
            <w:r w:rsidRPr="00097A86">
              <w:t>7</w:t>
            </w:r>
          </w:p>
        </w:tc>
        <w:tc>
          <w:tcPr>
            <w:tcW w:w="1338" w:type="pct"/>
            <w:tcBorders>
              <w:top w:val="single" w:sz="4" w:space="0" w:color="auto"/>
              <w:bottom w:val="single" w:sz="4" w:space="0" w:color="auto"/>
            </w:tcBorders>
          </w:tcPr>
          <w:p w14:paraId="1C342BDA" w14:textId="77777777" w:rsidR="00443A0E" w:rsidRPr="00097A86" w:rsidRDefault="00443A0E" w:rsidP="00D22D3F">
            <w:pPr>
              <w:pStyle w:val="Tabletext"/>
            </w:pPr>
            <w:r w:rsidRPr="00097A86">
              <w:t>Solid fuels other than those mentioned in items</w:t>
            </w:r>
            <w:r w:rsidR="00097A86">
              <w:t> </w:t>
            </w:r>
            <w:r w:rsidRPr="00097A86">
              <w:t>1 to 5</w:t>
            </w:r>
          </w:p>
        </w:tc>
        <w:tc>
          <w:tcPr>
            <w:tcW w:w="942" w:type="pct"/>
            <w:tcBorders>
              <w:top w:val="single" w:sz="4" w:space="0" w:color="auto"/>
              <w:bottom w:val="single" w:sz="4" w:space="0" w:color="auto"/>
            </w:tcBorders>
          </w:tcPr>
          <w:p w14:paraId="18831666" w14:textId="77777777" w:rsidR="00443A0E" w:rsidRPr="00097A86" w:rsidRDefault="00443A0E" w:rsidP="00D22D3F">
            <w:pPr>
              <w:pStyle w:val="Tabletext"/>
            </w:pPr>
            <w:r w:rsidRPr="00097A86">
              <w:t>N/A</w:t>
            </w:r>
          </w:p>
        </w:tc>
        <w:tc>
          <w:tcPr>
            <w:tcW w:w="1237" w:type="pct"/>
            <w:tcBorders>
              <w:top w:val="single" w:sz="4" w:space="0" w:color="auto"/>
              <w:bottom w:val="single" w:sz="4" w:space="0" w:color="auto"/>
            </w:tcBorders>
          </w:tcPr>
          <w:p w14:paraId="77FF167A" w14:textId="77777777" w:rsidR="00443A0E" w:rsidRPr="00097A86" w:rsidRDefault="00443A0E" w:rsidP="00D22D3F">
            <w:pPr>
              <w:pStyle w:val="Tabletext"/>
            </w:pPr>
            <w:r w:rsidRPr="00097A86">
              <w:t>N/A</w:t>
            </w:r>
          </w:p>
        </w:tc>
        <w:tc>
          <w:tcPr>
            <w:tcW w:w="1082" w:type="pct"/>
            <w:tcBorders>
              <w:top w:val="single" w:sz="4" w:space="0" w:color="auto"/>
              <w:bottom w:val="single" w:sz="4" w:space="0" w:color="auto"/>
            </w:tcBorders>
          </w:tcPr>
          <w:p w14:paraId="100E34D8" w14:textId="77777777" w:rsidR="00443A0E" w:rsidRPr="00097A86" w:rsidRDefault="00443A0E" w:rsidP="00D22D3F">
            <w:pPr>
              <w:pStyle w:val="Tabletext"/>
            </w:pPr>
            <w:r w:rsidRPr="00097A86">
              <w:t>N/A</w:t>
            </w:r>
          </w:p>
        </w:tc>
      </w:tr>
      <w:tr w:rsidR="00443A0E" w:rsidRPr="00097A86" w14:paraId="1480A6DA" w14:textId="77777777" w:rsidTr="00C20CC2">
        <w:trPr>
          <w:cantSplit/>
        </w:trPr>
        <w:tc>
          <w:tcPr>
            <w:tcW w:w="401" w:type="pct"/>
            <w:vMerge w:val="restart"/>
            <w:tcBorders>
              <w:top w:val="single" w:sz="4" w:space="0" w:color="auto"/>
            </w:tcBorders>
          </w:tcPr>
          <w:p w14:paraId="0E2E1BC3" w14:textId="77777777" w:rsidR="00443A0E" w:rsidRPr="00097A86" w:rsidRDefault="00443A0E" w:rsidP="00D22D3F">
            <w:pPr>
              <w:pStyle w:val="Tabletext"/>
            </w:pPr>
            <w:r w:rsidRPr="00097A86">
              <w:t>8</w:t>
            </w:r>
          </w:p>
        </w:tc>
        <w:tc>
          <w:tcPr>
            <w:tcW w:w="1338" w:type="pct"/>
            <w:vMerge w:val="restart"/>
            <w:tcBorders>
              <w:top w:val="single" w:sz="4" w:space="0" w:color="auto"/>
            </w:tcBorders>
          </w:tcPr>
          <w:p w14:paraId="19EBC642" w14:textId="77777777" w:rsidR="00443A0E" w:rsidRPr="00097A86" w:rsidRDefault="00443A0E" w:rsidP="00D22D3F">
            <w:pPr>
              <w:pStyle w:val="Tabletext"/>
            </w:pPr>
            <w:r w:rsidRPr="00097A86">
              <w:t xml:space="preserve">Industrial materials and tyres that </w:t>
            </w:r>
            <w:r w:rsidRPr="00097A86">
              <w:rPr>
                <w:snapToGrid w:val="0"/>
              </w:rPr>
              <w:t>are derived from fossil fuels, if recycled and combusted to produce heat or electricity</w:t>
            </w:r>
          </w:p>
        </w:tc>
        <w:tc>
          <w:tcPr>
            <w:tcW w:w="942" w:type="pct"/>
            <w:tcBorders>
              <w:top w:val="single" w:sz="4" w:space="0" w:color="auto"/>
            </w:tcBorders>
          </w:tcPr>
          <w:p w14:paraId="05219138"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73CCD081"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1367E9CA" w14:textId="77777777" w:rsidR="00443A0E" w:rsidRPr="00097A86" w:rsidRDefault="00443A0E" w:rsidP="00D22D3F">
            <w:pPr>
              <w:pStyle w:val="Tabletext"/>
            </w:pPr>
            <w:r w:rsidRPr="00097A86">
              <w:t>Monthly sample composite</w:t>
            </w:r>
          </w:p>
        </w:tc>
      </w:tr>
      <w:tr w:rsidR="00443A0E" w:rsidRPr="00097A86" w14:paraId="31AB4545" w14:textId="77777777" w:rsidTr="00C20CC2">
        <w:trPr>
          <w:cantSplit/>
        </w:trPr>
        <w:tc>
          <w:tcPr>
            <w:tcW w:w="401" w:type="pct"/>
            <w:vMerge/>
          </w:tcPr>
          <w:p w14:paraId="268DC314" w14:textId="77777777" w:rsidR="00443A0E" w:rsidRPr="00097A86" w:rsidRDefault="00443A0E" w:rsidP="007C01C9"/>
        </w:tc>
        <w:tc>
          <w:tcPr>
            <w:tcW w:w="1338" w:type="pct"/>
            <w:vMerge/>
          </w:tcPr>
          <w:p w14:paraId="27818D7D" w14:textId="77777777" w:rsidR="00443A0E" w:rsidRPr="00097A86" w:rsidRDefault="00443A0E" w:rsidP="007C01C9"/>
        </w:tc>
        <w:tc>
          <w:tcPr>
            <w:tcW w:w="942" w:type="pct"/>
          </w:tcPr>
          <w:p w14:paraId="301DC93B" w14:textId="77777777" w:rsidR="00443A0E" w:rsidRPr="00097A86" w:rsidRDefault="00443A0E" w:rsidP="00D22D3F">
            <w:pPr>
              <w:pStyle w:val="Tabletext"/>
            </w:pPr>
            <w:r w:rsidRPr="00097A86">
              <w:t>Carbon</w:t>
            </w:r>
          </w:p>
        </w:tc>
        <w:tc>
          <w:tcPr>
            <w:tcW w:w="1237" w:type="pct"/>
          </w:tcPr>
          <w:p w14:paraId="01BDA797" w14:textId="77777777" w:rsidR="00443A0E" w:rsidRPr="00097A86" w:rsidRDefault="00443A0E" w:rsidP="00D22D3F">
            <w:pPr>
              <w:pStyle w:val="Tabletext"/>
            </w:pPr>
            <w:r w:rsidRPr="00097A86">
              <w:t>CEN/TS 15407:2006</w:t>
            </w:r>
          </w:p>
        </w:tc>
        <w:tc>
          <w:tcPr>
            <w:tcW w:w="1082" w:type="pct"/>
          </w:tcPr>
          <w:p w14:paraId="63D30673" w14:textId="77777777" w:rsidR="00443A0E" w:rsidRPr="00097A86" w:rsidRDefault="00443A0E" w:rsidP="00D22D3F">
            <w:pPr>
              <w:pStyle w:val="Tabletext"/>
            </w:pPr>
            <w:r w:rsidRPr="00097A86">
              <w:t>Monthly sample composite</w:t>
            </w:r>
          </w:p>
        </w:tc>
      </w:tr>
      <w:tr w:rsidR="00443A0E" w:rsidRPr="00097A86" w14:paraId="1BFDC25A" w14:textId="77777777" w:rsidTr="00C20CC2">
        <w:trPr>
          <w:cantSplit/>
        </w:trPr>
        <w:tc>
          <w:tcPr>
            <w:tcW w:w="401" w:type="pct"/>
            <w:vMerge/>
          </w:tcPr>
          <w:p w14:paraId="128D2A3B" w14:textId="77777777" w:rsidR="00443A0E" w:rsidRPr="00097A86" w:rsidRDefault="00443A0E" w:rsidP="007C01C9"/>
        </w:tc>
        <w:tc>
          <w:tcPr>
            <w:tcW w:w="1338" w:type="pct"/>
            <w:vMerge/>
          </w:tcPr>
          <w:p w14:paraId="4C99DBD2" w14:textId="77777777" w:rsidR="00443A0E" w:rsidRPr="00097A86" w:rsidRDefault="00443A0E" w:rsidP="007C01C9"/>
        </w:tc>
        <w:tc>
          <w:tcPr>
            <w:tcW w:w="942" w:type="pct"/>
          </w:tcPr>
          <w:p w14:paraId="4592DE95" w14:textId="77777777" w:rsidR="00443A0E" w:rsidRPr="00097A86" w:rsidRDefault="00443A0E" w:rsidP="00D22D3F">
            <w:pPr>
              <w:pStyle w:val="Tabletext"/>
            </w:pPr>
            <w:r w:rsidRPr="00097A86">
              <w:t>Moisture</w:t>
            </w:r>
          </w:p>
        </w:tc>
        <w:tc>
          <w:tcPr>
            <w:tcW w:w="1237" w:type="pct"/>
          </w:tcPr>
          <w:p w14:paraId="2E71C50F" w14:textId="77777777" w:rsidR="00443A0E" w:rsidRPr="00097A86" w:rsidRDefault="00443A0E" w:rsidP="00D22D3F">
            <w:pPr>
              <w:pStyle w:val="Tabletext"/>
            </w:pPr>
            <w:r w:rsidRPr="00097A86">
              <w:t>CEN/TS 15414</w:t>
            </w:r>
            <w:r w:rsidR="00097A86">
              <w:noBreakHyphen/>
            </w:r>
            <w:r w:rsidRPr="00097A86">
              <w:t>3:2006</w:t>
            </w:r>
          </w:p>
        </w:tc>
        <w:tc>
          <w:tcPr>
            <w:tcW w:w="1082" w:type="pct"/>
          </w:tcPr>
          <w:p w14:paraId="5DA19C80" w14:textId="77777777" w:rsidR="00443A0E" w:rsidRPr="00097A86" w:rsidRDefault="00443A0E" w:rsidP="00D22D3F">
            <w:pPr>
              <w:pStyle w:val="Tabletext"/>
            </w:pPr>
            <w:r w:rsidRPr="00097A86">
              <w:t>Each delivery</w:t>
            </w:r>
          </w:p>
        </w:tc>
      </w:tr>
      <w:tr w:rsidR="00443A0E" w:rsidRPr="00097A86" w14:paraId="65C21B84" w14:textId="77777777" w:rsidTr="00C20CC2">
        <w:trPr>
          <w:cantSplit/>
        </w:trPr>
        <w:tc>
          <w:tcPr>
            <w:tcW w:w="401" w:type="pct"/>
            <w:vMerge/>
            <w:tcBorders>
              <w:bottom w:val="single" w:sz="4" w:space="0" w:color="auto"/>
            </w:tcBorders>
          </w:tcPr>
          <w:p w14:paraId="7115C717" w14:textId="77777777" w:rsidR="00443A0E" w:rsidRPr="00097A86" w:rsidRDefault="00443A0E" w:rsidP="007C01C9"/>
        </w:tc>
        <w:tc>
          <w:tcPr>
            <w:tcW w:w="1338" w:type="pct"/>
            <w:vMerge/>
            <w:tcBorders>
              <w:bottom w:val="single" w:sz="4" w:space="0" w:color="auto"/>
            </w:tcBorders>
          </w:tcPr>
          <w:p w14:paraId="6B83B9BC" w14:textId="77777777" w:rsidR="00443A0E" w:rsidRPr="00097A86" w:rsidRDefault="00443A0E" w:rsidP="007C01C9"/>
        </w:tc>
        <w:tc>
          <w:tcPr>
            <w:tcW w:w="942" w:type="pct"/>
            <w:tcBorders>
              <w:bottom w:val="single" w:sz="4" w:space="0" w:color="auto"/>
            </w:tcBorders>
          </w:tcPr>
          <w:p w14:paraId="37794F38" w14:textId="77777777" w:rsidR="00443A0E" w:rsidRPr="00097A86" w:rsidRDefault="00443A0E" w:rsidP="00D22D3F">
            <w:pPr>
              <w:pStyle w:val="Tabletext"/>
            </w:pPr>
            <w:r w:rsidRPr="00097A86">
              <w:t>Ash</w:t>
            </w:r>
          </w:p>
        </w:tc>
        <w:tc>
          <w:tcPr>
            <w:tcW w:w="1237" w:type="pct"/>
            <w:tcBorders>
              <w:bottom w:val="single" w:sz="4" w:space="0" w:color="auto"/>
            </w:tcBorders>
          </w:tcPr>
          <w:p w14:paraId="43E0DCCD"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24838CED" w14:textId="77777777" w:rsidR="00443A0E" w:rsidRPr="00097A86" w:rsidRDefault="00443A0E" w:rsidP="00D22D3F">
            <w:pPr>
              <w:pStyle w:val="Tabletext"/>
            </w:pPr>
            <w:r w:rsidRPr="00097A86">
              <w:t>Each delivery</w:t>
            </w:r>
          </w:p>
        </w:tc>
      </w:tr>
      <w:tr w:rsidR="00443A0E" w:rsidRPr="00097A86" w14:paraId="11A4F1FA" w14:textId="77777777" w:rsidTr="00C20CC2">
        <w:trPr>
          <w:cantSplit/>
        </w:trPr>
        <w:tc>
          <w:tcPr>
            <w:tcW w:w="401" w:type="pct"/>
            <w:vMerge w:val="restart"/>
            <w:tcBorders>
              <w:top w:val="single" w:sz="4" w:space="0" w:color="auto"/>
            </w:tcBorders>
          </w:tcPr>
          <w:p w14:paraId="62A6725D" w14:textId="77777777" w:rsidR="00443A0E" w:rsidRPr="00097A86" w:rsidRDefault="00443A0E" w:rsidP="00D22D3F">
            <w:pPr>
              <w:pStyle w:val="Tabletext"/>
            </w:pPr>
            <w:r w:rsidRPr="00097A86">
              <w:t>9</w:t>
            </w:r>
          </w:p>
        </w:tc>
        <w:tc>
          <w:tcPr>
            <w:tcW w:w="1338" w:type="pct"/>
            <w:vMerge w:val="restart"/>
            <w:tcBorders>
              <w:top w:val="single" w:sz="4" w:space="0" w:color="auto"/>
            </w:tcBorders>
          </w:tcPr>
          <w:p w14:paraId="267E4AB4" w14:textId="77777777" w:rsidR="00443A0E" w:rsidRPr="00097A86" w:rsidRDefault="00443A0E" w:rsidP="00D22D3F">
            <w:pPr>
              <w:pStyle w:val="Tabletext"/>
            </w:pPr>
            <w:r w:rsidRPr="00097A86">
              <w:rPr>
                <w:snapToGrid w:val="0"/>
              </w:rPr>
              <w:t>Non</w:t>
            </w:r>
            <w:r w:rsidR="00097A86">
              <w:rPr>
                <w:snapToGrid w:val="0"/>
              </w:rPr>
              <w:noBreakHyphen/>
            </w:r>
            <w:r w:rsidRPr="00097A86">
              <w:rPr>
                <w:snapToGrid w:val="0"/>
              </w:rPr>
              <w:t>biomass municipal materials, if recycled and combusted to produce heat or electricity</w:t>
            </w:r>
            <w:r w:rsidRPr="00097A86">
              <w:t xml:space="preserve"> </w:t>
            </w:r>
          </w:p>
        </w:tc>
        <w:tc>
          <w:tcPr>
            <w:tcW w:w="942" w:type="pct"/>
            <w:tcBorders>
              <w:top w:val="single" w:sz="4" w:space="0" w:color="auto"/>
            </w:tcBorders>
          </w:tcPr>
          <w:p w14:paraId="5604AAF7"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0C1F9BD4"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33A9BC2E" w14:textId="77777777" w:rsidR="00443A0E" w:rsidRPr="00097A86" w:rsidRDefault="00443A0E" w:rsidP="00D22D3F">
            <w:pPr>
              <w:pStyle w:val="Tabletext"/>
            </w:pPr>
            <w:r w:rsidRPr="00097A86">
              <w:t>Monthly sample composite</w:t>
            </w:r>
          </w:p>
        </w:tc>
      </w:tr>
      <w:tr w:rsidR="00443A0E" w:rsidRPr="00097A86" w14:paraId="257ABD8F" w14:textId="77777777" w:rsidTr="00C20CC2">
        <w:trPr>
          <w:cantSplit/>
        </w:trPr>
        <w:tc>
          <w:tcPr>
            <w:tcW w:w="401" w:type="pct"/>
            <w:vMerge/>
          </w:tcPr>
          <w:p w14:paraId="7FE3BF4F" w14:textId="77777777" w:rsidR="00443A0E" w:rsidRPr="00097A86" w:rsidRDefault="00443A0E" w:rsidP="007C01C9"/>
        </w:tc>
        <w:tc>
          <w:tcPr>
            <w:tcW w:w="1338" w:type="pct"/>
            <w:vMerge/>
          </w:tcPr>
          <w:p w14:paraId="5F2F4271" w14:textId="77777777" w:rsidR="00443A0E" w:rsidRPr="00097A86" w:rsidRDefault="00443A0E" w:rsidP="007C01C9"/>
        </w:tc>
        <w:tc>
          <w:tcPr>
            <w:tcW w:w="942" w:type="pct"/>
          </w:tcPr>
          <w:p w14:paraId="3314D5EC" w14:textId="77777777" w:rsidR="00443A0E" w:rsidRPr="00097A86" w:rsidRDefault="00443A0E" w:rsidP="00D22D3F">
            <w:pPr>
              <w:pStyle w:val="Tabletext"/>
            </w:pPr>
            <w:r w:rsidRPr="00097A86">
              <w:t>Carbon</w:t>
            </w:r>
          </w:p>
        </w:tc>
        <w:tc>
          <w:tcPr>
            <w:tcW w:w="1237" w:type="pct"/>
          </w:tcPr>
          <w:p w14:paraId="415F95A7" w14:textId="77777777" w:rsidR="00443A0E" w:rsidRPr="00097A86" w:rsidRDefault="00443A0E" w:rsidP="00D22D3F">
            <w:pPr>
              <w:pStyle w:val="Tabletext"/>
            </w:pPr>
            <w:r w:rsidRPr="00097A86">
              <w:t>CEN/TS 15407:2006</w:t>
            </w:r>
          </w:p>
        </w:tc>
        <w:tc>
          <w:tcPr>
            <w:tcW w:w="1082" w:type="pct"/>
          </w:tcPr>
          <w:p w14:paraId="0AFCF61F" w14:textId="77777777" w:rsidR="00443A0E" w:rsidRPr="00097A86" w:rsidRDefault="00443A0E" w:rsidP="00D22D3F">
            <w:pPr>
              <w:pStyle w:val="Tabletext"/>
            </w:pPr>
            <w:r w:rsidRPr="00097A86">
              <w:t>Monthly sample composite</w:t>
            </w:r>
          </w:p>
        </w:tc>
      </w:tr>
      <w:tr w:rsidR="00443A0E" w:rsidRPr="00097A86" w14:paraId="55D9BEC2" w14:textId="77777777" w:rsidTr="00C20CC2">
        <w:trPr>
          <w:cantSplit/>
        </w:trPr>
        <w:tc>
          <w:tcPr>
            <w:tcW w:w="401" w:type="pct"/>
            <w:vMerge/>
          </w:tcPr>
          <w:p w14:paraId="70C6D690" w14:textId="77777777" w:rsidR="00443A0E" w:rsidRPr="00097A86" w:rsidRDefault="00443A0E" w:rsidP="007C01C9"/>
        </w:tc>
        <w:tc>
          <w:tcPr>
            <w:tcW w:w="1338" w:type="pct"/>
            <w:vMerge/>
          </w:tcPr>
          <w:p w14:paraId="17223452" w14:textId="77777777" w:rsidR="00443A0E" w:rsidRPr="00097A86" w:rsidRDefault="00443A0E" w:rsidP="007C01C9"/>
        </w:tc>
        <w:tc>
          <w:tcPr>
            <w:tcW w:w="942" w:type="pct"/>
          </w:tcPr>
          <w:p w14:paraId="163DF7BF" w14:textId="77777777" w:rsidR="00443A0E" w:rsidRPr="00097A86" w:rsidRDefault="00443A0E" w:rsidP="00D22D3F">
            <w:pPr>
              <w:pStyle w:val="Tabletext"/>
            </w:pPr>
            <w:r w:rsidRPr="00097A86">
              <w:t>Moisture</w:t>
            </w:r>
          </w:p>
        </w:tc>
        <w:tc>
          <w:tcPr>
            <w:tcW w:w="1237" w:type="pct"/>
          </w:tcPr>
          <w:p w14:paraId="62561893" w14:textId="77777777" w:rsidR="00443A0E" w:rsidRPr="00097A86" w:rsidRDefault="00443A0E" w:rsidP="00D22D3F">
            <w:pPr>
              <w:pStyle w:val="Tabletext"/>
            </w:pPr>
            <w:r w:rsidRPr="00097A86">
              <w:t>CEN/TS 15414</w:t>
            </w:r>
            <w:r w:rsidR="00097A86">
              <w:noBreakHyphen/>
            </w:r>
            <w:r w:rsidRPr="00097A86">
              <w:t>3:2006</w:t>
            </w:r>
          </w:p>
        </w:tc>
        <w:tc>
          <w:tcPr>
            <w:tcW w:w="1082" w:type="pct"/>
          </w:tcPr>
          <w:p w14:paraId="1BF9B677" w14:textId="77777777" w:rsidR="00443A0E" w:rsidRPr="00097A86" w:rsidRDefault="00443A0E" w:rsidP="00D22D3F">
            <w:pPr>
              <w:pStyle w:val="Tabletext"/>
            </w:pPr>
            <w:r w:rsidRPr="00097A86">
              <w:t>Each delivery</w:t>
            </w:r>
          </w:p>
        </w:tc>
      </w:tr>
      <w:tr w:rsidR="00443A0E" w:rsidRPr="00097A86" w14:paraId="12955181" w14:textId="77777777" w:rsidTr="00C20CC2">
        <w:trPr>
          <w:cantSplit/>
        </w:trPr>
        <w:tc>
          <w:tcPr>
            <w:tcW w:w="401" w:type="pct"/>
            <w:vMerge/>
            <w:tcBorders>
              <w:bottom w:val="single" w:sz="4" w:space="0" w:color="auto"/>
            </w:tcBorders>
          </w:tcPr>
          <w:p w14:paraId="1D77F5EA" w14:textId="77777777" w:rsidR="00443A0E" w:rsidRPr="00097A86" w:rsidRDefault="00443A0E" w:rsidP="007C01C9"/>
        </w:tc>
        <w:tc>
          <w:tcPr>
            <w:tcW w:w="1338" w:type="pct"/>
            <w:vMerge/>
            <w:tcBorders>
              <w:bottom w:val="single" w:sz="4" w:space="0" w:color="auto"/>
            </w:tcBorders>
          </w:tcPr>
          <w:p w14:paraId="1E21D8E4" w14:textId="77777777" w:rsidR="00443A0E" w:rsidRPr="00097A86" w:rsidRDefault="00443A0E" w:rsidP="007C01C9"/>
        </w:tc>
        <w:tc>
          <w:tcPr>
            <w:tcW w:w="942" w:type="pct"/>
            <w:tcBorders>
              <w:bottom w:val="single" w:sz="4" w:space="0" w:color="auto"/>
            </w:tcBorders>
          </w:tcPr>
          <w:p w14:paraId="138A763A" w14:textId="77777777" w:rsidR="00443A0E" w:rsidRPr="00097A86" w:rsidRDefault="00443A0E" w:rsidP="00D22D3F">
            <w:pPr>
              <w:pStyle w:val="Tabletext"/>
            </w:pPr>
            <w:r w:rsidRPr="00097A86">
              <w:t>Ash</w:t>
            </w:r>
          </w:p>
        </w:tc>
        <w:tc>
          <w:tcPr>
            <w:tcW w:w="1237" w:type="pct"/>
            <w:tcBorders>
              <w:bottom w:val="single" w:sz="4" w:space="0" w:color="auto"/>
            </w:tcBorders>
          </w:tcPr>
          <w:p w14:paraId="41E648EA"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3A881B8A" w14:textId="77777777" w:rsidR="00443A0E" w:rsidRPr="00097A86" w:rsidRDefault="00443A0E" w:rsidP="00D22D3F">
            <w:pPr>
              <w:pStyle w:val="Tabletext"/>
            </w:pPr>
            <w:r w:rsidRPr="00097A86">
              <w:t>Each delivery</w:t>
            </w:r>
          </w:p>
        </w:tc>
      </w:tr>
      <w:tr w:rsidR="00443A0E" w:rsidRPr="00097A86" w14:paraId="43CB752D" w14:textId="77777777" w:rsidTr="00C20CC2">
        <w:trPr>
          <w:cantSplit/>
        </w:trPr>
        <w:tc>
          <w:tcPr>
            <w:tcW w:w="401" w:type="pct"/>
            <w:vMerge w:val="restart"/>
            <w:tcBorders>
              <w:top w:val="single" w:sz="4" w:space="0" w:color="auto"/>
            </w:tcBorders>
          </w:tcPr>
          <w:p w14:paraId="05648993" w14:textId="77777777" w:rsidR="00443A0E" w:rsidRPr="00097A86" w:rsidRDefault="00443A0E" w:rsidP="00D22D3F">
            <w:pPr>
              <w:pStyle w:val="Tabletext"/>
            </w:pPr>
            <w:r w:rsidRPr="00097A86">
              <w:t>10</w:t>
            </w:r>
          </w:p>
        </w:tc>
        <w:tc>
          <w:tcPr>
            <w:tcW w:w="1338" w:type="pct"/>
            <w:vMerge w:val="restart"/>
            <w:tcBorders>
              <w:top w:val="single" w:sz="4" w:space="0" w:color="auto"/>
            </w:tcBorders>
          </w:tcPr>
          <w:p w14:paraId="7CFE795B" w14:textId="77777777" w:rsidR="00443A0E" w:rsidRPr="00097A86" w:rsidRDefault="00443A0E" w:rsidP="00D22D3F">
            <w:pPr>
              <w:pStyle w:val="Tabletext"/>
            </w:pPr>
            <w:r w:rsidRPr="00097A86">
              <w:t>Dry wood</w:t>
            </w:r>
          </w:p>
        </w:tc>
        <w:tc>
          <w:tcPr>
            <w:tcW w:w="942" w:type="pct"/>
            <w:tcBorders>
              <w:top w:val="single" w:sz="4" w:space="0" w:color="auto"/>
            </w:tcBorders>
          </w:tcPr>
          <w:p w14:paraId="498297A9"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3201151F"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6E942139" w14:textId="77777777" w:rsidR="00443A0E" w:rsidRPr="00097A86" w:rsidRDefault="00443A0E" w:rsidP="00D22D3F">
            <w:pPr>
              <w:pStyle w:val="Tabletext"/>
            </w:pPr>
            <w:r w:rsidRPr="00097A86">
              <w:t>Monthly sample composite</w:t>
            </w:r>
          </w:p>
        </w:tc>
      </w:tr>
      <w:tr w:rsidR="00443A0E" w:rsidRPr="00097A86" w14:paraId="07503A4C" w14:textId="77777777" w:rsidTr="00C20CC2">
        <w:trPr>
          <w:cantSplit/>
        </w:trPr>
        <w:tc>
          <w:tcPr>
            <w:tcW w:w="401" w:type="pct"/>
            <w:vMerge/>
          </w:tcPr>
          <w:p w14:paraId="6F5B27B8" w14:textId="77777777" w:rsidR="00443A0E" w:rsidRPr="00097A86" w:rsidRDefault="00443A0E" w:rsidP="007C01C9"/>
        </w:tc>
        <w:tc>
          <w:tcPr>
            <w:tcW w:w="1338" w:type="pct"/>
            <w:vMerge/>
          </w:tcPr>
          <w:p w14:paraId="170FBF06" w14:textId="77777777" w:rsidR="00443A0E" w:rsidRPr="00097A86" w:rsidRDefault="00443A0E" w:rsidP="007C01C9"/>
        </w:tc>
        <w:tc>
          <w:tcPr>
            <w:tcW w:w="942" w:type="pct"/>
          </w:tcPr>
          <w:p w14:paraId="52200259" w14:textId="77777777" w:rsidR="00443A0E" w:rsidRPr="00097A86" w:rsidRDefault="00443A0E" w:rsidP="00D22D3F">
            <w:pPr>
              <w:pStyle w:val="Tabletext"/>
            </w:pPr>
            <w:r w:rsidRPr="00097A86">
              <w:t>Carbon</w:t>
            </w:r>
          </w:p>
        </w:tc>
        <w:tc>
          <w:tcPr>
            <w:tcW w:w="1237" w:type="pct"/>
          </w:tcPr>
          <w:p w14:paraId="310700E0" w14:textId="77777777" w:rsidR="00443A0E" w:rsidRPr="00097A86" w:rsidRDefault="00443A0E" w:rsidP="00D22D3F">
            <w:pPr>
              <w:pStyle w:val="Tabletext"/>
            </w:pPr>
            <w:r w:rsidRPr="00097A86">
              <w:t>CEN/TS 15407:2006</w:t>
            </w:r>
          </w:p>
        </w:tc>
        <w:tc>
          <w:tcPr>
            <w:tcW w:w="1082" w:type="pct"/>
          </w:tcPr>
          <w:p w14:paraId="74B96478" w14:textId="77777777" w:rsidR="00443A0E" w:rsidRPr="00097A86" w:rsidRDefault="00443A0E" w:rsidP="00D22D3F">
            <w:pPr>
              <w:pStyle w:val="Tabletext"/>
            </w:pPr>
            <w:r w:rsidRPr="00097A86">
              <w:t>Monthly sample composite</w:t>
            </w:r>
          </w:p>
        </w:tc>
      </w:tr>
      <w:tr w:rsidR="00443A0E" w:rsidRPr="00097A86" w14:paraId="2796B028" w14:textId="77777777" w:rsidTr="00C20CC2">
        <w:trPr>
          <w:cantSplit/>
        </w:trPr>
        <w:tc>
          <w:tcPr>
            <w:tcW w:w="401" w:type="pct"/>
            <w:vMerge/>
          </w:tcPr>
          <w:p w14:paraId="2BD91BE6" w14:textId="77777777" w:rsidR="00443A0E" w:rsidRPr="00097A86" w:rsidRDefault="00443A0E" w:rsidP="007C01C9"/>
        </w:tc>
        <w:tc>
          <w:tcPr>
            <w:tcW w:w="1338" w:type="pct"/>
            <w:vMerge/>
          </w:tcPr>
          <w:p w14:paraId="4310196D" w14:textId="77777777" w:rsidR="00443A0E" w:rsidRPr="00097A86" w:rsidRDefault="00443A0E" w:rsidP="007C01C9"/>
        </w:tc>
        <w:tc>
          <w:tcPr>
            <w:tcW w:w="942" w:type="pct"/>
          </w:tcPr>
          <w:p w14:paraId="5BAC4064" w14:textId="77777777" w:rsidR="00443A0E" w:rsidRPr="00097A86" w:rsidRDefault="00443A0E" w:rsidP="00D22D3F">
            <w:pPr>
              <w:pStyle w:val="Tabletext"/>
            </w:pPr>
            <w:r w:rsidRPr="00097A86">
              <w:t>Moisture</w:t>
            </w:r>
          </w:p>
        </w:tc>
        <w:tc>
          <w:tcPr>
            <w:tcW w:w="1237" w:type="pct"/>
          </w:tcPr>
          <w:p w14:paraId="7A2F1557" w14:textId="77777777" w:rsidR="00443A0E" w:rsidRPr="00097A86" w:rsidRDefault="00443A0E" w:rsidP="00D22D3F">
            <w:pPr>
              <w:pStyle w:val="Tabletext"/>
            </w:pPr>
            <w:r w:rsidRPr="00097A86">
              <w:t>CEN/TS 15414</w:t>
            </w:r>
            <w:r w:rsidR="00097A86">
              <w:noBreakHyphen/>
            </w:r>
            <w:r w:rsidRPr="00097A86">
              <w:t>3:2006</w:t>
            </w:r>
          </w:p>
          <w:p w14:paraId="7B52A2B6" w14:textId="77777777" w:rsidR="00443A0E" w:rsidRPr="00097A86" w:rsidRDefault="00443A0E" w:rsidP="00D22D3F">
            <w:pPr>
              <w:pStyle w:val="Tabletext"/>
            </w:pPr>
            <w:r w:rsidRPr="00097A86">
              <w:t>CEN/TS 14774</w:t>
            </w:r>
            <w:r w:rsidR="00097A86">
              <w:noBreakHyphen/>
            </w:r>
            <w:r w:rsidRPr="00097A86">
              <w:t>3:2004</w:t>
            </w:r>
          </w:p>
        </w:tc>
        <w:tc>
          <w:tcPr>
            <w:tcW w:w="1082" w:type="pct"/>
          </w:tcPr>
          <w:p w14:paraId="2C3926EA" w14:textId="77777777" w:rsidR="00443A0E" w:rsidRPr="00097A86" w:rsidRDefault="00443A0E" w:rsidP="00D22D3F">
            <w:pPr>
              <w:pStyle w:val="Tabletext"/>
            </w:pPr>
            <w:r w:rsidRPr="00097A86">
              <w:t>Each delivery</w:t>
            </w:r>
          </w:p>
        </w:tc>
      </w:tr>
      <w:tr w:rsidR="00443A0E" w:rsidRPr="00097A86" w14:paraId="2F1153AC" w14:textId="77777777" w:rsidTr="00C20CC2">
        <w:trPr>
          <w:cantSplit/>
        </w:trPr>
        <w:tc>
          <w:tcPr>
            <w:tcW w:w="401" w:type="pct"/>
            <w:vMerge/>
            <w:tcBorders>
              <w:bottom w:val="single" w:sz="4" w:space="0" w:color="auto"/>
            </w:tcBorders>
          </w:tcPr>
          <w:p w14:paraId="5AF0BD81" w14:textId="77777777" w:rsidR="00443A0E" w:rsidRPr="00097A86" w:rsidRDefault="00443A0E" w:rsidP="007C01C9"/>
        </w:tc>
        <w:tc>
          <w:tcPr>
            <w:tcW w:w="1338" w:type="pct"/>
            <w:vMerge/>
            <w:tcBorders>
              <w:bottom w:val="single" w:sz="4" w:space="0" w:color="auto"/>
            </w:tcBorders>
          </w:tcPr>
          <w:p w14:paraId="60A2E8EF" w14:textId="77777777" w:rsidR="00443A0E" w:rsidRPr="00097A86" w:rsidRDefault="00443A0E" w:rsidP="007C01C9"/>
        </w:tc>
        <w:tc>
          <w:tcPr>
            <w:tcW w:w="942" w:type="pct"/>
            <w:tcBorders>
              <w:bottom w:val="single" w:sz="4" w:space="0" w:color="auto"/>
            </w:tcBorders>
          </w:tcPr>
          <w:p w14:paraId="64CF0851" w14:textId="77777777" w:rsidR="00443A0E" w:rsidRPr="00097A86" w:rsidRDefault="00443A0E" w:rsidP="00D22D3F">
            <w:pPr>
              <w:pStyle w:val="Tabletext"/>
            </w:pPr>
            <w:r w:rsidRPr="00097A86">
              <w:t>Ash</w:t>
            </w:r>
          </w:p>
        </w:tc>
        <w:tc>
          <w:tcPr>
            <w:tcW w:w="1237" w:type="pct"/>
            <w:tcBorders>
              <w:bottom w:val="single" w:sz="4" w:space="0" w:color="auto"/>
            </w:tcBorders>
          </w:tcPr>
          <w:p w14:paraId="757EF00D"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21CC20C1" w14:textId="77777777" w:rsidR="00443A0E" w:rsidRPr="00097A86" w:rsidRDefault="00443A0E" w:rsidP="00D22D3F">
            <w:pPr>
              <w:pStyle w:val="Tabletext"/>
            </w:pPr>
            <w:r w:rsidRPr="00097A86">
              <w:t>Each delivery</w:t>
            </w:r>
          </w:p>
        </w:tc>
      </w:tr>
      <w:tr w:rsidR="00443A0E" w:rsidRPr="00097A86" w14:paraId="7F591762" w14:textId="77777777" w:rsidTr="00C20CC2">
        <w:tc>
          <w:tcPr>
            <w:tcW w:w="401" w:type="pct"/>
            <w:vMerge w:val="restart"/>
            <w:tcBorders>
              <w:top w:val="single" w:sz="4" w:space="0" w:color="auto"/>
            </w:tcBorders>
          </w:tcPr>
          <w:p w14:paraId="46C3B2DE" w14:textId="77777777" w:rsidR="00443A0E" w:rsidRPr="00097A86" w:rsidRDefault="00443A0E" w:rsidP="00396D38">
            <w:pPr>
              <w:pStyle w:val="Tabletext"/>
              <w:keepNext/>
              <w:keepLines/>
            </w:pPr>
            <w:r w:rsidRPr="00097A86">
              <w:t>11</w:t>
            </w:r>
          </w:p>
        </w:tc>
        <w:tc>
          <w:tcPr>
            <w:tcW w:w="1338" w:type="pct"/>
            <w:vMerge w:val="restart"/>
            <w:tcBorders>
              <w:top w:val="single" w:sz="4" w:space="0" w:color="auto"/>
            </w:tcBorders>
          </w:tcPr>
          <w:p w14:paraId="5CB1D021" w14:textId="77777777" w:rsidR="00443A0E" w:rsidRPr="00097A86" w:rsidRDefault="00443A0E" w:rsidP="00396D38">
            <w:pPr>
              <w:pStyle w:val="Tabletext"/>
              <w:keepNext/>
              <w:keepLines/>
            </w:pPr>
            <w:r w:rsidRPr="00097A86">
              <w:t xml:space="preserve">Green and air dried wood </w:t>
            </w:r>
          </w:p>
        </w:tc>
        <w:tc>
          <w:tcPr>
            <w:tcW w:w="942" w:type="pct"/>
            <w:tcBorders>
              <w:top w:val="single" w:sz="4" w:space="0" w:color="auto"/>
            </w:tcBorders>
          </w:tcPr>
          <w:p w14:paraId="2C8A67E4" w14:textId="77777777" w:rsidR="00443A0E" w:rsidRPr="00097A86" w:rsidRDefault="00443A0E" w:rsidP="00396D38">
            <w:pPr>
              <w:pStyle w:val="Tabletext"/>
              <w:keepNext/>
              <w:keepLines/>
            </w:pPr>
            <w:r w:rsidRPr="00097A86">
              <w:t>Energy content factor</w:t>
            </w:r>
          </w:p>
        </w:tc>
        <w:tc>
          <w:tcPr>
            <w:tcW w:w="1237" w:type="pct"/>
            <w:tcBorders>
              <w:top w:val="single" w:sz="4" w:space="0" w:color="auto"/>
            </w:tcBorders>
          </w:tcPr>
          <w:p w14:paraId="54C070DD" w14:textId="77777777" w:rsidR="00443A0E" w:rsidRPr="00097A86" w:rsidRDefault="00443A0E" w:rsidP="00396D38">
            <w:pPr>
              <w:pStyle w:val="Tabletext"/>
              <w:keepNext/>
              <w:keepLines/>
            </w:pPr>
            <w:r w:rsidRPr="00097A86">
              <w:t>CEN/TS 15400:2006</w:t>
            </w:r>
          </w:p>
        </w:tc>
        <w:tc>
          <w:tcPr>
            <w:tcW w:w="1082" w:type="pct"/>
            <w:tcBorders>
              <w:top w:val="single" w:sz="4" w:space="0" w:color="auto"/>
            </w:tcBorders>
          </w:tcPr>
          <w:p w14:paraId="75B6C2B9" w14:textId="77777777" w:rsidR="00443A0E" w:rsidRPr="00097A86" w:rsidRDefault="00443A0E" w:rsidP="00396D38">
            <w:pPr>
              <w:pStyle w:val="Tabletext"/>
              <w:keepNext/>
              <w:keepLines/>
            </w:pPr>
            <w:r w:rsidRPr="00097A86">
              <w:t>Monthly sample composite</w:t>
            </w:r>
          </w:p>
        </w:tc>
      </w:tr>
      <w:tr w:rsidR="00443A0E" w:rsidRPr="00097A86" w14:paraId="75949DE0" w14:textId="77777777" w:rsidTr="00C20CC2">
        <w:trPr>
          <w:cantSplit/>
        </w:trPr>
        <w:tc>
          <w:tcPr>
            <w:tcW w:w="401" w:type="pct"/>
            <w:vMerge/>
          </w:tcPr>
          <w:p w14:paraId="17E30543" w14:textId="77777777" w:rsidR="00443A0E" w:rsidRPr="00097A86" w:rsidRDefault="00443A0E" w:rsidP="00F529D9">
            <w:pPr>
              <w:keepNext/>
              <w:keepLines/>
            </w:pPr>
          </w:p>
        </w:tc>
        <w:tc>
          <w:tcPr>
            <w:tcW w:w="1338" w:type="pct"/>
            <w:vMerge/>
          </w:tcPr>
          <w:p w14:paraId="7B4D9C26" w14:textId="77777777" w:rsidR="00443A0E" w:rsidRPr="00097A86" w:rsidRDefault="00443A0E" w:rsidP="00F529D9">
            <w:pPr>
              <w:keepNext/>
              <w:keepLines/>
            </w:pPr>
          </w:p>
        </w:tc>
        <w:tc>
          <w:tcPr>
            <w:tcW w:w="942" w:type="pct"/>
          </w:tcPr>
          <w:p w14:paraId="6B6C6293" w14:textId="77777777" w:rsidR="00443A0E" w:rsidRPr="00097A86" w:rsidRDefault="00443A0E" w:rsidP="00D22D3F">
            <w:pPr>
              <w:pStyle w:val="Tabletext"/>
            </w:pPr>
            <w:r w:rsidRPr="00097A86">
              <w:t>Carbon</w:t>
            </w:r>
          </w:p>
        </w:tc>
        <w:tc>
          <w:tcPr>
            <w:tcW w:w="1237" w:type="pct"/>
          </w:tcPr>
          <w:p w14:paraId="380E9C83" w14:textId="77777777" w:rsidR="00443A0E" w:rsidRPr="00097A86" w:rsidRDefault="00443A0E" w:rsidP="00D22D3F">
            <w:pPr>
              <w:pStyle w:val="Tabletext"/>
            </w:pPr>
            <w:r w:rsidRPr="00097A86">
              <w:t>CEN/TS 15407:2006</w:t>
            </w:r>
          </w:p>
        </w:tc>
        <w:tc>
          <w:tcPr>
            <w:tcW w:w="1082" w:type="pct"/>
          </w:tcPr>
          <w:p w14:paraId="239711DA" w14:textId="77777777" w:rsidR="00443A0E" w:rsidRPr="00097A86" w:rsidRDefault="00443A0E" w:rsidP="00D22D3F">
            <w:pPr>
              <w:pStyle w:val="Tabletext"/>
            </w:pPr>
            <w:r w:rsidRPr="00097A86">
              <w:t>Monthly sample composite</w:t>
            </w:r>
          </w:p>
        </w:tc>
      </w:tr>
      <w:tr w:rsidR="00443A0E" w:rsidRPr="00097A86" w14:paraId="2EC787A1" w14:textId="77777777" w:rsidTr="00C20CC2">
        <w:trPr>
          <w:cantSplit/>
        </w:trPr>
        <w:tc>
          <w:tcPr>
            <w:tcW w:w="401" w:type="pct"/>
            <w:vMerge/>
          </w:tcPr>
          <w:p w14:paraId="617997BA" w14:textId="77777777" w:rsidR="00443A0E" w:rsidRPr="00097A86" w:rsidRDefault="00443A0E" w:rsidP="007C01C9"/>
        </w:tc>
        <w:tc>
          <w:tcPr>
            <w:tcW w:w="1338" w:type="pct"/>
            <w:vMerge/>
          </w:tcPr>
          <w:p w14:paraId="10BEB66E" w14:textId="77777777" w:rsidR="00443A0E" w:rsidRPr="00097A86" w:rsidRDefault="00443A0E" w:rsidP="007C01C9"/>
        </w:tc>
        <w:tc>
          <w:tcPr>
            <w:tcW w:w="942" w:type="pct"/>
          </w:tcPr>
          <w:p w14:paraId="7F695719" w14:textId="77777777" w:rsidR="00443A0E" w:rsidRPr="00097A86" w:rsidRDefault="00443A0E" w:rsidP="00D22D3F">
            <w:pPr>
              <w:pStyle w:val="Tabletext"/>
            </w:pPr>
            <w:r w:rsidRPr="00097A86">
              <w:t>Moisture</w:t>
            </w:r>
          </w:p>
        </w:tc>
        <w:tc>
          <w:tcPr>
            <w:tcW w:w="1237" w:type="pct"/>
          </w:tcPr>
          <w:p w14:paraId="073F62AE" w14:textId="77777777" w:rsidR="00443A0E" w:rsidRPr="00097A86" w:rsidRDefault="00443A0E" w:rsidP="00D22D3F">
            <w:pPr>
              <w:pStyle w:val="Tabletext"/>
            </w:pPr>
            <w:r w:rsidRPr="00097A86">
              <w:t>CEN/TS 15414</w:t>
            </w:r>
            <w:r w:rsidR="00097A86">
              <w:noBreakHyphen/>
            </w:r>
            <w:r w:rsidRPr="00097A86">
              <w:t>3:2006</w:t>
            </w:r>
          </w:p>
          <w:p w14:paraId="25B965C9" w14:textId="77777777" w:rsidR="00443A0E" w:rsidRPr="00097A86" w:rsidRDefault="00443A0E" w:rsidP="00D22D3F">
            <w:pPr>
              <w:pStyle w:val="Tabletext"/>
            </w:pPr>
            <w:r w:rsidRPr="00097A86">
              <w:t>CEN/TS 14774</w:t>
            </w:r>
            <w:r w:rsidR="00097A86">
              <w:noBreakHyphen/>
            </w:r>
            <w:r w:rsidRPr="00097A86">
              <w:t>3:2004</w:t>
            </w:r>
          </w:p>
        </w:tc>
        <w:tc>
          <w:tcPr>
            <w:tcW w:w="1082" w:type="pct"/>
          </w:tcPr>
          <w:p w14:paraId="548288D0" w14:textId="77777777" w:rsidR="00443A0E" w:rsidRPr="00097A86" w:rsidRDefault="00443A0E" w:rsidP="00D22D3F">
            <w:pPr>
              <w:pStyle w:val="Tabletext"/>
            </w:pPr>
            <w:r w:rsidRPr="00097A86">
              <w:t>Each delivery</w:t>
            </w:r>
          </w:p>
        </w:tc>
      </w:tr>
      <w:tr w:rsidR="00443A0E" w:rsidRPr="00097A86" w14:paraId="77121D5C" w14:textId="77777777" w:rsidTr="00C20CC2">
        <w:trPr>
          <w:cantSplit/>
        </w:trPr>
        <w:tc>
          <w:tcPr>
            <w:tcW w:w="401" w:type="pct"/>
            <w:vMerge/>
            <w:tcBorders>
              <w:bottom w:val="single" w:sz="4" w:space="0" w:color="auto"/>
            </w:tcBorders>
          </w:tcPr>
          <w:p w14:paraId="37AAECD4" w14:textId="77777777" w:rsidR="00443A0E" w:rsidRPr="00097A86" w:rsidRDefault="00443A0E" w:rsidP="007C01C9"/>
        </w:tc>
        <w:tc>
          <w:tcPr>
            <w:tcW w:w="1338" w:type="pct"/>
            <w:vMerge/>
            <w:tcBorders>
              <w:bottom w:val="single" w:sz="4" w:space="0" w:color="auto"/>
            </w:tcBorders>
          </w:tcPr>
          <w:p w14:paraId="334C437A" w14:textId="77777777" w:rsidR="00443A0E" w:rsidRPr="00097A86" w:rsidRDefault="00443A0E" w:rsidP="007C01C9"/>
        </w:tc>
        <w:tc>
          <w:tcPr>
            <w:tcW w:w="942" w:type="pct"/>
            <w:tcBorders>
              <w:bottom w:val="single" w:sz="4" w:space="0" w:color="auto"/>
            </w:tcBorders>
          </w:tcPr>
          <w:p w14:paraId="0FC57D95" w14:textId="77777777" w:rsidR="00443A0E" w:rsidRPr="00097A86" w:rsidRDefault="00443A0E" w:rsidP="00D22D3F">
            <w:pPr>
              <w:pStyle w:val="Tabletext"/>
            </w:pPr>
            <w:r w:rsidRPr="00097A86">
              <w:t>Ash</w:t>
            </w:r>
          </w:p>
        </w:tc>
        <w:tc>
          <w:tcPr>
            <w:tcW w:w="1237" w:type="pct"/>
            <w:tcBorders>
              <w:bottom w:val="single" w:sz="4" w:space="0" w:color="auto"/>
            </w:tcBorders>
          </w:tcPr>
          <w:p w14:paraId="266F83F0"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1F255A9E" w14:textId="77777777" w:rsidR="00443A0E" w:rsidRPr="00097A86" w:rsidRDefault="00443A0E" w:rsidP="00D22D3F">
            <w:pPr>
              <w:pStyle w:val="Tabletext"/>
            </w:pPr>
            <w:r w:rsidRPr="00097A86">
              <w:t>Each delivery</w:t>
            </w:r>
          </w:p>
        </w:tc>
      </w:tr>
      <w:tr w:rsidR="00443A0E" w:rsidRPr="00097A86" w14:paraId="03747845" w14:textId="77777777" w:rsidTr="00C20CC2">
        <w:trPr>
          <w:cantSplit/>
        </w:trPr>
        <w:tc>
          <w:tcPr>
            <w:tcW w:w="401" w:type="pct"/>
            <w:vMerge w:val="restart"/>
            <w:tcBorders>
              <w:top w:val="single" w:sz="4" w:space="0" w:color="auto"/>
            </w:tcBorders>
          </w:tcPr>
          <w:p w14:paraId="0CFD5AF2" w14:textId="77777777" w:rsidR="00443A0E" w:rsidRPr="00097A86" w:rsidRDefault="00443A0E" w:rsidP="00D22D3F">
            <w:pPr>
              <w:pStyle w:val="Tabletext"/>
            </w:pPr>
            <w:r w:rsidRPr="00097A86">
              <w:t>12</w:t>
            </w:r>
          </w:p>
        </w:tc>
        <w:tc>
          <w:tcPr>
            <w:tcW w:w="1338" w:type="pct"/>
            <w:vMerge w:val="restart"/>
            <w:tcBorders>
              <w:top w:val="single" w:sz="4" w:space="0" w:color="auto"/>
            </w:tcBorders>
          </w:tcPr>
          <w:p w14:paraId="6E96A797" w14:textId="77777777" w:rsidR="00443A0E" w:rsidRPr="00097A86" w:rsidRDefault="00443A0E" w:rsidP="00D22D3F">
            <w:pPr>
              <w:pStyle w:val="Tabletext"/>
            </w:pPr>
            <w:r w:rsidRPr="00097A86">
              <w:t xml:space="preserve">Sulphite lyes </w:t>
            </w:r>
          </w:p>
        </w:tc>
        <w:tc>
          <w:tcPr>
            <w:tcW w:w="942" w:type="pct"/>
            <w:tcBorders>
              <w:top w:val="single" w:sz="4" w:space="0" w:color="auto"/>
            </w:tcBorders>
          </w:tcPr>
          <w:p w14:paraId="24A8361B"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64307329"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31BEE56E" w14:textId="77777777" w:rsidR="00443A0E" w:rsidRPr="00097A86" w:rsidRDefault="00443A0E" w:rsidP="00D22D3F">
            <w:pPr>
              <w:pStyle w:val="Tabletext"/>
            </w:pPr>
            <w:r w:rsidRPr="00097A86">
              <w:t>Monthly sample composite</w:t>
            </w:r>
          </w:p>
        </w:tc>
      </w:tr>
      <w:tr w:rsidR="00443A0E" w:rsidRPr="00097A86" w14:paraId="4E82244D" w14:textId="77777777" w:rsidTr="00C20CC2">
        <w:trPr>
          <w:cantSplit/>
        </w:trPr>
        <w:tc>
          <w:tcPr>
            <w:tcW w:w="401" w:type="pct"/>
            <w:vMerge/>
          </w:tcPr>
          <w:p w14:paraId="2636913C" w14:textId="77777777" w:rsidR="00443A0E" w:rsidRPr="00097A86" w:rsidRDefault="00443A0E" w:rsidP="007C01C9"/>
        </w:tc>
        <w:tc>
          <w:tcPr>
            <w:tcW w:w="1338" w:type="pct"/>
            <w:vMerge/>
          </w:tcPr>
          <w:p w14:paraId="166E7E0C" w14:textId="77777777" w:rsidR="00443A0E" w:rsidRPr="00097A86" w:rsidRDefault="00443A0E" w:rsidP="007C01C9"/>
        </w:tc>
        <w:tc>
          <w:tcPr>
            <w:tcW w:w="942" w:type="pct"/>
          </w:tcPr>
          <w:p w14:paraId="27E63E45" w14:textId="77777777" w:rsidR="00443A0E" w:rsidRPr="00097A86" w:rsidRDefault="00443A0E" w:rsidP="00D22D3F">
            <w:pPr>
              <w:pStyle w:val="Tabletext"/>
            </w:pPr>
            <w:r w:rsidRPr="00097A86">
              <w:t>Carbon</w:t>
            </w:r>
          </w:p>
        </w:tc>
        <w:tc>
          <w:tcPr>
            <w:tcW w:w="1237" w:type="pct"/>
          </w:tcPr>
          <w:p w14:paraId="46EFA17A" w14:textId="77777777" w:rsidR="00443A0E" w:rsidRPr="00097A86" w:rsidRDefault="00443A0E" w:rsidP="00D22D3F">
            <w:pPr>
              <w:pStyle w:val="Tabletext"/>
            </w:pPr>
            <w:r w:rsidRPr="00097A86">
              <w:t>CEN/TS 15407:2006</w:t>
            </w:r>
          </w:p>
        </w:tc>
        <w:tc>
          <w:tcPr>
            <w:tcW w:w="1082" w:type="pct"/>
          </w:tcPr>
          <w:p w14:paraId="721298F0" w14:textId="77777777" w:rsidR="00443A0E" w:rsidRPr="00097A86" w:rsidRDefault="00443A0E" w:rsidP="00D22D3F">
            <w:pPr>
              <w:pStyle w:val="Tabletext"/>
            </w:pPr>
            <w:r w:rsidRPr="00097A86">
              <w:t>Monthly sample composite</w:t>
            </w:r>
          </w:p>
        </w:tc>
      </w:tr>
      <w:tr w:rsidR="00443A0E" w:rsidRPr="00097A86" w14:paraId="508462E2" w14:textId="77777777" w:rsidTr="00C20CC2">
        <w:trPr>
          <w:cantSplit/>
        </w:trPr>
        <w:tc>
          <w:tcPr>
            <w:tcW w:w="401" w:type="pct"/>
            <w:vMerge/>
          </w:tcPr>
          <w:p w14:paraId="71B77436" w14:textId="77777777" w:rsidR="00443A0E" w:rsidRPr="00097A86" w:rsidRDefault="00443A0E" w:rsidP="007C01C9"/>
        </w:tc>
        <w:tc>
          <w:tcPr>
            <w:tcW w:w="1338" w:type="pct"/>
            <w:vMerge/>
          </w:tcPr>
          <w:p w14:paraId="25F23E72" w14:textId="77777777" w:rsidR="00443A0E" w:rsidRPr="00097A86" w:rsidRDefault="00443A0E" w:rsidP="007C01C9"/>
        </w:tc>
        <w:tc>
          <w:tcPr>
            <w:tcW w:w="942" w:type="pct"/>
          </w:tcPr>
          <w:p w14:paraId="59525495" w14:textId="77777777" w:rsidR="00443A0E" w:rsidRPr="00097A86" w:rsidRDefault="00443A0E" w:rsidP="00D22D3F">
            <w:pPr>
              <w:pStyle w:val="Tabletext"/>
            </w:pPr>
            <w:r w:rsidRPr="00097A86">
              <w:t>Moisture</w:t>
            </w:r>
          </w:p>
        </w:tc>
        <w:tc>
          <w:tcPr>
            <w:tcW w:w="1237" w:type="pct"/>
          </w:tcPr>
          <w:p w14:paraId="4683C8AC" w14:textId="77777777" w:rsidR="00443A0E" w:rsidRPr="00097A86" w:rsidRDefault="00443A0E" w:rsidP="00D22D3F">
            <w:pPr>
              <w:pStyle w:val="Tabletext"/>
            </w:pPr>
            <w:r w:rsidRPr="00097A86">
              <w:t>CEN/TS 15414</w:t>
            </w:r>
            <w:r w:rsidR="00097A86">
              <w:noBreakHyphen/>
            </w:r>
            <w:r w:rsidRPr="00097A86">
              <w:t>3:2006</w:t>
            </w:r>
          </w:p>
          <w:p w14:paraId="48B64194" w14:textId="77777777" w:rsidR="00443A0E" w:rsidRPr="00097A86" w:rsidRDefault="00443A0E" w:rsidP="00D22D3F">
            <w:pPr>
              <w:pStyle w:val="Tabletext"/>
            </w:pPr>
            <w:r w:rsidRPr="00097A86">
              <w:t>CEN/TS 14774</w:t>
            </w:r>
            <w:r w:rsidR="00097A86">
              <w:noBreakHyphen/>
            </w:r>
            <w:r w:rsidRPr="00097A86">
              <w:t>3:2004</w:t>
            </w:r>
          </w:p>
        </w:tc>
        <w:tc>
          <w:tcPr>
            <w:tcW w:w="1082" w:type="pct"/>
          </w:tcPr>
          <w:p w14:paraId="12FEB577" w14:textId="77777777" w:rsidR="00443A0E" w:rsidRPr="00097A86" w:rsidRDefault="00443A0E" w:rsidP="00D22D3F">
            <w:pPr>
              <w:pStyle w:val="Tabletext"/>
            </w:pPr>
            <w:r w:rsidRPr="00097A86">
              <w:t>Each delivery</w:t>
            </w:r>
          </w:p>
        </w:tc>
      </w:tr>
      <w:tr w:rsidR="00443A0E" w:rsidRPr="00097A86" w14:paraId="439DE525" w14:textId="77777777" w:rsidTr="00C20CC2">
        <w:trPr>
          <w:cantSplit/>
        </w:trPr>
        <w:tc>
          <w:tcPr>
            <w:tcW w:w="401" w:type="pct"/>
            <w:vMerge/>
            <w:tcBorders>
              <w:bottom w:val="single" w:sz="4" w:space="0" w:color="auto"/>
            </w:tcBorders>
          </w:tcPr>
          <w:p w14:paraId="01D24AFA" w14:textId="77777777" w:rsidR="00443A0E" w:rsidRPr="00097A86" w:rsidRDefault="00443A0E" w:rsidP="007C01C9"/>
        </w:tc>
        <w:tc>
          <w:tcPr>
            <w:tcW w:w="1338" w:type="pct"/>
            <w:vMerge/>
            <w:tcBorders>
              <w:bottom w:val="single" w:sz="4" w:space="0" w:color="auto"/>
            </w:tcBorders>
          </w:tcPr>
          <w:p w14:paraId="7B93083F" w14:textId="77777777" w:rsidR="00443A0E" w:rsidRPr="00097A86" w:rsidRDefault="00443A0E" w:rsidP="007C01C9"/>
        </w:tc>
        <w:tc>
          <w:tcPr>
            <w:tcW w:w="942" w:type="pct"/>
            <w:tcBorders>
              <w:bottom w:val="single" w:sz="4" w:space="0" w:color="auto"/>
            </w:tcBorders>
          </w:tcPr>
          <w:p w14:paraId="52B05844" w14:textId="77777777" w:rsidR="00443A0E" w:rsidRPr="00097A86" w:rsidRDefault="00443A0E" w:rsidP="00D22D3F">
            <w:pPr>
              <w:pStyle w:val="Tabletext"/>
            </w:pPr>
            <w:r w:rsidRPr="00097A86">
              <w:t>Ash</w:t>
            </w:r>
          </w:p>
        </w:tc>
        <w:tc>
          <w:tcPr>
            <w:tcW w:w="1237" w:type="pct"/>
            <w:tcBorders>
              <w:bottom w:val="single" w:sz="4" w:space="0" w:color="auto"/>
            </w:tcBorders>
          </w:tcPr>
          <w:p w14:paraId="52371187"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25A8464E" w14:textId="77777777" w:rsidR="00443A0E" w:rsidRPr="00097A86" w:rsidRDefault="00443A0E" w:rsidP="00D22D3F">
            <w:pPr>
              <w:pStyle w:val="Tabletext"/>
            </w:pPr>
            <w:r w:rsidRPr="00097A86">
              <w:t>Each delivery</w:t>
            </w:r>
          </w:p>
        </w:tc>
      </w:tr>
      <w:tr w:rsidR="00443A0E" w:rsidRPr="00097A86" w14:paraId="4CB20D47" w14:textId="77777777" w:rsidTr="00C20CC2">
        <w:trPr>
          <w:cantSplit/>
        </w:trPr>
        <w:tc>
          <w:tcPr>
            <w:tcW w:w="401" w:type="pct"/>
            <w:vMerge w:val="restart"/>
            <w:tcBorders>
              <w:top w:val="single" w:sz="4" w:space="0" w:color="auto"/>
            </w:tcBorders>
          </w:tcPr>
          <w:p w14:paraId="1B6C88DF" w14:textId="77777777" w:rsidR="00443A0E" w:rsidRPr="00097A86" w:rsidRDefault="00443A0E" w:rsidP="00D22D3F">
            <w:pPr>
              <w:pStyle w:val="Tabletext"/>
            </w:pPr>
            <w:r w:rsidRPr="00097A86">
              <w:t>13</w:t>
            </w:r>
          </w:p>
        </w:tc>
        <w:tc>
          <w:tcPr>
            <w:tcW w:w="1338" w:type="pct"/>
            <w:vMerge w:val="restart"/>
            <w:tcBorders>
              <w:top w:val="single" w:sz="4" w:space="0" w:color="auto"/>
            </w:tcBorders>
          </w:tcPr>
          <w:p w14:paraId="2DCB90FB" w14:textId="77777777" w:rsidR="00443A0E" w:rsidRPr="00097A86" w:rsidRDefault="00443A0E" w:rsidP="00D22D3F">
            <w:pPr>
              <w:pStyle w:val="Tabletext"/>
            </w:pPr>
            <w:r w:rsidRPr="00097A86">
              <w:t xml:space="preserve">Bagasse </w:t>
            </w:r>
          </w:p>
        </w:tc>
        <w:tc>
          <w:tcPr>
            <w:tcW w:w="942" w:type="pct"/>
            <w:tcBorders>
              <w:top w:val="single" w:sz="4" w:space="0" w:color="auto"/>
            </w:tcBorders>
          </w:tcPr>
          <w:p w14:paraId="7585A8F9"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23B056B7"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3EFB6081" w14:textId="77777777" w:rsidR="00443A0E" w:rsidRPr="00097A86" w:rsidRDefault="00443A0E" w:rsidP="00D22D3F">
            <w:pPr>
              <w:pStyle w:val="Tabletext"/>
            </w:pPr>
            <w:r w:rsidRPr="00097A86">
              <w:t>Monthly sample composite</w:t>
            </w:r>
          </w:p>
        </w:tc>
      </w:tr>
      <w:tr w:rsidR="00443A0E" w:rsidRPr="00097A86" w14:paraId="462274F7" w14:textId="77777777" w:rsidTr="00C20CC2">
        <w:trPr>
          <w:cantSplit/>
        </w:trPr>
        <w:tc>
          <w:tcPr>
            <w:tcW w:w="401" w:type="pct"/>
            <w:vMerge/>
          </w:tcPr>
          <w:p w14:paraId="65B44385" w14:textId="77777777" w:rsidR="00443A0E" w:rsidRPr="00097A86" w:rsidRDefault="00443A0E" w:rsidP="007C01C9"/>
        </w:tc>
        <w:tc>
          <w:tcPr>
            <w:tcW w:w="1338" w:type="pct"/>
            <w:vMerge/>
          </w:tcPr>
          <w:p w14:paraId="4F8F2047" w14:textId="77777777" w:rsidR="00443A0E" w:rsidRPr="00097A86" w:rsidRDefault="00443A0E" w:rsidP="007C01C9"/>
        </w:tc>
        <w:tc>
          <w:tcPr>
            <w:tcW w:w="942" w:type="pct"/>
          </w:tcPr>
          <w:p w14:paraId="40D63143" w14:textId="77777777" w:rsidR="00443A0E" w:rsidRPr="00097A86" w:rsidRDefault="00443A0E" w:rsidP="00D22D3F">
            <w:pPr>
              <w:pStyle w:val="Tabletext"/>
            </w:pPr>
            <w:r w:rsidRPr="00097A86">
              <w:t>Carbon</w:t>
            </w:r>
          </w:p>
        </w:tc>
        <w:tc>
          <w:tcPr>
            <w:tcW w:w="1237" w:type="pct"/>
          </w:tcPr>
          <w:p w14:paraId="742CBFA3" w14:textId="77777777" w:rsidR="00443A0E" w:rsidRPr="00097A86" w:rsidRDefault="00443A0E" w:rsidP="00D22D3F">
            <w:pPr>
              <w:pStyle w:val="Tabletext"/>
            </w:pPr>
            <w:r w:rsidRPr="00097A86">
              <w:t>CEN/TS 15407:2006</w:t>
            </w:r>
          </w:p>
        </w:tc>
        <w:tc>
          <w:tcPr>
            <w:tcW w:w="1082" w:type="pct"/>
          </w:tcPr>
          <w:p w14:paraId="73C0CA6C" w14:textId="77777777" w:rsidR="00443A0E" w:rsidRPr="00097A86" w:rsidRDefault="00443A0E" w:rsidP="00D22D3F">
            <w:pPr>
              <w:pStyle w:val="Tabletext"/>
            </w:pPr>
            <w:r w:rsidRPr="00097A86">
              <w:t>Monthly sample composite</w:t>
            </w:r>
          </w:p>
        </w:tc>
      </w:tr>
      <w:tr w:rsidR="00443A0E" w:rsidRPr="00097A86" w14:paraId="00C40D2D" w14:textId="77777777" w:rsidTr="00C20CC2">
        <w:trPr>
          <w:cantSplit/>
        </w:trPr>
        <w:tc>
          <w:tcPr>
            <w:tcW w:w="401" w:type="pct"/>
            <w:vMerge/>
          </w:tcPr>
          <w:p w14:paraId="32EDF894" w14:textId="77777777" w:rsidR="00443A0E" w:rsidRPr="00097A86" w:rsidRDefault="00443A0E" w:rsidP="007C01C9"/>
        </w:tc>
        <w:tc>
          <w:tcPr>
            <w:tcW w:w="1338" w:type="pct"/>
            <w:vMerge/>
          </w:tcPr>
          <w:p w14:paraId="6E661F3A" w14:textId="77777777" w:rsidR="00443A0E" w:rsidRPr="00097A86" w:rsidRDefault="00443A0E" w:rsidP="007C01C9"/>
        </w:tc>
        <w:tc>
          <w:tcPr>
            <w:tcW w:w="942" w:type="pct"/>
          </w:tcPr>
          <w:p w14:paraId="5EC8EFA0" w14:textId="77777777" w:rsidR="00443A0E" w:rsidRPr="00097A86" w:rsidRDefault="00443A0E" w:rsidP="00D22D3F">
            <w:pPr>
              <w:pStyle w:val="Tabletext"/>
            </w:pPr>
            <w:r w:rsidRPr="00097A86">
              <w:t>Moisture</w:t>
            </w:r>
          </w:p>
        </w:tc>
        <w:tc>
          <w:tcPr>
            <w:tcW w:w="1237" w:type="pct"/>
          </w:tcPr>
          <w:p w14:paraId="5D9DBB31" w14:textId="77777777" w:rsidR="00443A0E" w:rsidRPr="00097A86" w:rsidRDefault="00443A0E" w:rsidP="00D22D3F">
            <w:pPr>
              <w:pStyle w:val="Tabletext"/>
            </w:pPr>
            <w:r w:rsidRPr="00097A86">
              <w:t>CEN/TS 15414</w:t>
            </w:r>
            <w:r w:rsidR="00097A86">
              <w:noBreakHyphen/>
            </w:r>
            <w:r w:rsidRPr="00097A86">
              <w:t>3:2006</w:t>
            </w:r>
          </w:p>
          <w:p w14:paraId="0723407D" w14:textId="77777777" w:rsidR="00443A0E" w:rsidRPr="00097A86" w:rsidRDefault="00443A0E" w:rsidP="00D22D3F">
            <w:pPr>
              <w:pStyle w:val="Tabletext"/>
            </w:pPr>
            <w:r w:rsidRPr="00097A86">
              <w:t>CEN/TS 14774</w:t>
            </w:r>
            <w:r w:rsidR="00097A86">
              <w:noBreakHyphen/>
            </w:r>
            <w:r w:rsidRPr="00097A86">
              <w:t>3:2004</w:t>
            </w:r>
          </w:p>
        </w:tc>
        <w:tc>
          <w:tcPr>
            <w:tcW w:w="1082" w:type="pct"/>
          </w:tcPr>
          <w:p w14:paraId="6E6DAE49" w14:textId="77777777" w:rsidR="00443A0E" w:rsidRPr="00097A86" w:rsidRDefault="00443A0E" w:rsidP="00D22D3F">
            <w:pPr>
              <w:pStyle w:val="Tabletext"/>
            </w:pPr>
            <w:r w:rsidRPr="00097A86">
              <w:t>Each delivery</w:t>
            </w:r>
          </w:p>
        </w:tc>
      </w:tr>
      <w:tr w:rsidR="00443A0E" w:rsidRPr="00097A86" w14:paraId="429EF0C2" w14:textId="77777777" w:rsidTr="00C20CC2">
        <w:trPr>
          <w:cantSplit/>
        </w:trPr>
        <w:tc>
          <w:tcPr>
            <w:tcW w:w="401" w:type="pct"/>
            <w:vMerge/>
            <w:tcBorders>
              <w:bottom w:val="single" w:sz="4" w:space="0" w:color="auto"/>
            </w:tcBorders>
          </w:tcPr>
          <w:p w14:paraId="7C3A2520" w14:textId="77777777" w:rsidR="00443A0E" w:rsidRPr="00097A86" w:rsidRDefault="00443A0E" w:rsidP="007C01C9"/>
        </w:tc>
        <w:tc>
          <w:tcPr>
            <w:tcW w:w="1338" w:type="pct"/>
            <w:vMerge/>
            <w:tcBorders>
              <w:bottom w:val="single" w:sz="4" w:space="0" w:color="auto"/>
            </w:tcBorders>
          </w:tcPr>
          <w:p w14:paraId="5DAF3C27" w14:textId="77777777" w:rsidR="00443A0E" w:rsidRPr="00097A86" w:rsidRDefault="00443A0E" w:rsidP="007C01C9"/>
        </w:tc>
        <w:tc>
          <w:tcPr>
            <w:tcW w:w="942" w:type="pct"/>
            <w:tcBorders>
              <w:bottom w:val="single" w:sz="4" w:space="0" w:color="auto"/>
            </w:tcBorders>
          </w:tcPr>
          <w:p w14:paraId="26A38F64" w14:textId="77777777" w:rsidR="00443A0E" w:rsidRPr="00097A86" w:rsidRDefault="00443A0E" w:rsidP="00D22D3F">
            <w:pPr>
              <w:pStyle w:val="Tabletext"/>
            </w:pPr>
            <w:r w:rsidRPr="00097A86">
              <w:t>Ash</w:t>
            </w:r>
          </w:p>
        </w:tc>
        <w:tc>
          <w:tcPr>
            <w:tcW w:w="1237" w:type="pct"/>
            <w:tcBorders>
              <w:bottom w:val="single" w:sz="4" w:space="0" w:color="auto"/>
            </w:tcBorders>
          </w:tcPr>
          <w:p w14:paraId="6BC0C664"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5D87ED14" w14:textId="77777777" w:rsidR="00443A0E" w:rsidRPr="00097A86" w:rsidRDefault="00443A0E" w:rsidP="00D22D3F">
            <w:pPr>
              <w:pStyle w:val="Tabletext"/>
            </w:pPr>
            <w:r w:rsidRPr="00097A86">
              <w:t>Each delivery</w:t>
            </w:r>
          </w:p>
        </w:tc>
      </w:tr>
      <w:tr w:rsidR="00443A0E" w:rsidRPr="00097A86" w14:paraId="76A01A19" w14:textId="77777777" w:rsidTr="00C20CC2">
        <w:trPr>
          <w:cantSplit/>
        </w:trPr>
        <w:tc>
          <w:tcPr>
            <w:tcW w:w="401" w:type="pct"/>
            <w:vMerge w:val="restart"/>
            <w:tcBorders>
              <w:top w:val="single" w:sz="4" w:space="0" w:color="auto"/>
            </w:tcBorders>
          </w:tcPr>
          <w:p w14:paraId="668709CE" w14:textId="77777777" w:rsidR="00443A0E" w:rsidRPr="00097A86" w:rsidRDefault="00443A0E" w:rsidP="00D22D3F">
            <w:pPr>
              <w:pStyle w:val="Tabletext"/>
            </w:pPr>
            <w:r w:rsidRPr="00097A86">
              <w:t>14</w:t>
            </w:r>
          </w:p>
        </w:tc>
        <w:tc>
          <w:tcPr>
            <w:tcW w:w="1338" w:type="pct"/>
            <w:vMerge w:val="restart"/>
            <w:tcBorders>
              <w:top w:val="single" w:sz="4" w:space="0" w:color="auto"/>
            </w:tcBorders>
          </w:tcPr>
          <w:p w14:paraId="6590210A" w14:textId="77777777" w:rsidR="00443A0E" w:rsidRPr="00097A86" w:rsidRDefault="00443A0E" w:rsidP="00D22D3F">
            <w:pPr>
              <w:pStyle w:val="Tabletext"/>
            </w:pPr>
            <w:r w:rsidRPr="00097A86">
              <w:t>Biomass municipal and industrial materials, if recycled and combusted to produce heat or electricity</w:t>
            </w:r>
          </w:p>
        </w:tc>
        <w:tc>
          <w:tcPr>
            <w:tcW w:w="942" w:type="pct"/>
            <w:tcBorders>
              <w:top w:val="single" w:sz="4" w:space="0" w:color="auto"/>
            </w:tcBorders>
          </w:tcPr>
          <w:p w14:paraId="65506A7A"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5911AF19"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167737B0" w14:textId="77777777" w:rsidR="00443A0E" w:rsidRPr="00097A86" w:rsidRDefault="00443A0E" w:rsidP="00D22D3F">
            <w:pPr>
              <w:pStyle w:val="Tabletext"/>
            </w:pPr>
            <w:r w:rsidRPr="00097A86">
              <w:t>Monthly sample composite</w:t>
            </w:r>
          </w:p>
        </w:tc>
      </w:tr>
      <w:tr w:rsidR="00443A0E" w:rsidRPr="00097A86" w14:paraId="536FA7A2" w14:textId="77777777" w:rsidTr="00C20CC2">
        <w:trPr>
          <w:cantSplit/>
        </w:trPr>
        <w:tc>
          <w:tcPr>
            <w:tcW w:w="401" w:type="pct"/>
            <w:vMerge/>
          </w:tcPr>
          <w:p w14:paraId="77163600" w14:textId="77777777" w:rsidR="00443A0E" w:rsidRPr="00097A86" w:rsidRDefault="00443A0E" w:rsidP="00F529D9"/>
        </w:tc>
        <w:tc>
          <w:tcPr>
            <w:tcW w:w="1338" w:type="pct"/>
            <w:vMerge/>
          </w:tcPr>
          <w:p w14:paraId="2A22A732" w14:textId="77777777" w:rsidR="00443A0E" w:rsidRPr="00097A86" w:rsidRDefault="00443A0E" w:rsidP="00F529D9"/>
        </w:tc>
        <w:tc>
          <w:tcPr>
            <w:tcW w:w="942" w:type="pct"/>
          </w:tcPr>
          <w:p w14:paraId="0E74F31F" w14:textId="77777777" w:rsidR="00443A0E" w:rsidRPr="00097A86" w:rsidRDefault="00443A0E" w:rsidP="00D22D3F">
            <w:pPr>
              <w:pStyle w:val="Tabletext"/>
            </w:pPr>
            <w:r w:rsidRPr="00097A86">
              <w:t>Carbon</w:t>
            </w:r>
          </w:p>
        </w:tc>
        <w:tc>
          <w:tcPr>
            <w:tcW w:w="1237" w:type="pct"/>
          </w:tcPr>
          <w:p w14:paraId="379FAA74" w14:textId="77777777" w:rsidR="00443A0E" w:rsidRPr="00097A86" w:rsidRDefault="00443A0E" w:rsidP="00D22D3F">
            <w:pPr>
              <w:pStyle w:val="Tabletext"/>
            </w:pPr>
            <w:r w:rsidRPr="00097A86">
              <w:t>CEN/TS 15407:2006</w:t>
            </w:r>
          </w:p>
        </w:tc>
        <w:tc>
          <w:tcPr>
            <w:tcW w:w="1082" w:type="pct"/>
          </w:tcPr>
          <w:p w14:paraId="035AF4D8" w14:textId="77777777" w:rsidR="00443A0E" w:rsidRPr="00097A86" w:rsidRDefault="00443A0E" w:rsidP="00D22D3F">
            <w:pPr>
              <w:pStyle w:val="Tabletext"/>
            </w:pPr>
            <w:r w:rsidRPr="00097A86">
              <w:t>Monthly sample composite</w:t>
            </w:r>
          </w:p>
        </w:tc>
      </w:tr>
      <w:tr w:rsidR="00443A0E" w:rsidRPr="00097A86" w14:paraId="2667AFC9" w14:textId="77777777" w:rsidTr="00C20CC2">
        <w:trPr>
          <w:cantSplit/>
        </w:trPr>
        <w:tc>
          <w:tcPr>
            <w:tcW w:w="401" w:type="pct"/>
            <w:vMerge/>
          </w:tcPr>
          <w:p w14:paraId="7D7ECF49" w14:textId="77777777" w:rsidR="00443A0E" w:rsidRPr="00097A86" w:rsidRDefault="00443A0E" w:rsidP="00F529D9"/>
        </w:tc>
        <w:tc>
          <w:tcPr>
            <w:tcW w:w="1338" w:type="pct"/>
            <w:vMerge/>
          </w:tcPr>
          <w:p w14:paraId="04E310C5" w14:textId="77777777" w:rsidR="00443A0E" w:rsidRPr="00097A86" w:rsidRDefault="00443A0E" w:rsidP="00F529D9"/>
        </w:tc>
        <w:tc>
          <w:tcPr>
            <w:tcW w:w="942" w:type="pct"/>
          </w:tcPr>
          <w:p w14:paraId="160702C0" w14:textId="77777777" w:rsidR="00443A0E" w:rsidRPr="00097A86" w:rsidRDefault="00443A0E" w:rsidP="00D22D3F">
            <w:pPr>
              <w:pStyle w:val="Tabletext"/>
            </w:pPr>
            <w:r w:rsidRPr="00097A86">
              <w:t>Moisture</w:t>
            </w:r>
          </w:p>
        </w:tc>
        <w:tc>
          <w:tcPr>
            <w:tcW w:w="1237" w:type="pct"/>
          </w:tcPr>
          <w:p w14:paraId="26014789" w14:textId="77777777" w:rsidR="00443A0E" w:rsidRPr="00097A86" w:rsidRDefault="00443A0E" w:rsidP="00D22D3F">
            <w:pPr>
              <w:pStyle w:val="Tabletext"/>
            </w:pPr>
            <w:r w:rsidRPr="00097A86">
              <w:t>CEN/TS 15414</w:t>
            </w:r>
            <w:r w:rsidR="00097A86">
              <w:noBreakHyphen/>
            </w:r>
            <w:r w:rsidRPr="00097A86">
              <w:t>3:2006</w:t>
            </w:r>
          </w:p>
        </w:tc>
        <w:tc>
          <w:tcPr>
            <w:tcW w:w="1082" w:type="pct"/>
          </w:tcPr>
          <w:p w14:paraId="1A2206B3" w14:textId="77777777" w:rsidR="00443A0E" w:rsidRPr="00097A86" w:rsidRDefault="00443A0E" w:rsidP="00D22D3F">
            <w:pPr>
              <w:pStyle w:val="Tabletext"/>
            </w:pPr>
            <w:r w:rsidRPr="00097A86">
              <w:t>Each delivery</w:t>
            </w:r>
          </w:p>
        </w:tc>
      </w:tr>
      <w:tr w:rsidR="00443A0E" w:rsidRPr="00097A86" w14:paraId="7E1ECF97" w14:textId="77777777" w:rsidTr="00C20CC2">
        <w:trPr>
          <w:cantSplit/>
        </w:trPr>
        <w:tc>
          <w:tcPr>
            <w:tcW w:w="401" w:type="pct"/>
            <w:vMerge/>
            <w:tcBorders>
              <w:bottom w:val="single" w:sz="4" w:space="0" w:color="auto"/>
            </w:tcBorders>
          </w:tcPr>
          <w:p w14:paraId="72CF72AE" w14:textId="77777777" w:rsidR="00443A0E" w:rsidRPr="00097A86" w:rsidRDefault="00443A0E" w:rsidP="00F529D9"/>
        </w:tc>
        <w:tc>
          <w:tcPr>
            <w:tcW w:w="1338" w:type="pct"/>
            <w:vMerge/>
            <w:tcBorders>
              <w:bottom w:val="single" w:sz="4" w:space="0" w:color="auto"/>
            </w:tcBorders>
          </w:tcPr>
          <w:p w14:paraId="1B6F740D" w14:textId="77777777" w:rsidR="00443A0E" w:rsidRPr="00097A86" w:rsidRDefault="00443A0E" w:rsidP="00F529D9"/>
        </w:tc>
        <w:tc>
          <w:tcPr>
            <w:tcW w:w="942" w:type="pct"/>
            <w:tcBorders>
              <w:bottom w:val="single" w:sz="4" w:space="0" w:color="auto"/>
            </w:tcBorders>
          </w:tcPr>
          <w:p w14:paraId="1DC3CD7F" w14:textId="77777777" w:rsidR="00443A0E" w:rsidRPr="00097A86" w:rsidRDefault="00443A0E" w:rsidP="00D22D3F">
            <w:pPr>
              <w:pStyle w:val="Tabletext"/>
            </w:pPr>
            <w:r w:rsidRPr="00097A86">
              <w:t>Ash</w:t>
            </w:r>
          </w:p>
        </w:tc>
        <w:tc>
          <w:tcPr>
            <w:tcW w:w="1237" w:type="pct"/>
            <w:tcBorders>
              <w:bottom w:val="single" w:sz="4" w:space="0" w:color="auto"/>
            </w:tcBorders>
          </w:tcPr>
          <w:p w14:paraId="7BAF5281"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0FFD291C" w14:textId="77777777" w:rsidR="00443A0E" w:rsidRPr="00097A86" w:rsidRDefault="00443A0E" w:rsidP="00D22D3F">
            <w:pPr>
              <w:pStyle w:val="Tabletext"/>
            </w:pPr>
            <w:r w:rsidRPr="00097A86">
              <w:t>Each delivery</w:t>
            </w:r>
          </w:p>
        </w:tc>
      </w:tr>
      <w:tr w:rsidR="00443A0E" w:rsidRPr="00097A86" w14:paraId="3EA5F6BF" w14:textId="77777777" w:rsidTr="00C20CC2">
        <w:trPr>
          <w:cantSplit/>
        </w:trPr>
        <w:tc>
          <w:tcPr>
            <w:tcW w:w="401" w:type="pct"/>
            <w:vMerge w:val="restart"/>
            <w:tcBorders>
              <w:top w:val="single" w:sz="4" w:space="0" w:color="auto"/>
            </w:tcBorders>
          </w:tcPr>
          <w:p w14:paraId="7F0ECB70" w14:textId="77777777" w:rsidR="00443A0E" w:rsidRPr="00097A86" w:rsidRDefault="00443A0E" w:rsidP="00D22D3F">
            <w:pPr>
              <w:pStyle w:val="Tabletext"/>
            </w:pPr>
            <w:r w:rsidRPr="00097A86">
              <w:t>15</w:t>
            </w:r>
          </w:p>
        </w:tc>
        <w:tc>
          <w:tcPr>
            <w:tcW w:w="1338" w:type="pct"/>
            <w:vMerge w:val="restart"/>
            <w:tcBorders>
              <w:top w:val="single" w:sz="4" w:space="0" w:color="auto"/>
            </w:tcBorders>
          </w:tcPr>
          <w:p w14:paraId="759F83FE" w14:textId="77777777" w:rsidR="00443A0E" w:rsidRPr="00097A86" w:rsidRDefault="00443A0E" w:rsidP="00D22D3F">
            <w:pPr>
              <w:pStyle w:val="Tabletext"/>
            </w:pPr>
            <w:r w:rsidRPr="00097A86">
              <w:t>Charcoal</w:t>
            </w:r>
          </w:p>
        </w:tc>
        <w:tc>
          <w:tcPr>
            <w:tcW w:w="942" w:type="pct"/>
            <w:tcBorders>
              <w:top w:val="single" w:sz="4" w:space="0" w:color="auto"/>
            </w:tcBorders>
          </w:tcPr>
          <w:p w14:paraId="03978E4E" w14:textId="77777777" w:rsidR="00443A0E" w:rsidRPr="00097A86" w:rsidRDefault="00443A0E" w:rsidP="00D22D3F">
            <w:pPr>
              <w:pStyle w:val="Tabletext"/>
            </w:pPr>
            <w:r w:rsidRPr="00097A86">
              <w:t>Energy content factor</w:t>
            </w:r>
          </w:p>
        </w:tc>
        <w:tc>
          <w:tcPr>
            <w:tcW w:w="1237" w:type="pct"/>
            <w:tcBorders>
              <w:top w:val="single" w:sz="4" w:space="0" w:color="auto"/>
            </w:tcBorders>
          </w:tcPr>
          <w:p w14:paraId="683AF085" w14:textId="77777777" w:rsidR="00443A0E" w:rsidRPr="00097A86" w:rsidRDefault="00443A0E" w:rsidP="00D22D3F">
            <w:pPr>
              <w:pStyle w:val="Tabletext"/>
            </w:pPr>
            <w:r w:rsidRPr="00097A86">
              <w:t>CEN/TS 15400:2006</w:t>
            </w:r>
          </w:p>
        </w:tc>
        <w:tc>
          <w:tcPr>
            <w:tcW w:w="1082" w:type="pct"/>
            <w:tcBorders>
              <w:top w:val="single" w:sz="4" w:space="0" w:color="auto"/>
            </w:tcBorders>
          </w:tcPr>
          <w:p w14:paraId="382A0246" w14:textId="77777777" w:rsidR="00443A0E" w:rsidRPr="00097A86" w:rsidRDefault="00443A0E" w:rsidP="00D22D3F">
            <w:pPr>
              <w:pStyle w:val="Tabletext"/>
            </w:pPr>
            <w:r w:rsidRPr="00097A86">
              <w:t>Monthly sample composite</w:t>
            </w:r>
          </w:p>
        </w:tc>
      </w:tr>
      <w:tr w:rsidR="00443A0E" w:rsidRPr="00097A86" w14:paraId="7D866181" w14:textId="77777777" w:rsidTr="00C20CC2">
        <w:trPr>
          <w:cantSplit/>
        </w:trPr>
        <w:tc>
          <w:tcPr>
            <w:tcW w:w="401" w:type="pct"/>
            <w:vMerge/>
          </w:tcPr>
          <w:p w14:paraId="7FF7C384" w14:textId="77777777" w:rsidR="00443A0E" w:rsidRPr="00097A86" w:rsidRDefault="00443A0E" w:rsidP="00F529D9">
            <w:pPr>
              <w:keepNext/>
              <w:keepLines/>
            </w:pPr>
          </w:p>
        </w:tc>
        <w:tc>
          <w:tcPr>
            <w:tcW w:w="1338" w:type="pct"/>
            <w:vMerge/>
          </w:tcPr>
          <w:p w14:paraId="5F149FC1" w14:textId="77777777" w:rsidR="00443A0E" w:rsidRPr="00097A86" w:rsidRDefault="00443A0E" w:rsidP="00F529D9">
            <w:pPr>
              <w:keepNext/>
              <w:keepLines/>
            </w:pPr>
          </w:p>
        </w:tc>
        <w:tc>
          <w:tcPr>
            <w:tcW w:w="942" w:type="pct"/>
          </w:tcPr>
          <w:p w14:paraId="3541923F" w14:textId="77777777" w:rsidR="00443A0E" w:rsidRPr="00097A86" w:rsidRDefault="00443A0E" w:rsidP="00D22D3F">
            <w:pPr>
              <w:pStyle w:val="Tabletext"/>
            </w:pPr>
            <w:r w:rsidRPr="00097A86">
              <w:t>Carbon</w:t>
            </w:r>
          </w:p>
        </w:tc>
        <w:tc>
          <w:tcPr>
            <w:tcW w:w="1237" w:type="pct"/>
          </w:tcPr>
          <w:p w14:paraId="2F943A47" w14:textId="77777777" w:rsidR="00443A0E" w:rsidRPr="00097A86" w:rsidRDefault="00443A0E" w:rsidP="00D22D3F">
            <w:pPr>
              <w:pStyle w:val="Tabletext"/>
            </w:pPr>
            <w:r w:rsidRPr="00097A86">
              <w:t>CEN/TS 15407:2006</w:t>
            </w:r>
          </w:p>
        </w:tc>
        <w:tc>
          <w:tcPr>
            <w:tcW w:w="1082" w:type="pct"/>
          </w:tcPr>
          <w:p w14:paraId="648C82E4" w14:textId="77777777" w:rsidR="00443A0E" w:rsidRPr="00097A86" w:rsidRDefault="00443A0E" w:rsidP="00D22D3F">
            <w:pPr>
              <w:pStyle w:val="Tabletext"/>
            </w:pPr>
            <w:r w:rsidRPr="00097A86">
              <w:t>Monthly sample composite</w:t>
            </w:r>
          </w:p>
        </w:tc>
      </w:tr>
      <w:tr w:rsidR="00443A0E" w:rsidRPr="00097A86" w14:paraId="6B02F622" w14:textId="77777777" w:rsidTr="00C20CC2">
        <w:trPr>
          <w:cantSplit/>
        </w:trPr>
        <w:tc>
          <w:tcPr>
            <w:tcW w:w="401" w:type="pct"/>
            <w:vMerge/>
          </w:tcPr>
          <w:p w14:paraId="27579BA9" w14:textId="77777777" w:rsidR="00443A0E" w:rsidRPr="00097A86" w:rsidRDefault="00443A0E" w:rsidP="007C01C9"/>
        </w:tc>
        <w:tc>
          <w:tcPr>
            <w:tcW w:w="1338" w:type="pct"/>
            <w:vMerge/>
          </w:tcPr>
          <w:p w14:paraId="66FB575E" w14:textId="77777777" w:rsidR="00443A0E" w:rsidRPr="00097A86" w:rsidRDefault="00443A0E" w:rsidP="007C01C9"/>
        </w:tc>
        <w:tc>
          <w:tcPr>
            <w:tcW w:w="942" w:type="pct"/>
          </w:tcPr>
          <w:p w14:paraId="53539B19" w14:textId="77777777" w:rsidR="00443A0E" w:rsidRPr="00097A86" w:rsidRDefault="00443A0E" w:rsidP="00D22D3F">
            <w:pPr>
              <w:pStyle w:val="Tabletext"/>
            </w:pPr>
            <w:r w:rsidRPr="00097A86">
              <w:t>Moisture</w:t>
            </w:r>
          </w:p>
        </w:tc>
        <w:tc>
          <w:tcPr>
            <w:tcW w:w="1237" w:type="pct"/>
          </w:tcPr>
          <w:p w14:paraId="4971E1C7" w14:textId="77777777" w:rsidR="00443A0E" w:rsidRPr="00097A86" w:rsidRDefault="00443A0E" w:rsidP="00D22D3F">
            <w:pPr>
              <w:pStyle w:val="Tabletext"/>
            </w:pPr>
            <w:r w:rsidRPr="00097A86">
              <w:t>CEN/TS 15414</w:t>
            </w:r>
            <w:r w:rsidR="00097A86">
              <w:noBreakHyphen/>
            </w:r>
            <w:r w:rsidRPr="00097A86">
              <w:t>3:2006</w:t>
            </w:r>
          </w:p>
        </w:tc>
        <w:tc>
          <w:tcPr>
            <w:tcW w:w="1082" w:type="pct"/>
          </w:tcPr>
          <w:p w14:paraId="30EF6503" w14:textId="77777777" w:rsidR="00443A0E" w:rsidRPr="00097A86" w:rsidRDefault="00443A0E" w:rsidP="00D22D3F">
            <w:pPr>
              <w:pStyle w:val="Tabletext"/>
            </w:pPr>
            <w:r w:rsidRPr="00097A86">
              <w:t>Each delivery</w:t>
            </w:r>
          </w:p>
        </w:tc>
      </w:tr>
      <w:tr w:rsidR="00443A0E" w:rsidRPr="00097A86" w14:paraId="3235235E" w14:textId="77777777" w:rsidTr="00C20CC2">
        <w:trPr>
          <w:cantSplit/>
        </w:trPr>
        <w:tc>
          <w:tcPr>
            <w:tcW w:w="401" w:type="pct"/>
            <w:vMerge/>
            <w:tcBorders>
              <w:bottom w:val="single" w:sz="4" w:space="0" w:color="auto"/>
            </w:tcBorders>
          </w:tcPr>
          <w:p w14:paraId="6BA97295" w14:textId="77777777" w:rsidR="00443A0E" w:rsidRPr="00097A86" w:rsidRDefault="00443A0E" w:rsidP="007C01C9"/>
        </w:tc>
        <w:tc>
          <w:tcPr>
            <w:tcW w:w="1338" w:type="pct"/>
            <w:vMerge/>
            <w:tcBorders>
              <w:bottom w:val="single" w:sz="4" w:space="0" w:color="auto"/>
            </w:tcBorders>
          </w:tcPr>
          <w:p w14:paraId="5E9D9E43" w14:textId="77777777" w:rsidR="00443A0E" w:rsidRPr="00097A86" w:rsidRDefault="00443A0E" w:rsidP="007C01C9"/>
        </w:tc>
        <w:tc>
          <w:tcPr>
            <w:tcW w:w="942" w:type="pct"/>
            <w:tcBorders>
              <w:bottom w:val="single" w:sz="4" w:space="0" w:color="auto"/>
            </w:tcBorders>
          </w:tcPr>
          <w:p w14:paraId="5FCD4BFA" w14:textId="77777777" w:rsidR="00443A0E" w:rsidRPr="00097A86" w:rsidRDefault="00443A0E" w:rsidP="00D22D3F">
            <w:pPr>
              <w:pStyle w:val="Tabletext"/>
            </w:pPr>
            <w:r w:rsidRPr="00097A86">
              <w:t>Ash</w:t>
            </w:r>
          </w:p>
        </w:tc>
        <w:tc>
          <w:tcPr>
            <w:tcW w:w="1237" w:type="pct"/>
            <w:tcBorders>
              <w:bottom w:val="single" w:sz="4" w:space="0" w:color="auto"/>
            </w:tcBorders>
          </w:tcPr>
          <w:p w14:paraId="61E89547" w14:textId="77777777" w:rsidR="00443A0E" w:rsidRPr="00097A86" w:rsidRDefault="00443A0E" w:rsidP="00D22D3F">
            <w:pPr>
              <w:pStyle w:val="Tabletext"/>
            </w:pPr>
            <w:r w:rsidRPr="00097A86">
              <w:t>CEN/TS 15403:2006</w:t>
            </w:r>
          </w:p>
        </w:tc>
        <w:tc>
          <w:tcPr>
            <w:tcW w:w="1082" w:type="pct"/>
            <w:tcBorders>
              <w:bottom w:val="single" w:sz="4" w:space="0" w:color="auto"/>
            </w:tcBorders>
          </w:tcPr>
          <w:p w14:paraId="32B3AE5E" w14:textId="77777777" w:rsidR="00443A0E" w:rsidRPr="00097A86" w:rsidRDefault="00443A0E" w:rsidP="00D22D3F">
            <w:pPr>
              <w:pStyle w:val="Tabletext"/>
            </w:pPr>
            <w:r w:rsidRPr="00097A86">
              <w:t>Each delivery</w:t>
            </w:r>
          </w:p>
        </w:tc>
      </w:tr>
      <w:tr w:rsidR="00443A0E" w:rsidRPr="00097A86" w14:paraId="467C088C" w14:textId="77777777" w:rsidTr="00C20CC2">
        <w:tc>
          <w:tcPr>
            <w:tcW w:w="401" w:type="pct"/>
            <w:vMerge w:val="restart"/>
            <w:tcBorders>
              <w:top w:val="single" w:sz="4" w:space="0" w:color="auto"/>
            </w:tcBorders>
          </w:tcPr>
          <w:p w14:paraId="3B9A911C" w14:textId="77777777" w:rsidR="00443A0E" w:rsidRPr="00097A86" w:rsidRDefault="00443A0E" w:rsidP="00396D38">
            <w:pPr>
              <w:pStyle w:val="Tabletext"/>
              <w:keepNext/>
              <w:keepLines/>
            </w:pPr>
            <w:r w:rsidRPr="00097A86">
              <w:t>16</w:t>
            </w:r>
          </w:p>
        </w:tc>
        <w:tc>
          <w:tcPr>
            <w:tcW w:w="1338" w:type="pct"/>
            <w:vMerge w:val="restart"/>
            <w:tcBorders>
              <w:top w:val="single" w:sz="4" w:space="0" w:color="auto"/>
            </w:tcBorders>
          </w:tcPr>
          <w:p w14:paraId="33BDAF59" w14:textId="77777777" w:rsidR="00443A0E" w:rsidRPr="00097A86" w:rsidRDefault="00443A0E" w:rsidP="00396D38">
            <w:pPr>
              <w:pStyle w:val="Tabletext"/>
              <w:keepNext/>
              <w:keepLines/>
            </w:pPr>
            <w:r w:rsidRPr="00097A86">
              <w:t>Primary solid biomass fuels other than those items mentioned in items</w:t>
            </w:r>
            <w:r w:rsidR="00097A86">
              <w:t> </w:t>
            </w:r>
            <w:r w:rsidRPr="00097A86">
              <w:t xml:space="preserve">10 to 15 </w:t>
            </w:r>
          </w:p>
        </w:tc>
        <w:tc>
          <w:tcPr>
            <w:tcW w:w="942" w:type="pct"/>
            <w:tcBorders>
              <w:top w:val="single" w:sz="4" w:space="0" w:color="auto"/>
            </w:tcBorders>
          </w:tcPr>
          <w:p w14:paraId="0EFCAA73" w14:textId="77777777" w:rsidR="00443A0E" w:rsidRPr="00097A86" w:rsidRDefault="00443A0E" w:rsidP="00396D38">
            <w:pPr>
              <w:pStyle w:val="Tabletext"/>
              <w:keepNext/>
              <w:keepLines/>
            </w:pPr>
            <w:r w:rsidRPr="00097A86">
              <w:t>Energy content factor</w:t>
            </w:r>
          </w:p>
        </w:tc>
        <w:tc>
          <w:tcPr>
            <w:tcW w:w="1237" w:type="pct"/>
            <w:tcBorders>
              <w:top w:val="single" w:sz="4" w:space="0" w:color="auto"/>
            </w:tcBorders>
          </w:tcPr>
          <w:p w14:paraId="0E23AB56" w14:textId="77777777" w:rsidR="00443A0E" w:rsidRPr="00097A86" w:rsidRDefault="00443A0E" w:rsidP="00396D38">
            <w:pPr>
              <w:pStyle w:val="Tabletext"/>
              <w:keepNext/>
              <w:keepLines/>
            </w:pPr>
            <w:r w:rsidRPr="00097A86">
              <w:t>CEN/TS 15400:2006</w:t>
            </w:r>
          </w:p>
        </w:tc>
        <w:tc>
          <w:tcPr>
            <w:tcW w:w="1082" w:type="pct"/>
            <w:tcBorders>
              <w:top w:val="single" w:sz="4" w:space="0" w:color="auto"/>
            </w:tcBorders>
          </w:tcPr>
          <w:p w14:paraId="0970C681" w14:textId="77777777" w:rsidR="00443A0E" w:rsidRPr="00097A86" w:rsidRDefault="00443A0E" w:rsidP="00396D38">
            <w:pPr>
              <w:pStyle w:val="Tabletext"/>
              <w:keepNext/>
              <w:keepLines/>
            </w:pPr>
            <w:r w:rsidRPr="00097A86">
              <w:t>Monthly sample composite</w:t>
            </w:r>
          </w:p>
        </w:tc>
      </w:tr>
      <w:tr w:rsidR="00443A0E" w:rsidRPr="00097A86" w14:paraId="69FA2C59" w14:textId="77777777" w:rsidTr="00C20CC2">
        <w:trPr>
          <w:cantSplit/>
        </w:trPr>
        <w:tc>
          <w:tcPr>
            <w:tcW w:w="401" w:type="pct"/>
            <w:vMerge/>
            <w:tcBorders>
              <w:bottom w:val="single" w:sz="4" w:space="0" w:color="auto"/>
            </w:tcBorders>
          </w:tcPr>
          <w:p w14:paraId="1F60B9DA" w14:textId="77777777" w:rsidR="00443A0E" w:rsidRPr="00097A86" w:rsidRDefault="00443A0E" w:rsidP="00396D38">
            <w:pPr>
              <w:keepNext/>
              <w:keepLines/>
            </w:pPr>
          </w:p>
        </w:tc>
        <w:tc>
          <w:tcPr>
            <w:tcW w:w="1338" w:type="pct"/>
            <w:vMerge/>
          </w:tcPr>
          <w:p w14:paraId="5CC6B59D" w14:textId="77777777" w:rsidR="00443A0E" w:rsidRPr="00097A86" w:rsidRDefault="00443A0E" w:rsidP="00396D38">
            <w:pPr>
              <w:keepNext/>
              <w:keepLines/>
            </w:pPr>
          </w:p>
        </w:tc>
        <w:tc>
          <w:tcPr>
            <w:tcW w:w="942" w:type="pct"/>
          </w:tcPr>
          <w:p w14:paraId="4E322492" w14:textId="77777777" w:rsidR="00443A0E" w:rsidRPr="00097A86" w:rsidRDefault="00443A0E" w:rsidP="00396D38">
            <w:pPr>
              <w:pStyle w:val="Tabletext"/>
              <w:keepNext/>
              <w:keepLines/>
            </w:pPr>
            <w:r w:rsidRPr="00097A86">
              <w:t>Carbon</w:t>
            </w:r>
          </w:p>
        </w:tc>
        <w:tc>
          <w:tcPr>
            <w:tcW w:w="1237" w:type="pct"/>
          </w:tcPr>
          <w:p w14:paraId="74B1DB63" w14:textId="77777777" w:rsidR="00443A0E" w:rsidRPr="00097A86" w:rsidRDefault="00443A0E" w:rsidP="00396D38">
            <w:pPr>
              <w:pStyle w:val="Tabletext"/>
              <w:keepNext/>
              <w:keepLines/>
            </w:pPr>
            <w:r w:rsidRPr="00097A86">
              <w:t>CEN/TS 15407:2006</w:t>
            </w:r>
          </w:p>
        </w:tc>
        <w:tc>
          <w:tcPr>
            <w:tcW w:w="1082" w:type="pct"/>
          </w:tcPr>
          <w:p w14:paraId="663A69D0" w14:textId="77777777" w:rsidR="00443A0E" w:rsidRPr="00097A86" w:rsidRDefault="00443A0E" w:rsidP="00396D38">
            <w:pPr>
              <w:pStyle w:val="Tabletext"/>
              <w:keepNext/>
              <w:keepLines/>
            </w:pPr>
            <w:r w:rsidRPr="00097A86">
              <w:t>Monthly sample composite</w:t>
            </w:r>
          </w:p>
        </w:tc>
      </w:tr>
      <w:tr w:rsidR="00443A0E" w:rsidRPr="00097A86" w14:paraId="7EE96ABE" w14:textId="77777777" w:rsidTr="00C20CC2">
        <w:trPr>
          <w:cantSplit/>
        </w:trPr>
        <w:tc>
          <w:tcPr>
            <w:tcW w:w="401" w:type="pct"/>
            <w:vMerge/>
            <w:tcBorders>
              <w:bottom w:val="single" w:sz="4" w:space="0" w:color="auto"/>
            </w:tcBorders>
          </w:tcPr>
          <w:p w14:paraId="3D843FBA" w14:textId="77777777" w:rsidR="00443A0E" w:rsidRPr="00097A86" w:rsidRDefault="00443A0E" w:rsidP="00396D38">
            <w:pPr>
              <w:keepNext/>
              <w:keepLines/>
            </w:pPr>
          </w:p>
        </w:tc>
        <w:tc>
          <w:tcPr>
            <w:tcW w:w="1338" w:type="pct"/>
            <w:vMerge/>
          </w:tcPr>
          <w:p w14:paraId="158DA3E8" w14:textId="77777777" w:rsidR="00443A0E" w:rsidRPr="00097A86" w:rsidRDefault="00443A0E" w:rsidP="00396D38">
            <w:pPr>
              <w:keepNext/>
              <w:keepLines/>
            </w:pPr>
          </w:p>
        </w:tc>
        <w:tc>
          <w:tcPr>
            <w:tcW w:w="942" w:type="pct"/>
          </w:tcPr>
          <w:p w14:paraId="75D5ACE1" w14:textId="77777777" w:rsidR="00443A0E" w:rsidRPr="00097A86" w:rsidRDefault="00443A0E" w:rsidP="00396D38">
            <w:pPr>
              <w:pStyle w:val="Tabletext"/>
              <w:keepNext/>
              <w:keepLines/>
            </w:pPr>
            <w:r w:rsidRPr="00097A86">
              <w:t>Moisture</w:t>
            </w:r>
          </w:p>
        </w:tc>
        <w:tc>
          <w:tcPr>
            <w:tcW w:w="1237" w:type="pct"/>
          </w:tcPr>
          <w:p w14:paraId="21563D62" w14:textId="77777777" w:rsidR="00443A0E" w:rsidRPr="00097A86" w:rsidRDefault="00443A0E" w:rsidP="00396D38">
            <w:pPr>
              <w:pStyle w:val="Tabletext"/>
              <w:keepNext/>
              <w:keepLines/>
            </w:pPr>
            <w:r w:rsidRPr="00097A86">
              <w:t>CEN/TS 15414</w:t>
            </w:r>
            <w:r w:rsidR="00097A86">
              <w:noBreakHyphen/>
            </w:r>
            <w:r w:rsidRPr="00097A86">
              <w:t>3:2006</w:t>
            </w:r>
          </w:p>
          <w:p w14:paraId="047DA602" w14:textId="77777777" w:rsidR="00443A0E" w:rsidRPr="00097A86" w:rsidRDefault="00443A0E" w:rsidP="00396D38">
            <w:pPr>
              <w:pStyle w:val="Tabletext"/>
              <w:keepNext/>
              <w:keepLines/>
            </w:pPr>
            <w:r w:rsidRPr="00097A86">
              <w:t>CEN/TS 14774</w:t>
            </w:r>
            <w:r w:rsidR="00097A86">
              <w:noBreakHyphen/>
            </w:r>
            <w:r w:rsidRPr="00097A86">
              <w:t>3:2004</w:t>
            </w:r>
          </w:p>
        </w:tc>
        <w:tc>
          <w:tcPr>
            <w:tcW w:w="1082" w:type="pct"/>
          </w:tcPr>
          <w:p w14:paraId="63564030" w14:textId="77777777" w:rsidR="00443A0E" w:rsidRPr="00097A86" w:rsidRDefault="00443A0E" w:rsidP="00396D38">
            <w:pPr>
              <w:pStyle w:val="Tabletext"/>
              <w:keepNext/>
              <w:keepLines/>
            </w:pPr>
            <w:r w:rsidRPr="00097A86">
              <w:t>Each delivery</w:t>
            </w:r>
          </w:p>
        </w:tc>
      </w:tr>
      <w:tr w:rsidR="00443A0E" w:rsidRPr="00097A86" w14:paraId="48F501CA" w14:textId="77777777" w:rsidTr="00C20CC2">
        <w:trPr>
          <w:cantSplit/>
        </w:trPr>
        <w:tc>
          <w:tcPr>
            <w:tcW w:w="401" w:type="pct"/>
            <w:vMerge/>
            <w:tcBorders>
              <w:bottom w:val="single" w:sz="12" w:space="0" w:color="auto"/>
            </w:tcBorders>
          </w:tcPr>
          <w:p w14:paraId="5BB0FE26" w14:textId="77777777" w:rsidR="00443A0E" w:rsidRPr="00097A86" w:rsidRDefault="00443A0E" w:rsidP="00396D38">
            <w:pPr>
              <w:keepNext/>
              <w:keepLines/>
            </w:pPr>
          </w:p>
        </w:tc>
        <w:tc>
          <w:tcPr>
            <w:tcW w:w="1338" w:type="pct"/>
            <w:vMerge/>
            <w:tcBorders>
              <w:bottom w:val="single" w:sz="12" w:space="0" w:color="auto"/>
            </w:tcBorders>
          </w:tcPr>
          <w:p w14:paraId="3012CCD9" w14:textId="77777777" w:rsidR="00443A0E" w:rsidRPr="00097A86" w:rsidRDefault="00443A0E" w:rsidP="00396D38">
            <w:pPr>
              <w:keepNext/>
              <w:keepLines/>
            </w:pPr>
          </w:p>
        </w:tc>
        <w:tc>
          <w:tcPr>
            <w:tcW w:w="942" w:type="pct"/>
            <w:tcBorders>
              <w:bottom w:val="single" w:sz="12" w:space="0" w:color="auto"/>
            </w:tcBorders>
          </w:tcPr>
          <w:p w14:paraId="5C4980E4" w14:textId="77777777" w:rsidR="00443A0E" w:rsidRPr="00097A86" w:rsidRDefault="00443A0E" w:rsidP="00396D38">
            <w:pPr>
              <w:pStyle w:val="Tabletext"/>
              <w:keepNext/>
              <w:keepLines/>
            </w:pPr>
            <w:r w:rsidRPr="00097A86">
              <w:t>Ash</w:t>
            </w:r>
          </w:p>
        </w:tc>
        <w:tc>
          <w:tcPr>
            <w:tcW w:w="1237" w:type="pct"/>
            <w:tcBorders>
              <w:bottom w:val="single" w:sz="12" w:space="0" w:color="auto"/>
            </w:tcBorders>
          </w:tcPr>
          <w:p w14:paraId="0AE27F6D" w14:textId="77777777" w:rsidR="00443A0E" w:rsidRPr="00097A86" w:rsidRDefault="00443A0E" w:rsidP="00396D38">
            <w:pPr>
              <w:pStyle w:val="Tabletext"/>
              <w:keepNext/>
              <w:keepLines/>
            </w:pPr>
            <w:r w:rsidRPr="00097A86">
              <w:t>CEN/TS 15403:2006</w:t>
            </w:r>
          </w:p>
        </w:tc>
        <w:tc>
          <w:tcPr>
            <w:tcW w:w="1082" w:type="pct"/>
            <w:tcBorders>
              <w:bottom w:val="single" w:sz="12" w:space="0" w:color="auto"/>
            </w:tcBorders>
          </w:tcPr>
          <w:p w14:paraId="2E3F2ED9" w14:textId="77777777" w:rsidR="00443A0E" w:rsidRPr="00097A86" w:rsidRDefault="00443A0E" w:rsidP="00396D38">
            <w:pPr>
              <w:pStyle w:val="Tabletext"/>
              <w:keepNext/>
              <w:keepLines/>
            </w:pPr>
            <w:r w:rsidRPr="00097A86">
              <w:t>Each delivery</w:t>
            </w:r>
          </w:p>
        </w:tc>
      </w:tr>
    </w:tbl>
    <w:p w14:paraId="7A527CBE" w14:textId="77777777" w:rsidR="00EF5046" w:rsidRPr="00097A86" w:rsidRDefault="00EF5046" w:rsidP="00396D38">
      <w:pPr>
        <w:pStyle w:val="ActHead1"/>
        <w:pageBreakBefore/>
        <w:spacing w:before="240"/>
      </w:pPr>
      <w:bookmarkStart w:id="688" w:name="_Toc13234111"/>
      <w:r w:rsidRPr="00097A86">
        <w:rPr>
          <w:rStyle w:val="CharChapNo"/>
        </w:rPr>
        <w:lastRenderedPageBreak/>
        <w:t>Schedule</w:t>
      </w:r>
      <w:r w:rsidR="00097A86">
        <w:rPr>
          <w:rStyle w:val="CharChapNo"/>
        </w:rPr>
        <w:t> </w:t>
      </w:r>
      <w:r w:rsidRPr="00097A86">
        <w:rPr>
          <w:rStyle w:val="CharChapNo"/>
        </w:rPr>
        <w:t>3</w:t>
      </w:r>
      <w:r w:rsidR="00D22D3F" w:rsidRPr="00097A86">
        <w:t>—</w:t>
      </w:r>
      <w:r w:rsidRPr="00097A86">
        <w:rPr>
          <w:rStyle w:val="CharChapText"/>
        </w:rPr>
        <w:t>Carbon content factors</w:t>
      </w:r>
      <w:bookmarkEnd w:id="688"/>
    </w:p>
    <w:p w14:paraId="49888779" w14:textId="77777777" w:rsidR="00EF5046" w:rsidRPr="00097A86" w:rsidRDefault="00EF5046" w:rsidP="00D22D3F">
      <w:pPr>
        <w:pStyle w:val="notemargin"/>
      </w:pPr>
      <w:r w:rsidRPr="00097A86">
        <w:t>(subsection</w:t>
      </w:r>
      <w:r w:rsidR="00097A86">
        <w:t> </w:t>
      </w:r>
      <w:r w:rsidRPr="00097A86">
        <w:t>2.61(1), sections</w:t>
      </w:r>
      <w:r w:rsidR="00097A86">
        <w:t> </w:t>
      </w:r>
      <w:r w:rsidRPr="00097A86">
        <w:t>3.65, 4.66 and subsections</w:t>
      </w:r>
      <w:r w:rsidR="00097A86">
        <w:t> </w:t>
      </w:r>
      <w:r w:rsidRPr="00097A86">
        <w:t>4.67(2) and 4.68(2))</w:t>
      </w:r>
    </w:p>
    <w:p w14:paraId="15C20FF1" w14:textId="77777777" w:rsidR="003F0D4E" w:rsidRPr="00097A86" w:rsidRDefault="00D22D3F" w:rsidP="00D22D3F">
      <w:pPr>
        <w:pStyle w:val="notetext"/>
      </w:pPr>
      <w:r w:rsidRPr="00097A86">
        <w:t>Note 1:</w:t>
      </w:r>
      <w:r w:rsidRPr="00097A86">
        <w:tab/>
      </w:r>
      <w:r w:rsidR="003F0D4E" w:rsidRPr="00097A86">
        <w:t>Under the 2006 IPCC Guidelines, the emission factor for CO</w:t>
      </w:r>
      <w:r w:rsidR="003F0D4E" w:rsidRPr="00097A86">
        <w:rPr>
          <w:rStyle w:val="charSubscript"/>
          <w:sz w:val="18"/>
        </w:rPr>
        <w:t>2</w:t>
      </w:r>
      <w:r w:rsidR="003F0D4E" w:rsidRPr="00097A86">
        <w:t xml:space="preserve"> released from combustion of biogenic carbon fuels is zero.</w:t>
      </w:r>
    </w:p>
    <w:p w14:paraId="50EA4201" w14:textId="77777777" w:rsidR="003F0D4E" w:rsidRPr="00097A86" w:rsidRDefault="00D22D3F" w:rsidP="00D22D3F">
      <w:pPr>
        <w:pStyle w:val="notetext"/>
      </w:pPr>
      <w:r w:rsidRPr="00097A86">
        <w:t>Note 2:</w:t>
      </w:r>
      <w:r w:rsidRPr="00097A86">
        <w:tab/>
      </w:r>
      <w:r w:rsidR="003F0D4E" w:rsidRPr="00097A86">
        <w:t>The carbon content factors in this Schedule do not include relevant oxidation factors.</w:t>
      </w:r>
    </w:p>
    <w:p w14:paraId="45F2F5B5" w14:textId="77777777" w:rsidR="003F0D4E" w:rsidRPr="00097A86" w:rsidRDefault="003F0D4E" w:rsidP="00D22D3F">
      <w:pPr>
        <w:pStyle w:val="ActHead2"/>
      </w:pPr>
      <w:bookmarkStart w:id="689" w:name="_Toc13234112"/>
      <w:r w:rsidRPr="00097A86">
        <w:rPr>
          <w:rStyle w:val="CharPartNo"/>
        </w:rPr>
        <w:t>Part</w:t>
      </w:r>
      <w:r w:rsidR="00097A86">
        <w:rPr>
          <w:rStyle w:val="CharPartNo"/>
        </w:rPr>
        <w:t> </w:t>
      </w:r>
      <w:r w:rsidRPr="00097A86">
        <w:rPr>
          <w:rStyle w:val="CharPartNo"/>
        </w:rPr>
        <w:t>1</w:t>
      </w:r>
      <w:r w:rsidR="00D22D3F" w:rsidRPr="00097A86">
        <w:t>—</w:t>
      </w:r>
      <w:r w:rsidRPr="00097A86">
        <w:rPr>
          <w:rStyle w:val="CharPartText"/>
        </w:rPr>
        <w:t>Solid fuels and certain coal</w:t>
      </w:r>
      <w:r w:rsidR="00097A86">
        <w:rPr>
          <w:rStyle w:val="CharPartText"/>
        </w:rPr>
        <w:noBreakHyphen/>
      </w:r>
      <w:r w:rsidRPr="00097A86">
        <w:rPr>
          <w:rStyle w:val="CharPartText"/>
        </w:rPr>
        <w:t>based products</w:t>
      </w:r>
      <w:bookmarkEnd w:id="689"/>
    </w:p>
    <w:p w14:paraId="14C8F653"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0"/>
        <w:gridCol w:w="5664"/>
        <w:gridCol w:w="1939"/>
      </w:tblGrid>
      <w:tr w:rsidR="003F0D4E" w:rsidRPr="00097A86" w14:paraId="5A6C18C2" w14:textId="77777777" w:rsidTr="00C20CC2">
        <w:trPr>
          <w:tblHeader/>
        </w:trPr>
        <w:tc>
          <w:tcPr>
            <w:tcW w:w="427" w:type="pct"/>
            <w:tcBorders>
              <w:top w:val="single" w:sz="12" w:space="0" w:color="auto"/>
              <w:bottom w:val="single" w:sz="12" w:space="0" w:color="auto"/>
            </w:tcBorders>
            <w:shd w:val="clear" w:color="auto" w:fill="auto"/>
          </w:tcPr>
          <w:p w14:paraId="7C9E9242" w14:textId="77777777" w:rsidR="003F0D4E" w:rsidRPr="00097A86" w:rsidRDefault="003F0D4E" w:rsidP="00C87D92">
            <w:pPr>
              <w:pStyle w:val="TableHeading"/>
            </w:pPr>
            <w:r w:rsidRPr="00097A86">
              <w:t>Item</w:t>
            </w:r>
          </w:p>
        </w:tc>
        <w:tc>
          <w:tcPr>
            <w:tcW w:w="3407" w:type="pct"/>
            <w:tcBorders>
              <w:top w:val="single" w:sz="12" w:space="0" w:color="auto"/>
              <w:bottom w:val="single" w:sz="12" w:space="0" w:color="auto"/>
            </w:tcBorders>
            <w:shd w:val="clear" w:color="auto" w:fill="auto"/>
          </w:tcPr>
          <w:p w14:paraId="6A5DF273" w14:textId="77777777" w:rsidR="003F0D4E" w:rsidRPr="00097A86" w:rsidRDefault="003F0D4E" w:rsidP="00C87D92">
            <w:pPr>
              <w:pStyle w:val="TableHeading"/>
            </w:pPr>
            <w:r w:rsidRPr="00097A86">
              <w:t>Fuel type</w:t>
            </w:r>
          </w:p>
        </w:tc>
        <w:tc>
          <w:tcPr>
            <w:tcW w:w="1166" w:type="pct"/>
            <w:tcBorders>
              <w:top w:val="single" w:sz="12" w:space="0" w:color="auto"/>
              <w:bottom w:val="single" w:sz="12" w:space="0" w:color="auto"/>
            </w:tcBorders>
            <w:shd w:val="clear" w:color="auto" w:fill="auto"/>
          </w:tcPr>
          <w:p w14:paraId="312B0503" w14:textId="77777777" w:rsidR="003F0D4E" w:rsidRPr="00097A86" w:rsidRDefault="003F0D4E" w:rsidP="00C87D92">
            <w:pPr>
              <w:pStyle w:val="TableHeading"/>
            </w:pPr>
            <w:r w:rsidRPr="00097A86">
              <w:t>Carbon content factor</w:t>
            </w:r>
            <w:r w:rsidRPr="00097A86">
              <w:br/>
              <w:t>tC/t fuel</w:t>
            </w:r>
          </w:p>
        </w:tc>
      </w:tr>
      <w:tr w:rsidR="003F0D4E" w:rsidRPr="00097A86" w14:paraId="68683848" w14:textId="77777777" w:rsidTr="00C20CC2">
        <w:trPr>
          <w:trHeight w:val="20"/>
        </w:trPr>
        <w:tc>
          <w:tcPr>
            <w:tcW w:w="5000" w:type="pct"/>
            <w:gridSpan w:val="3"/>
            <w:tcBorders>
              <w:top w:val="single" w:sz="12" w:space="0" w:color="auto"/>
            </w:tcBorders>
            <w:shd w:val="clear" w:color="auto" w:fill="auto"/>
          </w:tcPr>
          <w:p w14:paraId="7FFEAE0D" w14:textId="77777777" w:rsidR="003F0D4E" w:rsidRPr="00097A86" w:rsidRDefault="003F0D4E" w:rsidP="00D22D3F">
            <w:pPr>
              <w:pStyle w:val="Tabletext"/>
              <w:rPr>
                <w:snapToGrid w:val="0"/>
              </w:rPr>
            </w:pPr>
            <w:r w:rsidRPr="00097A86">
              <w:rPr>
                <w:i/>
                <w:snapToGrid w:val="0"/>
              </w:rPr>
              <w:t>Solid fossil fuels</w:t>
            </w:r>
          </w:p>
        </w:tc>
      </w:tr>
      <w:tr w:rsidR="00443A0E" w:rsidRPr="00097A86" w:rsidDel="00443A0E" w14:paraId="60C19554" w14:textId="77777777" w:rsidTr="00C20CC2">
        <w:trPr>
          <w:trHeight w:val="20"/>
        </w:trPr>
        <w:tc>
          <w:tcPr>
            <w:tcW w:w="427" w:type="pct"/>
            <w:shd w:val="clear" w:color="auto" w:fill="auto"/>
          </w:tcPr>
          <w:p w14:paraId="01442343" w14:textId="77777777" w:rsidR="00443A0E" w:rsidRPr="00097A86" w:rsidDel="00443A0E" w:rsidRDefault="00443A0E" w:rsidP="00D22D3F">
            <w:pPr>
              <w:pStyle w:val="Tabletext"/>
            </w:pPr>
            <w:r w:rsidRPr="00097A86">
              <w:t>1</w:t>
            </w:r>
          </w:p>
        </w:tc>
        <w:tc>
          <w:tcPr>
            <w:tcW w:w="3407" w:type="pct"/>
            <w:shd w:val="clear" w:color="auto" w:fill="auto"/>
          </w:tcPr>
          <w:p w14:paraId="2E09738B" w14:textId="77777777" w:rsidR="00443A0E" w:rsidRPr="00097A86" w:rsidDel="00443A0E" w:rsidRDefault="00443A0E" w:rsidP="00D22D3F">
            <w:pPr>
              <w:pStyle w:val="Tabletext"/>
              <w:rPr>
                <w:snapToGrid w:val="0"/>
              </w:rPr>
            </w:pPr>
            <w:r w:rsidRPr="00097A86">
              <w:t>Bituminous coal</w:t>
            </w:r>
          </w:p>
        </w:tc>
        <w:tc>
          <w:tcPr>
            <w:tcW w:w="1166" w:type="pct"/>
            <w:shd w:val="clear" w:color="auto" w:fill="auto"/>
          </w:tcPr>
          <w:p w14:paraId="3BA269CC" w14:textId="77777777" w:rsidR="00443A0E" w:rsidRPr="00097A86" w:rsidDel="00443A0E" w:rsidRDefault="00443A0E" w:rsidP="00D22D3F">
            <w:pPr>
              <w:pStyle w:val="Tabletext"/>
            </w:pPr>
            <w:r w:rsidRPr="00097A86">
              <w:t>0.663</w:t>
            </w:r>
          </w:p>
        </w:tc>
      </w:tr>
      <w:tr w:rsidR="00443A0E" w:rsidRPr="00097A86" w:rsidDel="00443A0E" w14:paraId="21AB58F1" w14:textId="77777777" w:rsidTr="00C20CC2">
        <w:trPr>
          <w:trHeight w:val="20"/>
        </w:trPr>
        <w:tc>
          <w:tcPr>
            <w:tcW w:w="427" w:type="pct"/>
            <w:shd w:val="clear" w:color="auto" w:fill="auto"/>
          </w:tcPr>
          <w:p w14:paraId="7D8AB458" w14:textId="77777777" w:rsidR="00443A0E" w:rsidRPr="00097A86" w:rsidDel="00443A0E" w:rsidRDefault="00443A0E" w:rsidP="00D22D3F">
            <w:pPr>
              <w:pStyle w:val="Tabletext"/>
            </w:pPr>
            <w:r w:rsidRPr="00097A86">
              <w:t>1A</w:t>
            </w:r>
          </w:p>
        </w:tc>
        <w:tc>
          <w:tcPr>
            <w:tcW w:w="3407" w:type="pct"/>
            <w:shd w:val="clear" w:color="auto" w:fill="auto"/>
          </w:tcPr>
          <w:p w14:paraId="4D358556" w14:textId="77777777" w:rsidR="00443A0E" w:rsidRPr="00097A86" w:rsidDel="00443A0E" w:rsidRDefault="00443A0E" w:rsidP="00D22D3F">
            <w:pPr>
              <w:pStyle w:val="Tabletext"/>
              <w:rPr>
                <w:snapToGrid w:val="0"/>
              </w:rPr>
            </w:pPr>
            <w:r w:rsidRPr="00097A86">
              <w:t>Sub</w:t>
            </w:r>
            <w:r w:rsidR="00097A86">
              <w:noBreakHyphen/>
            </w:r>
            <w:r w:rsidRPr="00097A86">
              <w:t>bituminous coal</w:t>
            </w:r>
          </w:p>
        </w:tc>
        <w:tc>
          <w:tcPr>
            <w:tcW w:w="1166" w:type="pct"/>
            <w:shd w:val="clear" w:color="auto" w:fill="auto"/>
          </w:tcPr>
          <w:p w14:paraId="19490757" w14:textId="77777777" w:rsidR="00443A0E" w:rsidRPr="00097A86" w:rsidDel="00443A0E" w:rsidRDefault="00443A0E" w:rsidP="00D22D3F">
            <w:pPr>
              <w:pStyle w:val="Tabletext"/>
            </w:pPr>
            <w:r w:rsidRPr="00097A86">
              <w:t>0.515</w:t>
            </w:r>
          </w:p>
        </w:tc>
      </w:tr>
      <w:tr w:rsidR="00443A0E" w:rsidRPr="00097A86" w:rsidDel="00443A0E" w14:paraId="5FA7E4DD" w14:textId="77777777" w:rsidTr="00C20CC2">
        <w:trPr>
          <w:trHeight w:val="20"/>
        </w:trPr>
        <w:tc>
          <w:tcPr>
            <w:tcW w:w="427" w:type="pct"/>
            <w:shd w:val="clear" w:color="auto" w:fill="auto"/>
          </w:tcPr>
          <w:p w14:paraId="457FE234" w14:textId="77777777" w:rsidR="00443A0E" w:rsidRPr="00097A86" w:rsidDel="00443A0E" w:rsidRDefault="00443A0E" w:rsidP="00D22D3F">
            <w:pPr>
              <w:pStyle w:val="Tabletext"/>
            </w:pPr>
            <w:r w:rsidRPr="00097A86">
              <w:t>1B</w:t>
            </w:r>
          </w:p>
        </w:tc>
        <w:tc>
          <w:tcPr>
            <w:tcW w:w="3407" w:type="pct"/>
            <w:shd w:val="clear" w:color="auto" w:fill="auto"/>
          </w:tcPr>
          <w:p w14:paraId="5615B7C3" w14:textId="77777777" w:rsidR="00443A0E" w:rsidRPr="00097A86" w:rsidDel="00443A0E" w:rsidRDefault="00443A0E" w:rsidP="00D22D3F">
            <w:pPr>
              <w:pStyle w:val="Tabletext"/>
              <w:rPr>
                <w:snapToGrid w:val="0"/>
              </w:rPr>
            </w:pPr>
            <w:r w:rsidRPr="00097A86">
              <w:t>Anthracite</w:t>
            </w:r>
          </w:p>
        </w:tc>
        <w:tc>
          <w:tcPr>
            <w:tcW w:w="1166" w:type="pct"/>
            <w:shd w:val="clear" w:color="auto" w:fill="auto"/>
          </w:tcPr>
          <w:p w14:paraId="1A3789A3" w14:textId="77777777" w:rsidR="00443A0E" w:rsidRPr="00097A86" w:rsidDel="00443A0E" w:rsidRDefault="00443A0E" w:rsidP="00D22D3F">
            <w:pPr>
              <w:pStyle w:val="Tabletext"/>
            </w:pPr>
            <w:r w:rsidRPr="00097A86">
              <w:t>0.712</w:t>
            </w:r>
          </w:p>
        </w:tc>
      </w:tr>
      <w:tr w:rsidR="00443A0E" w:rsidRPr="00097A86" w14:paraId="2387CA38" w14:textId="77777777" w:rsidTr="00C20CC2">
        <w:trPr>
          <w:trHeight w:val="20"/>
        </w:trPr>
        <w:tc>
          <w:tcPr>
            <w:tcW w:w="427" w:type="pct"/>
            <w:shd w:val="clear" w:color="auto" w:fill="auto"/>
          </w:tcPr>
          <w:p w14:paraId="4703EA65" w14:textId="77777777" w:rsidR="00443A0E" w:rsidRPr="00097A86" w:rsidRDefault="00443A0E" w:rsidP="00D22D3F">
            <w:pPr>
              <w:pStyle w:val="Tabletext"/>
            </w:pPr>
            <w:r w:rsidRPr="00097A86">
              <w:t>2</w:t>
            </w:r>
          </w:p>
        </w:tc>
        <w:tc>
          <w:tcPr>
            <w:tcW w:w="3407" w:type="pct"/>
            <w:shd w:val="clear" w:color="auto" w:fill="auto"/>
          </w:tcPr>
          <w:p w14:paraId="7C44050C" w14:textId="77777777" w:rsidR="00443A0E" w:rsidRPr="00097A86" w:rsidRDefault="00443A0E" w:rsidP="00D22D3F">
            <w:pPr>
              <w:pStyle w:val="Tabletext"/>
              <w:rPr>
                <w:snapToGrid w:val="0"/>
              </w:rPr>
            </w:pPr>
            <w:r w:rsidRPr="00097A86">
              <w:rPr>
                <w:snapToGrid w:val="0"/>
              </w:rPr>
              <w:t>Brown coal</w:t>
            </w:r>
          </w:p>
        </w:tc>
        <w:tc>
          <w:tcPr>
            <w:tcW w:w="1166" w:type="pct"/>
            <w:shd w:val="clear" w:color="auto" w:fill="auto"/>
          </w:tcPr>
          <w:p w14:paraId="58828DD3" w14:textId="77777777" w:rsidR="00443A0E" w:rsidRPr="00097A86" w:rsidRDefault="00443A0E" w:rsidP="00D22D3F">
            <w:pPr>
              <w:pStyle w:val="Tabletext"/>
            </w:pPr>
            <w:r w:rsidRPr="00097A86">
              <w:t>0.260</w:t>
            </w:r>
          </w:p>
        </w:tc>
      </w:tr>
      <w:tr w:rsidR="00443A0E" w:rsidRPr="00097A86" w14:paraId="049B887D" w14:textId="77777777" w:rsidTr="00C20CC2">
        <w:trPr>
          <w:trHeight w:val="20"/>
        </w:trPr>
        <w:tc>
          <w:tcPr>
            <w:tcW w:w="427" w:type="pct"/>
            <w:shd w:val="clear" w:color="auto" w:fill="auto"/>
          </w:tcPr>
          <w:p w14:paraId="2B6595C5" w14:textId="77777777" w:rsidR="00443A0E" w:rsidRPr="00097A86" w:rsidRDefault="00443A0E" w:rsidP="00D22D3F">
            <w:pPr>
              <w:pStyle w:val="Tabletext"/>
            </w:pPr>
            <w:r w:rsidRPr="00097A86">
              <w:t>3</w:t>
            </w:r>
          </w:p>
        </w:tc>
        <w:tc>
          <w:tcPr>
            <w:tcW w:w="3407" w:type="pct"/>
            <w:shd w:val="clear" w:color="auto" w:fill="auto"/>
          </w:tcPr>
          <w:p w14:paraId="732F6EB8" w14:textId="77777777" w:rsidR="00443A0E" w:rsidRPr="00097A86" w:rsidRDefault="00443A0E" w:rsidP="00D22D3F">
            <w:pPr>
              <w:pStyle w:val="Tabletext"/>
            </w:pPr>
            <w:r w:rsidRPr="00097A86">
              <w:t xml:space="preserve">Coking coal </w:t>
            </w:r>
          </w:p>
        </w:tc>
        <w:tc>
          <w:tcPr>
            <w:tcW w:w="1166" w:type="pct"/>
            <w:shd w:val="clear" w:color="auto" w:fill="auto"/>
          </w:tcPr>
          <w:p w14:paraId="7DB785F8" w14:textId="77777777" w:rsidR="00443A0E" w:rsidRPr="00097A86" w:rsidRDefault="00443A0E" w:rsidP="00D22D3F">
            <w:pPr>
              <w:pStyle w:val="Tabletext"/>
            </w:pPr>
            <w:r w:rsidRPr="00097A86">
              <w:t>0.752</w:t>
            </w:r>
          </w:p>
        </w:tc>
      </w:tr>
      <w:tr w:rsidR="00443A0E" w:rsidRPr="00097A86" w14:paraId="333FECE4" w14:textId="77777777" w:rsidTr="00C20CC2">
        <w:trPr>
          <w:trHeight w:val="20"/>
        </w:trPr>
        <w:tc>
          <w:tcPr>
            <w:tcW w:w="427" w:type="pct"/>
            <w:shd w:val="clear" w:color="auto" w:fill="auto"/>
          </w:tcPr>
          <w:p w14:paraId="5DCFCD98" w14:textId="77777777" w:rsidR="00443A0E" w:rsidRPr="00097A86" w:rsidRDefault="00443A0E" w:rsidP="00D22D3F">
            <w:pPr>
              <w:pStyle w:val="Tabletext"/>
            </w:pPr>
            <w:r w:rsidRPr="00097A86">
              <w:t>4</w:t>
            </w:r>
          </w:p>
        </w:tc>
        <w:tc>
          <w:tcPr>
            <w:tcW w:w="3407" w:type="pct"/>
            <w:shd w:val="clear" w:color="auto" w:fill="auto"/>
          </w:tcPr>
          <w:p w14:paraId="080F242D" w14:textId="77777777" w:rsidR="00443A0E" w:rsidRPr="00097A86" w:rsidRDefault="00443A0E" w:rsidP="00D22D3F">
            <w:pPr>
              <w:pStyle w:val="Tabletext"/>
              <w:rPr>
                <w:szCs w:val="22"/>
              </w:rPr>
            </w:pPr>
            <w:r w:rsidRPr="00097A86">
              <w:t>Coal briquettes</w:t>
            </w:r>
          </w:p>
        </w:tc>
        <w:tc>
          <w:tcPr>
            <w:tcW w:w="1166" w:type="pct"/>
            <w:shd w:val="clear" w:color="auto" w:fill="auto"/>
          </w:tcPr>
          <w:p w14:paraId="47EB91A9" w14:textId="77777777" w:rsidR="00443A0E" w:rsidRPr="00097A86" w:rsidRDefault="00443A0E" w:rsidP="00D22D3F">
            <w:pPr>
              <w:pStyle w:val="Tabletext"/>
            </w:pPr>
            <w:r w:rsidRPr="00097A86">
              <w:t>0.574</w:t>
            </w:r>
          </w:p>
        </w:tc>
      </w:tr>
      <w:tr w:rsidR="00443A0E" w:rsidRPr="00097A86" w14:paraId="203518A4" w14:textId="77777777" w:rsidTr="00C20CC2">
        <w:trPr>
          <w:trHeight w:val="20"/>
        </w:trPr>
        <w:tc>
          <w:tcPr>
            <w:tcW w:w="427" w:type="pct"/>
            <w:shd w:val="clear" w:color="auto" w:fill="auto"/>
          </w:tcPr>
          <w:p w14:paraId="366FC144" w14:textId="77777777" w:rsidR="00443A0E" w:rsidRPr="00097A86" w:rsidRDefault="00443A0E" w:rsidP="00D22D3F">
            <w:pPr>
              <w:pStyle w:val="Tabletext"/>
            </w:pPr>
            <w:r w:rsidRPr="00097A86">
              <w:t>5</w:t>
            </w:r>
          </w:p>
        </w:tc>
        <w:tc>
          <w:tcPr>
            <w:tcW w:w="3407" w:type="pct"/>
            <w:shd w:val="clear" w:color="auto" w:fill="auto"/>
          </w:tcPr>
          <w:p w14:paraId="785630C1" w14:textId="77777777" w:rsidR="00443A0E" w:rsidRPr="00097A86" w:rsidRDefault="00443A0E" w:rsidP="00D22D3F">
            <w:pPr>
              <w:pStyle w:val="Tabletext"/>
              <w:rPr>
                <w:szCs w:val="22"/>
              </w:rPr>
            </w:pPr>
            <w:r w:rsidRPr="00097A86">
              <w:t>Coal coke</w:t>
            </w:r>
          </w:p>
        </w:tc>
        <w:tc>
          <w:tcPr>
            <w:tcW w:w="1166" w:type="pct"/>
            <w:shd w:val="clear" w:color="auto" w:fill="auto"/>
          </w:tcPr>
          <w:p w14:paraId="1D996143" w14:textId="77777777" w:rsidR="00443A0E" w:rsidRPr="00097A86" w:rsidRDefault="00443A0E" w:rsidP="00D22D3F">
            <w:pPr>
              <w:pStyle w:val="Tabletext"/>
            </w:pPr>
            <w:r w:rsidRPr="00097A86">
              <w:t>0.789</w:t>
            </w:r>
          </w:p>
        </w:tc>
      </w:tr>
      <w:tr w:rsidR="00443A0E" w:rsidRPr="00097A86" w14:paraId="652DFF2F" w14:textId="77777777" w:rsidTr="00C20CC2">
        <w:trPr>
          <w:trHeight w:val="20"/>
        </w:trPr>
        <w:tc>
          <w:tcPr>
            <w:tcW w:w="427" w:type="pct"/>
            <w:shd w:val="clear" w:color="auto" w:fill="auto"/>
          </w:tcPr>
          <w:p w14:paraId="2FFF0221" w14:textId="77777777" w:rsidR="00443A0E" w:rsidRPr="00097A86" w:rsidRDefault="00443A0E" w:rsidP="00D22D3F">
            <w:pPr>
              <w:pStyle w:val="Tabletext"/>
            </w:pPr>
            <w:r w:rsidRPr="00097A86">
              <w:t>6</w:t>
            </w:r>
          </w:p>
        </w:tc>
        <w:tc>
          <w:tcPr>
            <w:tcW w:w="3407" w:type="pct"/>
            <w:shd w:val="clear" w:color="auto" w:fill="auto"/>
          </w:tcPr>
          <w:p w14:paraId="65016874" w14:textId="77777777" w:rsidR="00443A0E" w:rsidRPr="00097A86" w:rsidRDefault="00443A0E" w:rsidP="00D22D3F">
            <w:pPr>
              <w:pStyle w:val="Tabletext"/>
            </w:pPr>
            <w:r w:rsidRPr="00097A86">
              <w:t>Coal tar</w:t>
            </w:r>
          </w:p>
        </w:tc>
        <w:tc>
          <w:tcPr>
            <w:tcW w:w="1166" w:type="pct"/>
            <w:shd w:val="clear" w:color="auto" w:fill="auto"/>
          </w:tcPr>
          <w:p w14:paraId="02111A63" w14:textId="77777777" w:rsidR="00443A0E" w:rsidRPr="00097A86" w:rsidRDefault="00443A0E" w:rsidP="00D22D3F">
            <w:pPr>
              <w:pStyle w:val="Tabletext"/>
            </w:pPr>
            <w:r w:rsidRPr="00097A86">
              <w:t>0.837</w:t>
            </w:r>
          </w:p>
        </w:tc>
      </w:tr>
      <w:tr w:rsidR="00443A0E" w:rsidRPr="00097A86" w14:paraId="038419D7" w14:textId="77777777" w:rsidTr="00C20CC2">
        <w:trPr>
          <w:trHeight w:val="20"/>
        </w:trPr>
        <w:tc>
          <w:tcPr>
            <w:tcW w:w="427" w:type="pct"/>
            <w:shd w:val="clear" w:color="auto" w:fill="auto"/>
          </w:tcPr>
          <w:p w14:paraId="30A3A943" w14:textId="77777777" w:rsidR="00443A0E" w:rsidRPr="00097A86" w:rsidRDefault="00443A0E" w:rsidP="00D22D3F">
            <w:pPr>
              <w:pStyle w:val="Tabletext"/>
            </w:pPr>
            <w:r w:rsidRPr="00097A86">
              <w:t>7</w:t>
            </w:r>
          </w:p>
        </w:tc>
        <w:tc>
          <w:tcPr>
            <w:tcW w:w="3407" w:type="pct"/>
            <w:shd w:val="clear" w:color="auto" w:fill="auto"/>
          </w:tcPr>
          <w:p w14:paraId="11A12B23" w14:textId="77777777" w:rsidR="00443A0E" w:rsidRPr="00097A86" w:rsidRDefault="00443A0E" w:rsidP="00D22D3F">
            <w:pPr>
              <w:pStyle w:val="Tabletext"/>
            </w:pPr>
            <w:r w:rsidRPr="00097A86">
              <w:rPr>
                <w:snapToGrid w:val="0"/>
              </w:rPr>
              <w:t>Solid fossil fuels other than those mentioned in items</w:t>
            </w:r>
            <w:r w:rsidR="00097A86">
              <w:rPr>
                <w:snapToGrid w:val="0"/>
              </w:rPr>
              <w:t> </w:t>
            </w:r>
            <w:r w:rsidRPr="00097A86">
              <w:rPr>
                <w:snapToGrid w:val="0"/>
              </w:rPr>
              <w:t>1 to 5</w:t>
            </w:r>
          </w:p>
        </w:tc>
        <w:tc>
          <w:tcPr>
            <w:tcW w:w="1166" w:type="pct"/>
            <w:shd w:val="clear" w:color="auto" w:fill="auto"/>
          </w:tcPr>
          <w:p w14:paraId="6F008F3D" w14:textId="77777777" w:rsidR="00443A0E" w:rsidRPr="00097A86" w:rsidRDefault="00443A0E" w:rsidP="00D22D3F">
            <w:pPr>
              <w:pStyle w:val="Tabletext"/>
            </w:pPr>
            <w:r w:rsidRPr="00097A86">
              <w:t>0.574</w:t>
            </w:r>
          </w:p>
        </w:tc>
      </w:tr>
      <w:tr w:rsidR="00443A0E" w:rsidRPr="00097A86" w14:paraId="1441344A" w14:textId="77777777" w:rsidTr="00C20CC2">
        <w:trPr>
          <w:trHeight w:val="20"/>
        </w:trPr>
        <w:tc>
          <w:tcPr>
            <w:tcW w:w="5000" w:type="pct"/>
            <w:gridSpan w:val="3"/>
            <w:shd w:val="clear" w:color="auto" w:fill="auto"/>
          </w:tcPr>
          <w:p w14:paraId="7DDFF830" w14:textId="77777777" w:rsidR="00443A0E" w:rsidRPr="00097A86" w:rsidRDefault="00443A0E" w:rsidP="00D22D3F">
            <w:pPr>
              <w:pStyle w:val="Tabletext"/>
              <w:rPr>
                <w:i/>
              </w:rPr>
            </w:pPr>
            <w:r w:rsidRPr="00097A86">
              <w:rPr>
                <w:i/>
                <w:snapToGrid w:val="0"/>
              </w:rPr>
              <w:t>Fuels derived from recycled materials</w:t>
            </w:r>
          </w:p>
        </w:tc>
      </w:tr>
      <w:tr w:rsidR="00443A0E" w:rsidRPr="00097A86" w14:paraId="7A4B45D4" w14:textId="77777777" w:rsidTr="00C20CC2">
        <w:trPr>
          <w:trHeight w:val="20"/>
        </w:trPr>
        <w:tc>
          <w:tcPr>
            <w:tcW w:w="427" w:type="pct"/>
            <w:shd w:val="clear" w:color="auto" w:fill="auto"/>
          </w:tcPr>
          <w:p w14:paraId="247FAF42" w14:textId="77777777" w:rsidR="00443A0E" w:rsidRPr="00097A86" w:rsidRDefault="00443A0E" w:rsidP="00D22D3F">
            <w:pPr>
              <w:pStyle w:val="Tabletext"/>
            </w:pPr>
            <w:r w:rsidRPr="00097A86">
              <w:t>8</w:t>
            </w:r>
          </w:p>
        </w:tc>
        <w:tc>
          <w:tcPr>
            <w:tcW w:w="3407" w:type="pct"/>
            <w:shd w:val="clear" w:color="auto" w:fill="auto"/>
          </w:tcPr>
          <w:p w14:paraId="51734F8B" w14:textId="77777777" w:rsidR="00443A0E" w:rsidRPr="00097A86" w:rsidRDefault="00443A0E" w:rsidP="00D22D3F">
            <w:pPr>
              <w:pStyle w:val="Tabletext"/>
            </w:pPr>
            <w:r w:rsidRPr="00097A86">
              <w:rPr>
                <w:snapToGrid w:val="0"/>
              </w:rPr>
              <w:t xml:space="preserve">Industrial </w:t>
            </w:r>
            <w:r w:rsidRPr="00097A86">
              <w:t xml:space="preserve">materials and tyres that </w:t>
            </w:r>
            <w:r w:rsidRPr="00097A86">
              <w:rPr>
                <w:snapToGrid w:val="0"/>
              </w:rPr>
              <w:t>are derived from fossil fuels, if recycled and combusted to produce heat or electricity</w:t>
            </w:r>
          </w:p>
        </w:tc>
        <w:tc>
          <w:tcPr>
            <w:tcW w:w="1166" w:type="pct"/>
            <w:shd w:val="clear" w:color="auto" w:fill="auto"/>
          </w:tcPr>
          <w:p w14:paraId="4FBF55CC" w14:textId="77777777" w:rsidR="00443A0E" w:rsidRPr="00097A86" w:rsidRDefault="00443A0E" w:rsidP="00D22D3F">
            <w:pPr>
              <w:pStyle w:val="Tabletext"/>
            </w:pPr>
            <w:r w:rsidRPr="00097A86">
              <w:t>0.585</w:t>
            </w:r>
          </w:p>
        </w:tc>
      </w:tr>
      <w:tr w:rsidR="00443A0E" w:rsidRPr="00097A86" w14:paraId="07182210" w14:textId="77777777" w:rsidTr="00C20CC2">
        <w:trPr>
          <w:trHeight w:val="20"/>
        </w:trPr>
        <w:tc>
          <w:tcPr>
            <w:tcW w:w="427" w:type="pct"/>
            <w:shd w:val="clear" w:color="auto" w:fill="auto"/>
          </w:tcPr>
          <w:p w14:paraId="34C2C43C" w14:textId="77777777" w:rsidR="00443A0E" w:rsidRPr="00097A86" w:rsidRDefault="00443A0E" w:rsidP="00D22D3F">
            <w:pPr>
              <w:pStyle w:val="Tabletext"/>
            </w:pPr>
            <w:r w:rsidRPr="00097A86">
              <w:t>9</w:t>
            </w:r>
          </w:p>
        </w:tc>
        <w:tc>
          <w:tcPr>
            <w:tcW w:w="3407" w:type="pct"/>
            <w:shd w:val="clear" w:color="auto" w:fill="auto"/>
          </w:tcPr>
          <w:p w14:paraId="2EEF1321" w14:textId="77777777" w:rsidR="00443A0E" w:rsidRPr="00097A86" w:rsidRDefault="00443A0E" w:rsidP="00D22D3F">
            <w:pPr>
              <w:pStyle w:val="Tabletext"/>
            </w:pPr>
            <w:r w:rsidRPr="00097A86">
              <w:rPr>
                <w:snapToGrid w:val="0"/>
              </w:rPr>
              <w:t>Non</w:t>
            </w:r>
            <w:r w:rsidR="00097A86">
              <w:rPr>
                <w:snapToGrid w:val="0"/>
              </w:rPr>
              <w:noBreakHyphen/>
            </w:r>
            <w:r w:rsidRPr="00097A86">
              <w:rPr>
                <w:snapToGrid w:val="0"/>
              </w:rPr>
              <w:t>biomass municipal materials, if recycled and combusted to produce heat or electricity</w:t>
            </w:r>
          </w:p>
        </w:tc>
        <w:tc>
          <w:tcPr>
            <w:tcW w:w="1166" w:type="pct"/>
            <w:shd w:val="clear" w:color="auto" w:fill="auto"/>
          </w:tcPr>
          <w:p w14:paraId="24BDB0F5" w14:textId="77777777" w:rsidR="00443A0E" w:rsidRPr="00097A86" w:rsidRDefault="00443A0E" w:rsidP="00D22D3F">
            <w:pPr>
              <w:pStyle w:val="Tabletext"/>
            </w:pPr>
            <w:r w:rsidRPr="00097A86">
              <w:t>0.250</w:t>
            </w:r>
          </w:p>
          <w:p w14:paraId="1C3A63EC" w14:textId="77777777" w:rsidR="00443A0E" w:rsidRPr="00097A86" w:rsidRDefault="00443A0E" w:rsidP="00D22D3F">
            <w:pPr>
              <w:pStyle w:val="Tabletext"/>
            </w:pPr>
          </w:p>
        </w:tc>
      </w:tr>
      <w:tr w:rsidR="00443A0E" w:rsidRPr="00097A86" w14:paraId="70F1918C" w14:textId="77777777" w:rsidTr="00C20CC2">
        <w:trPr>
          <w:trHeight w:val="20"/>
        </w:trPr>
        <w:tc>
          <w:tcPr>
            <w:tcW w:w="5000" w:type="pct"/>
            <w:gridSpan w:val="3"/>
            <w:shd w:val="clear" w:color="auto" w:fill="auto"/>
          </w:tcPr>
          <w:p w14:paraId="43DF84AC" w14:textId="77777777" w:rsidR="00443A0E" w:rsidRPr="00097A86" w:rsidRDefault="00443A0E" w:rsidP="00D22D3F">
            <w:pPr>
              <w:pStyle w:val="Tabletext"/>
              <w:rPr>
                <w:i/>
              </w:rPr>
            </w:pPr>
            <w:r w:rsidRPr="00097A86">
              <w:rPr>
                <w:i/>
              </w:rPr>
              <w:t>Primary solid biomass fuels</w:t>
            </w:r>
          </w:p>
        </w:tc>
      </w:tr>
      <w:tr w:rsidR="00443A0E" w:rsidRPr="00097A86" w14:paraId="7D25F491" w14:textId="77777777" w:rsidTr="00C20CC2">
        <w:trPr>
          <w:trHeight w:val="20"/>
        </w:trPr>
        <w:tc>
          <w:tcPr>
            <w:tcW w:w="427" w:type="pct"/>
            <w:shd w:val="clear" w:color="auto" w:fill="auto"/>
          </w:tcPr>
          <w:p w14:paraId="7E69AA9B" w14:textId="77777777" w:rsidR="00443A0E" w:rsidRPr="00097A86" w:rsidRDefault="00443A0E" w:rsidP="00D22D3F">
            <w:pPr>
              <w:pStyle w:val="Tabletext"/>
            </w:pPr>
            <w:r w:rsidRPr="00097A86">
              <w:t>10</w:t>
            </w:r>
          </w:p>
        </w:tc>
        <w:tc>
          <w:tcPr>
            <w:tcW w:w="3407" w:type="pct"/>
            <w:shd w:val="clear" w:color="auto" w:fill="auto"/>
          </w:tcPr>
          <w:p w14:paraId="36C2FB2A" w14:textId="77777777" w:rsidR="00443A0E" w:rsidRPr="00097A86" w:rsidRDefault="00443A0E" w:rsidP="00D22D3F">
            <w:pPr>
              <w:pStyle w:val="Tabletext"/>
            </w:pPr>
            <w:r w:rsidRPr="00097A86">
              <w:t xml:space="preserve">Dry wood </w:t>
            </w:r>
          </w:p>
        </w:tc>
        <w:tc>
          <w:tcPr>
            <w:tcW w:w="1166" w:type="pct"/>
            <w:shd w:val="clear" w:color="auto" w:fill="auto"/>
          </w:tcPr>
          <w:p w14:paraId="712A41A9" w14:textId="77777777" w:rsidR="00443A0E" w:rsidRPr="00097A86" w:rsidRDefault="00443A0E" w:rsidP="00D22D3F">
            <w:pPr>
              <w:pStyle w:val="Tabletext"/>
            </w:pPr>
            <w:r w:rsidRPr="00097A86">
              <w:t>0</w:t>
            </w:r>
          </w:p>
        </w:tc>
      </w:tr>
      <w:tr w:rsidR="00443A0E" w:rsidRPr="00097A86" w14:paraId="154E4B35" w14:textId="77777777" w:rsidTr="00C20CC2">
        <w:trPr>
          <w:trHeight w:val="20"/>
        </w:trPr>
        <w:tc>
          <w:tcPr>
            <w:tcW w:w="427" w:type="pct"/>
            <w:shd w:val="clear" w:color="auto" w:fill="auto"/>
          </w:tcPr>
          <w:p w14:paraId="34244867" w14:textId="77777777" w:rsidR="00443A0E" w:rsidRPr="00097A86" w:rsidRDefault="00443A0E" w:rsidP="00D22D3F">
            <w:pPr>
              <w:pStyle w:val="Tabletext"/>
            </w:pPr>
            <w:r w:rsidRPr="00097A86">
              <w:t>11</w:t>
            </w:r>
          </w:p>
        </w:tc>
        <w:tc>
          <w:tcPr>
            <w:tcW w:w="3407" w:type="pct"/>
            <w:shd w:val="clear" w:color="auto" w:fill="auto"/>
          </w:tcPr>
          <w:p w14:paraId="6EFA5648" w14:textId="77777777" w:rsidR="00443A0E" w:rsidRPr="00097A86" w:rsidRDefault="00443A0E" w:rsidP="00D22D3F">
            <w:pPr>
              <w:pStyle w:val="Tabletext"/>
            </w:pPr>
            <w:r w:rsidRPr="00097A86">
              <w:t>Green and air dried wood</w:t>
            </w:r>
          </w:p>
        </w:tc>
        <w:tc>
          <w:tcPr>
            <w:tcW w:w="1166" w:type="pct"/>
            <w:shd w:val="clear" w:color="auto" w:fill="auto"/>
          </w:tcPr>
          <w:p w14:paraId="14CCF135" w14:textId="77777777" w:rsidR="00443A0E" w:rsidRPr="00097A86" w:rsidRDefault="00443A0E" w:rsidP="00D22D3F">
            <w:pPr>
              <w:pStyle w:val="Tabletext"/>
            </w:pPr>
            <w:r w:rsidRPr="00097A86">
              <w:t>0</w:t>
            </w:r>
          </w:p>
        </w:tc>
      </w:tr>
      <w:tr w:rsidR="00443A0E" w:rsidRPr="00097A86" w14:paraId="65AE0EB2" w14:textId="77777777" w:rsidTr="00C20CC2">
        <w:trPr>
          <w:trHeight w:val="20"/>
        </w:trPr>
        <w:tc>
          <w:tcPr>
            <w:tcW w:w="427" w:type="pct"/>
            <w:shd w:val="clear" w:color="auto" w:fill="auto"/>
          </w:tcPr>
          <w:p w14:paraId="77A7F8A2" w14:textId="77777777" w:rsidR="00443A0E" w:rsidRPr="00097A86" w:rsidRDefault="00443A0E" w:rsidP="00D22D3F">
            <w:pPr>
              <w:pStyle w:val="Tabletext"/>
            </w:pPr>
            <w:r w:rsidRPr="00097A86">
              <w:t>12</w:t>
            </w:r>
          </w:p>
        </w:tc>
        <w:tc>
          <w:tcPr>
            <w:tcW w:w="3407" w:type="pct"/>
            <w:shd w:val="clear" w:color="auto" w:fill="auto"/>
          </w:tcPr>
          <w:p w14:paraId="01FA4A87" w14:textId="77777777" w:rsidR="00443A0E" w:rsidRPr="00097A86" w:rsidRDefault="00443A0E" w:rsidP="00D22D3F">
            <w:pPr>
              <w:pStyle w:val="Tabletext"/>
            </w:pPr>
            <w:r w:rsidRPr="00097A86">
              <w:t>Sulphite lyes</w:t>
            </w:r>
          </w:p>
        </w:tc>
        <w:tc>
          <w:tcPr>
            <w:tcW w:w="1166" w:type="pct"/>
            <w:shd w:val="clear" w:color="auto" w:fill="auto"/>
          </w:tcPr>
          <w:p w14:paraId="7A09D144" w14:textId="77777777" w:rsidR="00443A0E" w:rsidRPr="00097A86" w:rsidRDefault="00443A0E" w:rsidP="00D22D3F">
            <w:pPr>
              <w:pStyle w:val="Tabletext"/>
            </w:pPr>
            <w:r w:rsidRPr="00097A86">
              <w:t>0</w:t>
            </w:r>
          </w:p>
        </w:tc>
      </w:tr>
      <w:tr w:rsidR="00443A0E" w:rsidRPr="00097A86" w14:paraId="58C8C7A6" w14:textId="77777777" w:rsidTr="00C20CC2">
        <w:trPr>
          <w:trHeight w:val="20"/>
        </w:trPr>
        <w:tc>
          <w:tcPr>
            <w:tcW w:w="427" w:type="pct"/>
            <w:shd w:val="clear" w:color="auto" w:fill="auto"/>
          </w:tcPr>
          <w:p w14:paraId="6176B048" w14:textId="77777777" w:rsidR="00443A0E" w:rsidRPr="00097A86" w:rsidRDefault="00443A0E" w:rsidP="00D22D3F">
            <w:pPr>
              <w:pStyle w:val="Tabletext"/>
            </w:pPr>
            <w:r w:rsidRPr="00097A86">
              <w:t>13</w:t>
            </w:r>
          </w:p>
        </w:tc>
        <w:tc>
          <w:tcPr>
            <w:tcW w:w="3407" w:type="pct"/>
            <w:shd w:val="clear" w:color="auto" w:fill="auto"/>
          </w:tcPr>
          <w:p w14:paraId="2155B065" w14:textId="77777777" w:rsidR="00443A0E" w:rsidRPr="00097A86" w:rsidRDefault="00443A0E" w:rsidP="00D22D3F">
            <w:pPr>
              <w:pStyle w:val="Tabletext"/>
            </w:pPr>
            <w:r w:rsidRPr="00097A86">
              <w:t>Bagasse</w:t>
            </w:r>
          </w:p>
        </w:tc>
        <w:tc>
          <w:tcPr>
            <w:tcW w:w="1166" w:type="pct"/>
            <w:shd w:val="clear" w:color="auto" w:fill="auto"/>
          </w:tcPr>
          <w:p w14:paraId="6F5CDE4B" w14:textId="77777777" w:rsidR="00443A0E" w:rsidRPr="00097A86" w:rsidRDefault="00443A0E" w:rsidP="00D22D3F">
            <w:pPr>
              <w:pStyle w:val="Tabletext"/>
            </w:pPr>
            <w:r w:rsidRPr="00097A86">
              <w:t>0</w:t>
            </w:r>
          </w:p>
        </w:tc>
      </w:tr>
      <w:tr w:rsidR="00443A0E" w:rsidRPr="00097A86" w14:paraId="44A126C3" w14:textId="77777777" w:rsidTr="00C20CC2">
        <w:trPr>
          <w:trHeight w:val="20"/>
        </w:trPr>
        <w:tc>
          <w:tcPr>
            <w:tcW w:w="427" w:type="pct"/>
            <w:shd w:val="clear" w:color="auto" w:fill="auto"/>
          </w:tcPr>
          <w:p w14:paraId="29A0146E" w14:textId="77777777" w:rsidR="00443A0E" w:rsidRPr="00097A86" w:rsidRDefault="00443A0E" w:rsidP="00D22D3F">
            <w:pPr>
              <w:pStyle w:val="Tabletext"/>
            </w:pPr>
            <w:r w:rsidRPr="00097A86">
              <w:t>14</w:t>
            </w:r>
          </w:p>
        </w:tc>
        <w:tc>
          <w:tcPr>
            <w:tcW w:w="3407" w:type="pct"/>
            <w:shd w:val="clear" w:color="auto" w:fill="auto"/>
          </w:tcPr>
          <w:p w14:paraId="7D3C93BA" w14:textId="77777777" w:rsidR="00443A0E" w:rsidRPr="00097A86" w:rsidRDefault="00443A0E" w:rsidP="00D22D3F">
            <w:pPr>
              <w:pStyle w:val="Tabletext"/>
            </w:pPr>
            <w:r w:rsidRPr="00097A86">
              <w:t>Biomass municipal and industrial materials, if recycled and combusted to produce heat or electricity</w:t>
            </w:r>
          </w:p>
        </w:tc>
        <w:tc>
          <w:tcPr>
            <w:tcW w:w="1166" w:type="pct"/>
            <w:shd w:val="clear" w:color="auto" w:fill="auto"/>
          </w:tcPr>
          <w:p w14:paraId="17FC499F" w14:textId="77777777" w:rsidR="00443A0E" w:rsidRPr="00097A86" w:rsidRDefault="00443A0E" w:rsidP="00D22D3F">
            <w:pPr>
              <w:pStyle w:val="Tabletext"/>
            </w:pPr>
            <w:r w:rsidRPr="00097A86">
              <w:t>0</w:t>
            </w:r>
          </w:p>
        </w:tc>
      </w:tr>
      <w:tr w:rsidR="00443A0E" w:rsidRPr="00097A86" w14:paraId="7C488811" w14:textId="77777777" w:rsidTr="00C20CC2">
        <w:trPr>
          <w:trHeight w:val="20"/>
        </w:trPr>
        <w:tc>
          <w:tcPr>
            <w:tcW w:w="427" w:type="pct"/>
            <w:tcBorders>
              <w:bottom w:val="single" w:sz="4" w:space="0" w:color="auto"/>
            </w:tcBorders>
            <w:shd w:val="clear" w:color="auto" w:fill="auto"/>
          </w:tcPr>
          <w:p w14:paraId="7558E40C" w14:textId="77777777" w:rsidR="00443A0E" w:rsidRPr="00097A86" w:rsidRDefault="00443A0E" w:rsidP="00D22D3F">
            <w:pPr>
              <w:pStyle w:val="Tabletext"/>
            </w:pPr>
            <w:r w:rsidRPr="00097A86">
              <w:t>15</w:t>
            </w:r>
          </w:p>
        </w:tc>
        <w:tc>
          <w:tcPr>
            <w:tcW w:w="3407" w:type="pct"/>
            <w:tcBorders>
              <w:bottom w:val="single" w:sz="4" w:space="0" w:color="auto"/>
            </w:tcBorders>
            <w:shd w:val="clear" w:color="auto" w:fill="auto"/>
          </w:tcPr>
          <w:p w14:paraId="6E319F10" w14:textId="77777777" w:rsidR="00443A0E" w:rsidRPr="00097A86" w:rsidRDefault="00443A0E" w:rsidP="00D22D3F">
            <w:pPr>
              <w:pStyle w:val="Tabletext"/>
            </w:pPr>
            <w:r w:rsidRPr="00097A86">
              <w:t xml:space="preserve">Charcoal </w:t>
            </w:r>
          </w:p>
        </w:tc>
        <w:tc>
          <w:tcPr>
            <w:tcW w:w="1166" w:type="pct"/>
            <w:tcBorders>
              <w:bottom w:val="single" w:sz="4" w:space="0" w:color="auto"/>
            </w:tcBorders>
            <w:shd w:val="clear" w:color="auto" w:fill="auto"/>
          </w:tcPr>
          <w:p w14:paraId="00B008A6" w14:textId="77777777" w:rsidR="00443A0E" w:rsidRPr="00097A86" w:rsidRDefault="00443A0E" w:rsidP="00D22D3F">
            <w:pPr>
              <w:pStyle w:val="Tabletext"/>
            </w:pPr>
            <w:r w:rsidRPr="00097A86">
              <w:t>0</w:t>
            </w:r>
          </w:p>
        </w:tc>
      </w:tr>
      <w:tr w:rsidR="00443A0E" w:rsidRPr="00097A86" w14:paraId="73B480A7" w14:textId="77777777" w:rsidTr="00C20CC2">
        <w:trPr>
          <w:trHeight w:val="20"/>
        </w:trPr>
        <w:tc>
          <w:tcPr>
            <w:tcW w:w="427" w:type="pct"/>
            <w:tcBorders>
              <w:bottom w:val="single" w:sz="12" w:space="0" w:color="auto"/>
            </w:tcBorders>
            <w:shd w:val="clear" w:color="auto" w:fill="auto"/>
          </w:tcPr>
          <w:p w14:paraId="0598E420" w14:textId="77777777" w:rsidR="00443A0E" w:rsidRPr="00097A86" w:rsidRDefault="00443A0E" w:rsidP="00D22D3F">
            <w:pPr>
              <w:pStyle w:val="Tabletext"/>
            </w:pPr>
            <w:r w:rsidRPr="00097A86">
              <w:t>16</w:t>
            </w:r>
          </w:p>
        </w:tc>
        <w:tc>
          <w:tcPr>
            <w:tcW w:w="3407" w:type="pct"/>
            <w:tcBorders>
              <w:bottom w:val="single" w:sz="12" w:space="0" w:color="auto"/>
            </w:tcBorders>
            <w:shd w:val="clear" w:color="auto" w:fill="auto"/>
          </w:tcPr>
          <w:p w14:paraId="55744683" w14:textId="77777777" w:rsidR="00443A0E" w:rsidRPr="00097A86" w:rsidRDefault="00443A0E" w:rsidP="00D22D3F">
            <w:pPr>
              <w:pStyle w:val="Tabletext"/>
            </w:pPr>
            <w:r w:rsidRPr="00097A86">
              <w:t>Primary solid biomass fuels other than those mentioned in items</w:t>
            </w:r>
            <w:r w:rsidR="00097A86">
              <w:t> </w:t>
            </w:r>
            <w:r w:rsidRPr="00097A86">
              <w:t>10 to 15</w:t>
            </w:r>
          </w:p>
        </w:tc>
        <w:tc>
          <w:tcPr>
            <w:tcW w:w="1166" w:type="pct"/>
            <w:tcBorders>
              <w:bottom w:val="single" w:sz="12" w:space="0" w:color="auto"/>
            </w:tcBorders>
            <w:shd w:val="clear" w:color="auto" w:fill="auto"/>
          </w:tcPr>
          <w:p w14:paraId="68C1F3D7" w14:textId="77777777" w:rsidR="00443A0E" w:rsidRPr="00097A86" w:rsidRDefault="00443A0E" w:rsidP="00D22D3F">
            <w:pPr>
              <w:pStyle w:val="Tabletext"/>
            </w:pPr>
            <w:r w:rsidRPr="00097A86">
              <w:t>0</w:t>
            </w:r>
          </w:p>
        </w:tc>
      </w:tr>
    </w:tbl>
    <w:p w14:paraId="6EB8890A" w14:textId="77777777" w:rsidR="003F0D4E" w:rsidRPr="00097A86" w:rsidRDefault="003F0D4E" w:rsidP="00D22D3F">
      <w:pPr>
        <w:pStyle w:val="ActHead2"/>
        <w:pageBreakBefore/>
      </w:pPr>
      <w:bookmarkStart w:id="690" w:name="_Toc13234113"/>
      <w:r w:rsidRPr="00097A86">
        <w:rPr>
          <w:rStyle w:val="CharPartNo"/>
        </w:rPr>
        <w:lastRenderedPageBreak/>
        <w:t>Part</w:t>
      </w:r>
      <w:r w:rsidR="00097A86">
        <w:rPr>
          <w:rStyle w:val="CharPartNo"/>
        </w:rPr>
        <w:t> </w:t>
      </w:r>
      <w:r w:rsidRPr="00097A86">
        <w:rPr>
          <w:rStyle w:val="CharPartNo"/>
        </w:rPr>
        <w:t>2</w:t>
      </w:r>
      <w:r w:rsidR="00D22D3F" w:rsidRPr="00097A86">
        <w:t>—</w:t>
      </w:r>
      <w:r w:rsidRPr="00097A86">
        <w:rPr>
          <w:rStyle w:val="CharPartText"/>
        </w:rPr>
        <w:t>Gaseous fuels</w:t>
      </w:r>
      <w:bookmarkEnd w:id="690"/>
    </w:p>
    <w:p w14:paraId="386E46EF"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0"/>
        <w:gridCol w:w="5664"/>
        <w:gridCol w:w="1939"/>
      </w:tblGrid>
      <w:tr w:rsidR="003F0D4E" w:rsidRPr="00097A86" w14:paraId="62B639AF" w14:textId="77777777" w:rsidTr="00C20CC2">
        <w:trPr>
          <w:trHeight w:val="20"/>
          <w:tblHeader/>
        </w:trPr>
        <w:tc>
          <w:tcPr>
            <w:tcW w:w="427" w:type="pct"/>
            <w:tcBorders>
              <w:top w:val="single" w:sz="12" w:space="0" w:color="auto"/>
              <w:bottom w:val="single" w:sz="12" w:space="0" w:color="auto"/>
            </w:tcBorders>
            <w:shd w:val="clear" w:color="auto" w:fill="auto"/>
          </w:tcPr>
          <w:p w14:paraId="79A413DD" w14:textId="77777777" w:rsidR="003F0D4E" w:rsidRPr="00097A86" w:rsidRDefault="003F0D4E" w:rsidP="00C87D92">
            <w:pPr>
              <w:pStyle w:val="TableHeading"/>
            </w:pPr>
            <w:r w:rsidRPr="00097A86">
              <w:t>Item</w:t>
            </w:r>
          </w:p>
        </w:tc>
        <w:tc>
          <w:tcPr>
            <w:tcW w:w="3407" w:type="pct"/>
            <w:tcBorders>
              <w:top w:val="single" w:sz="12" w:space="0" w:color="auto"/>
              <w:bottom w:val="single" w:sz="12" w:space="0" w:color="auto"/>
            </w:tcBorders>
            <w:shd w:val="clear" w:color="auto" w:fill="auto"/>
          </w:tcPr>
          <w:p w14:paraId="269B0BB5" w14:textId="77777777" w:rsidR="003F0D4E" w:rsidRPr="00097A86" w:rsidRDefault="003F0D4E" w:rsidP="00C87D92">
            <w:pPr>
              <w:pStyle w:val="TableHeading"/>
            </w:pPr>
            <w:r w:rsidRPr="00097A86">
              <w:t>Fuel type</w:t>
            </w:r>
          </w:p>
        </w:tc>
        <w:tc>
          <w:tcPr>
            <w:tcW w:w="1166" w:type="pct"/>
            <w:tcBorders>
              <w:top w:val="single" w:sz="12" w:space="0" w:color="auto"/>
              <w:bottom w:val="single" w:sz="12" w:space="0" w:color="auto"/>
            </w:tcBorders>
            <w:shd w:val="clear" w:color="auto" w:fill="auto"/>
          </w:tcPr>
          <w:p w14:paraId="251CF380" w14:textId="77777777" w:rsidR="003F0D4E" w:rsidRPr="00097A86" w:rsidRDefault="003F0D4E" w:rsidP="00C87D92">
            <w:pPr>
              <w:pStyle w:val="TableHeading"/>
            </w:pPr>
            <w:r w:rsidRPr="00097A86">
              <w:t>Carbon content factor</w:t>
            </w:r>
            <w:r w:rsidRPr="00097A86">
              <w:br/>
              <w:t>(tC/m</w:t>
            </w:r>
            <w:r w:rsidRPr="00097A86">
              <w:rPr>
                <w:vertAlign w:val="superscript"/>
              </w:rPr>
              <w:t>3</w:t>
            </w:r>
            <w:r w:rsidRPr="00097A86">
              <w:t xml:space="preserve"> of fuel unless otherwise specified)</w:t>
            </w:r>
          </w:p>
        </w:tc>
      </w:tr>
      <w:tr w:rsidR="003F0D4E" w:rsidRPr="00097A86" w14:paraId="56F788C8" w14:textId="77777777" w:rsidTr="00C20CC2">
        <w:trPr>
          <w:trHeight w:val="20"/>
        </w:trPr>
        <w:tc>
          <w:tcPr>
            <w:tcW w:w="5000" w:type="pct"/>
            <w:gridSpan w:val="3"/>
            <w:tcBorders>
              <w:top w:val="single" w:sz="12" w:space="0" w:color="auto"/>
            </w:tcBorders>
            <w:shd w:val="clear" w:color="auto" w:fill="auto"/>
          </w:tcPr>
          <w:p w14:paraId="03CFD3A8" w14:textId="77777777" w:rsidR="003F0D4E" w:rsidRPr="00097A86" w:rsidRDefault="003F0D4E" w:rsidP="00D22D3F">
            <w:pPr>
              <w:pStyle w:val="Tabletext"/>
              <w:rPr>
                <w:i/>
              </w:rPr>
            </w:pPr>
            <w:r w:rsidRPr="00097A86">
              <w:rPr>
                <w:i/>
              </w:rPr>
              <w:t>Gaseous fossil fuels</w:t>
            </w:r>
          </w:p>
        </w:tc>
      </w:tr>
      <w:tr w:rsidR="003F0D4E" w:rsidRPr="00097A86" w14:paraId="09E34AD9" w14:textId="77777777" w:rsidTr="00C20CC2">
        <w:trPr>
          <w:trHeight w:val="20"/>
        </w:trPr>
        <w:tc>
          <w:tcPr>
            <w:tcW w:w="427" w:type="pct"/>
            <w:shd w:val="clear" w:color="auto" w:fill="auto"/>
          </w:tcPr>
          <w:p w14:paraId="714735B2" w14:textId="77777777" w:rsidR="003F0D4E" w:rsidRPr="00097A86" w:rsidRDefault="003F0D4E" w:rsidP="00D22D3F">
            <w:pPr>
              <w:pStyle w:val="Tabletext"/>
            </w:pPr>
            <w:r w:rsidRPr="00097A86">
              <w:t>17</w:t>
            </w:r>
          </w:p>
        </w:tc>
        <w:tc>
          <w:tcPr>
            <w:tcW w:w="3407" w:type="pct"/>
            <w:shd w:val="clear" w:color="auto" w:fill="auto"/>
          </w:tcPr>
          <w:p w14:paraId="53E3F416" w14:textId="77777777" w:rsidR="003F0D4E" w:rsidRPr="00097A86" w:rsidRDefault="003F0D4E" w:rsidP="00D22D3F">
            <w:pPr>
              <w:pStyle w:val="Tabletext"/>
            </w:pPr>
            <w:r w:rsidRPr="00097A86">
              <w:t>Natural gas if distributed in a pipeline</w:t>
            </w:r>
          </w:p>
        </w:tc>
        <w:tc>
          <w:tcPr>
            <w:tcW w:w="1166" w:type="pct"/>
            <w:shd w:val="clear" w:color="auto" w:fill="auto"/>
          </w:tcPr>
          <w:p w14:paraId="6B17C4BC" w14:textId="77777777" w:rsidR="003F0D4E" w:rsidRPr="00097A86" w:rsidRDefault="003F0D4E" w:rsidP="00D22D3F">
            <w:pPr>
              <w:pStyle w:val="Tabletext"/>
            </w:pPr>
            <w:r w:rsidRPr="00097A86">
              <w:t>5.52 × 10</w:t>
            </w:r>
            <w:r w:rsidR="00097A86">
              <w:rPr>
                <w:vertAlign w:val="superscript"/>
              </w:rPr>
              <w:noBreakHyphen/>
            </w:r>
            <w:r w:rsidRPr="00097A86">
              <w:rPr>
                <w:vertAlign w:val="superscript"/>
              </w:rPr>
              <w:t>4</w:t>
            </w:r>
          </w:p>
        </w:tc>
      </w:tr>
      <w:tr w:rsidR="00D957B3" w:rsidRPr="00097A86" w14:paraId="172E1838" w14:textId="77777777" w:rsidTr="00C20CC2">
        <w:trPr>
          <w:trHeight w:val="20"/>
        </w:trPr>
        <w:tc>
          <w:tcPr>
            <w:tcW w:w="427" w:type="pct"/>
            <w:shd w:val="clear" w:color="auto" w:fill="auto"/>
          </w:tcPr>
          <w:p w14:paraId="6FBB25B2" w14:textId="77777777" w:rsidR="00D957B3" w:rsidRPr="00097A86" w:rsidRDefault="00D957B3" w:rsidP="00D22D3F">
            <w:pPr>
              <w:pStyle w:val="Tabletext"/>
            </w:pPr>
            <w:r w:rsidRPr="00097A86">
              <w:t>17A</w:t>
            </w:r>
          </w:p>
        </w:tc>
        <w:tc>
          <w:tcPr>
            <w:tcW w:w="3407" w:type="pct"/>
            <w:shd w:val="clear" w:color="auto" w:fill="auto"/>
          </w:tcPr>
          <w:p w14:paraId="79A206B6" w14:textId="77777777" w:rsidR="00D957B3" w:rsidRPr="00097A86" w:rsidRDefault="00D957B3" w:rsidP="00D22D3F">
            <w:pPr>
              <w:pStyle w:val="Tabletext"/>
            </w:pPr>
            <w:r w:rsidRPr="00097A86">
              <w:t>Natural gas, if:</w:t>
            </w:r>
          </w:p>
          <w:p w14:paraId="57E8676E" w14:textId="77777777" w:rsidR="00D957B3" w:rsidRPr="00097A86" w:rsidRDefault="00D22D3F" w:rsidP="00D22D3F">
            <w:pPr>
              <w:pStyle w:val="Tablea"/>
            </w:pPr>
            <w:r w:rsidRPr="00097A86">
              <w:t>(</w:t>
            </w:r>
            <w:r w:rsidR="00D957B3" w:rsidRPr="00097A86">
              <w:t>a</w:t>
            </w:r>
            <w:r w:rsidRPr="00097A86">
              <w:t xml:space="preserve">) </w:t>
            </w:r>
            <w:r w:rsidR="00D957B3" w:rsidRPr="00097A86">
              <w:t>distributed in a pipeline; and</w:t>
            </w:r>
          </w:p>
          <w:p w14:paraId="09D4D5C9" w14:textId="77777777" w:rsidR="003B25C5" w:rsidRPr="00097A86" w:rsidRDefault="00D22D3F" w:rsidP="00D22D3F">
            <w:pPr>
              <w:pStyle w:val="Tablea"/>
              <w:rPr>
                <w:b/>
                <w:szCs w:val="22"/>
              </w:rPr>
            </w:pPr>
            <w:r w:rsidRPr="00097A86">
              <w:t>(</w:t>
            </w:r>
            <w:r w:rsidR="00D957B3" w:rsidRPr="00097A86">
              <w:t>b</w:t>
            </w:r>
            <w:r w:rsidRPr="00097A86">
              <w:t xml:space="preserve">) </w:t>
            </w:r>
            <w:r w:rsidR="00D957B3" w:rsidRPr="00097A86">
              <w:t>measured in units of gigajoules only</w:t>
            </w:r>
          </w:p>
        </w:tc>
        <w:tc>
          <w:tcPr>
            <w:tcW w:w="1166" w:type="pct"/>
            <w:shd w:val="clear" w:color="auto" w:fill="auto"/>
          </w:tcPr>
          <w:p w14:paraId="451A25EF" w14:textId="77777777" w:rsidR="00D957B3" w:rsidRPr="00097A86" w:rsidRDefault="00D957B3" w:rsidP="00D22D3F">
            <w:pPr>
              <w:pStyle w:val="Tabletext"/>
            </w:pPr>
            <w:r w:rsidRPr="00097A86">
              <w:t>1.40 × 10</w:t>
            </w:r>
            <w:r w:rsidR="00097A86">
              <w:rPr>
                <w:vertAlign w:val="superscript"/>
              </w:rPr>
              <w:noBreakHyphen/>
            </w:r>
            <w:r w:rsidRPr="00097A86">
              <w:rPr>
                <w:vertAlign w:val="superscript"/>
              </w:rPr>
              <w:t xml:space="preserve">2 </w:t>
            </w:r>
            <w:r w:rsidRPr="00097A86">
              <w:t>tC/GJ of fuel</w:t>
            </w:r>
          </w:p>
        </w:tc>
      </w:tr>
      <w:tr w:rsidR="003F0D4E" w:rsidRPr="00097A86" w14:paraId="23739784" w14:textId="77777777" w:rsidTr="00C20CC2">
        <w:trPr>
          <w:trHeight w:val="20"/>
        </w:trPr>
        <w:tc>
          <w:tcPr>
            <w:tcW w:w="427" w:type="pct"/>
            <w:shd w:val="clear" w:color="auto" w:fill="auto"/>
          </w:tcPr>
          <w:p w14:paraId="5E63E061" w14:textId="77777777" w:rsidR="003F0D4E" w:rsidRPr="00097A86" w:rsidRDefault="003F0D4E" w:rsidP="00D22D3F">
            <w:pPr>
              <w:pStyle w:val="Tabletext"/>
            </w:pPr>
            <w:r w:rsidRPr="00097A86">
              <w:t>18</w:t>
            </w:r>
          </w:p>
        </w:tc>
        <w:tc>
          <w:tcPr>
            <w:tcW w:w="3407" w:type="pct"/>
            <w:shd w:val="clear" w:color="auto" w:fill="auto"/>
          </w:tcPr>
          <w:p w14:paraId="38A3C061" w14:textId="77777777" w:rsidR="003F0D4E" w:rsidRPr="00097A86" w:rsidRDefault="003F0D4E" w:rsidP="00D22D3F">
            <w:pPr>
              <w:pStyle w:val="Tabletext"/>
            </w:pPr>
            <w:r w:rsidRPr="00097A86">
              <w:t>Coal seam methane that is captured for combustion</w:t>
            </w:r>
          </w:p>
        </w:tc>
        <w:tc>
          <w:tcPr>
            <w:tcW w:w="1166" w:type="pct"/>
            <w:shd w:val="clear" w:color="auto" w:fill="auto"/>
          </w:tcPr>
          <w:p w14:paraId="7D182C97" w14:textId="77777777" w:rsidR="003F0D4E" w:rsidRPr="00097A86" w:rsidRDefault="00473D46" w:rsidP="00D22D3F">
            <w:pPr>
              <w:pStyle w:val="Tabletext"/>
            </w:pPr>
            <w:r w:rsidRPr="00097A86">
              <w:t>5.52</w:t>
            </w:r>
            <w:r w:rsidR="003F0D4E" w:rsidRPr="00097A86">
              <w:t xml:space="preserve"> × 10</w:t>
            </w:r>
            <w:r w:rsidR="00097A86">
              <w:rPr>
                <w:vertAlign w:val="superscript"/>
              </w:rPr>
              <w:noBreakHyphen/>
            </w:r>
            <w:r w:rsidR="003F0D4E" w:rsidRPr="00097A86">
              <w:rPr>
                <w:vertAlign w:val="superscript"/>
              </w:rPr>
              <w:t>4</w:t>
            </w:r>
          </w:p>
        </w:tc>
      </w:tr>
      <w:tr w:rsidR="003F0D4E" w:rsidRPr="00097A86" w14:paraId="40169FD7" w14:textId="77777777" w:rsidTr="00C20CC2">
        <w:trPr>
          <w:trHeight w:val="20"/>
        </w:trPr>
        <w:tc>
          <w:tcPr>
            <w:tcW w:w="427" w:type="pct"/>
            <w:shd w:val="clear" w:color="auto" w:fill="auto"/>
          </w:tcPr>
          <w:p w14:paraId="248863C5" w14:textId="77777777" w:rsidR="003F0D4E" w:rsidRPr="00097A86" w:rsidRDefault="003F0D4E" w:rsidP="00D22D3F">
            <w:pPr>
              <w:pStyle w:val="Tabletext"/>
            </w:pPr>
            <w:r w:rsidRPr="00097A86">
              <w:t>19</w:t>
            </w:r>
          </w:p>
        </w:tc>
        <w:tc>
          <w:tcPr>
            <w:tcW w:w="3407" w:type="pct"/>
            <w:shd w:val="clear" w:color="auto" w:fill="auto"/>
          </w:tcPr>
          <w:p w14:paraId="1F68349D" w14:textId="77777777" w:rsidR="003F0D4E" w:rsidRPr="00097A86" w:rsidRDefault="003F0D4E" w:rsidP="00D22D3F">
            <w:pPr>
              <w:pStyle w:val="Tabletext"/>
            </w:pPr>
            <w:r w:rsidRPr="00097A86">
              <w:t>Coal mine waste gas that is captured for combustion</w:t>
            </w:r>
          </w:p>
        </w:tc>
        <w:tc>
          <w:tcPr>
            <w:tcW w:w="1166" w:type="pct"/>
            <w:shd w:val="clear" w:color="auto" w:fill="auto"/>
          </w:tcPr>
          <w:p w14:paraId="7BB73FC7" w14:textId="77777777" w:rsidR="003F0D4E" w:rsidRPr="00097A86" w:rsidRDefault="003F0D4E" w:rsidP="00D22D3F">
            <w:pPr>
              <w:pStyle w:val="Tabletext"/>
            </w:pPr>
            <w:r w:rsidRPr="00097A86">
              <w:t>5.34 × 10</w:t>
            </w:r>
            <w:r w:rsidR="00097A86">
              <w:rPr>
                <w:vertAlign w:val="superscript"/>
              </w:rPr>
              <w:noBreakHyphen/>
            </w:r>
            <w:r w:rsidRPr="00097A86">
              <w:rPr>
                <w:vertAlign w:val="superscript"/>
              </w:rPr>
              <w:t>4</w:t>
            </w:r>
          </w:p>
        </w:tc>
      </w:tr>
      <w:tr w:rsidR="003F0D4E" w:rsidRPr="00097A86" w14:paraId="784A1325" w14:textId="77777777" w:rsidTr="00C20CC2">
        <w:trPr>
          <w:trHeight w:val="20"/>
        </w:trPr>
        <w:tc>
          <w:tcPr>
            <w:tcW w:w="427" w:type="pct"/>
            <w:shd w:val="clear" w:color="auto" w:fill="auto"/>
          </w:tcPr>
          <w:p w14:paraId="3EFEE055" w14:textId="77777777" w:rsidR="003F0D4E" w:rsidRPr="00097A86" w:rsidRDefault="003F0D4E" w:rsidP="00D22D3F">
            <w:pPr>
              <w:pStyle w:val="Tabletext"/>
            </w:pPr>
            <w:r w:rsidRPr="00097A86">
              <w:t>20</w:t>
            </w:r>
          </w:p>
        </w:tc>
        <w:tc>
          <w:tcPr>
            <w:tcW w:w="3407" w:type="pct"/>
            <w:shd w:val="clear" w:color="auto" w:fill="auto"/>
          </w:tcPr>
          <w:p w14:paraId="52F105ED" w14:textId="77777777" w:rsidR="003F0D4E" w:rsidRPr="00097A86" w:rsidRDefault="003F0D4E" w:rsidP="00D22D3F">
            <w:pPr>
              <w:pStyle w:val="Tabletext"/>
            </w:pPr>
            <w:r w:rsidRPr="00097A86">
              <w:t>Compressed natural gas</w:t>
            </w:r>
          </w:p>
        </w:tc>
        <w:tc>
          <w:tcPr>
            <w:tcW w:w="1166" w:type="pct"/>
            <w:shd w:val="clear" w:color="auto" w:fill="auto"/>
          </w:tcPr>
          <w:p w14:paraId="037D4844" w14:textId="77777777" w:rsidR="003F0D4E" w:rsidRPr="00097A86" w:rsidRDefault="003F0D4E" w:rsidP="00D22D3F">
            <w:pPr>
              <w:pStyle w:val="Tabletext"/>
            </w:pPr>
            <w:r w:rsidRPr="00097A86">
              <w:t>5.52 × 10</w:t>
            </w:r>
            <w:r w:rsidR="00097A86">
              <w:rPr>
                <w:vertAlign w:val="superscript"/>
              </w:rPr>
              <w:noBreakHyphen/>
            </w:r>
            <w:r w:rsidRPr="00097A86">
              <w:rPr>
                <w:vertAlign w:val="superscript"/>
              </w:rPr>
              <w:t>4</w:t>
            </w:r>
          </w:p>
        </w:tc>
      </w:tr>
      <w:tr w:rsidR="003F0D4E" w:rsidRPr="00097A86" w14:paraId="6323699C" w14:textId="77777777" w:rsidTr="00C20CC2">
        <w:trPr>
          <w:trHeight w:val="20"/>
        </w:trPr>
        <w:tc>
          <w:tcPr>
            <w:tcW w:w="427" w:type="pct"/>
            <w:shd w:val="clear" w:color="auto" w:fill="auto"/>
          </w:tcPr>
          <w:p w14:paraId="4CCD665B" w14:textId="77777777" w:rsidR="003F0D4E" w:rsidRPr="00097A86" w:rsidRDefault="003F0D4E" w:rsidP="00D22D3F">
            <w:pPr>
              <w:pStyle w:val="Tabletext"/>
            </w:pPr>
            <w:r w:rsidRPr="00097A86">
              <w:t>21</w:t>
            </w:r>
          </w:p>
        </w:tc>
        <w:tc>
          <w:tcPr>
            <w:tcW w:w="3407" w:type="pct"/>
            <w:shd w:val="clear" w:color="auto" w:fill="auto"/>
          </w:tcPr>
          <w:p w14:paraId="7EDC8AE5" w14:textId="77777777" w:rsidR="003F0D4E" w:rsidRPr="00097A86" w:rsidRDefault="003F0D4E" w:rsidP="00D22D3F">
            <w:pPr>
              <w:pStyle w:val="Tabletext"/>
            </w:pPr>
            <w:r w:rsidRPr="00097A86">
              <w:t>Unprocessed natural gas</w:t>
            </w:r>
          </w:p>
        </w:tc>
        <w:tc>
          <w:tcPr>
            <w:tcW w:w="1166" w:type="pct"/>
            <w:shd w:val="clear" w:color="auto" w:fill="auto"/>
          </w:tcPr>
          <w:p w14:paraId="6DC96B39" w14:textId="77777777" w:rsidR="003F0D4E" w:rsidRPr="00097A86" w:rsidRDefault="003F0D4E" w:rsidP="00D22D3F">
            <w:pPr>
              <w:pStyle w:val="Tabletext"/>
            </w:pPr>
            <w:r w:rsidRPr="00097A86">
              <w:t>5.52 × 10</w:t>
            </w:r>
            <w:r w:rsidR="00097A86">
              <w:rPr>
                <w:vertAlign w:val="superscript"/>
              </w:rPr>
              <w:noBreakHyphen/>
            </w:r>
            <w:r w:rsidRPr="00097A86">
              <w:rPr>
                <w:vertAlign w:val="superscript"/>
              </w:rPr>
              <w:t>4</w:t>
            </w:r>
          </w:p>
        </w:tc>
      </w:tr>
      <w:tr w:rsidR="003F0D4E" w:rsidRPr="00097A86" w14:paraId="424377A6" w14:textId="77777777" w:rsidTr="00C20CC2">
        <w:trPr>
          <w:trHeight w:val="20"/>
        </w:trPr>
        <w:tc>
          <w:tcPr>
            <w:tcW w:w="427" w:type="pct"/>
            <w:shd w:val="clear" w:color="auto" w:fill="auto"/>
          </w:tcPr>
          <w:p w14:paraId="609761E8" w14:textId="77777777" w:rsidR="003F0D4E" w:rsidRPr="00097A86" w:rsidRDefault="003F0D4E" w:rsidP="00D22D3F">
            <w:pPr>
              <w:pStyle w:val="Tabletext"/>
            </w:pPr>
            <w:r w:rsidRPr="00097A86">
              <w:t>22</w:t>
            </w:r>
          </w:p>
        </w:tc>
        <w:tc>
          <w:tcPr>
            <w:tcW w:w="3407" w:type="pct"/>
            <w:shd w:val="clear" w:color="auto" w:fill="auto"/>
          </w:tcPr>
          <w:p w14:paraId="2A93F220" w14:textId="77777777" w:rsidR="003F0D4E" w:rsidRPr="00097A86" w:rsidRDefault="003F0D4E" w:rsidP="00D22D3F">
            <w:pPr>
              <w:pStyle w:val="Tabletext"/>
            </w:pPr>
            <w:r w:rsidRPr="00097A86">
              <w:t>Ethane</w:t>
            </w:r>
          </w:p>
        </w:tc>
        <w:tc>
          <w:tcPr>
            <w:tcW w:w="1166" w:type="pct"/>
            <w:shd w:val="clear" w:color="auto" w:fill="auto"/>
          </w:tcPr>
          <w:p w14:paraId="08BC7E3C" w14:textId="77777777" w:rsidR="003F0D4E" w:rsidRPr="00097A86" w:rsidRDefault="00EF5046" w:rsidP="00D22D3F">
            <w:pPr>
              <w:pStyle w:val="Tabletext"/>
            </w:pPr>
            <w:r w:rsidRPr="00097A86">
              <w:t>9.70 × 10</w:t>
            </w:r>
            <w:r w:rsidR="00097A86">
              <w:rPr>
                <w:vertAlign w:val="superscript"/>
              </w:rPr>
              <w:noBreakHyphen/>
            </w:r>
            <w:r w:rsidRPr="00097A86">
              <w:rPr>
                <w:vertAlign w:val="superscript"/>
              </w:rPr>
              <w:t>4</w:t>
            </w:r>
          </w:p>
        </w:tc>
      </w:tr>
      <w:tr w:rsidR="003F0D4E" w:rsidRPr="00097A86" w14:paraId="1B4A0DB2" w14:textId="77777777" w:rsidTr="00C20CC2">
        <w:trPr>
          <w:trHeight w:val="20"/>
        </w:trPr>
        <w:tc>
          <w:tcPr>
            <w:tcW w:w="427" w:type="pct"/>
            <w:shd w:val="clear" w:color="auto" w:fill="auto"/>
          </w:tcPr>
          <w:p w14:paraId="3151E975" w14:textId="77777777" w:rsidR="003F0D4E" w:rsidRPr="00097A86" w:rsidRDefault="003F0D4E" w:rsidP="00D22D3F">
            <w:pPr>
              <w:pStyle w:val="Tabletext"/>
            </w:pPr>
            <w:r w:rsidRPr="00097A86">
              <w:t>23</w:t>
            </w:r>
          </w:p>
        </w:tc>
        <w:tc>
          <w:tcPr>
            <w:tcW w:w="3407" w:type="pct"/>
            <w:shd w:val="clear" w:color="auto" w:fill="auto"/>
          </w:tcPr>
          <w:p w14:paraId="2E75F24A" w14:textId="77777777" w:rsidR="003F0D4E" w:rsidRPr="00097A86" w:rsidRDefault="003F0D4E" w:rsidP="00D22D3F">
            <w:pPr>
              <w:pStyle w:val="Tabletext"/>
            </w:pPr>
            <w:r w:rsidRPr="00097A86">
              <w:t>Coke oven gas</w:t>
            </w:r>
          </w:p>
        </w:tc>
        <w:tc>
          <w:tcPr>
            <w:tcW w:w="1166" w:type="pct"/>
            <w:shd w:val="clear" w:color="auto" w:fill="auto"/>
          </w:tcPr>
          <w:p w14:paraId="7DDCD0FA" w14:textId="77777777" w:rsidR="003F0D4E" w:rsidRPr="00097A86" w:rsidRDefault="003F0D4E" w:rsidP="00D22D3F">
            <w:pPr>
              <w:pStyle w:val="Tabletext"/>
            </w:pPr>
            <w:r w:rsidRPr="00097A86">
              <w:t>1.83 × 10</w:t>
            </w:r>
            <w:r w:rsidR="00097A86">
              <w:rPr>
                <w:vertAlign w:val="superscript"/>
              </w:rPr>
              <w:noBreakHyphen/>
            </w:r>
            <w:r w:rsidRPr="00097A86">
              <w:rPr>
                <w:vertAlign w:val="superscript"/>
              </w:rPr>
              <w:t>4</w:t>
            </w:r>
          </w:p>
        </w:tc>
      </w:tr>
      <w:tr w:rsidR="003F0D4E" w:rsidRPr="00097A86" w14:paraId="72426B70" w14:textId="77777777" w:rsidTr="00C20CC2">
        <w:trPr>
          <w:trHeight w:val="20"/>
        </w:trPr>
        <w:tc>
          <w:tcPr>
            <w:tcW w:w="427" w:type="pct"/>
            <w:shd w:val="clear" w:color="auto" w:fill="auto"/>
          </w:tcPr>
          <w:p w14:paraId="02FC1758" w14:textId="77777777" w:rsidR="003F0D4E" w:rsidRPr="00097A86" w:rsidRDefault="003F0D4E" w:rsidP="00D22D3F">
            <w:pPr>
              <w:pStyle w:val="Tabletext"/>
            </w:pPr>
            <w:r w:rsidRPr="00097A86">
              <w:t>24</w:t>
            </w:r>
          </w:p>
        </w:tc>
        <w:tc>
          <w:tcPr>
            <w:tcW w:w="3407" w:type="pct"/>
            <w:shd w:val="clear" w:color="auto" w:fill="auto"/>
          </w:tcPr>
          <w:p w14:paraId="1C184EDB" w14:textId="77777777" w:rsidR="003F0D4E" w:rsidRPr="00097A86" w:rsidRDefault="003F0D4E" w:rsidP="00D22D3F">
            <w:pPr>
              <w:pStyle w:val="Tabletext"/>
            </w:pPr>
            <w:r w:rsidRPr="00097A86">
              <w:t>Blast furnace gas</w:t>
            </w:r>
          </w:p>
        </w:tc>
        <w:tc>
          <w:tcPr>
            <w:tcW w:w="1166" w:type="pct"/>
            <w:shd w:val="clear" w:color="auto" w:fill="auto"/>
          </w:tcPr>
          <w:p w14:paraId="6B95F0C3" w14:textId="77777777" w:rsidR="003F0D4E" w:rsidRPr="00097A86" w:rsidRDefault="003F0D4E" w:rsidP="00D22D3F">
            <w:pPr>
              <w:pStyle w:val="Tabletext"/>
            </w:pPr>
            <w:r w:rsidRPr="00097A86">
              <w:t>2.55 × 10</w:t>
            </w:r>
            <w:r w:rsidR="00097A86">
              <w:rPr>
                <w:vertAlign w:val="superscript"/>
              </w:rPr>
              <w:noBreakHyphen/>
            </w:r>
            <w:r w:rsidRPr="00097A86">
              <w:rPr>
                <w:vertAlign w:val="superscript"/>
              </w:rPr>
              <w:t>4</w:t>
            </w:r>
          </w:p>
        </w:tc>
      </w:tr>
      <w:tr w:rsidR="003F0D4E" w:rsidRPr="00097A86" w14:paraId="15600387" w14:textId="77777777" w:rsidTr="00C20CC2">
        <w:trPr>
          <w:trHeight w:val="20"/>
        </w:trPr>
        <w:tc>
          <w:tcPr>
            <w:tcW w:w="427" w:type="pct"/>
            <w:shd w:val="clear" w:color="auto" w:fill="auto"/>
          </w:tcPr>
          <w:p w14:paraId="7920989A" w14:textId="77777777" w:rsidR="003F0D4E" w:rsidRPr="00097A86" w:rsidRDefault="003F0D4E" w:rsidP="00D22D3F">
            <w:pPr>
              <w:pStyle w:val="Tabletext"/>
            </w:pPr>
            <w:r w:rsidRPr="00097A86">
              <w:t>25</w:t>
            </w:r>
          </w:p>
        </w:tc>
        <w:tc>
          <w:tcPr>
            <w:tcW w:w="3407" w:type="pct"/>
            <w:shd w:val="clear" w:color="auto" w:fill="auto"/>
          </w:tcPr>
          <w:p w14:paraId="728B41F4" w14:textId="77777777" w:rsidR="003F0D4E" w:rsidRPr="00097A86" w:rsidRDefault="003F0D4E" w:rsidP="00D22D3F">
            <w:pPr>
              <w:pStyle w:val="Tabletext"/>
            </w:pPr>
            <w:r w:rsidRPr="00097A86">
              <w:t>Town gas</w:t>
            </w:r>
          </w:p>
        </w:tc>
        <w:tc>
          <w:tcPr>
            <w:tcW w:w="1166" w:type="pct"/>
            <w:shd w:val="clear" w:color="auto" w:fill="auto"/>
          </w:tcPr>
          <w:p w14:paraId="636E3123" w14:textId="77777777" w:rsidR="003F0D4E" w:rsidRPr="00097A86" w:rsidRDefault="003F0D4E" w:rsidP="00D22D3F">
            <w:pPr>
              <w:pStyle w:val="Tabletext"/>
            </w:pPr>
            <w:r w:rsidRPr="00097A86">
              <w:t>6.41 × 10</w:t>
            </w:r>
            <w:r w:rsidR="00097A86">
              <w:rPr>
                <w:vertAlign w:val="superscript"/>
              </w:rPr>
              <w:noBreakHyphen/>
            </w:r>
            <w:r w:rsidRPr="00097A86">
              <w:rPr>
                <w:vertAlign w:val="superscript"/>
              </w:rPr>
              <w:t>4</w:t>
            </w:r>
          </w:p>
        </w:tc>
      </w:tr>
      <w:tr w:rsidR="003F0D4E" w:rsidRPr="00097A86" w14:paraId="4D0B5D3A" w14:textId="77777777" w:rsidTr="00C20CC2">
        <w:trPr>
          <w:trHeight w:val="20"/>
        </w:trPr>
        <w:tc>
          <w:tcPr>
            <w:tcW w:w="427" w:type="pct"/>
            <w:shd w:val="clear" w:color="auto" w:fill="auto"/>
          </w:tcPr>
          <w:p w14:paraId="1F741688" w14:textId="77777777" w:rsidR="003F0D4E" w:rsidRPr="00097A86" w:rsidRDefault="003F0D4E" w:rsidP="00D22D3F">
            <w:pPr>
              <w:pStyle w:val="Tabletext"/>
            </w:pPr>
            <w:r w:rsidRPr="00097A86">
              <w:t>26</w:t>
            </w:r>
          </w:p>
        </w:tc>
        <w:tc>
          <w:tcPr>
            <w:tcW w:w="3407" w:type="pct"/>
            <w:shd w:val="clear" w:color="auto" w:fill="auto"/>
          </w:tcPr>
          <w:p w14:paraId="439113A2" w14:textId="77777777" w:rsidR="003F0D4E" w:rsidRPr="00097A86" w:rsidRDefault="003F0D4E" w:rsidP="00D22D3F">
            <w:pPr>
              <w:pStyle w:val="Tabletext"/>
            </w:pPr>
            <w:r w:rsidRPr="00097A86">
              <w:t>Liquefied natural gas</w:t>
            </w:r>
          </w:p>
        </w:tc>
        <w:tc>
          <w:tcPr>
            <w:tcW w:w="1166" w:type="pct"/>
            <w:shd w:val="clear" w:color="auto" w:fill="auto"/>
          </w:tcPr>
          <w:p w14:paraId="2FAAF87B" w14:textId="77777777" w:rsidR="003F0D4E" w:rsidRPr="00097A86" w:rsidRDefault="003F0D4E" w:rsidP="00D22D3F">
            <w:pPr>
              <w:pStyle w:val="Tabletext"/>
              <w:rPr>
                <w:vertAlign w:val="superscript"/>
              </w:rPr>
            </w:pPr>
            <w:r w:rsidRPr="00097A86">
              <w:t>0.355 tC/kL of fuel</w:t>
            </w:r>
          </w:p>
        </w:tc>
      </w:tr>
      <w:tr w:rsidR="003F0D4E" w:rsidRPr="00097A86" w14:paraId="5A8F01DC" w14:textId="77777777" w:rsidTr="00C20CC2">
        <w:trPr>
          <w:trHeight w:val="20"/>
        </w:trPr>
        <w:tc>
          <w:tcPr>
            <w:tcW w:w="427" w:type="pct"/>
            <w:shd w:val="clear" w:color="auto" w:fill="auto"/>
          </w:tcPr>
          <w:p w14:paraId="48044C0B" w14:textId="77777777" w:rsidR="003F0D4E" w:rsidRPr="00097A86" w:rsidRDefault="003F0D4E" w:rsidP="00D22D3F">
            <w:pPr>
              <w:pStyle w:val="Tabletext"/>
            </w:pPr>
            <w:r w:rsidRPr="00097A86">
              <w:t>27</w:t>
            </w:r>
          </w:p>
        </w:tc>
        <w:tc>
          <w:tcPr>
            <w:tcW w:w="3407" w:type="pct"/>
            <w:shd w:val="clear" w:color="auto" w:fill="auto"/>
          </w:tcPr>
          <w:p w14:paraId="67E610E5" w14:textId="77777777" w:rsidR="003F0D4E" w:rsidRPr="00097A86" w:rsidRDefault="003F0D4E" w:rsidP="00D22D3F">
            <w:pPr>
              <w:pStyle w:val="Tabletext"/>
            </w:pPr>
            <w:r w:rsidRPr="00097A86">
              <w:t>Gaseous fossil fuels other than those mentioned in items</w:t>
            </w:r>
            <w:r w:rsidR="00097A86">
              <w:t> </w:t>
            </w:r>
            <w:r w:rsidRPr="00097A86">
              <w:t>17 to 26</w:t>
            </w:r>
          </w:p>
        </w:tc>
        <w:tc>
          <w:tcPr>
            <w:tcW w:w="1166" w:type="pct"/>
            <w:shd w:val="clear" w:color="auto" w:fill="auto"/>
          </w:tcPr>
          <w:p w14:paraId="0023054D" w14:textId="77777777" w:rsidR="003F0D4E" w:rsidRPr="00097A86" w:rsidRDefault="003F0D4E" w:rsidP="00D22D3F">
            <w:pPr>
              <w:pStyle w:val="Tabletext"/>
            </w:pPr>
            <w:r w:rsidRPr="00097A86">
              <w:t>5.52 × 10</w:t>
            </w:r>
            <w:r w:rsidR="00097A86">
              <w:rPr>
                <w:vertAlign w:val="superscript"/>
              </w:rPr>
              <w:noBreakHyphen/>
            </w:r>
            <w:r w:rsidRPr="00097A86">
              <w:rPr>
                <w:vertAlign w:val="superscript"/>
              </w:rPr>
              <w:t>4</w:t>
            </w:r>
          </w:p>
        </w:tc>
      </w:tr>
      <w:tr w:rsidR="003F0D4E" w:rsidRPr="00097A86" w14:paraId="36695CEC" w14:textId="77777777" w:rsidTr="00C20CC2">
        <w:trPr>
          <w:trHeight w:val="20"/>
        </w:trPr>
        <w:tc>
          <w:tcPr>
            <w:tcW w:w="5000" w:type="pct"/>
            <w:gridSpan w:val="3"/>
            <w:shd w:val="clear" w:color="auto" w:fill="auto"/>
          </w:tcPr>
          <w:p w14:paraId="3B47392E" w14:textId="77777777" w:rsidR="003F0D4E" w:rsidRPr="00097A86" w:rsidRDefault="003F0D4E" w:rsidP="00D22D3F">
            <w:pPr>
              <w:pStyle w:val="Tabletext"/>
              <w:rPr>
                <w:i/>
              </w:rPr>
            </w:pPr>
            <w:r w:rsidRPr="00097A86">
              <w:rPr>
                <w:i/>
              </w:rPr>
              <w:t>Biogas captured for combustion</w:t>
            </w:r>
          </w:p>
        </w:tc>
      </w:tr>
      <w:tr w:rsidR="003F0D4E" w:rsidRPr="00097A86" w14:paraId="184B6561" w14:textId="77777777" w:rsidTr="00C20CC2">
        <w:trPr>
          <w:trHeight w:val="20"/>
        </w:trPr>
        <w:tc>
          <w:tcPr>
            <w:tcW w:w="427" w:type="pct"/>
            <w:shd w:val="clear" w:color="auto" w:fill="auto"/>
          </w:tcPr>
          <w:p w14:paraId="031EA0F4" w14:textId="77777777" w:rsidR="003F0D4E" w:rsidRPr="00097A86" w:rsidRDefault="003F0D4E" w:rsidP="00D22D3F">
            <w:pPr>
              <w:pStyle w:val="Tabletext"/>
            </w:pPr>
            <w:r w:rsidRPr="00097A86">
              <w:t>28</w:t>
            </w:r>
          </w:p>
        </w:tc>
        <w:tc>
          <w:tcPr>
            <w:tcW w:w="3407" w:type="pct"/>
            <w:shd w:val="clear" w:color="auto" w:fill="auto"/>
          </w:tcPr>
          <w:p w14:paraId="4911749A" w14:textId="77777777" w:rsidR="003F0D4E" w:rsidRPr="00097A86" w:rsidRDefault="003F0D4E" w:rsidP="00D22D3F">
            <w:pPr>
              <w:pStyle w:val="Tabletext"/>
            </w:pPr>
            <w:r w:rsidRPr="00097A86">
              <w:t>Landfill biogas (methane) that is captured for combustion</w:t>
            </w:r>
          </w:p>
        </w:tc>
        <w:tc>
          <w:tcPr>
            <w:tcW w:w="1166" w:type="pct"/>
            <w:shd w:val="clear" w:color="auto" w:fill="auto"/>
          </w:tcPr>
          <w:p w14:paraId="3DB3081F" w14:textId="77777777" w:rsidR="003F0D4E" w:rsidRPr="00097A86" w:rsidRDefault="003F0D4E" w:rsidP="00D22D3F">
            <w:pPr>
              <w:pStyle w:val="Tabletext"/>
            </w:pPr>
            <w:r w:rsidRPr="00097A86">
              <w:t>0</w:t>
            </w:r>
          </w:p>
        </w:tc>
      </w:tr>
      <w:tr w:rsidR="003F0D4E" w:rsidRPr="00097A86" w14:paraId="142B9771" w14:textId="77777777" w:rsidTr="00C20CC2">
        <w:trPr>
          <w:trHeight w:val="20"/>
        </w:trPr>
        <w:tc>
          <w:tcPr>
            <w:tcW w:w="427" w:type="pct"/>
            <w:tcBorders>
              <w:bottom w:val="single" w:sz="4" w:space="0" w:color="auto"/>
            </w:tcBorders>
            <w:shd w:val="clear" w:color="auto" w:fill="auto"/>
          </w:tcPr>
          <w:p w14:paraId="1F7D0518" w14:textId="77777777" w:rsidR="003F0D4E" w:rsidRPr="00097A86" w:rsidRDefault="003F0D4E" w:rsidP="00D22D3F">
            <w:pPr>
              <w:pStyle w:val="Tabletext"/>
            </w:pPr>
            <w:r w:rsidRPr="00097A86">
              <w:t>29</w:t>
            </w:r>
          </w:p>
        </w:tc>
        <w:tc>
          <w:tcPr>
            <w:tcW w:w="3407" w:type="pct"/>
            <w:tcBorders>
              <w:bottom w:val="single" w:sz="4" w:space="0" w:color="auto"/>
            </w:tcBorders>
            <w:shd w:val="clear" w:color="auto" w:fill="auto"/>
          </w:tcPr>
          <w:p w14:paraId="1A392ECE" w14:textId="77777777" w:rsidR="003F0D4E" w:rsidRPr="00097A86" w:rsidRDefault="003F0D4E" w:rsidP="00D22D3F">
            <w:pPr>
              <w:pStyle w:val="Tabletext"/>
            </w:pPr>
            <w:r w:rsidRPr="00097A86">
              <w:t xml:space="preserve">Sludge biogas (methane) that is captured for combustion </w:t>
            </w:r>
          </w:p>
        </w:tc>
        <w:tc>
          <w:tcPr>
            <w:tcW w:w="1166" w:type="pct"/>
            <w:tcBorders>
              <w:bottom w:val="single" w:sz="4" w:space="0" w:color="auto"/>
            </w:tcBorders>
            <w:shd w:val="clear" w:color="auto" w:fill="auto"/>
          </w:tcPr>
          <w:p w14:paraId="1EC55A72" w14:textId="77777777" w:rsidR="003F0D4E" w:rsidRPr="00097A86" w:rsidRDefault="003F0D4E" w:rsidP="00D22D3F">
            <w:pPr>
              <w:pStyle w:val="Tabletext"/>
            </w:pPr>
            <w:r w:rsidRPr="00097A86">
              <w:t>0</w:t>
            </w:r>
          </w:p>
        </w:tc>
      </w:tr>
      <w:tr w:rsidR="003F0D4E" w:rsidRPr="00097A86" w14:paraId="2225E66E" w14:textId="77777777" w:rsidTr="00C20CC2">
        <w:trPr>
          <w:trHeight w:val="20"/>
        </w:trPr>
        <w:tc>
          <w:tcPr>
            <w:tcW w:w="427" w:type="pct"/>
            <w:tcBorders>
              <w:bottom w:val="single" w:sz="12" w:space="0" w:color="auto"/>
            </w:tcBorders>
            <w:shd w:val="clear" w:color="auto" w:fill="auto"/>
          </w:tcPr>
          <w:p w14:paraId="675D7D3A" w14:textId="77777777" w:rsidR="003F0D4E" w:rsidRPr="00097A86" w:rsidRDefault="003F0D4E" w:rsidP="00D22D3F">
            <w:pPr>
              <w:pStyle w:val="Tabletext"/>
            </w:pPr>
            <w:r w:rsidRPr="00097A86">
              <w:t>30</w:t>
            </w:r>
          </w:p>
        </w:tc>
        <w:tc>
          <w:tcPr>
            <w:tcW w:w="3407" w:type="pct"/>
            <w:tcBorders>
              <w:bottom w:val="single" w:sz="12" w:space="0" w:color="auto"/>
            </w:tcBorders>
            <w:shd w:val="clear" w:color="auto" w:fill="auto"/>
          </w:tcPr>
          <w:p w14:paraId="0899F63C" w14:textId="77777777" w:rsidR="003F0D4E" w:rsidRPr="00097A86" w:rsidRDefault="003F0D4E" w:rsidP="00D22D3F">
            <w:pPr>
              <w:pStyle w:val="Tabletext"/>
            </w:pPr>
            <w:r w:rsidRPr="00097A86">
              <w:t>A biogas (methane) that is captured for combustion, other than those mentioned in items</w:t>
            </w:r>
            <w:r w:rsidR="00097A86">
              <w:t> </w:t>
            </w:r>
            <w:r w:rsidRPr="00097A86">
              <w:t>28 and 29</w:t>
            </w:r>
          </w:p>
        </w:tc>
        <w:tc>
          <w:tcPr>
            <w:tcW w:w="1166" w:type="pct"/>
            <w:tcBorders>
              <w:bottom w:val="single" w:sz="12" w:space="0" w:color="auto"/>
            </w:tcBorders>
            <w:shd w:val="clear" w:color="auto" w:fill="auto"/>
          </w:tcPr>
          <w:p w14:paraId="15881F4F" w14:textId="77777777" w:rsidR="003F0D4E" w:rsidRPr="00097A86" w:rsidRDefault="003F0D4E" w:rsidP="00D22D3F">
            <w:pPr>
              <w:pStyle w:val="Tabletext"/>
            </w:pPr>
            <w:r w:rsidRPr="00097A86">
              <w:t>0</w:t>
            </w:r>
          </w:p>
        </w:tc>
      </w:tr>
    </w:tbl>
    <w:p w14:paraId="2305BD70" w14:textId="77777777" w:rsidR="003F0D4E" w:rsidRPr="00097A86" w:rsidRDefault="003F0D4E" w:rsidP="0024511D">
      <w:pPr>
        <w:pStyle w:val="ActHead2"/>
        <w:pageBreakBefore/>
      </w:pPr>
      <w:bookmarkStart w:id="691" w:name="_Toc13234114"/>
      <w:r w:rsidRPr="00097A86">
        <w:rPr>
          <w:rStyle w:val="CharPartNo"/>
        </w:rPr>
        <w:lastRenderedPageBreak/>
        <w:t>Part</w:t>
      </w:r>
      <w:r w:rsidR="00097A86">
        <w:rPr>
          <w:rStyle w:val="CharPartNo"/>
        </w:rPr>
        <w:t> </w:t>
      </w:r>
      <w:r w:rsidRPr="00097A86">
        <w:rPr>
          <w:rStyle w:val="CharPartNo"/>
        </w:rPr>
        <w:t>3</w:t>
      </w:r>
      <w:r w:rsidR="00D22D3F" w:rsidRPr="00097A86">
        <w:t>—</w:t>
      </w:r>
      <w:r w:rsidRPr="00097A86">
        <w:rPr>
          <w:rStyle w:val="CharPartText"/>
        </w:rPr>
        <w:t>Liquid fuels and certain petroleum</w:t>
      </w:r>
      <w:r w:rsidR="00097A86">
        <w:rPr>
          <w:rStyle w:val="CharPartText"/>
        </w:rPr>
        <w:noBreakHyphen/>
      </w:r>
      <w:r w:rsidRPr="00097A86">
        <w:rPr>
          <w:rStyle w:val="CharPartText"/>
        </w:rPr>
        <w:t>based products</w:t>
      </w:r>
      <w:bookmarkEnd w:id="691"/>
    </w:p>
    <w:p w14:paraId="2E41435C"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0"/>
        <w:gridCol w:w="5664"/>
        <w:gridCol w:w="1939"/>
      </w:tblGrid>
      <w:tr w:rsidR="003F0D4E" w:rsidRPr="00097A86" w14:paraId="32EA95B1" w14:textId="77777777" w:rsidTr="00C20CC2">
        <w:trPr>
          <w:trHeight w:val="20"/>
          <w:tblHeader/>
        </w:trPr>
        <w:tc>
          <w:tcPr>
            <w:tcW w:w="427" w:type="pct"/>
            <w:tcBorders>
              <w:top w:val="single" w:sz="12" w:space="0" w:color="auto"/>
              <w:bottom w:val="single" w:sz="12" w:space="0" w:color="auto"/>
            </w:tcBorders>
            <w:shd w:val="clear" w:color="auto" w:fill="auto"/>
          </w:tcPr>
          <w:p w14:paraId="18C1F9D0" w14:textId="77777777" w:rsidR="003F0D4E" w:rsidRPr="00097A86" w:rsidRDefault="003F0D4E" w:rsidP="00C87D92">
            <w:pPr>
              <w:pStyle w:val="TableHeading"/>
            </w:pPr>
            <w:r w:rsidRPr="00097A86">
              <w:t>Item</w:t>
            </w:r>
          </w:p>
        </w:tc>
        <w:tc>
          <w:tcPr>
            <w:tcW w:w="3407" w:type="pct"/>
            <w:tcBorders>
              <w:top w:val="single" w:sz="12" w:space="0" w:color="auto"/>
              <w:bottom w:val="single" w:sz="12" w:space="0" w:color="auto"/>
            </w:tcBorders>
            <w:shd w:val="clear" w:color="auto" w:fill="auto"/>
          </w:tcPr>
          <w:p w14:paraId="64996EC9" w14:textId="77777777" w:rsidR="003F0D4E" w:rsidRPr="00097A86" w:rsidRDefault="003F0D4E" w:rsidP="00C87D92">
            <w:pPr>
              <w:pStyle w:val="TableHeading"/>
            </w:pPr>
            <w:r w:rsidRPr="00097A86">
              <w:t>Fuel type</w:t>
            </w:r>
          </w:p>
        </w:tc>
        <w:tc>
          <w:tcPr>
            <w:tcW w:w="1166" w:type="pct"/>
            <w:tcBorders>
              <w:top w:val="single" w:sz="12" w:space="0" w:color="auto"/>
              <w:bottom w:val="single" w:sz="12" w:space="0" w:color="auto"/>
            </w:tcBorders>
            <w:shd w:val="clear" w:color="auto" w:fill="auto"/>
          </w:tcPr>
          <w:p w14:paraId="6D3C0722" w14:textId="77777777" w:rsidR="003F0D4E" w:rsidRPr="00097A86" w:rsidRDefault="003F0D4E" w:rsidP="00C87D92">
            <w:pPr>
              <w:pStyle w:val="TableHeading"/>
            </w:pPr>
            <w:r w:rsidRPr="00097A86">
              <w:t>Carbon content factor</w:t>
            </w:r>
            <w:r w:rsidRPr="00097A86">
              <w:br/>
              <w:t>(tC/kL of fuel</w:t>
            </w:r>
            <w:r w:rsidRPr="00097A86">
              <w:br/>
              <w:t>unless otherwise specified)</w:t>
            </w:r>
          </w:p>
        </w:tc>
      </w:tr>
      <w:tr w:rsidR="003F0D4E" w:rsidRPr="00097A86" w14:paraId="26E40756" w14:textId="77777777" w:rsidTr="00C20CC2">
        <w:trPr>
          <w:trHeight w:val="20"/>
        </w:trPr>
        <w:tc>
          <w:tcPr>
            <w:tcW w:w="5000" w:type="pct"/>
            <w:gridSpan w:val="3"/>
            <w:tcBorders>
              <w:top w:val="single" w:sz="12" w:space="0" w:color="auto"/>
            </w:tcBorders>
            <w:shd w:val="clear" w:color="auto" w:fill="auto"/>
          </w:tcPr>
          <w:p w14:paraId="6C7D8855" w14:textId="77777777" w:rsidR="003F0D4E" w:rsidRPr="00097A86" w:rsidRDefault="003F0D4E" w:rsidP="00D22D3F">
            <w:pPr>
              <w:pStyle w:val="Tabletext"/>
              <w:rPr>
                <w:i/>
              </w:rPr>
            </w:pPr>
            <w:r w:rsidRPr="00097A86">
              <w:rPr>
                <w:i/>
                <w:snapToGrid w:val="0"/>
              </w:rPr>
              <w:t>Petroleum based oils and petroleum based greases</w:t>
            </w:r>
          </w:p>
        </w:tc>
      </w:tr>
      <w:tr w:rsidR="003F0D4E" w:rsidRPr="00097A86" w14:paraId="0FCCAAC3" w14:textId="77777777" w:rsidTr="00C20CC2">
        <w:trPr>
          <w:trHeight w:val="20"/>
        </w:trPr>
        <w:tc>
          <w:tcPr>
            <w:tcW w:w="427" w:type="pct"/>
            <w:shd w:val="clear" w:color="auto" w:fill="auto"/>
          </w:tcPr>
          <w:p w14:paraId="14FA3BCC" w14:textId="77777777" w:rsidR="003F0D4E" w:rsidRPr="00097A86" w:rsidRDefault="003F0D4E" w:rsidP="00D22D3F">
            <w:pPr>
              <w:pStyle w:val="Tabletext"/>
            </w:pPr>
            <w:r w:rsidRPr="00097A86">
              <w:t>31</w:t>
            </w:r>
          </w:p>
        </w:tc>
        <w:tc>
          <w:tcPr>
            <w:tcW w:w="3407" w:type="pct"/>
            <w:shd w:val="clear" w:color="auto" w:fill="auto"/>
          </w:tcPr>
          <w:p w14:paraId="5ED4B482" w14:textId="77777777" w:rsidR="003F0D4E" w:rsidRPr="00097A86" w:rsidRDefault="003F0D4E" w:rsidP="00D22D3F">
            <w:pPr>
              <w:pStyle w:val="Tabletext"/>
              <w:rPr>
                <w:szCs w:val="22"/>
              </w:rPr>
            </w:pPr>
            <w:r w:rsidRPr="00097A86">
              <w:rPr>
                <w:snapToGrid w:val="0"/>
                <w:szCs w:val="22"/>
              </w:rPr>
              <w:t>Petroleum based oils</w:t>
            </w:r>
            <w:r w:rsidRPr="00097A86">
              <w:t xml:space="preserve"> (other than petroleum based oils used as fuel)</w:t>
            </w:r>
          </w:p>
        </w:tc>
        <w:tc>
          <w:tcPr>
            <w:tcW w:w="1166" w:type="pct"/>
            <w:shd w:val="clear" w:color="auto" w:fill="auto"/>
          </w:tcPr>
          <w:p w14:paraId="211DD04C" w14:textId="77777777" w:rsidR="003F0D4E" w:rsidRPr="00097A86" w:rsidRDefault="003F0D4E" w:rsidP="00D22D3F">
            <w:pPr>
              <w:pStyle w:val="Tabletext"/>
            </w:pPr>
            <w:r w:rsidRPr="00097A86">
              <w:t>0.737</w:t>
            </w:r>
          </w:p>
        </w:tc>
      </w:tr>
      <w:tr w:rsidR="003F0D4E" w:rsidRPr="00097A86" w14:paraId="202BCABE" w14:textId="77777777" w:rsidTr="00C20CC2">
        <w:trPr>
          <w:trHeight w:val="20"/>
        </w:trPr>
        <w:tc>
          <w:tcPr>
            <w:tcW w:w="427" w:type="pct"/>
            <w:shd w:val="clear" w:color="auto" w:fill="auto"/>
          </w:tcPr>
          <w:p w14:paraId="39BFA254" w14:textId="77777777" w:rsidR="003F0D4E" w:rsidRPr="00097A86" w:rsidRDefault="003F0D4E" w:rsidP="00D22D3F">
            <w:pPr>
              <w:pStyle w:val="Tabletext"/>
            </w:pPr>
            <w:r w:rsidRPr="00097A86">
              <w:t>32</w:t>
            </w:r>
          </w:p>
        </w:tc>
        <w:tc>
          <w:tcPr>
            <w:tcW w:w="3407" w:type="pct"/>
            <w:shd w:val="clear" w:color="auto" w:fill="auto"/>
          </w:tcPr>
          <w:p w14:paraId="07C33FCB" w14:textId="77777777" w:rsidR="003F0D4E" w:rsidRPr="00097A86" w:rsidRDefault="003F0D4E" w:rsidP="00D22D3F">
            <w:pPr>
              <w:pStyle w:val="Tabletext"/>
            </w:pPr>
            <w:r w:rsidRPr="00097A86">
              <w:rPr>
                <w:snapToGrid w:val="0"/>
              </w:rPr>
              <w:t>Petroleum based greases</w:t>
            </w:r>
          </w:p>
        </w:tc>
        <w:tc>
          <w:tcPr>
            <w:tcW w:w="1166" w:type="pct"/>
            <w:shd w:val="clear" w:color="auto" w:fill="auto"/>
          </w:tcPr>
          <w:p w14:paraId="687308F7" w14:textId="77777777" w:rsidR="003F0D4E" w:rsidRPr="00097A86" w:rsidRDefault="003F0D4E" w:rsidP="00D22D3F">
            <w:pPr>
              <w:pStyle w:val="Tabletext"/>
            </w:pPr>
            <w:r w:rsidRPr="00097A86">
              <w:t>0.737</w:t>
            </w:r>
          </w:p>
        </w:tc>
      </w:tr>
      <w:tr w:rsidR="003F0D4E" w:rsidRPr="00097A86" w14:paraId="63F800F6" w14:textId="77777777" w:rsidTr="00C20CC2">
        <w:trPr>
          <w:trHeight w:val="20"/>
        </w:trPr>
        <w:tc>
          <w:tcPr>
            <w:tcW w:w="5000" w:type="pct"/>
            <w:gridSpan w:val="3"/>
            <w:shd w:val="clear" w:color="auto" w:fill="auto"/>
          </w:tcPr>
          <w:p w14:paraId="4B0D9AC9" w14:textId="77777777" w:rsidR="003F0D4E" w:rsidRPr="00097A86" w:rsidRDefault="003F0D4E" w:rsidP="00D22D3F">
            <w:pPr>
              <w:pStyle w:val="Tabletext"/>
              <w:rPr>
                <w:i/>
              </w:rPr>
            </w:pPr>
            <w:r w:rsidRPr="00097A86">
              <w:rPr>
                <w:i/>
                <w:snapToGrid w:val="0"/>
              </w:rPr>
              <w:t>Petroleum based products other than petroleum based oils and petroleum based greases</w:t>
            </w:r>
          </w:p>
        </w:tc>
      </w:tr>
      <w:tr w:rsidR="003F0D4E" w:rsidRPr="00097A86" w14:paraId="0A11BE3D" w14:textId="77777777" w:rsidTr="00C20CC2">
        <w:trPr>
          <w:trHeight w:val="20"/>
        </w:trPr>
        <w:tc>
          <w:tcPr>
            <w:tcW w:w="427" w:type="pct"/>
            <w:shd w:val="clear" w:color="auto" w:fill="auto"/>
          </w:tcPr>
          <w:p w14:paraId="3C49C571" w14:textId="77777777" w:rsidR="003F0D4E" w:rsidRPr="00097A86" w:rsidRDefault="003F0D4E" w:rsidP="00D22D3F">
            <w:pPr>
              <w:pStyle w:val="Tabletext"/>
            </w:pPr>
            <w:r w:rsidRPr="00097A86">
              <w:t>33</w:t>
            </w:r>
          </w:p>
        </w:tc>
        <w:tc>
          <w:tcPr>
            <w:tcW w:w="3407" w:type="pct"/>
            <w:shd w:val="clear" w:color="auto" w:fill="auto"/>
          </w:tcPr>
          <w:p w14:paraId="7528655A" w14:textId="77777777" w:rsidR="003F0D4E" w:rsidRPr="00097A86" w:rsidRDefault="003F0D4E" w:rsidP="00D22D3F">
            <w:pPr>
              <w:pStyle w:val="Tabletext"/>
            </w:pPr>
            <w:r w:rsidRPr="00097A86">
              <w:t>Crude oil including crude oil condensates</w:t>
            </w:r>
          </w:p>
        </w:tc>
        <w:tc>
          <w:tcPr>
            <w:tcW w:w="1166" w:type="pct"/>
            <w:shd w:val="clear" w:color="auto" w:fill="auto"/>
          </w:tcPr>
          <w:p w14:paraId="29C51DB7" w14:textId="77777777" w:rsidR="003F0D4E" w:rsidRPr="00097A86" w:rsidRDefault="003F0D4E" w:rsidP="00D22D3F">
            <w:pPr>
              <w:pStyle w:val="Tabletext"/>
            </w:pPr>
            <w:r w:rsidRPr="00097A86">
              <w:t>0.861 tC/t fuel</w:t>
            </w:r>
          </w:p>
        </w:tc>
      </w:tr>
      <w:tr w:rsidR="003F0D4E" w:rsidRPr="00097A86" w14:paraId="5F48BE83" w14:textId="77777777" w:rsidTr="00C20CC2">
        <w:trPr>
          <w:trHeight w:val="20"/>
        </w:trPr>
        <w:tc>
          <w:tcPr>
            <w:tcW w:w="427" w:type="pct"/>
            <w:shd w:val="clear" w:color="auto" w:fill="auto"/>
          </w:tcPr>
          <w:p w14:paraId="65BBEBF2" w14:textId="77777777" w:rsidR="003F0D4E" w:rsidRPr="00097A86" w:rsidRDefault="003F0D4E" w:rsidP="00D22D3F">
            <w:pPr>
              <w:pStyle w:val="Tabletext"/>
            </w:pPr>
            <w:r w:rsidRPr="00097A86">
              <w:t>34</w:t>
            </w:r>
          </w:p>
        </w:tc>
        <w:tc>
          <w:tcPr>
            <w:tcW w:w="3407" w:type="pct"/>
            <w:shd w:val="clear" w:color="auto" w:fill="auto"/>
          </w:tcPr>
          <w:p w14:paraId="75578F2F" w14:textId="77777777" w:rsidR="003F0D4E" w:rsidRPr="00097A86" w:rsidRDefault="003F0D4E" w:rsidP="00D22D3F">
            <w:pPr>
              <w:pStyle w:val="Tabletext"/>
            </w:pPr>
            <w:r w:rsidRPr="00097A86">
              <w:t xml:space="preserve">Other natural gas liquids </w:t>
            </w:r>
          </w:p>
        </w:tc>
        <w:tc>
          <w:tcPr>
            <w:tcW w:w="1166" w:type="pct"/>
            <w:shd w:val="clear" w:color="auto" w:fill="auto"/>
          </w:tcPr>
          <w:p w14:paraId="3B1CE9F9" w14:textId="77777777" w:rsidR="003F0D4E" w:rsidRPr="00097A86" w:rsidRDefault="003F0D4E" w:rsidP="00D22D3F">
            <w:pPr>
              <w:pStyle w:val="Tabletext"/>
            </w:pPr>
            <w:r w:rsidRPr="00097A86">
              <w:t>0.774 tC/t fuel</w:t>
            </w:r>
          </w:p>
        </w:tc>
      </w:tr>
      <w:tr w:rsidR="003F0D4E" w:rsidRPr="00097A86" w14:paraId="18F0AD18" w14:textId="77777777" w:rsidTr="00C20CC2">
        <w:trPr>
          <w:trHeight w:val="20"/>
        </w:trPr>
        <w:tc>
          <w:tcPr>
            <w:tcW w:w="427" w:type="pct"/>
            <w:shd w:val="clear" w:color="auto" w:fill="auto"/>
          </w:tcPr>
          <w:p w14:paraId="04C18541" w14:textId="77777777" w:rsidR="003F0D4E" w:rsidRPr="00097A86" w:rsidRDefault="003F0D4E" w:rsidP="00D22D3F">
            <w:pPr>
              <w:pStyle w:val="Tabletext"/>
            </w:pPr>
            <w:r w:rsidRPr="00097A86">
              <w:t>35</w:t>
            </w:r>
          </w:p>
        </w:tc>
        <w:tc>
          <w:tcPr>
            <w:tcW w:w="3407" w:type="pct"/>
            <w:shd w:val="clear" w:color="auto" w:fill="auto"/>
          </w:tcPr>
          <w:p w14:paraId="0F21C40A" w14:textId="77777777" w:rsidR="003F0D4E" w:rsidRPr="00097A86" w:rsidRDefault="003F0D4E" w:rsidP="00D22D3F">
            <w:pPr>
              <w:pStyle w:val="Tabletext"/>
            </w:pPr>
            <w:r w:rsidRPr="00097A86">
              <w:rPr>
                <w:snapToGrid w:val="0"/>
              </w:rPr>
              <w:t>Gasoline (other than for use as fuel in an aircraft)</w:t>
            </w:r>
          </w:p>
        </w:tc>
        <w:tc>
          <w:tcPr>
            <w:tcW w:w="1166" w:type="pct"/>
            <w:shd w:val="clear" w:color="auto" w:fill="auto"/>
          </w:tcPr>
          <w:p w14:paraId="1D6A7AAB" w14:textId="77777777" w:rsidR="003F0D4E" w:rsidRPr="00097A86" w:rsidRDefault="003F0D4E" w:rsidP="00D22D3F">
            <w:pPr>
              <w:pStyle w:val="Tabletext"/>
            </w:pPr>
            <w:r w:rsidRPr="00097A86">
              <w:t>0.629</w:t>
            </w:r>
          </w:p>
        </w:tc>
      </w:tr>
      <w:tr w:rsidR="003F0D4E" w:rsidRPr="00097A86" w14:paraId="3DE03082" w14:textId="77777777" w:rsidTr="00C20CC2">
        <w:trPr>
          <w:trHeight w:val="20"/>
        </w:trPr>
        <w:tc>
          <w:tcPr>
            <w:tcW w:w="427" w:type="pct"/>
            <w:shd w:val="clear" w:color="auto" w:fill="auto"/>
          </w:tcPr>
          <w:p w14:paraId="642D2352" w14:textId="77777777" w:rsidR="003F0D4E" w:rsidRPr="00097A86" w:rsidRDefault="003F0D4E" w:rsidP="00D22D3F">
            <w:pPr>
              <w:pStyle w:val="Tabletext"/>
            </w:pPr>
            <w:r w:rsidRPr="00097A86">
              <w:t>36</w:t>
            </w:r>
          </w:p>
        </w:tc>
        <w:tc>
          <w:tcPr>
            <w:tcW w:w="3407" w:type="pct"/>
            <w:shd w:val="clear" w:color="auto" w:fill="auto"/>
          </w:tcPr>
          <w:p w14:paraId="32B0E412" w14:textId="77777777" w:rsidR="003F0D4E" w:rsidRPr="00097A86" w:rsidRDefault="003F0D4E" w:rsidP="00D22D3F">
            <w:pPr>
              <w:pStyle w:val="Tabletext"/>
            </w:pPr>
            <w:r w:rsidRPr="00097A86">
              <w:rPr>
                <w:snapToGrid w:val="0"/>
              </w:rPr>
              <w:t>Gasoline for use as fuel in an aircraft</w:t>
            </w:r>
          </w:p>
        </w:tc>
        <w:tc>
          <w:tcPr>
            <w:tcW w:w="1166" w:type="pct"/>
            <w:shd w:val="clear" w:color="auto" w:fill="auto"/>
          </w:tcPr>
          <w:p w14:paraId="472A53DD" w14:textId="77777777" w:rsidR="003F0D4E" w:rsidRPr="00097A86" w:rsidRDefault="003F0D4E" w:rsidP="00D22D3F">
            <w:pPr>
              <w:pStyle w:val="Tabletext"/>
            </w:pPr>
            <w:r w:rsidRPr="00097A86">
              <w:t>0.605</w:t>
            </w:r>
          </w:p>
        </w:tc>
      </w:tr>
      <w:tr w:rsidR="003F0D4E" w:rsidRPr="00097A86" w14:paraId="4696C56E" w14:textId="77777777" w:rsidTr="00C20CC2">
        <w:trPr>
          <w:trHeight w:val="20"/>
        </w:trPr>
        <w:tc>
          <w:tcPr>
            <w:tcW w:w="427" w:type="pct"/>
            <w:shd w:val="clear" w:color="auto" w:fill="auto"/>
          </w:tcPr>
          <w:p w14:paraId="5CB1C24B" w14:textId="77777777" w:rsidR="003F0D4E" w:rsidRPr="00097A86" w:rsidRDefault="003F0D4E" w:rsidP="00D22D3F">
            <w:pPr>
              <w:pStyle w:val="Tabletext"/>
            </w:pPr>
            <w:r w:rsidRPr="00097A86">
              <w:t>37</w:t>
            </w:r>
          </w:p>
        </w:tc>
        <w:tc>
          <w:tcPr>
            <w:tcW w:w="3407" w:type="pct"/>
            <w:shd w:val="clear" w:color="auto" w:fill="auto"/>
          </w:tcPr>
          <w:p w14:paraId="2A7793A2" w14:textId="77777777" w:rsidR="003F0D4E" w:rsidRPr="00097A86" w:rsidRDefault="003F0D4E" w:rsidP="00D22D3F">
            <w:pPr>
              <w:pStyle w:val="Tabletext"/>
            </w:pPr>
            <w:r w:rsidRPr="00097A86">
              <w:rPr>
                <w:snapToGrid w:val="0"/>
              </w:rPr>
              <w:t>Kerosene (other than for use as fuel in an aircraft)</w:t>
            </w:r>
          </w:p>
        </w:tc>
        <w:tc>
          <w:tcPr>
            <w:tcW w:w="1166" w:type="pct"/>
            <w:shd w:val="clear" w:color="auto" w:fill="auto"/>
          </w:tcPr>
          <w:p w14:paraId="48678644" w14:textId="77777777" w:rsidR="003F0D4E" w:rsidRPr="00097A86" w:rsidRDefault="003F0D4E" w:rsidP="00D22D3F">
            <w:pPr>
              <w:pStyle w:val="Tabletext"/>
            </w:pPr>
            <w:r w:rsidRPr="00097A86">
              <w:t>0.705</w:t>
            </w:r>
          </w:p>
        </w:tc>
      </w:tr>
      <w:tr w:rsidR="003F0D4E" w:rsidRPr="00097A86" w14:paraId="389198A5" w14:textId="77777777" w:rsidTr="00C20CC2">
        <w:trPr>
          <w:trHeight w:val="20"/>
        </w:trPr>
        <w:tc>
          <w:tcPr>
            <w:tcW w:w="427" w:type="pct"/>
            <w:shd w:val="clear" w:color="auto" w:fill="auto"/>
          </w:tcPr>
          <w:p w14:paraId="2120E7ED" w14:textId="77777777" w:rsidR="003F0D4E" w:rsidRPr="00097A86" w:rsidRDefault="003F0D4E" w:rsidP="00D22D3F">
            <w:pPr>
              <w:pStyle w:val="Tabletext"/>
            </w:pPr>
            <w:r w:rsidRPr="00097A86">
              <w:t>38</w:t>
            </w:r>
          </w:p>
        </w:tc>
        <w:tc>
          <w:tcPr>
            <w:tcW w:w="3407" w:type="pct"/>
            <w:shd w:val="clear" w:color="auto" w:fill="auto"/>
          </w:tcPr>
          <w:p w14:paraId="066E3635" w14:textId="77777777" w:rsidR="003F0D4E" w:rsidRPr="00097A86" w:rsidRDefault="003F0D4E" w:rsidP="00D22D3F">
            <w:pPr>
              <w:pStyle w:val="Tabletext"/>
            </w:pPr>
            <w:r w:rsidRPr="00097A86">
              <w:t>Kerosene for use as fuel in an aircraft</w:t>
            </w:r>
          </w:p>
        </w:tc>
        <w:tc>
          <w:tcPr>
            <w:tcW w:w="1166" w:type="pct"/>
            <w:shd w:val="clear" w:color="auto" w:fill="auto"/>
          </w:tcPr>
          <w:p w14:paraId="4D225131" w14:textId="77777777" w:rsidR="003F0D4E" w:rsidRPr="00097A86" w:rsidRDefault="003F0D4E" w:rsidP="00D22D3F">
            <w:pPr>
              <w:pStyle w:val="Tabletext"/>
            </w:pPr>
            <w:r w:rsidRPr="00097A86">
              <w:t>0.699</w:t>
            </w:r>
          </w:p>
        </w:tc>
      </w:tr>
      <w:tr w:rsidR="003F0D4E" w:rsidRPr="00097A86" w14:paraId="5A478111" w14:textId="77777777" w:rsidTr="00C20CC2">
        <w:trPr>
          <w:trHeight w:val="20"/>
        </w:trPr>
        <w:tc>
          <w:tcPr>
            <w:tcW w:w="427" w:type="pct"/>
            <w:shd w:val="clear" w:color="auto" w:fill="auto"/>
          </w:tcPr>
          <w:p w14:paraId="4499D599" w14:textId="77777777" w:rsidR="003F0D4E" w:rsidRPr="00097A86" w:rsidRDefault="003F0D4E" w:rsidP="00D22D3F">
            <w:pPr>
              <w:pStyle w:val="Tabletext"/>
            </w:pPr>
            <w:r w:rsidRPr="00097A86">
              <w:t>39</w:t>
            </w:r>
          </w:p>
        </w:tc>
        <w:tc>
          <w:tcPr>
            <w:tcW w:w="3407" w:type="pct"/>
            <w:shd w:val="clear" w:color="auto" w:fill="auto"/>
          </w:tcPr>
          <w:p w14:paraId="5CA41863" w14:textId="77777777" w:rsidR="003F0D4E" w:rsidRPr="00097A86" w:rsidRDefault="003F0D4E" w:rsidP="00D22D3F">
            <w:pPr>
              <w:pStyle w:val="Tabletext"/>
            </w:pPr>
            <w:r w:rsidRPr="00097A86">
              <w:t>Heating oil</w:t>
            </w:r>
          </w:p>
        </w:tc>
        <w:tc>
          <w:tcPr>
            <w:tcW w:w="1166" w:type="pct"/>
            <w:shd w:val="clear" w:color="auto" w:fill="auto"/>
          </w:tcPr>
          <w:p w14:paraId="1E486496" w14:textId="77777777" w:rsidR="003F0D4E" w:rsidRPr="00097A86" w:rsidRDefault="003F0D4E" w:rsidP="00D22D3F">
            <w:pPr>
              <w:pStyle w:val="Tabletext"/>
            </w:pPr>
            <w:r w:rsidRPr="00097A86">
              <w:t>0.708</w:t>
            </w:r>
          </w:p>
        </w:tc>
      </w:tr>
      <w:tr w:rsidR="003F0D4E" w:rsidRPr="00097A86" w14:paraId="457619BD" w14:textId="77777777" w:rsidTr="00C20CC2">
        <w:trPr>
          <w:trHeight w:val="20"/>
        </w:trPr>
        <w:tc>
          <w:tcPr>
            <w:tcW w:w="427" w:type="pct"/>
            <w:shd w:val="clear" w:color="auto" w:fill="auto"/>
          </w:tcPr>
          <w:p w14:paraId="042F5A52" w14:textId="77777777" w:rsidR="003F0D4E" w:rsidRPr="00097A86" w:rsidRDefault="003F0D4E" w:rsidP="00D22D3F">
            <w:pPr>
              <w:pStyle w:val="Tabletext"/>
            </w:pPr>
            <w:r w:rsidRPr="00097A86">
              <w:t>40</w:t>
            </w:r>
          </w:p>
        </w:tc>
        <w:tc>
          <w:tcPr>
            <w:tcW w:w="3407" w:type="pct"/>
            <w:shd w:val="clear" w:color="auto" w:fill="auto"/>
          </w:tcPr>
          <w:p w14:paraId="27A8B9E8" w14:textId="77777777" w:rsidR="003F0D4E" w:rsidRPr="00097A86" w:rsidRDefault="003F0D4E" w:rsidP="00D22D3F">
            <w:pPr>
              <w:pStyle w:val="Tabletext"/>
            </w:pPr>
            <w:r w:rsidRPr="00097A86">
              <w:t>Diesel oil</w:t>
            </w:r>
          </w:p>
        </w:tc>
        <w:tc>
          <w:tcPr>
            <w:tcW w:w="1166" w:type="pct"/>
            <w:shd w:val="clear" w:color="auto" w:fill="auto"/>
          </w:tcPr>
          <w:p w14:paraId="0EF0C304" w14:textId="77777777" w:rsidR="003F0D4E" w:rsidRPr="00097A86" w:rsidRDefault="003F0D4E" w:rsidP="00D22D3F">
            <w:pPr>
              <w:pStyle w:val="Tabletext"/>
            </w:pPr>
            <w:r w:rsidRPr="00097A86">
              <w:t>0.736</w:t>
            </w:r>
          </w:p>
        </w:tc>
      </w:tr>
      <w:tr w:rsidR="003F0D4E" w:rsidRPr="00097A86" w14:paraId="1D89FBD2" w14:textId="77777777" w:rsidTr="00C20CC2">
        <w:trPr>
          <w:trHeight w:val="20"/>
        </w:trPr>
        <w:tc>
          <w:tcPr>
            <w:tcW w:w="427" w:type="pct"/>
            <w:shd w:val="clear" w:color="auto" w:fill="auto"/>
          </w:tcPr>
          <w:p w14:paraId="5EC644B8" w14:textId="77777777" w:rsidR="003F0D4E" w:rsidRPr="00097A86" w:rsidRDefault="003F0D4E" w:rsidP="00D22D3F">
            <w:pPr>
              <w:pStyle w:val="Tabletext"/>
            </w:pPr>
            <w:r w:rsidRPr="00097A86">
              <w:t>41</w:t>
            </w:r>
          </w:p>
        </w:tc>
        <w:tc>
          <w:tcPr>
            <w:tcW w:w="3407" w:type="pct"/>
            <w:shd w:val="clear" w:color="auto" w:fill="auto"/>
          </w:tcPr>
          <w:p w14:paraId="7747379C" w14:textId="77777777" w:rsidR="003F0D4E" w:rsidRPr="00097A86" w:rsidRDefault="003F0D4E" w:rsidP="00D22D3F">
            <w:pPr>
              <w:pStyle w:val="Tabletext"/>
            </w:pPr>
            <w:r w:rsidRPr="00097A86">
              <w:t>Fuel oil</w:t>
            </w:r>
          </w:p>
        </w:tc>
        <w:tc>
          <w:tcPr>
            <w:tcW w:w="1166" w:type="pct"/>
            <w:shd w:val="clear" w:color="auto" w:fill="auto"/>
          </w:tcPr>
          <w:p w14:paraId="022D43AD" w14:textId="77777777" w:rsidR="003F0D4E" w:rsidRPr="00097A86" w:rsidRDefault="003F0D4E" w:rsidP="00D22D3F">
            <w:pPr>
              <w:pStyle w:val="Tabletext"/>
            </w:pPr>
            <w:r w:rsidRPr="00097A86">
              <w:t>0.797</w:t>
            </w:r>
          </w:p>
        </w:tc>
      </w:tr>
      <w:tr w:rsidR="003F0D4E" w:rsidRPr="00097A86" w14:paraId="687D1508" w14:textId="77777777" w:rsidTr="00C20CC2">
        <w:trPr>
          <w:trHeight w:val="20"/>
        </w:trPr>
        <w:tc>
          <w:tcPr>
            <w:tcW w:w="427" w:type="pct"/>
            <w:shd w:val="clear" w:color="auto" w:fill="auto"/>
          </w:tcPr>
          <w:p w14:paraId="518E7511" w14:textId="77777777" w:rsidR="003F0D4E" w:rsidRPr="00097A86" w:rsidRDefault="003F0D4E" w:rsidP="00D22D3F">
            <w:pPr>
              <w:pStyle w:val="Tabletext"/>
            </w:pPr>
            <w:r w:rsidRPr="00097A86">
              <w:t>42</w:t>
            </w:r>
          </w:p>
        </w:tc>
        <w:tc>
          <w:tcPr>
            <w:tcW w:w="3407" w:type="pct"/>
            <w:shd w:val="clear" w:color="auto" w:fill="auto"/>
          </w:tcPr>
          <w:p w14:paraId="612DEC7C" w14:textId="77777777" w:rsidR="003F0D4E" w:rsidRPr="00097A86" w:rsidRDefault="003F0D4E" w:rsidP="00D22D3F">
            <w:pPr>
              <w:pStyle w:val="Tabletext"/>
            </w:pPr>
            <w:r w:rsidRPr="00097A86">
              <w:t xml:space="preserve">Liquefied aromatic hydrocarbons </w:t>
            </w:r>
          </w:p>
        </w:tc>
        <w:tc>
          <w:tcPr>
            <w:tcW w:w="1166" w:type="pct"/>
            <w:shd w:val="clear" w:color="auto" w:fill="auto"/>
          </w:tcPr>
          <w:p w14:paraId="39D62CAF" w14:textId="77777777" w:rsidR="003F0D4E" w:rsidRPr="00097A86" w:rsidRDefault="003F0D4E" w:rsidP="00D22D3F">
            <w:pPr>
              <w:pStyle w:val="Tabletext"/>
            </w:pPr>
            <w:r w:rsidRPr="00097A86">
              <w:t>0.654</w:t>
            </w:r>
          </w:p>
        </w:tc>
      </w:tr>
      <w:tr w:rsidR="003F0D4E" w:rsidRPr="00097A86" w14:paraId="4300A2E9" w14:textId="77777777" w:rsidTr="00C20CC2">
        <w:trPr>
          <w:trHeight w:val="20"/>
        </w:trPr>
        <w:tc>
          <w:tcPr>
            <w:tcW w:w="427" w:type="pct"/>
            <w:shd w:val="clear" w:color="auto" w:fill="auto"/>
          </w:tcPr>
          <w:p w14:paraId="219CBD7B" w14:textId="77777777" w:rsidR="003F0D4E" w:rsidRPr="00097A86" w:rsidRDefault="003F0D4E" w:rsidP="00D22D3F">
            <w:pPr>
              <w:pStyle w:val="Tabletext"/>
            </w:pPr>
            <w:r w:rsidRPr="00097A86">
              <w:t>43</w:t>
            </w:r>
          </w:p>
        </w:tc>
        <w:tc>
          <w:tcPr>
            <w:tcW w:w="3407" w:type="pct"/>
            <w:shd w:val="clear" w:color="auto" w:fill="auto"/>
          </w:tcPr>
          <w:p w14:paraId="151DEEE7" w14:textId="77777777" w:rsidR="003F0D4E" w:rsidRPr="00097A86" w:rsidRDefault="003F0D4E" w:rsidP="00D22D3F">
            <w:pPr>
              <w:pStyle w:val="Tabletext"/>
            </w:pPr>
            <w:r w:rsidRPr="00097A86">
              <w:t xml:space="preserve">Solvents </w:t>
            </w:r>
            <w:r w:rsidRPr="00097A86">
              <w:rPr>
                <w:snapToGrid w:val="0"/>
              </w:rPr>
              <w:t>if mineral turpentine or white spirits</w:t>
            </w:r>
          </w:p>
        </w:tc>
        <w:tc>
          <w:tcPr>
            <w:tcW w:w="1166" w:type="pct"/>
            <w:shd w:val="clear" w:color="auto" w:fill="auto"/>
          </w:tcPr>
          <w:p w14:paraId="3862D7E1" w14:textId="77777777" w:rsidR="003F0D4E" w:rsidRPr="00097A86" w:rsidRDefault="003F0D4E" w:rsidP="00D22D3F">
            <w:pPr>
              <w:pStyle w:val="Tabletext"/>
            </w:pPr>
            <w:r w:rsidRPr="00097A86">
              <w:t>0.654</w:t>
            </w:r>
          </w:p>
        </w:tc>
      </w:tr>
      <w:tr w:rsidR="003F0D4E" w:rsidRPr="00097A86" w14:paraId="7EC438EC" w14:textId="77777777" w:rsidTr="00C20CC2">
        <w:trPr>
          <w:trHeight w:val="20"/>
        </w:trPr>
        <w:tc>
          <w:tcPr>
            <w:tcW w:w="427" w:type="pct"/>
            <w:shd w:val="clear" w:color="auto" w:fill="auto"/>
          </w:tcPr>
          <w:p w14:paraId="0A76AC20" w14:textId="77777777" w:rsidR="003F0D4E" w:rsidRPr="00097A86" w:rsidRDefault="003F0D4E" w:rsidP="00D22D3F">
            <w:pPr>
              <w:pStyle w:val="Tabletext"/>
            </w:pPr>
            <w:r w:rsidRPr="00097A86">
              <w:t>44</w:t>
            </w:r>
          </w:p>
        </w:tc>
        <w:tc>
          <w:tcPr>
            <w:tcW w:w="3407" w:type="pct"/>
            <w:shd w:val="clear" w:color="auto" w:fill="auto"/>
          </w:tcPr>
          <w:p w14:paraId="05B5F52F" w14:textId="77777777" w:rsidR="003F0D4E" w:rsidRPr="00097A86" w:rsidRDefault="003F0D4E" w:rsidP="00D22D3F">
            <w:pPr>
              <w:pStyle w:val="Tabletext"/>
            </w:pPr>
            <w:r w:rsidRPr="00097A86">
              <w:t>Liquefied petroleum gas</w:t>
            </w:r>
          </w:p>
        </w:tc>
        <w:tc>
          <w:tcPr>
            <w:tcW w:w="1166" w:type="pct"/>
            <w:shd w:val="clear" w:color="auto" w:fill="auto"/>
          </w:tcPr>
          <w:p w14:paraId="308BD056" w14:textId="77777777" w:rsidR="003F0D4E" w:rsidRPr="00097A86" w:rsidRDefault="003F0D4E" w:rsidP="00D22D3F">
            <w:pPr>
              <w:pStyle w:val="Tabletext"/>
            </w:pPr>
            <w:r w:rsidRPr="00097A86">
              <w:t>0.422</w:t>
            </w:r>
          </w:p>
        </w:tc>
      </w:tr>
      <w:tr w:rsidR="003F0D4E" w:rsidRPr="00097A86" w14:paraId="35FECB79" w14:textId="77777777" w:rsidTr="00C20CC2">
        <w:trPr>
          <w:trHeight w:val="20"/>
        </w:trPr>
        <w:tc>
          <w:tcPr>
            <w:tcW w:w="427" w:type="pct"/>
            <w:shd w:val="clear" w:color="auto" w:fill="auto"/>
          </w:tcPr>
          <w:p w14:paraId="48C8B317" w14:textId="77777777" w:rsidR="003F0D4E" w:rsidRPr="00097A86" w:rsidRDefault="003F0D4E" w:rsidP="00D22D3F">
            <w:pPr>
              <w:pStyle w:val="Tabletext"/>
            </w:pPr>
            <w:r w:rsidRPr="00097A86">
              <w:t>45</w:t>
            </w:r>
          </w:p>
        </w:tc>
        <w:tc>
          <w:tcPr>
            <w:tcW w:w="3407" w:type="pct"/>
            <w:shd w:val="clear" w:color="auto" w:fill="auto"/>
          </w:tcPr>
          <w:p w14:paraId="568B4ED9" w14:textId="77777777" w:rsidR="003F0D4E" w:rsidRPr="00097A86" w:rsidRDefault="003F0D4E" w:rsidP="00D22D3F">
            <w:pPr>
              <w:pStyle w:val="Tabletext"/>
            </w:pPr>
            <w:r w:rsidRPr="00097A86">
              <w:t>Naphtha</w:t>
            </w:r>
          </w:p>
        </w:tc>
        <w:tc>
          <w:tcPr>
            <w:tcW w:w="1166" w:type="pct"/>
            <w:shd w:val="clear" w:color="auto" w:fill="auto"/>
          </w:tcPr>
          <w:p w14:paraId="395CBE56" w14:textId="77777777" w:rsidR="003F0D4E" w:rsidRPr="00097A86" w:rsidRDefault="00473D46" w:rsidP="00D22D3F">
            <w:pPr>
              <w:pStyle w:val="Tabletext"/>
            </w:pPr>
            <w:r w:rsidRPr="00097A86">
              <w:t>0.598</w:t>
            </w:r>
          </w:p>
        </w:tc>
      </w:tr>
      <w:tr w:rsidR="003F0D4E" w:rsidRPr="00097A86" w14:paraId="014D3F2D" w14:textId="77777777" w:rsidTr="00C20CC2">
        <w:trPr>
          <w:trHeight w:val="20"/>
        </w:trPr>
        <w:tc>
          <w:tcPr>
            <w:tcW w:w="427" w:type="pct"/>
            <w:shd w:val="clear" w:color="auto" w:fill="auto"/>
          </w:tcPr>
          <w:p w14:paraId="0AD0BFD2" w14:textId="77777777" w:rsidR="003F0D4E" w:rsidRPr="00097A86" w:rsidRDefault="003F0D4E" w:rsidP="00D22D3F">
            <w:pPr>
              <w:pStyle w:val="Tabletext"/>
            </w:pPr>
            <w:r w:rsidRPr="00097A86">
              <w:t>46</w:t>
            </w:r>
          </w:p>
        </w:tc>
        <w:tc>
          <w:tcPr>
            <w:tcW w:w="3407" w:type="pct"/>
            <w:shd w:val="clear" w:color="auto" w:fill="auto"/>
          </w:tcPr>
          <w:p w14:paraId="055B8D1F" w14:textId="77777777" w:rsidR="003F0D4E" w:rsidRPr="00097A86" w:rsidRDefault="003F0D4E" w:rsidP="00D22D3F">
            <w:pPr>
              <w:pStyle w:val="Tabletext"/>
            </w:pPr>
            <w:r w:rsidRPr="00097A86">
              <w:t>Petroleum coke</w:t>
            </w:r>
          </w:p>
        </w:tc>
        <w:tc>
          <w:tcPr>
            <w:tcW w:w="1166" w:type="pct"/>
            <w:shd w:val="clear" w:color="auto" w:fill="auto"/>
          </w:tcPr>
          <w:p w14:paraId="244189B9" w14:textId="77777777" w:rsidR="003F0D4E" w:rsidRPr="00097A86" w:rsidRDefault="003F0D4E" w:rsidP="00D22D3F">
            <w:pPr>
              <w:pStyle w:val="Tabletext"/>
            </w:pPr>
            <w:r w:rsidRPr="00097A86">
              <w:t>0.856 tC/t fuel</w:t>
            </w:r>
          </w:p>
        </w:tc>
      </w:tr>
      <w:tr w:rsidR="003F0D4E" w:rsidRPr="00097A86" w14:paraId="5F87F219" w14:textId="77777777" w:rsidTr="00C20CC2">
        <w:trPr>
          <w:trHeight w:val="20"/>
        </w:trPr>
        <w:tc>
          <w:tcPr>
            <w:tcW w:w="427" w:type="pct"/>
            <w:shd w:val="clear" w:color="auto" w:fill="auto"/>
          </w:tcPr>
          <w:p w14:paraId="0B7D40F9" w14:textId="77777777" w:rsidR="003F0D4E" w:rsidRPr="00097A86" w:rsidRDefault="003F0D4E" w:rsidP="00D22D3F">
            <w:pPr>
              <w:pStyle w:val="Tabletext"/>
            </w:pPr>
            <w:r w:rsidRPr="00097A86">
              <w:t>47</w:t>
            </w:r>
          </w:p>
        </w:tc>
        <w:tc>
          <w:tcPr>
            <w:tcW w:w="3407" w:type="pct"/>
            <w:shd w:val="clear" w:color="auto" w:fill="auto"/>
          </w:tcPr>
          <w:p w14:paraId="5F323698" w14:textId="77777777" w:rsidR="003F0D4E" w:rsidRPr="00097A86" w:rsidRDefault="003F0D4E" w:rsidP="00D22D3F">
            <w:pPr>
              <w:pStyle w:val="Tabletext"/>
            </w:pPr>
            <w:r w:rsidRPr="00097A86">
              <w:t>Refinery gas and liquids</w:t>
            </w:r>
          </w:p>
        </w:tc>
        <w:tc>
          <w:tcPr>
            <w:tcW w:w="1166" w:type="pct"/>
            <w:shd w:val="clear" w:color="auto" w:fill="auto"/>
          </w:tcPr>
          <w:p w14:paraId="24655C05" w14:textId="77777777" w:rsidR="003F0D4E" w:rsidRPr="00097A86" w:rsidRDefault="003F0D4E" w:rsidP="00D22D3F">
            <w:pPr>
              <w:pStyle w:val="Tabletext"/>
            </w:pPr>
            <w:r w:rsidRPr="00097A86">
              <w:t>0.641 tC/t fuel</w:t>
            </w:r>
          </w:p>
        </w:tc>
      </w:tr>
      <w:tr w:rsidR="003F0D4E" w:rsidRPr="00097A86" w14:paraId="5FABF18B" w14:textId="77777777" w:rsidTr="00C20CC2">
        <w:trPr>
          <w:trHeight w:val="20"/>
        </w:trPr>
        <w:tc>
          <w:tcPr>
            <w:tcW w:w="427" w:type="pct"/>
            <w:shd w:val="clear" w:color="auto" w:fill="auto"/>
          </w:tcPr>
          <w:p w14:paraId="7D5F9174" w14:textId="77777777" w:rsidR="003F0D4E" w:rsidRPr="00097A86" w:rsidRDefault="003F0D4E" w:rsidP="00D22D3F">
            <w:pPr>
              <w:pStyle w:val="Tabletext"/>
            </w:pPr>
            <w:r w:rsidRPr="00097A86">
              <w:t>48</w:t>
            </w:r>
          </w:p>
        </w:tc>
        <w:tc>
          <w:tcPr>
            <w:tcW w:w="3407" w:type="pct"/>
            <w:shd w:val="clear" w:color="auto" w:fill="auto"/>
          </w:tcPr>
          <w:p w14:paraId="565C1051" w14:textId="77777777" w:rsidR="003F0D4E" w:rsidRPr="00097A86" w:rsidRDefault="003F0D4E" w:rsidP="00D22D3F">
            <w:pPr>
              <w:pStyle w:val="Tabletext"/>
            </w:pPr>
            <w:r w:rsidRPr="00097A86">
              <w:t>Refinery coke</w:t>
            </w:r>
          </w:p>
        </w:tc>
        <w:tc>
          <w:tcPr>
            <w:tcW w:w="1166" w:type="pct"/>
            <w:shd w:val="clear" w:color="auto" w:fill="auto"/>
          </w:tcPr>
          <w:p w14:paraId="24EAD2F6" w14:textId="77777777" w:rsidR="003F0D4E" w:rsidRPr="00097A86" w:rsidRDefault="00473D46" w:rsidP="00D22D3F">
            <w:pPr>
              <w:pStyle w:val="Tabletext"/>
            </w:pPr>
            <w:r w:rsidRPr="00097A86">
              <w:t>0.864</w:t>
            </w:r>
            <w:r w:rsidR="003F0D4E" w:rsidRPr="00097A86">
              <w:t xml:space="preserve"> tC/t fuel</w:t>
            </w:r>
          </w:p>
        </w:tc>
      </w:tr>
      <w:tr w:rsidR="003F0D4E" w:rsidRPr="00097A86" w14:paraId="400DC9D9" w14:textId="77777777" w:rsidTr="00C20CC2">
        <w:trPr>
          <w:trHeight w:val="20"/>
        </w:trPr>
        <w:tc>
          <w:tcPr>
            <w:tcW w:w="427" w:type="pct"/>
            <w:shd w:val="clear" w:color="auto" w:fill="auto"/>
          </w:tcPr>
          <w:p w14:paraId="625E5AF4" w14:textId="77777777" w:rsidR="003F0D4E" w:rsidRPr="00097A86" w:rsidRDefault="003F0D4E" w:rsidP="00D22D3F">
            <w:pPr>
              <w:pStyle w:val="Tabletext"/>
            </w:pPr>
            <w:r w:rsidRPr="00097A86">
              <w:t>49</w:t>
            </w:r>
          </w:p>
        </w:tc>
        <w:tc>
          <w:tcPr>
            <w:tcW w:w="3407" w:type="pct"/>
            <w:shd w:val="clear" w:color="auto" w:fill="auto"/>
          </w:tcPr>
          <w:p w14:paraId="58D42D56" w14:textId="77777777" w:rsidR="003F0D4E" w:rsidRPr="00097A86" w:rsidRDefault="003F0D4E" w:rsidP="00D22D3F">
            <w:pPr>
              <w:pStyle w:val="Tabletext"/>
            </w:pPr>
            <w:r w:rsidRPr="00097A86">
              <w:rPr>
                <w:snapToGrid w:val="0"/>
              </w:rPr>
              <w:t>Bitumen</w:t>
            </w:r>
          </w:p>
        </w:tc>
        <w:tc>
          <w:tcPr>
            <w:tcW w:w="1166" w:type="pct"/>
            <w:shd w:val="clear" w:color="auto" w:fill="auto"/>
          </w:tcPr>
          <w:p w14:paraId="5EDC2F41" w14:textId="77777777" w:rsidR="003F0D4E" w:rsidRPr="00097A86" w:rsidRDefault="003F0D4E" w:rsidP="00D22D3F">
            <w:pPr>
              <w:pStyle w:val="Tabletext"/>
            </w:pPr>
            <w:r w:rsidRPr="00097A86">
              <w:t>0.951 tC/t fuel</w:t>
            </w:r>
          </w:p>
        </w:tc>
      </w:tr>
      <w:tr w:rsidR="003F0D4E" w:rsidRPr="00097A86" w14:paraId="2CD1A303" w14:textId="77777777" w:rsidTr="00C20CC2">
        <w:trPr>
          <w:trHeight w:val="20"/>
        </w:trPr>
        <w:tc>
          <w:tcPr>
            <w:tcW w:w="427" w:type="pct"/>
            <w:shd w:val="clear" w:color="auto" w:fill="auto"/>
          </w:tcPr>
          <w:p w14:paraId="6C055F9F" w14:textId="77777777" w:rsidR="003F0D4E" w:rsidRPr="00097A86" w:rsidRDefault="003F0D4E" w:rsidP="00D22D3F">
            <w:pPr>
              <w:pStyle w:val="Tabletext"/>
            </w:pPr>
            <w:r w:rsidRPr="00097A86">
              <w:t>50</w:t>
            </w:r>
          </w:p>
        </w:tc>
        <w:tc>
          <w:tcPr>
            <w:tcW w:w="3407" w:type="pct"/>
            <w:shd w:val="clear" w:color="auto" w:fill="auto"/>
          </w:tcPr>
          <w:p w14:paraId="25325624" w14:textId="77777777" w:rsidR="003F0D4E" w:rsidRPr="00097A86" w:rsidRDefault="003F0D4E" w:rsidP="00D22D3F">
            <w:pPr>
              <w:pStyle w:val="Tabletext"/>
            </w:pPr>
            <w:r w:rsidRPr="00097A86">
              <w:rPr>
                <w:snapToGrid w:val="0"/>
              </w:rPr>
              <w:t>Waxes</w:t>
            </w:r>
          </w:p>
        </w:tc>
        <w:tc>
          <w:tcPr>
            <w:tcW w:w="1166" w:type="pct"/>
            <w:shd w:val="clear" w:color="auto" w:fill="auto"/>
          </w:tcPr>
          <w:p w14:paraId="171F74D4" w14:textId="77777777" w:rsidR="003F0D4E" w:rsidRPr="00097A86" w:rsidRDefault="003F0D4E" w:rsidP="00D22D3F">
            <w:pPr>
              <w:pStyle w:val="Tabletext"/>
            </w:pPr>
            <w:r w:rsidRPr="00097A86">
              <w:t>0.871 tC/t fuel</w:t>
            </w:r>
          </w:p>
        </w:tc>
      </w:tr>
      <w:tr w:rsidR="003F0D4E" w:rsidRPr="00097A86" w14:paraId="2999FAFD" w14:textId="77777777" w:rsidTr="00C20CC2">
        <w:trPr>
          <w:trHeight w:val="20"/>
        </w:trPr>
        <w:tc>
          <w:tcPr>
            <w:tcW w:w="427" w:type="pct"/>
            <w:shd w:val="clear" w:color="auto" w:fill="auto"/>
          </w:tcPr>
          <w:p w14:paraId="01677433" w14:textId="77777777" w:rsidR="003F0D4E" w:rsidRPr="00097A86" w:rsidRDefault="003F0D4E" w:rsidP="00D22D3F">
            <w:pPr>
              <w:pStyle w:val="Tabletext"/>
            </w:pPr>
            <w:r w:rsidRPr="00097A86">
              <w:t>51</w:t>
            </w:r>
          </w:p>
        </w:tc>
        <w:tc>
          <w:tcPr>
            <w:tcW w:w="3407" w:type="pct"/>
            <w:shd w:val="clear" w:color="auto" w:fill="auto"/>
          </w:tcPr>
          <w:p w14:paraId="78E16E4A" w14:textId="77777777" w:rsidR="003F0D4E" w:rsidRPr="00097A86" w:rsidRDefault="003F0D4E" w:rsidP="00D22D3F">
            <w:pPr>
              <w:pStyle w:val="Tabletext"/>
              <w:rPr>
                <w:snapToGrid w:val="0"/>
              </w:rPr>
            </w:pPr>
            <w:r w:rsidRPr="00097A86">
              <w:rPr>
                <w:snapToGrid w:val="0"/>
              </w:rPr>
              <w:t>Petroleum based products other than:</w:t>
            </w:r>
          </w:p>
          <w:p w14:paraId="7B50FBB3" w14:textId="77777777" w:rsidR="003F0D4E" w:rsidRPr="00097A86" w:rsidRDefault="00D22D3F" w:rsidP="00D22D3F">
            <w:pPr>
              <w:pStyle w:val="Tablea"/>
              <w:rPr>
                <w:snapToGrid w:val="0"/>
              </w:rPr>
            </w:pPr>
            <w:r w:rsidRPr="00097A86">
              <w:rPr>
                <w:snapToGrid w:val="0"/>
              </w:rPr>
              <w:t>(</w:t>
            </w:r>
            <w:r w:rsidR="003F0D4E" w:rsidRPr="00097A86">
              <w:rPr>
                <w:snapToGrid w:val="0"/>
              </w:rPr>
              <w:t>a</w:t>
            </w:r>
            <w:r w:rsidRPr="00097A86">
              <w:rPr>
                <w:snapToGrid w:val="0"/>
              </w:rPr>
              <w:t xml:space="preserve">) </w:t>
            </w:r>
            <w:r w:rsidR="003F0D4E" w:rsidRPr="00097A86">
              <w:rPr>
                <w:snapToGrid w:val="0"/>
              </w:rPr>
              <w:t>petroleum based oils and petroleum based greases mentioned in items</w:t>
            </w:r>
            <w:r w:rsidR="00097A86">
              <w:rPr>
                <w:snapToGrid w:val="0"/>
              </w:rPr>
              <w:t> </w:t>
            </w:r>
            <w:r w:rsidR="003F0D4E" w:rsidRPr="00097A86">
              <w:rPr>
                <w:snapToGrid w:val="0"/>
              </w:rPr>
              <w:t>31 and 32; and</w:t>
            </w:r>
          </w:p>
          <w:p w14:paraId="6CD50047" w14:textId="77777777" w:rsidR="003F0D4E" w:rsidRPr="00097A86" w:rsidRDefault="00D22D3F" w:rsidP="00D22D3F">
            <w:pPr>
              <w:pStyle w:val="Tablea"/>
              <w:rPr>
                <w:snapToGrid w:val="0"/>
              </w:rPr>
            </w:pPr>
            <w:r w:rsidRPr="00097A86">
              <w:rPr>
                <w:snapToGrid w:val="0"/>
              </w:rPr>
              <w:t>(</w:t>
            </w:r>
            <w:r w:rsidR="003F0D4E" w:rsidRPr="00097A86">
              <w:rPr>
                <w:snapToGrid w:val="0"/>
              </w:rPr>
              <w:t>b</w:t>
            </w:r>
            <w:r w:rsidRPr="00097A86">
              <w:rPr>
                <w:snapToGrid w:val="0"/>
              </w:rPr>
              <w:t xml:space="preserve">) </w:t>
            </w:r>
            <w:r w:rsidR="003F0D4E" w:rsidRPr="00097A86">
              <w:rPr>
                <w:snapToGrid w:val="0"/>
              </w:rPr>
              <w:t>the petroleum based products mentioned in items</w:t>
            </w:r>
            <w:r w:rsidR="00097A86">
              <w:rPr>
                <w:snapToGrid w:val="0"/>
              </w:rPr>
              <w:t> </w:t>
            </w:r>
            <w:r w:rsidR="003F0D4E" w:rsidRPr="00097A86">
              <w:rPr>
                <w:snapToGrid w:val="0"/>
              </w:rPr>
              <w:t>33 to 50</w:t>
            </w:r>
          </w:p>
        </w:tc>
        <w:tc>
          <w:tcPr>
            <w:tcW w:w="1166" w:type="pct"/>
            <w:shd w:val="clear" w:color="auto" w:fill="auto"/>
          </w:tcPr>
          <w:p w14:paraId="4278A68B" w14:textId="77777777" w:rsidR="003F0D4E" w:rsidRPr="00097A86" w:rsidRDefault="00473D46" w:rsidP="00D22D3F">
            <w:pPr>
              <w:pStyle w:val="Tabletext"/>
            </w:pPr>
            <w:r w:rsidRPr="00097A86">
              <w:t>0.655</w:t>
            </w:r>
          </w:p>
        </w:tc>
      </w:tr>
      <w:tr w:rsidR="003F0D4E" w:rsidRPr="00097A86" w14:paraId="603DB85D" w14:textId="77777777" w:rsidTr="00C20CC2">
        <w:trPr>
          <w:trHeight w:val="20"/>
        </w:trPr>
        <w:tc>
          <w:tcPr>
            <w:tcW w:w="5000" w:type="pct"/>
            <w:gridSpan w:val="3"/>
            <w:shd w:val="clear" w:color="auto" w:fill="auto"/>
          </w:tcPr>
          <w:p w14:paraId="133E833F" w14:textId="77777777" w:rsidR="003F0D4E" w:rsidRPr="00097A86" w:rsidRDefault="003F0D4E" w:rsidP="00D22D3F">
            <w:pPr>
              <w:pStyle w:val="Tabletext"/>
              <w:rPr>
                <w:i/>
              </w:rPr>
            </w:pPr>
            <w:r w:rsidRPr="00097A86">
              <w:rPr>
                <w:i/>
                <w:snapToGrid w:val="0"/>
              </w:rPr>
              <w:t xml:space="preserve">Biofuels </w:t>
            </w:r>
          </w:p>
        </w:tc>
      </w:tr>
      <w:tr w:rsidR="003F0D4E" w:rsidRPr="00097A86" w14:paraId="521B09DD" w14:textId="77777777" w:rsidTr="00C20CC2">
        <w:trPr>
          <w:trHeight w:val="20"/>
        </w:trPr>
        <w:tc>
          <w:tcPr>
            <w:tcW w:w="427" w:type="pct"/>
            <w:shd w:val="clear" w:color="auto" w:fill="auto"/>
          </w:tcPr>
          <w:p w14:paraId="3AD6B5A1" w14:textId="77777777" w:rsidR="003F0D4E" w:rsidRPr="00097A86" w:rsidRDefault="003F0D4E" w:rsidP="00D22D3F">
            <w:pPr>
              <w:pStyle w:val="Tabletext"/>
            </w:pPr>
            <w:r w:rsidRPr="00097A86">
              <w:t>52</w:t>
            </w:r>
          </w:p>
        </w:tc>
        <w:tc>
          <w:tcPr>
            <w:tcW w:w="3407" w:type="pct"/>
            <w:shd w:val="clear" w:color="auto" w:fill="auto"/>
          </w:tcPr>
          <w:p w14:paraId="5A02C644" w14:textId="77777777" w:rsidR="003F0D4E" w:rsidRPr="00097A86" w:rsidRDefault="003F0D4E" w:rsidP="00D22D3F">
            <w:pPr>
              <w:pStyle w:val="Tabletext"/>
            </w:pPr>
            <w:r w:rsidRPr="00097A86">
              <w:t>Biodiesel</w:t>
            </w:r>
          </w:p>
        </w:tc>
        <w:tc>
          <w:tcPr>
            <w:tcW w:w="1166" w:type="pct"/>
            <w:shd w:val="clear" w:color="auto" w:fill="auto"/>
          </w:tcPr>
          <w:p w14:paraId="377D044F" w14:textId="77777777" w:rsidR="003F0D4E" w:rsidRPr="00097A86" w:rsidRDefault="003F0D4E" w:rsidP="00D22D3F">
            <w:pPr>
              <w:pStyle w:val="Tabletext"/>
            </w:pPr>
            <w:r w:rsidRPr="00097A86">
              <w:t>0</w:t>
            </w:r>
          </w:p>
        </w:tc>
      </w:tr>
      <w:tr w:rsidR="003F0D4E" w:rsidRPr="00097A86" w14:paraId="22C809F2" w14:textId="77777777" w:rsidTr="00C20CC2">
        <w:trPr>
          <w:trHeight w:val="20"/>
        </w:trPr>
        <w:tc>
          <w:tcPr>
            <w:tcW w:w="427" w:type="pct"/>
            <w:tcBorders>
              <w:bottom w:val="single" w:sz="4" w:space="0" w:color="auto"/>
            </w:tcBorders>
            <w:shd w:val="clear" w:color="auto" w:fill="auto"/>
          </w:tcPr>
          <w:p w14:paraId="725641D8" w14:textId="77777777" w:rsidR="003F0D4E" w:rsidRPr="00097A86" w:rsidRDefault="003F0D4E" w:rsidP="00D22D3F">
            <w:pPr>
              <w:pStyle w:val="Tabletext"/>
            </w:pPr>
            <w:r w:rsidRPr="00097A86">
              <w:t>53</w:t>
            </w:r>
          </w:p>
        </w:tc>
        <w:tc>
          <w:tcPr>
            <w:tcW w:w="3407" w:type="pct"/>
            <w:tcBorders>
              <w:bottom w:val="single" w:sz="4" w:space="0" w:color="auto"/>
            </w:tcBorders>
            <w:shd w:val="clear" w:color="auto" w:fill="auto"/>
          </w:tcPr>
          <w:p w14:paraId="7228DE26" w14:textId="77777777" w:rsidR="003F0D4E" w:rsidRPr="00097A86" w:rsidRDefault="003F0D4E" w:rsidP="00D22D3F">
            <w:pPr>
              <w:pStyle w:val="Tabletext"/>
              <w:rPr>
                <w:szCs w:val="22"/>
              </w:rPr>
            </w:pPr>
            <w:r w:rsidRPr="00097A86">
              <w:rPr>
                <w:szCs w:val="22"/>
              </w:rPr>
              <w:t xml:space="preserve">Ethanol </w:t>
            </w:r>
            <w:r w:rsidRPr="00097A86">
              <w:t>for use as a fuel in an internal combustion engine</w:t>
            </w:r>
          </w:p>
        </w:tc>
        <w:tc>
          <w:tcPr>
            <w:tcW w:w="1166" w:type="pct"/>
            <w:tcBorders>
              <w:bottom w:val="single" w:sz="4" w:space="0" w:color="auto"/>
            </w:tcBorders>
            <w:shd w:val="clear" w:color="auto" w:fill="auto"/>
          </w:tcPr>
          <w:p w14:paraId="24DF3A30" w14:textId="77777777" w:rsidR="003F0D4E" w:rsidRPr="00097A86" w:rsidRDefault="003F0D4E" w:rsidP="00D22D3F">
            <w:pPr>
              <w:pStyle w:val="Tabletext"/>
            </w:pPr>
            <w:r w:rsidRPr="00097A86">
              <w:t>0</w:t>
            </w:r>
          </w:p>
        </w:tc>
      </w:tr>
      <w:tr w:rsidR="003F0D4E" w:rsidRPr="00097A86" w14:paraId="4FC59968" w14:textId="77777777" w:rsidTr="00C20CC2">
        <w:trPr>
          <w:trHeight w:val="20"/>
        </w:trPr>
        <w:tc>
          <w:tcPr>
            <w:tcW w:w="427" w:type="pct"/>
            <w:tcBorders>
              <w:bottom w:val="single" w:sz="12" w:space="0" w:color="auto"/>
            </w:tcBorders>
            <w:shd w:val="clear" w:color="auto" w:fill="auto"/>
          </w:tcPr>
          <w:p w14:paraId="6F325FD4" w14:textId="77777777" w:rsidR="003F0D4E" w:rsidRPr="00097A86" w:rsidRDefault="003F0D4E" w:rsidP="00D22D3F">
            <w:pPr>
              <w:pStyle w:val="Tabletext"/>
            </w:pPr>
            <w:r w:rsidRPr="00097A86">
              <w:t>54</w:t>
            </w:r>
          </w:p>
        </w:tc>
        <w:tc>
          <w:tcPr>
            <w:tcW w:w="3407" w:type="pct"/>
            <w:tcBorders>
              <w:bottom w:val="single" w:sz="12" w:space="0" w:color="auto"/>
            </w:tcBorders>
            <w:shd w:val="clear" w:color="auto" w:fill="auto"/>
          </w:tcPr>
          <w:p w14:paraId="7A933CD3" w14:textId="77777777" w:rsidR="003F0D4E" w:rsidRPr="00097A86" w:rsidRDefault="003F0D4E" w:rsidP="00D22D3F">
            <w:pPr>
              <w:pStyle w:val="Tabletext"/>
            </w:pPr>
            <w:r w:rsidRPr="00097A86">
              <w:t>Biofuels other than those mentioned in items</w:t>
            </w:r>
            <w:r w:rsidR="00097A86">
              <w:t> </w:t>
            </w:r>
            <w:r w:rsidRPr="00097A86">
              <w:t>52 and 53</w:t>
            </w:r>
          </w:p>
        </w:tc>
        <w:tc>
          <w:tcPr>
            <w:tcW w:w="1166" w:type="pct"/>
            <w:tcBorders>
              <w:bottom w:val="single" w:sz="12" w:space="0" w:color="auto"/>
            </w:tcBorders>
            <w:shd w:val="clear" w:color="auto" w:fill="auto"/>
          </w:tcPr>
          <w:p w14:paraId="7D9171BF" w14:textId="77777777" w:rsidR="003F0D4E" w:rsidRPr="00097A86" w:rsidRDefault="003F0D4E" w:rsidP="00D22D3F">
            <w:pPr>
              <w:pStyle w:val="Tabletext"/>
            </w:pPr>
            <w:r w:rsidRPr="00097A86">
              <w:t>0</w:t>
            </w:r>
          </w:p>
        </w:tc>
      </w:tr>
    </w:tbl>
    <w:p w14:paraId="6A9B0FB5" w14:textId="77777777" w:rsidR="003F0D4E" w:rsidRPr="00097A86" w:rsidRDefault="003F0D4E" w:rsidP="00D22D3F">
      <w:pPr>
        <w:pStyle w:val="ActHead2"/>
        <w:pageBreakBefore/>
      </w:pPr>
      <w:bookmarkStart w:id="692" w:name="_Toc13234115"/>
      <w:r w:rsidRPr="00097A86">
        <w:rPr>
          <w:rStyle w:val="CharPartNo"/>
        </w:rPr>
        <w:lastRenderedPageBreak/>
        <w:t>Part</w:t>
      </w:r>
      <w:r w:rsidR="00097A86">
        <w:rPr>
          <w:rStyle w:val="CharPartNo"/>
        </w:rPr>
        <w:t> </w:t>
      </w:r>
      <w:r w:rsidRPr="00097A86">
        <w:rPr>
          <w:rStyle w:val="CharPartNo"/>
        </w:rPr>
        <w:t>4</w:t>
      </w:r>
      <w:r w:rsidR="00D22D3F" w:rsidRPr="00097A86">
        <w:t>—</w:t>
      </w:r>
      <w:r w:rsidRPr="00097A86">
        <w:rPr>
          <w:rStyle w:val="CharPartText"/>
        </w:rPr>
        <w:t>Petrochemical feedstocks and products</w:t>
      </w:r>
      <w:bookmarkEnd w:id="692"/>
    </w:p>
    <w:p w14:paraId="59B6864B"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0"/>
        <w:gridCol w:w="5664"/>
        <w:gridCol w:w="1939"/>
      </w:tblGrid>
      <w:tr w:rsidR="003F0D4E" w:rsidRPr="00097A86" w14:paraId="4474AE5B" w14:textId="77777777" w:rsidTr="00C20CC2">
        <w:trPr>
          <w:trHeight w:val="20"/>
          <w:tblHeader/>
        </w:trPr>
        <w:tc>
          <w:tcPr>
            <w:tcW w:w="427" w:type="pct"/>
            <w:tcBorders>
              <w:top w:val="single" w:sz="12" w:space="0" w:color="auto"/>
              <w:bottom w:val="single" w:sz="12" w:space="0" w:color="auto"/>
            </w:tcBorders>
            <w:shd w:val="clear" w:color="auto" w:fill="auto"/>
          </w:tcPr>
          <w:p w14:paraId="4A4AC888" w14:textId="77777777" w:rsidR="003F0D4E" w:rsidRPr="00097A86" w:rsidRDefault="003F0D4E" w:rsidP="00C87D92">
            <w:pPr>
              <w:pStyle w:val="TableHeading"/>
              <w:rPr>
                <w:rStyle w:val="Strong"/>
                <w:b/>
                <w:bCs w:val="0"/>
              </w:rPr>
            </w:pPr>
            <w:r w:rsidRPr="00097A86">
              <w:rPr>
                <w:rStyle w:val="Strong"/>
                <w:b/>
                <w:bCs w:val="0"/>
              </w:rPr>
              <w:t>Item</w:t>
            </w:r>
          </w:p>
        </w:tc>
        <w:tc>
          <w:tcPr>
            <w:tcW w:w="3407" w:type="pct"/>
            <w:tcBorders>
              <w:top w:val="single" w:sz="12" w:space="0" w:color="auto"/>
              <w:bottom w:val="single" w:sz="12" w:space="0" w:color="auto"/>
            </w:tcBorders>
            <w:shd w:val="clear" w:color="auto" w:fill="auto"/>
          </w:tcPr>
          <w:p w14:paraId="31FBE8B7" w14:textId="77777777" w:rsidR="003F0D4E" w:rsidRPr="00097A86" w:rsidRDefault="003F0D4E" w:rsidP="00C87D92">
            <w:pPr>
              <w:pStyle w:val="TableHeading"/>
              <w:rPr>
                <w:rStyle w:val="Strong"/>
                <w:b/>
                <w:bCs w:val="0"/>
              </w:rPr>
            </w:pPr>
            <w:r w:rsidRPr="00097A86">
              <w:rPr>
                <w:rStyle w:val="Strong"/>
                <w:b/>
                <w:bCs w:val="0"/>
              </w:rPr>
              <w:t>Fuel type</w:t>
            </w:r>
          </w:p>
        </w:tc>
        <w:tc>
          <w:tcPr>
            <w:tcW w:w="1166" w:type="pct"/>
            <w:tcBorders>
              <w:top w:val="single" w:sz="12" w:space="0" w:color="auto"/>
              <w:bottom w:val="single" w:sz="12" w:space="0" w:color="auto"/>
            </w:tcBorders>
            <w:shd w:val="clear" w:color="auto" w:fill="auto"/>
          </w:tcPr>
          <w:p w14:paraId="281B901F" w14:textId="77777777" w:rsidR="003F0D4E" w:rsidRPr="00097A86" w:rsidRDefault="003F0D4E" w:rsidP="00C87D92">
            <w:pPr>
              <w:pStyle w:val="TableHeading"/>
            </w:pPr>
            <w:r w:rsidRPr="00097A86">
              <w:t>Carbon content factor</w:t>
            </w:r>
            <w:r w:rsidRPr="00097A86">
              <w:br/>
              <w:t>(tC/t fuel</w:t>
            </w:r>
            <w:r w:rsidRPr="00097A86">
              <w:br/>
              <w:t>unless otherwise specified)</w:t>
            </w:r>
          </w:p>
        </w:tc>
      </w:tr>
      <w:tr w:rsidR="003F0D4E" w:rsidRPr="00097A86" w14:paraId="1AA49812" w14:textId="77777777" w:rsidTr="00C20CC2">
        <w:trPr>
          <w:trHeight w:val="20"/>
        </w:trPr>
        <w:tc>
          <w:tcPr>
            <w:tcW w:w="5000" w:type="pct"/>
            <w:gridSpan w:val="3"/>
            <w:tcBorders>
              <w:top w:val="single" w:sz="12" w:space="0" w:color="auto"/>
            </w:tcBorders>
            <w:shd w:val="clear" w:color="auto" w:fill="auto"/>
          </w:tcPr>
          <w:p w14:paraId="4B51C2A2" w14:textId="77777777" w:rsidR="003F0D4E" w:rsidRPr="00097A86" w:rsidRDefault="003F0D4E" w:rsidP="00D22D3F">
            <w:pPr>
              <w:pStyle w:val="Tabletext"/>
              <w:rPr>
                <w:i/>
              </w:rPr>
            </w:pPr>
            <w:r w:rsidRPr="00097A86">
              <w:rPr>
                <w:i/>
              </w:rPr>
              <w:t>Petrochemical feedstocks</w:t>
            </w:r>
          </w:p>
        </w:tc>
      </w:tr>
      <w:tr w:rsidR="003F0D4E" w:rsidRPr="00097A86" w14:paraId="79965E49" w14:textId="77777777" w:rsidTr="00C20CC2">
        <w:trPr>
          <w:trHeight w:val="20"/>
        </w:trPr>
        <w:tc>
          <w:tcPr>
            <w:tcW w:w="427" w:type="pct"/>
            <w:shd w:val="clear" w:color="auto" w:fill="auto"/>
          </w:tcPr>
          <w:p w14:paraId="376AAE80" w14:textId="77777777" w:rsidR="003F0D4E" w:rsidRPr="00097A86" w:rsidRDefault="003F0D4E" w:rsidP="00D22D3F">
            <w:pPr>
              <w:pStyle w:val="Tabletext"/>
              <w:rPr>
                <w:snapToGrid w:val="0"/>
              </w:rPr>
            </w:pPr>
            <w:r w:rsidRPr="00097A86">
              <w:rPr>
                <w:snapToGrid w:val="0"/>
              </w:rPr>
              <w:t>55</w:t>
            </w:r>
          </w:p>
        </w:tc>
        <w:tc>
          <w:tcPr>
            <w:tcW w:w="3407" w:type="pct"/>
            <w:shd w:val="clear" w:color="auto" w:fill="auto"/>
          </w:tcPr>
          <w:p w14:paraId="12B534AD" w14:textId="77777777" w:rsidR="003F0D4E" w:rsidRPr="00097A86" w:rsidRDefault="003F0D4E" w:rsidP="00D22D3F">
            <w:pPr>
              <w:pStyle w:val="Tabletext"/>
              <w:rPr>
                <w:snapToGrid w:val="0"/>
              </w:rPr>
            </w:pPr>
            <w:r w:rsidRPr="00097A86">
              <w:rPr>
                <w:snapToGrid w:val="0"/>
              </w:rPr>
              <w:t>Carbon black if used as a petrochemical feedstock</w:t>
            </w:r>
          </w:p>
        </w:tc>
        <w:tc>
          <w:tcPr>
            <w:tcW w:w="1166" w:type="pct"/>
            <w:shd w:val="clear" w:color="auto" w:fill="auto"/>
          </w:tcPr>
          <w:p w14:paraId="4CB291F6" w14:textId="77777777" w:rsidR="003F0D4E" w:rsidRPr="00097A86" w:rsidRDefault="003F0D4E" w:rsidP="00D22D3F">
            <w:pPr>
              <w:pStyle w:val="Tabletext"/>
              <w:rPr>
                <w:snapToGrid w:val="0"/>
              </w:rPr>
            </w:pPr>
            <w:r w:rsidRPr="00097A86">
              <w:rPr>
                <w:snapToGrid w:val="0"/>
              </w:rPr>
              <w:t>1</w:t>
            </w:r>
          </w:p>
        </w:tc>
      </w:tr>
      <w:tr w:rsidR="003F0D4E" w:rsidRPr="00097A86" w14:paraId="623164B5" w14:textId="77777777" w:rsidTr="00C20CC2">
        <w:trPr>
          <w:trHeight w:val="20"/>
        </w:trPr>
        <w:tc>
          <w:tcPr>
            <w:tcW w:w="427" w:type="pct"/>
            <w:shd w:val="clear" w:color="auto" w:fill="auto"/>
          </w:tcPr>
          <w:p w14:paraId="18AC0125" w14:textId="77777777" w:rsidR="003F0D4E" w:rsidRPr="00097A86" w:rsidRDefault="003F0D4E" w:rsidP="00D22D3F">
            <w:pPr>
              <w:pStyle w:val="Tabletext"/>
              <w:rPr>
                <w:snapToGrid w:val="0"/>
              </w:rPr>
            </w:pPr>
            <w:r w:rsidRPr="00097A86">
              <w:rPr>
                <w:snapToGrid w:val="0"/>
              </w:rPr>
              <w:t>56</w:t>
            </w:r>
          </w:p>
        </w:tc>
        <w:tc>
          <w:tcPr>
            <w:tcW w:w="3407" w:type="pct"/>
            <w:shd w:val="clear" w:color="auto" w:fill="auto"/>
          </w:tcPr>
          <w:p w14:paraId="19B4AE34" w14:textId="77777777" w:rsidR="003F0D4E" w:rsidRPr="00097A86" w:rsidRDefault="003F0D4E" w:rsidP="00D22D3F">
            <w:pPr>
              <w:pStyle w:val="Tabletext"/>
              <w:rPr>
                <w:snapToGrid w:val="0"/>
              </w:rPr>
            </w:pPr>
            <w:r w:rsidRPr="00097A86">
              <w:rPr>
                <w:snapToGrid w:val="0"/>
              </w:rPr>
              <w:t>Ethylene if used as a petrochemical feedstock</w:t>
            </w:r>
          </w:p>
        </w:tc>
        <w:tc>
          <w:tcPr>
            <w:tcW w:w="1166" w:type="pct"/>
            <w:shd w:val="clear" w:color="auto" w:fill="auto"/>
          </w:tcPr>
          <w:p w14:paraId="438BB87D" w14:textId="77777777" w:rsidR="003F0D4E" w:rsidRPr="00097A86" w:rsidRDefault="003F0D4E" w:rsidP="00D22D3F">
            <w:pPr>
              <w:pStyle w:val="Tabletext"/>
              <w:rPr>
                <w:snapToGrid w:val="0"/>
              </w:rPr>
            </w:pPr>
            <w:r w:rsidRPr="00097A86">
              <w:rPr>
                <w:snapToGrid w:val="0"/>
              </w:rPr>
              <w:t>0.856</w:t>
            </w:r>
          </w:p>
        </w:tc>
      </w:tr>
      <w:tr w:rsidR="003F0D4E" w:rsidRPr="00097A86" w14:paraId="020357E3" w14:textId="77777777" w:rsidTr="00C20CC2">
        <w:trPr>
          <w:trHeight w:val="20"/>
        </w:trPr>
        <w:tc>
          <w:tcPr>
            <w:tcW w:w="427" w:type="pct"/>
            <w:shd w:val="clear" w:color="auto" w:fill="auto"/>
          </w:tcPr>
          <w:p w14:paraId="1BF150AB" w14:textId="77777777" w:rsidR="003F0D4E" w:rsidRPr="00097A86" w:rsidRDefault="003F0D4E" w:rsidP="00D22D3F">
            <w:pPr>
              <w:pStyle w:val="Tabletext"/>
              <w:rPr>
                <w:snapToGrid w:val="0"/>
              </w:rPr>
            </w:pPr>
            <w:r w:rsidRPr="00097A86">
              <w:rPr>
                <w:snapToGrid w:val="0"/>
              </w:rPr>
              <w:t>57</w:t>
            </w:r>
          </w:p>
        </w:tc>
        <w:tc>
          <w:tcPr>
            <w:tcW w:w="3407" w:type="pct"/>
            <w:shd w:val="clear" w:color="auto" w:fill="auto"/>
          </w:tcPr>
          <w:p w14:paraId="13B06C97" w14:textId="77777777" w:rsidR="003F0D4E" w:rsidRPr="00097A86" w:rsidRDefault="003F0D4E" w:rsidP="00D22D3F">
            <w:pPr>
              <w:pStyle w:val="Tabletext"/>
              <w:rPr>
                <w:snapToGrid w:val="0"/>
              </w:rPr>
            </w:pPr>
            <w:r w:rsidRPr="00097A86">
              <w:rPr>
                <w:snapToGrid w:val="0"/>
              </w:rPr>
              <w:t>Petrochemical feedstock other than those mentioned in items</w:t>
            </w:r>
            <w:r w:rsidR="00097A86">
              <w:rPr>
                <w:snapToGrid w:val="0"/>
              </w:rPr>
              <w:t> </w:t>
            </w:r>
            <w:r w:rsidRPr="00097A86">
              <w:rPr>
                <w:snapToGrid w:val="0"/>
              </w:rPr>
              <w:t>55 and 56</w:t>
            </w:r>
          </w:p>
        </w:tc>
        <w:tc>
          <w:tcPr>
            <w:tcW w:w="1166" w:type="pct"/>
            <w:shd w:val="clear" w:color="auto" w:fill="auto"/>
          </w:tcPr>
          <w:p w14:paraId="7242A6BB" w14:textId="77777777" w:rsidR="003F0D4E" w:rsidRPr="00097A86" w:rsidRDefault="003F0D4E" w:rsidP="00D22D3F">
            <w:pPr>
              <w:pStyle w:val="Tabletext"/>
              <w:rPr>
                <w:snapToGrid w:val="0"/>
              </w:rPr>
            </w:pPr>
            <w:r w:rsidRPr="00097A86">
              <w:rPr>
                <w:snapToGrid w:val="0"/>
              </w:rPr>
              <w:t>0.856</w:t>
            </w:r>
          </w:p>
        </w:tc>
      </w:tr>
      <w:tr w:rsidR="003F0D4E" w:rsidRPr="00097A86" w14:paraId="5E7001C2" w14:textId="77777777" w:rsidTr="00C20CC2">
        <w:trPr>
          <w:trHeight w:val="20"/>
        </w:trPr>
        <w:tc>
          <w:tcPr>
            <w:tcW w:w="5000" w:type="pct"/>
            <w:gridSpan w:val="3"/>
            <w:shd w:val="clear" w:color="auto" w:fill="auto"/>
          </w:tcPr>
          <w:p w14:paraId="554F4DFF" w14:textId="77777777" w:rsidR="003F0D4E" w:rsidRPr="00097A86" w:rsidRDefault="003F0D4E" w:rsidP="00D22D3F">
            <w:pPr>
              <w:pStyle w:val="Tabletext"/>
              <w:rPr>
                <w:i/>
              </w:rPr>
            </w:pPr>
            <w:r w:rsidRPr="00097A86">
              <w:rPr>
                <w:i/>
              </w:rPr>
              <w:t>Petrochemical products</w:t>
            </w:r>
          </w:p>
        </w:tc>
      </w:tr>
      <w:tr w:rsidR="003F0D4E" w:rsidRPr="00097A86" w14:paraId="73A9A88A" w14:textId="77777777" w:rsidTr="00C20CC2">
        <w:trPr>
          <w:trHeight w:val="20"/>
        </w:trPr>
        <w:tc>
          <w:tcPr>
            <w:tcW w:w="427" w:type="pct"/>
            <w:shd w:val="clear" w:color="auto" w:fill="auto"/>
          </w:tcPr>
          <w:p w14:paraId="0A006352" w14:textId="77777777" w:rsidR="003F0D4E" w:rsidRPr="00097A86" w:rsidRDefault="003F0D4E" w:rsidP="00D22D3F">
            <w:pPr>
              <w:pStyle w:val="Tabletext"/>
              <w:rPr>
                <w:snapToGrid w:val="0"/>
              </w:rPr>
            </w:pPr>
            <w:r w:rsidRPr="00097A86">
              <w:rPr>
                <w:snapToGrid w:val="0"/>
              </w:rPr>
              <w:t>58</w:t>
            </w:r>
          </w:p>
        </w:tc>
        <w:tc>
          <w:tcPr>
            <w:tcW w:w="3407" w:type="pct"/>
            <w:shd w:val="clear" w:color="auto" w:fill="auto"/>
          </w:tcPr>
          <w:p w14:paraId="4BEEED39" w14:textId="77777777" w:rsidR="003F0D4E" w:rsidRPr="00097A86" w:rsidRDefault="003F0D4E" w:rsidP="00D22D3F">
            <w:pPr>
              <w:pStyle w:val="Tabletext"/>
              <w:rPr>
                <w:snapToGrid w:val="0"/>
                <w:szCs w:val="22"/>
              </w:rPr>
            </w:pPr>
            <w:r w:rsidRPr="00097A86">
              <w:t>Propylene</w:t>
            </w:r>
          </w:p>
        </w:tc>
        <w:tc>
          <w:tcPr>
            <w:tcW w:w="1166" w:type="pct"/>
            <w:shd w:val="clear" w:color="auto" w:fill="auto"/>
          </w:tcPr>
          <w:p w14:paraId="280F7289" w14:textId="77777777" w:rsidR="003F0D4E" w:rsidRPr="00097A86" w:rsidRDefault="003F0D4E" w:rsidP="00D22D3F">
            <w:pPr>
              <w:pStyle w:val="Tabletext"/>
              <w:rPr>
                <w:snapToGrid w:val="0"/>
              </w:rPr>
            </w:pPr>
            <w:r w:rsidRPr="00097A86">
              <w:rPr>
                <w:snapToGrid w:val="0"/>
              </w:rPr>
              <w:t>0.856</w:t>
            </w:r>
          </w:p>
        </w:tc>
      </w:tr>
      <w:tr w:rsidR="003F0D4E" w:rsidRPr="00097A86" w14:paraId="7EE26825" w14:textId="77777777" w:rsidTr="00C20CC2">
        <w:trPr>
          <w:trHeight w:val="20"/>
        </w:trPr>
        <w:tc>
          <w:tcPr>
            <w:tcW w:w="427" w:type="pct"/>
            <w:shd w:val="clear" w:color="auto" w:fill="auto"/>
          </w:tcPr>
          <w:p w14:paraId="4EB3ADDE" w14:textId="77777777" w:rsidR="003F0D4E" w:rsidRPr="00097A86" w:rsidRDefault="003F0D4E" w:rsidP="00D22D3F">
            <w:pPr>
              <w:pStyle w:val="Tabletext"/>
              <w:rPr>
                <w:snapToGrid w:val="0"/>
              </w:rPr>
            </w:pPr>
            <w:r w:rsidRPr="00097A86">
              <w:rPr>
                <w:snapToGrid w:val="0"/>
              </w:rPr>
              <w:t>59</w:t>
            </w:r>
          </w:p>
        </w:tc>
        <w:tc>
          <w:tcPr>
            <w:tcW w:w="3407" w:type="pct"/>
            <w:shd w:val="clear" w:color="auto" w:fill="auto"/>
          </w:tcPr>
          <w:p w14:paraId="5E2201AD" w14:textId="77777777" w:rsidR="003F0D4E" w:rsidRPr="00097A86" w:rsidRDefault="003F0D4E" w:rsidP="00D22D3F">
            <w:pPr>
              <w:pStyle w:val="Tabletext"/>
              <w:rPr>
                <w:snapToGrid w:val="0"/>
                <w:szCs w:val="22"/>
              </w:rPr>
            </w:pPr>
            <w:r w:rsidRPr="00097A86">
              <w:t>Polyethylene</w:t>
            </w:r>
          </w:p>
        </w:tc>
        <w:tc>
          <w:tcPr>
            <w:tcW w:w="1166" w:type="pct"/>
            <w:shd w:val="clear" w:color="auto" w:fill="auto"/>
          </w:tcPr>
          <w:p w14:paraId="59A7367E" w14:textId="77777777" w:rsidR="003F0D4E" w:rsidRPr="00097A86" w:rsidRDefault="003F0D4E" w:rsidP="00D22D3F">
            <w:pPr>
              <w:pStyle w:val="Tabletext"/>
              <w:rPr>
                <w:snapToGrid w:val="0"/>
              </w:rPr>
            </w:pPr>
            <w:r w:rsidRPr="00097A86">
              <w:rPr>
                <w:snapToGrid w:val="0"/>
              </w:rPr>
              <w:t>0.856</w:t>
            </w:r>
          </w:p>
        </w:tc>
      </w:tr>
      <w:tr w:rsidR="003F0D4E" w:rsidRPr="00097A86" w14:paraId="0930D876" w14:textId="77777777" w:rsidTr="00C20CC2">
        <w:trPr>
          <w:trHeight w:val="20"/>
        </w:trPr>
        <w:tc>
          <w:tcPr>
            <w:tcW w:w="427" w:type="pct"/>
            <w:shd w:val="clear" w:color="auto" w:fill="auto"/>
          </w:tcPr>
          <w:p w14:paraId="4EC2549E" w14:textId="77777777" w:rsidR="003F0D4E" w:rsidRPr="00097A86" w:rsidRDefault="003F0D4E" w:rsidP="00D22D3F">
            <w:pPr>
              <w:pStyle w:val="Tabletext"/>
              <w:rPr>
                <w:snapToGrid w:val="0"/>
              </w:rPr>
            </w:pPr>
            <w:r w:rsidRPr="00097A86">
              <w:rPr>
                <w:snapToGrid w:val="0"/>
              </w:rPr>
              <w:t>60</w:t>
            </w:r>
          </w:p>
        </w:tc>
        <w:tc>
          <w:tcPr>
            <w:tcW w:w="3407" w:type="pct"/>
            <w:shd w:val="clear" w:color="auto" w:fill="auto"/>
          </w:tcPr>
          <w:p w14:paraId="103510EF" w14:textId="77777777" w:rsidR="003F0D4E" w:rsidRPr="00097A86" w:rsidRDefault="003F0D4E" w:rsidP="00D22D3F">
            <w:pPr>
              <w:pStyle w:val="Tabletext"/>
              <w:rPr>
                <w:snapToGrid w:val="0"/>
                <w:szCs w:val="22"/>
              </w:rPr>
            </w:pPr>
            <w:r w:rsidRPr="00097A86">
              <w:t>Polypropylene</w:t>
            </w:r>
          </w:p>
        </w:tc>
        <w:tc>
          <w:tcPr>
            <w:tcW w:w="1166" w:type="pct"/>
            <w:shd w:val="clear" w:color="auto" w:fill="auto"/>
          </w:tcPr>
          <w:p w14:paraId="5ED76B00" w14:textId="77777777" w:rsidR="003F0D4E" w:rsidRPr="00097A86" w:rsidRDefault="003F0D4E" w:rsidP="00D22D3F">
            <w:pPr>
              <w:pStyle w:val="Tabletext"/>
              <w:rPr>
                <w:snapToGrid w:val="0"/>
              </w:rPr>
            </w:pPr>
            <w:r w:rsidRPr="00097A86">
              <w:rPr>
                <w:snapToGrid w:val="0"/>
              </w:rPr>
              <w:t>0.856</w:t>
            </w:r>
          </w:p>
        </w:tc>
      </w:tr>
      <w:tr w:rsidR="003F0D4E" w:rsidRPr="00097A86" w14:paraId="56FCBCF1" w14:textId="77777777" w:rsidTr="00C20CC2">
        <w:trPr>
          <w:trHeight w:val="20"/>
        </w:trPr>
        <w:tc>
          <w:tcPr>
            <w:tcW w:w="427" w:type="pct"/>
            <w:tcBorders>
              <w:bottom w:val="single" w:sz="4" w:space="0" w:color="auto"/>
            </w:tcBorders>
            <w:shd w:val="clear" w:color="auto" w:fill="auto"/>
          </w:tcPr>
          <w:p w14:paraId="31ECEB34" w14:textId="77777777" w:rsidR="003F0D4E" w:rsidRPr="00097A86" w:rsidRDefault="003F0D4E" w:rsidP="00D22D3F">
            <w:pPr>
              <w:pStyle w:val="Tabletext"/>
              <w:rPr>
                <w:snapToGrid w:val="0"/>
              </w:rPr>
            </w:pPr>
            <w:r w:rsidRPr="00097A86">
              <w:rPr>
                <w:snapToGrid w:val="0"/>
              </w:rPr>
              <w:t>61</w:t>
            </w:r>
          </w:p>
        </w:tc>
        <w:tc>
          <w:tcPr>
            <w:tcW w:w="3407" w:type="pct"/>
            <w:tcBorders>
              <w:bottom w:val="single" w:sz="4" w:space="0" w:color="auto"/>
            </w:tcBorders>
            <w:shd w:val="clear" w:color="auto" w:fill="auto"/>
          </w:tcPr>
          <w:p w14:paraId="6907F68A" w14:textId="77777777" w:rsidR="003F0D4E" w:rsidRPr="00097A86" w:rsidRDefault="003F0D4E" w:rsidP="00D22D3F">
            <w:pPr>
              <w:pStyle w:val="Tabletext"/>
              <w:rPr>
                <w:snapToGrid w:val="0"/>
                <w:szCs w:val="22"/>
              </w:rPr>
            </w:pPr>
            <w:r w:rsidRPr="00097A86">
              <w:t>Butadiene</w:t>
            </w:r>
          </w:p>
        </w:tc>
        <w:tc>
          <w:tcPr>
            <w:tcW w:w="1166" w:type="pct"/>
            <w:tcBorders>
              <w:bottom w:val="single" w:sz="4" w:space="0" w:color="auto"/>
            </w:tcBorders>
            <w:shd w:val="clear" w:color="auto" w:fill="auto"/>
          </w:tcPr>
          <w:p w14:paraId="718A055D" w14:textId="77777777" w:rsidR="003F0D4E" w:rsidRPr="00097A86" w:rsidRDefault="003F0D4E" w:rsidP="00D22D3F">
            <w:pPr>
              <w:pStyle w:val="Tabletext"/>
              <w:rPr>
                <w:snapToGrid w:val="0"/>
              </w:rPr>
            </w:pPr>
            <w:r w:rsidRPr="00097A86">
              <w:rPr>
                <w:snapToGrid w:val="0"/>
              </w:rPr>
              <w:t>0.888</w:t>
            </w:r>
          </w:p>
        </w:tc>
      </w:tr>
      <w:tr w:rsidR="003F0D4E" w:rsidRPr="00097A86" w14:paraId="49D28A86" w14:textId="77777777" w:rsidTr="00C20CC2">
        <w:trPr>
          <w:trHeight w:val="20"/>
        </w:trPr>
        <w:tc>
          <w:tcPr>
            <w:tcW w:w="427" w:type="pct"/>
            <w:tcBorders>
              <w:bottom w:val="single" w:sz="12" w:space="0" w:color="auto"/>
            </w:tcBorders>
            <w:shd w:val="clear" w:color="auto" w:fill="auto"/>
          </w:tcPr>
          <w:p w14:paraId="38E942A4" w14:textId="77777777" w:rsidR="003F0D4E" w:rsidRPr="00097A86" w:rsidRDefault="003F0D4E" w:rsidP="00D22D3F">
            <w:pPr>
              <w:pStyle w:val="Tabletext"/>
              <w:rPr>
                <w:snapToGrid w:val="0"/>
              </w:rPr>
            </w:pPr>
            <w:r w:rsidRPr="00097A86">
              <w:rPr>
                <w:snapToGrid w:val="0"/>
              </w:rPr>
              <w:t>62</w:t>
            </w:r>
          </w:p>
        </w:tc>
        <w:tc>
          <w:tcPr>
            <w:tcW w:w="3407" w:type="pct"/>
            <w:tcBorders>
              <w:bottom w:val="single" w:sz="12" w:space="0" w:color="auto"/>
            </w:tcBorders>
            <w:shd w:val="clear" w:color="auto" w:fill="auto"/>
          </w:tcPr>
          <w:p w14:paraId="67AE664B" w14:textId="77777777" w:rsidR="003F0D4E" w:rsidRPr="00097A86" w:rsidRDefault="0073135F" w:rsidP="00D22D3F">
            <w:pPr>
              <w:pStyle w:val="Tabletext"/>
              <w:rPr>
                <w:snapToGrid w:val="0"/>
                <w:szCs w:val="22"/>
              </w:rPr>
            </w:pPr>
            <w:r w:rsidRPr="00097A86">
              <w:t>Styrene</w:t>
            </w:r>
          </w:p>
        </w:tc>
        <w:tc>
          <w:tcPr>
            <w:tcW w:w="1166" w:type="pct"/>
            <w:tcBorders>
              <w:bottom w:val="single" w:sz="12" w:space="0" w:color="auto"/>
            </w:tcBorders>
            <w:shd w:val="clear" w:color="auto" w:fill="auto"/>
          </w:tcPr>
          <w:p w14:paraId="2897277C" w14:textId="77777777" w:rsidR="003F0D4E" w:rsidRPr="00097A86" w:rsidRDefault="003F0D4E" w:rsidP="00D22D3F">
            <w:pPr>
              <w:pStyle w:val="Tabletext"/>
              <w:rPr>
                <w:snapToGrid w:val="0"/>
              </w:rPr>
            </w:pPr>
            <w:r w:rsidRPr="00097A86">
              <w:rPr>
                <w:snapToGrid w:val="0"/>
              </w:rPr>
              <w:t>0.923</w:t>
            </w:r>
          </w:p>
        </w:tc>
      </w:tr>
    </w:tbl>
    <w:p w14:paraId="2D1925A6" w14:textId="77777777" w:rsidR="00EF5046" w:rsidRPr="00097A86" w:rsidRDefault="00EF5046" w:rsidP="00D22D3F">
      <w:pPr>
        <w:pStyle w:val="ActHead2"/>
        <w:pageBreakBefore/>
      </w:pPr>
      <w:bookmarkStart w:id="693" w:name="_Toc13234116"/>
      <w:r w:rsidRPr="00097A86">
        <w:rPr>
          <w:rStyle w:val="CharPartNo"/>
        </w:rPr>
        <w:lastRenderedPageBreak/>
        <w:t>Part</w:t>
      </w:r>
      <w:r w:rsidR="00097A86">
        <w:rPr>
          <w:rStyle w:val="CharPartNo"/>
        </w:rPr>
        <w:t> </w:t>
      </w:r>
      <w:r w:rsidRPr="00097A86">
        <w:rPr>
          <w:rStyle w:val="CharPartNo"/>
        </w:rPr>
        <w:t>5</w:t>
      </w:r>
      <w:r w:rsidR="00D22D3F" w:rsidRPr="00097A86">
        <w:t>—</w:t>
      </w:r>
      <w:r w:rsidRPr="00097A86">
        <w:rPr>
          <w:rStyle w:val="CharPartText"/>
        </w:rPr>
        <w:t>Carbonates</w:t>
      </w:r>
      <w:bookmarkEnd w:id="693"/>
    </w:p>
    <w:p w14:paraId="38C62B85" w14:textId="77777777" w:rsidR="00D22D3F" w:rsidRPr="00097A86" w:rsidRDefault="00D22D3F" w:rsidP="00D22D3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06"/>
        <w:gridCol w:w="5655"/>
        <w:gridCol w:w="1952"/>
      </w:tblGrid>
      <w:tr w:rsidR="00EF5046" w:rsidRPr="00097A86" w14:paraId="45BD9FC0" w14:textId="77777777" w:rsidTr="00C20CC2">
        <w:trPr>
          <w:tblHeader/>
        </w:trPr>
        <w:tc>
          <w:tcPr>
            <w:tcW w:w="425" w:type="pct"/>
            <w:tcBorders>
              <w:top w:val="single" w:sz="12" w:space="0" w:color="auto"/>
              <w:bottom w:val="single" w:sz="12" w:space="0" w:color="auto"/>
            </w:tcBorders>
            <w:shd w:val="clear" w:color="auto" w:fill="auto"/>
          </w:tcPr>
          <w:p w14:paraId="25805B78" w14:textId="77777777" w:rsidR="00EF5046" w:rsidRPr="00097A86" w:rsidRDefault="00EF5046" w:rsidP="00D22D3F">
            <w:pPr>
              <w:pStyle w:val="TableHeading"/>
            </w:pPr>
            <w:r w:rsidRPr="00097A86">
              <w:t>Item</w:t>
            </w:r>
          </w:p>
        </w:tc>
        <w:tc>
          <w:tcPr>
            <w:tcW w:w="3401" w:type="pct"/>
            <w:tcBorders>
              <w:top w:val="single" w:sz="12" w:space="0" w:color="auto"/>
              <w:bottom w:val="single" w:sz="12" w:space="0" w:color="auto"/>
            </w:tcBorders>
            <w:shd w:val="clear" w:color="auto" w:fill="auto"/>
          </w:tcPr>
          <w:p w14:paraId="4841CF61" w14:textId="77777777" w:rsidR="00EF5046" w:rsidRPr="00097A86" w:rsidRDefault="00EF5046" w:rsidP="00D22D3F">
            <w:pPr>
              <w:pStyle w:val="TableHeading"/>
            </w:pPr>
            <w:r w:rsidRPr="00097A86">
              <w:t>Carbonate type</w:t>
            </w:r>
          </w:p>
        </w:tc>
        <w:tc>
          <w:tcPr>
            <w:tcW w:w="1174" w:type="pct"/>
            <w:tcBorders>
              <w:top w:val="single" w:sz="12" w:space="0" w:color="auto"/>
              <w:bottom w:val="single" w:sz="12" w:space="0" w:color="auto"/>
            </w:tcBorders>
            <w:shd w:val="clear" w:color="auto" w:fill="auto"/>
          </w:tcPr>
          <w:p w14:paraId="1FBD8C57" w14:textId="77777777" w:rsidR="00EF5046" w:rsidRPr="00097A86" w:rsidRDefault="00EF5046" w:rsidP="00D22D3F">
            <w:pPr>
              <w:pStyle w:val="TableHeading"/>
            </w:pPr>
            <w:r w:rsidRPr="00097A86">
              <w:t>Carbon content factor (tC/t pure carbonate material unless otherwise specified)</w:t>
            </w:r>
          </w:p>
        </w:tc>
      </w:tr>
      <w:tr w:rsidR="00EF5046" w:rsidRPr="00097A86" w14:paraId="4BC09BAF" w14:textId="77777777" w:rsidTr="00C20CC2">
        <w:tc>
          <w:tcPr>
            <w:tcW w:w="425" w:type="pct"/>
            <w:tcBorders>
              <w:top w:val="single" w:sz="12" w:space="0" w:color="auto"/>
            </w:tcBorders>
            <w:shd w:val="clear" w:color="auto" w:fill="auto"/>
          </w:tcPr>
          <w:p w14:paraId="16A660CB" w14:textId="77777777" w:rsidR="00EF5046" w:rsidRPr="00097A86" w:rsidRDefault="00EF5046" w:rsidP="00D22D3F">
            <w:pPr>
              <w:pStyle w:val="Tabletext"/>
            </w:pPr>
            <w:r w:rsidRPr="00097A86">
              <w:t>63</w:t>
            </w:r>
          </w:p>
        </w:tc>
        <w:tc>
          <w:tcPr>
            <w:tcW w:w="3401" w:type="pct"/>
            <w:tcBorders>
              <w:top w:val="single" w:sz="12" w:space="0" w:color="auto"/>
            </w:tcBorders>
            <w:shd w:val="clear" w:color="auto" w:fill="auto"/>
          </w:tcPr>
          <w:p w14:paraId="07DC0FA3" w14:textId="77777777" w:rsidR="00EF5046" w:rsidRPr="00097A86" w:rsidRDefault="00EF5046" w:rsidP="00D22D3F">
            <w:pPr>
              <w:pStyle w:val="Tabletext"/>
            </w:pPr>
            <w:r w:rsidRPr="00097A86">
              <w:t>Calcium carbonate</w:t>
            </w:r>
          </w:p>
        </w:tc>
        <w:tc>
          <w:tcPr>
            <w:tcW w:w="1174" w:type="pct"/>
            <w:tcBorders>
              <w:top w:val="single" w:sz="12" w:space="0" w:color="auto"/>
            </w:tcBorders>
            <w:shd w:val="clear" w:color="auto" w:fill="auto"/>
          </w:tcPr>
          <w:p w14:paraId="2050830F" w14:textId="77777777" w:rsidR="00EF5046" w:rsidRPr="00097A86" w:rsidRDefault="00EF5046" w:rsidP="00D22D3F">
            <w:pPr>
              <w:pStyle w:val="Tabletext"/>
            </w:pPr>
            <w:r w:rsidRPr="00097A86">
              <w:t>0.120</w:t>
            </w:r>
          </w:p>
        </w:tc>
      </w:tr>
      <w:tr w:rsidR="00EF5046" w:rsidRPr="00097A86" w14:paraId="7F0AA6A2" w14:textId="77777777" w:rsidTr="00C20CC2">
        <w:tc>
          <w:tcPr>
            <w:tcW w:w="425" w:type="pct"/>
            <w:shd w:val="clear" w:color="auto" w:fill="auto"/>
          </w:tcPr>
          <w:p w14:paraId="37215C1F" w14:textId="77777777" w:rsidR="00EF5046" w:rsidRPr="00097A86" w:rsidRDefault="00EF5046" w:rsidP="00D22D3F">
            <w:pPr>
              <w:pStyle w:val="Tabletext"/>
            </w:pPr>
            <w:r w:rsidRPr="00097A86">
              <w:t>64</w:t>
            </w:r>
          </w:p>
        </w:tc>
        <w:tc>
          <w:tcPr>
            <w:tcW w:w="3401" w:type="pct"/>
            <w:shd w:val="clear" w:color="auto" w:fill="auto"/>
          </w:tcPr>
          <w:p w14:paraId="15D7D90C" w14:textId="77777777" w:rsidR="00EF5046" w:rsidRPr="00097A86" w:rsidRDefault="00EF5046" w:rsidP="00D22D3F">
            <w:pPr>
              <w:pStyle w:val="Tabletext"/>
            </w:pPr>
            <w:r w:rsidRPr="00097A86">
              <w:t>Magnesium carbonate</w:t>
            </w:r>
          </w:p>
        </w:tc>
        <w:tc>
          <w:tcPr>
            <w:tcW w:w="1174" w:type="pct"/>
            <w:shd w:val="clear" w:color="auto" w:fill="auto"/>
          </w:tcPr>
          <w:p w14:paraId="14AE554A" w14:textId="77777777" w:rsidR="00EF5046" w:rsidRPr="00097A86" w:rsidRDefault="00EF5046" w:rsidP="00D22D3F">
            <w:pPr>
              <w:pStyle w:val="Tabletext"/>
            </w:pPr>
            <w:r w:rsidRPr="00097A86">
              <w:t>0.142</w:t>
            </w:r>
          </w:p>
        </w:tc>
      </w:tr>
      <w:tr w:rsidR="00EF5046" w:rsidRPr="00097A86" w14:paraId="292DA29A" w14:textId="77777777" w:rsidTr="00C20CC2">
        <w:tc>
          <w:tcPr>
            <w:tcW w:w="425" w:type="pct"/>
            <w:tcBorders>
              <w:bottom w:val="single" w:sz="4" w:space="0" w:color="auto"/>
            </w:tcBorders>
            <w:shd w:val="clear" w:color="auto" w:fill="auto"/>
          </w:tcPr>
          <w:p w14:paraId="56A7A23D" w14:textId="77777777" w:rsidR="00EF5046" w:rsidRPr="00097A86" w:rsidRDefault="00EF5046" w:rsidP="00D22D3F">
            <w:pPr>
              <w:pStyle w:val="Tabletext"/>
            </w:pPr>
            <w:r w:rsidRPr="00097A86">
              <w:t>65</w:t>
            </w:r>
          </w:p>
        </w:tc>
        <w:tc>
          <w:tcPr>
            <w:tcW w:w="3401" w:type="pct"/>
            <w:tcBorders>
              <w:bottom w:val="single" w:sz="4" w:space="0" w:color="auto"/>
            </w:tcBorders>
            <w:shd w:val="clear" w:color="auto" w:fill="auto"/>
          </w:tcPr>
          <w:p w14:paraId="7807F511" w14:textId="77777777" w:rsidR="00EF5046" w:rsidRPr="00097A86" w:rsidRDefault="00EF5046" w:rsidP="00D22D3F">
            <w:pPr>
              <w:pStyle w:val="Tabletext"/>
            </w:pPr>
            <w:r w:rsidRPr="00097A86">
              <w:t>Sodium carbonate</w:t>
            </w:r>
          </w:p>
        </w:tc>
        <w:tc>
          <w:tcPr>
            <w:tcW w:w="1174" w:type="pct"/>
            <w:tcBorders>
              <w:bottom w:val="single" w:sz="4" w:space="0" w:color="auto"/>
            </w:tcBorders>
            <w:shd w:val="clear" w:color="auto" w:fill="auto"/>
          </w:tcPr>
          <w:p w14:paraId="6451977E" w14:textId="77777777" w:rsidR="00EF5046" w:rsidRPr="00097A86" w:rsidRDefault="00EF5046" w:rsidP="00D22D3F">
            <w:pPr>
              <w:pStyle w:val="Tabletext"/>
            </w:pPr>
            <w:r w:rsidRPr="00097A86">
              <w:t>0.113</w:t>
            </w:r>
          </w:p>
        </w:tc>
      </w:tr>
      <w:tr w:rsidR="00EF5046" w:rsidRPr="00097A86" w14:paraId="14CC0AEA" w14:textId="77777777" w:rsidTr="00C20CC2">
        <w:tc>
          <w:tcPr>
            <w:tcW w:w="425" w:type="pct"/>
            <w:tcBorders>
              <w:bottom w:val="single" w:sz="12" w:space="0" w:color="auto"/>
            </w:tcBorders>
            <w:shd w:val="clear" w:color="auto" w:fill="auto"/>
          </w:tcPr>
          <w:p w14:paraId="56C3C204" w14:textId="77777777" w:rsidR="00EF5046" w:rsidRPr="00097A86" w:rsidRDefault="00EF5046" w:rsidP="00D22D3F">
            <w:pPr>
              <w:pStyle w:val="Tabletext"/>
            </w:pPr>
            <w:r w:rsidRPr="00097A86">
              <w:t>66</w:t>
            </w:r>
          </w:p>
        </w:tc>
        <w:tc>
          <w:tcPr>
            <w:tcW w:w="3401" w:type="pct"/>
            <w:tcBorders>
              <w:bottom w:val="single" w:sz="12" w:space="0" w:color="auto"/>
            </w:tcBorders>
            <w:shd w:val="clear" w:color="auto" w:fill="auto"/>
          </w:tcPr>
          <w:p w14:paraId="2EF6E5A7" w14:textId="77777777" w:rsidR="00EF5046" w:rsidRPr="00097A86" w:rsidRDefault="00EF5046" w:rsidP="00D22D3F">
            <w:pPr>
              <w:pStyle w:val="Tabletext"/>
            </w:pPr>
            <w:r w:rsidRPr="00097A86">
              <w:t>Sodium bicarbonate</w:t>
            </w:r>
          </w:p>
        </w:tc>
        <w:tc>
          <w:tcPr>
            <w:tcW w:w="1174" w:type="pct"/>
            <w:tcBorders>
              <w:bottom w:val="single" w:sz="12" w:space="0" w:color="auto"/>
            </w:tcBorders>
            <w:shd w:val="clear" w:color="auto" w:fill="auto"/>
          </w:tcPr>
          <w:p w14:paraId="50D4F51C" w14:textId="77777777" w:rsidR="00EF5046" w:rsidRPr="00097A86" w:rsidRDefault="00EF5046" w:rsidP="00D22D3F">
            <w:pPr>
              <w:pStyle w:val="Tabletext"/>
            </w:pPr>
            <w:r w:rsidRPr="00097A86">
              <w:t>0.143</w:t>
            </w:r>
          </w:p>
        </w:tc>
      </w:tr>
    </w:tbl>
    <w:p w14:paraId="72CB8161" w14:textId="77777777" w:rsidR="007B7041" w:rsidRPr="00097A86" w:rsidRDefault="007B7041" w:rsidP="00BF3355"/>
    <w:p w14:paraId="042F664B" w14:textId="77777777" w:rsidR="00D22D3F" w:rsidRPr="00097A86" w:rsidRDefault="00D22D3F" w:rsidP="00D4338A">
      <w:pPr>
        <w:sectPr w:rsidR="00D22D3F" w:rsidRPr="00097A86" w:rsidSect="0033380F">
          <w:headerReference w:type="even" r:id="rId290"/>
          <w:headerReference w:type="default" r:id="rId291"/>
          <w:footerReference w:type="even" r:id="rId292"/>
          <w:footerReference w:type="default" r:id="rId293"/>
          <w:headerReference w:type="first" r:id="rId294"/>
          <w:footerReference w:type="first" r:id="rId295"/>
          <w:pgSz w:w="11907" w:h="16839" w:code="9"/>
          <w:pgMar w:top="2325" w:right="1797" w:bottom="1440" w:left="1797" w:header="720" w:footer="709" w:gutter="0"/>
          <w:cols w:space="720"/>
          <w:docGrid w:linePitch="299"/>
        </w:sectPr>
      </w:pPr>
      <w:bookmarkStart w:id="694" w:name="OPCSB_NonAmdSchNoClausesA4"/>
    </w:p>
    <w:p w14:paraId="29740F0F" w14:textId="77777777" w:rsidR="00D22D3F" w:rsidRPr="00097A86" w:rsidRDefault="00D22D3F" w:rsidP="00BE20A2">
      <w:pPr>
        <w:pStyle w:val="ENotesHeading1"/>
        <w:pageBreakBefore/>
        <w:outlineLvl w:val="9"/>
      </w:pPr>
      <w:bookmarkStart w:id="695" w:name="_Toc13234117"/>
      <w:bookmarkEnd w:id="694"/>
      <w:r w:rsidRPr="00097A86">
        <w:lastRenderedPageBreak/>
        <w:t>Endnotes</w:t>
      </w:r>
      <w:bookmarkEnd w:id="695"/>
    </w:p>
    <w:p w14:paraId="647274AF" w14:textId="77777777" w:rsidR="001948E5" w:rsidRPr="00097A86" w:rsidRDefault="001948E5" w:rsidP="001948E5">
      <w:pPr>
        <w:pStyle w:val="ENotesHeading2"/>
        <w:spacing w:line="240" w:lineRule="auto"/>
        <w:outlineLvl w:val="9"/>
      </w:pPr>
      <w:bookmarkStart w:id="696" w:name="_Toc13234118"/>
      <w:r w:rsidRPr="00097A86">
        <w:t>Endnote 1—About the endnotes</w:t>
      </w:r>
      <w:bookmarkEnd w:id="696"/>
    </w:p>
    <w:p w14:paraId="15F34D4C" w14:textId="77777777" w:rsidR="001948E5" w:rsidRPr="00097A86" w:rsidRDefault="001948E5" w:rsidP="001948E5">
      <w:pPr>
        <w:spacing w:after="120"/>
      </w:pPr>
      <w:r w:rsidRPr="00097A86">
        <w:t>The endnotes provide information about this compilation and the compiled law.</w:t>
      </w:r>
    </w:p>
    <w:p w14:paraId="31E9096B" w14:textId="77777777" w:rsidR="001948E5" w:rsidRPr="00097A86" w:rsidRDefault="001948E5" w:rsidP="001948E5">
      <w:pPr>
        <w:spacing w:after="120"/>
      </w:pPr>
      <w:r w:rsidRPr="00097A86">
        <w:t>The following endnotes are included in every compilation:</w:t>
      </w:r>
    </w:p>
    <w:p w14:paraId="541B192C" w14:textId="77777777" w:rsidR="001948E5" w:rsidRPr="00097A86" w:rsidRDefault="001948E5" w:rsidP="001948E5">
      <w:r w:rsidRPr="00097A86">
        <w:t>Endnote 1—About the endnotes</w:t>
      </w:r>
    </w:p>
    <w:p w14:paraId="2EA19BE1" w14:textId="77777777" w:rsidR="001948E5" w:rsidRPr="00097A86" w:rsidRDefault="001948E5" w:rsidP="001948E5">
      <w:r w:rsidRPr="00097A86">
        <w:t>Endnote 2—Abbreviation key</w:t>
      </w:r>
    </w:p>
    <w:p w14:paraId="08E5D9FD" w14:textId="77777777" w:rsidR="001948E5" w:rsidRPr="00097A86" w:rsidRDefault="001948E5" w:rsidP="001948E5">
      <w:r w:rsidRPr="00097A86">
        <w:t>Endnote 3—Legislation history</w:t>
      </w:r>
    </w:p>
    <w:p w14:paraId="74E86AD1" w14:textId="77777777" w:rsidR="001948E5" w:rsidRPr="00097A86" w:rsidRDefault="001948E5" w:rsidP="001948E5">
      <w:pPr>
        <w:spacing w:after="120"/>
      </w:pPr>
      <w:r w:rsidRPr="00097A86">
        <w:t>Endnote 4—Amendment history</w:t>
      </w:r>
    </w:p>
    <w:p w14:paraId="1356BEB4" w14:textId="77777777" w:rsidR="001948E5" w:rsidRPr="00097A86" w:rsidRDefault="001948E5" w:rsidP="001948E5">
      <w:r w:rsidRPr="00097A86">
        <w:rPr>
          <w:b/>
        </w:rPr>
        <w:t>Abbreviation key—Endnote 2</w:t>
      </w:r>
    </w:p>
    <w:p w14:paraId="01DEACBA" w14:textId="77777777" w:rsidR="001948E5" w:rsidRPr="00097A86" w:rsidRDefault="001948E5" w:rsidP="001948E5">
      <w:pPr>
        <w:spacing w:after="120"/>
      </w:pPr>
      <w:r w:rsidRPr="00097A86">
        <w:t>The abbreviation key sets out abbreviations that may be used in the endnotes.</w:t>
      </w:r>
    </w:p>
    <w:p w14:paraId="56950AED" w14:textId="77777777" w:rsidR="001948E5" w:rsidRPr="00097A86" w:rsidRDefault="001948E5" w:rsidP="001948E5">
      <w:pPr>
        <w:rPr>
          <w:b/>
        </w:rPr>
      </w:pPr>
      <w:r w:rsidRPr="00097A86">
        <w:rPr>
          <w:b/>
        </w:rPr>
        <w:t>Legislation history and amendment history—Endnotes 3 and 4</w:t>
      </w:r>
    </w:p>
    <w:p w14:paraId="2ED0F826" w14:textId="77777777" w:rsidR="001948E5" w:rsidRPr="00097A86" w:rsidRDefault="001948E5" w:rsidP="001948E5">
      <w:pPr>
        <w:spacing w:after="120"/>
      </w:pPr>
      <w:r w:rsidRPr="00097A86">
        <w:t>Amending laws are annotated in the legislation history and amendment history.</w:t>
      </w:r>
    </w:p>
    <w:p w14:paraId="21CC9050" w14:textId="77777777" w:rsidR="001948E5" w:rsidRPr="00097A86" w:rsidRDefault="001948E5" w:rsidP="001948E5">
      <w:pPr>
        <w:spacing w:after="120"/>
      </w:pPr>
      <w:r w:rsidRPr="00097A8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FC923FB" w14:textId="77777777" w:rsidR="001948E5" w:rsidRPr="00097A86" w:rsidRDefault="001948E5" w:rsidP="001948E5">
      <w:pPr>
        <w:spacing w:after="120"/>
      </w:pPr>
      <w:r w:rsidRPr="00097A86">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27622A3" w14:textId="77777777" w:rsidR="001948E5" w:rsidRPr="00097A86" w:rsidRDefault="001948E5" w:rsidP="001948E5">
      <w:pPr>
        <w:rPr>
          <w:b/>
        </w:rPr>
      </w:pPr>
      <w:r w:rsidRPr="00097A86">
        <w:rPr>
          <w:b/>
        </w:rPr>
        <w:t>Editorial changes</w:t>
      </w:r>
    </w:p>
    <w:p w14:paraId="291B8183" w14:textId="77777777" w:rsidR="001948E5" w:rsidRPr="00097A86" w:rsidRDefault="001948E5" w:rsidP="001948E5">
      <w:pPr>
        <w:spacing w:after="120"/>
      </w:pPr>
      <w:r w:rsidRPr="00097A86">
        <w:t xml:space="preserve">The </w:t>
      </w:r>
      <w:r w:rsidRPr="00097A86">
        <w:rPr>
          <w:i/>
        </w:rPr>
        <w:t>Legislation Act 2003</w:t>
      </w:r>
      <w:r w:rsidRPr="00097A8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F443E35" w14:textId="77777777" w:rsidR="001948E5" w:rsidRPr="00097A86" w:rsidRDefault="001948E5" w:rsidP="001948E5">
      <w:pPr>
        <w:spacing w:after="120"/>
      </w:pPr>
      <w:r w:rsidRPr="00097A86">
        <w:t xml:space="preserve">If the compilation includes editorial changes, the endnotes include a brief outline of the changes in general terms. Full details of any changes can be obtained from the Office of Parliamentary Counsel. </w:t>
      </w:r>
    </w:p>
    <w:p w14:paraId="181332E6" w14:textId="77777777" w:rsidR="001948E5" w:rsidRPr="00097A86" w:rsidRDefault="001948E5" w:rsidP="001948E5">
      <w:pPr>
        <w:keepNext/>
      </w:pPr>
      <w:r w:rsidRPr="00097A86">
        <w:rPr>
          <w:b/>
        </w:rPr>
        <w:t>Misdescribed amendments</w:t>
      </w:r>
    </w:p>
    <w:p w14:paraId="33946B83" w14:textId="77777777" w:rsidR="001948E5" w:rsidRPr="00097A86" w:rsidRDefault="001948E5" w:rsidP="001948E5">
      <w:pPr>
        <w:spacing w:after="120"/>
      </w:pPr>
      <w:r w:rsidRPr="00097A8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5FED3EC7" w14:textId="77777777" w:rsidR="001948E5" w:rsidRPr="00097A86" w:rsidRDefault="001948E5" w:rsidP="001948E5">
      <w:pPr>
        <w:spacing w:before="120"/>
      </w:pPr>
      <w:r w:rsidRPr="00097A86">
        <w:t>If a misdescribed amendment cannot be given effect as intended, the abbreviation “(md not incorp)” is added to the details of the amendment included in the amendment history.</w:t>
      </w:r>
    </w:p>
    <w:p w14:paraId="2B8E4F5B" w14:textId="77777777" w:rsidR="00423A43" w:rsidRPr="00097A86" w:rsidRDefault="00423A43" w:rsidP="00423A43">
      <w:pPr>
        <w:spacing w:line="240" w:lineRule="auto"/>
      </w:pPr>
    </w:p>
    <w:p w14:paraId="0D872197" w14:textId="77777777" w:rsidR="001948E5" w:rsidRPr="00097A86" w:rsidRDefault="001948E5" w:rsidP="001948E5">
      <w:pPr>
        <w:pStyle w:val="ENotesHeading2"/>
        <w:pageBreakBefore/>
        <w:outlineLvl w:val="9"/>
      </w:pPr>
      <w:bookmarkStart w:id="697" w:name="_Toc13234119"/>
      <w:r w:rsidRPr="00097A86">
        <w:lastRenderedPageBreak/>
        <w:t>Endnote 2—Abbreviation key</w:t>
      </w:r>
      <w:bookmarkEnd w:id="697"/>
    </w:p>
    <w:p w14:paraId="142054EE" w14:textId="77777777" w:rsidR="001948E5" w:rsidRPr="00097A86" w:rsidRDefault="001948E5" w:rsidP="001948E5">
      <w:pPr>
        <w:pStyle w:val="Tabletext"/>
      </w:pPr>
    </w:p>
    <w:tbl>
      <w:tblPr>
        <w:tblW w:w="5000" w:type="pct"/>
        <w:tblLook w:val="0000" w:firstRow="0" w:lastRow="0" w:firstColumn="0" w:lastColumn="0" w:noHBand="0" w:noVBand="0"/>
      </w:tblPr>
      <w:tblGrid>
        <w:gridCol w:w="4454"/>
        <w:gridCol w:w="3859"/>
      </w:tblGrid>
      <w:tr w:rsidR="001948E5" w:rsidRPr="00097A86" w14:paraId="1DB743FF" w14:textId="77777777" w:rsidTr="00C20CC2">
        <w:tc>
          <w:tcPr>
            <w:tcW w:w="2679" w:type="pct"/>
            <w:shd w:val="clear" w:color="auto" w:fill="auto"/>
          </w:tcPr>
          <w:p w14:paraId="3766F558" w14:textId="77777777" w:rsidR="001948E5" w:rsidRPr="00097A86" w:rsidRDefault="001948E5" w:rsidP="001948E5">
            <w:pPr>
              <w:spacing w:before="60"/>
              <w:ind w:left="34"/>
              <w:rPr>
                <w:sz w:val="20"/>
              </w:rPr>
            </w:pPr>
            <w:r w:rsidRPr="00097A86">
              <w:rPr>
                <w:sz w:val="20"/>
              </w:rPr>
              <w:t>ad = added or inserted</w:t>
            </w:r>
          </w:p>
        </w:tc>
        <w:tc>
          <w:tcPr>
            <w:tcW w:w="2321" w:type="pct"/>
            <w:shd w:val="clear" w:color="auto" w:fill="auto"/>
          </w:tcPr>
          <w:p w14:paraId="03DF045E" w14:textId="77777777" w:rsidR="001948E5" w:rsidRPr="00097A86" w:rsidRDefault="001948E5" w:rsidP="001948E5">
            <w:pPr>
              <w:spacing w:before="60"/>
              <w:ind w:left="34"/>
              <w:rPr>
                <w:sz w:val="20"/>
              </w:rPr>
            </w:pPr>
            <w:r w:rsidRPr="00097A86">
              <w:rPr>
                <w:sz w:val="20"/>
              </w:rPr>
              <w:t>o = order(s)</w:t>
            </w:r>
          </w:p>
        </w:tc>
      </w:tr>
      <w:tr w:rsidR="001948E5" w:rsidRPr="00097A86" w14:paraId="761D10F5" w14:textId="77777777" w:rsidTr="00C20CC2">
        <w:tc>
          <w:tcPr>
            <w:tcW w:w="2679" w:type="pct"/>
            <w:shd w:val="clear" w:color="auto" w:fill="auto"/>
          </w:tcPr>
          <w:p w14:paraId="1AB849CF" w14:textId="77777777" w:rsidR="001948E5" w:rsidRPr="00097A86" w:rsidRDefault="001948E5" w:rsidP="001948E5">
            <w:pPr>
              <w:spacing w:before="60"/>
              <w:ind w:left="34"/>
              <w:rPr>
                <w:sz w:val="20"/>
              </w:rPr>
            </w:pPr>
            <w:r w:rsidRPr="00097A86">
              <w:rPr>
                <w:sz w:val="20"/>
              </w:rPr>
              <w:t>am = amended</w:t>
            </w:r>
          </w:p>
        </w:tc>
        <w:tc>
          <w:tcPr>
            <w:tcW w:w="2321" w:type="pct"/>
            <w:shd w:val="clear" w:color="auto" w:fill="auto"/>
          </w:tcPr>
          <w:p w14:paraId="2AF43835" w14:textId="77777777" w:rsidR="001948E5" w:rsidRPr="00097A86" w:rsidRDefault="001948E5" w:rsidP="001948E5">
            <w:pPr>
              <w:spacing w:before="60"/>
              <w:ind w:left="34"/>
              <w:rPr>
                <w:sz w:val="20"/>
              </w:rPr>
            </w:pPr>
            <w:r w:rsidRPr="00097A86">
              <w:rPr>
                <w:sz w:val="20"/>
              </w:rPr>
              <w:t>Ord = Ordinance</w:t>
            </w:r>
          </w:p>
        </w:tc>
      </w:tr>
      <w:tr w:rsidR="001948E5" w:rsidRPr="00097A86" w14:paraId="56CDDA00" w14:textId="77777777" w:rsidTr="00C20CC2">
        <w:tc>
          <w:tcPr>
            <w:tcW w:w="2679" w:type="pct"/>
            <w:shd w:val="clear" w:color="auto" w:fill="auto"/>
          </w:tcPr>
          <w:p w14:paraId="542080B0" w14:textId="77777777" w:rsidR="001948E5" w:rsidRPr="00097A86" w:rsidRDefault="001948E5" w:rsidP="001948E5">
            <w:pPr>
              <w:spacing w:before="60"/>
              <w:ind w:left="34"/>
              <w:rPr>
                <w:sz w:val="20"/>
              </w:rPr>
            </w:pPr>
            <w:r w:rsidRPr="00097A86">
              <w:rPr>
                <w:sz w:val="20"/>
              </w:rPr>
              <w:t>amdt = amendment</w:t>
            </w:r>
          </w:p>
        </w:tc>
        <w:tc>
          <w:tcPr>
            <w:tcW w:w="2321" w:type="pct"/>
            <w:shd w:val="clear" w:color="auto" w:fill="auto"/>
          </w:tcPr>
          <w:p w14:paraId="7DF5B92C" w14:textId="77777777" w:rsidR="001948E5" w:rsidRPr="00097A86" w:rsidRDefault="001948E5" w:rsidP="001948E5">
            <w:pPr>
              <w:spacing w:before="60"/>
              <w:ind w:left="34"/>
              <w:rPr>
                <w:sz w:val="20"/>
              </w:rPr>
            </w:pPr>
            <w:r w:rsidRPr="00097A86">
              <w:rPr>
                <w:sz w:val="20"/>
              </w:rPr>
              <w:t>orig = original</w:t>
            </w:r>
          </w:p>
        </w:tc>
      </w:tr>
      <w:tr w:rsidR="001948E5" w:rsidRPr="00097A86" w14:paraId="3F9623FE" w14:textId="77777777" w:rsidTr="00C20CC2">
        <w:tc>
          <w:tcPr>
            <w:tcW w:w="2679" w:type="pct"/>
            <w:shd w:val="clear" w:color="auto" w:fill="auto"/>
          </w:tcPr>
          <w:p w14:paraId="32310625" w14:textId="77777777" w:rsidR="001948E5" w:rsidRPr="00097A86" w:rsidRDefault="001948E5" w:rsidP="001948E5">
            <w:pPr>
              <w:spacing w:before="60"/>
              <w:ind w:left="34"/>
              <w:rPr>
                <w:sz w:val="20"/>
              </w:rPr>
            </w:pPr>
            <w:r w:rsidRPr="00097A86">
              <w:rPr>
                <w:sz w:val="20"/>
              </w:rPr>
              <w:t>c = clause(s)</w:t>
            </w:r>
          </w:p>
        </w:tc>
        <w:tc>
          <w:tcPr>
            <w:tcW w:w="2321" w:type="pct"/>
            <w:shd w:val="clear" w:color="auto" w:fill="auto"/>
          </w:tcPr>
          <w:p w14:paraId="1DC5929C" w14:textId="77777777" w:rsidR="001948E5" w:rsidRPr="00097A86" w:rsidRDefault="001948E5" w:rsidP="001948E5">
            <w:pPr>
              <w:spacing w:before="60"/>
              <w:ind w:left="34"/>
              <w:rPr>
                <w:sz w:val="20"/>
              </w:rPr>
            </w:pPr>
            <w:r w:rsidRPr="00097A86">
              <w:rPr>
                <w:sz w:val="20"/>
              </w:rPr>
              <w:t>par = paragraph(s)/subparagraph(s)</w:t>
            </w:r>
          </w:p>
        </w:tc>
      </w:tr>
      <w:tr w:rsidR="001948E5" w:rsidRPr="00097A86" w14:paraId="7E3BF23B" w14:textId="77777777" w:rsidTr="00C20CC2">
        <w:tc>
          <w:tcPr>
            <w:tcW w:w="2679" w:type="pct"/>
            <w:shd w:val="clear" w:color="auto" w:fill="auto"/>
          </w:tcPr>
          <w:p w14:paraId="7DEF9F63" w14:textId="77777777" w:rsidR="001948E5" w:rsidRPr="00097A86" w:rsidRDefault="001948E5" w:rsidP="001948E5">
            <w:pPr>
              <w:spacing w:before="60"/>
              <w:ind w:left="34"/>
              <w:rPr>
                <w:sz w:val="20"/>
              </w:rPr>
            </w:pPr>
            <w:r w:rsidRPr="00097A86">
              <w:rPr>
                <w:sz w:val="20"/>
              </w:rPr>
              <w:t>C[x] = Compilation No. x</w:t>
            </w:r>
          </w:p>
        </w:tc>
        <w:tc>
          <w:tcPr>
            <w:tcW w:w="2321" w:type="pct"/>
            <w:shd w:val="clear" w:color="auto" w:fill="auto"/>
          </w:tcPr>
          <w:p w14:paraId="6CC28A2E" w14:textId="77777777" w:rsidR="001948E5" w:rsidRPr="00097A86" w:rsidRDefault="001948E5" w:rsidP="001948E5">
            <w:pPr>
              <w:ind w:left="34"/>
              <w:rPr>
                <w:sz w:val="20"/>
              </w:rPr>
            </w:pPr>
            <w:r w:rsidRPr="00097A86">
              <w:rPr>
                <w:sz w:val="20"/>
              </w:rPr>
              <w:t xml:space="preserve">    /sub</w:t>
            </w:r>
            <w:r w:rsidR="00097A86">
              <w:rPr>
                <w:sz w:val="20"/>
              </w:rPr>
              <w:noBreakHyphen/>
            </w:r>
            <w:r w:rsidRPr="00097A86">
              <w:rPr>
                <w:sz w:val="20"/>
              </w:rPr>
              <w:t>subparagraph(s)</w:t>
            </w:r>
          </w:p>
        </w:tc>
      </w:tr>
      <w:tr w:rsidR="001948E5" w:rsidRPr="00097A86" w14:paraId="3DA0FFF8" w14:textId="77777777" w:rsidTr="00C20CC2">
        <w:tc>
          <w:tcPr>
            <w:tcW w:w="2679" w:type="pct"/>
            <w:shd w:val="clear" w:color="auto" w:fill="auto"/>
          </w:tcPr>
          <w:p w14:paraId="5CC8B472" w14:textId="77777777" w:rsidR="001948E5" w:rsidRPr="00097A86" w:rsidRDefault="001948E5" w:rsidP="001948E5">
            <w:pPr>
              <w:spacing w:before="60"/>
              <w:ind w:left="34"/>
              <w:rPr>
                <w:sz w:val="20"/>
              </w:rPr>
            </w:pPr>
            <w:r w:rsidRPr="00097A86">
              <w:rPr>
                <w:sz w:val="20"/>
              </w:rPr>
              <w:t>Ch = Chapter(s)</w:t>
            </w:r>
          </w:p>
        </w:tc>
        <w:tc>
          <w:tcPr>
            <w:tcW w:w="2321" w:type="pct"/>
            <w:shd w:val="clear" w:color="auto" w:fill="auto"/>
          </w:tcPr>
          <w:p w14:paraId="1ABF72BA" w14:textId="77777777" w:rsidR="001948E5" w:rsidRPr="00097A86" w:rsidRDefault="001948E5" w:rsidP="001948E5">
            <w:pPr>
              <w:spacing w:before="60"/>
              <w:ind w:left="34"/>
              <w:rPr>
                <w:sz w:val="20"/>
              </w:rPr>
            </w:pPr>
            <w:r w:rsidRPr="00097A86">
              <w:rPr>
                <w:sz w:val="20"/>
              </w:rPr>
              <w:t>pres = present</w:t>
            </w:r>
          </w:p>
        </w:tc>
      </w:tr>
      <w:tr w:rsidR="001948E5" w:rsidRPr="00097A86" w14:paraId="7187C4BD" w14:textId="77777777" w:rsidTr="00C20CC2">
        <w:tc>
          <w:tcPr>
            <w:tcW w:w="2679" w:type="pct"/>
            <w:shd w:val="clear" w:color="auto" w:fill="auto"/>
          </w:tcPr>
          <w:p w14:paraId="6488A1FC" w14:textId="77777777" w:rsidR="001948E5" w:rsidRPr="00097A86" w:rsidRDefault="001948E5" w:rsidP="001948E5">
            <w:pPr>
              <w:spacing w:before="60"/>
              <w:ind w:left="34"/>
              <w:rPr>
                <w:sz w:val="20"/>
              </w:rPr>
            </w:pPr>
            <w:r w:rsidRPr="00097A86">
              <w:rPr>
                <w:sz w:val="20"/>
              </w:rPr>
              <w:t>def = definition(s)</w:t>
            </w:r>
          </w:p>
        </w:tc>
        <w:tc>
          <w:tcPr>
            <w:tcW w:w="2321" w:type="pct"/>
            <w:shd w:val="clear" w:color="auto" w:fill="auto"/>
          </w:tcPr>
          <w:p w14:paraId="68BB3908" w14:textId="77777777" w:rsidR="001948E5" w:rsidRPr="00097A86" w:rsidRDefault="001948E5" w:rsidP="001948E5">
            <w:pPr>
              <w:spacing w:before="60"/>
              <w:ind w:left="34"/>
              <w:rPr>
                <w:sz w:val="20"/>
              </w:rPr>
            </w:pPr>
            <w:r w:rsidRPr="00097A86">
              <w:rPr>
                <w:sz w:val="20"/>
              </w:rPr>
              <w:t>prev = previous</w:t>
            </w:r>
          </w:p>
        </w:tc>
      </w:tr>
      <w:tr w:rsidR="001948E5" w:rsidRPr="00097A86" w14:paraId="4590842F" w14:textId="77777777" w:rsidTr="00C20CC2">
        <w:tc>
          <w:tcPr>
            <w:tcW w:w="2679" w:type="pct"/>
            <w:shd w:val="clear" w:color="auto" w:fill="auto"/>
          </w:tcPr>
          <w:p w14:paraId="009388E4" w14:textId="77777777" w:rsidR="001948E5" w:rsidRPr="00097A86" w:rsidRDefault="001948E5" w:rsidP="001948E5">
            <w:pPr>
              <w:spacing w:before="60"/>
              <w:ind w:left="34"/>
              <w:rPr>
                <w:sz w:val="20"/>
              </w:rPr>
            </w:pPr>
            <w:r w:rsidRPr="00097A86">
              <w:rPr>
                <w:sz w:val="20"/>
              </w:rPr>
              <w:t>Dict = Dictionary</w:t>
            </w:r>
          </w:p>
        </w:tc>
        <w:tc>
          <w:tcPr>
            <w:tcW w:w="2321" w:type="pct"/>
            <w:shd w:val="clear" w:color="auto" w:fill="auto"/>
          </w:tcPr>
          <w:p w14:paraId="36F73A9E" w14:textId="77777777" w:rsidR="001948E5" w:rsidRPr="00097A86" w:rsidRDefault="001948E5" w:rsidP="001948E5">
            <w:pPr>
              <w:spacing w:before="60"/>
              <w:ind w:left="34"/>
              <w:rPr>
                <w:sz w:val="20"/>
              </w:rPr>
            </w:pPr>
            <w:r w:rsidRPr="00097A86">
              <w:rPr>
                <w:sz w:val="20"/>
              </w:rPr>
              <w:t>(prev…) = previously</w:t>
            </w:r>
          </w:p>
        </w:tc>
      </w:tr>
      <w:tr w:rsidR="001948E5" w:rsidRPr="00097A86" w14:paraId="1C502217" w14:textId="77777777" w:rsidTr="00C20CC2">
        <w:tc>
          <w:tcPr>
            <w:tcW w:w="2679" w:type="pct"/>
            <w:shd w:val="clear" w:color="auto" w:fill="auto"/>
          </w:tcPr>
          <w:p w14:paraId="542BDAA3" w14:textId="77777777" w:rsidR="001948E5" w:rsidRPr="00097A86" w:rsidRDefault="001948E5" w:rsidP="001948E5">
            <w:pPr>
              <w:spacing w:before="60"/>
              <w:ind w:left="34"/>
              <w:rPr>
                <w:sz w:val="20"/>
              </w:rPr>
            </w:pPr>
            <w:r w:rsidRPr="00097A86">
              <w:rPr>
                <w:sz w:val="20"/>
              </w:rPr>
              <w:t>disallowed = disallowed by Parliament</w:t>
            </w:r>
          </w:p>
        </w:tc>
        <w:tc>
          <w:tcPr>
            <w:tcW w:w="2321" w:type="pct"/>
            <w:shd w:val="clear" w:color="auto" w:fill="auto"/>
          </w:tcPr>
          <w:p w14:paraId="316F77B5" w14:textId="77777777" w:rsidR="001948E5" w:rsidRPr="00097A86" w:rsidRDefault="001948E5" w:rsidP="001948E5">
            <w:pPr>
              <w:spacing w:before="60"/>
              <w:ind w:left="34"/>
              <w:rPr>
                <w:sz w:val="20"/>
              </w:rPr>
            </w:pPr>
            <w:r w:rsidRPr="00097A86">
              <w:rPr>
                <w:sz w:val="20"/>
              </w:rPr>
              <w:t>Pt = Part(s)</w:t>
            </w:r>
          </w:p>
        </w:tc>
      </w:tr>
      <w:tr w:rsidR="001948E5" w:rsidRPr="00097A86" w14:paraId="577BA07C" w14:textId="77777777" w:rsidTr="00C20CC2">
        <w:tc>
          <w:tcPr>
            <w:tcW w:w="2679" w:type="pct"/>
            <w:shd w:val="clear" w:color="auto" w:fill="auto"/>
          </w:tcPr>
          <w:p w14:paraId="49387CD5" w14:textId="77777777" w:rsidR="001948E5" w:rsidRPr="00097A86" w:rsidRDefault="001948E5" w:rsidP="001948E5">
            <w:pPr>
              <w:spacing w:before="60"/>
              <w:ind w:left="34"/>
              <w:rPr>
                <w:sz w:val="20"/>
              </w:rPr>
            </w:pPr>
            <w:r w:rsidRPr="00097A86">
              <w:rPr>
                <w:sz w:val="20"/>
              </w:rPr>
              <w:t>Div = Division(s)</w:t>
            </w:r>
          </w:p>
        </w:tc>
        <w:tc>
          <w:tcPr>
            <w:tcW w:w="2321" w:type="pct"/>
            <w:shd w:val="clear" w:color="auto" w:fill="auto"/>
          </w:tcPr>
          <w:p w14:paraId="1719E53A" w14:textId="77777777" w:rsidR="001948E5" w:rsidRPr="00097A86" w:rsidRDefault="001948E5" w:rsidP="001948E5">
            <w:pPr>
              <w:spacing w:before="60"/>
              <w:ind w:left="34"/>
              <w:rPr>
                <w:sz w:val="20"/>
              </w:rPr>
            </w:pPr>
            <w:r w:rsidRPr="00097A86">
              <w:rPr>
                <w:sz w:val="20"/>
              </w:rPr>
              <w:t>r = regulation(s)/rule(s)</w:t>
            </w:r>
          </w:p>
        </w:tc>
      </w:tr>
      <w:tr w:rsidR="001948E5" w:rsidRPr="00097A86" w14:paraId="4C5644F0" w14:textId="77777777" w:rsidTr="00C20CC2">
        <w:tc>
          <w:tcPr>
            <w:tcW w:w="2679" w:type="pct"/>
            <w:shd w:val="clear" w:color="auto" w:fill="auto"/>
          </w:tcPr>
          <w:p w14:paraId="3CC89AA6" w14:textId="77777777" w:rsidR="001948E5" w:rsidRPr="00097A86" w:rsidRDefault="001948E5" w:rsidP="001948E5">
            <w:pPr>
              <w:spacing w:before="60"/>
              <w:ind w:left="34"/>
              <w:rPr>
                <w:sz w:val="20"/>
              </w:rPr>
            </w:pPr>
            <w:r w:rsidRPr="00097A86">
              <w:rPr>
                <w:sz w:val="20"/>
              </w:rPr>
              <w:t>ed = editorial change</w:t>
            </w:r>
          </w:p>
        </w:tc>
        <w:tc>
          <w:tcPr>
            <w:tcW w:w="2321" w:type="pct"/>
            <w:shd w:val="clear" w:color="auto" w:fill="auto"/>
          </w:tcPr>
          <w:p w14:paraId="76E1B7D4" w14:textId="77777777" w:rsidR="001948E5" w:rsidRPr="00097A86" w:rsidRDefault="001948E5" w:rsidP="001948E5">
            <w:pPr>
              <w:spacing w:before="60"/>
              <w:ind w:left="34"/>
              <w:rPr>
                <w:sz w:val="20"/>
              </w:rPr>
            </w:pPr>
            <w:r w:rsidRPr="00097A86">
              <w:rPr>
                <w:sz w:val="20"/>
              </w:rPr>
              <w:t>reloc = relocated</w:t>
            </w:r>
          </w:p>
        </w:tc>
      </w:tr>
      <w:tr w:rsidR="001948E5" w:rsidRPr="00097A86" w14:paraId="7084CD3F" w14:textId="77777777" w:rsidTr="00C20CC2">
        <w:tc>
          <w:tcPr>
            <w:tcW w:w="2679" w:type="pct"/>
            <w:shd w:val="clear" w:color="auto" w:fill="auto"/>
          </w:tcPr>
          <w:p w14:paraId="249F8E05" w14:textId="77777777" w:rsidR="001948E5" w:rsidRPr="00097A86" w:rsidRDefault="001948E5" w:rsidP="001948E5">
            <w:pPr>
              <w:spacing w:before="60"/>
              <w:ind w:left="34"/>
              <w:rPr>
                <w:sz w:val="20"/>
              </w:rPr>
            </w:pPr>
            <w:r w:rsidRPr="00097A86">
              <w:rPr>
                <w:sz w:val="20"/>
              </w:rPr>
              <w:t>exp = expires/expired or ceases/ceased to have</w:t>
            </w:r>
          </w:p>
        </w:tc>
        <w:tc>
          <w:tcPr>
            <w:tcW w:w="2321" w:type="pct"/>
            <w:shd w:val="clear" w:color="auto" w:fill="auto"/>
          </w:tcPr>
          <w:p w14:paraId="18181FB3" w14:textId="77777777" w:rsidR="001948E5" w:rsidRPr="00097A86" w:rsidRDefault="001948E5" w:rsidP="001948E5">
            <w:pPr>
              <w:spacing w:before="60"/>
              <w:ind w:left="34"/>
              <w:rPr>
                <w:sz w:val="20"/>
              </w:rPr>
            </w:pPr>
            <w:r w:rsidRPr="00097A86">
              <w:rPr>
                <w:sz w:val="20"/>
              </w:rPr>
              <w:t>renum = renumbered</w:t>
            </w:r>
          </w:p>
        </w:tc>
      </w:tr>
      <w:tr w:rsidR="001948E5" w:rsidRPr="00097A86" w14:paraId="0C6C9D43" w14:textId="77777777" w:rsidTr="00C20CC2">
        <w:tc>
          <w:tcPr>
            <w:tcW w:w="2679" w:type="pct"/>
            <w:shd w:val="clear" w:color="auto" w:fill="auto"/>
          </w:tcPr>
          <w:p w14:paraId="31C2E512" w14:textId="77777777" w:rsidR="001948E5" w:rsidRPr="00097A86" w:rsidRDefault="001948E5" w:rsidP="001948E5">
            <w:pPr>
              <w:ind w:left="34"/>
              <w:rPr>
                <w:sz w:val="20"/>
              </w:rPr>
            </w:pPr>
            <w:r w:rsidRPr="00097A86">
              <w:rPr>
                <w:sz w:val="20"/>
              </w:rPr>
              <w:t xml:space="preserve">    effect</w:t>
            </w:r>
          </w:p>
        </w:tc>
        <w:tc>
          <w:tcPr>
            <w:tcW w:w="2321" w:type="pct"/>
            <w:shd w:val="clear" w:color="auto" w:fill="auto"/>
          </w:tcPr>
          <w:p w14:paraId="1CDAAEB2" w14:textId="77777777" w:rsidR="001948E5" w:rsidRPr="00097A86" w:rsidRDefault="001948E5" w:rsidP="001948E5">
            <w:pPr>
              <w:spacing w:before="60"/>
              <w:ind w:left="34"/>
              <w:rPr>
                <w:sz w:val="20"/>
              </w:rPr>
            </w:pPr>
            <w:r w:rsidRPr="00097A86">
              <w:rPr>
                <w:sz w:val="20"/>
              </w:rPr>
              <w:t>rep = repealed</w:t>
            </w:r>
          </w:p>
        </w:tc>
      </w:tr>
      <w:tr w:rsidR="001948E5" w:rsidRPr="00097A86" w14:paraId="12960D92" w14:textId="77777777" w:rsidTr="00C20CC2">
        <w:tc>
          <w:tcPr>
            <w:tcW w:w="2679" w:type="pct"/>
            <w:shd w:val="clear" w:color="auto" w:fill="auto"/>
          </w:tcPr>
          <w:p w14:paraId="3DD9C877" w14:textId="77777777" w:rsidR="001948E5" w:rsidRPr="00097A86" w:rsidRDefault="001948E5" w:rsidP="001948E5">
            <w:pPr>
              <w:spacing w:before="60"/>
              <w:ind w:left="34"/>
              <w:rPr>
                <w:sz w:val="20"/>
              </w:rPr>
            </w:pPr>
            <w:r w:rsidRPr="00097A86">
              <w:rPr>
                <w:sz w:val="20"/>
              </w:rPr>
              <w:t>F = Federal Register of Legislation</w:t>
            </w:r>
          </w:p>
        </w:tc>
        <w:tc>
          <w:tcPr>
            <w:tcW w:w="2321" w:type="pct"/>
            <w:shd w:val="clear" w:color="auto" w:fill="auto"/>
          </w:tcPr>
          <w:p w14:paraId="66EC4EC0" w14:textId="77777777" w:rsidR="001948E5" w:rsidRPr="00097A86" w:rsidRDefault="001948E5" w:rsidP="001948E5">
            <w:pPr>
              <w:spacing w:before="60"/>
              <w:ind w:left="34"/>
              <w:rPr>
                <w:sz w:val="20"/>
              </w:rPr>
            </w:pPr>
            <w:r w:rsidRPr="00097A86">
              <w:rPr>
                <w:sz w:val="20"/>
              </w:rPr>
              <w:t>rs = repealed and substituted</w:t>
            </w:r>
          </w:p>
        </w:tc>
      </w:tr>
      <w:tr w:rsidR="001948E5" w:rsidRPr="00097A86" w14:paraId="79D2406E" w14:textId="77777777" w:rsidTr="00C20CC2">
        <w:tc>
          <w:tcPr>
            <w:tcW w:w="2679" w:type="pct"/>
            <w:shd w:val="clear" w:color="auto" w:fill="auto"/>
          </w:tcPr>
          <w:p w14:paraId="21934A25" w14:textId="77777777" w:rsidR="001948E5" w:rsidRPr="00097A86" w:rsidRDefault="001948E5" w:rsidP="001948E5">
            <w:pPr>
              <w:spacing w:before="60"/>
              <w:ind w:left="34"/>
              <w:rPr>
                <w:sz w:val="20"/>
              </w:rPr>
            </w:pPr>
            <w:r w:rsidRPr="00097A86">
              <w:rPr>
                <w:sz w:val="20"/>
              </w:rPr>
              <w:t>gaz = gazette</w:t>
            </w:r>
          </w:p>
        </w:tc>
        <w:tc>
          <w:tcPr>
            <w:tcW w:w="2321" w:type="pct"/>
            <w:shd w:val="clear" w:color="auto" w:fill="auto"/>
          </w:tcPr>
          <w:p w14:paraId="2A903872" w14:textId="77777777" w:rsidR="001948E5" w:rsidRPr="00097A86" w:rsidRDefault="001948E5" w:rsidP="001948E5">
            <w:pPr>
              <w:spacing w:before="60"/>
              <w:ind w:left="34"/>
              <w:rPr>
                <w:sz w:val="20"/>
              </w:rPr>
            </w:pPr>
            <w:r w:rsidRPr="00097A86">
              <w:rPr>
                <w:sz w:val="20"/>
              </w:rPr>
              <w:t>s = section(s)/subsection(s)</w:t>
            </w:r>
          </w:p>
        </w:tc>
      </w:tr>
      <w:tr w:rsidR="001948E5" w:rsidRPr="00097A86" w14:paraId="1968C54B" w14:textId="77777777" w:rsidTr="00C20CC2">
        <w:tc>
          <w:tcPr>
            <w:tcW w:w="2679" w:type="pct"/>
            <w:shd w:val="clear" w:color="auto" w:fill="auto"/>
          </w:tcPr>
          <w:p w14:paraId="11FEC60F" w14:textId="77777777" w:rsidR="001948E5" w:rsidRPr="00097A86" w:rsidRDefault="001948E5" w:rsidP="001948E5">
            <w:pPr>
              <w:spacing w:before="60"/>
              <w:ind w:left="34"/>
              <w:rPr>
                <w:sz w:val="20"/>
              </w:rPr>
            </w:pPr>
            <w:r w:rsidRPr="00097A86">
              <w:rPr>
                <w:sz w:val="20"/>
              </w:rPr>
              <w:t xml:space="preserve">LA = </w:t>
            </w:r>
            <w:r w:rsidRPr="00097A86">
              <w:rPr>
                <w:i/>
                <w:sz w:val="20"/>
              </w:rPr>
              <w:t>Legislation Act 2003</w:t>
            </w:r>
          </w:p>
        </w:tc>
        <w:tc>
          <w:tcPr>
            <w:tcW w:w="2321" w:type="pct"/>
            <w:shd w:val="clear" w:color="auto" w:fill="auto"/>
          </w:tcPr>
          <w:p w14:paraId="7600D7EE" w14:textId="77777777" w:rsidR="001948E5" w:rsidRPr="00097A86" w:rsidRDefault="001948E5" w:rsidP="001948E5">
            <w:pPr>
              <w:spacing w:before="60"/>
              <w:ind w:left="34"/>
              <w:rPr>
                <w:sz w:val="20"/>
              </w:rPr>
            </w:pPr>
            <w:r w:rsidRPr="00097A86">
              <w:rPr>
                <w:sz w:val="20"/>
              </w:rPr>
              <w:t>Sch = Schedule(s)</w:t>
            </w:r>
          </w:p>
        </w:tc>
      </w:tr>
      <w:tr w:rsidR="001948E5" w:rsidRPr="00097A86" w14:paraId="5ED32AB0" w14:textId="77777777" w:rsidTr="00C20CC2">
        <w:tc>
          <w:tcPr>
            <w:tcW w:w="2679" w:type="pct"/>
            <w:shd w:val="clear" w:color="auto" w:fill="auto"/>
          </w:tcPr>
          <w:p w14:paraId="63657D39" w14:textId="77777777" w:rsidR="001948E5" w:rsidRPr="00097A86" w:rsidRDefault="001948E5" w:rsidP="001948E5">
            <w:pPr>
              <w:spacing w:before="60"/>
              <w:ind w:left="34"/>
              <w:rPr>
                <w:sz w:val="20"/>
              </w:rPr>
            </w:pPr>
            <w:r w:rsidRPr="00097A86">
              <w:rPr>
                <w:sz w:val="20"/>
              </w:rPr>
              <w:t xml:space="preserve">LIA = </w:t>
            </w:r>
            <w:r w:rsidRPr="00097A86">
              <w:rPr>
                <w:i/>
                <w:sz w:val="20"/>
              </w:rPr>
              <w:t>Legislative Instruments Act 2003</w:t>
            </w:r>
          </w:p>
        </w:tc>
        <w:tc>
          <w:tcPr>
            <w:tcW w:w="2321" w:type="pct"/>
            <w:shd w:val="clear" w:color="auto" w:fill="auto"/>
          </w:tcPr>
          <w:p w14:paraId="4781EFA3" w14:textId="77777777" w:rsidR="001948E5" w:rsidRPr="00097A86" w:rsidRDefault="001948E5" w:rsidP="001948E5">
            <w:pPr>
              <w:spacing w:before="60"/>
              <w:ind w:left="34"/>
              <w:rPr>
                <w:sz w:val="20"/>
              </w:rPr>
            </w:pPr>
            <w:r w:rsidRPr="00097A86">
              <w:rPr>
                <w:sz w:val="20"/>
              </w:rPr>
              <w:t>Sdiv = Subdivision(s)</w:t>
            </w:r>
          </w:p>
        </w:tc>
      </w:tr>
      <w:tr w:rsidR="001948E5" w:rsidRPr="00097A86" w14:paraId="1A5F3AE4" w14:textId="77777777" w:rsidTr="00C20CC2">
        <w:tc>
          <w:tcPr>
            <w:tcW w:w="2679" w:type="pct"/>
            <w:shd w:val="clear" w:color="auto" w:fill="auto"/>
          </w:tcPr>
          <w:p w14:paraId="6619800C" w14:textId="77777777" w:rsidR="001948E5" w:rsidRPr="00097A86" w:rsidRDefault="001948E5" w:rsidP="001948E5">
            <w:pPr>
              <w:spacing w:before="60"/>
              <w:ind w:left="34"/>
              <w:rPr>
                <w:sz w:val="20"/>
              </w:rPr>
            </w:pPr>
            <w:r w:rsidRPr="00097A86">
              <w:rPr>
                <w:sz w:val="20"/>
              </w:rPr>
              <w:t>(md) = misdescribed amendment can be given</w:t>
            </w:r>
          </w:p>
        </w:tc>
        <w:tc>
          <w:tcPr>
            <w:tcW w:w="2321" w:type="pct"/>
            <w:shd w:val="clear" w:color="auto" w:fill="auto"/>
          </w:tcPr>
          <w:p w14:paraId="7B522B97" w14:textId="77777777" w:rsidR="001948E5" w:rsidRPr="00097A86" w:rsidRDefault="001948E5" w:rsidP="001948E5">
            <w:pPr>
              <w:spacing w:before="60"/>
              <w:ind w:left="34"/>
              <w:rPr>
                <w:sz w:val="20"/>
              </w:rPr>
            </w:pPr>
            <w:r w:rsidRPr="00097A86">
              <w:rPr>
                <w:sz w:val="20"/>
              </w:rPr>
              <w:t>SLI = Select Legislative Instrument</w:t>
            </w:r>
          </w:p>
        </w:tc>
      </w:tr>
      <w:tr w:rsidR="001948E5" w:rsidRPr="00097A86" w14:paraId="3D6D69AF" w14:textId="77777777" w:rsidTr="00C20CC2">
        <w:tc>
          <w:tcPr>
            <w:tcW w:w="2679" w:type="pct"/>
            <w:shd w:val="clear" w:color="auto" w:fill="auto"/>
          </w:tcPr>
          <w:p w14:paraId="5262FA32" w14:textId="77777777" w:rsidR="001948E5" w:rsidRPr="00097A86" w:rsidRDefault="001948E5" w:rsidP="001948E5">
            <w:pPr>
              <w:ind w:left="34"/>
              <w:rPr>
                <w:sz w:val="20"/>
              </w:rPr>
            </w:pPr>
            <w:r w:rsidRPr="00097A86">
              <w:rPr>
                <w:sz w:val="20"/>
              </w:rPr>
              <w:t xml:space="preserve">    effect</w:t>
            </w:r>
          </w:p>
        </w:tc>
        <w:tc>
          <w:tcPr>
            <w:tcW w:w="2321" w:type="pct"/>
            <w:shd w:val="clear" w:color="auto" w:fill="auto"/>
          </w:tcPr>
          <w:p w14:paraId="3A2520F0" w14:textId="77777777" w:rsidR="001948E5" w:rsidRPr="00097A86" w:rsidRDefault="001948E5" w:rsidP="001948E5">
            <w:pPr>
              <w:spacing w:before="60"/>
              <w:ind w:left="34"/>
              <w:rPr>
                <w:sz w:val="20"/>
              </w:rPr>
            </w:pPr>
            <w:r w:rsidRPr="00097A86">
              <w:rPr>
                <w:sz w:val="20"/>
              </w:rPr>
              <w:t>SR = Statutory Rules</w:t>
            </w:r>
          </w:p>
        </w:tc>
      </w:tr>
      <w:tr w:rsidR="001948E5" w:rsidRPr="00097A86" w14:paraId="432C34DE" w14:textId="77777777" w:rsidTr="00C20CC2">
        <w:tc>
          <w:tcPr>
            <w:tcW w:w="2679" w:type="pct"/>
            <w:shd w:val="clear" w:color="auto" w:fill="auto"/>
          </w:tcPr>
          <w:p w14:paraId="297C37E4" w14:textId="77777777" w:rsidR="001948E5" w:rsidRPr="00097A86" w:rsidRDefault="001948E5" w:rsidP="001948E5">
            <w:pPr>
              <w:spacing w:before="60"/>
              <w:ind w:left="34"/>
              <w:rPr>
                <w:sz w:val="20"/>
              </w:rPr>
            </w:pPr>
            <w:r w:rsidRPr="00097A86">
              <w:rPr>
                <w:sz w:val="20"/>
              </w:rPr>
              <w:t>(md not incorp) = misdescribed amendment</w:t>
            </w:r>
          </w:p>
        </w:tc>
        <w:tc>
          <w:tcPr>
            <w:tcW w:w="2321" w:type="pct"/>
            <w:shd w:val="clear" w:color="auto" w:fill="auto"/>
          </w:tcPr>
          <w:p w14:paraId="1D78ED16" w14:textId="77777777" w:rsidR="001948E5" w:rsidRPr="00097A86" w:rsidRDefault="001948E5" w:rsidP="001948E5">
            <w:pPr>
              <w:spacing w:before="60"/>
              <w:ind w:left="34"/>
              <w:rPr>
                <w:sz w:val="20"/>
              </w:rPr>
            </w:pPr>
            <w:r w:rsidRPr="00097A86">
              <w:rPr>
                <w:sz w:val="20"/>
              </w:rPr>
              <w:t>Sub</w:t>
            </w:r>
            <w:r w:rsidR="00097A86">
              <w:rPr>
                <w:sz w:val="20"/>
              </w:rPr>
              <w:noBreakHyphen/>
            </w:r>
            <w:r w:rsidRPr="00097A86">
              <w:rPr>
                <w:sz w:val="20"/>
              </w:rPr>
              <w:t>Ch = Sub</w:t>
            </w:r>
            <w:r w:rsidR="00097A86">
              <w:rPr>
                <w:sz w:val="20"/>
              </w:rPr>
              <w:noBreakHyphen/>
            </w:r>
            <w:r w:rsidRPr="00097A86">
              <w:rPr>
                <w:sz w:val="20"/>
              </w:rPr>
              <w:t>Chapter(s)</w:t>
            </w:r>
          </w:p>
        </w:tc>
      </w:tr>
      <w:tr w:rsidR="001948E5" w:rsidRPr="00097A86" w14:paraId="460A32CB" w14:textId="77777777" w:rsidTr="00C20CC2">
        <w:tc>
          <w:tcPr>
            <w:tcW w:w="2679" w:type="pct"/>
            <w:shd w:val="clear" w:color="auto" w:fill="auto"/>
          </w:tcPr>
          <w:p w14:paraId="11F4F441" w14:textId="77777777" w:rsidR="001948E5" w:rsidRPr="00097A86" w:rsidRDefault="001948E5" w:rsidP="001948E5">
            <w:pPr>
              <w:ind w:left="34"/>
              <w:rPr>
                <w:sz w:val="20"/>
              </w:rPr>
            </w:pPr>
            <w:r w:rsidRPr="00097A86">
              <w:rPr>
                <w:sz w:val="20"/>
              </w:rPr>
              <w:t xml:space="preserve">    cannot be given effect</w:t>
            </w:r>
          </w:p>
        </w:tc>
        <w:tc>
          <w:tcPr>
            <w:tcW w:w="2321" w:type="pct"/>
            <w:shd w:val="clear" w:color="auto" w:fill="auto"/>
          </w:tcPr>
          <w:p w14:paraId="7D4B1FA7" w14:textId="77777777" w:rsidR="001948E5" w:rsidRPr="00097A86" w:rsidRDefault="001948E5" w:rsidP="001948E5">
            <w:pPr>
              <w:spacing w:before="60"/>
              <w:ind w:left="34"/>
              <w:rPr>
                <w:sz w:val="20"/>
              </w:rPr>
            </w:pPr>
            <w:r w:rsidRPr="00097A86">
              <w:rPr>
                <w:sz w:val="20"/>
              </w:rPr>
              <w:t>SubPt = Subpart(s)</w:t>
            </w:r>
          </w:p>
        </w:tc>
      </w:tr>
      <w:tr w:rsidR="001948E5" w:rsidRPr="00097A86" w14:paraId="0B59D066" w14:textId="77777777" w:rsidTr="00C20CC2">
        <w:tc>
          <w:tcPr>
            <w:tcW w:w="2679" w:type="pct"/>
            <w:shd w:val="clear" w:color="auto" w:fill="auto"/>
          </w:tcPr>
          <w:p w14:paraId="104B6998" w14:textId="77777777" w:rsidR="001948E5" w:rsidRPr="00097A86" w:rsidRDefault="001948E5" w:rsidP="001948E5">
            <w:pPr>
              <w:spacing w:before="60"/>
              <w:ind w:left="34"/>
              <w:rPr>
                <w:sz w:val="20"/>
              </w:rPr>
            </w:pPr>
            <w:r w:rsidRPr="00097A86">
              <w:rPr>
                <w:sz w:val="20"/>
              </w:rPr>
              <w:t>mod = modified/modification</w:t>
            </w:r>
          </w:p>
        </w:tc>
        <w:tc>
          <w:tcPr>
            <w:tcW w:w="2321" w:type="pct"/>
            <w:shd w:val="clear" w:color="auto" w:fill="auto"/>
          </w:tcPr>
          <w:p w14:paraId="381EA983" w14:textId="77777777" w:rsidR="001948E5" w:rsidRPr="00097A86" w:rsidRDefault="001948E5" w:rsidP="001948E5">
            <w:pPr>
              <w:spacing w:before="60"/>
              <w:ind w:left="34"/>
              <w:rPr>
                <w:sz w:val="20"/>
              </w:rPr>
            </w:pPr>
            <w:r w:rsidRPr="00097A86">
              <w:rPr>
                <w:sz w:val="20"/>
                <w:u w:val="single"/>
              </w:rPr>
              <w:t>underlining</w:t>
            </w:r>
            <w:r w:rsidRPr="00097A86">
              <w:rPr>
                <w:sz w:val="20"/>
              </w:rPr>
              <w:t xml:space="preserve"> = whole or part not</w:t>
            </w:r>
          </w:p>
        </w:tc>
      </w:tr>
      <w:tr w:rsidR="001948E5" w:rsidRPr="00097A86" w14:paraId="2723825C" w14:textId="77777777" w:rsidTr="00C20CC2">
        <w:tc>
          <w:tcPr>
            <w:tcW w:w="2679" w:type="pct"/>
            <w:shd w:val="clear" w:color="auto" w:fill="auto"/>
          </w:tcPr>
          <w:p w14:paraId="0F9C8950" w14:textId="77777777" w:rsidR="001948E5" w:rsidRPr="00097A86" w:rsidRDefault="001948E5" w:rsidP="001948E5">
            <w:pPr>
              <w:spacing w:before="60"/>
              <w:ind w:left="34"/>
              <w:rPr>
                <w:sz w:val="20"/>
              </w:rPr>
            </w:pPr>
            <w:r w:rsidRPr="00097A86">
              <w:rPr>
                <w:sz w:val="20"/>
              </w:rPr>
              <w:t>No. = Number(s)</w:t>
            </w:r>
          </w:p>
        </w:tc>
        <w:tc>
          <w:tcPr>
            <w:tcW w:w="2321" w:type="pct"/>
            <w:shd w:val="clear" w:color="auto" w:fill="auto"/>
          </w:tcPr>
          <w:p w14:paraId="034C74A5" w14:textId="77777777" w:rsidR="001948E5" w:rsidRPr="00097A86" w:rsidRDefault="001948E5" w:rsidP="001948E5">
            <w:pPr>
              <w:ind w:left="34"/>
              <w:rPr>
                <w:sz w:val="20"/>
              </w:rPr>
            </w:pPr>
            <w:r w:rsidRPr="00097A86">
              <w:rPr>
                <w:sz w:val="20"/>
              </w:rPr>
              <w:t xml:space="preserve">    commenced or to be commenced</w:t>
            </w:r>
          </w:p>
        </w:tc>
      </w:tr>
    </w:tbl>
    <w:p w14:paraId="184CC18B" w14:textId="77777777" w:rsidR="001948E5" w:rsidRPr="00097A86" w:rsidRDefault="001948E5" w:rsidP="001948E5">
      <w:pPr>
        <w:pStyle w:val="Tabletext"/>
      </w:pPr>
    </w:p>
    <w:p w14:paraId="53A9ABDD" w14:textId="77777777" w:rsidR="002A6ADD" w:rsidRPr="00097A86" w:rsidRDefault="002A6ADD" w:rsidP="00FE12E7">
      <w:pPr>
        <w:pStyle w:val="Tabletext"/>
      </w:pPr>
    </w:p>
    <w:p w14:paraId="2F332A3B" w14:textId="77777777" w:rsidR="00423A43" w:rsidRPr="00097A86" w:rsidRDefault="00423A43" w:rsidP="00A15D57">
      <w:pPr>
        <w:pStyle w:val="ENotesHeading2"/>
        <w:pageBreakBefore/>
        <w:outlineLvl w:val="9"/>
      </w:pPr>
      <w:bookmarkStart w:id="698" w:name="_Toc13234120"/>
      <w:r w:rsidRPr="00097A86">
        <w:lastRenderedPageBreak/>
        <w:t>Endnote 3—Legislation history</w:t>
      </w:r>
      <w:bookmarkEnd w:id="698"/>
    </w:p>
    <w:p w14:paraId="58E7F751" w14:textId="77777777" w:rsidR="00D22D3F" w:rsidRPr="00097A86" w:rsidRDefault="00D22D3F" w:rsidP="00D4338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997"/>
        <w:gridCol w:w="1488"/>
        <w:gridCol w:w="1746"/>
        <w:gridCol w:w="2082"/>
      </w:tblGrid>
      <w:tr w:rsidR="00D22D3F" w:rsidRPr="00097A86" w14:paraId="67E5B1C1" w14:textId="77777777" w:rsidTr="00C20CC2">
        <w:trPr>
          <w:cantSplit/>
          <w:tblHeader/>
        </w:trPr>
        <w:tc>
          <w:tcPr>
            <w:tcW w:w="1803" w:type="pct"/>
            <w:tcBorders>
              <w:top w:val="single" w:sz="12" w:space="0" w:color="auto"/>
              <w:bottom w:val="single" w:sz="12" w:space="0" w:color="auto"/>
            </w:tcBorders>
            <w:shd w:val="clear" w:color="auto" w:fill="auto"/>
          </w:tcPr>
          <w:p w14:paraId="5607CF1E" w14:textId="77777777" w:rsidR="00D22D3F" w:rsidRPr="00097A86" w:rsidRDefault="0029241B" w:rsidP="00D4338A">
            <w:pPr>
              <w:pStyle w:val="ENoteTableHeading"/>
            </w:pPr>
            <w:r w:rsidRPr="00097A86">
              <w:t>Name</w:t>
            </w:r>
          </w:p>
        </w:tc>
        <w:tc>
          <w:tcPr>
            <w:tcW w:w="895" w:type="pct"/>
            <w:tcBorders>
              <w:top w:val="single" w:sz="12" w:space="0" w:color="auto"/>
              <w:bottom w:val="single" w:sz="12" w:space="0" w:color="auto"/>
            </w:tcBorders>
            <w:shd w:val="clear" w:color="auto" w:fill="auto"/>
          </w:tcPr>
          <w:p w14:paraId="04A192EF" w14:textId="77777777" w:rsidR="00D22D3F" w:rsidRPr="00097A86" w:rsidRDefault="001948E5" w:rsidP="00D4338A">
            <w:pPr>
              <w:pStyle w:val="ENoteTableHeading"/>
            </w:pPr>
            <w:r w:rsidRPr="00097A86">
              <w:t>Registration</w:t>
            </w:r>
          </w:p>
        </w:tc>
        <w:tc>
          <w:tcPr>
            <w:tcW w:w="1050" w:type="pct"/>
            <w:tcBorders>
              <w:top w:val="single" w:sz="12" w:space="0" w:color="auto"/>
              <w:bottom w:val="single" w:sz="12" w:space="0" w:color="auto"/>
            </w:tcBorders>
            <w:shd w:val="clear" w:color="auto" w:fill="auto"/>
          </w:tcPr>
          <w:p w14:paraId="458E96EB" w14:textId="77777777" w:rsidR="00D22D3F" w:rsidRPr="00097A86" w:rsidRDefault="00D22D3F" w:rsidP="00D4338A">
            <w:pPr>
              <w:pStyle w:val="ENoteTableHeading"/>
            </w:pPr>
            <w:r w:rsidRPr="00097A86">
              <w:t>Commencement</w:t>
            </w:r>
          </w:p>
        </w:tc>
        <w:tc>
          <w:tcPr>
            <w:tcW w:w="1252" w:type="pct"/>
            <w:tcBorders>
              <w:top w:val="single" w:sz="12" w:space="0" w:color="auto"/>
              <w:bottom w:val="single" w:sz="12" w:space="0" w:color="auto"/>
            </w:tcBorders>
            <w:shd w:val="clear" w:color="auto" w:fill="auto"/>
          </w:tcPr>
          <w:p w14:paraId="0A4082C7" w14:textId="77777777" w:rsidR="00D22D3F" w:rsidRPr="00097A86" w:rsidRDefault="00D22D3F" w:rsidP="00D4338A">
            <w:pPr>
              <w:pStyle w:val="ENoteTableHeading"/>
            </w:pPr>
            <w:r w:rsidRPr="00097A86">
              <w:t>Application, saving and transitional provisions</w:t>
            </w:r>
          </w:p>
        </w:tc>
      </w:tr>
      <w:tr w:rsidR="00BF19C7" w:rsidRPr="00097A86" w14:paraId="1CA31EAA" w14:textId="77777777" w:rsidTr="00C20CC2">
        <w:trPr>
          <w:cantSplit/>
        </w:trPr>
        <w:tc>
          <w:tcPr>
            <w:tcW w:w="1803" w:type="pct"/>
            <w:tcBorders>
              <w:top w:val="single" w:sz="12" w:space="0" w:color="auto"/>
              <w:bottom w:val="single" w:sz="4" w:space="0" w:color="auto"/>
            </w:tcBorders>
            <w:shd w:val="clear" w:color="auto" w:fill="auto"/>
          </w:tcPr>
          <w:p w14:paraId="71E1326B" w14:textId="77777777" w:rsidR="00BF19C7" w:rsidRPr="00097A86" w:rsidRDefault="00BF19C7" w:rsidP="00BF19C7">
            <w:pPr>
              <w:pStyle w:val="ENoteTableText"/>
            </w:pPr>
            <w:r w:rsidRPr="00097A86">
              <w:t>National Greenhouse and Energy Reporting (Measurement) Determination</w:t>
            </w:r>
            <w:r w:rsidR="00097A86">
              <w:t> </w:t>
            </w:r>
            <w:r w:rsidRPr="00097A86">
              <w:t>2008</w:t>
            </w:r>
          </w:p>
        </w:tc>
        <w:tc>
          <w:tcPr>
            <w:tcW w:w="895" w:type="pct"/>
            <w:tcBorders>
              <w:top w:val="single" w:sz="12" w:space="0" w:color="auto"/>
              <w:bottom w:val="single" w:sz="4" w:space="0" w:color="auto"/>
            </w:tcBorders>
            <w:shd w:val="clear" w:color="auto" w:fill="auto"/>
          </w:tcPr>
          <w:p w14:paraId="675835FE" w14:textId="77777777" w:rsidR="00BF19C7" w:rsidRPr="00097A86" w:rsidRDefault="00BF19C7" w:rsidP="00BF19C7">
            <w:pPr>
              <w:pStyle w:val="ENoteTableText"/>
            </w:pPr>
            <w:r w:rsidRPr="00097A86">
              <w:t>27</w:t>
            </w:r>
            <w:r w:rsidR="00097A86">
              <w:t> </w:t>
            </w:r>
            <w:r w:rsidRPr="00097A86">
              <w:t>June 2008 (F2008L02309)</w:t>
            </w:r>
          </w:p>
        </w:tc>
        <w:tc>
          <w:tcPr>
            <w:tcW w:w="1050" w:type="pct"/>
            <w:tcBorders>
              <w:top w:val="single" w:sz="12" w:space="0" w:color="auto"/>
              <w:bottom w:val="single" w:sz="4" w:space="0" w:color="auto"/>
            </w:tcBorders>
            <w:shd w:val="clear" w:color="auto" w:fill="auto"/>
          </w:tcPr>
          <w:p w14:paraId="3E1C4CAE" w14:textId="77777777" w:rsidR="00BF19C7" w:rsidRPr="00097A86" w:rsidRDefault="00BF19C7" w:rsidP="00BF19C7">
            <w:pPr>
              <w:pStyle w:val="ENoteTableText"/>
            </w:pPr>
            <w:r w:rsidRPr="00097A86">
              <w:t>1</w:t>
            </w:r>
            <w:r w:rsidR="00097A86">
              <w:t> </w:t>
            </w:r>
            <w:r w:rsidRPr="00097A86">
              <w:t>July 2008</w:t>
            </w:r>
          </w:p>
        </w:tc>
        <w:tc>
          <w:tcPr>
            <w:tcW w:w="1252" w:type="pct"/>
            <w:tcBorders>
              <w:top w:val="single" w:sz="12" w:space="0" w:color="auto"/>
              <w:bottom w:val="single" w:sz="4" w:space="0" w:color="auto"/>
            </w:tcBorders>
            <w:shd w:val="clear" w:color="auto" w:fill="auto"/>
          </w:tcPr>
          <w:p w14:paraId="5EB68F44" w14:textId="77777777" w:rsidR="00BF19C7" w:rsidRPr="00097A86" w:rsidRDefault="00BF19C7" w:rsidP="00BF19C7">
            <w:pPr>
              <w:pStyle w:val="ENoteTableText"/>
            </w:pPr>
          </w:p>
        </w:tc>
      </w:tr>
      <w:tr w:rsidR="00BF19C7" w:rsidRPr="00097A86" w14:paraId="32820727" w14:textId="77777777" w:rsidTr="00C20CC2">
        <w:trPr>
          <w:cantSplit/>
        </w:trPr>
        <w:tc>
          <w:tcPr>
            <w:tcW w:w="1803" w:type="pct"/>
            <w:tcBorders>
              <w:bottom w:val="single" w:sz="4" w:space="0" w:color="auto"/>
            </w:tcBorders>
            <w:shd w:val="clear" w:color="auto" w:fill="auto"/>
          </w:tcPr>
          <w:p w14:paraId="38DC1602" w14:textId="77777777" w:rsidR="00BF19C7" w:rsidRPr="00097A86" w:rsidRDefault="00BF19C7" w:rsidP="00BF19C7">
            <w:pPr>
              <w:pStyle w:val="ENoteTableText"/>
            </w:pPr>
            <w:r w:rsidRPr="00097A86">
              <w:t>National Greenhouse and Energy Reporting (Measurement) Amendment Determination</w:t>
            </w:r>
            <w:r w:rsidR="00097A86">
              <w:t> </w:t>
            </w:r>
            <w:r w:rsidRPr="00097A86">
              <w:t>2009 (No.</w:t>
            </w:r>
            <w:r w:rsidR="00097A86">
              <w:t> </w:t>
            </w:r>
            <w:r w:rsidRPr="00097A86">
              <w:t>1)</w:t>
            </w:r>
          </w:p>
        </w:tc>
        <w:tc>
          <w:tcPr>
            <w:tcW w:w="895" w:type="pct"/>
            <w:tcBorders>
              <w:bottom w:val="single" w:sz="4" w:space="0" w:color="auto"/>
            </w:tcBorders>
            <w:shd w:val="clear" w:color="auto" w:fill="auto"/>
          </w:tcPr>
          <w:p w14:paraId="6E4511AE" w14:textId="77777777" w:rsidR="00BF19C7" w:rsidRPr="00097A86" w:rsidRDefault="00BF19C7" w:rsidP="00BF19C7">
            <w:pPr>
              <w:pStyle w:val="ENoteTableText"/>
            </w:pPr>
            <w:r w:rsidRPr="00097A86">
              <w:t>26</w:t>
            </w:r>
            <w:r w:rsidR="00097A86">
              <w:t> </w:t>
            </w:r>
            <w:r w:rsidRPr="00097A86">
              <w:t>June 2009 (F2009L02571)</w:t>
            </w:r>
          </w:p>
        </w:tc>
        <w:tc>
          <w:tcPr>
            <w:tcW w:w="1050" w:type="pct"/>
            <w:tcBorders>
              <w:bottom w:val="single" w:sz="4" w:space="0" w:color="auto"/>
            </w:tcBorders>
            <w:shd w:val="clear" w:color="auto" w:fill="auto"/>
          </w:tcPr>
          <w:p w14:paraId="6AC440EF" w14:textId="77777777" w:rsidR="00BF19C7" w:rsidRPr="00097A86" w:rsidRDefault="00BF19C7" w:rsidP="00BF19C7">
            <w:pPr>
              <w:pStyle w:val="ENoteTableText"/>
            </w:pPr>
            <w:r w:rsidRPr="00097A86">
              <w:t>27</w:t>
            </w:r>
            <w:r w:rsidR="00097A86">
              <w:t> </w:t>
            </w:r>
            <w:r w:rsidRPr="00097A86">
              <w:t>June 2009</w:t>
            </w:r>
          </w:p>
        </w:tc>
        <w:tc>
          <w:tcPr>
            <w:tcW w:w="1252" w:type="pct"/>
            <w:tcBorders>
              <w:bottom w:val="single" w:sz="4" w:space="0" w:color="auto"/>
            </w:tcBorders>
            <w:shd w:val="clear" w:color="auto" w:fill="auto"/>
          </w:tcPr>
          <w:p w14:paraId="05FC136E" w14:textId="77777777" w:rsidR="00BF19C7" w:rsidRPr="00097A86" w:rsidRDefault="00682FA9" w:rsidP="00A035AC">
            <w:pPr>
              <w:pStyle w:val="ENoteTableText"/>
            </w:pPr>
            <w:r w:rsidRPr="00097A86">
              <w:t>s</w:t>
            </w:r>
            <w:r w:rsidR="00BF19C7" w:rsidRPr="00097A86">
              <w:t xml:space="preserve"> 4</w:t>
            </w:r>
          </w:p>
        </w:tc>
      </w:tr>
      <w:tr w:rsidR="00BF19C7" w:rsidRPr="00097A86" w14:paraId="26E7A9C8" w14:textId="77777777" w:rsidTr="00C20CC2">
        <w:trPr>
          <w:cantSplit/>
        </w:trPr>
        <w:tc>
          <w:tcPr>
            <w:tcW w:w="1803" w:type="pct"/>
            <w:tcBorders>
              <w:bottom w:val="single" w:sz="4" w:space="0" w:color="auto"/>
            </w:tcBorders>
            <w:shd w:val="clear" w:color="auto" w:fill="auto"/>
          </w:tcPr>
          <w:p w14:paraId="415932BE" w14:textId="77777777" w:rsidR="00BF19C7" w:rsidRPr="00097A86" w:rsidRDefault="00BF19C7" w:rsidP="00BF19C7">
            <w:pPr>
              <w:pStyle w:val="ENoteTableText"/>
            </w:pPr>
            <w:r w:rsidRPr="00097A86">
              <w:t>National Greenhouse and Energy Reporting (Measurement) Amendment Determination</w:t>
            </w:r>
            <w:r w:rsidR="00097A86">
              <w:t> </w:t>
            </w:r>
            <w:r w:rsidRPr="00097A86">
              <w:t>2010 (No.</w:t>
            </w:r>
            <w:r w:rsidR="00097A86">
              <w:t> </w:t>
            </w:r>
            <w:r w:rsidRPr="00097A86">
              <w:t>1)</w:t>
            </w:r>
          </w:p>
        </w:tc>
        <w:tc>
          <w:tcPr>
            <w:tcW w:w="895" w:type="pct"/>
            <w:tcBorders>
              <w:bottom w:val="single" w:sz="4" w:space="0" w:color="auto"/>
            </w:tcBorders>
            <w:shd w:val="clear" w:color="auto" w:fill="auto"/>
          </w:tcPr>
          <w:p w14:paraId="15FC791E" w14:textId="77777777" w:rsidR="00BF19C7" w:rsidRPr="00097A86" w:rsidRDefault="00BF19C7" w:rsidP="00BF19C7">
            <w:pPr>
              <w:pStyle w:val="ENoteTableText"/>
            </w:pPr>
            <w:r w:rsidRPr="00097A86">
              <w:t>29</w:t>
            </w:r>
            <w:r w:rsidR="00097A86">
              <w:t> </w:t>
            </w:r>
            <w:r w:rsidRPr="00097A86">
              <w:t>June 2010 (F2010L01855)</w:t>
            </w:r>
          </w:p>
        </w:tc>
        <w:tc>
          <w:tcPr>
            <w:tcW w:w="1050" w:type="pct"/>
            <w:tcBorders>
              <w:bottom w:val="single" w:sz="4" w:space="0" w:color="auto"/>
            </w:tcBorders>
            <w:shd w:val="clear" w:color="auto" w:fill="auto"/>
          </w:tcPr>
          <w:p w14:paraId="11BF426D" w14:textId="77777777" w:rsidR="00BF19C7" w:rsidRPr="00097A86" w:rsidRDefault="00BF19C7" w:rsidP="00BF19C7">
            <w:pPr>
              <w:pStyle w:val="ENoteTableText"/>
            </w:pPr>
            <w:r w:rsidRPr="00097A86">
              <w:t>30</w:t>
            </w:r>
            <w:r w:rsidR="00097A86">
              <w:t> </w:t>
            </w:r>
            <w:r w:rsidRPr="00097A86">
              <w:t>June 2010</w:t>
            </w:r>
          </w:p>
        </w:tc>
        <w:tc>
          <w:tcPr>
            <w:tcW w:w="1252" w:type="pct"/>
            <w:tcBorders>
              <w:bottom w:val="single" w:sz="4" w:space="0" w:color="auto"/>
            </w:tcBorders>
            <w:shd w:val="clear" w:color="auto" w:fill="auto"/>
          </w:tcPr>
          <w:p w14:paraId="716410DC" w14:textId="77777777" w:rsidR="00BF19C7" w:rsidRPr="00097A86" w:rsidRDefault="00682FA9" w:rsidP="00A035AC">
            <w:pPr>
              <w:pStyle w:val="ENoteTableText"/>
            </w:pPr>
            <w:r w:rsidRPr="00097A86">
              <w:t>s</w:t>
            </w:r>
            <w:r w:rsidR="00BF19C7" w:rsidRPr="00097A86">
              <w:t xml:space="preserve"> 4</w:t>
            </w:r>
          </w:p>
        </w:tc>
      </w:tr>
      <w:tr w:rsidR="00BF19C7" w:rsidRPr="00097A86" w14:paraId="42247021" w14:textId="77777777" w:rsidTr="00C20CC2">
        <w:trPr>
          <w:cantSplit/>
        </w:trPr>
        <w:tc>
          <w:tcPr>
            <w:tcW w:w="1803" w:type="pct"/>
            <w:tcBorders>
              <w:top w:val="single" w:sz="4" w:space="0" w:color="auto"/>
              <w:bottom w:val="single" w:sz="4" w:space="0" w:color="auto"/>
            </w:tcBorders>
            <w:shd w:val="clear" w:color="auto" w:fill="auto"/>
          </w:tcPr>
          <w:p w14:paraId="206919D3" w14:textId="77777777" w:rsidR="00BF19C7" w:rsidRPr="00097A86" w:rsidRDefault="00BF19C7" w:rsidP="00BF19C7">
            <w:pPr>
              <w:pStyle w:val="ENoteTableText"/>
            </w:pPr>
            <w:r w:rsidRPr="00097A86">
              <w:t>National Greenhouse and Energy Reporting (Measurement) Amendment Determination</w:t>
            </w:r>
            <w:r w:rsidR="00097A86">
              <w:t> </w:t>
            </w:r>
            <w:r w:rsidRPr="00097A86">
              <w:t>2011 (No.</w:t>
            </w:r>
            <w:r w:rsidR="00097A86">
              <w:t> </w:t>
            </w:r>
            <w:r w:rsidRPr="00097A86">
              <w:t>1)</w:t>
            </w:r>
          </w:p>
        </w:tc>
        <w:tc>
          <w:tcPr>
            <w:tcW w:w="895" w:type="pct"/>
            <w:tcBorders>
              <w:top w:val="single" w:sz="4" w:space="0" w:color="auto"/>
              <w:bottom w:val="single" w:sz="4" w:space="0" w:color="auto"/>
            </w:tcBorders>
            <w:shd w:val="clear" w:color="auto" w:fill="auto"/>
          </w:tcPr>
          <w:p w14:paraId="7B108805" w14:textId="77777777" w:rsidR="00BF19C7" w:rsidRPr="00097A86" w:rsidRDefault="00BF19C7" w:rsidP="00BF19C7">
            <w:pPr>
              <w:pStyle w:val="ENoteTableText"/>
            </w:pPr>
            <w:r w:rsidRPr="00097A86">
              <w:t>29</w:t>
            </w:r>
            <w:r w:rsidR="00097A86">
              <w:t> </w:t>
            </w:r>
            <w:r w:rsidRPr="00097A86">
              <w:t>June 2011 (F2011L01315)</w:t>
            </w:r>
          </w:p>
        </w:tc>
        <w:tc>
          <w:tcPr>
            <w:tcW w:w="1050" w:type="pct"/>
            <w:tcBorders>
              <w:top w:val="single" w:sz="4" w:space="0" w:color="auto"/>
              <w:bottom w:val="single" w:sz="4" w:space="0" w:color="auto"/>
            </w:tcBorders>
            <w:shd w:val="clear" w:color="auto" w:fill="auto"/>
          </w:tcPr>
          <w:p w14:paraId="443F15E3" w14:textId="77777777" w:rsidR="00BF19C7" w:rsidRPr="00097A86" w:rsidRDefault="00AD6F63" w:rsidP="00A035AC">
            <w:pPr>
              <w:pStyle w:val="ENoteTableText"/>
            </w:pPr>
            <w:r w:rsidRPr="00097A86">
              <w:t>s</w:t>
            </w:r>
            <w:r w:rsidR="00FE12E7" w:rsidRPr="00097A86">
              <w:t> </w:t>
            </w:r>
            <w:r w:rsidR="00BF19C7" w:rsidRPr="00097A86">
              <w:t>1–4 and Sch</w:t>
            </w:r>
            <w:r w:rsidR="00FE12E7" w:rsidRPr="00097A86">
              <w:t> </w:t>
            </w:r>
            <w:r w:rsidR="00BF19C7" w:rsidRPr="00097A86">
              <w:t>1:</w:t>
            </w:r>
            <w:r w:rsidR="00D17749" w:rsidRPr="00097A86">
              <w:t xml:space="preserve"> </w:t>
            </w:r>
            <w:r w:rsidR="00BF19C7" w:rsidRPr="00097A86">
              <w:t>1</w:t>
            </w:r>
            <w:r w:rsidR="00097A86">
              <w:t> </w:t>
            </w:r>
            <w:r w:rsidR="00BF19C7" w:rsidRPr="00097A86">
              <w:t>July 2011</w:t>
            </w:r>
            <w:r w:rsidR="00BF19C7" w:rsidRPr="00097A86">
              <w:br/>
              <w:t>Sch</w:t>
            </w:r>
            <w:r w:rsidR="00FE12E7" w:rsidRPr="00097A86">
              <w:t> </w:t>
            </w:r>
            <w:r w:rsidR="00BF19C7" w:rsidRPr="00097A86">
              <w:t>2: 1</w:t>
            </w:r>
            <w:r w:rsidR="00097A86">
              <w:t> </w:t>
            </w:r>
            <w:r w:rsidR="00BF19C7" w:rsidRPr="00097A86">
              <w:t>July 2012</w:t>
            </w:r>
          </w:p>
        </w:tc>
        <w:tc>
          <w:tcPr>
            <w:tcW w:w="1252" w:type="pct"/>
            <w:tcBorders>
              <w:top w:val="single" w:sz="4" w:space="0" w:color="auto"/>
              <w:bottom w:val="single" w:sz="4" w:space="0" w:color="auto"/>
            </w:tcBorders>
            <w:shd w:val="clear" w:color="auto" w:fill="auto"/>
          </w:tcPr>
          <w:p w14:paraId="433778DC" w14:textId="77777777" w:rsidR="00BF19C7" w:rsidRPr="00097A86" w:rsidRDefault="00682FA9" w:rsidP="00A035AC">
            <w:pPr>
              <w:pStyle w:val="ENoteTableText"/>
            </w:pPr>
            <w:r w:rsidRPr="00097A86">
              <w:t>s</w:t>
            </w:r>
            <w:r w:rsidR="00BF19C7" w:rsidRPr="00097A86">
              <w:t xml:space="preserve"> 4</w:t>
            </w:r>
          </w:p>
        </w:tc>
      </w:tr>
      <w:tr w:rsidR="00BF19C7" w:rsidRPr="00097A86" w14:paraId="463E2986" w14:textId="77777777" w:rsidTr="00C20CC2">
        <w:trPr>
          <w:cantSplit/>
        </w:trPr>
        <w:tc>
          <w:tcPr>
            <w:tcW w:w="1803" w:type="pct"/>
            <w:tcBorders>
              <w:bottom w:val="single" w:sz="4" w:space="0" w:color="auto"/>
            </w:tcBorders>
            <w:shd w:val="clear" w:color="auto" w:fill="auto"/>
          </w:tcPr>
          <w:p w14:paraId="0AEE8486" w14:textId="77777777" w:rsidR="00BF19C7" w:rsidRPr="00097A86" w:rsidRDefault="00BF19C7" w:rsidP="00BF19C7">
            <w:pPr>
              <w:pStyle w:val="ENoteTableText"/>
            </w:pPr>
            <w:r w:rsidRPr="00097A86">
              <w:t>National Greenhouse and Energy Reporting (Measurement) Amendment Determination</w:t>
            </w:r>
            <w:r w:rsidR="00097A86">
              <w:t> </w:t>
            </w:r>
            <w:r w:rsidRPr="00097A86">
              <w:t>2012 (No.</w:t>
            </w:r>
            <w:r w:rsidR="00097A86">
              <w:t> </w:t>
            </w:r>
            <w:r w:rsidRPr="00097A86">
              <w:t>1)</w:t>
            </w:r>
          </w:p>
        </w:tc>
        <w:tc>
          <w:tcPr>
            <w:tcW w:w="895" w:type="pct"/>
            <w:tcBorders>
              <w:bottom w:val="single" w:sz="4" w:space="0" w:color="auto"/>
            </w:tcBorders>
            <w:shd w:val="clear" w:color="auto" w:fill="auto"/>
          </w:tcPr>
          <w:p w14:paraId="7B5EB6AF" w14:textId="77777777" w:rsidR="00BF19C7" w:rsidRPr="00097A86" w:rsidRDefault="00BF19C7" w:rsidP="00BF19C7">
            <w:pPr>
              <w:pStyle w:val="ENoteTableText"/>
            </w:pPr>
            <w:r w:rsidRPr="00097A86">
              <w:t>29</w:t>
            </w:r>
            <w:r w:rsidR="00097A86">
              <w:t> </w:t>
            </w:r>
            <w:r w:rsidRPr="00097A86">
              <w:t>June 2012 (F2012L01439)</w:t>
            </w:r>
          </w:p>
        </w:tc>
        <w:tc>
          <w:tcPr>
            <w:tcW w:w="1050" w:type="pct"/>
            <w:tcBorders>
              <w:bottom w:val="single" w:sz="4" w:space="0" w:color="auto"/>
            </w:tcBorders>
            <w:shd w:val="clear" w:color="auto" w:fill="auto"/>
          </w:tcPr>
          <w:p w14:paraId="7B9345A4" w14:textId="77777777" w:rsidR="00BF19C7" w:rsidRPr="00097A86" w:rsidRDefault="00BF19C7" w:rsidP="00BF19C7">
            <w:pPr>
              <w:pStyle w:val="ENoteTableText"/>
            </w:pPr>
            <w:r w:rsidRPr="00097A86">
              <w:t>1</w:t>
            </w:r>
            <w:r w:rsidR="00097A86">
              <w:t> </w:t>
            </w:r>
            <w:r w:rsidRPr="00097A86">
              <w:t>July 2012</w:t>
            </w:r>
          </w:p>
        </w:tc>
        <w:tc>
          <w:tcPr>
            <w:tcW w:w="1252" w:type="pct"/>
            <w:tcBorders>
              <w:bottom w:val="single" w:sz="4" w:space="0" w:color="auto"/>
            </w:tcBorders>
            <w:shd w:val="clear" w:color="auto" w:fill="auto"/>
          </w:tcPr>
          <w:p w14:paraId="5BE39E56" w14:textId="77777777" w:rsidR="00BF19C7" w:rsidRPr="00097A86" w:rsidRDefault="00BF19C7" w:rsidP="00BF19C7">
            <w:pPr>
              <w:pStyle w:val="ENoteTableText"/>
            </w:pPr>
            <w:r w:rsidRPr="00097A86">
              <w:t>—</w:t>
            </w:r>
          </w:p>
        </w:tc>
      </w:tr>
      <w:tr w:rsidR="00682FA9" w:rsidRPr="00097A86" w14:paraId="064C1525" w14:textId="77777777" w:rsidTr="00C20CC2">
        <w:trPr>
          <w:cantSplit/>
        </w:trPr>
        <w:tc>
          <w:tcPr>
            <w:tcW w:w="1803" w:type="pct"/>
            <w:tcBorders>
              <w:top w:val="single" w:sz="4" w:space="0" w:color="auto"/>
              <w:bottom w:val="single" w:sz="4" w:space="0" w:color="auto"/>
            </w:tcBorders>
            <w:shd w:val="clear" w:color="auto" w:fill="auto"/>
          </w:tcPr>
          <w:p w14:paraId="59CBE32D" w14:textId="77777777" w:rsidR="00682FA9" w:rsidRPr="00097A86" w:rsidRDefault="00682FA9" w:rsidP="00BF19C7">
            <w:pPr>
              <w:pStyle w:val="ENoteTableText"/>
            </w:pPr>
            <w:r w:rsidRPr="00097A86">
              <w:t>National Greenhouse and Energy Reporting (Measurement) Amendment Determination</w:t>
            </w:r>
            <w:r w:rsidR="00097A86">
              <w:t> </w:t>
            </w:r>
            <w:r w:rsidRPr="00097A86">
              <w:t>2013 (No.</w:t>
            </w:r>
            <w:r w:rsidR="00097A86">
              <w:t> </w:t>
            </w:r>
            <w:r w:rsidRPr="00097A86">
              <w:t>1)</w:t>
            </w:r>
          </w:p>
        </w:tc>
        <w:tc>
          <w:tcPr>
            <w:tcW w:w="895" w:type="pct"/>
            <w:tcBorders>
              <w:top w:val="single" w:sz="4" w:space="0" w:color="auto"/>
              <w:bottom w:val="single" w:sz="4" w:space="0" w:color="auto"/>
            </w:tcBorders>
            <w:shd w:val="clear" w:color="auto" w:fill="auto"/>
          </w:tcPr>
          <w:p w14:paraId="7DD72BF5" w14:textId="77777777" w:rsidR="00682FA9" w:rsidRPr="00097A86" w:rsidRDefault="00682FA9" w:rsidP="00BF19C7">
            <w:pPr>
              <w:pStyle w:val="ENoteTableText"/>
            </w:pPr>
            <w:r w:rsidRPr="00097A86">
              <w:t>27</w:t>
            </w:r>
            <w:r w:rsidR="00097A86">
              <w:t> </w:t>
            </w:r>
            <w:r w:rsidRPr="00097A86">
              <w:t>June 2013 (F2013L01191)</w:t>
            </w:r>
          </w:p>
        </w:tc>
        <w:tc>
          <w:tcPr>
            <w:tcW w:w="1050" w:type="pct"/>
            <w:tcBorders>
              <w:top w:val="single" w:sz="4" w:space="0" w:color="auto"/>
              <w:bottom w:val="single" w:sz="4" w:space="0" w:color="auto"/>
            </w:tcBorders>
            <w:shd w:val="clear" w:color="auto" w:fill="auto"/>
          </w:tcPr>
          <w:p w14:paraId="42BE4473" w14:textId="77777777" w:rsidR="00682FA9" w:rsidRPr="00097A86" w:rsidRDefault="00682FA9" w:rsidP="00BF19C7">
            <w:pPr>
              <w:pStyle w:val="ENoteTableText"/>
            </w:pPr>
            <w:r w:rsidRPr="00097A86">
              <w:t>1</w:t>
            </w:r>
            <w:r w:rsidR="00097A86">
              <w:t> </w:t>
            </w:r>
            <w:r w:rsidRPr="00097A86">
              <w:t>July 2013</w:t>
            </w:r>
          </w:p>
        </w:tc>
        <w:tc>
          <w:tcPr>
            <w:tcW w:w="1252" w:type="pct"/>
            <w:tcBorders>
              <w:top w:val="single" w:sz="4" w:space="0" w:color="auto"/>
              <w:bottom w:val="single" w:sz="4" w:space="0" w:color="auto"/>
            </w:tcBorders>
            <w:shd w:val="clear" w:color="auto" w:fill="auto"/>
          </w:tcPr>
          <w:p w14:paraId="1854BFBB" w14:textId="77777777" w:rsidR="00682FA9" w:rsidRPr="00097A86" w:rsidRDefault="00682FA9" w:rsidP="00BF19C7">
            <w:pPr>
              <w:pStyle w:val="ENoteTableText"/>
            </w:pPr>
            <w:r w:rsidRPr="00097A86">
              <w:t>—</w:t>
            </w:r>
          </w:p>
        </w:tc>
      </w:tr>
      <w:tr w:rsidR="00925F30" w:rsidRPr="00097A86" w14:paraId="2050E42A" w14:textId="77777777" w:rsidTr="00C20CC2">
        <w:trPr>
          <w:cantSplit/>
        </w:trPr>
        <w:tc>
          <w:tcPr>
            <w:tcW w:w="1803" w:type="pct"/>
            <w:tcBorders>
              <w:top w:val="single" w:sz="4" w:space="0" w:color="auto"/>
              <w:bottom w:val="single" w:sz="4" w:space="0" w:color="auto"/>
            </w:tcBorders>
            <w:shd w:val="clear" w:color="auto" w:fill="auto"/>
          </w:tcPr>
          <w:p w14:paraId="2FD3E65D" w14:textId="77777777" w:rsidR="00925F30" w:rsidRPr="00097A86" w:rsidRDefault="00925F30" w:rsidP="00BF19C7">
            <w:pPr>
              <w:pStyle w:val="ENoteTableText"/>
            </w:pPr>
            <w:r w:rsidRPr="00097A86">
              <w:t>National Greenhouse and Energy Reporting (Measurement) Amendment Determination</w:t>
            </w:r>
            <w:r w:rsidR="00097A86">
              <w:t> </w:t>
            </w:r>
            <w:r w:rsidRPr="00097A86">
              <w:t>2014 (No.</w:t>
            </w:r>
            <w:r w:rsidR="00097A86">
              <w:t> </w:t>
            </w:r>
            <w:r w:rsidRPr="00097A86">
              <w:t>1)</w:t>
            </w:r>
          </w:p>
        </w:tc>
        <w:tc>
          <w:tcPr>
            <w:tcW w:w="895" w:type="pct"/>
            <w:tcBorders>
              <w:top w:val="single" w:sz="4" w:space="0" w:color="auto"/>
              <w:bottom w:val="single" w:sz="4" w:space="0" w:color="auto"/>
            </w:tcBorders>
            <w:shd w:val="clear" w:color="auto" w:fill="auto"/>
          </w:tcPr>
          <w:p w14:paraId="6F3940EB" w14:textId="77777777" w:rsidR="00925F30" w:rsidRPr="00097A86" w:rsidRDefault="00925F30" w:rsidP="00BF19C7">
            <w:pPr>
              <w:pStyle w:val="ENoteTableText"/>
            </w:pPr>
            <w:r w:rsidRPr="00097A86">
              <w:t>26</w:t>
            </w:r>
            <w:r w:rsidR="00097A86">
              <w:t> </w:t>
            </w:r>
            <w:r w:rsidRPr="00097A86">
              <w:t>June 2014 (F2014L00828)</w:t>
            </w:r>
          </w:p>
        </w:tc>
        <w:tc>
          <w:tcPr>
            <w:tcW w:w="1050" w:type="pct"/>
            <w:tcBorders>
              <w:top w:val="single" w:sz="4" w:space="0" w:color="auto"/>
              <w:bottom w:val="single" w:sz="4" w:space="0" w:color="auto"/>
            </w:tcBorders>
            <w:shd w:val="clear" w:color="auto" w:fill="auto"/>
          </w:tcPr>
          <w:p w14:paraId="027C6DFD" w14:textId="77777777" w:rsidR="00925F30" w:rsidRPr="00097A86" w:rsidRDefault="00B026B0" w:rsidP="00A035AC">
            <w:pPr>
              <w:pStyle w:val="ENoteTableText"/>
            </w:pPr>
            <w:r w:rsidRPr="00097A86">
              <w:t>s 1–4: 27</w:t>
            </w:r>
            <w:r w:rsidR="00097A86">
              <w:t> </w:t>
            </w:r>
            <w:r w:rsidRPr="00097A86">
              <w:t>June 2014</w:t>
            </w:r>
            <w:r w:rsidR="00657E43" w:rsidRPr="00097A86">
              <w:t xml:space="preserve"> (s 2 item</w:t>
            </w:r>
            <w:r w:rsidR="00097A86">
              <w:t> </w:t>
            </w:r>
            <w:r w:rsidR="00657E43" w:rsidRPr="00097A86">
              <w:t>1)</w:t>
            </w:r>
            <w:r w:rsidRPr="00097A86">
              <w:br/>
            </w:r>
            <w:r w:rsidR="00925F30" w:rsidRPr="00097A86">
              <w:t>Sch 1: 1</w:t>
            </w:r>
            <w:r w:rsidR="00097A86">
              <w:t> </w:t>
            </w:r>
            <w:r w:rsidR="00925F30" w:rsidRPr="00097A86">
              <w:t>July 2014</w:t>
            </w:r>
            <w:r w:rsidR="00657E43" w:rsidRPr="00097A86">
              <w:t xml:space="preserve"> (s 2 item</w:t>
            </w:r>
            <w:r w:rsidR="00097A86">
              <w:t> </w:t>
            </w:r>
            <w:r w:rsidR="00657E43" w:rsidRPr="00097A86">
              <w:t>2)</w:t>
            </w:r>
            <w:r w:rsidR="00925F30" w:rsidRPr="00097A86">
              <w:br/>
              <w:t xml:space="preserve">Sch 2: </w:t>
            </w:r>
            <w:r w:rsidR="00657E43" w:rsidRPr="00097A86">
              <w:t>1</w:t>
            </w:r>
            <w:r w:rsidR="00097A86">
              <w:t> </w:t>
            </w:r>
            <w:r w:rsidR="00657E43" w:rsidRPr="00097A86">
              <w:t>July 2015 (s 2 item</w:t>
            </w:r>
            <w:r w:rsidR="00097A86">
              <w:t> </w:t>
            </w:r>
            <w:r w:rsidR="00657E43" w:rsidRPr="00097A86">
              <w:t>3)</w:t>
            </w:r>
          </w:p>
        </w:tc>
        <w:tc>
          <w:tcPr>
            <w:tcW w:w="1252" w:type="pct"/>
            <w:tcBorders>
              <w:top w:val="single" w:sz="4" w:space="0" w:color="auto"/>
              <w:bottom w:val="single" w:sz="4" w:space="0" w:color="auto"/>
            </w:tcBorders>
            <w:shd w:val="clear" w:color="auto" w:fill="auto"/>
          </w:tcPr>
          <w:p w14:paraId="7A9424B3" w14:textId="77777777" w:rsidR="00925F30" w:rsidRPr="00097A86" w:rsidRDefault="001A3443" w:rsidP="00BF19C7">
            <w:pPr>
              <w:pStyle w:val="ENoteTableText"/>
            </w:pPr>
            <w:r w:rsidRPr="00097A86">
              <w:t>—</w:t>
            </w:r>
          </w:p>
        </w:tc>
      </w:tr>
      <w:tr w:rsidR="008A3243" w:rsidRPr="00097A86" w14:paraId="3850A0FC" w14:textId="77777777" w:rsidTr="00C20CC2">
        <w:trPr>
          <w:cantSplit/>
        </w:trPr>
        <w:tc>
          <w:tcPr>
            <w:tcW w:w="1803" w:type="pct"/>
            <w:tcBorders>
              <w:top w:val="single" w:sz="4" w:space="0" w:color="auto"/>
              <w:bottom w:val="single" w:sz="4" w:space="0" w:color="auto"/>
            </w:tcBorders>
            <w:shd w:val="clear" w:color="auto" w:fill="auto"/>
          </w:tcPr>
          <w:p w14:paraId="5A4DD07C" w14:textId="77777777" w:rsidR="008A3243" w:rsidRPr="00097A86" w:rsidRDefault="008A3243">
            <w:pPr>
              <w:pStyle w:val="ENoteTableText"/>
              <w:rPr>
                <w:rFonts w:eastAsiaTheme="minorHAnsi" w:cstheme="minorBidi"/>
              </w:rPr>
            </w:pPr>
            <w:r w:rsidRPr="00097A86">
              <w:t>National Greenhouse and Energy Reporting (Measurement) Amendment Determination</w:t>
            </w:r>
            <w:r w:rsidR="00097A86">
              <w:t> </w:t>
            </w:r>
            <w:r w:rsidRPr="00097A86">
              <w:t>2015 (No.</w:t>
            </w:r>
            <w:r w:rsidR="00097A86">
              <w:t> </w:t>
            </w:r>
            <w:r w:rsidRPr="00097A86">
              <w:t>1)</w:t>
            </w:r>
          </w:p>
        </w:tc>
        <w:tc>
          <w:tcPr>
            <w:tcW w:w="895" w:type="pct"/>
            <w:tcBorders>
              <w:top w:val="single" w:sz="4" w:space="0" w:color="auto"/>
              <w:bottom w:val="single" w:sz="4" w:space="0" w:color="auto"/>
            </w:tcBorders>
            <w:shd w:val="clear" w:color="auto" w:fill="auto"/>
          </w:tcPr>
          <w:p w14:paraId="76440BD8" w14:textId="77777777" w:rsidR="008A3243" w:rsidRPr="00097A86" w:rsidRDefault="008A3243" w:rsidP="00BF19C7">
            <w:pPr>
              <w:pStyle w:val="ENoteTableText"/>
            </w:pPr>
            <w:r w:rsidRPr="00097A86">
              <w:t>27 Apr 2015 (F2015L00598)</w:t>
            </w:r>
          </w:p>
        </w:tc>
        <w:tc>
          <w:tcPr>
            <w:tcW w:w="1050" w:type="pct"/>
            <w:tcBorders>
              <w:top w:val="single" w:sz="4" w:space="0" w:color="auto"/>
              <w:bottom w:val="single" w:sz="4" w:space="0" w:color="auto"/>
            </w:tcBorders>
            <w:shd w:val="clear" w:color="auto" w:fill="auto"/>
          </w:tcPr>
          <w:p w14:paraId="2B8765C4" w14:textId="77777777" w:rsidR="008A3243" w:rsidRPr="00097A86" w:rsidRDefault="008A3243" w:rsidP="00A035AC">
            <w:pPr>
              <w:pStyle w:val="ENoteTableText"/>
            </w:pPr>
            <w:r w:rsidRPr="00097A86">
              <w:t>1</w:t>
            </w:r>
            <w:r w:rsidR="00097A86">
              <w:t> </w:t>
            </w:r>
            <w:r w:rsidRPr="00097A86">
              <w:t>July 2015 (s 2)</w:t>
            </w:r>
          </w:p>
        </w:tc>
        <w:tc>
          <w:tcPr>
            <w:tcW w:w="1252" w:type="pct"/>
            <w:tcBorders>
              <w:top w:val="single" w:sz="4" w:space="0" w:color="auto"/>
              <w:bottom w:val="single" w:sz="4" w:space="0" w:color="auto"/>
            </w:tcBorders>
            <w:shd w:val="clear" w:color="auto" w:fill="auto"/>
          </w:tcPr>
          <w:p w14:paraId="0457D345" w14:textId="77777777" w:rsidR="008A3243" w:rsidRPr="00097A86" w:rsidRDefault="008A3243" w:rsidP="00BF19C7">
            <w:pPr>
              <w:pStyle w:val="ENoteTableText"/>
            </w:pPr>
            <w:r w:rsidRPr="00097A86">
              <w:t>—</w:t>
            </w:r>
          </w:p>
        </w:tc>
      </w:tr>
      <w:tr w:rsidR="00961771" w:rsidRPr="00097A86" w14:paraId="7C482C6C" w14:textId="77777777" w:rsidTr="00C20CC2">
        <w:trPr>
          <w:cantSplit/>
        </w:trPr>
        <w:tc>
          <w:tcPr>
            <w:tcW w:w="1803" w:type="pct"/>
            <w:tcBorders>
              <w:top w:val="single" w:sz="4" w:space="0" w:color="auto"/>
              <w:bottom w:val="single" w:sz="4" w:space="0" w:color="auto"/>
            </w:tcBorders>
            <w:shd w:val="clear" w:color="auto" w:fill="auto"/>
          </w:tcPr>
          <w:p w14:paraId="083CAFC1" w14:textId="77777777" w:rsidR="00961771" w:rsidRPr="00097A86" w:rsidRDefault="00961771">
            <w:pPr>
              <w:pStyle w:val="ENoteTableText"/>
              <w:rPr>
                <w:rFonts w:eastAsiaTheme="minorHAnsi" w:cstheme="minorBidi"/>
              </w:rPr>
            </w:pPr>
            <w:r w:rsidRPr="00097A86">
              <w:t>National Greenhouse and Energy Reporting (Measurement) Amendment Determination</w:t>
            </w:r>
            <w:r w:rsidR="00097A86">
              <w:t> </w:t>
            </w:r>
            <w:r w:rsidRPr="00097A86">
              <w:t>2015 (No.</w:t>
            </w:r>
            <w:r w:rsidR="00097A86">
              <w:t> </w:t>
            </w:r>
            <w:r w:rsidRPr="00097A86">
              <w:t>2)</w:t>
            </w:r>
          </w:p>
        </w:tc>
        <w:tc>
          <w:tcPr>
            <w:tcW w:w="895" w:type="pct"/>
            <w:tcBorders>
              <w:top w:val="single" w:sz="4" w:space="0" w:color="auto"/>
              <w:bottom w:val="single" w:sz="4" w:space="0" w:color="auto"/>
            </w:tcBorders>
            <w:shd w:val="clear" w:color="auto" w:fill="auto"/>
          </w:tcPr>
          <w:p w14:paraId="1B2F282D" w14:textId="77777777" w:rsidR="00961771" w:rsidRPr="00097A86" w:rsidRDefault="00F72B7A" w:rsidP="00BF19C7">
            <w:pPr>
              <w:pStyle w:val="ENoteTableText"/>
            </w:pPr>
            <w:r w:rsidRPr="00097A86">
              <w:t>30</w:t>
            </w:r>
            <w:r w:rsidR="00097A86">
              <w:t> </w:t>
            </w:r>
            <w:r w:rsidRPr="00097A86">
              <w:t>June 2015</w:t>
            </w:r>
          </w:p>
          <w:p w14:paraId="7B250E80" w14:textId="77777777" w:rsidR="00F72B7A" w:rsidRPr="00097A86" w:rsidRDefault="00F72B7A" w:rsidP="00BF19C7">
            <w:pPr>
              <w:pStyle w:val="ENoteTableText"/>
            </w:pPr>
            <w:r w:rsidRPr="00097A86">
              <w:t>(F2015L01017)</w:t>
            </w:r>
          </w:p>
        </w:tc>
        <w:tc>
          <w:tcPr>
            <w:tcW w:w="1050" w:type="pct"/>
            <w:tcBorders>
              <w:top w:val="single" w:sz="4" w:space="0" w:color="auto"/>
              <w:bottom w:val="single" w:sz="4" w:space="0" w:color="auto"/>
            </w:tcBorders>
            <w:shd w:val="clear" w:color="auto" w:fill="auto"/>
          </w:tcPr>
          <w:p w14:paraId="57AA41A1" w14:textId="77777777" w:rsidR="00961771" w:rsidRPr="00097A86" w:rsidRDefault="00961771">
            <w:pPr>
              <w:pStyle w:val="ENoteTableText"/>
              <w:rPr>
                <w:rFonts w:eastAsiaTheme="minorHAnsi" w:cstheme="minorBidi"/>
              </w:rPr>
            </w:pPr>
            <w:r w:rsidRPr="00097A86">
              <w:t>Sch 1 and Sch 3 (item</w:t>
            </w:r>
            <w:r w:rsidR="00097A86">
              <w:t> </w:t>
            </w:r>
            <w:r w:rsidRPr="00097A86">
              <w:t>1): 1</w:t>
            </w:r>
            <w:r w:rsidR="00097A86">
              <w:t> </w:t>
            </w:r>
            <w:r w:rsidRPr="00097A86">
              <w:t>July 2015 (s 2(1) items</w:t>
            </w:r>
            <w:r w:rsidR="00097A86">
              <w:t> </w:t>
            </w:r>
            <w:r w:rsidRPr="00097A86">
              <w:t>2, 4)</w:t>
            </w:r>
            <w:r w:rsidRPr="00097A86">
              <w:br/>
              <w:t>Sch 2 and Sch 3 (item</w:t>
            </w:r>
            <w:r w:rsidR="00097A86">
              <w:t> </w:t>
            </w:r>
            <w:r w:rsidRPr="00097A86">
              <w:t>2); 1</w:t>
            </w:r>
            <w:r w:rsidR="00097A86">
              <w:t> </w:t>
            </w:r>
            <w:r w:rsidRPr="00097A86">
              <w:t>July 2016 (s 2(1) items</w:t>
            </w:r>
            <w:r w:rsidR="00097A86">
              <w:t> </w:t>
            </w:r>
            <w:r w:rsidRPr="00097A86">
              <w:t>3, 5)</w:t>
            </w:r>
          </w:p>
        </w:tc>
        <w:tc>
          <w:tcPr>
            <w:tcW w:w="1252" w:type="pct"/>
            <w:tcBorders>
              <w:top w:val="single" w:sz="4" w:space="0" w:color="auto"/>
              <w:bottom w:val="single" w:sz="4" w:space="0" w:color="auto"/>
            </w:tcBorders>
            <w:shd w:val="clear" w:color="auto" w:fill="auto"/>
          </w:tcPr>
          <w:p w14:paraId="39A4A484" w14:textId="77777777" w:rsidR="00961771" w:rsidRPr="00097A86" w:rsidRDefault="00961771" w:rsidP="00BF19C7">
            <w:pPr>
              <w:pStyle w:val="ENoteTableText"/>
            </w:pPr>
            <w:r w:rsidRPr="00097A86">
              <w:t>—</w:t>
            </w:r>
          </w:p>
        </w:tc>
      </w:tr>
      <w:tr w:rsidR="00DA0F93" w:rsidRPr="00097A86" w14:paraId="2657C4AD" w14:textId="77777777" w:rsidTr="008E6D30">
        <w:trPr>
          <w:cantSplit/>
        </w:trPr>
        <w:tc>
          <w:tcPr>
            <w:tcW w:w="1803" w:type="pct"/>
            <w:tcBorders>
              <w:top w:val="single" w:sz="4" w:space="0" w:color="auto"/>
              <w:bottom w:val="single" w:sz="4" w:space="0" w:color="auto"/>
            </w:tcBorders>
            <w:shd w:val="clear" w:color="auto" w:fill="auto"/>
          </w:tcPr>
          <w:p w14:paraId="77DD2E95" w14:textId="77777777" w:rsidR="00E34F92" w:rsidRPr="00097A86" w:rsidRDefault="00E34F92">
            <w:pPr>
              <w:pStyle w:val="ENoteTableText"/>
            </w:pPr>
            <w:r w:rsidRPr="00097A86">
              <w:t>National Greenhouse and Energy Reporting (Measurement) Amendment Determination</w:t>
            </w:r>
            <w:r w:rsidR="00097A86">
              <w:t> </w:t>
            </w:r>
            <w:r w:rsidRPr="00097A86">
              <w:t>2016 (No.</w:t>
            </w:r>
            <w:r w:rsidR="00097A86">
              <w:t> </w:t>
            </w:r>
            <w:r w:rsidRPr="00097A86">
              <w:t>1)</w:t>
            </w:r>
          </w:p>
        </w:tc>
        <w:tc>
          <w:tcPr>
            <w:tcW w:w="895" w:type="pct"/>
            <w:tcBorders>
              <w:top w:val="single" w:sz="4" w:space="0" w:color="auto"/>
              <w:bottom w:val="single" w:sz="4" w:space="0" w:color="auto"/>
            </w:tcBorders>
            <w:shd w:val="clear" w:color="auto" w:fill="auto"/>
          </w:tcPr>
          <w:p w14:paraId="7B50F400" w14:textId="77777777" w:rsidR="00E34F92" w:rsidRPr="00097A86" w:rsidRDefault="00E34F92" w:rsidP="00BF19C7">
            <w:pPr>
              <w:pStyle w:val="ENoteTableText"/>
            </w:pPr>
            <w:r w:rsidRPr="00097A86">
              <w:t>17</w:t>
            </w:r>
            <w:r w:rsidR="00097A86">
              <w:t> </w:t>
            </w:r>
            <w:r w:rsidRPr="00097A86">
              <w:t>May 2016 (F2016L00809)</w:t>
            </w:r>
          </w:p>
        </w:tc>
        <w:tc>
          <w:tcPr>
            <w:tcW w:w="1050" w:type="pct"/>
            <w:tcBorders>
              <w:top w:val="single" w:sz="4" w:space="0" w:color="auto"/>
              <w:bottom w:val="single" w:sz="4" w:space="0" w:color="auto"/>
            </w:tcBorders>
            <w:shd w:val="clear" w:color="auto" w:fill="auto"/>
          </w:tcPr>
          <w:p w14:paraId="6BAD972A" w14:textId="77777777" w:rsidR="00E34F92" w:rsidRPr="00097A86" w:rsidRDefault="00E34F92" w:rsidP="00D45A8D">
            <w:pPr>
              <w:pStyle w:val="ENoteTableText"/>
            </w:pPr>
            <w:r w:rsidRPr="00097A86">
              <w:t>1</w:t>
            </w:r>
            <w:r w:rsidR="00097A86">
              <w:t> </w:t>
            </w:r>
            <w:r w:rsidRPr="00097A86">
              <w:t>July 2016 (s 2(1) item</w:t>
            </w:r>
            <w:r w:rsidR="00097A86">
              <w:t> </w:t>
            </w:r>
            <w:r w:rsidRPr="00097A86">
              <w:t>1)</w:t>
            </w:r>
          </w:p>
        </w:tc>
        <w:tc>
          <w:tcPr>
            <w:tcW w:w="1252" w:type="pct"/>
            <w:tcBorders>
              <w:top w:val="single" w:sz="4" w:space="0" w:color="auto"/>
              <w:bottom w:val="single" w:sz="4" w:space="0" w:color="auto"/>
            </w:tcBorders>
            <w:shd w:val="clear" w:color="auto" w:fill="auto"/>
          </w:tcPr>
          <w:p w14:paraId="7D8D0723" w14:textId="77777777" w:rsidR="00E34F92" w:rsidRPr="00097A86" w:rsidRDefault="00E34F92" w:rsidP="00BF19C7">
            <w:pPr>
              <w:pStyle w:val="ENoteTableText"/>
            </w:pPr>
            <w:r w:rsidRPr="00097A86">
              <w:t>—</w:t>
            </w:r>
          </w:p>
        </w:tc>
      </w:tr>
      <w:tr w:rsidR="0083730F" w:rsidRPr="00097A86" w14:paraId="784F037A" w14:textId="77777777" w:rsidTr="002827A0">
        <w:trPr>
          <w:cantSplit/>
        </w:trPr>
        <w:tc>
          <w:tcPr>
            <w:tcW w:w="1803" w:type="pct"/>
            <w:tcBorders>
              <w:top w:val="single" w:sz="4" w:space="0" w:color="auto"/>
              <w:bottom w:val="single" w:sz="4" w:space="0" w:color="auto"/>
            </w:tcBorders>
            <w:shd w:val="clear" w:color="auto" w:fill="auto"/>
          </w:tcPr>
          <w:p w14:paraId="1020D72D" w14:textId="77777777" w:rsidR="0083730F" w:rsidRPr="00097A86" w:rsidRDefault="0083730F">
            <w:pPr>
              <w:pStyle w:val="ENoteTableText"/>
            </w:pPr>
            <w:r w:rsidRPr="00097A86">
              <w:t>National Greenhouse and Energy Reporting (Measurement) Amendment (Energy) Determination</w:t>
            </w:r>
            <w:r w:rsidR="00097A86">
              <w:t> </w:t>
            </w:r>
            <w:r w:rsidRPr="00097A86">
              <w:t>2017</w:t>
            </w:r>
          </w:p>
        </w:tc>
        <w:tc>
          <w:tcPr>
            <w:tcW w:w="895" w:type="pct"/>
            <w:tcBorders>
              <w:top w:val="single" w:sz="4" w:space="0" w:color="auto"/>
              <w:bottom w:val="single" w:sz="4" w:space="0" w:color="auto"/>
            </w:tcBorders>
            <w:shd w:val="clear" w:color="auto" w:fill="auto"/>
          </w:tcPr>
          <w:p w14:paraId="56EB80E9" w14:textId="77777777" w:rsidR="0083730F" w:rsidRPr="00097A86" w:rsidRDefault="0083730F" w:rsidP="00BF19C7">
            <w:pPr>
              <w:pStyle w:val="ENoteTableText"/>
            </w:pPr>
            <w:r w:rsidRPr="00097A86">
              <w:t>30</w:t>
            </w:r>
            <w:r w:rsidR="00097A86">
              <w:t> </w:t>
            </w:r>
            <w:r w:rsidRPr="00097A86">
              <w:t>June 2017 (F2017L00829)</w:t>
            </w:r>
          </w:p>
        </w:tc>
        <w:tc>
          <w:tcPr>
            <w:tcW w:w="1050" w:type="pct"/>
            <w:tcBorders>
              <w:top w:val="single" w:sz="4" w:space="0" w:color="auto"/>
              <w:bottom w:val="single" w:sz="4" w:space="0" w:color="auto"/>
            </w:tcBorders>
            <w:shd w:val="clear" w:color="auto" w:fill="auto"/>
          </w:tcPr>
          <w:p w14:paraId="23BD40E4" w14:textId="77777777" w:rsidR="0083730F" w:rsidRPr="00097A86" w:rsidRDefault="0083730F" w:rsidP="00D45A8D">
            <w:pPr>
              <w:pStyle w:val="ENoteTableText"/>
            </w:pPr>
            <w:r w:rsidRPr="00097A86">
              <w:t>1</w:t>
            </w:r>
            <w:r w:rsidR="00097A86">
              <w:t> </w:t>
            </w:r>
            <w:r w:rsidRPr="00097A86">
              <w:t>July 2017 (s 2(1) item</w:t>
            </w:r>
            <w:r w:rsidR="00097A86">
              <w:t> </w:t>
            </w:r>
            <w:r w:rsidRPr="00097A86">
              <w:t>1)</w:t>
            </w:r>
          </w:p>
        </w:tc>
        <w:tc>
          <w:tcPr>
            <w:tcW w:w="1252" w:type="pct"/>
            <w:tcBorders>
              <w:top w:val="single" w:sz="4" w:space="0" w:color="auto"/>
              <w:bottom w:val="single" w:sz="4" w:space="0" w:color="auto"/>
            </w:tcBorders>
            <w:shd w:val="clear" w:color="auto" w:fill="auto"/>
          </w:tcPr>
          <w:p w14:paraId="2E6F20EE" w14:textId="77777777" w:rsidR="0083730F" w:rsidRPr="00097A86" w:rsidRDefault="0083730F" w:rsidP="00BF19C7">
            <w:pPr>
              <w:pStyle w:val="ENoteTableText"/>
            </w:pPr>
            <w:r w:rsidRPr="00097A86">
              <w:t>—</w:t>
            </w:r>
          </w:p>
        </w:tc>
      </w:tr>
      <w:tr w:rsidR="005B4E54" w:rsidRPr="00097A86" w14:paraId="37A8A345" w14:textId="77777777" w:rsidTr="002827A0">
        <w:trPr>
          <w:cantSplit/>
        </w:trPr>
        <w:tc>
          <w:tcPr>
            <w:tcW w:w="1803" w:type="pct"/>
            <w:tcBorders>
              <w:top w:val="single" w:sz="4" w:space="0" w:color="auto"/>
              <w:bottom w:val="single" w:sz="4" w:space="0" w:color="auto"/>
            </w:tcBorders>
            <w:shd w:val="clear" w:color="auto" w:fill="auto"/>
          </w:tcPr>
          <w:p w14:paraId="0A45684B" w14:textId="77777777" w:rsidR="005B4E54" w:rsidRPr="00097A86" w:rsidRDefault="005B4E54">
            <w:pPr>
              <w:pStyle w:val="ENoteTableText"/>
            </w:pPr>
            <w:r w:rsidRPr="00097A86">
              <w:t>National Greenhouse and Energy Reporting (Measurement) Amendment (</w:t>
            </w:r>
            <w:r>
              <w:t>2018 Update</w:t>
            </w:r>
            <w:r w:rsidRPr="00097A86">
              <w:t>) Determination</w:t>
            </w:r>
            <w:r>
              <w:t> 2018</w:t>
            </w:r>
          </w:p>
        </w:tc>
        <w:tc>
          <w:tcPr>
            <w:tcW w:w="895" w:type="pct"/>
            <w:tcBorders>
              <w:top w:val="single" w:sz="4" w:space="0" w:color="auto"/>
              <w:bottom w:val="single" w:sz="4" w:space="0" w:color="auto"/>
            </w:tcBorders>
            <w:shd w:val="clear" w:color="auto" w:fill="auto"/>
          </w:tcPr>
          <w:p w14:paraId="23BEBA39" w14:textId="77777777" w:rsidR="005B4E54" w:rsidRPr="00097A86" w:rsidRDefault="005B4E54" w:rsidP="00BF19C7">
            <w:pPr>
              <w:pStyle w:val="ENoteTableText"/>
            </w:pPr>
            <w:r>
              <w:t>28 June 2018</w:t>
            </w:r>
            <w:r w:rsidRPr="00097A86">
              <w:t xml:space="preserve"> (F201</w:t>
            </w:r>
            <w:r>
              <w:t>8</w:t>
            </w:r>
            <w:r w:rsidRPr="00097A86">
              <w:t>L00</w:t>
            </w:r>
            <w:r>
              <w:t>923</w:t>
            </w:r>
            <w:r w:rsidRPr="00097A86">
              <w:t>)</w:t>
            </w:r>
          </w:p>
        </w:tc>
        <w:tc>
          <w:tcPr>
            <w:tcW w:w="1050" w:type="pct"/>
            <w:tcBorders>
              <w:top w:val="single" w:sz="4" w:space="0" w:color="auto"/>
              <w:bottom w:val="single" w:sz="4" w:space="0" w:color="auto"/>
            </w:tcBorders>
            <w:shd w:val="clear" w:color="auto" w:fill="auto"/>
          </w:tcPr>
          <w:p w14:paraId="66FAE04A" w14:textId="77777777" w:rsidR="005B4E54" w:rsidRPr="00097A86" w:rsidRDefault="005B4E54" w:rsidP="00D45A8D">
            <w:pPr>
              <w:pStyle w:val="ENoteTableText"/>
            </w:pPr>
            <w:r w:rsidRPr="00097A86">
              <w:t>1</w:t>
            </w:r>
            <w:r>
              <w:t> </w:t>
            </w:r>
            <w:r w:rsidRPr="00097A86">
              <w:t>July 201</w:t>
            </w:r>
            <w:r>
              <w:t>8</w:t>
            </w:r>
            <w:r w:rsidRPr="00097A86">
              <w:t xml:space="preserve"> (s 2(1) item</w:t>
            </w:r>
            <w:r>
              <w:t> </w:t>
            </w:r>
            <w:r w:rsidRPr="00097A86">
              <w:t>1)</w:t>
            </w:r>
          </w:p>
        </w:tc>
        <w:tc>
          <w:tcPr>
            <w:tcW w:w="1252" w:type="pct"/>
            <w:tcBorders>
              <w:top w:val="single" w:sz="4" w:space="0" w:color="auto"/>
              <w:bottom w:val="single" w:sz="4" w:space="0" w:color="auto"/>
            </w:tcBorders>
            <w:shd w:val="clear" w:color="auto" w:fill="auto"/>
          </w:tcPr>
          <w:p w14:paraId="417B70F1" w14:textId="77777777" w:rsidR="005B4E54" w:rsidRPr="00097A86" w:rsidRDefault="005B4E54" w:rsidP="00BF19C7">
            <w:pPr>
              <w:pStyle w:val="ENoteTableText"/>
            </w:pPr>
            <w:r w:rsidRPr="00097A86">
              <w:t>—</w:t>
            </w:r>
          </w:p>
        </w:tc>
      </w:tr>
      <w:tr w:rsidR="00FB7093" w:rsidRPr="00097A86" w14:paraId="5B6BFCBA" w14:textId="77777777" w:rsidTr="00C20CC2">
        <w:trPr>
          <w:cantSplit/>
        </w:trPr>
        <w:tc>
          <w:tcPr>
            <w:tcW w:w="1803" w:type="pct"/>
            <w:tcBorders>
              <w:top w:val="single" w:sz="4" w:space="0" w:color="auto"/>
              <w:bottom w:val="single" w:sz="12" w:space="0" w:color="auto"/>
            </w:tcBorders>
            <w:shd w:val="clear" w:color="auto" w:fill="auto"/>
          </w:tcPr>
          <w:p w14:paraId="5B8C601D" w14:textId="77777777" w:rsidR="00FB7093" w:rsidRPr="00097A86" w:rsidRDefault="00FB7093" w:rsidP="001953CB">
            <w:pPr>
              <w:pStyle w:val="ENoteTableText"/>
              <w:pageBreakBefore/>
            </w:pPr>
            <w:r w:rsidRPr="00097A86">
              <w:lastRenderedPageBreak/>
              <w:t>National Greenhouse and Energy Reporting (Measurement) Amendment (</w:t>
            </w:r>
            <w:r w:rsidR="00514268">
              <w:t>2019</w:t>
            </w:r>
            <w:r>
              <w:t xml:space="preserve"> Update</w:t>
            </w:r>
            <w:r w:rsidRPr="00097A86">
              <w:t>) Determination</w:t>
            </w:r>
            <w:r w:rsidR="00514268">
              <w:t> 2019</w:t>
            </w:r>
          </w:p>
        </w:tc>
        <w:tc>
          <w:tcPr>
            <w:tcW w:w="895" w:type="pct"/>
            <w:tcBorders>
              <w:top w:val="single" w:sz="4" w:space="0" w:color="auto"/>
              <w:bottom w:val="single" w:sz="12" w:space="0" w:color="auto"/>
            </w:tcBorders>
            <w:shd w:val="clear" w:color="auto" w:fill="auto"/>
          </w:tcPr>
          <w:p w14:paraId="33500E67" w14:textId="77777777" w:rsidR="00FB7093" w:rsidRPr="00097A86" w:rsidRDefault="00514268" w:rsidP="001953CB">
            <w:pPr>
              <w:pStyle w:val="ENoteTableText"/>
              <w:pageBreakBefore/>
            </w:pPr>
            <w:r>
              <w:t>28 June 2019</w:t>
            </w:r>
            <w:r w:rsidR="00FB7093" w:rsidRPr="00097A86">
              <w:t xml:space="preserve"> (</w:t>
            </w:r>
            <w:r w:rsidRPr="00514268">
              <w:t>F2019L00938</w:t>
            </w:r>
            <w:r w:rsidR="00FB7093" w:rsidRPr="00097A86">
              <w:t>)</w:t>
            </w:r>
          </w:p>
        </w:tc>
        <w:tc>
          <w:tcPr>
            <w:tcW w:w="1050" w:type="pct"/>
            <w:tcBorders>
              <w:top w:val="single" w:sz="4" w:space="0" w:color="auto"/>
              <w:bottom w:val="single" w:sz="12" w:space="0" w:color="auto"/>
            </w:tcBorders>
            <w:shd w:val="clear" w:color="auto" w:fill="auto"/>
          </w:tcPr>
          <w:p w14:paraId="21456567" w14:textId="77777777" w:rsidR="00FB7093" w:rsidRPr="00097A86" w:rsidRDefault="00FB7093" w:rsidP="001953CB">
            <w:pPr>
              <w:pStyle w:val="ENoteTableText"/>
              <w:pageBreakBefore/>
            </w:pPr>
            <w:r w:rsidRPr="00097A86">
              <w:t>1</w:t>
            </w:r>
            <w:r>
              <w:t> </w:t>
            </w:r>
            <w:r w:rsidRPr="00097A86">
              <w:t>July 201</w:t>
            </w:r>
            <w:r w:rsidR="00514268">
              <w:t>9</w:t>
            </w:r>
            <w:r w:rsidRPr="00097A86">
              <w:t xml:space="preserve"> (s 2(1) item</w:t>
            </w:r>
            <w:r>
              <w:t> </w:t>
            </w:r>
            <w:r w:rsidRPr="00097A86">
              <w:t>1)</w:t>
            </w:r>
          </w:p>
        </w:tc>
        <w:tc>
          <w:tcPr>
            <w:tcW w:w="1252" w:type="pct"/>
            <w:tcBorders>
              <w:top w:val="single" w:sz="4" w:space="0" w:color="auto"/>
              <w:bottom w:val="single" w:sz="12" w:space="0" w:color="auto"/>
            </w:tcBorders>
            <w:shd w:val="clear" w:color="auto" w:fill="auto"/>
          </w:tcPr>
          <w:p w14:paraId="7E4FEE0A" w14:textId="77777777" w:rsidR="00FB7093" w:rsidRPr="00097A86" w:rsidRDefault="00FB7093" w:rsidP="001953CB">
            <w:pPr>
              <w:pStyle w:val="ENoteTableText"/>
              <w:pageBreakBefore/>
            </w:pPr>
            <w:r w:rsidRPr="00097A86">
              <w:t>—</w:t>
            </w:r>
          </w:p>
        </w:tc>
      </w:tr>
    </w:tbl>
    <w:p w14:paraId="58CB5897" w14:textId="77777777" w:rsidR="00D22D3F" w:rsidRPr="00097A86" w:rsidRDefault="00D22D3F" w:rsidP="00D22D3F"/>
    <w:p w14:paraId="0C127DB6" w14:textId="77777777" w:rsidR="00423A43" w:rsidRPr="00097A86" w:rsidRDefault="00423A43" w:rsidP="00A15D57">
      <w:pPr>
        <w:pStyle w:val="ENotesHeading2"/>
        <w:pageBreakBefore/>
        <w:outlineLvl w:val="9"/>
      </w:pPr>
      <w:bookmarkStart w:id="699" w:name="_Toc13234121"/>
      <w:r w:rsidRPr="00097A86">
        <w:lastRenderedPageBreak/>
        <w:t>Endnote 4—Amendment history</w:t>
      </w:r>
      <w:bookmarkEnd w:id="699"/>
    </w:p>
    <w:p w14:paraId="3C6D7553" w14:textId="77777777" w:rsidR="00D22D3F" w:rsidRPr="00097A86" w:rsidRDefault="00D22D3F" w:rsidP="00D4338A">
      <w:pPr>
        <w:pStyle w:val="Tabletext"/>
      </w:pPr>
    </w:p>
    <w:tbl>
      <w:tblPr>
        <w:tblW w:w="5000" w:type="pct"/>
        <w:tblLook w:val="0000" w:firstRow="0" w:lastRow="0" w:firstColumn="0" w:lastColumn="0" w:noHBand="0" w:noVBand="0"/>
      </w:tblPr>
      <w:tblGrid>
        <w:gridCol w:w="70"/>
        <w:gridCol w:w="2241"/>
        <w:gridCol w:w="73"/>
        <w:gridCol w:w="5867"/>
        <w:gridCol w:w="62"/>
      </w:tblGrid>
      <w:tr w:rsidR="0048409F" w:rsidRPr="00097A86" w14:paraId="15253B43" w14:textId="77777777" w:rsidTr="00C20CC2">
        <w:trPr>
          <w:gridBefore w:val="1"/>
          <w:wBefore w:w="42" w:type="pct"/>
          <w:cantSplit/>
          <w:tblHeader/>
        </w:trPr>
        <w:tc>
          <w:tcPr>
            <w:tcW w:w="1392" w:type="pct"/>
            <w:gridSpan w:val="2"/>
            <w:tcBorders>
              <w:top w:val="single" w:sz="12" w:space="0" w:color="auto"/>
              <w:bottom w:val="single" w:sz="12" w:space="0" w:color="auto"/>
            </w:tcBorders>
            <w:shd w:val="clear" w:color="auto" w:fill="auto"/>
          </w:tcPr>
          <w:p w14:paraId="4E3AD28F" w14:textId="77777777" w:rsidR="00D22D3F" w:rsidRPr="00097A86" w:rsidRDefault="00D22D3F" w:rsidP="00D4338A">
            <w:pPr>
              <w:pStyle w:val="ENoteTableHeading"/>
            </w:pPr>
            <w:r w:rsidRPr="00097A86">
              <w:t>Provision affected</w:t>
            </w:r>
          </w:p>
        </w:tc>
        <w:tc>
          <w:tcPr>
            <w:tcW w:w="3566" w:type="pct"/>
            <w:gridSpan w:val="2"/>
            <w:tcBorders>
              <w:top w:val="single" w:sz="12" w:space="0" w:color="auto"/>
              <w:bottom w:val="single" w:sz="12" w:space="0" w:color="auto"/>
            </w:tcBorders>
            <w:shd w:val="clear" w:color="auto" w:fill="auto"/>
          </w:tcPr>
          <w:p w14:paraId="41AC96E2" w14:textId="77777777" w:rsidR="00D22D3F" w:rsidRPr="00097A86" w:rsidRDefault="00D22D3F" w:rsidP="00D4338A">
            <w:pPr>
              <w:pStyle w:val="ENoteTableHeading"/>
            </w:pPr>
            <w:r w:rsidRPr="00097A86">
              <w:t>How affected</w:t>
            </w:r>
          </w:p>
        </w:tc>
      </w:tr>
      <w:tr w:rsidR="0048409F" w:rsidRPr="00097A86" w14:paraId="7DD8CFB3" w14:textId="77777777" w:rsidTr="00C20CC2">
        <w:tblPrEx>
          <w:jc w:val="center"/>
        </w:tblPrEx>
        <w:trPr>
          <w:gridAfter w:val="1"/>
          <w:wAfter w:w="37" w:type="pct"/>
          <w:jc w:val="center"/>
        </w:trPr>
        <w:tc>
          <w:tcPr>
            <w:tcW w:w="1390" w:type="pct"/>
            <w:gridSpan w:val="2"/>
          </w:tcPr>
          <w:p w14:paraId="505F470A" w14:textId="77777777" w:rsidR="00D22D3F" w:rsidRPr="00097A86" w:rsidRDefault="00D22D3F" w:rsidP="00D22D3F">
            <w:pPr>
              <w:pStyle w:val="ENoteTableText"/>
            </w:pPr>
            <w:r w:rsidRPr="00097A86">
              <w:rPr>
                <w:b/>
              </w:rPr>
              <w:t>Chapter</w:t>
            </w:r>
            <w:r w:rsidR="00097A86">
              <w:rPr>
                <w:b/>
              </w:rPr>
              <w:t> </w:t>
            </w:r>
            <w:r w:rsidRPr="00097A86">
              <w:rPr>
                <w:b/>
              </w:rPr>
              <w:t>1</w:t>
            </w:r>
          </w:p>
        </w:tc>
        <w:tc>
          <w:tcPr>
            <w:tcW w:w="3573" w:type="pct"/>
            <w:gridSpan w:val="2"/>
          </w:tcPr>
          <w:p w14:paraId="72353255" w14:textId="77777777" w:rsidR="00D22D3F" w:rsidRPr="00097A86" w:rsidRDefault="00D22D3F" w:rsidP="00D22D3F">
            <w:pPr>
              <w:pStyle w:val="ENoteTableText"/>
            </w:pPr>
          </w:p>
        </w:tc>
      </w:tr>
      <w:tr w:rsidR="0048409F" w:rsidRPr="00097A86" w14:paraId="1B88B183" w14:textId="77777777" w:rsidTr="00C20CC2">
        <w:tblPrEx>
          <w:jc w:val="center"/>
        </w:tblPrEx>
        <w:trPr>
          <w:gridAfter w:val="1"/>
          <w:wAfter w:w="37" w:type="pct"/>
          <w:jc w:val="center"/>
        </w:trPr>
        <w:tc>
          <w:tcPr>
            <w:tcW w:w="1390" w:type="pct"/>
            <w:gridSpan w:val="2"/>
          </w:tcPr>
          <w:p w14:paraId="01A50ABB" w14:textId="77777777" w:rsidR="00D22D3F" w:rsidRPr="00097A86" w:rsidRDefault="00D22D3F" w:rsidP="00D22D3F">
            <w:pPr>
              <w:pStyle w:val="ENoteTableText"/>
            </w:pPr>
            <w:r w:rsidRPr="00097A86">
              <w:rPr>
                <w:b/>
              </w:rPr>
              <w:t>Part</w:t>
            </w:r>
            <w:r w:rsidR="00097A86">
              <w:rPr>
                <w:b/>
              </w:rPr>
              <w:t> </w:t>
            </w:r>
            <w:r w:rsidRPr="00097A86">
              <w:rPr>
                <w:b/>
              </w:rPr>
              <w:t>1.1</w:t>
            </w:r>
          </w:p>
        </w:tc>
        <w:tc>
          <w:tcPr>
            <w:tcW w:w="3573" w:type="pct"/>
            <w:gridSpan w:val="2"/>
          </w:tcPr>
          <w:p w14:paraId="33994F6C" w14:textId="77777777" w:rsidR="00D22D3F" w:rsidRPr="00097A86" w:rsidRDefault="00D22D3F" w:rsidP="00D22D3F">
            <w:pPr>
              <w:pStyle w:val="ENoteTableText"/>
            </w:pPr>
          </w:p>
        </w:tc>
      </w:tr>
      <w:tr w:rsidR="00C20CC2" w:rsidRPr="00097A86" w14:paraId="68A1118F" w14:textId="77777777" w:rsidTr="00C20CC2">
        <w:tblPrEx>
          <w:jc w:val="center"/>
        </w:tblPrEx>
        <w:trPr>
          <w:gridAfter w:val="1"/>
          <w:wAfter w:w="37" w:type="pct"/>
          <w:jc w:val="center"/>
        </w:trPr>
        <w:tc>
          <w:tcPr>
            <w:tcW w:w="1390" w:type="pct"/>
            <w:gridSpan w:val="2"/>
          </w:tcPr>
          <w:p w14:paraId="660EB44F" w14:textId="77777777" w:rsidR="00C20CC2" w:rsidRPr="00097A86" w:rsidRDefault="00C20CC2" w:rsidP="008E6D30">
            <w:pPr>
              <w:pStyle w:val="ENoteTableText"/>
              <w:tabs>
                <w:tab w:val="center" w:leader="dot" w:pos="2268"/>
              </w:tabs>
            </w:pPr>
            <w:r w:rsidRPr="00097A86">
              <w:t>s 1.2</w:t>
            </w:r>
            <w:r w:rsidRPr="00097A86">
              <w:tab/>
            </w:r>
          </w:p>
        </w:tc>
        <w:tc>
          <w:tcPr>
            <w:tcW w:w="3573" w:type="pct"/>
            <w:gridSpan w:val="2"/>
          </w:tcPr>
          <w:p w14:paraId="5D28285B" w14:textId="77777777" w:rsidR="00C20CC2" w:rsidRPr="00097A86" w:rsidRDefault="00C20CC2" w:rsidP="00D22D3F">
            <w:pPr>
              <w:pStyle w:val="ENoteTableText"/>
            </w:pPr>
            <w:r w:rsidRPr="00097A86">
              <w:t>rep LA s 48D</w:t>
            </w:r>
          </w:p>
        </w:tc>
      </w:tr>
      <w:tr w:rsidR="0048409F" w:rsidRPr="00097A86" w14:paraId="2C18F65D" w14:textId="77777777" w:rsidTr="00C20CC2">
        <w:tblPrEx>
          <w:jc w:val="center"/>
        </w:tblPrEx>
        <w:trPr>
          <w:gridAfter w:val="1"/>
          <w:wAfter w:w="37" w:type="pct"/>
          <w:jc w:val="center"/>
        </w:trPr>
        <w:tc>
          <w:tcPr>
            <w:tcW w:w="1390" w:type="pct"/>
            <w:gridSpan w:val="2"/>
          </w:tcPr>
          <w:p w14:paraId="062B8760" w14:textId="77777777" w:rsidR="00D22D3F" w:rsidRPr="00097A86" w:rsidRDefault="00D22D3F" w:rsidP="00D22D3F">
            <w:pPr>
              <w:pStyle w:val="ENoteTableText"/>
            </w:pPr>
            <w:r w:rsidRPr="00097A86">
              <w:rPr>
                <w:b/>
              </w:rPr>
              <w:t>Division</w:t>
            </w:r>
            <w:r w:rsidR="00097A86">
              <w:rPr>
                <w:b/>
              </w:rPr>
              <w:t> </w:t>
            </w:r>
            <w:r w:rsidRPr="00097A86">
              <w:rPr>
                <w:b/>
              </w:rPr>
              <w:t>1.1.1</w:t>
            </w:r>
          </w:p>
        </w:tc>
        <w:tc>
          <w:tcPr>
            <w:tcW w:w="3573" w:type="pct"/>
            <w:gridSpan w:val="2"/>
          </w:tcPr>
          <w:p w14:paraId="4EF51AFB" w14:textId="77777777" w:rsidR="00D22D3F" w:rsidRPr="00097A86" w:rsidRDefault="00D22D3F" w:rsidP="00D22D3F">
            <w:pPr>
              <w:pStyle w:val="ENoteTableText"/>
            </w:pPr>
          </w:p>
        </w:tc>
      </w:tr>
      <w:tr w:rsidR="0048409F" w:rsidRPr="00097A86" w14:paraId="4BB83CCF" w14:textId="77777777" w:rsidTr="00C20CC2">
        <w:tblPrEx>
          <w:jc w:val="center"/>
        </w:tblPrEx>
        <w:trPr>
          <w:gridAfter w:val="1"/>
          <w:wAfter w:w="37" w:type="pct"/>
          <w:jc w:val="center"/>
        </w:trPr>
        <w:tc>
          <w:tcPr>
            <w:tcW w:w="1390" w:type="pct"/>
            <w:gridSpan w:val="2"/>
          </w:tcPr>
          <w:p w14:paraId="54B005D5" w14:textId="77777777" w:rsidR="00D22D3F" w:rsidRPr="00097A86" w:rsidRDefault="007E63CD" w:rsidP="00BE20A2">
            <w:pPr>
              <w:pStyle w:val="ENoteTableText"/>
              <w:tabs>
                <w:tab w:val="center" w:leader="dot" w:pos="2268"/>
              </w:tabs>
            </w:pPr>
            <w:r w:rsidRPr="00097A86">
              <w:t>s</w:t>
            </w:r>
            <w:r w:rsidR="00D22D3F" w:rsidRPr="00097A86">
              <w:t xml:space="preserve"> 1.3</w:t>
            </w:r>
            <w:r w:rsidR="00D22D3F" w:rsidRPr="00097A86">
              <w:tab/>
            </w:r>
          </w:p>
        </w:tc>
        <w:tc>
          <w:tcPr>
            <w:tcW w:w="3573" w:type="pct"/>
            <w:gridSpan w:val="2"/>
          </w:tcPr>
          <w:p w14:paraId="7FDC911F" w14:textId="77777777" w:rsidR="00D22D3F" w:rsidRPr="00097A86" w:rsidRDefault="00B750D1">
            <w:pPr>
              <w:pStyle w:val="ENoteTableText"/>
              <w:rPr>
                <w:rFonts w:eastAsiaTheme="minorHAnsi" w:cstheme="minorBidi"/>
              </w:rPr>
            </w:pPr>
            <w:r w:rsidRPr="00097A86">
              <w:t>am</w:t>
            </w:r>
            <w:r w:rsidR="00D22D3F" w:rsidRPr="00097A86">
              <w:t xml:space="preserve"> 2009 No.</w:t>
            </w:r>
            <w:r w:rsidR="00097A86">
              <w:t> </w:t>
            </w:r>
            <w:r w:rsidR="00D22D3F" w:rsidRPr="00097A86">
              <w:t>1; 2012 No.</w:t>
            </w:r>
            <w:r w:rsidR="00097A86">
              <w:t> </w:t>
            </w:r>
            <w:r w:rsidR="00D22D3F" w:rsidRPr="00097A86">
              <w:t>1</w:t>
            </w:r>
            <w:r w:rsidR="00682FA9" w:rsidRPr="00097A86">
              <w:t>; 2013 No.</w:t>
            </w:r>
            <w:r w:rsidR="00097A86">
              <w:t> </w:t>
            </w:r>
            <w:r w:rsidR="00682FA9" w:rsidRPr="00097A86">
              <w:t>1</w:t>
            </w:r>
            <w:r w:rsidR="00367165" w:rsidRPr="00097A86">
              <w:t>; 2015 No 2</w:t>
            </w:r>
            <w:r w:rsidR="00E328D2" w:rsidRPr="00097A86">
              <w:t>; 2016 No 1</w:t>
            </w:r>
            <w:r w:rsidR="00FB7093">
              <w:t>; F2018L00923</w:t>
            </w:r>
          </w:p>
        </w:tc>
      </w:tr>
      <w:tr w:rsidR="0048409F" w:rsidRPr="00097A86" w14:paraId="00AF1943" w14:textId="77777777" w:rsidTr="00C20CC2">
        <w:tblPrEx>
          <w:jc w:val="center"/>
        </w:tblPrEx>
        <w:trPr>
          <w:gridAfter w:val="1"/>
          <w:wAfter w:w="37" w:type="pct"/>
          <w:jc w:val="center"/>
        </w:trPr>
        <w:tc>
          <w:tcPr>
            <w:tcW w:w="1390" w:type="pct"/>
            <w:gridSpan w:val="2"/>
          </w:tcPr>
          <w:p w14:paraId="7601B66D" w14:textId="77777777" w:rsidR="00D22D3F" w:rsidRPr="00097A86" w:rsidRDefault="007E63CD" w:rsidP="00BE20A2">
            <w:pPr>
              <w:pStyle w:val="ENoteTableText"/>
              <w:tabs>
                <w:tab w:val="center" w:leader="dot" w:pos="2268"/>
              </w:tabs>
            </w:pPr>
            <w:r w:rsidRPr="00097A86">
              <w:t>s</w:t>
            </w:r>
            <w:r w:rsidR="00D22D3F" w:rsidRPr="00097A86">
              <w:t xml:space="preserve"> 1.4</w:t>
            </w:r>
            <w:r w:rsidR="00D22D3F" w:rsidRPr="00097A86">
              <w:tab/>
            </w:r>
          </w:p>
        </w:tc>
        <w:tc>
          <w:tcPr>
            <w:tcW w:w="3573" w:type="pct"/>
            <w:gridSpan w:val="2"/>
          </w:tcPr>
          <w:p w14:paraId="3AC05CA6" w14:textId="77777777" w:rsidR="00D22D3F" w:rsidRPr="00097A86" w:rsidRDefault="00B750D1" w:rsidP="00D22D3F">
            <w:pPr>
              <w:pStyle w:val="ENoteTableText"/>
            </w:pPr>
            <w:r w:rsidRPr="00097A86">
              <w:t>am</w:t>
            </w:r>
            <w:r w:rsidR="00D22D3F" w:rsidRPr="00097A86">
              <w:t xml:space="preserve"> 2012 No.</w:t>
            </w:r>
            <w:r w:rsidR="00097A86">
              <w:t> </w:t>
            </w:r>
            <w:r w:rsidR="00D22D3F" w:rsidRPr="00097A86">
              <w:t>1</w:t>
            </w:r>
            <w:r w:rsidR="00682FA9" w:rsidRPr="00097A86">
              <w:t>; 2013 No.</w:t>
            </w:r>
            <w:r w:rsidR="00097A86">
              <w:t> </w:t>
            </w:r>
            <w:r w:rsidR="00682FA9" w:rsidRPr="00097A86">
              <w:t>1</w:t>
            </w:r>
            <w:r w:rsidR="00465C0B" w:rsidRPr="00097A86">
              <w:t>; 2015 No 1</w:t>
            </w:r>
          </w:p>
        </w:tc>
      </w:tr>
      <w:tr w:rsidR="0048409F" w:rsidRPr="00097A86" w14:paraId="249F0AEA" w14:textId="77777777" w:rsidTr="00C20CC2">
        <w:tblPrEx>
          <w:jc w:val="center"/>
        </w:tblPrEx>
        <w:trPr>
          <w:gridAfter w:val="1"/>
          <w:wAfter w:w="37" w:type="pct"/>
          <w:jc w:val="center"/>
        </w:trPr>
        <w:tc>
          <w:tcPr>
            <w:tcW w:w="1390" w:type="pct"/>
            <w:gridSpan w:val="2"/>
          </w:tcPr>
          <w:p w14:paraId="5868C15B" w14:textId="77777777" w:rsidR="00D22D3F" w:rsidRPr="00097A86" w:rsidRDefault="00D22D3F" w:rsidP="00D22D3F">
            <w:pPr>
              <w:pStyle w:val="ENoteTableText"/>
            </w:pPr>
            <w:r w:rsidRPr="00097A86">
              <w:rPr>
                <w:b/>
              </w:rPr>
              <w:t>Division</w:t>
            </w:r>
            <w:r w:rsidR="00097A86">
              <w:rPr>
                <w:b/>
              </w:rPr>
              <w:t> </w:t>
            </w:r>
            <w:r w:rsidRPr="00097A86">
              <w:rPr>
                <w:b/>
              </w:rPr>
              <w:t>1.1.2</w:t>
            </w:r>
          </w:p>
        </w:tc>
        <w:tc>
          <w:tcPr>
            <w:tcW w:w="3573" w:type="pct"/>
            <w:gridSpan w:val="2"/>
          </w:tcPr>
          <w:p w14:paraId="45CEABBB" w14:textId="77777777" w:rsidR="00D22D3F" w:rsidRPr="00097A86" w:rsidRDefault="00D22D3F" w:rsidP="00D22D3F">
            <w:pPr>
              <w:pStyle w:val="ENoteTableText"/>
            </w:pPr>
          </w:p>
        </w:tc>
      </w:tr>
      <w:tr w:rsidR="0048409F" w:rsidRPr="00097A86" w14:paraId="1FCFA651" w14:textId="77777777" w:rsidTr="00C20CC2">
        <w:tblPrEx>
          <w:jc w:val="center"/>
        </w:tblPrEx>
        <w:trPr>
          <w:gridAfter w:val="1"/>
          <w:wAfter w:w="37" w:type="pct"/>
          <w:jc w:val="center"/>
        </w:trPr>
        <w:tc>
          <w:tcPr>
            <w:tcW w:w="1390" w:type="pct"/>
            <w:gridSpan w:val="2"/>
          </w:tcPr>
          <w:p w14:paraId="04726EA8" w14:textId="77777777" w:rsidR="00D22D3F" w:rsidRPr="00097A86" w:rsidRDefault="007E63CD" w:rsidP="00BE20A2">
            <w:pPr>
              <w:pStyle w:val="ENoteTableText"/>
              <w:tabs>
                <w:tab w:val="center" w:leader="dot" w:pos="2268"/>
              </w:tabs>
            </w:pPr>
            <w:r w:rsidRPr="00097A86">
              <w:t>s</w:t>
            </w:r>
            <w:r w:rsidR="00D22D3F" w:rsidRPr="00097A86">
              <w:t xml:space="preserve"> 1.8</w:t>
            </w:r>
            <w:r w:rsidR="00D22D3F" w:rsidRPr="00097A86">
              <w:tab/>
            </w:r>
          </w:p>
        </w:tc>
        <w:tc>
          <w:tcPr>
            <w:tcW w:w="3573" w:type="pct"/>
            <w:gridSpan w:val="2"/>
          </w:tcPr>
          <w:p w14:paraId="350BC6A0" w14:textId="77777777" w:rsidR="00D22D3F" w:rsidRPr="00097A86" w:rsidRDefault="00B750D1" w:rsidP="00CD4D3F">
            <w:pPr>
              <w:pStyle w:val="ENoteTableText"/>
            </w:pPr>
            <w:r w:rsidRPr="00097A86">
              <w:t>am</w:t>
            </w:r>
            <w:r w:rsidR="00D22D3F" w:rsidRPr="00097A86">
              <w:t xml:space="preserve"> 2009 No.</w:t>
            </w:r>
            <w:r w:rsidR="00097A86">
              <w:t> </w:t>
            </w:r>
            <w:r w:rsidR="00D22D3F" w:rsidRPr="00097A86">
              <w:t>1; 2010 No.</w:t>
            </w:r>
            <w:r w:rsidR="00097A86">
              <w:t> </w:t>
            </w:r>
            <w:r w:rsidR="00D22D3F" w:rsidRPr="00097A86">
              <w:t>1; 2011 No.</w:t>
            </w:r>
            <w:r w:rsidR="00097A86">
              <w:t> </w:t>
            </w:r>
            <w:r w:rsidR="00D22D3F" w:rsidRPr="00097A86">
              <w:t>1; 2012 No.</w:t>
            </w:r>
            <w:r w:rsidR="00097A86">
              <w:t> </w:t>
            </w:r>
            <w:r w:rsidR="00D22D3F" w:rsidRPr="00097A86">
              <w:t>1</w:t>
            </w:r>
            <w:r w:rsidR="00682FA9" w:rsidRPr="00097A86">
              <w:t>; 2013 No.</w:t>
            </w:r>
            <w:r w:rsidR="00097A86">
              <w:t> </w:t>
            </w:r>
            <w:r w:rsidR="00682FA9" w:rsidRPr="00097A86">
              <w:t>1</w:t>
            </w:r>
            <w:r w:rsidR="00F60D0E" w:rsidRPr="00097A86">
              <w:t>; 2014 No.</w:t>
            </w:r>
            <w:r w:rsidR="00097A86">
              <w:t> </w:t>
            </w:r>
            <w:r w:rsidR="00F60D0E" w:rsidRPr="00097A86">
              <w:t>1</w:t>
            </w:r>
            <w:r w:rsidR="00A21271" w:rsidRPr="00097A86">
              <w:t>; 2015 No 2</w:t>
            </w:r>
            <w:r w:rsidR="00E328D2" w:rsidRPr="00097A86">
              <w:t>; 2016 No 1</w:t>
            </w:r>
            <w:r w:rsidR="00FB7093">
              <w:t>; F2018L00923</w:t>
            </w:r>
          </w:p>
        </w:tc>
      </w:tr>
      <w:tr w:rsidR="0048409F" w:rsidRPr="00097A86" w14:paraId="765A629A" w14:textId="77777777" w:rsidTr="00C20CC2">
        <w:tblPrEx>
          <w:jc w:val="center"/>
        </w:tblPrEx>
        <w:trPr>
          <w:gridAfter w:val="1"/>
          <w:wAfter w:w="37" w:type="pct"/>
          <w:jc w:val="center"/>
        </w:trPr>
        <w:tc>
          <w:tcPr>
            <w:tcW w:w="1390" w:type="pct"/>
            <w:gridSpan w:val="2"/>
          </w:tcPr>
          <w:p w14:paraId="7C2C421F" w14:textId="77777777" w:rsidR="00D22D3F" w:rsidRPr="00097A86" w:rsidRDefault="007E63CD" w:rsidP="00BE20A2">
            <w:pPr>
              <w:pStyle w:val="ENoteTableText"/>
              <w:tabs>
                <w:tab w:val="center" w:leader="dot" w:pos="2268"/>
              </w:tabs>
            </w:pPr>
            <w:r w:rsidRPr="00097A86">
              <w:t>s</w:t>
            </w:r>
            <w:r w:rsidR="00D22D3F" w:rsidRPr="00097A86">
              <w:t xml:space="preserve"> 1.9</w:t>
            </w:r>
            <w:r w:rsidR="00D22D3F" w:rsidRPr="00097A86">
              <w:tab/>
            </w:r>
          </w:p>
        </w:tc>
        <w:tc>
          <w:tcPr>
            <w:tcW w:w="3573" w:type="pct"/>
            <w:gridSpan w:val="2"/>
          </w:tcPr>
          <w:p w14:paraId="48F19127" w14:textId="77777777" w:rsidR="00D22D3F" w:rsidRPr="00097A86" w:rsidRDefault="00B750D1" w:rsidP="00D22D3F">
            <w:pPr>
              <w:pStyle w:val="ENoteTableText"/>
            </w:pPr>
            <w:r w:rsidRPr="00097A86">
              <w:t>am</w:t>
            </w:r>
            <w:r w:rsidR="00D22D3F" w:rsidRPr="00097A86">
              <w:t xml:space="preserve"> 2009 No.</w:t>
            </w:r>
            <w:r w:rsidR="00097A86">
              <w:t> </w:t>
            </w:r>
            <w:r w:rsidR="00D22D3F" w:rsidRPr="00097A86">
              <w:t>1; 2010 No.</w:t>
            </w:r>
            <w:r w:rsidR="00097A86">
              <w:t> </w:t>
            </w:r>
            <w:r w:rsidR="00D22D3F" w:rsidRPr="00097A86">
              <w:t>1; 2012 No.</w:t>
            </w:r>
            <w:r w:rsidR="00097A86">
              <w:t> </w:t>
            </w:r>
            <w:r w:rsidR="00D22D3F" w:rsidRPr="00097A86">
              <w:t>1</w:t>
            </w:r>
            <w:r w:rsidR="00F60D0E" w:rsidRPr="00097A86">
              <w:t>; 2014 No.</w:t>
            </w:r>
            <w:r w:rsidR="00097A86">
              <w:t> </w:t>
            </w:r>
            <w:r w:rsidR="00F60D0E" w:rsidRPr="00097A86">
              <w:t>1</w:t>
            </w:r>
          </w:p>
        </w:tc>
      </w:tr>
      <w:tr w:rsidR="0048409F" w:rsidRPr="00097A86" w14:paraId="4525701D" w14:textId="77777777" w:rsidTr="00C20CC2">
        <w:tblPrEx>
          <w:jc w:val="center"/>
        </w:tblPrEx>
        <w:trPr>
          <w:gridAfter w:val="1"/>
          <w:wAfter w:w="37" w:type="pct"/>
          <w:jc w:val="center"/>
        </w:trPr>
        <w:tc>
          <w:tcPr>
            <w:tcW w:w="1390" w:type="pct"/>
            <w:gridSpan w:val="2"/>
          </w:tcPr>
          <w:p w14:paraId="04859B32" w14:textId="77777777" w:rsidR="00682FA9" w:rsidRPr="00097A86" w:rsidRDefault="007E63CD" w:rsidP="00BE20A2">
            <w:pPr>
              <w:pStyle w:val="ENoteTableText"/>
              <w:tabs>
                <w:tab w:val="center" w:leader="dot" w:pos="2268"/>
              </w:tabs>
            </w:pPr>
            <w:r w:rsidRPr="00097A86">
              <w:t>s</w:t>
            </w:r>
            <w:r w:rsidR="00682FA9" w:rsidRPr="00097A86">
              <w:t xml:space="preserve"> 1.9A</w:t>
            </w:r>
            <w:r w:rsidR="00682FA9" w:rsidRPr="00097A86">
              <w:tab/>
            </w:r>
          </w:p>
        </w:tc>
        <w:tc>
          <w:tcPr>
            <w:tcW w:w="3573" w:type="pct"/>
            <w:gridSpan w:val="2"/>
          </w:tcPr>
          <w:p w14:paraId="149F7A59" w14:textId="77777777" w:rsidR="00682FA9" w:rsidRPr="00097A86" w:rsidRDefault="00B750D1" w:rsidP="00D22D3F">
            <w:pPr>
              <w:pStyle w:val="ENoteTableText"/>
            </w:pPr>
            <w:r w:rsidRPr="00097A86">
              <w:t>ad</w:t>
            </w:r>
            <w:r w:rsidR="00682FA9" w:rsidRPr="00097A86">
              <w:t xml:space="preserve"> 2013 No.</w:t>
            </w:r>
            <w:r w:rsidR="00097A86">
              <w:t> </w:t>
            </w:r>
            <w:r w:rsidR="00682FA9" w:rsidRPr="00097A86">
              <w:t>1</w:t>
            </w:r>
          </w:p>
        </w:tc>
      </w:tr>
      <w:tr w:rsidR="0048409F" w:rsidRPr="00097A86" w14:paraId="3D07A598" w14:textId="77777777" w:rsidTr="00C20CC2">
        <w:tblPrEx>
          <w:jc w:val="center"/>
        </w:tblPrEx>
        <w:trPr>
          <w:gridAfter w:val="1"/>
          <w:wAfter w:w="37" w:type="pct"/>
          <w:jc w:val="center"/>
        </w:trPr>
        <w:tc>
          <w:tcPr>
            <w:tcW w:w="1390" w:type="pct"/>
            <w:gridSpan w:val="2"/>
          </w:tcPr>
          <w:p w14:paraId="484AE2D3" w14:textId="77777777" w:rsidR="00682FA9" w:rsidRPr="00097A86" w:rsidRDefault="007E63CD" w:rsidP="00BE20A2">
            <w:pPr>
              <w:pStyle w:val="ENoteTableText"/>
              <w:tabs>
                <w:tab w:val="center" w:leader="dot" w:pos="2268"/>
              </w:tabs>
            </w:pPr>
            <w:r w:rsidRPr="00097A86">
              <w:t>s</w:t>
            </w:r>
            <w:r w:rsidR="00682FA9" w:rsidRPr="00097A86">
              <w:t xml:space="preserve"> 1.9B</w:t>
            </w:r>
            <w:r w:rsidR="00682FA9" w:rsidRPr="00097A86">
              <w:tab/>
            </w:r>
          </w:p>
        </w:tc>
        <w:tc>
          <w:tcPr>
            <w:tcW w:w="3573" w:type="pct"/>
            <w:gridSpan w:val="2"/>
          </w:tcPr>
          <w:p w14:paraId="7BEC8DC4" w14:textId="77777777" w:rsidR="00682FA9" w:rsidRPr="00097A86" w:rsidRDefault="00B750D1" w:rsidP="00D22D3F">
            <w:pPr>
              <w:pStyle w:val="ENoteTableText"/>
            </w:pPr>
            <w:r w:rsidRPr="00097A86">
              <w:t>ad</w:t>
            </w:r>
            <w:r w:rsidR="00682FA9" w:rsidRPr="00097A86">
              <w:t xml:space="preserve"> 2013 No.</w:t>
            </w:r>
            <w:r w:rsidR="00097A86">
              <w:t> </w:t>
            </w:r>
            <w:r w:rsidR="00682FA9" w:rsidRPr="00097A86">
              <w:t>1</w:t>
            </w:r>
          </w:p>
        </w:tc>
      </w:tr>
      <w:tr w:rsidR="0048409F" w:rsidRPr="00097A86" w14:paraId="26DA0336" w14:textId="77777777" w:rsidTr="00C20CC2">
        <w:tblPrEx>
          <w:jc w:val="center"/>
        </w:tblPrEx>
        <w:trPr>
          <w:gridAfter w:val="1"/>
          <w:wAfter w:w="37" w:type="pct"/>
          <w:jc w:val="center"/>
        </w:trPr>
        <w:tc>
          <w:tcPr>
            <w:tcW w:w="1390" w:type="pct"/>
            <w:gridSpan w:val="2"/>
          </w:tcPr>
          <w:p w14:paraId="696888C4" w14:textId="77777777" w:rsidR="00D22D3F" w:rsidRPr="00097A86" w:rsidRDefault="007E63CD" w:rsidP="00BE20A2">
            <w:pPr>
              <w:pStyle w:val="ENoteTableText"/>
              <w:tabs>
                <w:tab w:val="center" w:leader="dot" w:pos="2268"/>
              </w:tabs>
            </w:pPr>
            <w:r w:rsidRPr="00097A86">
              <w:t>s</w:t>
            </w:r>
            <w:r w:rsidR="00D22D3F" w:rsidRPr="00097A86">
              <w:t xml:space="preserve"> 1.10</w:t>
            </w:r>
            <w:r w:rsidR="00D22D3F" w:rsidRPr="00097A86">
              <w:tab/>
            </w:r>
          </w:p>
        </w:tc>
        <w:tc>
          <w:tcPr>
            <w:tcW w:w="3573" w:type="pct"/>
            <w:gridSpan w:val="2"/>
          </w:tcPr>
          <w:p w14:paraId="6A53AB28" w14:textId="77777777" w:rsidR="00D22D3F" w:rsidRPr="00097A86" w:rsidRDefault="00B750D1" w:rsidP="00C16EF6">
            <w:pPr>
              <w:pStyle w:val="ENoteTableText"/>
            </w:pPr>
            <w:r w:rsidRPr="00097A86">
              <w:t>rs</w:t>
            </w:r>
            <w:r w:rsidR="00D22D3F" w:rsidRPr="00097A86">
              <w:t xml:space="preserve"> 2009 No.</w:t>
            </w:r>
            <w:r w:rsidR="00097A86">
              <w:t> </w:t>
            </w:r>
            <w:r w:rsidR="00D22D3F" w:rsidRPr="00097A86">
              <w:t>1</w:t>
            </w:r>
          </w:p>
        </w:tc>
      </w:tr>
      <w:tr w:rsidR="0048409F" w:rsidRPr="00097A86" w14:paraId="4217C87E" w14:textId="77777777" w:rsidTr="00C20CC2">
        <w:tblPrEx>
          <w:jc w:val="center"/>
        </w:tblPrEx>
        <w:trPr>
          <w:gridAfter w:val="1"/>
          <w:wAfter w:w="37" w:type="pct"/>
          <w:jc w:val="center"/>
        </w:trPr>
        <w:tc>
          <w:tcPr>
            <w:tcW w:w="1390" w:type="pct"/>
            <w:gridSpan w:val="2"/>
          </w:tcPr>
          <w:p w14:paraId="14B9F4C1" w14:textId="77777777" w:rsidR="00D22D3F" w:rsidRPr="00097A86" w:rsidRDefault="00D22D3F" w:rsidP="00D22D3F">
            <w:pPr>
              <w:pStyle w:val="ENoteTableText"/>
            </w:pPr>
          </w:p>
        </w:tc>
        <w:tc>
          <w:tcPr>
            <w:tcW w:w="3573" w:type="pct"/>
            <w:gridSpan w:val="2"/>
          </w:tcPr>
          <w:p w14:paraId="3CEF4430" w14:textId="77777777" w:rsidR="00D22D3F" w:rsidRPr="00097A86" w:rsidRDefault="00B750D1" w:rsidP="00D22D3F">
            <w:pPr>
              <w:pStyle w:val="ENoteTableText"/>
            </w:pPr>
            <w:r w:rsidRPr="00097A86">
              <w:t>am</w:t>
            </w:r>
            <w:r w:rsidR="00D22D3F" w:rsidRPr="00097A86">
              <w:t xml:space="preserve"> 2011 No.</w:t>
            </w:r>
            <w:r w:rsidR="00097A86">
              <w:t> </w:t>
            </w:r>
            <w:r w:rsidR="00D22D3F" w:rsidRPr="00097A86">
              <w:t>1; 2012 No.</w:t>
            </w:r>
            <w:r w:rsidR="00097A86">
              <w:t> </w:t>
            </w:r>
            <w:r w:rsidR="00D22D3F" w:rsidRPr="00097A86">
              <w:t>1</w:t>
            </w:r>
            <w:r w:rsidR="00C16EF6" w:rsidRPr="00097A86">
              <w:t>; 2015 No 2</w:t>
            </w:r>
          </w:p>
        </w:tc>
      </w:tr>
      <w:tr w:rsidR="0048409F" w:rsidRPr="00097A86" w14:paraId="3F42F8ED" w14:textId="77777777" w:rsidTr="00C20CC2">
        <w:tblPrEx>
          <w:jc w:val="center"/>
        </w:tblPrEx>
        <w:trPr>
          <w:gridAfter w:val="1"/>
          <w:wAfter w:w="37" w:type="pct"/>
          <w:jc w:val="center"/>
        </w:trPr>
        <w:tc>
          <w:tcPr>
            <w:tcW w:w="1390" w:type="pct"/>
            <w:gridSpan w:val="2"/>
          </w:tcPr>
          <w:p w14:paraId="2573688F" w14:textId="77777777" w:rsidR="00D22D3F" w:rsidRPr="00097A86" w:rsidRDefault="00D22D3F" w:rsidP="00657E43">
            <w:pPr>
              <w:pStyle w:val="ENoteTableText"/>
              <w:tabs>
                <w:tab w:val="center" w:leader="dot" w:pos="2268"/>
              </w:tabs>
            </w:pPr>
            <w:r w:rsidRPr="00097A86">
              <w:t>Part</w:t>
            </w:r>
            <w:r w:rsidR="00097A86">
              <w:t> </w:t>
            </w:r>
            <w:r w:rsidRPr="00097A86">
              <w:t>1.1A</w:t>
            </w:r>
            <w:r w:rsidRPr="00097A86">
              <w:tab/>
            </w:r>
          </w:p>
        </w:tc>
        <w:tc>
          <w:tcPr>
            <w:tcW w:w="3573" w:type="pct"/>
            <w:gridSpan w:val="2"/>
          </w:tcPr>
          <w:p w14:paraId="577F072C"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0269B92E" w14:textId="77777777" w:rsidTr="00C20CC2">
        <w:tblPrEx>
          <w:jc w:val="center"/>
        </w:tblPrEx>
        <w:trPr>
          <w:gridAfter w:val="1"/>
          <w:wAfter w:w="37" w:type="pct"/>
          <w:jc w:val="center"/>
        </w:trPr>
        <w:tc>
          <w:tcPr>
            <w:tcW w:w="1390" w:type="pct"/>
            <w:gridSpan w:val="2"/>
          </w:tcPr>
          <w:p w14:paraId="0754830E" w14:textId="77777777" w:rsidR="00465C0B" w:rsidRPr="00097A86" w:rsidRDefault="00465C0B" w:rsidP="00657E43">
            <w:pPr>
              <w:pStyle w:val="ENoteTableText"/>
              <w:tabs>
                <w:tab w:val="center" w:leader="dot" w:pos="2268"/>
              </w:tabs>
            </w:pPr>
          </w:p>
        </w:tc>
        <w:tc>
          <w:tcPr>
            <w:tcW w:w="3573" w:type="pct"/>
            <w:gridSpan w:val="2"/>
          </w:tcPr>
          <w:p w14:paraId="5034533A" w14:textId="77777777" w:rsidR="00465C0B" w:rsidRPr="00097A86" w:rsidRDefault="00465C0B" w:rsidP="00D22D3F">
            <w:pPr>
              <w:pStyle w:val="ENoteTableText"/>
            </w:pPr>
            <w:r w:rsidRPr="00097A86">
              <w:t>rep 2015 No 1</w:t>
            </w:r>
          </w:p>
        </w:tc>
      </w:tr>
      <w:tr w:rsidR="0048409F" w:rsidRPr="00097A86" w14:paraId="443137D3" w14:textId="77777777" w:rsidTr="00C20CC2">
        <w:tblPrEx>
          <w:jc w:val="center"/>
        </w:tblPrEx>
        <w:trPr>
          <w:gridAfter w:val="1"/>
          <w:wAfter w:w="37" w:type="pct"/>
          <w:jc w:val="center"/>
        </w:trPr>
        <w:tc>
          <w:tcPr>
            <w:tcW w:w="1390" w:type="pct"/>
            <w:gridSpan w:val="2"/>
          </w:tcPr>
          <w:p w14:paraId="2CF1DCC6" w14:textId="77777777" w:rsidR="00D22D3F" w:rsidRPr="00097A86" w:rsidRDefault="007E63CD" w:rsidP="00BE20A2">
            <w:pPr>
              <w:pStyle w:val="ENoteTableText"/>
              <w:tabs>
                <w:tab w:val="center" w:leader="dot" w:pos="2268"/>
              </w:tabs>
            </w:pPr>
            <w:r w:rsidRPr="00097A86">
              <w:t>s</w:t>
            </w:r>
            <w:r w:rsidR="00D22D3F" w:rsidRPr="00097A86">
              <w:t xml:space="preserve"> 1.10A</w:t>
            </w:r>
            <w:r w:rsidR="00D22D3F" w:rsidRPr="00097A86">
              <w:tab/>
            </w:r>
          </w:p>
        </w:tc>
        <w:tc>
          <w:tcPr>
            <w:tcW w:w="3573" w:type="pct"/>
            <w:gridSpan w:val="2"/>
          </w:tcPr>
          <w:p w14:paraId="55AF6136"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7A20B53A" w14:textId="77777777" w:rsidTr="00C20CC2">
        <w:tblPrEx>
          <w:jc w:val="center"/>
        </w:tblPrEx>
        <w:trPr>
          <w:gridAfter w:val="1"/>
          <w:wAfter w:w="37" w:type="pct"/>
          <w:jc w:val="center"/>
        </w:trPr>
        <w:tc>
          <w:tcPr>
            <w:tcW w:w="1390" w:type="pct"/>
            <w:gridSpan w:val="2"/>
          </w:tcPr>
          <w:p w14:paraId="2F376003" w14:textId="77777777" w:rsidR="00465C0B" w:rsidRPr="00097A86" w:rsidRDefault="00465C0B" w:rsidP="00BE20A2">
            <w:pPr>
              <w:pStyle w:val="ENoteTableText"/>
              <w:tabs>
                <w:tab w:val="center" w:leader="dot" w:pos="2268"/>
              </w:tabs>
            </w:pPr>
          </w:p>
        </w:tc>
        <w:tc>
          <w:tcPr>
            <w:tcW w:w="3573" w:type="pct"/>
            <w:gridSpan w:val="2"/>
          </w:tcPr>
          <w:p w14:paraId="7A6B1C11" w14:textId="77777777" w:rsidR="00465C0B" w:rsidRPr="00097A86" w:rsidRDefault="00465C0B" w:rsidP="00D22D3F">
            <w:pPr>
              <w:pStyle w:val="ENoteTableText"/>
            </w:pPr>
            <w:r w:rsidRPr="00097A86">
              <w:t>rep 2015 No 1</w:t>
            </w:r>
          </w:p>
        </w:tc>
      </w:tr>
      <w:tr w:rsidR="0048409F" w:rsidRPr="00097A86" w14:paraId="3093BEBE" w14:textId="77777777" w:rsidTr="00C20CC2">
        <w:tblPrEx>
          <w:jc w:val="center"/>
        </w:tblPrEx>
        <w:trPr>
          <w:gridAfter w:val="1"/>
          <w:wAfter w:w="37" w:type="pct"/>
          <w:jc w:val="center"/>
        </w:trPr>
        <w:tc>
          <w:tcPr>
            <w:tcW w:w="1390" w:type="pct"/>
            <w:gridSpan w:val="2"/>
          </w:tcPr>
          <w:p w14:paraId="53D5786A" w14:textId="77777777" w:rsidR="00D22D3F" w:rsidRPr="00097A86" w:rsidRDefault="007E63CD" w:rsidP="00BE20A2">
            <w:pPr>
              <w:pStyle w:val="ENoteTableText"/>
              <w:tabs>
                <w:tab w:val="center" w:leader="dot" w:pos="2268"/>
              </w:tabs>
            </w:pPr>
            <w:r w:rsidRPr="00097A86">
              <w:t>s</w:t>
            </w:r>
            <w:r w:rsidR="00D22D3F" w:rsidRPr="00097A86">
              <w:t xml:space="preserve"> 1.10B</w:t>
            </w:r>
            <w:r w:rsidR="00D22D3F" w:rsidRPr="00097A86">
              <w:tab/>
            </w:r>
          </w:p>
        </w:tc>
        <w:tc>
          <w:tcPr>
            <w:tcW w:w="3573" w:type="pct"/>
            <w:gridSpan w:val="2"/>
          </w:tcPr>
          <w:p w14:paraId="3F796E92"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62D86D81" w14:textId="77777777" w:rsidTr="00C20CC2">
        <w:tblPrEx>
          <w:jc w:val="center"/>
        </w:tblPrEx>
        <w:trPr>
          <w:gridAfter w:val="1"/>
          <w:wAfter w:w="37" w:type="pct"/>
          <w:jc w:val="center"/>
        </w:trPr>
        <w:tc>
          <w:tcPr>
            <w:tcW w:w="1390" w:type="pct"/>
            <w:gridSpan w:val="2"/>
          </w:tcPr>
          <w:p w14:paraId="2F09417C" w14:textId="77777777" w:rsidR="00465C0B" w:rsidRPr="00097A86" w:rsidRDefault="00465C0B" w:rsidP="00BE20A2">
            <w:pPr>
              <w:pStyle w:val="ENoteTableText"/>
              <w:tabs>
                <w:tab w:val="center" w:leader="dot" w:pos="2268"/>
              </w:tabs>
            </w:pPr>
          </w:p>
        </w:tc>
        <w:tc>
          <w:tcPr>
            <w:tcW w:w="3573" w:type="pct"/>
            <w:gridSpan w:val="2"/>
          </w:tcPr>
          <w:p w14:paraId="1122104F" w14:textId="77777777" w:rsidR="00465C0B" w:rsidRPr="00097A86" w:rsidRDefault="00465C0B" w:rsidP="00D22D3F">
            <w:pPr>
              <w:pStyle w:val="ENoteTableText"/>
            </w:pPr>
            <w:r w:rsidRPr="00097A86">
              <w:t>rep 2015 No 1</w:t>
            </w:r>
          </w:p>
        </w:tc>
      </w:tr>
      <w:tr w:rsidR="0048409F" w:rsidRPr="00097A86" w14:paraId="0CD9FACC" w14:textId="77777777" w:rsidTr="00C20CC2">
        <w:tblPrEx>
          <w:jc w:val="center"/>
        </w:tblPrEx>
        <w:trPr>
          <w:gridAfter w:val="1"/>
          <w:wAfter w:w="37" w:type="pct"/>
          <w:jc w:val="center"/>
        </w:trPr>
        <w:tc>
          <w:tcPr>
            <w:tcW w:w="1390" w:type="pct"/>
            <w:gridSpan w:val="2"/>
          </w:tcPr>
          <w:p w14:paraId="23EDE0A8" w14:textId="77777777" w:rsidR="00D22D3F" w:rsidRPr="00097A86" w:rsidRDefault="007E63CD" w:rsidP="00BE20A2">
            <w:pPr>
              <w:pStyle w:val="ENoteTableText"/>
              <w:tabs>
                <w:tab w:val="center" w:leader="dot" w:pos="2268"/>
              </w:tabs>
            </w:pPr>
            <w:r w:rsidRPr="00097A86">
              <w:t>s</w:t>
            </w:r>
            <w:r w:rsidR="00D22D3F" w:rsidRPr="00097A86">
              <w:t xml:space="preserve"> 1.10C</w:t>
            </w:r>
            <w:r w:rsidR="00D22D3F" w:rsidRPr="00097A86">
              <w:tab/>
            </w:r>
          </w:p>
        </w:tc>
        <w:tc>
          <w:tcPr>
            <w:tcW w:w="3573" w:type="pct"/>
            <w:gridSpan w:val="2"/>
          </w:tcPr>
          <w:p w14:paraId="77D04AFE"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390FE246" w14:textId="77777777" w:rsidTr="00C20CC2">
        <w:tblPrEx>
          <w:jc w:val="center"/>
        </w:tblPrEx>
        <w:trPr>
          <w:gridAfter w:val="1"/>
          <w:wAfter w:w="37" w:type="pct"/>
          <w:jc w:val="center"/>
        </w:trPr>
        <w:tc>
          <w:tcPr>
            <w:tcW w:w="1390" w:type="pct"/>
            <w:gridSpan w:val="2"/>
          </w:tcPr>
          <w:p w14:paraId="217715CA" w14:textId="77777777" w:rsidR="00465C0B" w:rsidRPr="00097A86" w:rsidRDefault="00465C0B" w:rsidP="00BE20A2">
            <w:pPr>
              <w:pStyle w:val="ENoteTableText"/>
              <w:tabs>
                <w:tab w:val="center" w:leader="dot" w:pos="2268"/>
              </w:tabs>
            </w:pPr>
          </w:p>
        </w:tc>
        <w:tc>
          <w:tcPr>
            <w:tcW w:w="3573" w:type="pct"/>
            <w:gridSpan w:val="2"/>
          </w:tcPr>
          <w:p w14:paraId="708BAA44" w14:textId="77777777" w:rsidR="00465C0B" w:rsidRPr="00097A86" w:rsidRDefault="00465C0B" w:rsidP="00D22D3F">
            <w:pPr>
              <w:pStyle w:val="ENoteTableText"/>
            </w:pPr>
            <w:r w:rsidRPr="00097A86">
              <w:t>rep 2015 No 1</w:t>
            </w:r>
          </w:p>
        </w:tc>
      </w:tr>
      <w:tr w:rsidR="0048409F" w:rsidRPr="00097A86" w14:paraId="10931703" w14:textId="77777777" w:rsidTr="00C20CC2">
        <w:tblPrEx>
          <w:jc w:val="center"/>
        </w:tblPrEx>
        <w:trPr>
          <w:gridAfter w:val="1"/>
          <w:wAfter w:w="37" w:type="pct"/>
          <w:jc w:val="center"/>
        </w:trPr>
        <w:tc>
          <w:tcPr>
            <w:tcW w:w="1390" w:type="pct"/>
            <w:gridSpan w:val="2"/>
          </w:tcPr>
          <w:p w14:paraId="31685CBD" w14:textId="77777777" w:rsidR="00D22D3F" w:rsidRPr="00097A86" w:rsidRDefault="007E63CD" w:rsidP="00BE20A2">
            <w:pPr>
              <w:pStyle w:val="ENoteTableText"/>
              <w:tabs>
                <w:tab w:val="center" w:leader="dot" w:pos="2268"/>
              </w:tabs>
            </w:pPr>
            <w:r w:rsidRPr="00097A86">
              <w:t>s</w:t>
            </w:r>
            <w:r w:rsidR="00D22D3F" w:rsidRPr="00097A86">
              <w:t xml:space="preserve"> 1.10D</w:t>
            </w:r>
            <w:r w:rsidR="00D22D3F" w:rsidRPr="00097A86">
              <w:tab/>
            </w:r>
          </w:p>
        </w:tc>
        <w:tc>
          <w:tcPr>
            <w:tcW w:w="3573" w:type="pct"/>
            <w:gridSpan w:val="2"/>
          </w:tcPr>
          <w:p w14:paraId="0BBA992D"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52ADE198" w14:textId="77777777" w:rsidTr="00C20CC2">
        <w:tblPrEx>
          <w:jc w:val="center"/>
        </w:tblPrEx>
        <w:trPr>
          <w:gridAfter w:val="1"/>
          <w:wAfter w:w="37" w:type="pct"/>
          <w:jc w:val="center"/>
        </w:trPr>
        <w:tc>
          <w:tcPr>
            <w:tcW w:w="1390" w:type="pct"/>
            <w:gridSpan w:val="2"/>
          </w:tcPr>
          <w:p w14:paraId="75E68263" w14:textId="77777777" w:rsidR="00465C0B" w:rsidRPr="00097A86" w:rsidRDefault="00465C0B" w:rsidP="00BE20A2">
            <w:pPr>
              <w:pStyle w:val="ENoteTableText"/>
              <w:tabs>
                <w:tab w:val="center" w:leader="dot" w:pos="2268"/>
              </w:tabs>
            </w:pPr>
          </w:p>
        </w:tc>
        <w:tc>
          <w:tcPr>
            <w:tcW w:w="3573" w:type="pct"/>
            <w:gridSpan w:val="2"/>
          </w:tcPr>
          <w:p w14:paraId="272507ED" w14:textId="77777777" w:rsidR="00465C0B" w:rsidRPr="00097A86" w:rsidRDefault="00465C0B" w:rsidP="00D22D3F">
            <w:pPr>
              <w:pStyle w:val="ENoteTableText"/>
            </w:pPr>
            <w:r w:rsidRPr="00097A86">
              <w:t>rep 2015 No 1</w:t>
            </w:r>
          </w:p>
        </w:tc>
      </w:tr>
      <w:tr w:rsidR="0048409F" w:rsidRPr="00097A86" w14:paraId="4C27947E" w14:textId="77777777" w:rsidTr="00C20CC2">
        <w:tblPrEx>
          <w:jc w:val="center"/>
        </w:tblPrEx>
        <w:trPr>
          <w:gridAfter w:val="1"/>
          <w:wAfter w:w="37" w:type="pct"/>
          <w:jc w:val="center"/>
        </w:trPr>
        <w:tc>
          <w:tcPr>
            <w:tcW w:w="1390" w:type="pct"/>
            <w:gridSpan w:val="2"/>
          </w:tcPr>
          <w:p w14:paraId="73B45D88" w14:textId="77777777" w:rsidR="00D22D3F" w:rsidRPr="00097A86" w:rsidRDefault="007E63CD" w:rsidP="00BE20A2">
            <w:pPr>
              <w:pStyle w:val="ENoteTableText"/>
              <w:tabs>
                <w:tab w:val="center" w:leader="dot" w:pos="2268"/>
              </w:tabs>
            </w:pPr>
            <w:r w:rsidRPr="00097A86">
              <w:t>s</w:t>
            </w:r>
            <w:r w:rsidR="00D22D3F" w:rsidRPr="00097A86">
              <w:t xml:space="preserve"> 1.10E</w:t>
            </w:r>
            <w:r w:rsidR="00D22D3F" w:rsidRPr="00097A86">
              <w:tab/>
            </w:r>
          </w:p>
        </w:tc>
        <w:tc>
          <w:tcPr>
            <w:tcW w:w="3573" w:type="pct"/>
            <w:gridSpan w:val="2"/>
          </w:tcPr>
          <w:p w14:paraId="69751806"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361C88C0" w14:textId="77777777" w:rsidTr="00C20CC2">
        <w:tblPrEx>
          <w:jc w:val="center"/>
        </w:tblPrEx>
        <w:trPr>
          <w:gridAfter w:val="1"/>
          <w:wAfter w:w="37" w:type="pct"/>
          <w:jc w:val="center"/>
        </w:trPr>
        <w:tc>
          <w:tcPr>
            <w:tcW w:w="1390" w:type="pct"/>
            <w:gridSpan w:val="2"/>
          </w:tcPr>
          <w:p w14:paraId="25787859" w14:textId="77777777" w:rsidR="00465C0B" w:rsidRPr="00097A86" w:rsidRDefault="00465C0B" w:rsidP="00BE20A2">
            <w:pPr>
              <w:pStyle w:val="ENoteTableText"/>
              <w:tabs>
                <w:tab w:val="center" w:leader="dot" w:pos="2268"/>
              </w:tabs>
            </w:pPr>
          </w:p>
        </w:tc>
        <w:tc>
          <w:tcPr>
            <w:tcW w:w="3573" w:type="pct"/>
            <w:gridSpan w:val="2"/>
          </w:tcPr>
          <w:p w14:paraId="19ADA841" w14:textId="77777777" w:rsidR="00465C0B" w:rsidRPr="00097A86" w:rsidRDefault="00465C0B" w:rsidP="00D22D3F">
            <w:pPr>
              <w:pStyle w:val="ENoteTableText"/>
            </w:pPr>
            <w:r w:rsidRPr="00097A86">
              <w:t>rep 2015 No 1</w:t>
            </w:r>
          </w:p>
        </w:tc>
      </w:tr>
      <w:tr w:rsidR="0048409F" w:rsidRPr="00097A86" w14:paraId="36980B94" w14:textId="77777777" w:rsidTr="00C20CC2">
        <w:tblPrEx>
          <w:jc w:val="center"/>
        </w:tblPrEx>
        <w:trPr>
          <w:gridAfter w:val="1"/>
          <w:wAfter w:w="37" w:type="pct"/>
          <w:jc w:val="center"/>
        </w:trPr>
        <w:tc>
          <w:tcPr>
            <w:tcW w:w="1390" w:type="pct"/>
            <w:gridSpan w:val="2"/>
          </w:tcPr>
          <w:p w14:paraId="7FB6FDFF" w14:textId="77777777" w:rsidR="00D22D3F" w:rsidRPr="00097A86" w:rsidRDefault="007E63CD" w:rsidP="00BE20A2">
            <w:pPr>
              <w:pStyle w:val="ENoteTableText"/>
              <w:tabs>
                <w:tab w:val="center" w:leader="dot" w:pos="2268"/>
              </w:tabs>
            </w:pPr>
            <w:r w:rsidRPr="00097A86">
              <w:t>s</w:t>
            </w:r>
            <w:r w:rsidR="00D22D3F" w:rsidRPr="00097A86">
              <w:t xml:space="preserve"> 1.10F</w:t>
            </w:r>
            <w:r w:rsidR="00D22D3F" w:rsidRPr="00097A86">
              <w:tab/>
            </w:r>
          </w:p>
        </w:tc>
        <w:tc>
          <w:tcPr>
            <w:tcW w:w="3573" w:type="pct"/>
            <w:gridSpan w:val="2"/>
          </w:tcPr>
          <w:p w14:paraId="2A3B0E15" w14:textId="77777777" w:rsidR="00D22D3F" w:rsidRPr="00097A86" w:rsidRDefault="00B750D1" w:rsidP="00D22D3F">
            <w:pPr>
              <w:pStyle w:val="ENoteTableText"/>
            </w:pPr>
            <w:r w:rsidRPr="00097A86">
              <w:t>ad</w:t>
            </w:r>
            <w:r w:rsidR="00D22D3F" w:rsidRPr="00097A86">
              <w:t xml:space="preserve"> 2012 No.</w:t>
            </w:r>
            <w:r w:rsidR="00097A86">
              <w:t> </w:t>
            </w:r>
            <w:r w:rsidR="00D22D3F" w:rsidRPr="00097A86">
              <w:t>1</w:t>
            </w:r>
          </w:p>
        </w:tc>
      </w:tr>
      <w:tr w:rsidR="0048409F" w:rsidRPr="00097A86" w14:paraId="567A0C2E" w14:textId="77777777" w:rsidTr="00C20CC2">
        <w:tblPrEx>
          <w:jc w:val="center"/>
        </w:tblPrEx>
        <w:trPr>
          <w:gridAfter w:val="1"/>
          <w:wAfter w:w="37" w:type="pct"/>
          <w:jc w:val="center"/>
        </w:trPr>
        <w:tc>
          <w:tcPr>
            <w:tcW w:w="1390" w:type="pct"/>
            <w:gridSpan w:val="2"/>
          </w:tcPr>
          <w:p w14:paraId="0200FF57" w14:textId="77777777" w:rsidR="00465C0B" w:rsidRPr="00097A86" w:rsidRDefault="00465C0B" w:rsidP="00BE20A2">
            <w:pPr>
              <w:pStyle w:val="ENoteTableText"/>
              <w:tabs>
                <w:tab w:val="center" w:leader="dot" w:pos="2268"/>
              </w:tabs>
            </w:pPr>
          </w:p>
        </w:tc>
        <w:tc>
          <w:tcPr>
            <w:tcW w:w="3573" w:type="pct"/>
            <w:gridSpan w:val="2"/>
          </w:tcPr>
          <w:p w14:paraId="7B506686" w14:textId="77777777" w:rsidR="00465C0B" w:rsidRPr="00097A86" w:rsidRDefault="00465C0B" w:rsidP="00D22D3F">
            <w:pPr>
              <w:pStyle w:val="ENoteTableText"/>
            </w:pPr>
            <w:r w:rsidRPr="00097A86">
              <w:t>rep 2015 No 1</w:t>
            </w:r>
          </w:p>
        </w:tc>
      </w:tr>
      <w:tr w:rsidR="0048409F" w:rsidRPr="00097A86" w14:paraId="0F7AF2E7" w14:textId="77777777" w:rsidTr="00C20CC2">
        <w:tblPrEx>
          <w:jc w:val="center"/>
        </w:tblPrEx>
        <w:trPr>
          <w:gridAfter w:val="1"/>
          <w:wAfter w:w="37" w:type="pct"/>
          <w:jc w:val="center"/>
        </w:trPr>
        <w:tc>
          <w:tcPr>
            <w:tcW w:w="1390" w:type="pct"/>
            <w:gridSpan w:val="2"/>
          </w:tcPr>
          <w:p w14:paraId="2332280A" w14:textId="77777777" w:rsidR="00682FA9" w:rsidRPr="00097A86" w:rsidRDefault="00682FA9" w:rsidP="00657E43">
            <w:pPr>
              <w:pStyle w:val="ENoteTableText"/>
              <w:tabs>
                <w:tab w:val="center" w:leader="dot" w:pos="2268"/>
              </w:tabs>
            </w:pPr>
            <w:r w:rsidRPr="00097A86">
              <w:t>Div</w:t>
            </w:r>
            <w:r w:rsidR="00657E43" w:rsidRPr="00097A86">
              <w:t>ision</w:t>
            </w:r>
            <w:r w:rsidR="00097A86">
              <w:t> </w:t>
            </w:r>
            <w:r w:rsidRPr="00097A86">
              <w:t>1.1A.3</w:t>
            </w:r>
            <w:r w:rsidRPr="00097A86">
              <w:tab/>
            </w:r>
          </w:p>
        </w:tc>
        <w:tc>
          <w:tcPr>
            <w:tcW w:w="3573" w:type="pct"/>
            <w:gridSpan w:val="2"/>
          </w:tcPr>
          <w:p w14:paraId="5636CD9D" w14:textId="77777777" w:rsidR="00682FA9" w:rsidRPr="00097A86" w:rsidRDefault="00B750D1" w:rsidP="00D22D3F">
            <w:pPr>
              <w:pStyle w:val="ENoteTableText"/>
            </w:pPr>
            <w:r w:rsidRPr="00097A86">
              <w:t>ad</w:t>
            </w:r>
            <w:r w:rsidR="00682FA9" w:rsidRPr="00097A86">
              <w:t xml:space="preserve"> 2013 No.</w:t>
            </w:r>
            <w:r w:rsidR="00097A86">
              <w:t> </w:t>
            </w:r>
            <w:r w:rsidR="00682FA9" w:rsidRPr="00097A86">
              <w:t>1</w:t>
            </w:r>
          </w:p>
        </w:tc>
      </w:tr>
      <w:tr w:rsidR="0048409F" w:rsidRPr="00097A86" w14:paraId="7EFB20C5" w14:textId="77777777" w:rsidTr="00C20CC2">
        <w:tblPrEx>
          <w:jc w:val="center"/>
        </w:tblPrEx>
        <w:trPr>
          <w:gridAfter w:val="1"/>
          <w:wAfter w:w="37" w:type="pct"/>
          <w:jc w:val="center"/>
        </w:trPr>
        <w:tc>
          <w:tcPr>
            <w:tcW w:w="1390" w:type="pct"/>
            <w:gridSpan w:val="2"/>
          </w:tcPr>
          <w:p w14:paraId="7AC54CD9" w14:textId="77777777" w:rsidR="00465C0B" w:rsidRPr="00097A86" w:rsidRDefault="00465C0B" w:rsidP="00657E43">
            <w:pPr>
              <w:pStyle w:val="ENoteTableText"/>
              <w:tabs>
                <w:tab w:val="center" w:leader="dot" w:pos="2268"/>
              </w:tabs>
            </w:pPr>
          </w:p>
        </w:tc>
        <w:tc>
          <w:tcPr>
            <w:tcW w:w="3573" w:type="pct"/>
            <w:gridSpan w:val="2"/>
          </w:tcPr>
          <w:p w14:paraId="7E22253A" w14:textId="77777777" w:rsidR="00465C0B" w:rsidRPr="00097A86" w:rsidRDefault="00465C0B" w:rsidP="00D22D3F">
            <w:pPr>
              <w:pStyle w:val="ENoteTableText"/>
            </w:pPr>
            <w:r w:rsidRPr="00097A86">
              <w:t>rep 2015 No 1</w:t>
            </w:r>
          </w:p>
        </w:tc>
      </w:tr>
      <w:tr w:rsidR="0048409F" w:rsidRPr="00097A86" w14:paraId="37E09CAD" w14:textId="77777777" w:rsidTr="00C20CC2">
        <w:tblPrEx>
          <w:jc w:val="center"/>
        </w:tblPrEx>
        <w:trPr>
          <w:gridAfter w:val="1"/>
          <w:wAfter w:w="37" w:type="pct"/>
          <w:jc w:val="center"/>
        </w:trPr>
        <w:tc>
          <w:tcPr>
            <w:tcW w:w="1390" w:type="pct"/>
            <w:gridSpan w:val="2"/>
          </w:tcPr>
          <w:p w14:paraId="03252BC4" w14:textId="77777777" w:rsidR="00682FA9" w:rsidRPr="00097A86" w:rsidRDefault="007E63CD" w:rsidP="00BE20A2">
            <w:pPr>
              <w:pStyle w:val="ENoteTableText"/>
              <w:tabs>
                <w:tab w:val="center" w:leader="dot" w:pos="2268"/>
              </w:tabs>
            </w:pPr>
            <w:r w:rsidRPr="00097A86">
              <w:t>s</w:t>
            </w:r>
            <w:r w:rsidR="00682FA9" w:rsidRPr="00097A86">
              <w:t xml:space="preserve"> 1.10G</w:t>
            </w:r>
            <w:r w:rsidR="00682FA9" w:rsidRPr="00097A86">
              <w:tab/>
            </w:r>
          </w:p>
        </w:tc>
        <w:tc>
          <w:tcPr>
            <w:tcW w:w="3573" w:type="pct"/>
            <w:gridSpan w:val="2"/>
          </w:tcPr>
          <w:p w14:paraId="440CBDF8" w14:textId="77777777" w:rsidR="00682FA9" w:rsidRPr="00097A86" w:rsidRDefault="00B750D1" w:rsidP="00D22D3F">
            <w:pPr>
              <w:pStyle w:val="ENoteTableText"/>
            </w:pPr>
            <w:r w:rsidRPr="00097A86">
              <w:t>ad</w:t>
            </w:r>
            <w:r w:rsidR="00812DF4" w:rsidRPr="00097A86">
              <w:t xml:space="preserve"> 2013 No.</w:t>
            </w:r>
            <w:r w:rsidR="00097A86">
              <w:t> </w:t>
            </w:r>
            <w:r w:rsidR="00812DF4" w:rsidRPr="00097A86">
              <w:t>1</w:t>
            </w:r>
          </w:p>
        </w:tc>
      </w:tr>
      <w:tr w:rsidR="0048409F" w:rsidRPr="00097A86" w14:paraId="246954B4" w14:textId="77777777" w:rsidTr="00C20CC2">
        <w:tblPrEx>
          <w:jc w:val="center"/>
        </w:tblPrEx>
        <w:trPr>
          <w:gridAfter w:val="1"/>
          <w:wAfter w:w="37" w:type="pct"/>
          <w:jc w:val="center"/>
        </w:trPr>
        <w:tc>
          <w:tcPr>
            <w:tcW w:w="1390" w:type="pct"/>
            <w:gridSpan w:val="2"/>
          </w:tcPr>
          <w:p w14:paraId="3EE77190" w14:textId="77777777" w:rsidR="00465C0B" w:rsidRPr="00097A86" w:rsidRDefault="00465C0B" w:rsidP="00BE20A2">
            <w:pPr>
              <w:pStyle w:val="ENoteTableText"/>
              <w:tabs>
                <w:tab w:val="center" w:leader="dot" w:pos="2268"/>
              </w:tabs>
            </w:pPr>
          </w:p>
        </w:tc>
        <w:tc>
          <w:tcPr>
            <w:tcW w:w="3573" w:type="pct"/>
            <w:gridSpan w:val="2"/>
          </w:tcPr>
          <w:p w14:paraId="4FFC7D8C" w14:textId="77777777" w:rsidR="00465C0B" w:rsidRPr="00097A86" w:rsidRDefault="00465C0B" w:rsidP="00D22D3F">
            <w:pPr>
              <w:pStyle w:val="ENoteTableText"/>
            </w:pPr>
            <w:r w:rsidRPr="00097A86">
              <w:t>rep 2015 No 1</w:t>
            </w:r>
          </w:p>
        </w:tc>
      </w:tr>
      <w:tr w:rsidR="0048409F" w:rsidRPr="00097A86" w14:paraId="777C7658" w14:textId="77777777" w:rsidTr="00C20CC2">
        <w:tblPrEx>
          <w:jc w:val="center"/>
        </w:tblPrEx>
        <w:trPr>
          <w:gridAfter w:val="1"/>
          <w:wAfter w:w="37" w:type="pct"/>
          <w:jc w:val="center"/>
        </w:trPr>
        <w:tc>
          <w:tcPr>
            <w:tcW w:w="1390" w:type="pct"/>
            <w:gridSpan w:val="2"/>
          </w:tcPr>
          <w:p w14:paraId="77E345FE" w14:textId="77777777" w:rsidR="00682FA9" w:rsidRPr="00097A86" w:rsidRDefault="00682FA9" w:rsidP="00657E43">
            <w:pPr>
              <w:pStyle w:val="ENoteTableText"/>
              <w:tabs>
                <w:tab w:val="center" w:leader="dot" w:pos="2268"/>
              </w:tabs>
            </w:pPr>
            <w:r w:rsidRPr="00097A86">
              <w:t>Div</w:t>
            </w:r>
            <w:r w:rsidR="00657E43" w:rsidRPr="00097A86">
              <w:t>ision</w:t>
            </w:r>
            <w:r w:rsidR="00097A86">
              <w:t> </w:t>
            </w:r>
            <w:r w:rsidRPr="00097A86">
              <w:t>1.1A.4</w:t>
            </w:r>
            <w:r w:rsidRPr="00097A86">
              <w:tab/>
            </w:r>
          </w:p>
        </w:tc>
        <w:tc>
          <w:tcPr>
            <w:tcW w:w="3573" w:type="pct"/>
            <w:gridSpan w:val="2"/>
          </w:tcPr>
          <w:p w14:paraId="650121D9" w14:textId="77777777" w:rsidR="00682FA9" w:rsidRPr="00097A86" w:rsidRDefault="00B750D1" w:rsidP="00D22D3F">
            <w:pPr>
              <w:pStyle w:val="ENoteTableText"/>
            </w:pPr>
            <w:r w:rsidRPr="00097A86">
              <w:t>ad</w:t>
            </w:r>
            <w:r w:rsidR="00812DF4" w:rsidRPr="00097A86">
              <w:t xml:space="preserve"> 2013 No.</w:t>
            </w:r>
            <w:r w:rsidR="00097A86">
              <w:t> </w:t>
            </w:r>
            <w:r w:rsidR="00812DF4" w:rsidRPr="00097A86">
              <w:t>1</w:t>
            </w:r>
          </w:p>
        </w:tc>
      </w:tr>
      <w:tr w:rsidR="0048409F" w:rsidRPr="00097A86" w14:paraId="0822ADF7" w14:textId="77777777" w:rsidTr="00C20CC2">
        <w:tblPrEx>
          <w:jc w:val="center"/>
        </w:tblPrEx>
        <w:trPr>
          <w:gridAfter w:val="1"/>
          <w:wAfter w:w="37" w:type="pct"/>
          <w:jc w:val="center"/>
        </w:trPr>
        <w:tc>
          <w:tcPr>
            <w:tcW w:w="1390" w:type="pct"/>
            <w:gridSpan w:val="2"/>
          </w:tcPr>
          <w:p w14:paraId="7CD4F91D" w14:textId="77777777" w:rsidR="00465C0B" w:rsidRPr="00097A86" w:rsidRDefault="00465C0B" w:rsidP="00657E43">
            <w:pPr>
              <w:pStyle w:val="ENoteTableText"/>
              <w:tabs>
                <w:tab w:val="center" w:leader="dot" w:pos="2268"/>
              </w:tabs>
            </w:pPr>
          </w:p>
        </w:tc>
        <w:tc>
          <w:tcPr>
            <w:tcW w:w="3573" w:type="pct"/>
            <w:gridSpan w:val="2"/>
          </w:tcPr>
          <w:p w14:paraId="1165C426" w14:textId="77777777" w:rsidR="00465C0B" w:rsidRPr="00097A86" w:rsidRDefault="00465C0B" w:rsidP="00D22D3F">
            <w:pPr>
              <w:pStyle w:val="ENoteTableText"/>
            </w:pPr>
            <w:r w:rsidRPr="00097A86">
              <w:t>rep 2015 No 1</w:t>
            </w:r>
          </w:p>
        </w:tc>
      </w:tr>
      <w:tr w:rsidR="0048409F" w:rsidRPr="00097A86" w14:paraId="4B38F1F8" w14:textId="77777777" w:rsidTr="00C20CC2">
        <w:tblPrEx>
          <w:jc w:val="center"/>
        </w:tblPrEx>
        <w:trPr>
          <w:gridAfter w:val="1"/>
          <w:wAfter w:w="37" w:type="pct"/>
          <w:jc w:val="center"/>
        </w:trPr>
        <w:tc>
          <w:tcPr>
            <w:tcW w:w="1390" w:type="pct"/>
            <w:gridSpan w:val="2"/>
          </w:tcPr>
          <w:p w14:paraId="35788D23" w14:textId="77777777" w:rsidR="00682FA9" w:rsidRPr="00097A86" w:rsidRDefault="007E63CD" w:rsidP="00BE20A2">
            <w:pPr>
              <w:pStyle w:val="ENoteTableText"/>
              <w:tabs>
                <w:tab w:val="center" w:leader="dot" w:pos="2268"/>
              </w:tabs>
            </w:pPr>
            <w:r w:rsidRPr="00097A86">
              <w:t>s</w:t>
            </w:r>
            <w:r w:rsidR="00812DF4" w:rsidRPr="00097A86">
              <w:t xml:space="preserve"> 1.10H</w:t>
            </w:r>
            <w:r w:rsidR="00812DF4" w:rsidRPr="00097A86">
              <w:tab/>
            </w:r>
          </w:p>
        </w:tc>
        <w:tc>
          <w:tcPr>
            <w:tcW w:w="3573" w:type="pct"/>
            <w:gridSpan w:val="2"/>
          </w:tcPr>
          <w:p w14:paraId="6CCB383A" w14:textId="77777777" w:rsidR="00682FA9" w:rsidRPr="00097A86" w:rsidRDefault="00B750D1" w:rsidP="00D22D3F">
            <w:pPr>
              <w:pStyle w:val="ENoteTableText"/>
            </w:pPr>
            <w:r w:rsidRPr="00097A86">
              <w:t>ad</w:t>
            </w:r>
            <w:r w:rsidR="00812DF4" w:rsidRPr="00097A86">
              <w:t xml:space="preserve"> 2013 No.</w:t>
            </w:r>
            <w:r w:rsidR="00097A86">
              <w:t> </w:t>
            </w:r>
            <w:r w:rsidR="00812DF4" w:rsidRPr="00097A86">
              <w:t>1</w:t>
            </w:r>
          </w:p>
        </w:tc>
      </w:tr>
      <w:tr w:rsidR="0048409F" w:rsidRPr="00097A86" w14:paraId="4885AAE8" w14:textId="77777777" w:rsidTr="00C20CC2">
        <w:tblPrEx>
          <w:jc w:val="center"/>
        </w:tblPrEx>
        <w:trPr>
          <w:gridAfter w:val="1"/>
          <w:wAfter w:w="37" w:type="pct"/>
          <w:jc w:val="center"/>
        </w:trPr>
        <w:tc>
          <w:tcPr>
            <w:tcW w:w="1390" w:type="pct"/>
            <w:gridSpan w:val="2"/>
          </w:tcPr>
          <w:p w14:paraId="62A79C52" w14:textId="77777777" w:rsidR="00465C0B" w:rsidRPr="00097A86" w:rsidRDefault="00465C0B" w:rsidP="00BE20A2">
            <w:pPr>
              <w:pStyle w:val="ENoteTableText"/>
              <w:tabs>
                <w:tab w:val="center" w:leader="dot" w:pos="2268"/>
              </w:tabs>
            </w:pPr>
          </w:p>
        </w:tc>
        <w:tc>
          <w:tcPr>
            <w:tcW w:w="3573" w:type="pct"/>
            <w:gridSpan w:val="2"/>
          </w:tcPr>
          <w:p w14:paraId="5324DED6" w14:textId="77777777" w:rsidR="00465C0B" w:rsidRPr="00097A86" w:rsidRDefault="00465C0B" w:rsidP="00D22D3F">
            <w:pPr>
              <w:pStyle w:val="ENoteTableText"/>
            </w:pPr>
            <w:r w:rsidRPr="00097A86">
              <w:t>rep 2015 No 1</w:t>
            </w:r>
          </w:p>
        </w:tc>
      </w:tr>
      <w:tr w:rsidR="0048409F" w:rsidRPr="00097A86" w14:paraId="6F16600B" w14:textId="77777777" w:rsidTr="00C20CC2">
        <w:tblPrEx>
          <w:jc w:val="center"/>
        </w:tblPrEx>
        <w:trPr>
          <w:gridAfter w:val="1"/>
          <w:wAfter w:w="37" w:type="pct"/>
          <w:jc w:val="center"/>
        </w:trPr>
        <w:tc>
          <w:tcPr>
            <w:tcW w:w="1390" w:type="pct"/>
            <w:gridSpan w:val="2"/>
          </w:tcPr>
          <w:p w14:paraId="4AFA6717" w14:textId="77777777" w:rsidR="00812DF4" w:rsidRPr="00097A86" w:rsidRDefault="00812DF4" w:rsidP="00BE20A2">
            <w:pPr>
              <w:pStyle w:val="ENoteTableText"/>
              <w:tabs>
                <w:tab w:val="center" w:leader="dot" w:pos="2268"/>
              </w:tabs>
              <w:rPr>
                <w:b/>
              </w:rPr>
            </w:pPr>
            <w:r w:rsidRPr="00097A86">
              <w:rPr>
                <w:b/>
              </w:rPr>
              <w:t>Part</w:t>
            </w:r>
            <w:r w:rsidR="00097A86">
              <w:rPr>
                <w:b/>
              </w:rPr>
              <w:t> </w:t>
            </w:r>
            <w:r w:rsidRPr="00097A86">
              <w:rPr>
                <w:b/>
              </w:rPr>
              <w:t>1.1B</w:t>
            </w:r>
          </w:p>
        </w:tc>
        <w:tc>
          <w:tcPr>
            <w:tcW w:w="3573" w:type="pct"/>
            <w:gridSpan w:val="2"/>
          </w:tcPr>
          <w:p w14:paraId="0351AAE9" w14:textId="77777777" w:rsidR="00812DF4" w:rsidRPr="00097A86" w:rsidRDefault="00812DF4" w:rsidP="00D22D3F">
            <w:pPr>
              <w:pStyle w:val="ENoteTableText"/>
            </w:pPr>
          </w:p>
        </w:tc>
      </w:tr>
      <w:tr w:rsidR="0048409F" w:rsidRPr="00097A86" w14:paraId="2A687C4D" w14:textId="77777777" w:rsidTr="00C20CC2">
        <w:tblPrEx>
          <w:jc w:val="center"/>
        </w:tblPrEx>
        <w:trPr>
          <w:gridAfter w:val="1"/>
          <w:wAfter w:w="37" w:type="pct"/>
          <w:jc w:val="center"/>
        </w:trPr>
        <w:tc>
          <w:tcPr>
            <w:tcW w:w="1390" w:type="pct"/>
            <w:gridSpan w:val="2"/>
          </w:tcPr>
          <w:p w14:paraId="486F7711" w14:textId="77777777" w:rsidR="00812DF4" w:rsidRPr="00097A86" w:rsidRDefault="00812DF4" w:rsidP="00657E43">
            <w:pPr>
              <w:pStyle w:val="ENoteTableText"/>
              <w:tabs>
                <w:tab w:val="center" w:leader="dot" w:pos="2268"/>
              </w:tabs>
            </w:pPr>
            <w:r w:rsidRPr="00097A86">
              <w:lastRenderedPageBreak/>
              <w:t>Part</w:t>
            </w:r>
            <w:r w:rsidR="00097A86">
              <w:t> </w:t>
            </w:r>
            <w:r w:rsidRPr="00097A86">
              <w:t>1.1B</w:t>
            </w:r>
            <w:r w:rsidRPr="00097A86">
              <w:tab/>
            </w:r>
          </w:p>
        </w:tc>
        <w:tc>
          <w:tcPr>
            <w:tcW w:w="3573" w:type="pct"/>
            <w:gridSpan w:val="2"/>
          </w:tcPr>
          <w:p w14:paraId="77379553" w14:textId="77777777" w:rsidR="00812DF4" w:rsidRPr="00097A86" w:rsidRDefault="00B750D1" w:rsidP="00D22D3F">
            <w:pPr>
              <w:pStyle w:val="ENoteTableText"/>
            </w:pPr>
            <w:r w:rsidRPr="00097A86">
              <w:t>ad</w:t>
            </w:r>
            <w:r w:rsidR="00812DF4" w:rsidRPr="00097A86">
              <w:t xml:space="preserve"> 2013 No.</w:t>
            </w:r>
            <w:r w:rsidR="00097A86">
              <w:t> </w:t>
            </w:r>
            <w:r w:rsidR="00812DF4" w:rsidRPr="00097A86">
              <w:t>1</w:t>
            </w:r>
          </w:p>
        </w:tc>
      </w:tr>
      <w:tr w:rsidR="0048409F" w:rsidRPr="00097A86" w14:paraId="2B90F52F" w14:textId="77777777" w:rsidTr="00C20CC2">
        <w:tblPrEx>
          <w:jc w:val="center"/>
        </w:tblPrEx>
        <w:trPr>
          <w:gridAfter w:val="1"/>
          <w:wAfter w:w="37" w:type="pct"/>
          <w:jc w:val="center"/>
        </w:trPr>
        <w:tc>
          <w:tcPr>
            <w:tcW w:w="1390" w:type="pct"/>
            <w:gridSpan w:val="2"/>
          </w:tcPr>
          <w:p w14:paraId="0575663A" w14:textId="77777777" w:rsidR="00465C0B" w:rsidRPr="00097A86" w:rsidRDefault="00465C0B" w:rsidP="00657E43">
            <w:pPr>
              <w:pStyle w:val="ENoteTableText"/>
              <w:tabs>
                <w:tab w:val="center" w:leader="dot" w:pos="2268"/>
              </w:tabs>
            </w:pPr>
          </w:p>
        </w:tc>
        <w:tc>
          <w:tcPr>
            <w:tcW w:w="3573" w:type="pct"/>
            <w:gridSpan w:val="2"/>
          </w:tcPr>
          <w:p w14:paraId="03DF60CB" w14:textId="77777777" w:rsidR="00465C0B" w:rsidRPr="00097A86" w:rsidRDefault="00465C0B" w:rsidP="00D22D3F">
            <w:pPr>
              <w:pStyle w:val="ENoteTableText"/>
            </w:pPr>
            <w:r w:rsidRPr="00097A86">
              <w:t>rep 2015 No 1</w:t>
            </w:r>
          </w:p>
        </w:tc>
      </w:tr>
      <w:tr w:rsidR="0048409F" w:rsidRPr="00097A86" w14:paraId="456FC49E" w14:textId="77777777" w:rsidTr="00C20CC2">
        <w:tblPrEx>
          <w:jc w:val="center"/>
        </w:tblPrEx>
        <w:trPr>
          <w:gridAfter w:val="1"/>
          <w:wAfter w:w="37" w:type="pct"/>
          <w:jc w:val="center"/>
        </w:trPr>
        <w:tc>
          <w:tcPr>
            <w:tcW w:w="1390" w:type="pct"/>
            <w:gridSpan w:val="2"/>
          </w:tcPr>
          <w:p w14:paraId="731AD0B5" w14:textId="77777777" w:rsidR="0081146B" w:rsidRPr="00097A86" w:rsidRDefault="007E63CD" w:rsidP="00BE20A2">
            <w:pPr>
              <w:pStyle w:val="ENoteTableText"/>
              <w:tabs>
                <w:tab w:val="center" w:leader="dot" w:pos="2268"/>
              </w:tabs>
            </w:pPr>
            <w:r w:rsidRPr="00097A86">
              <w:t>s</w:t>
            </w:r>
            <w:r w:rsidR="0081146B" w:rsidRPr="00097A86">
              <w:t xml:space="preserve"> 1.10J</w:t>
            </w:r>
            <w:r w:rsidR="0081146B" w:rsidRPr="00097A86">
              <w:tab/>
            </w:r>
          </w:p>
        </w:tc>
        <w:tc>
          <w:tcPr>
            <w:tcW w:w="3573" w:type="pct"/>
            <w:gridSpan w:val="2"/>
          </w:tcPr>
          <w:p w14:paraId="66C59847"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57670064" w14:textId="77777777" w:rsidTr="00C20CC2">
        <w:tblPrEx>
          <w:jc w:val="center"/>
        </w:tblPrEx>
        <w:trPr>
          <w:gridAfter w:val="1"/>
          <w:wAfter w:w="37" w:type="pct"/>
          <w:jc w:val="center"/>
        </w:trPr>
        <w:tc>
          <w:tcPr>
            <w:tcW w:w="1390" w:type="pct"/>
            <w:gridSpan w:val="2"/>
          </w:tcPr>
          <w:p w14:paraId="6BD6BFA8" w14:textId="77777777" w:rsidR="00465C0B" w:rsidRPr="00097A86" w:rsidRDefault="00465C0B" w:rsidP="00BE20A2">
            <w:pPr>
              <w:pStyle w:val="ENoteTableText"/>
              <w:tabs>
                <w:tab w:val="center" w:leader="dot" w:pos="2268"/>
              </w:tabs>
            </w:pPr>
          </w:p>
        </w:tc>
        <w:tc>
          <w:tcPr>
            <w:tcW w:w="3573" w:type="pct"/>
            <w:gridSpan w:val="2"/>
          </w:tcPr>
          <w:p w14:paraId="28837D34" w14:textId="77777777" w:rsidR="00465C0B" w:rsidRPr="00097A86" w:rsidRDefault="00465C0B" w:rsidP="00D22D3F">
            <w:pPr>
              <w:pStyle w:val="ENoteTableText"/>
            </w:pPr>
            <w:r w:rsidRPr="00097A86">
              <w:t>rep 2015 No 1</w:t>
            </w:r>
          </w:p>
        </w:tc>
      </w:tr>
      <w:tr w:rsidR="0048409F" w:rsidRPr="00097A86" w14:paraId="57FBD429" w14:textId="77777777" w:rsidTr="00C20CC2">
        <w:tblPrEx>
          <w:jc w:val="center"/>
        </w:tblPrEx>
        <w:trPr>
          <w:gridAfter w:val="1"/>
          <w:wAfter w:w="37" w:type="pct"/>
          <w:jc w:val="center"/>
        </w:trPr>
        <w:tc>
          <w:tcPr>
            <w:tcW w:w="1390" w:type="pct"/>
            <w:gridSpan w:val="2"/>
          </w:tcPr>
          <w:p w14:paraId="2586E7A1" w14:textId="77777777" w:rsidR="0081146B" w:rsidRPr="00097A86" w:rsidRDefault="007E63CD" w:rsidP="00BE20A2">
            <w:pPr>
              <w:pStyle w:val="ENoteTableText"/>
              <w:tabs>
                <w:tab w:val="center" w:leader="dot" w:pos="2268"/>
              </w:tabs>
            </w:pPr>
            <w:r w:rsidRPr="00097A86">
              <w:t>s</w:t>
            </w:r>
            <w:r w:rsidR="0081146B" w:rsidRPr="00097A86">
              <w:t xml:space="preserve"> 1.10JA</w:t>
            </w:r>
            <w:r w:rsidR="0081146B" w:rsidRPr="00097A86">
              <w:tab/>
            </w:r>
          </w:p>
        </w:tc>
        <w:tc>
          <w:tcPr>
            <w:tcW w:w="3573" w:type="pct"/>
            <w:gridSpan w:val="2"/>
          </w:tcPr>
          <w:p w14:paraId="4370C329"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01C4B405" w14:textId="77777777" w:rsidTr="00C20CC2">
        <w:tblPrEx>
          <w:jc w:val="center"/>
        </w:tblPrEx>
        <w:trPr>
          <w:gridAfter w:val="1"/>
          <w:wAfter w:w="37" w:type="pct"/>
          <w:jc w:val="center"/>
        </w:trPr>
        <w:tc>
          <w:tcPr>
            <w:tcW w:w="1390" w:type="pct"/>
            <w:gridSpan w:val="2"/>
          </w:tcPr>
          <w:p w14:paraId="730701AF" w14:textId="77777777" w:rsidR="00465C0B" w:rsidRPr="00097A86" w:rsidRDefault="00465C0B" w:rsidP="00BE20A2">
            <w:pPr>
              <w:pStyle w:val="ENoteTableText"/>
              <w:tabs>
                <w:tab w:val="center" w:leader="dot" w:pos="2268"/>
              </w:tabs>
            </w:pPr>
          </w:p>
        </w:tc>
        <w:tc>
          <w:tcPr>
            <w:tcW w:w="3573" w:type="pct"/>
            <w:gridSpan w:val="2"/>
          </w:tcPr>
          <w:p w14:paraId="6ED879C7" w14:textId="77777777" w:rsidR="00465C0B" w:rsidRPr="00097A86" w:rsidRDefault="00465C0B" w:rsidP="00D22D3F">
            <w:pPr>
              <w:pStyle w:val="ENoteTableText"/>
            </w:pPr>
            <w:r w:rsidRPr="00097A86">
              <w:t>rep 2015 No 1</w:t>
            </w:r>
          </w:p>
        </w:tc>
      </w:tr>
      <w:tr w:rsidR="0048409F" w:rsidRPr="00097A86" w14:paraId="11526555" w14:textId="77777777" w:rsidTr="00C20CC2">
        <w:tblPrEx>
          <w:jc w:val="center"/>
        </w:tblPrEx>
        <w:trPr>
          <w:gridAfter w:val="1"/>
          <w:wAfter w:w="37" w:type="pct"/>
          <w:jc w:val="center"/>
        </w:trPr>
        <w:tc>
          <w:tcPr>
            <w:tcW w:w="1390" w:type="pct"/>
            <w:gridSpan w:val="2"/>
          </w:tcPr>
          <w:p w14:paraId="723AC681" w14:textId="77777777" w:rsidR="0081146B" w:rsidRPr="00097A86" w:rsidRDefault="007E63CD" w:rsidP="00BE20A2">
            <w:pPr>
              <w:pStyle w:val="ENoteTableText"/>
              <w:tabs>
                <w:tab w:val="center" w:leader="dot" w:pos="2268"/>
              </w:tabs>
            </w:pPr>
            <w:r w:rsidRPr="00097A86">
              <w:t>s</w:t>
            </w:r>
            <w:r w:rsidR="0081146B" w:rsidRPr="00097A86">
              <w:t xml:space="preserve"> 1.10JB</w:t>
            </w:r>
            <w:r w:rsidR="0081146B" w:rsidRPr="00097A86">
              <w:tab/>
            </w:r>
          </w:p>
        </w:tc>
        <w:tc>
          <w:tcPr>
            <w:tcW w:w="3573" w:type="pct"/>
            <w:gridSpan w:val="2"/>
          </w:tcPr>
          <w:p w14:paraId="53DE46E3"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52404CD9" w14:textId="77777777" w:rsidTr="00C20CC2">
        <w:tblPrEx>
          <w:jc w:val="center"/>
        </w:tblPrEx>
        <w:trPr>
          <w:gridAfter w:val="1"/>
          <w:wAfter w:w="37" w:type="pct"/>
          <w:jc w:val="center"/>
        </w:trPr>
        <w:tc>
          <w:tcPr>
            <w:tcW w:w="1390" w:type="pct"/>
            <w:gridSpan w:val="2"/>
          </w:tcPr>
          <w:p w14:paraId="210632D1" w14:textId="77777777" w:rsidR="00465C0B" w:rsidRPr="00097A86" w:rsidRDefault="00465C0B" w:rsidP="00BE20A2">
            <w:pPr>
              <w:pStyle w:val="ENoteTableText"/>
              <w:tabs>
                <w:tab w:val="center" w:leader="dot" w:pos="2268"/>
              </w:tabs>
            </w:pPr>
          </w:p>
        </w:tc>
        <w:tc>
          <w:tcPr>
            <w:tcW w:w="3573" w:type="pct"/>
            <w:gridSpan w:val="2"/>
          </w:tcPr>
          <w:p w14:paraId="05D8339A" w14:textId="77777777" w:rsidR="00465C0B" w:rsidRPr="00097A86" w:rsidRDefault="00465C0B" w:rsidP="00D22D3F">
            <w:pPr>
              <w:pStyle w:val="ENoteTableText"/>
            </w:pPr>
            <w:r w:rsidRPr="00097A86">
              <w:t>rep 2015 No 1</w:t>
            </w:r>
          </w:p>
        </w:tc>
      </w:tr>
      <w:tr w:rsidR="0048409F" w:rsidRPr="00097A86" w14:paraId="1C748F74" w14:textId="77777777" w:rsidTr="00C20CC2">
        <w:tblPrEx>
          <w:jc w:val="center"/>
        </w:tblPrEx>
        <w:trPr>
          <w:gridAfter w:val="1"/>
          <w:wAfter w:w="37" w:type="pct"/>
          <w:jc w:val="center"/>
        </w:trPr>
        <w:tc>
          <w:tcPr>
            <w:tcW w:w="1390" w:type="pct"/>
            <w:gridSpan w:val="2"/>
          </w:tcPr>
          <w:p w14:paraId="07D0F9A0" w14:textId="77777777" w:rsidR="0081146B" w:rsidRPr="00097A86" w:rsidRDefault="007E63CD" w:rsidP="00BE20A2">
            <w:pPr>
              <w:pStyle w:val="ENoteTableText"/>
              <w:tabs>
                <w:tab w:val="center" w:leader="dot" w:pos="2268"/>
              </w:tabs>
            </w:pPr>
            <w:r w:rsidRPr="00097A86">
              <w:t>s</w:t>
            </w:r>
            <w:r w:rsidR="0081146B" w:rsidRPr="00097A86">
              <w:t xml:space="preserve"> 1.10JC</w:t>
            </w:r>
            <w:r w:rsidR="0081146B" w:rsidRPr="00097A86">
              <w:tab/>
            </w:r>
          </w:p>
        </w:tc>
        <w:tc>
          <w:tcPr>
            <w:tcW w:w="3573" w:type="pct"/>
            <w:gridSpan w:val="2"/>
          </w:tcPr>
          <w:p w14:paraId="77052BF7"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17811771" w14:textId="77777777" w:rsidTr="00C20CC2">
        <w:tblPrEx>
          <w:jc w:val="center"/>
        </w:tblPrEx>
        <w:trPr>
          <w:gridAfter w:val="1"/>
          <w:wAfter w:w="37" w:type="pct"/>
          <w:jc w:val="center"/>
        </w:trPr>
        <w:tc>
          <w:tcPr>
            <w:tcW w:w="1390" w:type="pct"/>
            <w:gridSpan w:val="2"/>
          </w:tcPr>
          <w:p w14:paraId="3EB01E32" w14:textId="77777777" w:rsidR="00465C0B" w:rsidRPr="00097A86" w:rsidRDefault="00465C0B" w:rsidP="00BE20A2">
            <w:pPr>
              <w:pStyle w:val="ENoteTableText"/>
              <w:tabs>
                <w:tab w:val="center" w:leader="dot" w:pos="2268"/>
              </w:tabs>
            </w:pPr>
          </w:p>
        </w:tc>
        <w:tc>
          <w:tcPr>
            <w:tcW w:w="3573" w:type="pct"/>
            <w:gridSpan w:val="2"/>
          </w:tcPr>
          <w:p w14:paraId="058341D4" w14:textId="77777777" w:rsidR="00465C0B" w:rsidRPr="00097A86" w:rsidRDefault="00465C0B" w:rsidP="00D22D3F">
            <w:pPr>
              <w:pStyle w:val="ENoteTableText"/>
            </w:pPr>
            <w:r w:rsidRPr="00097A86">
              <w:t>rep 2015 No 1</w:t>
            </w:r>
          </w:p>
        </w:tc>
      </w:tr>
      <w:tr w:rsidR="0048409F" w:rsidRPr="00097A86" w14:paraId="19173C56" w14:textId="77777777" w:rsidTr="00C20CC2">
        <w:tblPrEx>
          <w:jc w:val="center"/>
        </w:tblPrEx>
        <w:trPr>
          <w:gridAfter w:val="1"/>
          <w:wAfter w:w="37" w:type="pct"/>
          <w:jc w:val="center"/>
        </w:trPr>
        <w:tc>
          <w:tcPr>
            <w:tcW w:w="1390" w:type="pct"/>
            <w:gridSpan w:val="2"/>
          </w:tcPr>
          <w:p w14:paraId="4E6D1115" w14:textId="77777777" w:rsidR="0081146B" w:rsidRPr="00097A86" w:rsidRDefault="007E63CD" w:rsidP="00BE20A2">
            <w:pPr>
              <w:pStyle w:val="ENoteTableText"/>
              <w:tabs>
                <w:tab w:val="center" w:leader="dot" w:pos="2268"/>
              </w:tabs>
            </w:pPr>
            <w:r w:rsidRPr="00097A86">
              <w:t>s</w:t>
            </w:r>
            <w:r w:rsidR="0081146B" w:rsidRPr="00097A86">
              <w:t xml:space="preserve"> 1.10JD</w:t>
            </w:r>
            <w:r w:rsidR="0081146B" w:rsidRPr="00097A86">
              <w:tab/>
            </w:r>
          </w:p>
        </w:tc>
        <w:tc>
          <w:tcPr>
            <w:tcW w:w="3573" w:type="pct"/>
            <w:gridSpan w:val="2"/>
          </w:tcPr>
          <w:p w14:paraId="493533F6"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B760590" w14:textId="77777777" w:rsidTr="00C20CC2">
        <w:tblPrEx>
          <w:jc w:val="center"/>
        </w:tblPrEx>
        <w:trPr>
          <w:gridAfter w:val="1"/>
          <w:wAfter w:w="37" w:type="pct"/>
          <w:jc w:val="center"/>
        </w:trPr>
        <w:tc>
          <w:tcPr>
            <w:tcW w:w="1390" w:type="pct"/>
            <w:gridSpan w:val="2"/>
          </w:tcPr>
          <w:p w14:paraId="2B726C29" w14:textId="77777777" w:rsidR="00465C0B" w:rsidRPr="00097A86" w:rsidRDefault="00465C0B" w:rsidP="00BE20A2">
            <w:pPr>
              <w:pStyle w:val="ENoteTableText"/>
              <w:tabs>
                <w:tab w:val="center" w:leader="dot" w:pos="2268"/>
              </w:tabs>
            </w:pPr>
          </w:p>
        </w:tc>
        <w:tc>
          <w:tcPr>
            <w:tcW w:w="3573" w:type="pct"/>
            <w:gridSpan w:val="2"/>
          </w:tcPr>
          <w:p w14:paraId="5FAC2E38" w14:textId="77777777" w:rsidR="00465C0B" w:rsidRPr="00097A86" w:rsidRDefault="00465C0B" w:rsidP="00D22D3F">
            <w:pPr>
              <w:pStyle w:val="ENoteTableText"/>
            </w:pPr>
            <w:r w:rsidRPr="00097A86">
              <w:t>rep 2015 No 1</w:t>
            </w:r>
          </w:p>
        </w:tc>
      </w:tr>
      <w:tr w:rsidR="0048409F" w:rsidRPr="00097A86" w14:paraId="0A2B274E" w14:textId="77777777" w:rsidTr="00C20CC2">
        <w:tblPrEx>
          <w:jc w:val="center"/>
        </w:tblPrEx>
        <w:trPr>
          <w:gridAfter w:val="1"/>
          <w:wAfter w:w="37" w:type="pct"/>
          <w:jc w:val="center"/>
        </w:trPr>
        <w:tc>
          <w:tcPr>
            <w:tcW w:w="1390" w:type="pct"/>
            <w:gridSpan w:val="2"/>
          </w:tcPr>
          <w:p w14:paraId="29C062BF" w14:textId="77777777" w:rsidR="0081146B" w:rsidRPr="00097A86" w:rsidRDefault="007E63CD" w:rsidP="00BE20A2">
            <w:pPr>
              <w:pStyle w:val="ENoteTableText"/>
              <w:tabs>
                <w:tab w:val="center" w:leader="dot" w:pos="2268"/>
              </w:tabs>
            </w:pPr>
            <w:r w:rsidRPr="00097A86">
              <w:t>s</w:t>
            </w:r>
            <w:r w:rsidR="0081146B" w:rsidRPr="00097A86">
              <w:t xml:space="preserve"> 1.10JE</w:t>
            </w:r>
            <w:r w:rsidR="0081146B" w:rsidRPr="00097A86">
              <w:tab/>
            </w:r>
          </w:p>
        </w:tc>
        <w:tc>
          <w:tcPr>
            <w:tcW w:w="3573" w:type="pct"/>
            <w:gridSpan w:val="2"/>
          </w:tcPr>
          <w:p w14:paraId="5498EF8F"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938E368" w14:textId="77777777" w:rsidTr="00C20CC2">
        <w:tblPrEx>
          <w:jc w:val="center"/>
        </w:tblPrEx>
        <w:trPr>
          <w:gridAfter w:val="1"/>
          <w:wAfter w:w="37" w:type="pct"/>
          <w:jc w:val="center"/>
        </w:trPr>
        <w:tc>
          <w:tcPr>
            <w:tcW w:w="1390" w:type="pct"/>
            <w:gridSpan w:val="2"/>
          </w:tcPr>
          <w:p w14:paraId="348F9375" w14:textId="77777777" w:rsidR="00465C0B" w:rsidRPr="00097A86" w:rsidRDefault="00465C0B" w:rsidP="00BE20A2">
            <w:pPr>
              <w:pStyle w:val="ENoteTableText"/>
              <w:tabs>
                <w:tab w:val="center" w:leader="dot" w:pos="2268"/>
              </w:tabs>
            </w:pPr>
          </w:p>
        </w:tc>
        <w:tc>
          <w:tcPr>
            <w:tcW w:w="3573" w:type="pct"/>
            <w:gridSpan w:val="2"/>
          </w:tcPr>
          <w:p w14:paraId="0318CB38" w14:textId="77777777" w:rsidR="00465C0B" w:rsidRPr="00097A86" w:rsidRDefault="00465C0B" w:rsidP="00D22D3F">
            <w:pPr>
              <w:pStyle w:val="ENoteTableText"/>
            </w:pPr>
            <w:r w:rsidRPr="00097A86">
              <w:t>rep 2015 No 1</w:t>
            </w:r>
          </w:p>
        </w:tc>
      </w:tr>
      <w:tr w:rsidR="0048409F" w:rsidRPr="00097A86" w14:paraId="60BA9810" w14:textId="77777777" w:rsidTr="00C20CC2">
        <w:tblPrEx>
          <w:jc w:val="center"/>
        </w:tblPrEx>
        <w:trPr>
          <w:gridAfter w:val="1"/>
          <w:wAfter w:w="37" w:type="pct"/>
          <w:jc w:val="center"/>
        </w:trPr>
        <w:tc>
          <w:tcPr>
            <w:tcW w:w="1390" w:type="pct"/>
            <w:gridSpan w:val="2"/>
          </w:tcPr>
          <w:p w14:paraId="4678F23D" w14:textId="77777777" w:rsidR="0081146B" w:rsidRPr="00097A86" w:rsidRDefault="007E63CD" w:rsidP="00BE20A2">
            <w:pPr>
              <w:pStyle w:val="ENoteTableText"/>
              <w:tabs>
                <w:tab w:val="center" w:leader="dot" w:pos="2268"/>
              </w:tabs>
            </w:pPr>
            <w:r w:rsidRPr="00097A86">
              <w:t>s</w:t>
            </w:r>
            <w:r w:rsidR="0081146B" w:rsidRPr="00097A86">
              <w:t xml:space="preserve"> 1.10JF</w:t>
            </w:r>
            <w:r w:rsidR="0081146B" w:rsidRPr="00097A86">
              <w:tab/>
            </w:r>
          </w:p>
        </w:tc>
        <w:tc>
          <w:tcPr>
            <w:tcW w:w="3573" w:type="pct"/>
            <w:gridSpan w:val="2"/>
          </w:tcPr>
          <w:p w14:paraId="28F1D665"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4C85030F" w14:textId="77777777" w:rsidTr="00C20CC2">
        <w:tblPrEx>
          <w:jc w:val="center"/>
        </w:tblPrEx>
        <w:trPr>
          <w:gridAfter w:val="1"/>
          <w:wAfter w:w="37" w:type="pct"/>
          <w:jc w:val="center"/>
        </w:trPr>
        <w:tc>
          <w:tcPr>
            <w:tcW w:w="1390" w:type="pct"/>
            <w:gridSpan w:val="2"/>
          </w:tcPr>
          <w:p w14:paraId="71688091" w14:textId="77777777" w:rsidR="00465C0B" w:rsidRPr="00097A86" w:rsidRDefault="00465C0B" w:rsidP="00BE20A2">
            <w:pPr>
              <w:pStyle w:val="ENoteTableText"/>
              <w:tabs>
                <w:tab w:val="center" w:leader="dot" w:pos="2268"/>
              </w:tabs>
            </w:pPr>
          </w:p>
        </w:tc>
        <w:tc>
          <w:tcPr>
            <w:tcW w:w="3573" w:type="pct"/>
            <w:gridSpan w:val="2"/>
          </w:tcPr>
          <w:p w14:paraId="511923F3" w14:textId="77777777" w:rsidR="00465C0B" w:rsidRPr="00097A86" w:rsidRDefault="00465C0B" w:rsidP="00D22D3F">
            <w:pPr>
              <w:pStyle w:val="ENoteTableText"/>
            </w:pPr>
            <w:r w:rsidRPr="00097A86">
              <w:t>rep 2015 No 1</w:t>
            </w:r>
          </w:p>
        </w:tc>
      </w:tr>
      <w:tr w:rsidR="0048409F" w:rsidRPr="00097A86" w14:paraId="7848C8AD" w14:textId="77777777" w:rsidTr="00C20CC2">
        <w:tblPrEx>
          <w:jc w:val="center"/>
        </w:tblPrEx>
        <w:trPr>
          <w:gridAfter w:val="1"/>
          <w:wAfter w:w="37" w:type="pct"/>
          <w:jc w:val="center"/>
        </w:trPr>
        <w:tc>
          <w:tcPr>
            <w:tcW w:w="1390" w:type="pct"/>
            <w:gridSpan w:val="2"/>
          </w:tcPr>
          <w:p w14:paraId="25D331DD" w14:textId="77777777" w:rsidR="0081146B" w:rsidRPr="00097A86" w:rsidRDefault="007E63CD" w:rsidP="00BE20A2">
            <w:pPr>
              <w:pStyle w:val="ENoteTableText"/>
              <w:tabs>
                <w:tab w:val="center" w:leader="dot" w:pos="2268"/>
              </w:tabs>
            </w:pPr>
            <w:r w:rsidRPr="00097A86">
              <w:t>s</w:t>
            </w:r>
            <w:r w:rsidR="0081146B" w:rsidRPr="00097A86">
              <w:t xml:space="preserve"> 1.10JG</w:t>
            </w:r>
            <w:r w:rsidR="0081146B" w:rsidRPr="00097A86">
              <w:tab/>
            </w:r>
          </w:p>
        </w:tc>
        <w:tc>
          <w:tcPr>
            <w:tcW w:w="3573" w:type="pct"/>
            <w:gridSpan w:val="2"/>
          </w:tcPr>
          <w:p w14:paraId="322CB5D7"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06085E6C" w14:textId="77777777" w:rsidTr="00C20CC2">
        <w:tblPrEx>
          <w:jc w:val="center"/>
        </w:tblPrEx>
        <w:trPr>
          <w:gridAfter w:val="1"/>
          <w:wAfter w:w="37" w:type="pct"/>
          <w:jc w:val="center"/>
        </w:trPr>
        <w:tc>
          <w:tcPr>
            <w:tcW w:w="1390" w:type="pct"/>
            <w:gridSpan w:val="2"/>
          </w:tcPr>
          <w:p w14:paraId="1B47914E" w14:textId="77777777" w:rsidR="00465C0B" w:rsidRPr="00097A86" w:rsidRDefault="00465C0B" w:rsidP="00465C0B">
            <w:pPr>
              <w:pStyle w:val="ENoteTableText"/>
              <w:tabs>
                <w:tab w:val="center" w:leader="dot" w:pos="2268"/>
              </w:tabs>
            </w:pPr>
          </w:p>
        </w:tc>
        <w:tc>
          <w:tcPr>
            <w:tcW w:w="3573" w:type="pct"/>
            <w:gridSpan w:val="2"/>
          </w:tcPr>
          <w:p w14:paraId="239E2BF0" w14:textId="77777777" w:rsidR="00465C0B" w:rsidRPr="00097A86" w:rsidRDefault="00465C0B" w:rsidP="00465C0B">
            <w:pPr>
              <w:pStyle w:val="ENoteTableText"/>
            </w:pPr>
            <w:r w:rsidRPr="00097A86">
              <w:t>rep 2015 No 1</w:t>
            </w:r>
          </w:p>
        </w:tc>
      </w:tr>
      <w:tr w:rsidR="0048409F" w:rsidRPr="00097A86" w14:paraId="2E944417" w14:textId="77777777" w:rsidTr="00C20CC2">
        <w:tblPrEx>
          <w:jc w:val="center"/>
        </w:tblPrEx>
        <w:trPr>
          <w:gridAfter w:val="1"/>
          <w:wAfter w:w="37" w:type="pct"/>
          <w:jc w:val="center"/>
        </w:trPr>
        <w:tc>
          <w:tcPr>
            <w:tcW w:w="1390" w:type="pct"/>
            <w:gridSpan w:val="2"/>
          </w:tcPr>
          <w:p w14:paraId="0A1B0C9C" w14:textId="77777777" w:rsidR="0081146B" w:rsidRPr="00097A86" w:rsidRDefault="007E63CD" w:rsidP="00BE20A2">
            <w:pPr>
              <w:pStyle w:val="ENoteTableText"/>
              <w:tabs>
                <w:tab w:val="center" w:leader="dot" w:pos="2268"/>
              </w:tabs>
            </w:pPr>
            <w:r w:rsidRPr="00097A86">
              <w:t>s</w:t>
            </w:r>
            <w:r w:rsidR="0081146B" w:rsidRPr="00097A86">
              <w:t xml:space="preserve"> 1.10JH</w:t>
            </w:r>
            <w:r w:rsidR="0081146B" w:rsidRPr="00097A86">
              <w:tab/>
            </w:r>
          </w:p>
        </w:tc>
        <w:tc>
          <w:tcPr>
            <w:tcW w:w="3573" w:type="pct"/>
            <w:gridSpan w:val="2"/>
          </w:tcPr>
          <w:p w14:paraId="4ABF7910"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94244A1" w14:textId="77777777" w:rsidTr="00C20CC2">
        <w:tblPrEx>
          <w:jc w:val="center"/>
        </w:tblPrEx>
        <w:trPr>
          <w:gridAfter w:val="1"/>
          <w:wAfter w:w="37" w:type="pct"/>
          <w:jc w:val="center"/>
        </w:trPr>
        <w:tc>
          <w:tcPr>
            <w:tcW w:w="1390" w:type="pct"/>
            <w:gridSpan w:val="2"/>
          </w:tcPr>
          <w:p w14:paraId="0904E1B4" w14:textId="77777777" w:rsidR="00465C0B" w:rsidRPr="00097A86" w:rsidRDefault="00465C0B" w:rsidP="00465C0B">
            <w:pPr>
              <w:pStyle w:val="ENoteTableText"/>
              <w:tabs>
                <w:tab w:val="center" w:leader="dot" w:pos="2268"/>
              </w:tabs>
            </w:pPr>
          </w:p>
        </w:tc>
        <w:tc>
          <w:tcPr>
            <w:tcW w:w="3573" w:type="pct"/>
            <w:gridSpan w:val="2"/>
          </w:tcPr>
          <w:p w14:paraId="1B536479" w14:textId="77777777" w:rsidR="00465C0B" w:rsidRPr="00097A86" w:rsidRDefault="00465C0B" w:rsidP="00465C0B">
            <w:pPr>
              <w:pStyle w:val="ENoteTableText"/>
            </w:pPr>
            <w:r w:rsidRPr="00097A86">
              <w:t>rep 2015 No 1</w:t>
            </w:r>
          </w:p>
        </w:tc>
      </w:tr>
      <w:tr w:rsidR="0048409F" w:rsidRPr="00097A86" w14:paraId="1C897C60" w14:textId="77777777" w:rsidTr="00C20CC2">
        <w:tblPrEx>
          <w:jc w:val="center"/>
        </w:tblPrEx>
        <w:trPr>
          <w:gridAfter w:val="1"/>
          <w:wAfter w:w="37" w:type="pct"/>
          <w:jc w:val="center"/>
        </w:trPr>
        <w:tc>
          <w:tcPr>
            <w:tcW w:w="1390" w:type="pct"/>
            <w:gridSpan w:val="2"/>
          </w:tcPr>
          <w:p w14:paraId="2E4FCA0D" w14:textId="77777777" w:rsidR="0081146B" w:rsidRPr="00097A86" w:rsidRDefault="007E63CD" w:rsidP="00BE20A2">
            <w:pPr>
              <w:pStyle w:val="ENoteTableText"/>
              <w:tabs>
                <w:tab w:val="center" w:leader="dot" w:pos="2268"/>
              </w:tabs>
            </w:pPr>
            <w:r w:rsidRPr="00097A86">
              <w:t>s</w:t>
            </w:r>
            <w:r w:rsidR="0081146B" w:rsidRPr="00097A86">
              <w:t xml:space="preserve"> 1.10JI</w:t>
            </w:r>
            <w:r w:rsidR="0081146B" w:rsidRPr="00097A86">
              <w:tab/>
            </w:r>
          </w:p>
        </w:tc>
        <w:tc>
          <w:tcPr>
            <w:tcW w:w="3573" w:type="pct"/>
            <w:gridSpan w:val="2"/>
          </w:tcPr>
          <w:p w14:paraId="46072E56"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60ABC27" w14:textId="77777777" w:rsidTr="00C20CC2">
        <w:tblPrEx>
          <w:jc w:val="center"/>
        </w:tblPrEx>
        <w:trPr>
          <w:gridAfter w:val="1"/>
          <w:wAfter w:w="37" w:type="pct"/>
          <w:jc w:val="center"/>
        </w:trPr>
        <w:tc>
          <w:tcPr>
            <w:tcW w:w="1390" w:type="pct"/>
            <w:gridSpan w:val="2"/>
          </w:tcPr>
          <w:p w14:paraId="61752E43" w14:textId="77777777" w:rsidR="00465C0B" w:rsidRPr="00097A86" w:rsidRDefault="00465C0B" w:rsidP="00465C0B">
            <w:pPr>
              <w:pStyle w:val="ENoteTableText"/>
              <w:tabs>
                <w:tab w:val="center" w:leader="dot" w:pos="2268"/>
              </w:tabs>
            </w:pPr>
          </w:p>
        </w:tc>
        <w:tc>
          <w:tcPr>
            <w:tcW w:w="3573" w:type="pct"/>
            <w:gridSpan w:val="2"/>
          </w:tcPr>
          <w:p w14:paraId="677CB3CD" w14:textId="77777777" w:rsidR="00465C0B" w:rsidRPr="00097A86" w:rsidRDefault="00465C0B" w:rsidP="00465C0B">
            <w:pPr>
              <w:pStyle w:val="ENoteTableText"/>
            </w:pPr>
            <w:r w:rsidRPr="00097A86">
              <w:t>rep 2015 No 1</w:t>
            </w:r>
          </w:p>
        </w:tc>
      </w:tr>
      <w:tr w:rsidR="0048409F" w:rsidRPr="00097A86" w14:paraId="46B66873" w14:textId="77777777" w:rsidTr="00C20CC2">
        <w:tblPrEx>
          <w:jc w:val="center"/>
        </w:tblPrEx>
        <w:trPr>
          <w:gridAfter w:val="1"/>
          <w:wAfter w:w="37" w:type="pct"/>
          <w:jc w:val="center"/>
        </w:trPr>
        <w:tc>
          <w:tcPr>
            <w:tcW w:w="1390" w:type="pct"/>
            <w:gridSpan w:val="2"/>
          </w:tcPr>
          <w:p w14:paraId="54E10799" w14:textId="77777777" w:rsidR="0081146B" w:rsidRPr="00097A86" w:rsidRDefault="007E63CD" w:rsidP="00BE20A2">
            <w:pPr>
              <w:pStyle w:val="ENoteTableText"/>
              <w:tabs>
                <w:tab w:val="center" w:leader="dot" w:pos="2268"/>
              </w:tabs>
            </w:pPr>
            <w:r w:rsidRPr="00097A86">
              <w:t>s</w:t>
            </w:r>
            <w:r w:rsidR="0081146B" w:rsidRPr="00097A86">
              <w:t xml:space="preserve"> 1.10JJ</w:t>
            </w:r>
            <w:r w:rsidR="0081146B" w:rsidRPr="00097A86">
              <w:tab/>
            </w:r>
          </w:p>
        </w:tc>
        <w:tc>
          <w:tcPr>
            <w:tcW w:w="3573" w:type="pct"/>
            <w:gridSpan w:val="2"/>
          </w:tcPr>
          <w:p w14:paraId="57ED53D8"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06AE08E2" w14:textId="77777777" w:rsidTr="00C20CC2">
        <w:tblPrEx>
          <w:jc w:val="center"/>
        </w:tblPrEx>
        <w:trPr>
          <w:gridAfter w:val="1"/>
          <w:wAfter w:w="37" w:type="pct"/>
          <w:jc w:val="center"/>
        </w:trPr>
        <w:tc>
          <w:tcPr>
            <w:tcW w:w="1390" w:type="pct"/>
            <w:gridSpan w:val="2"/>
          </w:tcPr>
          <w:p w14:paraId="5ED1DB97" w14:textId="77777777" w:rsidR="00465C0B" w:rsidRPr="00097A86" w:rsidRDefault="00465C0B" w:rsidP="00465C0B">
            <w:pPr>
              <w:pStyle w:val="ENoteTableText"/>
              <w:tabs>
                <w:tab w:val="center" w:leader="dot" w:pos="2268"/>
              </w:tabs>
            </w:pPr>
          </w:p>
        </w:tc>
        <w:tc>
          <w:tcPr>
            <w:tcW w:w="3573" w:type="pct"/>
            <w:gridSpan w:val="2"/>
          </w:tcPr>
          <w:p w14:paraId="33E22B90" w14:textId="77777777" w:rsidR="00465C0B" w:rsidRPr="00097A86" w:rsidRDefault="00465C0B" w:rsidP="00465C0B">
            <w:pPr>
              <w:pStyle w:val="ENoteTableText"/>
            </w:pPr>
            <w:r w:rsidRPr="00097A86">
              <w:t>rep 2015 No 1</w:t>
            </w:r>
          </w:p>
        </w:tc>
      </w:tr>
      <w:tr w:rsidR="0048409F" w:rsidRPr="00097A86" w14:paraId="610119CD" w14:textId="77777777" w:rsidTr="00C20CC2">
        <w:tblPrEx>
          <w:jc w:val="center"/>
        </w:tblPrEx>
        <w:trPr>
          <w:gridAfter w:val="1"/>
          <w:wAfter w:w="37" w:type="pct"/>
          <w:jc w:val="center"/>
        </w:trPr>
        <w:tc>
          <w:tcPr>
            <w:tcW w:w="1390" w:type="pct"/>
            <w:gridSpan w:val="2"/>
          </w:tcPr>
          <w:p w14:paraId="5D978A36" w14:textId="77777777" w:rsidR="0081146B" w:rsidRPr="00097A86" w:rsidRDefault="007E63CD" w:rsidP="00BE20A2">
            <w:pPr>
              <w:pStyle w:val="ENoteTableText"/>
              <w:tabs>
                <w:tab w:val="center" w:leader="dot" w:pos="2268"/>
              </w:tabs>
            </w:pPr>
            <w:r w:rsidRPr="00097A86">
              <w:t>s</w:t>
            </w:r>
            <w:r w:rsidR="0081146B" w:rsidRPr="00097A86">
              <w:t xml:space="preserve"> 1.10JK</w:t>
            </w:r>
            <w:r w:rsidR="0081146B" w:rsidRPr="00097A86">
              <w:tab/>
            </w:r>
          </w:p>
        </w:tc>
        <w:tc>
          <w:tcPr>
            <w:tcW w:w="3573" w:type="pct"/>
            <w:gridSpan w:val="2"/>
          </w:tcPr>
          <w:p w14:paraId="199E17BB"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F263841" w14:textId="77777777" w:rsidTr="00C20CC2">
        <w:tblPrEx>
          <w:jc w:val="center"/>
        </w:tblPrEx>
        <w:trPr>
          <w:gridAfter w:val="1"/>
          <w:wAfter w:w="37" w:type="pct"/>
          <w:jc w:val="center"/>
        </w:trPr>
        <w:tc>
          <w:tcPr>
            <w:tcW w:w="1390" w:type="pct"/>
            <w:gridSpan w:val="2"/>
          </w:tcPr>
          <w:p w14:paraId="0247C882" w14:textId="77777777" w:rsidR="00083C65" w:rsidRPr="00097A86" w:rsidRDefault="00083C65" w:rsidP="00BE20A2">
            <w:pPr>
              <w:pStyle w:val="ENoteTableText"/>
              <w:tabs>
                <w:tab w:val="center" w:leader="dot" w:pos="2268"/>
              </w:tabs>
            </w:pPr>
          </w:p>
        </w:tc>
        <w:tc>
          <w:tcPr>
            <w:tcW w:w="3573" w:type="pct"/>
            <w:gridSpan w:val="2"/>
          </w:tcPr>
          <w:p w14:paraId="16E3E072" w14:textId="77777777" w:rsidR="00083C65" w:rsidRPr="00097A86" w:rsidRDefault="00083C65" w:rsidP="00D22D3F">
            <w:pPr>
              <w:pStyle w:val="ENoteTableText"/>
            </w:pPr>
            <w:r w:rsidRPr="00097A86">
              <w:t>am 2014 No.</w:t>
            </w:r>
            <w:r w:rsidR="00097A86">
              <w:t> </w:t>
            </w:r>
            <w:r w:rsidRPr="00097A86">
              <w:t>1</w:t>
            </w:r>
          </w:p>
        </w:tc>
      </w:tr>
      <w:tr w:rsidR="0048409F" w:rsidRPr="00097A86" w14:paraId="28575E0E" w14:textId="77777777" w:rsidTr="00C20CC2">
        <w:tblPrEx>
          <w:jc w:val="center"/>
        </w:tblPrEx>
        <w:trPr>
          <w:gridAfter w:val="1"/>
          <w:wAfter w:w="37" w:type="pct"/>
          <w:jc w:val="center"/>
        </w:trPr>
        <w:tc>
          <w:tcPr>
            <w:tcW w:w="1390" w:type="pct"/>
            <w:gridSpan w:val="2"/>
          </w:tcPr>
          <w:p w14:paraId="3848E0FE" w14:textId="77777777" w:rsidR="00465C0B" w:rsidRPr="00097A86" w:rsidRDefault="00465C0B" w:rsidP="00465C0B">
            <w:pPr>
              <w:pStyle w:val="ENoteTableText"/>
              <w:tabs>
                <w:tab w:val="center" w:leader="dot" w:pos="2268"/>
              </w:tabs>
            </w:pPr>
          </w:p>
        </w:tc>
        <w:tc>
          <w:tcPr>
            <w:tcW w:w="3573" w:type="pct"/>
            <w:gridSpan w:val="2"/>
          </w:tcPr>
          <w:p w14:paraId="5EEC3FC5" w14:textId="77777777" w:rsidR="00465C0B" w:rsidRPr="00097A86" w:rsidRDefault="00465C0B" w:rsidP="00465C0B">
            <w:pPr>
              <w:pStyle w:val="ENoteTableText"/>
            </w:pPr>
            <w:r w:rsidRPr="00097A86">
              <w:t>rep 2015 No 1</w:t>
            </w:r>
          </w:p>
        </w:tc>
      </w:tr>
      <w:tr w:rsidR="0048409F" w:rsidRPr="00097A86" w14:paraId="287A6274" w14:textId="77777777" w:rsidTr="00C20CC2">
        <w:tblPrEx>
          <w:jc w:val="center"/>
        </w:tblPrEx>
        <w:trPr>
          <w:gridAfter w:val="1"/>
          <w:wAfter w:w="37" w:type="pct"/>
          <w:jc w:val="center"/>
        </w:trPr>
        <w:tc>
          <w:tcPr>
            <w:tcW w:w="1390" w:type="pct"/>
            <w:gridSpan w:val="2"/>
          </w:tcPr>
          <w:p w14:paraId="3AC011BC" w14:textId="77777777" w:rsidR="0081146B" w:rsidRPr="00097A86" w:rsidRDefault="007E63CD" w:rsidP="00BE20A2">
            <w:pPr>
              <w:pStyle w:val="ENoteTableText"/>
              <w:tabs>
                <w:tab w:val="center" w:leader="dot" w:pos="2268"/>
              </w:tabs>
            </w:pPr>
            <w:r w:rsidRPr="00097A86">
              <w:t>s</w:t>
            </w:r>
            <w:r w:rsidR="0081146B" w:rsidRPr="00097A86">
              <w:t xml:space="preserve"> 1.10JL</w:t>
            </w:r>
            <w:r w:rsidR="0081146B" w:rsidRPr="00097A86">
              <w:tab/>
            </w:r>
          </w:p>
        </w:tc>
        <w:tc>
          <w:tcPr>
            <w:tcW w:w="3573" w:type="pct"/>
            <w:gridSpan w:val="2"/>
          </w:tcPr>
          <w:p w14:paraId="75751A2F"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984674A" w14:textId="77777777" w:rsidTr="00C20CC2">
        <w:tblPrEx>
          <w:jc w:val="center"/>
        </w:tblPrEx>
        <w:trPr>
          <w:gridAfter w:val="1"/>
          <w:wAfter w:w="37" w:type="pct"/>
          <w:jc w:val="center"/>
        </w:trPr>
        <w:tc>
          <w:tcPr>
            <w:tcW w:w="1390" w:type="pct"/>
            <w:gridSpan w:val="2"/>
          </w:tcPr>
          <w:p w14:paraId="7A1FCCD6" w14:textId="77777777" w:rsidR="00465C0B" w:rsidRPr="00097A86" w:rsidRDefault="00465C0B" w:rsidP="00465C0B">
            <w:pPr>
              <w:pStyle w:val="ENoteTableText"/>
              <w:tabs>
                <w:tab w:val="center" w:leader="dot" w:pos="2268"/>
              </w:tabs>
            </w:pPr>
          </w:p>
        </w:tc>
        <w:tc>
          <w:tcPr>
            <w:tcW w:w="3573" w:type="pct"/>
            <w:gridSpan w:val="2"/>
          </w:tcPr>
          <w:p w14:paraId="31021FA2" w14:textId="77777777" w:rsidR="00465C0B" w:rsidRPr="00097A86" w:rsidRDefault="00465C0B" w:rsidP="00465C0B">
            <w:pPr>
              <w:pStyle w:val="ENoteTableText"/>
            </w:pPr>
            <w:r w:rsidRPr="00097A86">
              <w:t>rep 2015 No 1</w:t>
            </w:r>
          </w:p>
        </w:tc>
      </w:tr>
      <w:tr w:rsidR="0048409F" w:rsidRPr="00097A86" w14:paraId="78D77FC9" w14:textId="77777777" w:rsidTr="00C20CC2">
        <w:tblPrEx>
          <w:jc w:val="center"/>
        </w:tblPrEx>
        <w:trPr>
          <w:gridAfter w:val="1"/>
          <w:wAfter w:w="37" w:type="pct"/>
          <w:jc w:val="center"/>
        </w:trPr>
        <w:tc>
          <w:tcPr>
            <w:tcW w:w="1390" w:type="pct"/>
            <w:gridSpan w:val="2"/>
          </w:tcPr>
          <w:p w14:paraId="277B48C4" w14:textId="77777777" w:rsidR="0081146B" w:rsidRPr="00097A86" w:rsidRDefault="007E63CD" w:rsidP="00BE20A2">
            <w:pPr>
              <w:pStyle w:val="ENoteTableText"/>
              <w:tabs>
                <w:tab w:val="center" w:leader="dot" w:pos="2268"/>
              </w:tabs>
            </w:pPr>
            <w:r w:rsidRPr="00097A86">
              <w:t>s</w:t>
            </w:r>
            <w:r w:rsidR="0081146B" w:rsidRPr="00097A86">
              <w:t xml:space="preserve"> 1.10JM</w:t>
            </w:r>
            <w:r w:rsidR="0081146B" w:rsidRPr="00097A86">
              <w:tab/>
            </w:r>
          </w:p>
        </w:tc>
        <w:tc>
          <w:tcPr>
            <w:tcW w:w="3573" w:type="pct"/>
            <w:gridSpan w:val="2"/>
          </w:tcPr>
          <w:p w14:paraId="3FA35A99"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459C7BE4" w14:textId="77777777" w:rsidTr="00C20CC2">
        <w:tblPrEx>
          <w:jc w:val="center"/>
        </w:tblPrEx>
        <w:trPr>
          <w:gridAfter w:val="1"/>
          <w:wAfter w:w="37" w:type="pct"/>
          <w:jc w:val="center"/>
        </w:trPr>
        <w:tc>
          <w:tcPr>
            <w:tcW w:w="1390" w:type="pct"/>
            <w:gridSpan w:val="2"/>
          </w:tcPr>
          <w:p w14:paraId="7E4E4AE9" w14:textId="77777777" w:rsidR="00465C0B" w:rsidRPr="00097A86" w:rsidRDefault="00465C0B" w:rsidP="00465C0B">
            <w:pPr>
              <w:pStyle w:val="ENoteTableText"/>
              <w:tabs>
                <w:tab w:val="center" w:leader="dot" w:pos="2268"/>
              </w:tabs>
            </w:pPr>
          </w:p>
        </w:tc>
        <w:tc>
          <w:tcPr>
            <w:tcW w:w="3573" w:type="pct"/>
            <w:gridSpan w:val="2"/>
          </w:tcPr>
          <w:p w14:paraId="1C9CC774" w14:textId="77777777" w:rsidR="00465C0B" w:rsidRPr="00097A86" w:rsidRDefault="00465C0B" w:rsidP="00465C0B">
            <w:pPr>
              <w:pStyle w:val="ENoteTableText"/>
            </w:pPr>
            <w:r w:rsidRPr="00097A86">
              <w:t>rep 2015 No 1</w:t>
            </w:r>
          </w:p>
        </w:tc>
      </w:tr>
      <w:tr w:rsidR="0048409F" w:rsidRPr="00097A86" w14:paraId="1872987F" w14:textId="77777777" w:rsidTr="00C20CC2">
        <w:tblPrEx>
          <w:jc w:val="center"/>
        </w:tblPrEx>
        <w:trPr>
          <w:gridAfter w:val="1"/>
          <w:wAfter w:w="37" w:type="pct"/>
          <w:jc w:val="center"/>
        </w:trPr>
        <w:tc>
          <w:tcPr>
            <w:tcW w:w="1390" w:type="pct"/>
            <w:gridSpan w:val="2"/>
          </w:tcPr>
          <w:p w14:paraId="1F49AFFF" w14:textId="77777777" w:rsidR="0081146B" w:rsidRPr="00097A86" w:rsidRDefault="007E63CD" w:rsidP="00BE20A2">
            <w:pPr>
              <w:pStyle w:val="ENoteTableText"/>
              <w:tabs>
                <w:tab w:val="center" w:leader="dot" w:pos="2268"/>
              </w:tabs>
            </w:pPr>
            <w:r w:rsidRPr="00097A86">
              <w:t>s</w:t>
            </w:r>
            <w:r w:rsidR="0081146B" w:rsidRPr="00097A86">
              <w:t xml:space="preserve"> 1.10JN</w:t>
            </w:r>
            <w:r w:rsidR="0081146B" w:rsidRPr="00097A86">
              <w:tab/>
            </w:r>
          </w:p>
        </w:tc>
        <w:tc>
          <w:tcPr>
            <w:tcW w:w="3573" w:type="pct"/>
            <w:gridSpan w:val="2"/>
          </w:tcPr>
          <w:p w14:paraId="68F19F21"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2230100D" w14:textId="77777777" w:rsidTr="00C20CC2">
        <w:tblPrEx>
          <w:jc w:val="center"/>
        </w:tblPrEx>
        <w:trPr>
          <w:gridAfter w:val="1"/>
          <w:wAfter w:w="37" w:type="pct"/>
          <w:jc w:val="center"/>
        </w:trPr>
        <w:tc>
          <w:tcPr>
            <w:tcW w:w="1390" w:type="pct"/>
            <w:gridSpan w:val="2"/>
          </w:tcPr>
          <w:p w14:paraId="7F50FC00" w14:textId="77777777" w:rsidR="00465C0B" w:rsidRPr="00097A86" w:rsidRDefault="00465C0B" w:rsidP="00465C0B">
            <w:pPr>
              <w:pStyle w:val="ENoteTableText"/>
              <w:tabs>
                <w:tab w:val="center" w:leader="dot" w:pos="2268"/>
              </w:tabs>
            </w:pPr>
          </w:p>
        </w:tc>
        <w:tc>
          <w:tcPr>
            <w:tcW w:w="3573" w:type="pct"/>
            <w:gridSpan w:val="2"/>
          </w:tcPr>
          <w:p w14:paraId="60E09139" w14:textId="77777777" w:rsidR="00465C0B" w:rsidRPr="00097A86" w:rsidRDefault="00465C0B" w:rsidP="00465C0B">
            <w:pPr>
              <w:pStyle w:val="ENoteTableText"/>
            </w:pPr>
            <w:r w:rsidRPr="00097A86">
              <w:t>rep 2015 No 1</w:t>
            </w:r>
          </w:p>
        </w:tc>
      </w:tr>
      <w:tr w:rsidR="0048409F" w:rsidRPr="00097A86" w14:paraId="5340AF47" w14:textId="77777777" w:rsidTr="00C20CC2">
        <w:tblPrEx>
          <w:jc w:val="center"/>
        </w:tblPrEx>
        <w:trPr>
          <w:gridAfter w:val="1"/>
          <w:wAfter w:w="37" w:type="pct"/>
          <w:jc w:val="center"/>
        </w:trPr>
        <w:tc>
          <w:tcPr>
            <w:tcW w:w="1390" w:type="pct"/>
            <w:gridSpan w:val="2"/>
          </w:tcPr>
          <w:p w14:paraId="28E47C1F" w14:textId="77777777" w:rsidR="0081146B" w:rsidRPr="00097A86" w:rsidRDefault="007E63CD" w:rsidP="00BE20A2">
            <w:pPr>
              <w:pStyle w:val="ENoteTableText"/>
              <w:tabs>
                <w:tab w:val="center" w:leader="dot" w:pos="2268"/>
              </w:tabs>
            </w:pPr>
            <w:r w:rsidRPr="00097A86">
              <w:t>s</w:t>
            </w:r>
            <w:r w:rsidR="0081146B" w:rsidRPr="00097A86">
              <w:t xml:space="preserve"> 1.10JO</w:t>
            </w:r>
            <w:r w:rsidR="0081146B" w:rsidRPr="00097A86">
              <w:tab/>
            </w:r>
          </w:p>
        </w:tc>
        <w:tc>
          <w:tcPr>
            <w:tcW w:w="3573" w:type="pct"/>
            <w:gridSpan w:val="2"/>
          </w:tcPr>
          <w:p w14:paraId="607A69FB"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20E37BFB" w14:textId="77777777" w:rsidTr="00C20CC2">
        <w:tblPrEx>
          <w:jc w:val="center"/>
        </w:tblPrEx>
        <w:trPr>
          <w:gridAfter w:val="1"/>
          <w:wAfter w:w="37" w:type="pct"/>
          <w:jc w:val="center"/>
        </w:trPr>
        <w:tc>
          <w:tcPr>
            <w:tcW w:w="1390" w:type="pct"/>
            <w:gridSpan w:val="2"/>
          </w:tcPr>
          <w:p w14:paraId="7391229D" w14:textId="77777777" w:rsidR="00465C0B" w:rsidRPr="00097A86" w:rsidRDefault="00465C0B" w:rsidP="00465C0B">
            <w:pPr>
              <w:pStyle w:val="ENoteTableText"/>
              <w:tabs>
                <w:tab w:val="center" w:leader="dot" w:pos="2268"/>
              </w:tabs>
            </w:pPr>
          </w:p>
        </w:tc>
        <w:tc>
          <w:tcPr>
            <w:tcW w:w="3573" w:type="pct"/>
            <w:gridSpan w:val="2"/>
          </w:tcPr>
          <w:p w14:paraId="21E9C97D" w14:textId="77777777" w:rsidR="00465C0B" w:rsidRPr="00097A86" w:rsidRDefault="00465C0B" w:rsidP="00465C0B">
            <w:pPr>
              <w:pStyle w:val="ENoteTableText"/>
            </w:pPr>
            <w:r w:rsidRPr="00097A86">
              <w:t>rep 2015 No 1</w:t>
            </w:r>
          </w:p>
        </w:tc>
      </w:tr>
      <w:tr w:rsidR="0048409F" w:rsidRPr="00097A86" w14:paraId="3972ACEF" w14:textId="77777777" w:rsidTr="00C20CC2">
        <w:tblPrEx>
          <w:jc w:val="center"/>
        </w:tblPrEx>
        <w:trPr>
          <w:gridAfter w:val="1"/>
          <w:wAfter w:w="37" w:type="pct"/>
          <w:jc w:val="center"/>
        </w:trPr>
        <w:tc>
          <w:tcPr>
            <w:tcW w:w="1390" w:type="pct"/>
            <w:gridSpan w:val="2"/>
          </w:tcPr>
          <w:p w14:paraId="52180F2B" w14:textId="77777777" w:rsidR="0081146B" w:rsidRPr="00097A86" w:rsidRDefault="007E63CD" w:rsidP="00BE20A2">
            <w:pPr>
              <w:pStyle w:val="ENoteTableText"/>
              <w:tabs>
                <w:tab w:val="center" w:leader="dot" w:pos="2268"/>
              </w:tabs>
            </w:pPr>
            <w:r w:rsidRPr="00097A86">
              <w:t>s</w:t>
            </w:r>
            <w:r w:rsidR="0081146B" w:rsidRPr="00097A86">
              <w:t xml:space="preserve"> 1.10JP</w:t>
            </w:r>
            <w:r w:rsidR="0081146B" w:rsidRPr="00097A86">
              <w:tab/>
            </w:r>
          </w:p>
        </w:tc>
        <w:tc>
          <w:tcPr>
            <w:tcW w:w="3573" w:type="pct"/>
            <w:gridSpan w:val="2"/>
          </w:tcPr>
          <w:p w14:paraId="000ACD4D"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7ED028F" w14:textId="77777777" w:rsidTr="00C20CC2">
        <w:tblPrEx>
          <w:jc w:val="center"/>
        </w:tblPrEx>
        <w:trPr>
          <w:gridAfter w:val="1"/>
          <w:wAfter w:w="37" w:type="pct"/>
          <w:jc w:val="center"/>
        </w:trPr>
        <w:tc>
          <w:tcPr>
            <w:tcW w:w="1390" w:type="pct"/>
            <w:gridSpan w:val="2"/>
          </w:tcPr>
          <w:p w14:paraId="7F611BDF" w14:textId="77777777" w:rsidR="00465C0B" w:rsidRPr="00097A86" w:rsidRDefault="00465C0B" w:rsidP="00465C0B">
            <w:pPr>
              <w:pStyle w:val="ENoteTableText"/>
              <w:tabs>
                <w:tab w:val="center" w:leader="dot" w:pos="2268"/>
              </w:tabs>
            </w:pPr>
          </w:p>
        </w:tc>
        <w:tc>
          <w:tcPr>
            <w:tcW w:w="3573" w:type="pct"/>
            <w:gridSpan w:val="2"/>
          </w:tcPr>
          <w:p w14:paraId="4B7739B0" w14:textId="77777777" w:rsidR="00465C0B" w:rsidRPr="00097A86" w:rsidRDefault="00465C0B" w:rsidP="00465C0B">
            <w:pPr>
              <w:pStyle w:val="ENoteTableText"/>
            </w:pPr>
            <w:r w:rsidRPr="00097A86">
              <w:t>rep 2015 No 1</w:t>
            </w:r>
          </w:p>
        </w:tc>
      </w:tr>
      <w:tr w:rsidR="0048409F" w:rsidRPr="00097A86" w14:paraId="11111305" w14:textId="77777777" w:rsidTr="00C20CC2">
        <w:tblPrEx>
          <w:jc w:val="center"/>
        </w:tblPrEx>
        <w:trPr>
          <w:gridAfter w:val="1"/>
          <w:wAfter w:w="37" w:type="pct"/>
          <w:jc w:val="center"/>
        </w:trPr>
        <w:tc>
          <w:tcPr>
            <w:tcW w:w="1390" w:type="pct"/>
            <w:gridSpan w:val="2"/>
          </w:tcPr>
          <w:p w14:paraId="1A87F7D3" w14:textId="77777777" w:rsidR="0081146B" w:rsidRPr="00097A86" w:rsidRDefault="007E63CD" w:rsidP="00BE20A2">
            <w:pPr>
              <w:pStyle w:val="ENoteTableText"/>
              <w:tabs>
                <w:tab w:val="center" w:leader="dot" w:pos="2268"/>
              </w:tabs>
            </w:pPr>
            <w:r w:rsidRPr="00097A86">
              <w:t>s</w:t>
            </w:r>
            <w:r w:rsidR="0081146B" w:rsidRPr="00097A86">
              <w:t xml:space="preserve"> 1.10JQ</w:t>
            </w:r>
            <w:r w:rsidR="0081146B" w:rsidRPr="00097A86">
              <w:tab/>
            </w:r>
          </w:p>
        </w:tc>
        <w:tc>
          <w:tcPr>
            <w:tcW w:w="3573" w:type="pct"/>
            <w:gridSpan w:val="2"/>
          </w:tcPr>
          <w:p w14:paraId="6D3B2541"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2C13275" w14:textId="77777777" w:rsidTr="00C20CC2">
        <w:tblPrEx>
          <w:jc w:val="center"/>
        </w:tblPrEx>
        <w:trPr>
          <w:gridAfter w:val="1"/>
          <w:wAfter w:w="37" w:type="pct"/>
          <w:jc w:val="center"/>
        </w:trPr>
        <w:tc>
          <w:tcPr>
            <w:tcW w:w="1390" w:type="pct"/>
            <w:gridSpan w:val="2"/>
          </w:tcPr>
          <w:p w14:paraId="57136994" w14:textId="77777777" w:rsidR="00465C0B" w:rsidRPr="00097A86" w:rsidRDefault="00465C0B" w:rsidP="00465C0B">
            <w:pPr>
              <w:pStyle w:val="ENoteTableText"/>
              <w:tabs>
                <w:tab w:val="center" w:leader="dot" w:pos="2268"/>
              </w:tabs>
            </w:pPr>
          </w:p>
        </w:tc>
        <w:tc>
          <w:tcPr>
            <w:tcW w:w="3573" w:type="pct"/>
            <w:gridSpan w:val="2"/>
          </w:tcPr>
          <w:p w14:paraId="1EC6268A" w14:textId="77777777" w:rsidR="00465C0B" w:rsidRPr="00097A86" w:rsidRDefault="00465C0B" w:rsidP="00465C0B">
            <w:pPr>
              <w:pStyle w:val="ENoteTableText"/>
            </w:pPr>
            <w:r w:rsidRPr="00097A86">
              <w:t>rep 2015 No 1</w:t>
            </w:r>
          </w:p>
        </w:tc>
      </w:tr>
      <w:tr w:rsidR="0048409F" w:rsidRPr="00097A86" w14:paraId="4C0CF15A" w14:textId="77777777" w:rsidTr="00C20CC2">
        <w:tblPrEx>
          <w:jc w:val="center"/>
        </w:tblPrEx>
        <w:trPr>
          <w:gridAfter w:val="1"/>
          <w:wAfter w:w="37" w:type="pct"/>
          <w:jc w:val="center"/>
        </w:trPr>
        <w:tc>
          <w:tcPr>
            <w:tcW w:w="1390" w:type="pct"/>
            <w:gridSpan w:val="2"/>
          </w:tcPr>
          <w:p w14:paraId="38B9806E" w14:textId="77777777" w:rsidR="0081146B" w:rsidRPr="00097A86" w:rsidRDefault="0081146B" w:rsidP="00657E43">
            <w:pPr>
              <w:pStyle w:val="ENoteTableText"/>
              <w:tabs>
                <w:tab w:val="center" w:leader="dot" w:pos="2268"/>
              </w:tabs>
            </w:pPr>
            <w:r w:rsidRPr="00097A86">
              <w:lastRenderedPageBreak/>
              <w:t>Part</w:t>
            </w:r>
            <w:r w:rsidR="00097A86">
              <w:t> </w:t>
            </w:r>
            <w:r w:rsidRPr="00097A86">
              <w:t>1.1C</w:t>
            </w:r>
            <w:r w:rsidRPr="00097A86">
              <w:tab/>
            </w:r>
          </w:p>
        </w:tc>
        <w:tc>
          <w:tcPr>
            <w:tcW w:w="3573" w:type="pct"/>
            <w:gridSpan w:val="2"/>
          </w:tcPr>
          <w:p w14:paraId="3F80D234"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87FF459" w14:textId="77777777" w:rsidTr="00C20CC2">
        <w:tblPrEx>
          <w:jc w:val="center"/>
        </w:tblPrEx>
        <w:trPr>
          <w:gridAfter w:val="1"/>
          <w:wAfter w:w="37" w:type="pct"/>
          <w:jc w:val="center"/>
        </w:trPr>
        <w:tc>
          <w:tcPr>
            <w:tcW w:w="1390" w:type="pct"/>
            <w:gridSpan w:val="2"/>
          </w:tcPr>
          <w:p w14:paraId="2793E915" w14:textId="77777777" w:rsidR="00465C0B" w:rsidRPr="00097A86" w:rsidRDefault="00465C0B" w:rsidP="00465C0B">
            <w:pPr>
              <w:pStyle w:val="ENoteTableText"/>
              <w:tabs>
                <w:tab w:val="center" w:leader="dot" w:pos="2268"/>
              </w:tabs>
            </w:pPr>
          </w:p>
        </w:tc>
        <w:tc>
          <w:tcPr>
            <w:tcW w:w="3573" w:type="pct"/>
            <w:gridSpan w:val="2"/>
          </w:tcPr>
          <w:p w14:paraId="706186DE" w14:textId="77777777" w:rsidR="00465C0B" w:rsidRPr="00097A86" w:rsidRDefault="00465C0B" w:rsidP="00465C0B">
            <w:pPr>
              <w:pStyle w:val="ENoteTableText"/>
            </w:pPr>
            <w:r w:rsidRPr="00097A86">
              <w:t>rep 2015 No 1</w:t>
            </w:r>
          </w:p>
        </w:tc>
      </w:tr>
      <w:tr w:rsidR="0048409F" w:rsidRPr="00097A86" w14:paraId="6851F7CD" w14:textId="77777777" w:rsidTr="00C20CC2">
        <w:tblPrEx>
          <w:jc w:val="center"/>
        </w:tblPrEx>
        <w:trPr>
          <w:gridAfter w:val="1"/>
          <w:wAfter w:w="37" w:type="pct"/>
          <w:jc w:val="center"/>
        </w:trPr>
        <w:tc>
          <w:tcPr>
            <w:tcW w:w="1390" w:type="pct"/>
            <w:gridSpan w:val="2"/>
          </w:tcPr>
          <w:p w14:paraId="0FCDE45C" w14:textId="77777777" w:rsidR="0081146B" w:rsidRPr="00097A86" w:rsidRDefault="007E63CD" w:rsidP="00BE20A2">
            <w:pPr>
              <w:pStyle w:val="ENoteTableText"/>
              <w:tabs>
                <w:tab w:val="center" w:leader="dot" w:pos="2268"/>
              </w:tabs>
            </w:pPr>
            <w:r w:rsidRPr="00097A86">
              <w:t>s</w:t>
            </w:r>
            <w:r w:rsidR="0081146B" w:rsidRPr="00097A86">
              <w:t xml:space="preserve"> 1.10K</w:t>
            </w:r>
            <w:r w:rsidR="0081146B" w:rsidRPr="00097A86">
              <w:tab/>
            </w:r>
          </w:p>
        </w:tc>
        <w:tc>
          <w:tcPr>
            <w:tcW w:w="3573" w:type="pct"/>
            <w:gridSpan w:val="2"/>
          </w:tcPr>
          <w:p w14:paraId="68BE51B8"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1EEA2588" w14:textId="77777777" w:rsidTr="00C20CC2">
        <w:tblPrEx>
          <w:jc w:val="center"/>
        </w:tblPrEx>
        <w:trPr>
          <w:gridAfter w:val="1"/>
          <w:wAfter w:w="37" w:type="pct"/>
          <w:jc w:val="center"/>
        </w:trPr>
        <w:tc>
          <w:tcPr>
            <w:tcW w:w="1390" w:type="pct"/>
            <w:gridSpan w:val="2"/>
          </w:tcPr>
          <w:p w14:paraId="2B9C6C42" w14:textId="77777777" w:rsidR="00465C0B" w:rsidRPr="00097A86" w:rsidRDefault="00465C0B" w:rsidP="00465C0B">
            <w:pPr>
              <w:pStyle w:val="ENoteTableText"/>
              <w:tabs>
                <w:tab w:val="center" w:leader="dot" w:pos="2268"/>
              </w:tabs>
            </w:pPr>
          </w:p>
        </w:tc>
        <w:tc>
          <w:tcPr>
            <w:tcW w:w="3573" w:type="pct"/>
            <w:gridSpan w:val="2"/>
          </w:tcPr>
          <w:p w14:paraId="2AF1F253" w14:textId="77777777" w:rsidR="00465C0B" w:rsidRPr="00097A86" w:rsidRDefault="00465C0B" w:rsidP="00465C0B">
            <w:pPr>
              <w:pStyle w:val="ENoteTableText"/>
            </w:pPr>
            <w:r w:rsidRPr="00097A86">
              <w:t>rep 2015 No 1</w:t>
            </w:r>
          </w:p>
        </w:tc>
      </w:tr>
      <w:tr w:rsidR="0048409F" w:rsidRPr="00097A86" w14:paraId="2F30386E" w14:textId="77777777" w:rsidTr="00C20CC2">
        <w:tblPrEx>
          <w:jc w:val="center"/>
        </w:tblPrEx>
        <w:trPr>
          <w:gridAfter w:val="1"/>
          <w:wAfter w:w="37" w:type="pct"/>
          <w:jc w:val="center"/>
        </w:trPr>
        <w:tc>
          <w:tcPr>
            <w:tcW w:w="1390" w:type="pct"/>
            <w:gridSpan w:val="2"/>
          </w:tcPr>
          <w:p w14:paraId="17AEA1E8" w14:textId="77777777" w:rsidR="0081146B" w:rsidRPr="00097A86" w:rsidRDefault="007E63CD" w:rsidP="00BE20A2">
            <w:pPr>
              <w:pStyle w:val="ENoteTableText"/>
              <w:tabs>
                <w:tab w:val="center" w:leader="dot" w:pos="2268"/>
              </w:tabs>
            </w:pPr>
            <w:r w:rsidRPr="00097A86">
              <w:t>s</w:t>
            </w:r>
            <w:r w:rsidR="0081146B" w:rsidRPr="00097A86">
              <w:t xml:space="preserve"> 1.10KA</w:t>
            </w:r>
            <w:r w:rsidR="00D6592F" w:rsidRPr="00097A86">
              <w:tab/>
            </w:r>
          </w:p>
        </w:tc>
        <w:tc>
          <w:tcPr>
            <w:tcW w:w="3573" w:type="pct"/>
            <w:gridSpan w:val="2"/>
          </w:tcPr>
          <w:p w14:paraId="21861068"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1B419E3E" w14:textId="77777777" w:rsidTr="00C20CC2">
        <w:tblPrEx>
          <w:jc w:val="center"/>
        </w:tblPrEx>
        <w:trPr>
          <w:gridAfter w:val="1"/>
          <w:wAfter w:w="37" w:type="pct"/>
          <w:jc w:val="center"/>
        </w:trPr>
        <w:tc>
          <w:tcPr>
            <w:tcW w:w="1390" w:type="pct"/>
            <w:gridSpan w:val="2"/>
          </w:tcPr>
          <w:p w14:paraId="67F194D9" w14:textId="77777777" w:rsidR="00465C0B" w:rsidRPr="00097A86" w:rsidRDefault="00465C0B" w:rsidP="00465C0B">
            <w:pPr>
              <w:pStyle w:val="ENoteTableText"/>
              <w:tabs>
                <w:tab w:val="center" w:leader="dot" w:pos="2268"/>
              </w:tabs>
            </w:pPr>
          </w:p>
        </w:tc>
        <w:tc>
          <w:tcPr>
            <w:tcW w:w="3573" w:type="pct"/>
            <w:gridSpan w:val="2"/>
          </w:tcPr>
          <w:p w14:paraId="39E82E36" w14:textId="77777777" w:rsidR="00465C0B" w:rsidRPr="00097A86" w:rsidRDefault="00465C0B" w:rsidP="00465C0B">
            <w:pPr>
              <w:pStyle w:val="ENoteTableText"/>
            </w:pPr>
            <w:r w:rsidRPr="00097A86">
              <w:t>rep 2015 No 1</w:t>
            </w:r>
          </w:p>
        </w:tc>
      </w:tr>
      <w:tr w:rsidR="0048409F" w:rsidRPr="00097A86" w14:paraId="150D5FF3" w14:textId="77777777" w:rsidTr="00C20CC2">
        <w:tblPrEx>
          <w:jc w:val="center"/>
        </w:tblPrEx>
        <w:trPr>
          <w:gridAfter w:val="1"/>
          <w:wAfter w:w="37" w:type="pct"/>
          <w:jc w:val="center"/>
        </w:trPr>
        <w:tc>
          <w:tcPr>
            <w:tcW w:w="1390" w:type="pct"/>
            <w:gridSpan w:val="2"/>
          </w:tcPr>
          <w:p w14:paraId="3F607515" w14:textId="77777777" w:rsidR="0081146B" w:rsidRPr="00097A86" w:rsidRDefault="007E63CD" w:rsidP="00BE20A2">
            <w:pPr>
              <w:pStyle w:val="ENoteTableText"/>
              <w:tabs>
                <w:tab w:val="center" w:leader="dot" w:pos="2268"/>
              </w:tabs>
            </w:pPr>
            <w:r w:rsidRPr="00097A86">
              <w:t>s</w:t>
            </w:r>
            <w:r w:rsidR="0081146B" w:rsidRPr="00097A86">
              <w:t xml:space="preserve"> 1.10KB</w:t>
            </w:r>
            <w:r w:rsidR="0081146B" w:rsidRPr="00097A86">
              <w:tab/>
            </w:r>
          </w:p>
        </w:tc>
        <w:tc>
          <w:tcPr>
            <w:tcW w:w="3573" w:type="pct"/>
            <w:gridSpan w:val="2"/>
          </w:tcPr>
          <w:p w14:paraId="7278882F"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4628991" w14:textId="77777777" w:rsidTr="00C20CC2">
        <w:tblPrEx>
          <w:jc w:val="center"/>
        </w:tblPrEx>
        <w:trPr>
          <w:gridAfter w:val="1"/>
          <w:wAfter w:w="37" w:type="pct"/>
          <w:jc w:val="center"/>
        </w:trPr>
        <w:tc>
          <w:tcPr>
            <w:tcW w:w="1390" w:type="pct"/>
            <w:gridSpan w:val="2"/>
          </w:tcPr>
          <w:p w14:paraId="3D269DE8" w14:textId="77777777" w:rsidR="00465C0B" w:rsidRPr="00097A86" w:rsidRDefault="00465C0B" w:rsidP="00465C0B">
            <w:pPr>
              <w:pStyle w:val="ENoteTableText"/>
              <w:tabs>
                <w:tab w:val="center" w:leader="dot" w:pos="2268"/>
              </w:tabs>
            </w:pPr>
          </w:p>
        </w:tc>
        <w:tc>
          <w:tcPr>
            <w:tcW w:w="3573" w:type="pct"/>
            <w:gridSpan w:val="2"/>
          </w:tcPr>
          <w:p w14:paraId="0D84A2B4" w14:textId="77777777" w:rsidR="00465C0B" w:rsidRPr="00097A86" w:rsidRDefault="00465C0B" w:rsidP="00465C0B">
            <w:pPr>
              <w:pStyle w:val="ENoteTableText"/>
            </w:pPr>
            <w:r w:rsidRPr="00097A86">
              <w:t>rep 2015 No 1</w:t>
            </w:r>
          </w:p>
        </w:tc>
      </w:tr>
      <w:tr w:rsidR="0048409F" w:rsidRPr="00097A86" w14:paraId="5D2C953C" w14:textId="77777777" w:rsidTr="00C20CC2">
        <w:tblPrEx>
          <w:jc w:val="center"/>
        </w:tblPrEx>
        <w:trPr>
          <w:gridAfter w:val="1"/>
          <w:wAfter w:w="37" w:type="pct"/>
          <w:jc w:val="center"/>
        </w:trPr>
        <w:tc>
          <w:tcPr>
            <w:tcW w:w="1390" w:type="pct"/>
            <w:gridSpan w:val="2"/>
          </w:tcPr>
          <w:p w14:paraId="43443FAA" w14:textId="77777777" w:rsidR="0081146B" w:rsidRPr="00097A86" w:rsidRDefault="007E63CD" w:rsidP="00BE20A2">
            <w:pPr>
              <w:pStyle w:val="ENoteTableText"/>
              <w:tabs>
                <w:tab w:val="center" w:leader="dot" w:pos="2268"/>
              </w:tabs>
            </w:pPr>
            <w:r w:rsidRPr="00097A86">
              <w:t>s</w:t>
            </w:r>
            <w:r w:rsidR="0081146B" w:rsidRPr="00097A86">
              <w:t xml:space="preserve"> 1.10KC</w:t>
            </w:r>
            <w:r w:rsidR="0081146B" w:rsidRPr="00097A86">
              <w:tab/>
            </w:r>
          </w:p>
        </w:tc>
        <w:tc>
          <w:tcPr>
            <w:tcW w:w="3573" w:type="pct"/>
            <w:gridSpan w:val="2"/>
          </w:tcPr>
          <w:p w14:paraId="2C4B3B3E"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1F47997D" w14:textId="77777777" w:rsidTr="00C20CC2">
        <w:tblPrEx>
          <w:jc w:val="center"/>
        </w:tblPrEx>
        <w:trPr>
          <w:gridAfter w:val="1"/>
          <w:wAfter w:w="37" w:type="pct"/>
          <w:jc w:val="center"/>
        </w:trPr>
        <w:tc>
          <w:tcPr>
            <w:tcW w:w="1390" w:type="pct"/>
            <w:gridSpan w:val="2"/>
          </w:tcPr>
          <w:p w14:paraId="1266053A" w14:textId="77777777" w:rsidR="00465C0B" w:rsidRPr="00097A86" w:rsidRDefault="00465C0B" w:rsidP="00465C0B">
            <w:pPr>
              <w:pStyle w:val="ENoteTableText"/>
              <w:tabs>
                <w:tab w:val="center" w:leader="dot" w:pos="2268"/>
              </w:tabs>
            </w:pPr>
          </w:p>
        </w:tc>
        <w:tc>
          <w:tcPr>
            <w:tcW w:w="3573" w:type="pct"/>
            <w:gridSpan w:val="2"/>
          </w:tcPr>
          <w:p w14:paraId="6EE34128" w14:textId="77777777" w:rsidR="00465C0B" w:rsidRPr="00097A86" w:rsidRDefault="00465C0B" w:rsidP="00465C0B">
            <w:pPr>
              <w:pStyle w:val="ENoteTableText"/>
            </w:pPr>
            <w:r w:rsidRPr="00097A86">
              <w:t>rep 2015 No 1</w:t>
            </w:r>
          </w:p>
        </w:tc>
      </w:tr>
      <w:tr w:rsidR="0048409F" w:rsidRPr="00097A86" w14:paraId="1B872A15" w14:textId="77777777" w:rsidTr="00C20CC2">
        <w:tblPrEx>
          <w:jc w:val="center"/>
        </w:tblPrEx>
        <w:trPr>
          <w:gridAfter w:val="1"/>
          <w:wAfter w:w="37" w:type="pct"/>
          <w:jc w:val="center"/>
        </w:trPr>
        <w:tc>
          <w:tcPr>
            <w:tcW w:w="1390" w:type="pct"/>
            <w:gridSpan w:val="2"/>
          </w:tcPr>
          <w:p w14:paraId="18D810ED" w14:textId="77777777" w:rsidR="0081146B" w:rsidRPr="00097A86" w:rsidRDefault="007E63CD" w:rsidP="00BE20A2">
            <w:pPr>
              <w:pStyle w:val="ENoteTableText"/>
              <w:tabs>
                <w:tab w:val="center" w:leader="dot" w:pos="2268"/>
              </w:tabs>
            </w:pPr>
            <w:r w:rsidRPr="00097A86">
              <w:t>s</w:t>
            </w:r>
            <w:r w:rsidR="0081146B" w:rsidRPr="00097A86">
              <w:t xml:space="preserve"> 1.10KD</w:t>
            </w:r>
            <w:r w:rsidR="0081146B" w:rsidRPr="00097A86">
              <w:tab/>
            </w:r>
          </w:p>
        </w:tc>
        <w:tc>
          <w:tcPr>
            <w:tcW w:w="3573" w:type="pct"/>
            <w:gridSpan w:val="2"/>
          </w:tcPr>
          <w:p w14:paraId="340E16A3"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7CFDBBE0" w14:textId="77777777" w:rsidTr="00C20CC2">
        <w:tblPrEx>
          <w:jc w:val="center"/>
        </w:tblPrEx>
        <w:trPr>
          <w:gridAfter w:val="1"/>
          <w:wAfter w:w="37" w:type="pct"/>
          <w:jc w:val="center"/>
        </w:trPr>
        <w:tc>
          <w:tcPr>
            <w:tcW w:w="1390" w:type="pct"/>
            <w:gridSpan w:val="2"/>
          </w:tcPr>
          <w:p w14:paraId="2B662A51" w14:textId="77777777" w:rsidR="00465C0B" w:rsidRPr="00097A86" w:rsidRDefault="00465C0B" w:rsidP="00465C0B">
            <w:pPr>
              <w:pStyle w:val="ENoteTableText"/>
              <w:tabs>
                <w:tab w:val="center" w:leader="dot" w:pos="2268"/>
              </w:tabs>
            </w:pPr>
          </w:p>
        </w:tc>
        <w:tc>
          <w:tcPr>
            <w:tcW w:w="3573" w:type="pct"/>
            <w:gridSpan w:val="2"/>
          </w:tcPr>
          <w:p w14:paraId="0972323B" w14:textId="77777777" w:rsidR="00465C0B" w:rsidRPr="00097A86" w:rsidRDefault="00465C0B" w:rsidP="00465C0B">
            <w:pPr>
              <w:pStyle w:val="ENoteTableText"/>
            </w:pPr>
            <w:r w:rsidRPr="00097A86">
              <w:t>rep 2015 No 1</w:t>
            </w:r>
          </w:p>
        </w:tc>
      </w:tr>
      <w:tr w:rsidR="0048409F" w:rsidRPr="00097A86" w14:paraId="373ECEE1" w14:textId="77777777" w:rsidTr="00C20CC2">
        <w:tblPrEx>
          <w:jc w:val="center"/>
        </w:tblPrEx>
        <w:trPr>
          <w:gridAfter w:val="1"/>
          <w:wAfter w:w="37" w:type="pct"/>
          <w:jc w:val="center"/>
        </w:trPr>
        <w:tc>
          <w:tcPr>
            <w:tcW w:w="1390" w:type="pct"/>
            <w:gridSpan w:val="2"/>
          </w:tcPr>
          <w:p w14:paraId="2D1D744A" w14:textId="77777777" w:rsidR="0081146B" w:rsidRPr="00097A86" w:rsidRDefault="007E63CD" w:rsidP="00BE20A2">
            <w:pPr>
              <w:pStyle w:val="ENoteTableText"/>
              <w:tabs>
                <w:tab w:val="center" w:leader="dot" w:pos="2268"/>
              </w:tabs>
            </w:pPr>
            <w:r w:rsidRPr="00097A86">
              <w:t>s</w:t>
            </w:r>
            <w:r w:rsidR="0081146B" w:rsidRPr="00097A86">
              <w:t xml:space="preserve"> 1.10KE</w:t>
            </w:r>
            <w:r w:rsidR="0081146B" w:rsidRPr="00097A86">
              <w:tab/>
            </w:r>
          </w:p>
        </w:tc>
        <w:tc>
          <w:tcPr>
            <w:tcW w:w="3573" w:type="pct"/>
            <w:gridSpan w:val="2"/>
          </w:tcPr>
          <w:p w14:paraId="5E0314B8"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9CEA8BB" w14:textId="77777777" w:rsidTr="00C20CC2">
        <w:tblPrEx>
          <w:jc w:val="center"/>
        </w:tblPrEx>
        <w:trPr>
          <w:gridAfter w:val="1"/>
          <w:wAfter w:w="37" w:type="pct"/>
          <w:jc w:val="center"/>
        </w:trPr>
        <w:tc>
          <w:tcPr>
            <w:tcW w:w="1390" w:type="pct"/>
            <w:gridSpan w:val="2"/>
          </w:tcPr>
          <w:p w14:paraId="7F936720" w14:textId="77777777" w:rsidR="00465C0B" w:rsidRPr="00097A86" w:rsidRDefault="00465C0B" w:rsidP="00465C0B">
            <w:pPr>
              <w:pStyle w:val="ENoteTableText"/>
              <w:tabs>
                <w:tab w:val="center" w:leader="dot" w:pos="2268"/>
              </w:tabs>
            </w:pPr>
          </w:p>
        </w:tc>
        <w:tc>
          <w:tcPr>
            <w:tcW w:w="3573" w:type="pct"/>
            <w:gridSpan w:val="2"/>
          </w:tcPr>
          <w:p w14:paraId="54E82B36" w14:textId="77777777" w:rsidR="00465C0B" w:rsidRPr="00097A86" w:rsidRDefault="00465C0B" w:rsidP="00465C0B">
            <w:pPr>
              <w:pStyle w:val="ENoteTableText"/>
            </w:pPr>
            <w:r w:rsidRPr="00097A86">
              <w:t>rep 2015 No 1</w:t>
            </w:r>
          </w:p>
        </w:tc>
      </w:tr>
      <w:tr w:rsidR="0048409F" w:rsidRPr="00097A86" w14:paraId="0115F796" w14:textId="77777777" w:rsidTr="00C20CC2">
        <w:tblPrEx>
          <w:jc w:val="center"/>
        </w:tblPrEx>
        <w:trPr>
          <w:gridAfter w:val="1"/>
          <w:wAfter w:w="37" w:type="pct"/>
          <w:jc w:val="center"/>
        </w:trPr>
        <w:tc>
          <w:tcPr>
            <w:tcW w:w="1390" w:type="pct"/>
            <w:gridSpan w:val="2"/>
          </w:tcPr>
          <w:p w14:paraId="382C0046" w14:textId="77777777" w:rsidR="0081146B" w:rsidRPr="00097A86" w:rsidRDefault="007E63CD" w:rsidP="00BE20A2">
            <w:pPr>
              <w:pStyle w:val="ENoteTableText"/>
              <w:tabs>
                <w:tab w:val="center" w:leader="dot" w:pos="2268"/>
              </w:tabs>
            </w:pPr>
            <w:r w:rsidRPr="00097A86">
              <w:t>s</w:t>
            </w:r>
            <w:r w:rsidR="0081146B" w:rsidRPr="00097A86">
              <w:t xml:space="preserve"> 1.10KF</w:t>
            </w:r>
            <w:r w:rsidR="0081146B" w:rsidRPr="00097A86">
              <w:tab/>
            </w:r>
          </w:p>
        </w:tc>
        <w:tc>
          <w:tcPr>
            <w:tcW w:w="3573" w:type="pct"/>
            <w:gridSpan w:val="2"/>
          </w:tcPr>
          <w:p w14:paraId="0B135E51"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656A712D" w14:textId="77777777" w:rsidTr="00C20CC2">
        <w:tblPrEx>
          <w:jc w:val="center"/>
        </w:tblPrEx>
        <w:trPr>
          <w:gridAfter w:val="1"/>
          <w:wAfter w:w="37" w:type="pct"/>
          <w:jc w:val="center"/>
        </w:trPr>
        <w:tc>
          <w:tcPr>
            <w:tcW w:w="1390" w:type="pct"/>
            <w:gridSpan w:val="2"/>
          </w:tcPr>
          <w:p w14:paraId="42C7E4C6" w14:textId="77777777" w:rsidR="00465C0B" w:rsidRPr="00097A86" w:rsidRDefault="00465C0B" w:rsidP="00465C0B">
            <w:pPr>
              <w:pStyle w:val="ENoteTableText"/>
              <w:tabs>
                <w:tab w:val="center" w:leader="dot" w:pos="2268"/>
              </w:tabs>
            </w:pPr>
          </w:p>
        </w:tc>
        <w:tc>
          <w:tcPr>
            <w:tcW w:w="3573" w:type="pct"/>
            <w:gridSpan w:val="2"/>
          </w:tcPr>
          <w:p w14:paraId="09A04B03" w14:textId="77777777" w:rsidR="00465C0B" w:rsidRPr="00097A86" w:rsidRDefault="00465C0B" w:rsidP="00465C0B">
            <w:pPr>
              <w:pStyle w:val="ENoteTableText"/>
            </w:pPr>
            <w:r w:rsidRPr="00097A86">
              <w:t>rep 2015 No 1</w:t>
            </w:r>
          </w:p>
        </w:tc>
      </w:tr>
      <w:tr w:rsidR="0048409F" w:rsidRPr="00097A86" w14:paraId="72520EDC" w14:textId="77777777" w:rsidTr="00C20CC2">
        <w:tblPrEx>
          <w:jc w:val="center"/>
        </w:tblPrEx>
        <w:trPr>
          <w:gridAfter w:val="1"/>
          <w:wAfter w:w="37" w:type="pct"/>
          <w:jc w:val="center"/>
        </w:trPr>
        <w:tc>
          <w:tcPr>
            <w:tcW w:w="1390" w:type="pct"/>
            <w:gridSpan w:val="2"/>
          </w:tcPr>
          <w:p w14:paraId="3F84C94D" w14:textId="77777777" w:rsidR="0081146B" w:rsidRPr="00097A86" w:rsidRDefault="007E63CD" w:rsidP="00BE20A2">
            <w:pPr>
              <w:pStyle w:val="ENoteTableText"/>
              <w:tabs>
                <w:tab w:val="center" w:leader="dot" w:pos="2268"/>
              </w:tabs>
            </w:pPr>
            <w:r w:rsidRPr="00097A86">
              <w:t>s</w:t>
            </w:r>
            <w:r w:rsidR="0081146B" w:rsidRPr="00097A86">
              <w:t xml:space="preserve"> 1.10KG</w:t>
            </w:r>
            <w:r w:rsidR="0081146B" w:rsidRPr="00097A86">
              <w:tab/>
            </w:r>
          </w:p>
        </w:tc>
        <w:tc>
          <w:tcPr>
            <w:tcW w:w="3573" w:type="pct"/>
            <w:gridSpan w:val="2"/>
          </w:tcPr>
          <w:p w14:paraId="642B75C6"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5BA7DB16" w14:textId="77777777" w:rsidTr="00C20CC2">
        <w:tblPrEx>
          <w:jc w:val="center"/>
        </w:tblPrEx>
        <w:trPr>
          <w:gridAfter w:val="1"/>
          <w:wAfter w:w="37" w:type="pct"/>
          <w:jc w:val="center"/>
        </w:trPr>
        <w:tc>
          <w:tcPr>
            <w:tcW w:w="1390" w:type="pct"/>
            <w:gridSpan w:val="2"/>
          </w:tcPr>
          <w:p w14:paraId="5110F745" w14:textId="77777777" w:rsidR="00465C0B" w:rsidRPr="00097A86" w:rsidRDefault="00465C0B" w:rsidP="00465C0B">
            <w:pPr>
              <w:pStyle w:val="ENoteTableText"/>
              <w:tabs>
                <w:tab w:val="center" w:leader="dot" w:pos="2268"/>
              </w:tabs>
            </w:pPr>
          </w:p>
        </w:tc>
        <w:tc>
          <w:tcPr>
            <w:tcW w:w="3573" w:type="pct"/>
            <w:gridSpan w:val="2"/>
          </w:tcPr>
          <w:p w14:paraId="12EAFAE5" w14:textId="77777777" w:rsidR="00465C0B" w:rsidRPr="00097A86" w:rsidRDefault="00465C0B" w:rsidP="00465C0B">
            <w:pPr>
              <w:pStyle w:val="ENoteTableText"/>
            </w:pPr>
            <w:r w:rsidRPr="00097A86">
              <w:t>rep 2015 No 1</w:t>
            </w:r>
          </w:p>
        </w:tc>
      </w:tr>
      <w:tr w:rsidR="0048409F" w:rsidRPr="00097A86" w14:paraId="75B180E6" w14:textId="77777777" w:rsidTr="00C20CC2">
        <w:tblPrEx>
          <w:jc w:val="center"/>
        </w:tblPrEx>
        <w:trPr>
          <w:gridAfter w:val="1"/>
          <w:wAfter w:w="37" w:type="pct"/>
          <w:jc w:val="center"/>
        </w:trPr>
        <w:tc>
          <w:tcPr>
            <w:tcW w:w="1390" w:type="pct"/>
            <w:gridSpan w:val="2"/>
          </w:tcPr>
          <w:p w14:paraId="518CC829" w14:textId="77777777" w:rsidR="0081146B" w:rsidRPr="00097A86" w:rsidRDefault="007E63CD" w:rsidP="00BE20A2">
            <w:pPr>
              <w:pStyle w:val="ENoteTableText"/>
              <w:tabs>
                <w:tab w:val="center" w:leader="dot" w:pos="2268"/>
              </w:tabs>
            </w:pPr>
            <w:r w:rsidRPr="00097A86">
              <w:t>s</w:t>
            </w:r>
            <w:r w:rsidR="0081146B" w:rsidRPr="00097A86">
              <w:t xml:space="preserve"> 1.10KH</w:t>
            </w:r>
            <w:r w:rsidR="0081146B" w:rsidRPr="00097A86">
              <w:tab/>
            </w:r>
          </w:p>
        </w:tc>
        <w:tc>
          <w:tcPr>
            <w:tcW w:w="3573" w:type="pct"/>
            <w:gridSpan w:val="2"/>
          </w:tcPr>
          <w:p w14:paraId="20E7BFB0"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2646F7CD" w14:textId="77777777" w:rsidTr="00C20CC2">
        <w:tblPrEx>
          <w:jc w:val="center"/>
        </w:tblPrEx>
        <w:trPr>
          <w:gridAfter w:val="1"/>
          <w:wAfter w:w="37" w:type="pct"/>
          <w:jc w:val="center"/>
        </w:trPr>
        <w:tc>
          <w:tcPr>
            <w:tcW w:w="1390" w:type="pct"/>
            <w:gridSpan w:val="2"/>
          </w:tcPr>
          <w:p w14:paraId="35AB0013" w14:textId="77777777" w:rsidR="00465C0B" w:rsidRPr="00097A86" w:rsidRDefault="00465C0B" w:rsidP="00465C0B">
            <w:pPr>
              <w:pStyle w:val="ENoteTableText"/>
              <w:tabs>
                <w:tab w:val="center" w:leader="dot" w:pos="2268"/>
              </w:tabs>
            </w:pPr>
          </w:p>
        </w:tc>
        <w:tc>
          <w:tcPr>
            <w:tcW w:w="3573" w:type="pct"/>
            <w:gridSpan w:val="2"/>
          </w:tcPr>
          <w:p w14:paraId="7C2EB0F1" w14:textId="77777777" w:rsidR="00465C0B" w:rsidRPr="00097A86" w:rsidRDefault="00465C0B" w:rsidP="00465C0B">
            <w:pPr>
              <w:pStyle w:val="ENoteTableText"/>
            </w:pPr>
            <w:r w:rsidRPr="00097A86">
              <w:t>rep 2015 No 1</w:t>
            </w:r>
          </w:p>
        </w:tc>
      </w:tr>
      <w:tr w:rsidR="0048409F" w:rsidRPr="00097A86" w14:paraId="109750BE" w14:textId="77777777" w:rsidTr="00C20CC2">
        <w:tblPrEx>
          <w:jc w:val="center"/>
        </w:tblPrEx>
        <w:trPr>
          <w:gridAfter w:val="1"/>
          <w:wAfter w:w="37" w:type="pct"/>
          <w:jc w:val="center"/>
        </w:trPr>
        <w:tc>
          <w:tcPr>
            <w:tcW w:w="1390" w:type="pct"/>
            <w:gridSpan w:val="2"/>
          </w:tcPr>
          <w:p w14:paraId="0B9D3CD5" w14:textId="77777777" w:rsidR="0081146B" w:rsidRPr="00097A86" w:rsidRDefault="007E63CD" w:rsidP="00BE20A2">
            <w:pPr>
              <w:pStyle w:val="ENoteTableText"/>
              <w:tabs>
                <w:tab w:val="center" w:leader="dot" w:pos="2268"/>
              </w:tabs>
            </w:pPr>
            <w:r w:rsidRPr="00097A86">
              <w:t>s</w:t>
            </w:r>
            <w:r w:rsidR="0081146B" w:rsidRPr="00097A86">
              <w:t xml:space="preserve"> 1.10KI</w:t>
            </w:r>
            <w:r w:rsidR="0081146B" w:rsidRPr="00097A86">
              <w:tab/>
            </w:r>
          </w:p>
        </w:tc>
        <w:tc>
          <w:tcPr>
            <w:tcW w:w="3573" w:type="pct"/>
            <w:gridSpan w:val="2"/>
          </w:tcPr>
          <w:p w14:paraId="2A336430"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4741C8A6" w14:textId="77777777" w:rsidTr="00C20CC2">
        <w:tblPrEx>
          <w:jc w:val="center"/>
        </w:tblPrEx>
        <w:trPr>
          <w:gridAfter w:val="1"/>
          <w:wAfter w:w="37" w:type="pct"/>
          <w:jc w:val="center"/>
        </w:trPr>
        <w:tc>
          <w:tcPr>
            <w:tcW w:w="1390" w:type="pct"/>
            <w:gridSpan w:val="2"/>
          </w:tcPr>
          <w:p w14:paraId="1801518F" w14:textId="77777777" w:rsidR="00465C0B" w:rsidRPr="00097A86" w:rsidRDefault="00465C0B" w:rsidP="00465C0B">
            <w:pPr>
              <w:pStyle w:val="ENoteTableText"/>
              <w:tabs>
                <w:tab w:val="center" w:leader="dot" w:pos="2268"/>
              </w:tabs>
            </w:pPr>
          </w:p>
        </w:tc>
        <w:tc>
          <w:tcPr>
            <w:tcW w:w="3573" w:type="pct"/>
            <w:gridSpan w:val="2"/>
          </w:tcPr>
          <w:p w14:paraId="05A287D6" w14:textId="77777777" w:rsidR="00465C0B" w:rsidRPr="00097A86" w:rsidRDefault="00465C0B" w:rsidP="00465C0B">
            <w:pPr>
              <w:pStyle w:val="ENoteTableText"/>
            </w:pPr>
            <w:r w:rsidRPr="00097A86">
              <w:t>rep 2015 No 1</w:t>
            </w:r>
          </w:p>
        </w:tc>
      </w:tr>
      <w:tr w:rsidR="0048409F" w:rsidRPr="00097A86" w14:paraId="162E6838" w14:textId="77777777" w:rsidTr="00C20CC2">
        <w:tblPrEx>
          <w:jc w:val="center"/>
        </w:tblPrEx>
        <w:trPr>
          <w:gridAfter w:val="1"/>
          <w:wAfter w:w="37" w:type="pct"/>
          <w:jc w:val="center"/>
        </w:trPr>
        <w:tc>
          <w:tcPr>
            <w:tcW w:w="1390" w:type="pct"/>
            <w:gridSpan w:val="2"/>
          </w:tcPr>
          <w:p w14:paraId="41BB7314" w14:textId="77777777" w:rsidR="0081146B" w:rsidRPr="00097A86" w:rsidRDefault="007E63CD" w:rsidP="00BE20A2">
            <w:pPr>
              <w:pStyle w:val="ENoteTableText"/>
              <w:tabs>
                <w:tab w:val="center" w:leader="dot" w:pos="2268"/>
              </w:tabs>
            </w:pPr>
            <w:r w:rsidRPr="00097A86">
              <w:t>s</w:t>
            </w:r>
            <w:r w:rsidR="0081146B" w:rsidRPr="00097A86">
              <w:t xml:space="preserve"> 1.10KJ</w:t>
            </w:r>
            <w:r w:rsidR="0081146B" w:rsidRPr="00097A86">
              <w:tab/>
            </w:r>
          </w:p>
        </w:tc>
        <w:tc>
          <w:tcPr>
            <w:tcW w:w="3573" w:type="pct"/>
            <w:gridSpan w:val="2"/>
          </w:tcPr>
          <w:p w14:paraId="4F3A99E3"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58560E1D" w14:textId="77777777" w:rsidTr="00C20CC2">
        <w:tblPrEx>
          <w:jc w:val="center"/>
        </w:tblPrEx>
        <w:trPr>
          <w:gridAfter w:val="1"/>
          <w:wAfter w:w="37" w:type="pct"/>
          <w:jc w:val="center"/>
        </w:trPr>
        <w:tc>
          <w:tcPr>
            <w:tcW w:w="1390" w:type="pct"/>
            <w:gridSpan w:val="2"/>
          </w:tcPr>
          <w:p w14:paraId="0D60DC27" w14:textId="77777777" w:rsidR="00465C0B" w:rsidRPr="00097A86" w:rsidRDefault="00465C0B" w:rsidP="00465C0B">
            <w:pPr>
              <w:pStyle w:val="ENoteTableText"/>
              <w:tabs>
                <w:tab w:val="center" w:leader="dot" w:pos="2268"/>
              </w:tabs>
            </w:pPr>
          </w:p>
        </w:tc>
        <w:tc>
          <w:tcPr>
            <w:tcW w:w="3573" w:type="pct"/>
            <w:gridSpan w:val="2"/>
          </w:tcPr>
          <w:p w14:paraId="57EA734C" w14:textId="77777777" w:rsidR="00465C0B" w:rsidRPr="00097A86" w:rsidRDefault="00465C0B" w:rsidP="00465C0B">
            <w:pPr>
              <w:pStyle w:val="ENoteTableText"/>
            </w:pPr>
            <w:r w:rsidRPr="00097A86">
              <w:t>rep 2015 No 1</w:t>
            </w:r>
          </w:p>
        </w:tc>
      </w:tr>
      <w:tr w:rsidR="0048409F" w:rsidRPr="00097A86" w14:paraId="7B929426" w14:textId="77777777" w:rsidTr="00C20CC2">
        <w:tblPrEx>
          <w:jc w:val="center"/>
        </w:tblPrEx>
        <w:trPr>
          <w:gridAfter w:val="1"/>
          <w:wAfter w:w="37" w:type="pct"/>
          <w:jc w:val="center"/>
        </w:trPr>
        <w:tc>
          <w:tcPr>
            <w:tcW w:w="1390" w:type="pct"/>
            <w:gridSpan w:val="2"/>
          </w:tcPr>
          <w:p w14:paraId="786850C3" w14:textId="77777777" w:rsidR="0081146B" w:rsidRPr="00097A86" w:rsidRDefault="007E63CD" w:rsidP="00BE20A2">
            <w:pPr>
              <w:pStyle w:val="ENoteTableText"/>
              <w:tabs>
                <w:tab w:val="center" w:leader="dot" w:pos="2268"/>
              </w:tabs>
            </w:pPr>
            <w:r w:rsidRPr="00097A86">
              <w:t>s</w:t>
            </w:r>
            <w:r w:rsidR="0081146B" w:rsidRPr="00097A86">
              <w:t xml:space="preserve"> 1.19KK</w:t>
            </w:r>
            <w:r w:rsidR="0081146B" w:rsidRPr="00097A86">
              <w:tab/>
            </w:r>
          </w:p>
        </w:tc>
        <w:tc>
          <w:tcPr>
            <w:tcW w:w="3573" w:type="pct"/>
            <w:gridSpan w:val="2"/>
          </w:tcPr>
          <w:p w14:paraId="54EF4E10"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2FA91B8D" w14:textId="77777777" w:rsidTr="00C20CC2">
        <w:tblPrEx>
          <w:jc w:val="center"/>
        </w:tblPrEx>
        <w:trPr>
          <w:gridAfter w:val="1"/>
          <w:wAfter w:w="37" w:type="pct"/>
          <w:jc w:val="center"/>
        </w:trPr>
        <w:tc>
          <w:tcPr>
            <w:tcW w:w="1390" w:type="pct"/>
            <w:gridSpan w:val="2"/>
          </w:tcPr>
          <w:p w14:paraId="414A7BED" w14:textId="77777777" w:rsidR="00465C0B" w:rsidRPr="00097A86" w:rsidRDefault="00465C0B" w:rsidP="00465C0B">
            <w:pPr>
              <w:pStyle w:val="ENoteTableText"/>
              <w:tabs>
                <w:tab w:val="center" w:leader="dot" w:pos="2268"/>
              </w:tabs>
            </w:pPr>
          </w:p>
        </w:tc>
        <w:tc>
          <w:tcPr>
            <w:tcW w:w="3573" w:type="pct"/>
            <w:gridSpan w:val="2"/>
          </w:tcPr>
          <w:p w14:paraId="61811254" w14:textId="77777777" w:rsidR="00465C0B" w:rsidRPr="00097A86" w:rsidRDefault="00465C0B" w:rsidP="00465C0B">
            <w:pPr>
              <w:pStyle w:val="ENoteTableText"/>
            </w:pPr>
            <w:r w:rsidRPr="00097A86">
              <w:t>rep 2015 No 1</w:t>
            </w:r>
          </w:p>
        </w:tc>
      </w:tr>
      <w:tr w:rsidR="0048409F" w:rsidRPr="00097A86" w14:paraId="1A210135" w14:textId="77777777" w:rsidTr="00C20CC2">
        <w:tblPrEx>
          <w:jc w:val="center"/>
        </w:tblPrEx>
        <w:trPr>
          <w:gridAfter w:val="1"/>
          <w:wAfter w:w="37" w:type="pct"/>
          <w:jc w:val="center"/>
        </w:trPr>
        <w:tc>
          <w:tcPr>
            <w:tcW w:w="1390" w:type="pct"/>
            <w:gridSpan w:val="2"/>
          </w:tcPr>
          <w:p w14:paraId="0592AD71" w14:textId="77777777" w:rsidR="0081146B" w:rsidRPr="00097A86" w:rsidRDefault="007E63CD" w:rsidP="00BE20A2">
            <w:pPr>
              <w:pStyle w:val="ENoteTableText"/>
              <w:tabs>
                <w:tab w:val="center" w:leader="dot" w:pos="2268"/>
              </w:tabs>
            </w:pPr>
            <w:r w:rsidRPr="00097A86">
              <w:t>s</w:t>
            </w:r>
            <w:r w:rsidR="0081146B" w:rsidRPr="00097A86">
              <w:t xml:space="preserve"> 1.10KL</w:t>
            </w:r>
            <w:r w:rsidR="0081146B" w:rsidRPr="00097A86">
              <w:tab/>
            </w:r>
          </w:p>
        </w:tc>
        <w:tc>
          <w:tcPr>
            <w:tcW w:w="3573" w:type="pct"/>
            <w:gridSpan w:val="2"/>
          </w:tcPr>
          <w:p w14:paraId="67148AE2"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30ECEFA2" w14:textId="77777777" w:rsidTr="00C20CC2">
        <w:tblPrEx>
          <w:jc w:val="center"/>
        </w:tblPrEx>
        <w:trPr>
          <w:gridAfter w:val="1"/>
          <w:wAfter w:w="37" w:type="pct"/>
          <w:jc w:val="center"/>
        </w:trPr>
        <w:tc>
          <w:tcPr>
            <w:tcW w:w="1390" w:type="pct"/>
            <w:gridSpan w:val="2"/>
          </w:tcPr>
          <w:p w14:paraId="7F380074" w14:textId="77777777" w:rsidR="00465C0B" w:rsidRPr="00097A86" w:rsidRDefault="00465C0B" w:rsidP="00465C0B">
            <w:pPr>
              <w:pStyle w:val="ENoteTableText"/>
              <w:tabs>
                <w:tab w:val="center" w:leader="dot" w:pos="2268"/>
              </w:tabs>
            </w:pPr>
          </w:p>
        </w:tc>
        <w:tc>
          <w:tcPr>
            <w:tcW w:w="3573" w:type="pct"/>
            <w:gridSpan w:val="2"/>
          </w:tcPr>
          <w:p w14:paraId="227656CE" w14:textId="77777777" w:rsidR="00465C0B" w:rsidRPr="00097A86" w:rsidRDefault="00465C0B" w:rsidP="00465C0B">
            <w:pPr>
              <w:pStyle w:val="ENoteTableText"/>
            </w:pPr>
            <w:r w:rsidRPr="00097A86">
              <w:t>rep 2015 No 1</w:t>
            </w:r>
          </w:p>
        </w:tc>
      </w:tr>
      <w:tr w:rsidR="0048409F" w:rsidRPr="00097A86" w14:paraId="2216C1EC" w14:textId="77777777" w:rsidTr="00C20CC2">
        <w:tblPrEx>
          <w:jc w:val="center"/>
        </w:tblPrEx>
        <w:trPr>
          <w:gridAfter w:val="1"/>
          <w:wAfter w:w="37" w:type="pct"/>
          <w:jc w:val="center"/>
        </w:trPr>
        <w:tc>
          <w:tcPr>
            <w:tcW w:w="1390" w:type="pct"/>
            <w:gridSpan w:val="2"/>
          </w:tcPr>
          <w:p w14:paraId="0CB1E8AE" w14:textId="77777777" w:rsidR="0081146B" w:rsidRPr="00097A86" w:rsidRDefault="007E63CD" w:rsidP="00BE20A2">
            <w:pPr>
              <w:pStyle w:val="ENoteTableText"/>
              <w:tabs>
                <w:tab w:val="center" w:leader="dot" w:pos="2268"/>
              </w:tabs>
            </w:pPr>
            <w:r w:rsidRPr="00097A86">
              <w:t>s</w:t>
            </w:r>
            <w:r w:rsidR="0081146B" w:rsidRPr="00097A86">
              <w:t xml:space="preserve"> 1.10KM</w:t>
            </w:r>
            <w:r w:rsidR="0081146B" w:rsidRPr="00097A86">
              <w:tab/>
            </w:r>
          </w:p>
        </w:tc>
        <w:tc>
          <w:tcPr>
            <w:tcW w:w="3573" w:type="pct"/>
            <w:gridSpan w:val="2"/>
          </w:tcPr>
          <w:p w14:paraId="203811FC"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4DA6209F" w14:textId="77777777" w:rsidTr="00C20CC2">
        <w:tblPrEx>
          <w:jc w:val="center"/>
        </w:tblPrEx>
        <w:trPr>
          <w:gridAfter w:val="1"/>
          <w:wAfter w:w="37" w:type="pct"/>
          <w:jc w:val="center"/>
        </w:trPr>
        <w:tc>
          <w:tcPr>
            <w:tcW w:w="1390" w:type="pct"/>
            <w:gridSpan w:val="2"/>
          </w:tcPr>
          <w:p w14:paraId="5E1A3840" w14:textId="77777777" w:rsidR="00465C0B" w:rsidRPr="00097A86" w:rsidRDefault="00465C0B" w:rsidP="00465C0B">
            <w:pPr>
              <w:pStyle w:val="ENoteTableText"/>
              <w:tabs>
                <w:tab w:val="center" w:leader="dot" w:pos="2268"/>
              </w:tabs>
            </w:pPr>
          </w:p>
        </w:tc>
        <w:tc>
          <w:tcPr>
            <w:tcW w:w="3573" w:type="pct"/>
            <w:gridSpan w:val="2"/>
          </w:tcPr>
          <w:p w14:paraId="2EECCDF6" w14:textId="77777777" w:rsidR="00465C0B" w:rsidRPr="00097A86" w:rsidRDefault="00465C0B" w:rsidP="00465C0B">
            <w:pPr>
              <w:pStyle w:val="ENoteTableText"/>
            </w:pPr>
            <w:r w:rsidRPr="00097A86">
              <w:t>rep 2015 No 1</w:t>
            </w:r>
          </w:p>
        </w:tc>
      </w:tr>
      <w:tr w:rsidR="0048409F" w:rsidRPr="00097A86" w14:paraId="39C36A89" w14:textId="77777777" w:rsidTr="00C20CC2">
        <w:tblPrEx>
          <w:jc w:val="center"/>
        </w:tblPrEx>
        <w:trPr>
          <w:gridAfter w:val="1"/>
          <w:wAfter w:w="37" w:type="pct"/>
          <w:jc w:val="center"/>
        </w:trPr>
        <w:tc>
          <w:tcPr>
            <w:tcW w:w="1390" w:type="pct"/>
            <w:gridSpan w:val="2"/>
          </w:tcPr>
          <w:p w14:paraId="793E4DD3" w14:textId="77777777" w:rsidR="00465C0B" w:rsidRPr="00097A86" w:rsidRDefault="00465C0B" w:rsidP="00465C0B">
            <w:pPr>
              <w:pStyle w:val="ENoteTableText"/>
              <w:tabs>
                <w:tab w:val="center" w:leader="dot" w:pos="2268"/>
              </w:tabs>
            </w:pPr>
          </w:p>
        </w:tc>
        <w:tc>
          <w:tcPr>
            <w:tcW w:w="3573" w:type="pct"/>
            <w:gridSpan w:val="2"/>
          </w:tcPr>
          <w:p w14:paraId="663C7E3A" w14:textId="77777777" w:rsidR="00465C0B" w:rsidRPr="00097A86" w:rsidRDefault="00465C0B" w:rsidP="00465C0B">
            <w:pPr>
              <w:pStyle w:val="ENoteTableText"/>
            </w:pPr>
            <w:r w:rsidRPr="00097A86">
              <w:t>rep 2015 No 1</w:t>
            </w:r>
          </w:p>
        </w:tc>
      </w:tr>
      <w:tr w:rsidR="0048409F" w:rsidRPr="00097A86" w14:paraId="1231FD80" w14:textId="77777777" w:rsidTr="00C20CC2">
        <w:tblPrEx>
          <w:jc w:val="center"/>
        </w:tblPrEx>
        <w:trPr>
          <w:gridAfter w:val="1"/>
          <w:wAfter w:w="37" w:type="pct"/>
          <w:jc w:val="center"/>
        </w:trPr>
        <w:tc>
          <w:tcPr>
            <w:tcW w:w="1390" w:type="pct"/>
            <w:gridSpan w:val="2"/>
          </w:tcPr>
          <w:p w14:paraId="18DAE017" w14:textId="77777777" w:rsidR="0081146B" w:rsidRPr="00097A86" w:rsidRDefault="007E63CD" w:rsidP="00BE20A2">
            <w:pPr>
              <w:pStyle w:val="ENoteTableText"/>
              <w:tabs>
                <w:tab w:val="center" w:leader="dot" w:pos="2268"/>
              </w:tabs>
            </w:pPr>
            <w:r w:rsidRPr="00097A86">
              <w:t>s</w:t>
            </w:r>
            <w:r w:rsidR="0081146B" w:rsidRPr="00097A86">
              <w:t xml:space="preserve"> 1.10KN</w:t>
            </w:r>
            <w:r w:rsidR="0081146B" w:rsidRPr="00097A86">
              <w:tab/>
            </w:r>
          </w:p>
        </w:tc>
        <w:tc>
          <w:tcPr>
            <w:tcW w:w="3573" w:type="pct"/>
            <w:gridSpan w:val="2"/>
          </w:tcPr>
          <w:p w14:paraId="1FD38F6D" w14:textId="77777777" w:rsidR="0081146B" w:rsidRPr="00097A86" w:rsidRDefault="00B750D1" w:rsidP="00D22D3F">
            <w:pPr>
              <w:pStyle w:val="ENoteTableText"/>
            </w:pPr>
            <w:r w:rsidRPr="00097A86">
              <w:t>ad</w:t>
            </w:r>
            <w:r w:rsidR="0081146B" w:rsidRPr="00097A86">
              <w:t xml:space="preserve"> 2013 No.</w:t>
            </w:r>
            <w:r w:rsidR="00097A86">
              <w:t> </w:t>
            </w:r>
            <w:r w:rsidR="0081146B" w:rsidRPr="00097A86">
              <w:t>1</w:t>
            </w:r>
          </w:p>
        </w:tc>
      </w:tr>
      <w:tr w:rsidR="0048409F" w:rsidRPr="00097A86" w14:paraId="2468F3D3" w14:textId="77777777" w:rsidTr="00C20CC2">
        <w:tblPrEx>
          <w:jc w:val="center"/>
        </w:tblPrEx>
        <w:trPr>
          <w:gridAfter w:val="1"/>
          <w:wAfter w:w="37" w:type="pct"/>
          <w:jc w:val="center"/>
        </w:trPr>
        <w:tc>
          <w:tcPr>
            <w:tcW w:w="1390" w:type="pct"/>
            <w:gridSpan w:val="2"/>
          </w:tcPr>
          <w:p w14:paraId="22D6D41E" w14:textId="77777777" w:rsidR="00465C0B" w:rsidRPr="00097A86" w:rsidRDefault="00465C0B" w:rsidP="00465C0B">
            <w:pPr>
              <w:pStyle w:val="ENoteTableText"/>
              <w:tabs>
                <w:tab w:val="center" w:leader="dot" w:pos="2268"/>
              </w:tabs>
            </w:pPr>
          </w:p>
        </w:tc>
        <w:tc>
          <w:tcPr>
            <w:tcW w:w="3573" w:type="pct"/>
            <w:gridSpan w:val="2"/>
          </w:tcPr>
          <w:p w14:paraId="26945AB7" w14:textId="77777777" w:rsidR="00465C0B" w:rsidRPr="00097A86" w:rsidRDefault="00465C0B" w:rsidP="00465C0B">
            <w:pPr>
              <w:pStyle w:val="ENoteTableText"/>
            </w:pPr>
            <w:r w:rsidRPr="00097A86">
              <w:t>rep 2015 No 1</w:t>
            </w:r>
          </w:p>
        </w:tc>
      </w:tr>
      <w:tr w:rsidR="0048409F" w:rsidRPr="00097A86" w14:paraId="4BED5909" w14:textId="77777777" w:rsidTr="00C20CC2">
        <w:tblPrEx>
          <w:jc w:val="center"/>
        </w:tblPrEx>
        <w:trPr>
          <w:gridAfter w:val="1"/>
          <w:wAfter w:w="37" w:type="pct"/>
          <w:jc w:val="center"/>
        </w:trPr>
        <w:tc>
          <w:tcPr>
            <w:tcW w:w="1390" w:type="pct"/>
            <w:gridSpan w:val="2"/>
          </w:tcPr>
          <w:p w14:paraId="695EBB38" w14:textId="77777777" w:rsidR="0081146B" w:rsidRPr="00097A86" w:rsidRDefault="0081146B" w:rsidP="00D22D3F">
            <w:pPr>
              <w:pStyle w:val="ENoteTableText"/>
            </w:pPr>
            <w:r w:rsidRPr="00097A86">
              <w:rPr>
                <w:b/>
              </w:rPr>
              <w:t>Part</w:t>
            </w:r>
            <w:r w:rsidR="00097A86">
              <w:rPr>
                <w:b/>
              </w:rPr>
              <w:t> </w:t>
            </w:r>
            <w:r w:rsidRPr="00097A86">
              <w:rPr>
                <w:b/>
              </w:rPr>
              <w:t>1.2</w:t>
            </w:r>
          </w:p>
        </w:tc>
        <w:tc>
          <w:tcPr>
            <w:tcW w:w="3573" w:type="pct"/>
            <w:gridSpan w:val="2"/>
          </w:tcPr>
          <w:p w14:paraId="72413DD0" w14:textId="77777777" w:rsidR="0081146B" w:rsidRPr="00097A86" w:rsidRDefault="0081146B" w:rsidP="00D22D3F">
            <w:pPr>
              <w:pStyle w:val="ENoteTableText"/>
            </w:pPr>
          </w:p>
        </w:tc>
      </w:tr>
      <w:tr w:rsidR="00C14753" w:rsidRPr="00097A86" w14:paraId="0592DF24" w14:textId="77777777" w:rsidTr="00C20CC2">
        <w:tblPrEx>
          <w:jc w:val="center"/>
        </w:tblPrEx>
        <w:trPr>
          <w:gridAfter w:val="1"/>
          <w:wAfter w:w="37" w:type="pct"/>
          <w:jc w:val="center"/>
        </w:trPr>
        <w:tc>
          <w:tcPr>
            <w:tcW w:w="1390" w:type="pct"/>
            <w:gridSpan w:val="2"/>
          </w:tcPr>
          <w:p w14:paraId="6B7D8D80" w14:textId="77777777" w:rsidR="00C14753" w:rsidRPr="00097A86" w:rsidRDefault="00C14753" w:rsidP="000C4318">
            <w:pPr>
              <w:pStyle w:val="ENoteTableText"/>
              <w:tabs>
                <w:tab w:val="center" w:leader="dot" w:pos="2268"/>
              </w:tabs>
            </w:pPr>
            <w:r w:rsidRPr="00097A86">
              <w:t>s 1.11</w:t>
            </w:r>
            <w:r w:rsidRPr="00097A86">
              <w:tab/>
            </w:r>
          </w:p>
        </w:tc>
        <w:tc>
          <w:tcPr>
            <w:tcW w:w="3573" w:type="pct"/>
            <w:gridSpan w:val="2"/>
          </w:tcPr>
          <w:p w14:paraId="4AAA6288" w14:textId="77777777" w:rsidR="00C14753" w:rsidRPr="00097A86" w:rsidRDefault="00C14753" w:rsidP="00D22D3F">
            <w:pPr>
              <w:pStyle w:val="ENoteTableText"/>
            </w:pPr>
            <w:r w:rsidRPr="00097A86">
              <w:t>am 2016 No 1</w:t>
            </w:r>
            <w:r w:rsidR="00FB7093">
              <w:t>; F2018L00923</w:t>
            </w:r>
          </w:p>
        </w:tc>
      </w:tr>
      <w:tr w:rsidR="0048409F" w:rsidRPr="00097A86" w14:paraId="12EAF8AC" w14:textId="77777777" w:rsidTr="00C20CC2">
        <w:tblPrEx>
          <w:jc w:val="center"/>
        </w:tblPrEx>
        <w:trPr>
          <w:gridAfter w:val="1"/>
          <w:wAfter w:w="37" w:type="pct"/>
          <w:jc w:val="center"/>
        </w:trPr>
        <w:tc>
          <w:tcPr>
            <w:tcW w:w="1390" w:type="pct"/>
            <w:gridSpan w:val="2"/>
          </w:tcPr>
          <w:p w14:paraId="6E87127C" w14:textId="77777777" w:rsidR="0081146B" w:rsidRPr="00097A86" w:rsidRDefault="0081146B" w:rsidP="00D22D3F">
            <w:pPr>
              <w:pStyle w:val="ENoteTableText"/>
            </w:pPr>
            <w:r w:rsidRPr="00097A86">
              <w:rPr>
                <w:b/>
              </w:rPr>
              <w:t>Division</w:t>
            </w:r>
            <w:r w:rsidR="00097A86">
              <w:rPr>
                <w:b/>
              </w:rPr>
              <w:t> </w:t>
            </w:r>
            <w:r w:rsidRPr="00097A86">
              <w:rPr>
                <w:b/>
              </w:rPr>
              <w:t>1.2.1</w:t>
            </w:r>
          </w:p>
        </w:tc>
        <w:tc>
          <w:tcPr>
            <w:tcW w:w="3573" w:type="pct"/>
            <w:gridSpan w:val="2"/>
          </w:tcPr>
          <w:p w14:paraId="4EDD17E8" w14:textId="77777777" w:rsidR="0081146B" w:rsidRPr="00097A86" w:rsidRDefault="0081146B" w:rsidP="00D22D3F">
            <w:pPr>
              <w:pStyle w:val="ENoteTableText"/>
            </w:pPr>
          </w:p>
        </w:tc>
      </w:tr>
      <w:tr w:rsidR="00F1362A" w:rsidRPr="008251F2" w14:paraId="7C276FFC" w14:textId="77777777" w:rsidTr="00C20CC2">
        <w:tblPrEx>
          <w:jc w:val="center"/>
        </w:tblPrEx>
        <w:trPr>
          <w:gridAfter w:val="1"/>
          <w:wAfter w:w="37" w:type="pct"/>
          <w:jc w:val="center"/>
        </w:trPr>
        <w:tc>
          <w:tcPr>
            <w:tcW w:w="1390" w:type="pct"/>
            <w:gridSpan w:val="2"/>
          </w:tcPr>
          <w:p w14:paraId="5B52ACB5" w14:textId="77777777" w:rsidR="00F1362A" w:rsidRPr="002827A0" w:rsidRDefault="00F1362A" w:rsidP="002827A0">
            <w:pPr>
              <w:pStyle w:val="ENoteTableText"/>
              <w:tabs>
                <w:tab w:val="center" w:leader="dot" w:pos="2268"/>
              </w:tabs>
            </w:pPr>
            <w:r>
              <w:t>s 1.12</w:t>
            </w:r>
            <w:r w:rsidRPr="00097A86">
              <w:tab/>
            </w:r>
          </w:p>
        </w:tc>
        <w:tc>
          <w:tcPr>
            <w:tcW w:w="3573" w:type="pct"/>
            <w:gridSpan w:val="2"/>
          </w:tcPr>
          <w:p w14:paraId="0DB88DE0" w14:textId="77777777" w:rsidR="00F1362A" w:rsidRPr="00097A86" w:rsidRDefault="00F1362A" w:rsidP="002827A0">
            <w:pPr>
              <w:pStyle w:val="ENoteTableText"/>
              <w:tabs>
                <w:tab w:val="center" w:leader="dot" w:pos="2268"/>
              </w:tabs>
            </w:pPr>
            <w:r>
              <w:t>rs F2018L00923</w:t>
            </w:r>
          </w:p>
        </w:tc>
      </w:tr>
      <w:tr w:rsidR="00F1362A" w:rsidRPr="00097A86" w14:paraId="2DCFEB38" w14:textId="77777777" w:rsidTr="00C20CC2">
        <w:tblPrEx>
          <w:jc w:val="center"/>
        </w:tblPrEx>
        <w:trPr>
          <w:gridAfter w:val="1"/>
          <w:wAfter w:w="37" w:type="pct"/>
          <w:jc w:val="center"/>
        </w:trPr>
        <w:tc>
          <w:tcPr>
            <w:tcW w:w="1390" w:type="pct"/>
            <w:gridSpan w:val="2"/>
          </w:tcPr>
          <w:p w14:paraId="10001DCC" w14:textId="77777777" w:rsidR="00F1362A" w:rsidRPr="00097A86" w:rsidRDefault="00F1362A" w:rsidP="00BE20A2">
            <w:pPr>
              <w:pStyle w:val="ENoteTableText"/>
              <w:tabs>
                <w:tab w:val="center" w:leader="dot" w:pos="2268"/>
              </w:tabs>
            </w:pPr>
            <w:r w:rsidRPr="00097A86">
              <w:t>s 1.13</w:t>
            </w:r>
            <w:r w:rsidRPr="00097A86">
              <w:tab/>
            </w:r>
          </w:p>
        </w:tc>
        <w:tc>
          <w:tcPr>
            <w:tcW w:w="3573" w:type="pct"/>
            <w:gridSpan w:val="2"/>
          </w:tcPr>
          <w:p w14:paraId="6F83C956" w14:textId="77777777" w:rsidR="00F1362A" w:rsidRPr="00097A86" w:rsidRDefault="00F1362A" w:rsidP="00D22D3F">
            <w:pPr>
              <w:pStyle w:val="ENoteTableText"/>
            </w:pPr>
            <w:r w:rsidRPr="00097A86">
              <w:t>am 2011 No.</w:t>
            </w:r>
            <w:r>
              <w:t> </w:t>
            </w:r>
            <w:r w:rsidRPr="00097A86">
              <w:t>1; No.</w:t>
            </w:r>
            <w:r>
              <w:t> </w:t>
            </w:r>
            <w:r w:rsidRPr="00097A86">
              <w:t>2013 No.</w:t>
            </w:r>
            <w:r>
              <w:t> </w:t>
            </w:r>
            <w:r w:rsidRPr="00097A86">
              <w:t>1</w:t>
            </w:r>
          </w:p>
        </w:tc>
      </w:tr>
      <w:tr w:rsidR="00F1362A" w:rsidRPr="00097A86" w14:paraId="10D36D55" w14:textId="77777777" w:rsidTr="00C20CC2">
        <w:tblPrEx>
          <w:jc w:val="center"/>
        </w:tblPrEx>
        <w:trPr>
          <w:gridAfter w:val="1"/>
          <w:wAfter w:w="37" w:type="pct"/>
          <w:jc w:val="center"/>
        </w:trPr>
        <w:tc>
          <w:tcPr>
            <w:tcW w:w="1390" w:type="pct"/>
            <w:gridSpan w:val="2"/>
          </w:tcPr>
          <w:p w14:paraId="1C7F8A4E" w14:textId="77777777" w:rsidR="00F1362A" w:rsidRPr="00097A86" w:rsidRDefault="00F1362A" w:rsidP="00BE20A2">
            <w:pPr>
              <w:pStyle w:val="ENoteTableText"/>
              <w:tabs>
                <w:tab w:val="center" w:leader="dot" w:pos="2268"/>
              </w:tabs>
            </w:pPr>
          </w:p>
        </w:tc>
        <w:tc>
          <w:tcPr>
            <w:tcW w:w="3573" w:type="pct"/>
            <w:gridSpan w:val="2"/>
          </w:tcPr>
          <w:p w14:paraId="63E98656" w14:textId="77777777" w:rsidR="00F1362A" w:rsidRPr="00097A86" w:rsidRDefault="00F1362A" w:rsidP="00D22D3F">
            <w:pPr>
              <w:pStyle w:val="ENoteTableText"/>
            </w:pPr>
            <w:r>
              <w:t>rs F2018L00923</w:t>
            </w:r>
          </w:p>
        </w:tc>
      </w:tr>
      <w:tr w:rsidR="00F1362A" w:rsidRPr="00097A86" w14:paraId="77372117" w14:textId="77777777" w:rsidTr="00C20CC2">
        <w:tblPrEx>
          <w:jc w:val="center"/>
        </w:tblPrEx>
        <w:trPr>
          <w:gridAfter w:val="1"/>
          <w:wAfter w:w="37" w:type="pct"/>
          <w:jc w:val="center"/>
        </w:trPr>
        <w:tc>
          <w:tcPr>
            <w:tcW w:w="1390" w:type="pct"/>
            <w:gridSpan w:val="2"/>
          </w:tcPr>
          <w:p w14:paraId="1A16126C" w14:textId="77777777" w:rsidR="00F1362A" w:rsidRPr="00097A86" w:rsidRDefault="00F1362A" w:rsidP="00D22D3F">
            <w:pPr>
              <w:pStyle w:val="ENoteTableText"/>
            </w:pPr>
            <w:r w:rsidRPr="00097A86">
              <w:rPr>
                <w:b/>
              </w:rPr>
              <w:lastRenderedPageBreak/>
              <w:t>Division</w:t>
            </w:r>
            <w:r>
              <w:rPr>
                <w:b/>
              </w:rPr>
              <w:t> </w:t>
            </w:r>
            <w:r w:rsidRPr="00097A86">
              <w:rPr>
                <w:b/>
              </w:rPr>
              <w:t>1.2.2</w:t>
            </w:r>
          </w:p>
        </w:tc>
        <w:tc>
          <w:tcPr>
            <w:tcW w:w="3573" w:type="pct"/>
            <w:gridSpan w:val="2"/>
          </w:tcPr>
          <w:p w14:paraId="5BCD8A15" w14:textId="77777777" w:rsidR="00F1362A" w:rsidRPr="00097A86" w:rsidRDefault="00F1362A" w:rsidP="00D22D3F">
            <w:pPr>
              <w:pStyle w:val="ENoteTableText"/>
            </w:pPr>
          </w:p>
        </w:tc>
      </w:tr>
      <w:tr w:rsidR="00F1362A" w:rsidRPr="00097A86" w14:paraId="61D3F1CD" w14:textId="77777777" w:rsidTr="00C20CC2">
        <w:tblPrEx>
          <w:jc w:val="center"/>
        </w:tblPrEx>
        <w:trPr>
          <w:gridAfter w:val="1"/>
          <w:wAfter w:w="37" w:type="pct"/>
          <w:jc w:val="center"/>
        </w:trPr>
        <w:tc>
          <w:tcPr>
            <w:tcW w:w="1390" w:type="pct"/>
            <w:gridSpan w:val="2"/>
          </w:tcPr>
          <w:p w14:paraId="18FD6AEA" w14:textId="77777777" w:rsidR="00F1362A" w:rsidRPr="00097A86" w:rsidRDefault="00F1362A" w:rsidP="00BE20A2">
            <w:pPr>
              <w:pStyle w:val="ENoteTableText"/>
              <w:tabs>
                <w:tab w:val="center" w:leader="dot" w:pos="2268"/>
              </w:tabs>
            </w:pPr>
            <w:r w:rsidRPr="00097A86">
              <w:t>s 1.18</w:t>
            </w:r>
            <w:r w:rsidRPr="00097A86">
              <w:tab/>
            </w:r>
          </w:p>
        </w:tc>
        <w:tc>
          <w:tcPr>
            <w:tcW w:w="3573" w:type="pct"/>
            <w:gridSpan w:val="2"/>
          </w:tcPr>
          <w:p w14:paraId="4CFB5AB7" w14:textId="77777777" w:rsidR="00F1362A" w:rsidRPr="00097A86" w:rsidRDefault="00F1362A" w:rsidP="00D22D3F">
            <w:pPr>
              <w:pStyle w:val="ENoteTableText"/>
            </w:pPr>
            <w:r w:rsidRPr="00097A86">
              <w:t>am 2012 No.</w:t>
            </w:r>
            <w:r>
              <w:t> </w:t>
            </w:r>
            <w:r w:rsidRPr="00097A86">
              <w:t>1; 2013 No.</w:t>
            </w:r>
            <w:r>
              <w:t> </w:t>
            </w:r>
            <w:r w:rsidRPr="00097A86">
              <w:t>1</w:t>
            </w:r>
            <w:r w:rsidR="002827A0">
              <w:t>; F2018L00923</w:t>
            </w:r>
          </w:p>
        </w:tc>
      </w:tr>
      <w:tr w:rsidR="00F1362A" w:rsidRPr="00097A86" w14:paraId="3DF7E390" w14:textId="77777777" w:rsidTr="00C20CC2">
        <w:tblPrEx>
          <w:jc w:val="center"/>
        </w:tblPrEx>
        <w:trPr>
          <w:gridAfter w:val="1"/>
          <w:wAfter w:w="37" w:type="pct"/>
          <w:jc w:val="center"/>
        </w:trPr>
        <w:tc>
          <w:tcPr>
            <w:tcW w:w="1390" w:type="pct"/>
            <w:gridSpan w:val="2"/>
          </w:tcPr>
          <w:p w14:paraId="1AF01EB7" w14:textId="77777777" w:rsidR="00F1362A" w:rsidRPr="00097A86" w:rsidRDefault="00F1362A" w:rsidP="00BE20A2">
            <w:pPr>
              <w:pStyle w:val="ENoteTableText"/>
              <w:tabs>
                <w:tab w:val="center" w:leader="dot" w:pos="2268"/>
              </w:tabs>
            </w:pPr>
            <w:r w:rsidRPr="00097A86">
              <w:t>s 1.18A</w:t>
            </w:r>
            <w:r w:rsidRPr="00097A86">
              <w:tab/>
            </w:r>
          </w:p>
        </w:tc>
        <w:tc>
          <w:tcPr>
            <w:tcW w:w="3573" w:type="pct"/>
            <w:gridSpan w:val="2"/>
          </w:tcPr>
          <w:p w14:paraId="08D712C6" w14:textId="77777777" w:rsidR="00F1362A" w:rsidRPr="00097A86" w:rsidRDefault="00F1362A" w:rsidP="00D22D3F">
            <w:pPr>
              <w:pStyle w:val="ENoteTableText"/>
            </w:pPr>
            <w:r w:rsidRPr="00097A86">
              <w:t>ad 2012 No.</w:t>
            </w:r>
            <w:r>
              <w:t> </w:t>
            </w:r>
            <w:r w:rsidRPr="00097A86">
              <w:t>1</w:t>
            </w:r>
          </w:p>
        </w:tc>
      </w:tr>
      <w:tr w:rsidR="00F1362A" w:rsidRPr="00097A86" w14:paraId="79D59AD0" w14:textId="77777777" w:rsidTr="00C20CC2">
        <w:tblPrEx>
          <w:jc w:val="center"/>
        </w:tblPrEx>
        <w:trPr>
          <w:gridAfter w:val="1"/>
          <w:wAfter w:w="37" w:type="pct"/>
          <w:jc w:val="center"/>
        </w:trPr>
        <w:tc>
          <w:tcPr>
            <w:tcW w:w="1390" w:type="pct"/>
            <w:gridSpan w:val="2"/>
          </w:tcPr>
          <w:p w14:paraId="69E1D68A" w14:textId="77777777" w:rsidR="00F1362A" w:rsidRPr="00097A86" w:rsidRDefault="00F1362A" w:rsidP="00BE20A2">
            <w:pPr>
              <w:pStyle w:val="ENoteTableText"/>
              <w:tabs>
                <w:tab w:val="center" w:leader="dot" w:pos="2268"/>
              </w:tabs>
            </w:pPr>
            <w:r w:rsidRPr="00097A86">
              <w:t>s 1.19</w:t>
            </w:r>
            <w:r w:rsidRPr="00097A86">
              <w:tab/>
            </w:r>
          </w:p>
        </w:tc>
        <w:tc>
          <w:tcPr>
            <w:tcW w:w="3573" w:type="pct"/>
            <w:gridSpan w:val="2"/>
          </w:tcPr>
          <w:p w14:paraId="17F05410" w14:textId="77777777" w:rsidR="00F1362A" w:rsidRPr="00097A86" w:rsidRDefault="00F1362A" w:rsidP="00D22D3F">
            <w:pPr>
              <w:pStyle w:val="ENoteTableText"/>
            </w:pPr>
            <w:r w:rsidRPr="00097A86">
              <w:t>am 2012 No.</w:t>
            </w:r>
            <w:r>
              <w:t> </w:t>
            </w:r>
            <w:r w:rsidRPr="00097A86">
              <w:t>1; 2013 No.</w:t>
            </w:r>
            <w:r>
              <w:t> </w:t>
            </w:r>
            <w:r w:rsidRPr="00097A86">
              <w:t>1; 2014 No.</w:t>
            </w:r>
            <w:r>
              <w:t> </w:t>
            </w:r>
            <w:r w:rsidRPr="00097A86">
              <w:t>1; 2016 No 1</w:t>
            </w:r>
            <w:r>
              <w:t>; F2018L00923</w:t>
            </w:r>
          </w:p>
        </w:tc>
      </w:tr>
      <w:tr w:rsidR="00F1362A" w:rsidRPr="00097A86" w14:paraId="4965A739" w14:textId="77777777" w:rsidTr="00C20CC2">
        <w:tblPrEx>
          <w:jc w:val="center"/>
        </w:tblPrEx>
        <w:trPr>
          <w:gridAfter w:val="1"/>
          <w:wAfter w:w="37" w:type="pct"/>
          <w:jc w:val="center"/>
        </w:trPr>
        <w:tc>
          <w:tcPr>
            <w:tcW w:w="1390" w:type="pct"/>
            <w:gridSpan w:val="2"/>
          </w:tcPr>
          <w:p w14:paraId="12A115D3" w14:textId="77777777" w:rsidR="00F1362A" w:rsidRPr="00097A86" w:rsidRDefault="00F1362A" w:rsidP="00D22D3F">
            <w:pPr>
              <w:pStyle w:val="ENoteTableText"/>
            </w:pPr>
            <w:r w:rsidRPr="00097A86">
              <w:rPr>
                <w:b/>
              </w:rPr>
              <w:t>Division</w:t>
            </w:r>
            <w:r>
              <w:rPr>
                <w:b/>
              </w:rPr>
              <w:t> </w:t>
            </w:r>
            <w:r w:rsidRPr="00097A86">
              <w:rPr>
                <w:b/>
              </w:rPr>
              <w:t>1.2.3</w:t>
            </w:r>
          </w:p>
        </w:tc>
        <w:tc>
          <w:tcPr>
            <w:tcW w:w="3573" w:type="pct"/>
            <w:gridSpan w:val="2"/>
          </w:tcPr>
          <w:p w14:paraId="48CF07A9" w14:textId="77777777" w:rsidR="00F1362A" w:rsidRPr="00097A86" w:rsidRDefault="00F1362A" w:rsidP="00D22D3F">
            <w:pPr>
              <w:pStyle w:val="ENoteTableText"/>
            </w:pPr>
          </w:p>
        </w:tc>
      </w:tr>
      <w:tr w:rsidR="00F1362A" w:rsidRPr="00097A86" w14:paraId="79E196BE" w14:textId="77777777" w:rsidTr="00C20CC2">
        <w:tblPrEx>
          <w:jc w:val="center"/>
        </w:tblPrEx>
        <w:trPr>
          <w:gridAfter w:val="1"/>
          <w:wAfter w:w="37" w:type="pct"/>
          <w:jc w:val="center"/>
        </w:trPr>
        <w:tc>
          <w:tcPr>
            <w:tcW w:w="1390" w:type="pct"/>
            <w:gridSpan w:val="2"/>
          </w:tcPr>
          <w:p w14:paraId="5BCD24D3" w14:textId="77777777" w:rsidR="00F1362A" w:rsidRPr="00097A86" w:rsidRDefault="00F1362A" w:rsidP="00657E43">
            <w:pPr>
              <w:pStyle w:val="ENoteTableText"/>
              <w:tabs>
                <w:tab w:val="center" w:leader="dot" w:pos="2268"/>
              </w:tabs>
            </w:pPr>
            <w:r w:rsidRPr="00097A86">
              <w:t>Division</w:t>
            </w:r>
            <w:r>
              <w:t> </w:t>
            </w:r>
            <w:r w:rsidRPr="00097A86">
              <w:t>1.2.3</w:t>
            </w:r>
            <w:r w:rsidRPr="00097A86">
              <w:tab/>
            </w:r>
          </w:p>
        </w:tc>
        <w:tc>
          <w:tcPr>
            <w:tcW w:w="3573" w:type="pct"/>
            <w:gridSpan w:val="2"/>
          </w:tcPr>
          <w:p w14:paraId="680A9ACD" w14:textId="77777777" w:rsidR="00F1362A" w:rsidRPr="00097A86" w:rsidRDefault="00F1362A" w:rsidP="00D22D3F">
            <w:pPr>
              <w:pStyle w:val="ENoteTableText"/>
            </w:pPr>
            <w:r w:rsidRPr="00097A86">
              <w:t>ad 2010 No.</w:t>
            </w:r>
            <w:r>
              <w:t> </w:t>
            </w:r>
            <w:r w:rsidRPr="00097A86">
              <w:t>1</w:t>
            </w:r>
          </w:p>
        </w:tc>
      </w:tr>
      <w:tr w:rsidR="00F1362A" w:rsidRPr="00097A86" w14:paraId="6038630B" w14:textId="77777777" w:rsidTr="00C20CC2">
        <w:tblPrEx>
          <w:jc w:val="center"/>
        </w:tblPrEx>
        <w:trPr>
          <w:gridAfter w:val="1"/>
          <w:wAfter w:w="37" w:type="pct"/>
          <w:jc w:val="center"/>
        </w:trPr>
        <w:tc>
          <w:tcPr>
            <w:tcW w:w="1390" w:type="pct"/>
            <w:gridSpan w:val="2"/>
          </w:tcPr>
          <w:p w14:paraId="5E60E2EB" w14:textId="77777777" w:rsidR="00F1362A" w:rsidRPr="00097A86" w:rsidRDefault="00F1362A" w:rsidP="00BE20A2">
            <w:pPr>
              <w:pStyle w:val="ENoteTableText"/>
              <w:tabs>
                <w:tab w:val="center" w:leader="dot" w:pos="2268"/>
              </w:tabs>
            </w:pPr>
            <w:r w:rsidRPr="00097A86">
              <w:t>s 1.19A</w:t>
            </w:r>
            <w:r w:rsidRPr="00097A86">
              <w:tab/>
            </w:r>
          </w:p>
        </w:tc>
        <w:tc>
          <w:tcPr>
            <w:tcW w:w="3573" w:type="pct"/>
            <w:gridSpan w:val="2"/>
          </w:tcPr>
          <w:p w14:paraId="45EE40CA" w14:textId="77777777" w:rsidR="00F1362A" w:rsidRPr="00097A86" w:rsidRDefault="00F1362A" w:rsidP="00D22D3F">
            <w:pPr>
              <w:pStyle w:val="ENoteTableText"/>
            </w:pPr>
            <w:r w:rsidRPr="00097A86">
              <w:t>ad 2010 No.</w:t>
            </w:r>
            <w:r>
              <w:t> </w:t>
            </w:r>
            <w:r w:rsidRPr="00097A86">
              <w:t>1</w:t>
            </w:r>
          </w:p>
        </w:tc>
      </w:tr>
      <w:tr w:rsidR="00F1362A" w:rsidRPr="00097A86" w14:paraId="11DA9A0F" w14:textId="77777777" w:rsidTr="00C20CC2">
        <w:tblPrEx>
          <w:jc w:val="center"/>
        </w:tblPrEx>
        <w:trPr>
          <w:gridAfter w:val="1"/>
          <w:wAfter w:w="37" w:type="pct"/>
          <w:jc w:val="center"/>
        </w:trPr>
        <w:tc>
          <w:tcPr>
            <w:tcW w:w="1390" w:type="pct"/>
            <w:gridSpan w:val="2"/>
          </w:tcPr>
          <w:p w14:paraId="6E3C78C8" w14:textId="77777777" w:rsidR="00F1362A" w:rsidRPr="00097A86" w:rsidRDefault="00F1362A" w:rsidP="00BE20A2">
            <w:pPr>
              <w:pStyle w:val="ENoteTableText"/>
              <w:tabs>
                <w:tab w:val="center" w:leader="dot" w:pos="2268"/>
              </w:tabs>
            </w:pPr>
          </w:p>
        </w:tc>
        <w:tc>
          <w:tcPr>
            <w:tcW w:w="3573" w:type="pct"/>
            <w:gridSpan w:val="2"/>
          </w:tcPr>
          <w:p w14:paraId="20F27E0E" w14:textId="77777777" w:rsidR="00F1362A" w:rsidRPr="00097A86" w:rsidRDefault="00F1362A" w:rsidP="00D22D3F">
            <w:pPr>
              <w:pStyle w:val="ENoteTableText"/>
            </w:pPr>
            <w:r w:rsidRPr="00097A86">
              <w:t>am 2016 No 1</w:t>
            </w:r>
          </w:p>
        </w:tc>
      </w:tr>
      <w:tr w:rsidR="00F1362A" w:rsidRPr="00097A86" w14:paraId="4871ECB0" w14:textId="77777777" w:rsidTr="00C20CC2">
        <w:tblPrEx>
          <w:jc w:val="center"/>
        </w:tblPrEx>
        <w:trPr>
          <w:gridAfter w:val="1"/>
          <w:wAfter w:w="37" w:type="pct"/>
          <w:jc w:val="center"/>
        </w:trPr>
        <w:tc>
          <w:tcPr>
            <w:tcW w:w="1390" w:type="pct"/>
            <w:gridSpan w:val="2"/>
          </w:tcPr>
          <w:p w14:paraId="0A54E30E" w14:textId="77777777" w:rsidR="00F1362A" w:rsidRPr="00097A86" w:rsidRDefault="00F1362A" w:rsidP="00BE20A2">
            <w:pPr>
              <w:pStyle w:val="ENoteTableText"/>
              <w:tabs>
                <w:tab w:val="center" w:leader="dot" w:pos="2268"/>
              </w:tabs>
            </w:pPr>
            <w:r w:rsidRPr="00097A86">
              <w:t>s 1.19B</w:t>
            </w:r>
            <w:r w:rsidRPr="00097A86">
              <w:tab/>
            </w:r>
          </w:p>
        </w:tc>
        <w:tc>
          <w:tcPr>
            <w:tcW w:w="3573" w:type="pct"/>
            <w:gridSpan w:val="2"/>
          </w:tcPr>
          <w:p w14:paraId="75974D00" w14:textId="77777777" w:rsidR="00F1362A" w:rsidRPr="00097A86" w:rsidRDefault="00F1362A" w:rsidP="00D22D3F">
            <w:pPr>
              <w:pStyle w:val="ENoteTableText"/>
            </w:pPr>
            <w:r w:rsidRPr="00097A86">
              <w:t>ad 2010 No.</w:t>
            </w:r>
            <w:r>
              <w:t> </w:t>
            </w:r>
            <w:r w:rsidRPr="00097A86">
              <w:t>1</w:t>
            </w:r>
          </w:p>
        </w:tc>
      </w:tr>
      <w:tr w:rsidR="00F1362A" w:rsidRPr="00097A86" w14:paraId="7A2B67C0" w14:textId="77777777" w:rsidTr="00C20CC2">
        <w:tblPrEx>
          <w:jc w:val="center"/>
        </w:tblPrEx>
        <w:trPr>
          <w:gridAfter w:val="1"/>
          <w:wAfter w:w="37" w:type="pct"/>
          <w:jc w:val="center"/>
        </w:trPr>
        <w:tc>
          <w:tcPr>
            <w:tcW w:w="1390" w:type="pct"/>
            <w:gridSpan w:val="2"/>
          </w:tcPr>
          <w:p w14:paraId="55920729" w14:textId="77777777" w:rsidR="00F1362A" w:rsidRPr="00097A86" w:rsidRDefault="00F1362A" w:rsidP="00BE20A2">
            <w:pPr>
              <w:pStyle w:val="ENoteTableText"/>
              <w:tabs>
                <w:tab w:val="center" w:leader="dot" w:pos="2268"/>
              </w:tabs>
            </w:pPr>
          </w:p>
        </w:tc>
        <w:tc>
          <w:tcPr>
            <w:tcW w:w="3573" w:type="pct"/>
            <w:gridSpan w:val="2"/>
          </w:tcPr>
          <w:p w14:paraId="5E2986F6" w14:textId="77777777" w:rsidR="00F1362A" w:rsidRPr="00097A86" w:rsidRDefault="00F1362A" w:rsidP="00D22D3F">
            <w:pPr>
              <w:pStyle w:val="ENoteTableText"/>
            </w:pPr>
            <w:r w:rsidRPr="00097A86">
              <w:t>am 2016 No 1</w:t>
            </w:r>
          </w:p>
        </w:tc>
      </w:tr>
      <w:tr w:rsidR="00F1362A" w:rsidRPr="00097A86" w14:paraId="76E9449A" w14:textId="77777777" w:rsidTr="00C20CC2">
        <w:tblPrEx>
          <w:jc w:val="center"/>
        </w:tblPrEx>
        <w:trPr>
          <w:gridAfter w:val="1"/>
          <w:wAfter w:w="37" w:type="pct"/>
          <w:jc w:val="center"/>
        </w:trPr>
        <w:tc>
          <w:tcPr>
            <w:tcW w:w="1390" w:type="pct"/>
            <w:gridSpan w:val="2"/>
          </w:tcPr>
          <w:p w14:paraId="6E382F87" w14:textId="77777777" w:rsidR="00F1362A" w:rsidRPr="00097A86" w:rsidRDefault="00F1362A" w:rsidP="00BE20A2">
            <w:pPr>
              <w:pStyle w:val="ENoteTableText"/>
              <w:tabs>
                <w:tab w:val="center" w:leader="dot" w:pos="2268"/>
              </w:tabs>
            </w:pPr>
            <w:r w:rsidRPr="00097A86">
              <w:t>s 1.19C</w:t>
            </w:r>
            <w:r w:rsidRPr="00097A86">
              <w:tab/>
            </w:r>
          </w:p>
        </w:tc>
        <w:tc>
          <w:tcPr>
            <w:tcW w:w="3573" w:type="pct"/>
            <w:gridSpan w:val="2"/>
          </w:tcPr>
          <w:p w14:paraId="7C8434C4" w14:textId="77777777" w:rsidR="00F1362A" w:rsidRPr="00097A86" w:rsidRDefault="00F1362A" w:rsidP="00D22D3F">
            <w:pPr>
              <w:pStyle w:val="ENoteTableText"/>
            </w:pPr>
            <w:r w:rsidRPr="00097A86">
              <w:t>ad 2010 No.</w:t>
            </w:r>
            <w:r>
              <w:t> </w:t>
            </w:r>
            <w:r w:rsidRPr="00097A86">
              <w:t>1</w:t>
            </w:r>
          </w:p>
        </w:tc>
      </w:tr>
      <w:tr w:rsidR="00F1362A" w:rsidRPr="00097A86" w14:paraId="772B19B5" w14:textId="77777777" w:rsidTr="00C20CC2">
        <w:tblPrEx>
          <w:jc w:val="center"/>
        </w:tblPrEx>
        <w:trPr>
          <w:gridAfter w:val="1"/>
          <w:wAfter w:w="37" w:type="pct"/>
          <w:jc w:val="center"/>
        </w:trPr>
        <w:tc>
          <w:tcPr>
            <w:tcW w:w="1390" w:type="pct"/>
            <w:gridSpan w:val="2"/>
          </w:tcPr>
          <w:p w14:paraId="6DF9BC75" w14:textId="77777777" w:rsidR="00F1362A" w:rsidRPr="00097A86" w:rsidRDefault="00F1362A" w:rsidP="00BE20A2">
            <w:pPr>
              <w:pStyle w:val="ENoteTableText"/>
              <w:tabs>
                <w:tab w:val="center" w:leader="dot" w:pos="2268"/>
              </w:tabs>
            </w:pPr>
          </w:p>
        </w:tc>
        <w:tc>
          <w:tcPr>
            <w:tcW w:w="3573" w:type="pct"/>
            <w:gridSpan w:val="2"/>
          </w:tcPr>
          <w:p w14:paraId="20BFBFBB" w14:textId="77777777" w:rsidR="00F1362A" w:rsidRPr="00097A86" w:rsidRDefault="00F1362A" w:rsidP="00D22D3F">
            <w:pPr>
              <w:pStyle w:val="ENoteTableText"/>
            </w:pPr>
            <w:r w:rsidRPr="00097A86">
              <w:t>am 2016 No 1</w:t>
            </w:r>
          </w:p>
        </w:tc>
      </w:tr>
      <w:tr w:rsidR="00F1362A" w:rsidRPr="00097A86" w14:paraId="380C4A18" w14:textId="77777777" w:rsidTr="00C20CC2">
        <w:tblPrEx>
          <w:jc w:val="center"/>
        </w:tblPrEx>
        <w:trPr>
          <w:gridAfter w:val="1"/>
          <w:wAfter w:w="37" w:type="pct"/>
          <w:jc w:val="center"/>
        </w:trPr>
        <w:tc>
          <w:tcPr>
            <w:tcW w:w="1390" w:type="pct"/>
            <w:gridSpan w:val="2"/>
          </w:tcPr>
          <w:p w14:paraId="4B863E79" w14:textId="77777777" w:rsidR="00F1362A" w:rsidRPr="00097A86" w:rsidRDefault="00F1362A" w:rsidP="00BE20A2">
            <w:pPr>
              <w:pStyle w:val="ENoteTableText"/>
              <w:tabs>
                <w:tab w:val="center" w:leader="dot" w:pos="2268"/>
              </w:tabs>
            </w:pPr>
            <w:r w:rsidRPr="00097A86">
              <w:t>s 1.19D</w:t>
            </w:r>
            <w:r w:rsidRPr="00097A86">
              <w:tab/>
            </w:r>
          </w:p>
        </w:tc>
        <w:tc>
          <w:tcPr>
            <w:tcW w:w="3573" w:type="pct"/>
            <w:gridSpan w:val="2"/>
          </w:tcPr>
          <w:p w14:paraId="78177C66" w14:textId="77777777" w:rsidR="00F1362A" w:rsidRPr="00097A86" w:rsidRDefault="00F1362A" w:rsidP="00D22D3F">
            <w:pPr>
              <w:pStyle w:val="ENoteTableText"/>
            </w:pPr>
            <w:r w:rsidRPr="00097A86">
              <w:t>ad 2010 No.</w:t>
            </w:r>
            <w:r>
              <w:t> </w:t>
            </w:r>
            <w:r w:rsidRPr="00097A86">
              <w:t>1</w:t>
            </w:r>
          </w:p>
        </w:tc>
      </w:tr>
      <w:tr w:rsidR="00F1362A" w:rsidRPr="00097A86" w14:paraId="5F8E9B75" w14:textId="77777777" w:rsidTr="00C20CC2">
        <w:tblPrEx>
          <w:jc w:val="center"/>
        </w:tblPrEx>
        <w:trPr>
          <w:gridAfter w:val="1"/>
          <w:wAfter w:w="37" w:type="pct"/>
          <w:jc w:val="center"/>
        </w:trPr>
        <w:tc>
          <w:tcPr>
            <w:tcW w:w="1390" w:type="pct"/>
            <w:gridSpan w:val="2"/>
          </w:tcPr>
          <w:p w14:paraId="4A834A11" w14:textId="77777777" w:rsidR="00F1362A" w:rsidRPr="00097A86" w:rsidRDefault="00F1362A" w:rsidP="00BE20A2">
            <w:pPr>
              <w:pStyle w:val="ENoteTableText"/>
              <w:tabs>
                <w:tab w:val="center" w:leader="dot" w:pos="2268"/>
              </w:tabs>
            </w:pPr>
          </w:p>
        </w:tc>
        <w:tc>
          <w:tcPr>
            <w:tcW w:w="3573" w:type="pct"/>
            <w:gridSpan w:val="2"/>
          </w:tcPr>
          <w:p w14:paraId="29BD55BA" w14:textId="77777777" w:rsidR="00F1362A" w:rsidRPr="00097A86" w:rsidRDefault="00F1362A" w:rsidP="00D22D3F">
            <w:pPr>
              <w:pStyle w:val="ENoteTableText"/>
            </w:pPr>
            <w:r w:rsidRPr="00097A86">
              <w:t>am 2016 No 1</w:t>
            </w:r>
          </w:p>
        </w:tc>
      </w:tr>
      <w:tr w:rsidR="00F1362A" w:rsidRPr="00097A86" w14:paraId="7B4FAA90" w14:textId="77777777" w:rsidTr="00C20CC2">
        <w:tblPrEx>
          <w:jc w:val="center"/>
        </w:tblPrEx>
        <w:trPr>
          <w:gridAfter w:val="1"/>
          <w:wAfter w:w="37" w:type="pct"/>
          <w:jc w:val="center"/>
        </w:trPr>
        <w:tc>
          <w:tcPr>
            <w:tcW w:w="1390" w:type="pct"/>
            <w:gridSpan w:val="2"/>
          </w:tcPr>
          <w:p w14:paraId="7CEEBE01" w14:textId="77777777" w:rsidR="00F1362A" w:rsidRPr="00097A86" w:rsidRDefault="00F1362A" w:rsidP="00BE20A2">
            <w:pPr>
              <w:pStyle w:val="ENoteTableText"/>
              <w:tabs>
                <w:tab w:val="center" w:leader="dot" w:pos="2268"/>
              </w:tabs>
            </w:pPr>
            <w:r w:rsidRPr="00097A86">
              <w:t>s 1.19E</w:t>
            </w:r>
            <w:r w:rsidRPr="00097A86">
              <w:tab/>
            </w:r>
          </w:p>
        </w:tc>
        <w:tc>
          <w:tcPr>
            <w:tcW w:w="3573" w:type="pct"/>
            <w:gridSpan w:val="2"/>
          </w:tcPr>
          <w:p w14:paraId="6DFC18C8" w14:textId="77777777" w:rsidR="00F1362A" w:rsidRPr="00097A86" w:rsidRDefault="00F1362A" w:rsidP="00D22D3F">
            <w:pPr>
              <w:pStyle w:val="ENoteTableText"/>
            </w:pPr>
            <w:r w:rsidRPr="00097A86">
              <w:t>ad 2010 No.</w:t>
            </w:r>
            <w:r>
              <w:t> </w:t>
            </w:r>
            <w:r w:rsidRPr="00097A86">
              <w:t>1</w:t>
            </w:r>
          </w:p>
        </w:tc>
      </w:tr>
      <w:tr w:rsidR="00F1362A" w:rsidRPr="00097A86" w14:paraId="6F7A88A0" w14:textId="77777777" w:rsidTr="00C20CC2">
        <w:tblPrEx>
          <w:jc w:val="center"/>
        </w:tblPrEx>
        <w:trPr>
          <w:gridAfter w:val="1"/>
          <w:wAfter w:w="37" w:type="pct"/>
          <w:jc w:val="center"/>
        </w:trPr>
        <w:tc>
          <w:tcPr>
            <w:tcW w:w="1390" w:type="pct"/>
            <w:gridSpan w:val="2"/>
          </w:tcPr>
          <w:p w14:paraId="3A4F4488" w14:textId="77777777" w:rsidR="00F1362A" w:rsidRPr="00097A86" w:rsidRDefault="00F1362A" w:rsidP="00BE20A2">
            <w:pPr>
              <w:pStyle w:val="ENoteTableText"/>
              <w:tabs>
                <w:tab w:val="center" w:leader="dot" w:pos="2268"/>
              </w:tabs>
            </w:pPr>
          </w:p>
        </w:tc>
        <w:tc>
          <w:tcPr>
            <w:tcW w:w="3573" w:type="pct"/>
            <w:gridSpan w:val="2"/>
          </w:tcPr>
          <w:p w14:paraId="0E04F6BE" w14:textId="77777777" w:rsidR="00F1362A" w:rsidRPr="00097A86" w:rsidRDefault="00F1362A" w:rsidP="00D22D3F">
            <w:pPr>
              <w:pStyle w:val="ENoteTableText"/>
            </w:pPr>
            <w:r w:rsidRPr="00097A86">
              <w:t>am 2016 No 1</w:t>
            </w:r>
          </w:p>
        </w:tc>
      </w:tr>
      <w:tr w:rsidR="00F1362A" w:rsidRPr="00097A86" w14:paraId="14D4FAE8" w14:textId="77777777" w:rsidTr="00C20CC2">
        <w:tblPrEx>
          <w:jc w:val="center"/>
        </w:tblPrEx>
        <w:trPr>
          <w:gridAfter w:val="1"/>
          <w:wAfter w:w="37" w:type="pct"/>
          <w:jc w:val="center"/>
        </w:trPr>
        <w:tc>
          <w:tcPr>
            <w:tcW w:w="1390" w:type="pct"/>
            <w:gridSpan w:val="2"/>
          </w:tcPr>
          <w:p w14:paraId="4AD84568" w14:textId="77777777" w:rsidR="00F1362A" w:rsidRPr="00097A86" w:rsidRDefault="00F1362A" w:rsidP="00BE20A2">
            <w:pPr>
              <w:pStyle w:val="ENoteTableText"/>
              <w:tabs>
                <w:tab w:val="center" w:leader="dot" w:pos="2268"/>
              </w:tabs>
            </w:pPr>
            <w:r w:rsidRPr="00097A86">
              <w:t>s 1.19F</w:t>
            </w:r>
            <w:r w:rsidRPr="00097A86">
              <w:tab/>
            </w:r>
          </w:p>
        </w:tc>
        <w:tc>
          <w:tcPr>
            <w:tcW w:w="3573" w:type="pct"/>
            <w:gridSpan w:val="2"/>
          </w:tcPr>
          <w:p w14:paraId="65EB742E" w14:textId="77777777" w:rsidR="00F1362A" w:rsidRPr="00097A86" w:rsidRDefault="00F1362A" w:rsidP="00D22D3F">
            <w:pPr>
              <w:pStyle w:val="ENoteTableText"/>
            </w:pPr>
            <w:r w:rsidRPr="00097A86">
              <w:t>ad 2010 No.</w:t>
            </w:r>
            <w:r>
              <w:t> </w:t>
            </w:r>
            <w:r w:rsidRPr="00097A86">
              <w:t>1</w:t>
            </w:r>
          </w:p>
        </w:tc>
      </w:tr>
      <w:tr w:rsidR="00F1362A" w:rsidRPr="00097A86" w14:paraId="156CA242" w14:textId="77777777" w:rsidTr="00C20CC2">
        <w:tblPrEx>
          <w:jc w:val="center"/>
        </w:tblPrEx>
        <w:trPr>
          <w:gridAfter w:val="1"/>
          <w:wAfter w:w="37" w:type="pct"/>
          <w:jc w:val="center"/>
        </w:trPr>
        <w:tc>
          <w:tcPr>
            <w:tcW w:w="1390" w:type="pct"/>
            <w:gridSpan w:val="2"/>
          </w:tcPr>
          <w:p w14:paraId="49AA42DD" w14:textId="77777777" w:rsidR="00F1362A" w:rsidRPr="00097A86" w:rsidRDefault="00F1362A" w:rsidP="00BE20A2">
            <w:pPr>
              <w:pStyle w:val="ENoteTableText"/>
              <w:tabs>
                <w:tab w:val="center" w:leader="dot" w:pos="2268"/>
              </w:tabs>
            </w:pPr>
          </w:p>
        </w:tc>
        <w:tc>
          <w:tcPr>
            <w:tcW w:w="3573" w:type="pct"/>
            <w:gridSpan w:val="2"/>
          </w:tcPr>
          <w:p w14:paraId="23D3F50C" w14:textId="77777777" w:rsidR="00F1362A" w:rsidRPr="00097A86" w:rsidRDefault="00F1362A" w:rsidP="00D22D3F">
            <w:pPr>
              <w:pStyle w:val="ENoteTableText"/>
            </w:pPr>
            <w:r w:rsidRPr="00097A86">
              <w:t>am 2016 No 1</w:t>
            </w:r>
          </w:p>
        </w:tc>
      </w:tr>
      <w:tr w:rsidR="00F1362A" w:rsidRPr="00097A86" w14:paraId="7D48AA36" w14:textId="77777777" w:rsidTr="00C20CC2">
        <w:tblPrEx>
          <w:jc w:val="center"/>
        </w:tblPrEx>
        <w:trPr>
          <w:gridAfter w:val="1"/>
          <w:wAfter w:w="37" w:type="pct"/>
          <w:jc w:val="center"/>
        </w:trPr>
        <w:tc>
          <w:tcPr>
            <w:tcW w:w="1390" w:type="pct"/>
            <w:gridSpan w:val="2"/>
          </w:tcPr>
          <w:p w14:paraId="039969BD" w14:textId="77777777" w:rsidR="00F1362A" w:rsidRPr="00097A86" w:rsidRDefault="00F1362A" w:rsidP="00BE20A2">
            <w:pPr>
              <w:pStyle w:val="ENoteTableText"/>
              <w:tabs>
                <w:tab w:val="center" w:leader="dot" w:pos="2268"/>
              </w:tabs>
            </w:pPr>
            <w:r w:rsidRPr="00097A86">
              <w:t>s 1.19G</w:t>
            </w:r>
            <w:r w:rsidRPr="00097A86">
              <w:tab/>
            </w:r>
          </w:p>
        </w:tc>
        <w:tc>
          <w:tcPr>
            <w:tcW w:w="3573" w:type="pct"/>
            <w:gridSpan w:val="2"/>
          </w:tcPr>
          <w:p w14:paraId="2F7A2E22" w14:textId="77777777" w:rsidR="00F1362A" w:rsidRPr="00097A86" w:rsidRDefault="00F1362A" w:rsidP="00D22D3F">
            <w:pPr>
              <w:pStyle w:val="ENoteTableText"/>
            </w:pPr>
            <w:r w:rsidRPr="00097A86">
              <w:t>ad 2010 No.</w:t>
            </w:r>
            <w:r>
              <w:t> </w:t>
            </w:r>
            <w:r w:rsidRPr="00097A86">
              <w:t>1</w:t>
            </w:r>
          </w:p>
        </w:tc>
      </w:tr>
      <w:tr w:rsidR="00F1362A" w:rsidRPr="00097A86" w14:paraId="517121E7" w14:textId="77777777" w:rsidTr="00C20CC2">
        <w:tblPrEx>
          <w:jc w:val="center"/>
        </w:tblPrEx>
        <w:trPr>
          <w:gridAfter w:val="1"/>
          <w:wAfter w:w="37" w:type="pct"/>
          <w:jc w:val="center"/>
        </w:trPr>
        <w:tc>
          <w:tcPr>
            <w:tcW w:w="1390" w:type="pct"/>
            <w:gridSpan w:val="2"/>
          </w:tcPr>
          <w:p w14:paraId="67B6CDFB" w14:textId="77777777" w:rsidR="00F1362A" w:rsidRPr="00097A86" w:rsidRDefault="00F1362A" w:rsidP="00BE20A2">
            <w:pPr>
              <w:pStyle w:val="ENoteTableText"/>
              <w:tabs>
                <w:tab w:val="center" w:leader="dot" w:pos="2268"/>
              </w:tabs>
            </w:pPr>
          </w:p>
        </w:tc>
        <w:tc>
          <w:tcPr>
            <w:tcW w:w="3573" w:type="pct"/>
            <w:gridSpan w:val="2"/>
          </w:tcPr>
          <w:p w14:paraId="6B08F378" w14:textId="77777777" w:rsidR="00F1362A" w:rsidRPr="00097A86" w:rsidRDefault="00F1362A" w:rsidP="00D22D3F">
            <w:pPr>
              <w:pStyle w:val="ENoteTableText"/>
            </w:pPr>
            <w:r w:rsidRPr="00097A86">
              <w:t>am 2014 No.</w:t>
            </w:r>
            <w:r>
              <w:t> </w:t>
            </w:r>
            <w:r w:rsidRPr="00097A86">
              <w:t>1; 2016 No 1</w:t>
            </w:r>
          </w:p>
        </w:tc>
      </w:tr>
      <w:tr w:rsidR="00F1362A" w:rsidRPr="00097A86" w14:paraId="5FD960B8" w14:textId="77777777" w:rsidTr="00C20CC2">
        <w:tblPrEx>
          <w:jc w:val="center"/>
        </w:tblPrEx>
        <w:trPr>
          <w:gridAfter w:val="1"/>
          <w:wAfter w:w="37" w:type="pct"/>
          <w:jc w:val="center"/>
        </w:trPr>
        <w:tc>
          <w:tcPr>
            <w:tcW w:w="1390" w:type="pct"/>
            <w:gridSpan w:val="2"/>
          </w:tcPr>
          <w:p w14:paraId="7C2E768D" w14:textId="77777777" w:rsidR="00F1362A" w:rsidRPr="00097A86" w:rsidRDefault="00F1362A" w:rsidP="00BE20A2">
            <w:pPr>
              <w:pStyle w:val="ENoteTableText"/>
              <w:tabs>
                <w:tab w:val="center" w:leader="dot" w:pos="2268"/>
              </w:tabs>
            </w:pPr>
            <w:r w:rsidRPr="00097A86">
              <w:t>s 1.19GA</w:t>
            </w:r>
            <w:r w:rsidRPr="00097A86">
              <w:tab/>
            </w:r>
          </w:p>
        </w:tc>
        <w:tc>
          <w:tcPr>
            <w:tcW w:w="3573" w:type="pct"/>
            <w:gridSpan w:val="2"/>
          </w:tcPr>
          <w:p w14:paraId="1D87050C" w14:textId="77777777" w:rsidR="00F1362A" w:rsidRPr="00097A86" w:rsidRDefault="00F1362A" w:rsidP="00D22D3F">
            <w:pPr>
              <w:pStyle w:val="ENoteTableText"/>
            </w:pPr>
            <w:r w:rsidRPr="00097A86">
              <w:t>ad 2016 No 1</w:t>
            </w:r>
          </w:p>
        </w:tc>
      </w:tr>
      <w:tr w:rsidR="00F1362A" w:rsidRPr="00097A86" w14:paraId="60276AC4" w14:textId="77777777" w:rsidTr="00C20CC2">
        <w:tblPrEx>
          <w:jc w:val="center"/>
        </w:tblPrEx>
        <w:trPr>
          <w:gridAfter w:val="1"/>
          <w:wAfter w:w="37" w:type="pct"/>
          <w:jc w:val="center"/>
        </w:trPr>
        <w:tc>
          <w:tcPr>
            <w:tcW w:w="1390" w:type="pct"/>
            <w:gridSpan w:val="2"/>
          </w:tcPr>
          <w:p w14:paraId="31605800" w14:textId="77777777" w:rsidR="00F1362A" w:rsidRPr="00097A86" w:rsidRDefault="00F1362A" w:rsidP="00BE20A2">
            <w:pPr>
              <w:pStyle w:val="ENoteTableText"/>
              <w:tabs>
                <w:tab w:val="center" w:leader="dot" w:pos="2268"/>
              </w:tabs>
            </w:pPr>
            <w:r w:rsidRPr="00097A86">
              <w:t>s 1.19H</w:t>
            </w:r>
            <w:r w:rsidRPr="00097A86">
              <w:tab/>
            </w:r>
          </w:p>
        </w:tc>
        <w:tc>
          <w:tcPr>
            <w:tcW w:w="3573" w:type="pct"/>
            <w:gridSpan w:val="2"/>
          </w:tcPr>
          <w:p w14:paraId="581CB3B7" w14:textId="77777777" w:rsidR="00F1362A" w:rsidRPr="00097A86" w:rsidRDefault="00F1362A" w:rsidP="00D22D3F">
            <w:pPr>
              <w:pStyle w:val="ENoteTableText"/>
            </w:pPr>
            <w:r w:rsidRPr="00097A86">
              <w:t>ad 2010 No.</w:t>
            </w:r>
            <w:r>
              <w:t> </w:t>
            </w:r>
            <w:r w:rsidRPr="00097A86">
              <w:t>1</w:t>
            </w:r>
          </w:p>
        </w:tc>
      </w:tr>
      <w:tr w:rsidR="00F1362A" w:rsidRPr="00097A86" w14:paraId="0E16EDE4" w14:textId="77777777" w:rsidTr="00C20CC2">
        <w:tblPrEx>
          <w:jc w:val="center"/>
        </w:tblPrEx>
        <w:trPr>
          <w:gridAfter w:val="1"/>
          <w:wAfter w:w="37" w:type="pct"/>
          <w:jc w:val="center"/>
        </w:trPr>
        <w:tc>
          <w:tcPr>
            <w:tcW w:w="1390" w:type="pct"/>
            <w:gridSpan w:val="2"/>
          </w:tcPr>
          <w:p w14:paraId="6337C1A2" w14:textId="77777777" w:rsidR="00F1362A" w:rsidRPr="00097A86" w:rsidRDefault="00F1362A" w:rsidP="00D22D3F">
            <w:pPr>
              <w:pStyle w:val="ENoteTableText"/>
            </w:pPr>
          </w:p>
        </w:tc>
        <w:tc>
          <w:tcPr>
            <w:tcW w:w="3573" w:type="pct"/>
            <w:gridSpan w:val="2"/>
          </w:tcPr>
          <w:p w14:paraId="6D0C5B49" w14:textId="77777777" w:rsidR="00F1362A" w:rsidRPr="00097A86" w:rsidRDefault="00F1362A" w:rsidP="00D22D3F">
            <w:pPr>
              <w:pStyle w:val="ENoteTableText"/>
            </w:pPr>
            <w:r w:rsidRPr="00097A86">
              <w:t>am 2012 No.</w:t>
            </w:r>
            <w:r>
              <w:t> </w:t>
            </w:r>
            <w:r w:rsidRPr="00097A86">
              <w:t>1; 2016 No 1</w:t>
            </w:r>
          </w:p>
        </w:tc>
      </w:tr>
      <w:tr w:rsidR="00F1362A" w:rsidRPr="00097A86" w14:paraId="63379BD8" w14:textId="77777777" w:rsidTr="00C20CC2">
        <w:tblPrEx>
          <w:jc w:val="center"/>
        </w:tblPrEx>
        <w:trPr>
          <w:gridAfter w:val="1"/>
          <w:wAfter w:w="37" w:type="pct"/>
          <w:trHeight w:val="141"/>
          <w:jc w:val="center"/>
        </w:trPr>
        <w:tc>
          <w:tcPr>
            <w:tcW w:w="1390" w:type="pct"/>
            <w:gridSpan w:val="2"/>
          </w:tcPr>
          <w:p w14:paraId="20B10CBC" w14:textId="77777777" w:rsidR="00F1362A" w:rsidRPr="00097A86" w:rsidRDefault="00F1362A" w:rsidP="00BE20A2">
            <w:pPr>
              <w:pStyle w:val="ENoteTableText"/>
              <w:tabs>
                <w:tab w:val="center" w:leader="dot" w:pos="2268"/>
              </w:tabs>
            </w:pPr>
            <w:r w:rsidRPr="00097A86">
              <w:t>s 1.19I</w:t>
            </w:r>
            <w:r w:rsidRPr="00097A86">
              <w:tab/>
            </w:r>
          </w:p>
        </w:tc>
        <w:tc>
          <w:tcPr>
            <w:tcW w:w="3573" w:type="pct"/>
            <w:gridSpan w:val="2"/>
          </w:tcPr>
          <w:p w14:paraId="43425805" w14:textId="77777777" w:rsidR="00F1362A" w:rsidRPr="00097A86" w:rsidRDefault="00F1362A" w:rsidP="00D22D3F">
            <w:pPr>
              <w:pStyle w:val="ENoteTableText"/>
            </w:pPr>
            <w:r w:rsidRPr="00097A86">
              <w:t>ad 2010 No.</w:t>
            </w:r>
            <w:r>
              <w:t> </w:t>
            </w:r>
            <w:r w:rsidRPr="00097A86">
              <w:t>1</w:t>
            </w:r>
          </w:p>
        </w:tc>
      </w:tr>
      <w:tr w:rsidR="00F1362A" w:rsidRPr="00097A86" w14:paraId="5E10EF75" w14:textId="77777777" w:rsidTr="00C20CC2">
        <w:tblPrEx>
          <w:jc w:val="center"/>
        </w:tblPrEx>
        <w:trPr>
          <w:gridAfter w:val="1"/>
          <w:wAfter w:w="37" w:type="pct"/>
          <w:trHeight w:val="141"/>
          <w:jc w:val="center"/>
        </w:trPr>
        <w:tc>
          <w:tcPr>
            <w:tcW w:w="1390" w:type="pct"/>
            <w:gridSpan w:val="2"/>
          </w:tcPr>
          <w:p w14:paraId="67629A1D" w14:textId="77777777" w:rsidR="00F1362A" w:rsidRPr="00097A86" w:rsidRDefault="00F1362A" w:rsidP="00BE20A2">
            <w:pPr>
              <w:pStyle w:val="ENoteTableText"/>
              <w:tabs>
                <w:tab w:val="center" w:leader="dot" w:pos="2268"/>
              </w:tabs>
            </w:pPr>
          </w:p>
        </w:tc>
        <w:tc>
          <w:tcPr>
            <w:tcW w:w="3573" w:type="pct"/>
            <w:gridSpan w:val="2"/>
          </w:tcPr>
          <w:p w14:paraId="4CBF32E9" w14:textId="77777777" w:rsidR="00F1362A" w:rsidRPr="00097A86" w:rsidRDefault="00F1362A" w:rsidP="00D22D3F">
            <w:pPr>
              <w:pStyle w:val="ENoteTableText"/>
            </w:pPr>
            <w:r w:rsidRPr="00097A86">
              <w:t>am 2016 No 1</w:t>
            </w:r>
          </w:p>
        </w:tc>
      </w:tr>
      <w:tr w:rsidR="00F1362A" w:rsidRPr="00097A86" w14:paraId="71E6D6A8" w14:textId="77777777" w:rsidTr="00C20CC2">
        <w:tblPrEx>
          <w:jc w:val="center"/>
        </w:tblPrEx>
        <w:trPr>
          <w:gridAfter w:val="1"/>
          <w:wAfter w:w="37" w:type="pct"/>
          <w:trHeight w:val="141"/>
          <w:jc w:val="center"/>
        </w:trPr>
        <w:tc>
          <w:tcPr>
            <w:tcW w:w="1390" w:type="pct"/>
            <w:gridSpan w:val="2"/>
          </w:tcPr>
          <w:p w14:paraId="4ABF3B0A" w14:textId="77777777" w:rsidR="00F1362A" w:rsidRPr="00097A86" w:rsidRDefault="00F1362A" w:rsidP="00BE20A2">
            <w:pPr>
              <w:pStyle w:val="ENoteTableText"/>
              <w:tabs>
                <w:tab w:val="center" w:leader="dot" w:pos="2268"/>
              </w:tabs>
            </w:pPr>
          </w:p>
        </w:tc>
        <w:tc>
          <w:tcPr>
            <w:tcW w:w="3573" w:type="pct"/>
            <w:gridSpan w:val="2"/>
          </w:tcPr>
          <w:p w14:paraId="2548B8D0" w14:textId="77777777" w:rsidR="00F1362A" w:rsidRPr="00097A86" w:rsidRDefault="00F1362A" w:rsidP="00D22D3F">
            <w:pPr>
              <w:pStyle w:val="ENoteTableText"/>
            </w:pPr>
            <w:r w:rsidRPr="00097A86">
              <w:t>ed C7</w:t>
            </w:r>
          </w:p>
        </w:tc>
      </w:tr>
      <w:tr w:rsidR="00F1362A" w:rsidRPr="00097A86" w14:paraId="13B8D45E" w14:textId="77777777" w:rsidTr="00C20CC2">
        <w:tblPrEx>
          <w:jc w:val="center"/>
        </w:tblPrEx>
        <w:trPr>
          <w:gridAfter w:val="1"/>
          <w:wAfter w:w="37" w:type="pct"/>
          <w:trHeight w:val="141"/>
          <w:jc w:val="center"/>
        </w:trPr>
        <w:tc>
          <w:tcPr>
            <w:tcW w:w="1390" w:type="pct"/>
            <w:gridSpan w:val="2"/>
          </w:tcPr>
          <w:p w14:paraId="3FC5D5BB" w14:textId="77777777" w:rsidR="00F1362A" w:rsidRPr="00097A86" w:rsidRDefault="00F1362A" w:rsidP="00BE20A2">
            <w:pPr>
              <w:pStyle w:val="ENoteTableText"/>
              <w:tabs>
                <w:tab w:val="center" w:leader="dot" w:pos="2268"/>
              </w:tabs>
            </w:pPr>
            <w:r w:rsidRPr="00097A86">
              <w:t>s 1.19J</w:t>
            </w:r>
            <w:r w:rsidRPr="00097A86">
              <w:tab/>
            </w:r>
          </w:p>
        </w:tc>
        <w:tc>
          <w:tcPr>
            <w:tcW w:w="3573" w:type="pct"/>
            <w:gridSpan w:val="2"/>
          </w:tcPr>
          <w:p w14:paraId="23A53396" w14:textId="77777777" w:rsidR="00F1362A" w:rsidRPr="00097A86" w:rsidRDefault="00F1362A" w:rsidP="00D22D3F">
            <w:pPr>
              <w:pStyle w:val="ENoteTableText"/>
            </w:pPr>
            <w:r w:rsidRPr="00097A86">
              <w:t>ad 2010 No.</w:t>
            </w:r>
            <w:r>
              <w:t> </w:t>
            </w:r>
            <w:r w:rsidRPr="00097A86">
              <w:t>1</w:t>
            </w:r>
          </w:p>
        </w:tc>
      </w:tr>
      <w:tr w:rsidR="00F1362A" w:rsidRPr="00097A86" w14:paraId="3479C967" w14:textId="77777777" w:rsidTr="00C20CC2">
        <w:tblPrEx>
          <w:jc w:val="center"/>
        </w:tblPrEx>
        <w:trPr>
          <w:gridAfter w:val="1"/>
          <w:wAfter w:w="37" w:type="pct"/>
          <w:trHeight w:val="141"/>
          <w:jc w:val="center"/>
        </w:trPr>
        <w:tc>
          <w:tcPr>
            <w:tcW w:w="1390" w:type="pct"/>
            <w:gridSpan w:val="2"/>
          </w:tcPr>
          <w:p w14:paraId="34B7C994" w14:textId="77777777" w:rsidR="00F1362A" w:rsidRPr="00097A86" w:rsidRDefault="00F1362A" w:rsidP="00D22D3F">
            <w:pPr>
              <w:pStyle w:val="ENoteTableText"/>
            </w:pPr>
          </w:p>
        </w:tc>
        <w:tc>
          <w:tcPr>
            <w:tcW w:w="3573" w:type="pct"/>
            <w:gridSpan w:val="2"/>
          </w:tcPr>
          <w:p w14:paraId="09BD0BC9" w14:textId="77777777" w:rsidR="00F1362A" w:rsidRPr="00097A86" w:rsidRDefault="00F1362A" w:rsidP="00D22D3F">
            <w:pPr>
              <w:pStyle w:val="ENoteTableText"/>
            </w:pPr>
            <w:r w:rsidRPr="00097A86">
              <w:t>am 2012 No.</w:t>
            </w:r>
            <w:r>
              <w:t> </w:t>
            </w:r>
            <w:r w:rsidRPr="00097A86">
              <w:t>1</w:t>
            </w:r>
          </w:p>
        </w:tc>
      </w:tr>
      <w:tr w:rsidR="00F1362A" w:rsidRPr="00097A86" w14:paraId="43B4B52F" w14:textId="77777777" w:rsidTr="00C20CC2">
        <w:tblPrEx>
          <w:jc w:val="center"/>
        </w:tblPrEx>
        <w:trPr>
          <w:gridAfter w:val="1"/>
          <w:wAfter w:w="37" w:type="pct"/>
          <w:trHeight w:val="141"/>
          <w:jc w:val="center"/>
        </w:trPr>
        <w:tc>
          <w:tcPr>
            <w:tcW w:w="1390" w:type="pct"/>
            <w:gridSpan w:val="2"/>
          </w:tcPr>
          <w:p w14:paraId="3F3054C7" w14:textId="77777777" w:rsidR="00F1362A" w:rsidRPr="00097A86" w:rsidRDefault="00F1362A" w:rsidP="00BE20A2">
            <w:pPr>
              <w:pStyle w:val="ENoteTableText"/>
              <w:tabs>
                <w:tab w:val="center" w:leader="dot" w:pos="2268"/>
              </w:tabs>
            </w:pPr>
            <w:r w:rsidRPr="00097A86">
              <w:t>s 1.19K</w:t>
            </w:r>
            <w:r w:rsidRPr="00097A86">
              <w:tab/>
            </w:r>
          </w:p>
        </w:tc>
        <w:tc>
          <w:tcPr>
            <w:tcW w:w="3573" w:type="pct"/>
            <w:gridSpan w:val="2"/>
          </w:tcPr>
          <w:p w14:paraId="3C312066" w14:textId="77777777" w:rsidR="00F1362A" w:rsidRPr="00097A86" w:rsidRDefault="00F1362A" w:rsidP="00D22D3F">
            <w:pPr>
              <w:pStyle w:val="ENoteTableText"/>
            </w:pPr>
            <w:r w:rsidRPr="00097A86">
              <w:t>ad 2010 No.</w:t>
            </w:r>
            <w:r>
              <w:t> </w:t>
            </w:r>
            <w:r w:rsidRPr="00097A86">
              <w:t>1</w:t>
            </w:r>
          </w:p>
        </w:tc>
      </w:tr>
      <w:tr w:rsidR="00F1362A" w:rsidRPr="00097A86" w14:paraId="64299CF7" w14:textId="77777777" w:rsidTr="00C20CC2">
        <w:tblPrEx>
          <w:jc w:val="center"/>
        </w:tblPrEx>
        <w:trPr>
          <w:gridAfter w:val="1"/>
          <w:wAfter w:w="37" w:type="pct"/>
          <w:trHeight w:val="141"/>
          <w:jc w:val="center"/>
        </w:trPr>
        <w:tc>
          <w:tcPr>
            <w:tcW w:w="1390" w:type="pct"/>
            <w:gridSpan w:val="2"/>
          </w:tcPr>
          <w:p w14:paraId="06979489" w14:textId="77777777" w:rsidR="00F1362A" w:rsidRPr="00097A86" w:rsidRDefault="00F1362A" w:rsidP="00BE20A2">
            <w:pPr>
              <w:pStyle w:val="ENoteTableText"/>
              <w:tabs>
                <w:tab w:val="center" w:leader="dot" w:pos="2268"/>
              </w:tabs>
            </w:pPr>
          </w:p>
        </w:tc>
        <w:tc>
          <w:tcPr>
            <w:tcW w:w="3573" w:type="pct"/>
            <w:gridSpan w:val="2"/>
          </w:tcPr>
          <w:p w14:paraId="0029F1B0" w14:textId="77777777" w:rsidR="00F1362A" w:rsidRPr="00097A86" w:rsidRDefault="00F1362A" w:rsidP="00D22D3F">
            <w:pPr>
              <w:pStyle w:val="ENoteTableText"/>
            </w:pPr>
            <w:r w:rsidRPr="00097A86">
              <w:t>am 2012 No 1</w:t>
            </w:r>
          </w:p>
        </w:tc>
      </w:tr>
      <w:tr w:rsidR="00F1362A" w:rsidRPr="00097A86" w14:paraId="6A1FAB83" w14:textId="77777777" w:rsidTr="00C20CC2">
        <w:tblPrEx>
          <w:jc w:val="center"/>
        </w:tblPrEx>
        <w:trPr>
          <w:gridAfter w:val="1"/>
          <w:wAfter w:w="37" w:type="pct"/>
          <w:trHeight w:val="141"/>
          <w:jc w:val="center"/>
        </w:trPr>
        <w:tc>
          <w:tcPr>
            <w:tcW w:w="1390" w:type="pct"/>
            <w:gridSpan w:val="2"/>
          </w:tcPr>
          <w:p w14:paraId="2B779A22" w14:textId="77777777" w:rsidR="00F1362A" w:rsidRPr="00097A86" w:rsidRDefault="00F1362A" w:rsidP="00BE20A2">
            <w:pPr>
              <w:pStyle w:val="ENoteTableText"/>
              <w:tabs>
                <w:tab w:val="center" w:leader="dot" w:pos="2268"/>
              </w:tabs>
            </w:pPr>
          </w:p>
        </w:tc>
        <w:tc>
          <w:tcPr>
            <w:tcW w:w="3573" w:type="pct"/>
            <w:gridSpan w:val="2"/>
          </w:tcPr>
          <w:p w14:paraId="2660C985" w14:textId="77777777" w:rsidR="00F1362A" w:rsidRPr="00097A86" w:rsidRDefault="00F1362A" w:rsidP="00D22D3F">
            <w:pPr>
              <w:pStyle w:val="ENoteTableText"/>
            </w:pPr>
            <w:r w:rsidRPr="00097A86">
              <w:t>ed C7</w:t>
            </w:r>
          </w:p>
        </w:tc>
      </w:tr>
      <w:tr w:rsidR="00F1362A" w:rsidRPr="00097A86" w14:paraId="7032D256" w14:textId="77777777" w:rsidTr="00C20CC2">
        <w:tblPrEx>
          <w:jc w:val="center"/>
        </w:tblPrEx>
        <w:trPr>
          <w:gridAfter w:val="1"/>
          <w:wAfter w:w="37" w:type="pct"/>
          <w:trHeight w:val="141"/>
          <w:jc w:val="center"/>
        </w:trPr>
        <w:tc>
          <w:tcPr>
            <w:tcW w:w="1390" w:type="pct"/>
            <w:gridSpan w:val="2"/>
          </w:tcPr>
          <w:p w14:paraId="5C03A345" w14:textId="77777777" w:rsidR="00F1362A" w:rsidRPr="00097A86" w:rsidRDefault="00F1362A" w:rsidP="00BE20A2">
            <w:pPr>
              <w:pStyle w:val="ENoteTableText"/>
              <w:tabs>
                <w:tab w:val="center" w:leader="dot" w:pos="2268"/>
              </w:tabs>
            </w:pPr>
            <w:r w:rsidRPr="00097A86">
              <w:t>s 1.19L</w:t>
            </w:r>
            <w:r w:rsidRPr="00097A86">
              <w:tab/>
            </w:r>
          </w:p>
        </w:tc>
        <w:tc>
          <w:tcPr>
            <w:tcW w:w="3573" w:type="pct"/>
            <w:gridSpan w:val="2"/>
          </w:tcPr>
          <w:p w14:paraId="129B7060" w14:textId="77777777" w:rsidR="00F1362A" w:rsidRPr="00097A86" w:rsidRDefault="00F1362A" w:rsidP="00D22D3F">
            <w:pPr>
              <w:pStyle w:val="ENoteTableText"/>
            </w:pPr>
            <w:r w:rsidRPr="00097A86">
              <w:t>ad 2010 No.</w:t>
            </w:r>
            <w:r>
              <w:t> </w:t>
            </w:r>
            <w:r w:rsidRPr="00097A86">
              <w:t>1</w:t>
            </w:r>
          </w:p>
        </w:tc>
      </w:tr>
      <w:tr w:rsidR="00F1362A" w:rsidRPr="00097A86" w14:paraId="76074B8A" w14:textId="77777777" w:rsidTr="00C20CC2">
        <w:tblPrEx>
          <w:jc w:val="center"/>
        </w:tblPrEx>
        <w:trPr>
          <w:gridAfter w:val="1"/>
          <w:wAfter w:w="37" w:type="pct"/>
          <w:trHeight w:val="141"/>
          <w:jc w:val="center"/>
        </w:trPr>
        <w:tc>
          <w:tcPr>
            <w:tcW w:w="1390" w:type="pct"/>
            <w:gridSpan w:val="2"/>
          </w:tcPr>
          <w:p w14:paraId="68BC27AC" w14:textId="77777777" w:rsidR="00F1362A" w:rsidRPr="00097A86" w:rsidRDefault="00F1362A" w:rsidP="00BE20A2">
            <w:pPr>
              <w:pStyle w:val="ENoteTableText"/>
              <w:tabs>
                <w:tab w:val="center" w:leader="dot" w:pos="2268"/>
              </w:tabs>
            </w:pPr>
            <w:r w:rsidRPr="00097A86">
              <w:t>s 1.19M</w:t>
            </w:r>
            <w:r w:rsidRPr="00097A86">
              <w:tab/>
            </w:r>
          </w:p>
        </w:tc>
        <w:tc>
          <w:tcPr>
            <w:tcW w:w="3573" w:type="pct"/>
            <w:gridSpan w:val="2"/>
          </w:tcPr>
          <w:p w14:paraId="154AEA32" w14:textId="77777777" w:rsidR="00F1362A" w:rsidRPr="00097A86" w:rsidRDefault="00F1362A" w:rsidP="00D22D3F">
            <w:pPr>
              <w:pStyle w:val="ENoteTableText"/>
            </w:pPr>
            <w:r w:rsidRPr="00097A86">
              <w:t>ad 2010 No.</w:t>
            </w:r>
            <w:r>
              <w:t> </w:t>
            </w:r>
            <w:r w:rsidRPr="00097A86">
              <w:t>1</w:t>
            </w:r>
          </w:p>
        </w:tc>
      </w:tr>
      <w:tr w:rsidR="00F1362A" w:rsidRPr="00097A86" w14:paraId="20F02E5C" w14:textId="77777777" w:rsidTr="00C20CC2">
        <w:tblPrEx>
          <w:jc w:val="center"/>
        </w:tblPrEx>
        <w:trPr>
          <w:gridAfter w:val="1"/>
          <w:wAfter w:w="37" w:type="pct"/>
          <w:trHeight w:val="141"/>
          <w:jc w:val="center"/>
        </w:trPr>
        <w:tc>
          <w:tcPr>
            <w:tcW w:w="1390" w:type="pct"/>
            <w:gridSpan w:val="2"/>
          </w:tcPr>
          <w:p w14:paraId="10E9E300" w14:textId="77777777" w:rsidR="00F1362A" w:rsidRPr="00097A86" w:rsidRDefault="00F1362A" w:rsidP="00BE20A2">
            <w:pPr>
              <w:pStyle w:val="ENoteTableText"/>
              <w:tabs>
                <w:tab w:val="center" w:leader="dot" w:pos="2268"/>
              </w:tabs>
            </w:pPr>
          </w:p>
        </w:tc>
        <w:tc>
          <w:tcPr>
            <w:tcW w:w="3573" w:type="pct"/>
            <w:gridSpan w:val="2"/>
          </w:tcPr>
          <w:p w14:paraId="77B61FD5" w14:textId="77777777" w:rsidR="00F1362A" w:rsidRPr="00097A86" w:rsidRDefault="00F1362A" w:rsidP="00D22D3F">
            <w:pPr>
              <w:pStyle w:val="ENoteTableText"/>
            </w:pPr>
            <w:r w:rsidRPr="00097A86">
              <w:t>ed C7</w:t>
            </w:r>
          </w:p>
        </w:tc>
      </w:tr>
      <w:tr w:rsidR="00F1362A" w:rsidRPr="00097A86" w14:paraId="762C9BE6" w14:textId="77777777" w:rsidTr="00C20CC2">
        <w:tblPrEx>
          <w:jc w:val="center"/>
        </w:tblPrEx>
        <w:trPr>
          <w:gridAfter w:val="1"/>
          <w:wAfter w:w="37" w:type="pct"/>
          <w:trHeight w:val="141"/>
          <w:jc w:val="center"/>
        </w:trPr>
        <w:tc>
          <w:tcPr>
            <w:tcW w:w="1390" w:type="pct"/>
            <w:gridSpan w:val="2"/>
          </w:tcPr>
          <w:p w14:paraId="392F3C31" w14:textId="77777777" w:rsidR="00F1362A" w:rsidRPr="00097A86" w:rsidRDefault="00F1362A" w:rsidP="00BE20A2">
            <w:pPr>
              <w:pStyle w:val="ENoteTableText"/>
              <w:tabs>
                <w:tab w:val="center" w:leader="dot" w:pos="2268"/>
              </w:tabs>
            </w:pPr>
            <w:r w:rsidRPr="00097A86">
              <w:t>s 1.19N</w:t>
            </w:r>
            <w:r w:rsidRPr="00097A86">
              <w:tab/>
            </w:r>
          </w:p>
        </w:tc>
        <w:tc>
          <w:tcPr>
            <w:tcW w:w="3573" w:type="pct"/>
            <w:gridSpan w:val="2"/>
          </w:tcPr>
          <w:p w14:paraId="6424E330" w14:textId="77777777" w:rsidR="00F1362A" w:rsidRPr="00097A86" w:rsidRDefault="00F1362A" w:rsidP="00D22D3F">
            <w:pPr>
              <w:pStyle w:val="ENoteTableText"/>
            </w:pPr>
            <w:r w:rsidRPr="00097A86">
              <w:t>ad 2010 No.</w:t>
            </w:r>
            <w:r>
              <w:t> </w:t>
            </w:r>
            <w:r w:rsidRPr="00097A86">
              <w:t>1</w:t>
            </w:r>
          </w:p>
        </w:tc>
      </w:tr>
      <w:tr w:rsidR="00F1362A" w:rsidRPr="00097A86" w14:paraId="074B6456" w14:textId="77777777" w:rsidTr="00C20CC2">
        <w:tblPrEx>
          <w:jc w:val="center"/>
        </w:tblPrEx>
        <w:trPr>
          <w:gridAfter w:val="1"/>
          <w:wAfter w:w="37" w:type="pct"/>
          <w:trHeight w:val="141"/>
          <w:jc w:val="center"/>
        </w:trPr>
        <w:tc>
          <w:tcPr>
            <w:tcW w:w="1390" w:type="pct"/>
            <w:gridSpan w:val="2"/>
          </w:tcPr>
          <w:p w14:paraId="2865C33D" w14:textId="77777777" w:rsidR="00F1362A" w:rsidRPr="00097A86" w:rsidRDefault="00F1362A" w:rsidP="00BE20A2">
            <w:pPr>
              <w:pStyle w:val="ENoteTableText"/>
              <w:tabs>
                <w:tab w:val="center" w:leader="dot" w:pos="2268"/>
              </w:tabs>
            </w:pPr>
          </w:p>
        </w:tc>
        <w:tc>
          <w:tcPr>
            <w:tcW w:w="3573" w:type="pct"/>
            <w:gridSpan w:val="2"/>
          </w:tcPr>
          <w:p w14:paraId="62FFB83A" w14:textId="77777777" w:rsidR="00F1362A" w:rsidRPr="00097A86" w:rsidRDefault="00F1362A" w:rsidP="00D22D3F">
            <w:pPr>
              <w:pStyle w:val="ENoteTableText"/>
            </w:pPr>
            <w:r w:rsidRPr="00097A86">
              <w:t>rep 2016 No 1</w:t>
            </w:r>
          </w:p>
        </w:tc>
      </w:tr>
      <w:tr w:rsidR="00F1362A" w:rsidRPr="00097A86" w14:paraId="10A12602" w14:textId="77777777" w:rsidTr="00C20CC2">
        <w:tblPrEx>
          <w:jc w:val="center"/>
        </w:tblPrEx>
        <w:trPr>
          <w:gridAfter w:val="1"/>
          <w:wAfter w:w="37" w:type="pct"/>
          <w:jc w:val="center"/>
        </w:trPr>
        <w:tc>
          <w:tcPr>
            <w:tcW w:w="1390" w:type="pct"/>
            <w:gridSpan w:val="2"/>
          </w:tcPr>
          <w:p w14:paraId="7254F3DB" w14:textId="77777777" w:rsidR="00F1362A" w:rsidRPr="00097A86" w:rsidRDefault="00F1362A" w:rsidP="00D22D3F">
            <w:pPr>
              <w:pStyle w:val="ENoteTableText"/>
            </w:pPr>
            <w:r w:rsidRPr="00097A86">
              <w:rPr>
                <w:b/>
              </w:rPr>
              <w:t>Part</w:t>
            </w:r>
            <w:r>
              <w:rPr>
                <w:b/>
              </w:rPr>
              <w:t> </w:t>
            </w:r>
            <w:r w:rsidRPr="00097A86">
              <w:rPr>
                <w:b/>
              </w:rPr>
              <w:t>1.3</w:t>
            </w:r>
          </w:p>
        </w:tc>
        <w:tc>
          <w:tcPr>
            <w:tcW w:w="3573" w:type="pct"/>
            <w:gridSpan w:val="2"/>
          </w:tcPr>
          <w:p w14:paraId="401C16BD" w14:textId="77777777" w:rsidR="00F1362A" w:rsidRPr="00097A86" w:rsidRDefault="00F1362A" w:rsidP="00D22D3F">
            <w:pPr>
              <w:pStyle w:val="ENoteTableText"/>
            </w:pPr>
          </w:p>
        </w:tc>
      </w:tr>
      <w:tr w:rsidR="00F1362A" w:rsidRPr="00097A86" w14:paraId="542443EF" w14:textId="77777777" w:rsidTr="00C20CC2">
        <w:tblPrEx>
          <w:jc w:val="center"/>
        </w:tblPrEx>
        <w:trPr>
          <w:gridAfter w:val="1"/>
          <w:wAfter w:w="37" w:type="pct"/>
          <w:jc w:val="center"/>
        </w:trPr>
        <w:tc>
          <w:tcPr>
            <w:tcW w:w="1390" w:type="pct"/>
            <w:gridSpan w:val="2"/>
          </w:tcPr>
          <w:p w14:paraId="113BC9EF" w14:textId="77777777" w:rsidR="00F1362A" w:rsidRPr="00097A86" w:rsidRDefault="00F1362A" w:rsidP="00D22D3F">
            <w:pPr>
              <w:pStyle w:val="ENoteTableText"/>
            </w:pPr>
            <w:r w:rsidRPr="00097A86">
              <w:rPr>
                <w:b/>
              </w:rPr>
              <w:t>Division</w:t>
            </w:r>
            <w:r>
              <w:rPr>
                <w:b/>
              </w:rPr>
              <w:t> </w:t>
            </w:r>
            <w:r w:rsidRPr="00097A86">
              <w:rPr>
                <w:b/>
              </w:rPr>
              <w:t>1.3.2</w:t>
            </w:r>
          </w:p>
        </w:tc>
        <w:tc>
          <w:tcPr>
            <w:tcW w:w="3573" w:type="pct"/>
            <w:gridSpan w:val="2"/>
          </w:tcPr>
          <w:p w14:paraId="3DBE99EF" w14:textId="77777777" w:rsidR="00F1362A" w:rsidRPr="00097A86" w:rsidRDefault="00F1362A" w:rsidP="00D22D3F">
            <w:pPr>
              <w:pStyle w:val="ENoteTableText"/>
            </w:pPr>
          </w:p>
        </w:tc>
      </w:tr>
      <w:tr w:rsidR="00F1362A" w:rsidRPr="00097A86" w14:paraId="79BB257A" w14:textId="77777777" w:rsidTr="00C20CC2">
        <w:tblPrEx>
          <w:jc w:val="center"/>
        </w:tblPrEx>
        <w:trPr>
          <w:gridAfter w:val="1"/>
          <w:wAfter w:w="37" w:type="pct"/>
          <w:jc w:val="center"/>
        </w:trPr>
        <w:tc>
          <w:tcPr>
            <w:tcW w:w="1390" w:type="pct"/>
            <w:gridSpan w:val="2"/>
          </w:tcPr>
          <w:p w14:paraId="0E4F0710" w14:textId="77777777" w:rsidR="00F1362A" w:rsidRPr="00097A86" w:rsidRDefault="00F1362A" w:rsidP="00D22D3F">
            <w:pPr>
              <w:pStyle w:val="ENoteTableText"/>
            </w:pPr>
            <w:r w:rsidRPr="00097A86">
              <w:rPr>
                <w:b/>
              </w:rPr>
              <w:t>Subdivision</w:t>
            </w:r>
            <w:r>
              <w:rPr>
                <w:b/>
              </w:rPr>
              <w:t> </w:t>
            </w:r>
            <w:r w:rsidRPr="00097A86">
              <w:rPr>
                <w:b/>
              </w:rPr>
              <w:t>1.3.2.1</w:t>
            </w:r>
          </w:p>
        </w:tc>
        <w:tc>
          <w:tcPr>
            <w:tcW w:w="3573" w:type="pct"/>
            <w:gridSpan w:val="2"/>
          </w:tcPr>
          <w:p w14:paraId="08CE9F1F" w14:textId="77777777" w:rsidR="00F1362A" w:rsidRPr="00097A86" w:rsidRDefault="00F1362A" w:rsidP="00D22D3F">
            <w:pPr>
              <w:pStyle w:val="ENoteTableText"/>
            </w:pPr>
          </w:p>
        </w:tc>
      </w:tr>
      <w:tr w:rsidR="00F1362A" w:rsidRPr="00097A86" w14:paraId="4A0828A7" w14:textId="77777777" w:rsidTr="00C20CC2">
        <w:tblPrEx>
          <w:jc w:val="center"/>
        </w:tblPrEx>
        <w:trPr>
          <w:gridAfter w:val="1"/>
          <w:wAfter w:w="37" w:type="pct"/>
          <w:jc w:val="center"/>
        </w:trPr>
        <w:tc>
          <w:tcPr>
            <w:tcW w:w="1390" w:type="pct"/>
            <w:gridSpan w:val="2"/>
          </w:tcPr>
          <w:p w14:paraId="1B99A286" w14:textId="77777777" w:rsidR="00F1362A" w:rsidRPr="00097A86" w:rsidRDefault="00F1362A" w:rsidP="00BE20A2">
            <w:pPr>
              <w:pStyle w:val="ENoteTableText"/>
              <w:tabs>
                <w:tab w:val="center" w:leader="dot" w:pos="2268"/>
              </w:tabs>
            </w:pPr>
            <w:r w:rsidRPr="00097A86">
              <w:lastRenderedPageBreak/>
              <w:t>s 1.21</w:t>
            </w:r>
            <w:r w:rsidRPr="00097A86">
              <w:tab/>
            </w:r>
          </w:p>
        </w:tc>
        <w:tc>
          <w:tcPr>
            <w:tcW w:w="3573" w:type="pct"/>
            <w:gridSpan w:val="2"/>
          </w:tcPr>
          <w:p w14:paraId="6FFCA30D" w14:textId="77777777" w:rsidR="00F1362A" w:rsidRPr="00097A86" w:rsidRDefault="00F1362A" w:rsidP="00D22D3F">
            <w:pPr>
              <w:pStyle w:val="ENoteTableText"/>
            </w:pPr>
            <w:r w:rsidRPr="00097A86">
              <w:t>am 2011 No.</w:t>
            </w:r>
            <w:r>
              <w:t> </w:t>
            </w:r>
            <w:r w:rsidRPr="00097A86">
              <w:t>1</w:t>
            </w:r>
          </w:p>
        </w:tc>
      </w:tr>
      <w:tr w:rsidR="00F1362A" w:rsidRPr="00097A86" w14:paraId="77E9B58F" w14:textId="77777777" w:rsidTr="00C20CC2">
        <w:tblPrEx>
          <w:jc w:val="center"/>
        </w:tblPrEx>
        <w:trPr>
          <w:gridAfter w:val="1"/>
          <w:wAfter w:w="37" w:type="pct"/>
          <w:jc w:val="center"/>
        </w:trPr>
        <w:tc>
          <w:tcPr>
            <w:tcW w:w="1390" w:type="pct"/>
            <w:gridSpan w:val="2"/>
          </w:tcPr>
          <w:p w14:paraId="360C5D1E" w14:textId="77777777" w:rsidR="00F1362A" w:rsidRPr="00097A86" w:rsidRDefault="00F1362A" w:rsidP="00BE20A2">
            <w:pPr>
              <w:pStyle w:val="ENoteTableText"/>
              <w:tabs>
                <w:tab w:val="center" w:leader="dot" w:pos="2268"/>
              </w:tabs>
            </w:pPr>
            <w:r w:rsidRPr="00097A86">
              <w:t>s 1.21A</w:t>
            </w:r>
            <w:r w:rsidRPr="00097A86">
              <w:tab/>
            </w:r>
          </w:p>
        </w:tc>
        <w:tc>
          <w:tcPr>
            <w:tcW w:w="3573" w:type="pct"/>
            <w:gridSpan w:val="2"/>
          </w:tcPr>
          <w:p w14:paraId="135D288F" w14:textId="77777777" w:rsidR="00F1362A" w:rsidRPr="00097A86" w:rsidRDefault="00F1362A" w:rsidP="00D22D3F">
            <w:pPr>
              <w:pStyle w:val="ENoteTableText"/>
            </w:pPr>
            <w:r w:rsidRPr="00097A86">
              <w:t>ad 2013 No.</w:t>
            </w:r>
            <w:r>
              <w:t> </w:t>
            </w:r>
            <w:r w:rsidRPr="00097A86">
              <w:t>1</w:t>
            </w:r>
          </w:p>
        </w:tc>
      </w:tr>
      <w:tr w:rsidR="00F1362A" w:rsidRPr="00097A86" w14:paraId="113C7395" w14:textId="77777777" w:rsidTr="00C20CC2">
        <w:tblPrEx>
          <w:jc w:val="center"/>
        </w:tblPrEx>
        <w:trPr>
          <w:gridAfter w:val="1"/>
          <w:wAfter w:w="37" w:type="pct"/>
          <w:jc w:val="center"/>
        </w:trPr>
        <w:tc>
          <w:tcPr>
            <w:tcW w:w="1390" w:type="pct"/>
            <w:gridSpan w:val="2"/>
          </w:tcPr>
          <w:p w14:paraId="5BE73751" w14:textId="77777777" w:rsidR="00F1362A" w:rsidRPr="00097A86" w:rsidRDefault="00F1362A" w:rsidP="00D22D3F">
            <w:pPr>
              <w:pStyle w:val="ENoteTableText"/>
            </w:pPr>
            <w:r w:rsidRPr="00097A86">
              <w:rPr>
                <w:b/>
              </w:rPr>
              <w:t>Division</w:t>
            </w:r>
            <w:r>
              <w:rPr>
                <w:b/>
              </w:rPr>
              <w:t> </w:t>
            </w:r>
            <w:r w:rsidRPr="00097A86">
              <w:rPr>
                <w:b/>
              </w:rPr>
              <w:t>1.3.3</w:t>
            </w:r>
          </w:p>
        </w:tc>
        <w:tc>
          <w:tcPr>
            <w:tcW w:w="3573" w:type="pct"/>
            <w:gridSpan w:val="2"/>
          </w:tcPr>
          <w:p w14:paraId="50420EBE" w14:textId="77777777" w:rsidR="00F1362A" w:rsidRPr="00097A86" w:rsidRDefault="00F1362A" w:rsidP="00D22D3F">
            <w:pPr>
              <w:pStyle w:val="ENoteTableText"/>
            </w:pPr>
          </w:p>
        </w:tc>
      </w:tr>
      <w:tr w:rsidR="00F1362A" w:rsidRPr="00097A86" w14:paraId="000FBCEB" w14:textId="77777777" w:rsidTr="00C20CC2">
        <w:tblPrEx>
          <w:jc w:val="center"/>
        </w:tblPrEx>
        <w:trPr>
          <w:gridAfter w:val="1"/>
          <w:wAfter w:w="37" w:type="pct"/>
          <w:jc w:val="center"/>
        </w:trPr>
        <w:tc>
          <w:tcPr>
            <w:tcW w:w="1390" w:type="pct"/>
            <w:gridSpan w:val="2"/>
          </w:tcPr>
          <w:p w14:paraId="572AC576" w14:textId="77777777" w:rsidR="00F1362A" w:rsidRPr="00097A86" w:rsidRDefault="00F1362A" w:rsidP="00D22D3F">
            <w:pPr>
              <w:pStyle w:val="ENoteTableText"/>
            </w:pPr>
            <w:r w:rsidRPr="00097A86">
              <w:rPr>
                <w:b/>
              </w:rPr>
              <w:t>Subdivision</w:t>
            </w:r>
            <w:r>
              <w:rPr>
                <w:b/>
              </w:rPr>
              <w:t> </w:t>
            </w:r>
            <w:r w:rsidRPr="00097A86">
              <w:rPr>
                <w:b/>
              </w:rPr>
              <w:t>1.3.3.1</w:t>
            </w:r>
          </w:p>
        </w:tc>
        <w:tc>
          <w:tcPr>
            <w:tcW w:w="3573" w:type="pct"/>
            <w:gridSpan w:val="2"/>
          </w:tcPr>
          <w:p w14:paraId="1EE631C3" w14:textId="77777777" w:rsidR="00F1362A" w:rsidRPr="00097A86" w:rsidRDefault="00F1362A" w:rsidP="00D22D3F">
            <w:pPr>
              <w:pStyle w:val="ENoteTableText"/>
            </w:pPr>
          </w:p>
        </w:tc>
      </w:tr>
      <w:tr w:rsidR="00F1362A" w:rsidRPr="00097A86" w14:paraId="475539A0" w14:textId="77777777" w:rsidTr="00C20CC2">
        <w:tblPrEx>
          <w:jc w:val="center"/>
        </w:tblPrEx>
        <w:trPr>
          <w:gridAfter w:val="1"/>
          <w:wAfter w:w="37" w:type="pct"/>
          <w:jc w:val="center"/>
        </w:trPr>
        <w:tc>
          <w:tcPr>
            <w:tcW w:w="1390" w:type="pct"/>
            <w:gridSpan w:val="2"/>
          </w:tcPr>
          <w:p w14:paraId="76CF23E3" w14:textId="77777777" w:rsidR="00F1362A" w:rsidRPr="00097A86" w:rsidRDefault="00F1362A" w:rsidP="00BE20A2">
            <w:pPr>
              <w:pStyle w:val="ENoteTableText"/>
              <w:tabs>
                <w:tab w:val="center" w:leader="dot" w:pos="2268"/>
              </w:tabs>
            </w:pPr>
            <w:r w:rsidRPr="00097A86">
              <w:t>s 1.27</w:t>
            </w:r>
            <w:r w:rsidRPr="00097A86">
              <w:tab/>
            </w:r>
          </w:p>
        </w:tc>
        <w:tc>
          <w:tcPr>
            <w:tcW w:w="3573" w:type="pct"/>
            <w:gridSpan w:val="2"/>
          </w:tcPr>
          <w:p w14:paraId="03A0B53B" w14:textId="77777777" w:rsidR="00F1362A" w:rsidRPr="00097A86" w:rsidRDefault="00F1362A" w:rsidP="00D22D3F">
            <w:pPr>
              <w:pStyle w:val="ENoteTableText"/>
            </w:pPr>
            <w:r w:rsidRPr="00097A86">
              <w:t>am 2011 No.</w:t>
            </w:r>
            <w:r>
              <w:t> </w:t>
            </w:r>
            <w:r w:rsidRPr="00097A86">
              <w:t>1</w:t>
            </w:r>
          </w:p>
        </w:tc>
      </w:tr>
      <w:tr w:rsidR="00F1362A" w:rsidRPr="00097A86" w14:paraId="36744DAD" w14:textId="77777777" w:rsidTr="00C20CC2">
        <w:tblPrEx>
          <w:jc w:val="center"/>
        </w:tblPrEx>
        <w:trPr>
          <w:gridAfter w:val="1"/>
          <w:wAfter w:w="37" w:type="pct"/>
          <w:jc w:val="center"/>
        </w:trPr>
        <w:tc>
          <w:tcPr>
            <w:tcW w:w="1390" w:type="pct"/>
            <w:gridSpan w:val="2"/>
          </w:tcPr>
          <w:p w14:paraId="2B909AE0" w14:textId="77777777" w:rsidR="00F1362A" w:rsidRPr="00097A86" w:rsidRDefault="00F1362A" w:rsidP="00BE20A2">
            <w:pPr>
              <w:pStyle w:val="ENoteTableText"/>
              <w:tabs>
                <w:tab w:val="center" w:leader="dot" w:pos="2268"/>
              </w:tabs>
            </w:pPr>
            <w:r w:rsidRPr="00097A86">
              <w:t>s 1.27A</w:t>
            </w:r>
            <w:r w:rsidRPr="00097A86">
              <w:tab/>
            </w:r>
          </w:p>
        </w:tc>
        <w:tc>
          <w:tcPr>
            <w:tcW w:w="3573" w:type="pct"/>
            <w:gridSpan w:val="2"/>
          </w:tcPr>
          <w:p w14:paraId="65923E7E" w14:textId="77777777" w:rsidR="00F1362A" w:rsidRPr="00097A86" w:rsidRDefault="00F1362A" w:rsidP="00D22D3F">
            <w:pPr>
              <w:pStyle w:val="ENoteTableText"/>
            </w:pPr>
            <w:r w:rsidRPr="00097A86">
              <w:t>ad 2013 No.</w:t>
            </w:r>
            <w:r>
              <w:t> </w:t>
            </w:r>
            <w:r w:rsidRPr="00097A86">
              <w:t>1</w:t>
            </w:r>
          </w:p>
        </w:tc>
      </w:tr>
      <w:tr w:rsidR="00F1362A" w:rsidRPr="00097A86" w14:paraId="3D1A9C50" w14:textId="77777777" w:rsidTr="00C20CC2">
        <w:tblPrEx>
          <w:jc w:val="center"/>
        </w:tblPrEx>
        <w:trPr>
          <w:gridAfter w:val="1"/>
          <w:wAfter w:w="37" w:type="pct"/>
          <w:jc w:val="center"/>
        </w:trPr>
        <w:tc>
          <w:tcPr>
            <w:tcW w:w="1390" w:type="pct"/>
            <w:gridSpan w:val="2"/>
          </w:tcPr>
          <w:p w14:paraId="26D4C0E3" w14:textId="77777777" w:rsidR="00F1362A" w:rsidRPr="00097A86" w:rsidRDefault="00F1362A" w:rsidP="00BE20A2">
            <w:pPr>
              <w:pStyle w:val="ENoteTableText"/>
              <w:tabs>
                <w:tab w:val="center" w:leader="dot" w:pos="2268"/>
              </w:tabs>
            </w:pPr>
            <w:r w:rsidRPr="00097A86">
              <w:t>s 1.28</w:t>
            </w:r>
            <w:r w:rsidRPr="00097A86">
              <w:tab/>
            </w:r>
          </w:p>
        </w:tc>
        <w:tc>
          <w:tcPr>
            <w:tcW w:w="3573" w:type="pct"/>
            <w:gridSpan w:val="2"/>
          </w:tcPr>
          <w:p w14:paraId="4AF8928A" w14:textId="77777777" w:rsidR="00F1362A" w:rsidRPr="00097A86" w:rsidRDefault="00F1362A" w:rsidP="00D22D3F">
            <w:pPr>
              <w:pStyle w:val="ENoteTableText"/>
            </w:pPr>
            <w:r w:rsidRPr="00097A86">
              <w:t>am 2009 No.</w:t>
            </w:r>
            <w:r>
              <w:t> </w:t>
            </w:r>
            <w:r w:rsidRPr="00097A86">
              <w:t>1</w:t>
            </w:r>
          </w:p>
        </w:tc>
      </w:tr>
      <w:tr w:rsidR="00F1362A" w:rsidRPr="00097A86" w14:paraId="0D1AD973" w14:textId="77777777" w:rsidTr="00C20CC2">
        <w:tblPrEx>
          <w:jc w:val="center"/>
        </w:tblPrEx>
        <w:trPr>
          <w:gridAfter w:val="1"/>
          <w:wAfter w:w="37" w:type="pct"/>
          <w:jc w:val="center"/>
        </w:trPr>
        <w:tc>
          <w:tcPr>
            <w:tcW w:w="1390" w:type="pct"/>
            <w:gridSpan w:val="2"/>
          </w:tcPr>
          <w:p w14:paraId="40EB7D48" w14:textId="77777777" w:rsidR="00F1362A" w:rsidRPr="00097A86" w:rsidRDefault="00F1362A" w:rsidP="00D22D3F">
            <w:pPr>
              <w:pStyle w:val="ENoteTableText"/>
            </w:pPr>
            <w:r w:rsidRPr="00097A86">
              <w:rPr>
                <w:b/>
              </w:rPr>
              <w:t>Chapter</w:t>
            </w:r>
            <w:r>
              <w:rPr>
                <w:b/>
              </w:rPr>
              <w:t> </w:t>
            </w:r>
            <w:r w:rsidRPr="00097A86">
              <w:rPr>
                <w:b/>
              </w:rPr>
              <w:t>2</w:t>
            </w:r>
          </w:p>
        </w:tc>
        <w:tc>
          <w:tcPr>
            <w:tcW w:w="3573" w:type="pct"/>
            <w:gridSpan w:val="2"/>
          </w:tcPr>
          <w:p w14:paraId="2532134B" w14:textId="77777777" w:rsidR="00F1362A" w:rsidRPr="00097A86" w:rsidRDefault="00F1362A" w:rsidP="00D22D3F">
            <w:pPr>
              <w:pStyle w:val="ENoteTableText"/>
            </w:pPr>
          </w:p>
        </w:tc>
      </w:tr>
      <w:tr w:rsidR="00F1362A" w:rsidRPr="00097A86" w14:paraId="55922EE0" w14:textId="77777777" w:rsidTr="00C20CC2">
        <w:tblPrEx>
          <w:jc w:val="center"/>
        </w:tblPrEx>
        <w:trPr>
          <w:gridAfter w:val="1"/>
          <w:wAfter w:w="37" w:type="pct"/>
          <w:jc w:val="center"/>
        </w:trPr>
        <w:tc>
          <w:tcPr>
            <w:tcW w:w="1390" w:type="pct"/>
            <w:gridSpan w:val="2"/>
          </w:tcPr>
          <w:p w14:paraId="5A14C2E7" w14:textId="77777777" w:rsidR="00F1362A" w:rsidRPr="00097A86" w:rsidRDefault="00F1362A" w:rsidP="00657E43">
            <w:pPr>
              <w:pStyle w:val="ENoteTableText"/>
              <w:tabs>
                <w:tab w:val="center" w:leader="dot" w:pos="2268"/>
              </w:tabs>
            </w:pPr>
            <w:r w:rsidRPr="00097A86">
              <w:t>Chapter</w:t>
            </w:r>
            <w:r>
              <w:t> </w:t>
            </w:r>
            <w:r w:rsidRPr="00097A86">
              <w:t>2 heading</w:t>
            </w:r>
            <w:r w:rsidRPr="00097A86">
              <w:tab/>
            </w:r>
          </w:p>
        </w:tc>
        <w:tc>
          <w:tcPr>
            <w:tcW w:w="3573" w:type="pct"/>
            <w:gridSpan w:val="2"/>
          </w:tcPr>
          <w:p w14:paraId="6986059C" w14:textId="77777777" w:rsidR="00F1362A" w:rsidRPr="00097A86" w:rsidRDefault="00F1362A" w:rsidP="00D22D3F">
            <w:pPr>
              <w:pStyle w:val="ENoteTableText"/>
            </w:pPr>
            <w:r w:rsidRPr="00097A86">
              <w:t>rs 2009 No.</w:t>
            </w:r>
            <w:r>
              <w:t> </w:t>
            </w:r>
            <w:r w:rsidRPr="00097A86">
              <w:t>1</w:t>
            </w:r>
          </w:p>
        </w:tc>
      </w:tr>
      <w:tr w:rsidR="00F1362A" w:rsidRPr="00097A86" w14:paraId="50B2ACDD" w14:textId="77777777" w:rsidTr="00C20CC2">
        <w:tblPrEx>
          <w:jc w:val="center"/>
        </w:tblPrEx>
        <w:trPr>
          <w:gridAfter w:val="1"/>
          <w:wAfter w:w="37" w:type="pct"/>
          <w:cantSplit/>
          <w:jc w:val="center"/>
        </w:trPr>
        <w:tc>
          <w:tcPr>
            <w:tcW w:w="1390" w:type="pct"/>
            <w:gridSpan w:val="2"/>
          </w:tcPr>
          <w:p w14:paraId="641D3538" w14:textId="77777777" w:rsidR="00F1362A" w:rsidRPr="00097A86" w:rsidRDefault="00F1362A" w:rsidP="007B1866">
            <w:pPr>
              <w:pStyle w:val="ENoteTableText"/>
              <w:keepNext/>
              <w:keepLines/>
            </w:pPr>
            <w:r w:rsidRPr="00097A86">
              <w:rPr>
                <w:b/>
              </w:rPr>
              <w:t>Part</w:t>
            </w:r>
            <w:r>
              <w:rPr>
                <w:b/>
              </w:rPr>
              <w:t> </w:t>
            </w:r>
            <w:r w:rsidRPr="00097A86">
              <w:rPr>
                <w:b/>
              </w:rPr>
              <w:t>2.1</w:t>
            </w:r>
          </w:p>
        </w:tc>
        <w:tc>
          <w:tcPr>
            <w:tcW w:w="3573" w:type="pct"/>
            <w:gridSpan w:val="2"/>
          </w:tcPr>
          <w:p w14:paraId="4F8F8A1F" w14:textId="77777777" w:rsidR="00F1362A" w:rsidRPr="00097A86" w:rsidRDefault="00F1362A" w:rsidP="007B1866">
            <w:pPr>
              <w:pStyle w:val="ENoteTableText"/>
              <w:keepNext/>
              <w:keepLines/>
            </w:pPr>
          </w:p>
        </w:tc>
      </w:tr>
      <w:tr w:rsidR="00F1362A" w:rsidRPr="00097A86" w14:paraId="7DC1E117" w14:textId="77777777" w:rsidTr="00C20CC2">
        <w:tblPrEx>
          <w:jc w:val="center"/>
        </w:tblPrEx>
        <w:trPr>
          <w:gridAfter w:val="1"/>
          <w:wAfter w:w="37" w:type="pct"/>
          <w:jc w:val="center"/>
        </w:trPr>
        <w:tc>
          <w:tcPr>
            <w:tcW w:w="1390" w:type="pct"/>
            <w:gridSpan w:val="2"/>
          </w:tcPr>
          <w:p w14:paraId="719E7FCF" w14:textId="77777777" w:rsidR="00F1362A" w:rsidRPr="00097A86" w:rsidRDefault="00F1362A" w:rsidP="00BE20A2">
            <w:pPr>
              <w:pStyle w:val="ENoteTableText"/>
              <w:tabs>
                <w:tab w:val="center" w:leader="dot" w:pos="2268"/>
              </w:tabs>
            </w:pPr>
            <w:r w:rsidRPr="00097A86">
              <w:t>s 2.1</w:t>
            </w:r>
            <w:r w:rsidRPr="00097A86">
              <w:tab/>
            </w:r>
          </w:p>
        </w:tc>
        <w:tc>
          <w:tcPr>
            <w:tcW w:w="3573" w:type="pct"/>
            <w:gridSpan w:val="2"/>
          </w:tcPr>
          <w:p w14:paraId="689A2D1F" w14:textId="77777777" w:rsidR="00F1362A" w:rsidRPr="00097A86" w:rsidRDefault="00F1362A" w:rsidP="00D22D3F">
            <w:pPr>
              <w:pStyle w:val="ENoteTableText"/>
            </w:pPr>
            <w:r w:rsidRPr="00097A86">
              <w:t>rs 2009 No.</w:t>
            </w:r>
            <w:r>
              <w:t> </w:t>
            </w:r>
            <w:r w:rsidRPr="00097A86">
              <w:t>1</w:t>
            </w:r>
          </w:p>
        </w:tc>
      </w:tr>
      <w:tr w:rsidR="00F1362A" w:rsidRPr="00097A86" w14:paraId="1D041C2F" w14:textId="77777777" w:rsidTr="00C20CC2">
        <w:tblPrEx>
          <w:jc w:val="center"/>
        </w:tblPrEx>
        <w:trPr>
          <w:gridAfter w:val="1"/>
          <w:wAfter w:w="37" w:type="pct"/>
          <w:jc w:val="center"/>
        </w:trPr>
        <w:tc>
          <w:tcPr>
            <w:tcW w:w="1390" w:type="pct"/>
            <w:gridSpan w:val="2"/>
          </w:tcPr>
          <w:p w14:paraId="11E51F9A" w14:textId="77777777" w:rsidR="00F1362A" w:rsidRPr="00097A86" w:rsidRDefault="00F1362A" w:rsidP="00D22D3F">
            <w:pPr>
              <w:pStyle w:val="ENoteTableText"/>
            </w:pPr>
            <w:r w:rsidRPr="00097A86">
              <w:rPr>
                <w:b/>
              </w:rPr>
              <w:t>Part</w:t>
            </w:r>
            <w:r>
              <w:rPr>
                <w:b/>
              </w:rPr>
              <w:t> </w:t>
            </w:r>
            <w:r w:rsidRPr="00097A86">
              <w:rPr>
                <w:b/>
              </w:rPr>
              <w:t>2.2</w:t>
            </w:r>
          </w:p>
        </w:tc>
        <w:tc>
          <w:tcPr>
            <w:tcW w:w="3573" w:type="pct"/>
            <w:gridSpan w:val="2"/>
          </w:tcPr>
          <w:p w14:paraId="1DFA0E52" w14:textId="77777777" w:rsidR="00F1362A" w:rsidRPr="00097A86" w:rsidRDefault="00F1362A" w:rsidP="00D22D3F">
            <w:pPr>
              <w:pStyle w:val="ENoteTableText"/>
            </w:pPr>
          </w:p>
        </w:tc>
      </w:tr>
      <w:tr w:rsidR="00F1362A" w:rsidRPr="00097A86" w14:paraId="2FD4040F" w14:textId="77777777" w:rsidTr="00C20CC2">
        <w:tblPrEx>
          <w:jc w:val="center"/>
        </w:tblPrEx>
        <w:trPr>
          <w:gridAfter w:val="1"/>
          <w:wAfter w:w="37" w:type="pct"/>
          <w:jc w:val="center"/>
        </w:trPr>
        <w:tc>
          <w:tcPr>
            <w:tcW w:w="1390" w:type="pct"/>
            <w:gridSpan w:val="2"/>
          </w:tcPr>
          <w:p w14:paraId="41B9F9FC" w14:textId="77777777" w:rsidR="00F1362A" w:rsidRPr="00097A86" w:rsidRDefault="00F1362A" w:rsidP="00D22D3F">
            <w:pPr>
              <w:pStyle w:val="ENoteTableText"/>
            </w:pPr>
            <w:r w:rsidRPr="00097A86">
              <w:rPr>
                <w:b/>
              </w:rPr>
              <w:t>Division</w:t>
            </w:r>
            <w:r>
              <w:rPr>
                <w:b/>
              </w:rPr>
              <w:t> </w:t>
            </w:r>
            <w:r w:rsidRPr="00097A86">
              <w:rPr>
                <w:b/>
              </w:rPr>
              <w:t>2.2.1</w:t>
            </w:r>
          </w:p>
        </w:tc>
        <w:tc>
          <w:tcPr>
            <w:tcW w:w="3573" w:type="pct"/>
            <w:gridSpan w:val="2"/>
          </w:tcPr>
          <w:p w14:paraId="16B81A42" w14:textId="77777777" w:rsidR="00F1362A" w:rsidRPr="00097A86" w:rsidRDefault="00F1362A" w:rsidP="00D22D3F">
            <w:pPr>
              <w:pStyle w:val="ENoteTableText"/>
            </w:pPr>
          </w:p>
        </w:tc>
      </w:tr>
      <w:tr w:rsidR="00F1362A" w:rsidRPr="00097A86" w14:paraId="39D97C58" w14:textId="77777777" w:rsidTr="00C20CC2">
        <w:tblPrEx>
          <w:jc w:val="center"/>
        </w:tblPrEx>
        <w:trPr>
          <w:gridAfter w:val="1"/>
          <w:wAfter w:w="37" w:type="pct"/>
          <w:jc w:val="center"/>
        </w:trPr>
        <w:tc>
          <w:tcPr>
            <w:tcW w:w="1390" w:type="pct"/>
            <w:gridSpan w:val="2"/>
          </w:tcPr>
          <w:p w14:paraId="73AC821F" w14:textId="77777777" w:rsidR="00F1362A" w:rsidRPr="00097A86" w:rsidRDefault="00F1362A" w:rsidP="00BE20A2">
            <w:pPr>
              <w:pStyle w:val="ENoteTableText"/>
              <w:tabs>
                <w:tab w:val="center" w:leader="dot" w:pos="2268"/>
              </w:tabs>
            </w:pPr>
            <w:r w:rsidRPr="00097A86">
              <w:t>s 2.2</w:t>
            </w:r>
            <w:r w:rsidRPr="00097A86">
              <w:tab/>
            </w:r>
          </w:p>
        </w:tc>
        <w:tc>
          <w:tcPr>
            <w:tcW w:w="3573" w:type="pct"/>
            <w:gridSpan w:val="2"/>
          </w:tcPr>
          <w:p w14:paraId="3C08D4D3" w14:textId="77777777" w:rsidR="00F1362A" w:rsidRPr="00097A86" w:rsidRDefault="00F1362A" w:rsidP="00D22D3F">
            <w:pPr>
              <w:pStyle w:val="ENoteTableText"/>
            </w:pPr>
            <w:r w:rsidRPr="00097A86">
              <w:t>am 2009 No.</w:t>
            </w:r>
            <w:r>
              <w:t> </w:t>
            </w:r>
            <w:r w:rsidRPr="00097A86">
              <w:t>1</w:t>
            </w:r>
          </w:p>
        </w:tc>
      </w:tr>
      <w:tr w:rsidR="00F1362A" w:rsidRPr="00097A86" w14:paraId="5DF079A7" w14:textId="77777777" w:rsidTr="00C20CC2">
        <w:tblPrEx>
          <w:jc w:val="center"/>
        </w:tblPrEx>
        <w:trPr>
          <w:gridAfter w:val="1"/>
          <w:wAfter w:w="37" w:type="pct"/>
          <w:jc w:val="center"/>
        </w:trPr>
        <w:tc>
          <w:tcPr>
            <w:tcW w:w="1390" w:type="pct"/>
            <w:gridSpan w:val="2"/>
          </w:tcPr>
          <w:p w14:paraId="6783FFB4" w14:textId="77777777" w:rsidR="00F1362A" w:rsidRPr="00097A86" w:rsidRDefault="00F1362A" w:rsidP="00BE20A2">
            <w:pPr>
              <w:pStyle w:val="ENoteTableText"/>
              <w:tabs>
                <w:tab w:val="center" w:leader="dot" w:pos="2268"/>
              </w:tabs>
            </w:pPr>
          </w:p>
        </w:tc>
        <w:tc>
          <w:tcPr>
            <w:tcW w:w="3573" w:type="pct"/>
            <w:gridSpan w:val="2"/>
          </w:tcPr>
          <w:p w14:paraId="4DF57E06" w14:textId="77777777" w:rsidR="00F1362A" w:rsidRPr="00097A86" w:rsidRDefault="00F1362A" w:rsidP="00D22D3F">
            <w:pPr>
              <w:pStyle w:val="ENoteTableText"/>
            </w:pPr>
            <w:r w:rsidRPr="00097A86">
              <w:t>rs 2013 No.</w:t>
            </w:r>
            <w:r>
              <w:t> </w:t>
            </w:r>
            <w:r w:rsidRPr="00097A86">
              <w:t>1</w:t>
            </w:r>
          </w:p>
        </w:tc>
      </w:tr>
      <w:tr w:rsidR="00F1362A" w:rsidRPr="00097A86" w14:paraId="2683103E" w14:textId="77777777" w:rsidTr="00C20CC2">
        <w:tblPrEx>
          <w:jc w:val="center"/>
        </w:tblPrEx>
        <w:trPr>
          <w:gridAfter w:val="1"/>
          <w:wAfter w:w="37" w:type="pct"/>
          <w:jc w:val="center"/>
        </w:trPr>
        <w:tc>
          <w:tcPr>
            <w:tcW w:w="1390" w:type="pct"/>
            <w:gridSpan w:val="2"/>
          </w:tcPr>
          <w:p w14:paraId="6D77F4D3" w14:textId="77777777" w:rsidR="00F1362A" w:rsidRPr="00097A86" w:rsidRDefault="00F1362A" w:rsidP="00BE20A2">
            <w:pPr>
              <w:pStyle w:val="ENoteTableText"/>
              <w:tabs>
                <w:tab w:val="center" w:leader="dot" w:pos="2268"/>
              </w:tabs>
            </w:pPr>
            <w:r w:rsidRPr="00097A86">
              <w:t>s 2.3</w:t>
            </w:r>
            <w:r w:rsidRPr="00097A86">
              <w:tab/>
            </w:r>
          </w:p>
        </w:tc>
        <w:tc>
          <w:tcPr>
            <w:tcW w:w="3573" w:type="pct"/>
            <w:gridSpan w:val="2"/>
          </w:tcPr>
          <w:p w14:paraId="2DF837D7" w14:textId="77777777" w:rsidR="00F1362A" w:rsidRPr="00097A86" w:rsidRDefault="00F1362A" w:rsidP="00D22D3F">
            <w:pPr>
              <w:pStyle w:val="ENoteTableText"/>
            </w:pPr>
            <w:r w:rsidRPr="00097A86">
              <w:t>am 2009 No.</w:t>
            </w:r>
            <w:r>
              <w:t> </w:t>
            </w:r>
            <w:r w:rsidRPr="00097A86">
              <w:t>1; 2011 No.</w:t>
            </w:r>
            <w:r>
              <w:t> </w:t>
            </w:r>
            <w:r w:rsidRPr="00097A86">
              <w:t>1; 2012 No.</w:t>
            </w:r>
            <w:r>
              <w:t> </w:t>
            </w:r>
            <w:r w:rsidRPr="00097A86">
              <w:t>1</w:t>
            </w:r>
          </w:p>
        </w:tc>
      </w:tr>
      <w:tr w:rsidR="00F1362A" w:rsidRPr="00097A86" w14:paraId="0D6D5540" w14:textId="77777777" w:rsidTr="00C20CC2">
        <w:tblPrEx>
          <w:jc w:val="center"/>
        </w:tblPrEx>
        <w:trPr>
          <w:gridAfter w:val="1"/>
          <w:wAfter w:w="37" w:type="pct"/>
          <w:jc w:val="center"/>
        </w:trPr>
        <w:tc>
          <w:tcPr>
            <w:tcW w:w="1390" w:type="pct"/>
            <w:gridSpan w:val="2"/>
          </w:tcPr>
          <w:p w14:paraId="0D12EBE6" w14:textId="77777777" w:rsidR="00F1362A" w:rsidRPr="00097A86" w:rsidRDefault="00F1362A" w:rsidP="00D22D3F">
            <w:pPr>
              <w:pStyle w:val="ENoteTableText"/>
            </w:pPr>
            <w:r w:rsidRPr="00097A86">
              <w:rPr>
                <w:b/>
              </w:rPr>
              <w:t>Division</w:t>
            </w:r>
            <w:r>
              <w:rPr>
                <w:b/>
              </w:rPr>
              <w:t> </w:t>
            </w:r>
            <w:r w:rsidRPr="00097A86">
              <w:rPr>
                <w:b/>
              </w:rPr>
              <w:t>2.2.2</w:t>
            </w:r>
          </w:p>
        </w:tc>
        <w:tc>
          <w:tcPr>
            <w:tcW w:w="3573" w:type="pct"/>
            <w:gridSpan w:val="2"/>
          </w:tcPr>
          <w:p w14:paraId="29F09413" w14:textId="77777777" w:rsidR="00F1362A" w:rsidRPr="00097A86" w:rsidRDefault="00F1362A" w:rsidP="00D22D3F">
            <w:pPr>
              <w:pStyle w:val="ENoteTableText"/>
            </w:pPr>
          </w:p>
        </w:tc>
      </w:tr>
      <w:tr w:rsidR="00F1362A" w:rsidRPr="00097A86" w14:paraId="226EF2AD" w14:textId="77777777" w:rsidTr="00C20CC2">
        <w:tblPrEx>
          <w:jc w:val="center"/>
        </w:tblPrEx>
        <w:trPr>
          <w:gridAfter w:val="1"/>
          <w:wAfter w:w="37" w:type="pct"/>
          <w:jc w:val="center"/>
        </w:trPr>
        <w:tc>
          <w:tcPr>
            <w:tcW w:w="1390" w:type="pct"/>
            <w:gridSpan w:val="2"/>
          </w:tcPr>
          <w:p w14:paraId="366C4281" w14:textId="77777777" w:rsidR="00F1362A" w:rsidRPr="00097A86" w:rsidRDefault="00F1362A" w:rsidP="00BE20A2">
            <w:pPr>
              <w:pStyle w:val="ENoteTableText"/>
              <w:tabs>
                <w:tab w:val="center" w:leader="dot" w:pos="2268"/>
              </w:tabs>
            </w:pPr>
            <w:r w:rsidRPr="00097A86">
              <w:t>s 2.4</w:t>
            </w:r>
            <w:r w:rsidRPr="00097A86">
              <w:tab/>
            </w:r>
          </w:p>
        </w:tc>
        <w:tc>
          <w:tcPr>
            <w:tcW w:w="3573" w:type="pct"/>
            <w:gridSpan w:val="2"/>
          </w:tcPr>
          <w:p w14:paraId="724028ED" w14:textId="77777777" w:rsidR="00F1362A" w:rsidRPr="00097A86" w:rsidRDefault="00F1362A" w:rsidP="00D22D3F">
            <w:pPr>
              <w:pStyle w:val="ENoteTableText"/>
            </w:pPr>
            <w:r w:rsidRPr="00097A86">
              <w:t>am 2009 No.</w:t>
            </w:r>
            <w:r>
              <w:t> </w:t>
            </w:r>
            <w:r w:rsidRPr="00097A86">
              <w:t>1</w:t>
            </w:r>
          </w:p>
        </w:tc>
      </w:tr>
      <w:tr w:rsidR="00F1362A" w:rsidRPr="00097A86" w14:paraId="09BEE5A7" w14:textId="77777777" w:rsidTr="00C20CC2">
        <w:tblPrEx>
          <w:jc w:val="center"/>
        </w:tblPrEx>
        <w:trPr>
          <w:gridAfter w:val="1"/>
          <w:wAfter w:w="37" w:type="pct"/>
          <w:jc w:val="center"/>
        </w:trPr>
        <w:tc>
          <w:tcPr>
            <w:tcW w:w="1390" w:type="pct"/>
            <w:gridSpan w:val="2"/>
          </w:tcPr>
          <w:p w14:paraId="1560A3F4" w14:textId="77777777" w:rsidR="00F1362A" w:rsidRPr="00097A86" w:rsidRDefault="00F1362A" w:rsidP="00D22D3F">
            <w:pPr>
              <w:pStyle w:val="ENoteTableText"/>
            </w:pPr>
            <w:r w:rsidRPr="00097A86">
              <w:rPr>
                <w:b/>
              </w:rPr>
              <w:t>Division</w:t>
            </w:r>
            <w:r>
              <w:rPr>
                <w:b/>
              </w:rPr>
              <w:t> </w:t>
            </w:r>
            <w:r w:rsidRPr="00097A86">
              <w:rPr>
                <w:b/>
              </w:rPr>
              <w:t>2.2.3</w:t>
            </w:r>
          </w:p>
        </w:tc>
        <w:tc>
          <w:tcPr>
            <w:tcW w:w="3573" w:type="pct"/>
            <w:gridSpan w:val="2"/>
          </w:tcPr>
          <w:p w14:paraId="377E7798" w14:textId="77777777" w:rsidR="00F1362A" w:rsidRPr="00097A86" w:rsidRDefault="00F1362A" w:rsidP="00D22D3F">
            <w:pPr>
              <w:pStyle w:val="ENoteTableText"/>
            </w:pPr>
          </w:p>
        </w:tc>
      </w:tr>
      <w:tr w:rsidR="00F1362A" w:rsidRPr="00097A86" w14:paraId="5D5859EC" w14:textId="77777777" w:rsidTr="00C20CC2">
        <w:tblPrEx>
          <w:jc w:val="center"/>
        </w:tblPrEx>
        <w:trPr>
          <w:gridAfter w:val="1"/>
          <w:wAfter w:w="37" w:type="pct"/>
          <w:jc w:val="center"/>
        </w:trPr>
        <w:tc>
          <w:tcPr>
            <w:tcW w:w="1390" w:type="pct"/>
            <w:gridSpan w:val="2"/>
          </w:tcPr>
          <w:p w14:paraId="7B7CEC90" w14:textId="77777777" w:rsidR="00F1362A" w:rsidRPr="00097A86" w:rsidRDefault="00F1362A" w:rsidP="00D22D3F">
            <w:pPr>
              <w:pStyle w:val="ENoteTableText"/>
            </w:pPr>
            <w:r w:rsidRPr="00097A86">
              <w:rPr>
                <w:b/>
              </w:rPr>
              <w:t>Subdivision</w:t>
            </w:r>
            <w:r>
              <w:rPr>
                <w:b/>
              </w:rPr>
              <w:t> </w:t>
            </w:r>
            <w:r w:rsidRPr="00097A86">
              <w:rPr>
                <w:b/>
              </w:rPr>
              <w:t>2.2.3.1</w:t>
            </w:r>
          </w:p>
        </w:tc>
        <w:tc>
          <w:tcPr>
            <w:tcW w:w="3573" w:type="pct"/>
            <w:gridSpan w:val="2"/>
          </w:tcPr>
          <w:p w14:paraId="028C59A9" w14:textId="77777777" w:rsidR="00F1362A" w:rsidRPr="00097A86" w:rsidRDefault="00F1362A" w:rsidP="00D22D3F">
            <w:pPr>
              <w:pStyle w:val="ENoteTableText"/>
            </w:pPr>
          </w:p>
        </w:tc>
      </w:tr>
      <w:tr w:rsidR="00F1362A" w:rsidRPr="00097A86" w14:paraId="0B2C91FC" w14:textId="77777777" w:rsidTr="00C20CC2">
        <w:tblPrEx>
          <w:jc w:val="center"/>
        </w:tblPrEx>
        <w:trPr>
          <w:gridAfter w:val="1"/>
          <w:wAfter w:w="37" w:type="pct"/>
          <w:jc w:val="center"/>
        </w:trPr>
        <w:tc>
          <w:tcPr>
            <w:tcW w:w="1390" w:type="pct"/>
            <w:gridSpan w:val="2"/>
          </w:tcPr>
          <w:p w14:paraId="217E8F0D" w14:textId="77777777" w:rsidR="00F1362A" w:rsidRPr="00097A86" w:rsidRDefault="00F1362A" w:rsidP="00BE20A2">
            <w:pPr>
              <w:pStyle w:val="ENoteTableText"/>
              <w:tabs>
                <w:tab w:val="center" w:leader="dot" w:pos="2268"/>
              </w:tabs>
            </w:pPr>
            <w:r w:rsidRPr="00097A86">
              <w:t>s 2.5</w:t>
            </w:r>
            <w:r w:rsidRPr="00097A86">
              <w:tab/>
            </w:r>
          </w:p>
        </w:tc>
        <w:tc>
          <w:tcPr>
            <w:tcW w:w="3573" w:type="pct"/>
            <w:gridSpan w:val="2"/>
          </w:tcPr>
          <w:p w14:paraId="0F42A7D0" w14:textId="77777777" w:rsidR="00F1362A" w:rsidRPr="00097A86" w:rsidRDefault="00F1362A" w:rsidP="00D22D3F">
            <w:pPr>
              <w:pStyle w:val="ENoteTableText"/>
            </w:pPr>
            <w:r w:rsidRPr="00097A86">
              <w:t>am 2009 No.</w:t>
            </w:r>
            <w:r>
              <w:t> </w:t>
            </w:r>
            <w:r w:rsidRPr="00097A86">
              <w:t>1; 2010 No.</w:t>
            </w:r>
            <w:r>
              <w:t> </w:t>
            </w:r>
            <w:r w:rsidRPr="00097A86">
              <w:t>1; 2015 No 1</w:t>
            </w:r>
          </w:p>
        </w:tc>
      </w:tr>
      <w:tr w:rsidR="00F1362A" w:rsidRPr="00097A86" w14:paraId="75BAF349" w14:textId="77777777" w:rsidTr="00C20CC2">
        <w:tblPrEx>
          <w:jc w:val="center"/>
        </w:tblPrEx>
        <w:trPr>
          <w:gridAfter w:val="1"/>
          <w:wAfter w:w="37" w:type="pct"/>
          <w:jc w:val="center"/>
        </w:trPr>
        <w:tc>
          <w:tcPr>
            <w:tcW w:w="1390" w:type="pct"/>
            <w:gridSpan w:val="2"/>
          </w:tcPr>
          <w:p w14:paraId="47E92599" w14:textId="77777777" w:rsidR="00F1362A" w:rsidRPr="00097A86" w:rsidRDefault="00F1362A" w:rsidP="00D22D3F">
            <w:pPr>
              <w:pStyle w:val="ENoteTableText"/>
            </w:pPr>
            <w:r w:rsidRPr="00097A86">
              <w:rPr>
                <w:b/>
              </w:rPr>
              <w:t>Subdivision</w:t>
            </w:r>
            <w:r>
              <w:rPr>
                <w:b/>
              </w:rPr>
              <w:t> </w:t>
            </w:r>
            <w:r w:rsidRPr="00097A86">
              <w:rPr>
                <w:b/>
              </w:rPr>
              <w:t>2.2.3.2</w:t>
            </w:r>
          </w:p>
        </w:tc>
        <w:tc>
          <w:tcPr>
            <w:tcW w:w="3573" w:type="pct"/>
            <w:gridSpan w:val="2"/>
          </w:tcPr>
          <w:p w14:paraId="56542922" w14:textId="77777777" w:rsidR="00F1362A" w:rsidRPr="00097A86" w:rsidRDefault="00F1362A" w:rsidP="00D22D3F">
            <w:pPr>
              <w:pStyle w:val="ENoteTableText"/>
            </w:pPr>
          </w:p>
        </w:tc>
      </w:tr>
      <w:tr w:rsidR="00F1362A" w:rsidRPr="00097A86" w14:paraId="19211378" w14:textId="77777777" w:rsidTr="00C20CC2">
        <w:tblPrEx>
          <w:jc w:val="center"/>
        </w:tblPrEx>
        <w:trPr>
          <w:gridAfter w:val="1"/>
          <w:wAfter w:w="37" w:type="pct"/>
          <w:jc w:val="center"/>
        </w:trPr>
        <w:tc>
          <w:tcPr>
            <w:tcW w:w="1390" w:type="pct"/>
            <w:gridSpan w:val="2"/>
          </w:tcPr>
          <w:p w14:paraId="201433FA" w14:textId="77777777" w:rsidR="00F1362A" w:rsidRPr="00097A86" w:rsidRDefault="00F1362A" w:rsidP="00BE20A2">
            <w:pPr>
              <w:pStyle w:val="ENoteTableText"/>
              <w:tabs>
                <w:tab w:val="center" w:leader="dot" w:pos="2268"/>
              </w:tabs>
            </w:pPr>
            <w:r w:rsidRPr="00097A86">
              <w:t>s 2.6</w:t>
            </w:r>
            <w:r w:rsidRPr="00097A86">
              <w:tab/>
            </w:r>
          </w:p>
        </w:tc>
        <w:tc>
          <w:tcPr>
            <w:tcW w:w="3573" w:type="pct"/>
            <w:gridSpan w:val="2"/>
          </w:tcPr>
          <w:p w14:paraId="421ACC6C"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24652D53" w14:textId="77777777" w:rsidTr="00C20CC2">
        <w:tblPrEx>
          <w:jc w:val="center"/>
        </w:tblPrEx>
        <w:trPr>
          <w:gridAfter w:val="1"/>
          <w:wAfter w:w="37" w:type="pct"/>
          <w:jc w:val="center"/>
        </w:trPr>
        <w:tc>
          <w:tcPr>
            <w:tcW w:w="1390" w:type="pct"/>
            <w:gridSpan w:val="2"/>
          </w:tcPr>
          <w:p w14:paraId="24F499F8" w14:textId="77777777" w:rsidR="00F1362A" w:rsidRPr="00097A86" w:rsidRDefault="00F1362A" w:rsidP="00D22D3F">
            <w:pPr>
              <w:pStyle w:val="ENoteTableText"/>
            </w:pPr>
            <w:r w:rsidRPr="00097A86">
              <w:rPr>
                <w:b/>
              </w:rPr>
              <w:t>Subdivision</w:t>
            </w:r>
            <w:r>
              <w:rPr>
                <w:b/>
              </w:rPr>
              <w:t> </w:t>
            </w:r>
            <w:r w:rsidRPr="00097A86">
              <w:rPr>
                <w:b/>
              </w:rPr>
              <w:t>2.2.3.3</w:t>
            </w:r>
          </w:p>
        </w:tc>
        <w:tc>
          <w:tcPr>
            <w:tcW w:w="3573" w:type="pct"/>
            <w:gridSpan w:val="2"/>
          </w:tcPr>
          <w:p w14:paraId="56C37B7C" w14:textId="77777777" w:rsidR="00F1362A" w:rsidRPr="00097A86" w:rsidRDefault="00F1362A" w:rsidP="00D22D3F">
            <w:pPr>
              <w:pStyle w:val="ENoteTableText"/>
            </w:pPr>
          </w:p>
        </w:tc>
      </w:tr>
      <w:tr w:rsidR="00F1362A" w:rsidRPr="00097A86" w14:paraId="7901B2CD" w14:textId="77777777" w:rsidTr="00C20CC2">
        <w:tblPrEx>
          <w:jc w:val="center"/>
        </w:tblPrEx>
        <w:trPr>
          <w:gridAfter w:val="1"/>
          <w:wAfter w:w="37" w:type="pct"/>
          <w:jc w:val="center"/>
        </w:trPr>
        <w:tc>
          <w:tcPr>
            <w:tcW w:w="1390" w:type="pct"/>
            <w:gridSpan w:val="2"/>
          </w:tcPr>
          <w:p w14:paraId="5888847F" w14:textId="77777777" w:rsidR="00F1362A" w:rsidRPr="00097A86" w:rsidRDefault="00F1362A" w:rsidP="00BE20A2">
            <w:pPr>
              <w:pStyle w:val="ENoteTableText"/>
              <w:tabs>
                <w:tab w:val="center" w:leader="dot" w:pos="2268"/>
              </w:tabs>
            </w:pPr>
            <w:r w:rsidRPr="00097A86">
              <w:t>s 2.7</w:t>
            </w:r>
            <w:r w:rsidRPr="00097A86">
              <w:tab/>
            </w:r>
          </w:p>
        </w:tc>
        <w:tc>
          <w:tcPr>
            <w:tcW w:w="3573" w:type="pct"/>
            <w:gridSpan w:val="2"/>
          </w:tcPr>
          <w:p w14:paraId="084FD096" w14:textId="77777777" w:rsidR="00F1362A" w:rsidRPr="00097A86" w:rsidRDefault="00F1362A" w:rsidP="00D22D3F">
            <w:pPr>
              <w:pStyle w:val="ENoteTableText"/>
            </w:pPr>
            <w:r w:rsidRPr="00097A86">
              <w:t>am 2009 No.</w:t>
            </w:r>
            <w:r>
              <w:t> </w:t>
            </w:r>
            <w:r w:rsidRPr="00097A86">
              <w:t>1</w:t>
            </w:r>
          </w:p>
        </w:tc>
      </w:tr>
      <w:tr w:rsidR="00F1362A" w:rsidRPr="00097A86" w14:paraId="579FE31A" w14:textId="77777777" w:rsidTr="00C20CC2">
        <w:tblPrEx>
          <w:jc w:val="center"/>
        </w:tblPrEx>
        <w:trPr>
          <w:gridAfter w:val="1"/>
          <w:wAfter w:w="37" w:type="pct"/>
          <w:jc w:val="center"/>
        </w:trPr>
        <w:tc>
          <w:tcPr>
            <w:tcW w:w="1390" w:type="pct"/>
            <w:gridSpan w:val="2"/>
          </w:tcPr>
          <w:p w14:paraId="51355809" w14:textId="77777777" w:rsidR="00F1362A" w:rsidRPr="00097A86" w:rsidRDefault="00F1362A" w:rsidP="00BE20A2">
            <w:pPr>
              <w:pStyle w:val="ENoteTableText"/>
              <w:tabs>
                <w:tab w:val="center" w:leader="dot" w:pos="2268"/>
              </w:tabs>
            </w:pPr>
            <w:r w:rsidRPr="00097A86">
              <w:t>s 2.8</w:t>
            </w:r>
            <w:r w:rsidRPr="00097A86">
              <w:tab/>
            </w:r>
          </w:p>
        </w:tc>
        <w:tc>
          <w:tcPr>
            <w:tcW w:w="3573" w:type="pct"/>
            <w:gridSpan w:val="2"/>
          </w:tcPr>
          <w:p w14:paraId="067F2AF6" w14:textId="77777777" w:rsidR="00F1362A" w:rsidRPr="00097A86" w:rsidRDefault="00F1362A" w:rsidP="00D22D3F">
            <w:pPr>
              <w:pStyle w:val="ENoteTableText"/>
            </w:pPr>
            <w:r w:rsidRPr="00097A86">
              <w:t>am 2009 No.</w:t>
            </w:r>
            <w:r>
              <w:t> </w:t>
            </w:r>
            <w:r w:rsidRPr="00097A86">
              <w:t>1</w:t>
            </w:r>
          </w:p>
        </w:tc>
      </w:tr>
      <w:tr w:rsidR="00F1362A" w:rsidRPr="00097A86" w14:paraId="1CBD15D2" w14:textId="77777777" w:rsidTr="00C20CC2">
        <w:tblPrEx>
          <w:jc w:val="center"/>
        </w:tblPrEx>
        <w:trPr>
          <w:gridAfter w:val="1"/>
          <w:wAfter w:w="37" w:type="pct"/>
          <w:jc w:val="center"/>
        </w:trPr>
        <w:tc>
          <w:tcPr>
            <w:tcW w:w="1390" w:type="pct"/>
            <w:gridSpan w:val="2"/>
          </w:tcPr>
          <w:p w14:paraId="2BD83E14" w14:textId="77777777" w:rsidR="00F1362A" w:rsidRPr="00097A86" w:rsidRDefault="00F1362A" w:rsidP="00BE20A2">
            <w:pPr>
              <w:pStyle w:val="ENoteTableText"/>
              <w:tabs>
                <w:tab w:val="center" w:leader="dot" w:pos="2268"/>
              </w:tabs>
            </w:pPr>
            <w:r w:rsidRPr="00097A86">
              <w:t>s 2.9</w:t>
            </w:r>
            <w:r w:rsidRPr="00097A86">
              <w:tab/>
            </w:r>
          </w:p>
        </w:tc>
        <w:tc>
          <w:tcPr>
            <w:tcW w:w="3573" w:type="pct"/>
            <w:gridSpan w:val="2"/>
          </w:tcPr>
          <w:p w14:paraId="21D252BE" w14:textId="77777777" w:rsidR="00F1362A" w:rsidRPr="00097A86" w:rsidRDefault="00F1362A" w:rsidP="00D22D3F">
            <w:pPr>
              <w:pStyle w:val="ENoteTableText"/>
            </w:pPr>
            <w:r w:rsidRPr="00097A86">
              <w:t>am 2009 No.</w:t>
            </w:r>
            <w:r>
              <w:t> </w:t>
            </w:r>
            <w:r w:rsidRPr="00097A86">
              <w:t>1</w:t>
            </w:r>
          </w:p>
        </w:tc>
      </w:tr>
      <w:tr w:rsidR="00F1362A" w:rsidRPr="00097A86" w14:paraId="148D00DC" w14:textId="77777777" w:rsidTr="00C20CC2">
        <w:tblPrEx>
          <w:jc w:val="center"/>
        </w:tblPrEx>
        <w:trPr>
          <w:gridAfter w:val="1"/>
          <w:wAfter w:w="37" w:type="pct"/>
          <w:jc w:val="center"/>
        </w:trPr>
        <w:tc>
          <w:tcPr>
            <w:tcW w:w="1390" w:type="pct"/>
            <w:gridSpan w:val="2"/>
          </w:tcPr>
          <w:p w14:paraId="1CFAE81E" w14:textId="77777777" w:rsidR="00F1362A" w:rsidRPr="00097A86" w:rsidRDefault="00F1362A" w:rsidP="00BE20A2">
            <w:pPr>
              <w:pStyle w:val="ENoteTableText"/>
              <w:tabs>
                <w:tab w:val="center" w:leader="dot" w:pos="2268"/>
              </w:tabs>
            </w:pPr>
            <w:r w:rsidRPr="00097A86">
              <w:t>s 2.10</w:t>
            </w:r>
            <w:r w:rsidRPr="00097A86">
              <w:tab/>
            </w:r>
          </w:p>
        </w:tc>
        <w:tc>
          <w:tcPr>
            <w:tcW w:w="3573" w:type="pct"/>
            <w:gridSpan w:val="2"/>
          </w:tcPr>
          <w:p w14:paraId="60A77DAB" w14:textId="77777777" w:rsidR="00F1362A" w:rsidRPr="00097A86" w:rsidRDefault="00F1362A" w:rsidP="00D22D3F">
            <w:pPr>
              <w:pStyle w:val="ENoteTableText"/>
            </w:pPr>
            <w:r w:rsidRPr="00097A86">
              <w:t>am 2011 No.</w:t>
            </w:r>
            <w:r>
              <w:t> </w:t>
            </w:r>
            <w:r w:rsidRPr="00097A86">
              <w:t>1</w:t>
            </w:r>
          </w:p>
        </w:tc>
      </w:tr>
      <w:tr w:rsidR="00F1362A" w:rsidRPr="00097A86" w14:paraId="0AF0DB50" w14:textId="77777777" w:rsidTr="00C20CC2">
        <w:tblPrEx>
          <w:jc w:val="center"/>
        </w:tblPrEx>
        <w:trPr>
          <w:gridAfter w:val="1"/>
          <w:wAfter w:w="37" w:type="pct"/>
          <w:jc w:val="center"/>
        </w:trPr>
        <w:tc>
          <w:tcPr>
            <w:tcW w:w="1390" w:type="pct"/>
            <w:gridSpan w:val="2"/>
          </w:tcPr>
          <w:p w14:paraId="0066B571" w14:textId="77777777" w:rsidR="00F1362A" w:rsidRPr="00097A86" w:rsidRDefault="00F1362A" w:rsidP="00BE20A2">
            <w:pPr>
              <w:pStyle w:val="ENoteTableText"/>
              <w:tabs>
                <w:tab w:val="center" w:leader="dot" w:pos="2268"/>
              </w:tabs>
            </w:pPr>
            <w:r w:rsidRPr="00097A86">
              <w:t>s 2.11</w:t>
            </w:r>
            <w:r w:rsidRPr="00097A86">
              <w:tab/>
            </w:r>
          </w:p>
        </w:tc>
        <w:tc>
          <w:tcPr>
            <w:tcW w:w="3573" w:type="pct"/>
            <w:gridSpan w:val="2"/>
          </w:tcPr>
          <w:p w14:paraId="7F4B6865" w14:textId="77777777" w:rsidR="00F1362A" w:rsidRPr="00097A86" w:rsidRDefault="00F1362A" w:rsidP="00D22D3F">
            <w:pPr>
              <w:pStyle w:val="ENoteTableText"/>
            </w:pPr>
            <w:r w:rsidRPr="00097A86">
              <w:t>am 2009 No.</w:t>
            </w:r>
            <w:r>
              <w:t> </w:t>
            </w:r>
            <w:r w:rsidRPr="00097A86">
              <w:t>1</w:t>
            </w:r>
          </w:p>
        </w:tc>
      </w:tr>
      <w:tr w:rsidR="00F1362A" w:rsidRPr="00097A86" w14:paraId="103864CC" w14:textId="77777777" w:rsidTr="00C20CC2">
        <w:tblPrEx>
          <w:jc w:val="center"/>
        </w:tblPrEx>
        <w:trPr>
          <w:gridAfter w:val="1"/>
          <w:wAfter w:w="37" w:type="pct"/>
          <w:jc w:val="center"/>
        </w:trPr>
        <w:tc>
          <w:tcPr>
            <w:tcW w:w="1390" w:type="pct"/>
            <w:gridSpan w:val="2"/>
          </w:tcPr>
          <w:p w14:paraId="551A4E39" w14:textId="77777777" w:rsidR="00F1362A" w:rsidRPr="00097A86" w:rsidRDefault="00F1362A" w:rsidP="00D22D3F">
            <w:pPr>
              <w:pStyle w:val="ENoteTableText"/>
            </w:pPr>
          </w:p>
        </w:tc>
        <w:tc>
          <w:tcPr>
            <w:tcW w:w="3573" w:type="pct"/>
            <w:gridSpan w:val="2"/>
          </w:tcPr>
          <w:p w14:paraId="6D37C974" w14:textId="77777777" w:rsidR="00F1362A" w:rsidRPr="00097A86" w:rsidRDefault="00F1362A" w:rsidP="00D22D3F">
            <w:pPr>
              <w:pStyle w:val="ENoteTableText"/>
            </w:pPr>
            <w:r w:rsidRPr="00097A86">
              <w:t>rs 2011 No.</w:t>
            </w:r>
            <w:r>
              <w:t> </w:t>
            </w:r>
            <w:r w:rsidRPr="00097A86">
              <w:t>1</w:t>
            </w:r>
          </w:p>
        </w:tc>
      </w:tr>
      <w:tr w:rsidR="00F1362A" w:rsidRPr="00097A86" w14:paraId="03AFC352" w14:textId="77777777" w:rsidTr="00C20CC2">
        <w:tblPrEx>
          <w:jc w:val="center"/>
        </w:tblPrEx>
        <w:trPr>
          <w:gridAfter w:val="1"/>
          <w:wAfter w:w="37" w:type="pct"/>
          <w:jc w:val="center"/>
        </w:trPr>
        <w:tc>
          <w:tcPr>
            <w:tcW w:w="1390" w:type="pct"/>
            <w:gridSpan w:val="2"/>
          </w:tcPr>
          <w:p w14:paraId="5E7FB11C" w14:textId="77777777" w:rsidR="00F1362A" w:rsidRPr="00097A86" w:rsidRDefault="00F1362A" w:rsidP="00D22D3F">
            <w:pPr>
              <w:pStyle w:val="ENoteTableText"/>
            </w:pPr>
            <w:r w:rsidRPr="00097A86">
              <w:rPr>
                <w:b/>
              </w:rPr>
              <w:t>Division</w:t>
            </w:r>
            <w:r>
              <w:rPr>
                <w:b/>
              </w:rPr>
              <w:t> </w:t>
            </w:r>
            <w:r w:rsidRPr="00097A86">
              <w:rPr>
                <w:b/>
              </w:rPr>
              <w:t>2.2.4</w:t>
            </w:r>
          </w:p>
        </w:tc>
        <w:tc>
          <w:tcPr>
            <w:tcW w:w="3573" w:type="pct"/>
            <w:gridSpan w:val="2"/>
          </w:tcPr>
          <w:p w14:paraId="63BA788E" w14:textId="77777777" w:rsidR="00F1362A" w:rsidRPr="00097A86" w:rsidRDefault="00F1362A" w:rsidP="00D22D3F">
            <w:pPr>
              <w:pStyle w:val="ENoteTableText"/>
            </w:pPr>
          </w:p>
        </w:tc>
      </w:tr>
      <w:tr w:rsidR="00F1362A" w:rsidRPr="00097A86" w14:paraId="55A95D7E" w14:textId="77777777" w:rsidTr="00C20CC2">
        <w:tblPrEx>
          <w:jc w:val="center"/>
        </w:tblPrEx>
        <w:trPr>
          <w:gridAfter w:val="1"/>
          <w:wAfter w:w="37" w:type="pct"/>
          <w:jc w:val="center"/>
        </w:trPr>
        <w:tc>
          <w:tcPr>
            <w:tcW w:w="1390" w:type="pct"/>
            <w:gridSpan w:val="2"/>
          </w:tcPr>
          <w:p w14:paraId="08E4CB34" w14:textId="77777777" w:rsidR="00F1362A" w:rsidRPr="00097A86" w:rsidRDefault="00F1362A" w:rsidP="00BE20A2">
            <w:pPr>
              <w:pStyle w:val="ENoteTableText"/>
              <w:tabs>
                <w:tab w:val="center" w:leader="dot" w:pos="2268"/>
              </w:tabs>
            </w:pPr>
            <w:r w:rsidRPr="00097A86">
              <w:t>s 2.12</w:t>
            </w:r>
            <w:r w:rsidRPr="00097A86">
              <w:tab/>
            </w:r>
          </w:p>
        </w:tc>
        <w:tc>
          <w:tcPr>
            <w:tcW w:w="3573" w:type="pct"/>
            <w:gridSpan w:val="2"/>
          </w:tcPr>
          <w:p w14:paraId="4C543606" w14:textId="77777777" w:rsidR="00F1362A" w:rsidRPr="00097A86" w:rsidRDefault="00F1362A" w:rsidP="00D22D3F">
            <w:pPr>
              <w:pStyle w:val="ENoteTableText"/>
            </w:pPr>
            <w:r w:rsidRPr="00097A86">
              <w:t>am 2011 No.</w:t>
            </w:r>
            <w:r>
              <w:t> </w:t>
            </w:r>
            <w:r w:rsidRPr="00097A86">
              <w:t>1; 2013 No.</w:t>
            </w:r>
            <w:r>
              <w:t> </w:t>
            </w:r>
            <w:r w:rsidRPr="00097A86">
              <w:t>1; 2014 No.</w:t>
            </w:r>
            <w:r>
              <w:t> </w:t>
            </w:r>
            <w:r w:rsidRPr="00097A86">
              <w:t>1</w:t>
            </w:r>
          </w:p>
        </w:tc>
      </w:tr>
      <w:tr w:rsidR="00F1362A" w:rsidRPr="00097A86" w14:paraId="76F8C847" w14:textId="77777777" w:rsidTr="00C20CC2">
        <w:tblPrEx>
          <w:jc w:val="center"/>
        </w:tblPrEx>
        <w:trPr>
          <w:gridAfter w:val="1"/>
          <w:wAfter w:w="37" w:type="pct"/>
          <w:jc w:val="center"/>
        </w:trPr>
        <w:tc>
          <w:tcPr>
            <w:tcW w:w="1390" w:type="pct"/>
            <w:gridSpan w:val="2"/>
          </w:tcPr>
          <w:p w14:paraId="5D749864" w14:textId="77777777" w:rsidR="00F1362A" w:rsidRPr="00097A86" w:rsidRDefault="00F1362A" w:rsidP="00D22D3F">
            <w:pPr>
              <w:pStyle w:val="ENoteTableText"/>
            </w:pPr>
            <w:r w:rsidRPr="00097A86">
              <w:rPr>
                <w:b/>
              </w:rPr>
              <w:t>Division</w:t>
            </w:r>
            <w:r>
              <w:rPr>
                <w:b/>
              </w:rPr>
              <w:t> </w:t>
            </w:r>
            <w:r w:rsidRPr="00097A86">
              <w:rPr>
                <w:b/>
              </w:rPr>
              <w:t>2.2.5</w:t>
            </w:r>
          </w:p>
        </w:tc>
        <w:tc>
          <w:tcPr>
            <w:tcW w:w="3573" w:type="pct"/>
            <w:gridSpan w:val="2"/>
          </w:tcPr>
          <w:p w14:paraId="5D072A90" w14:textId="77777777" w:rsidR="00F1362A" w:rsidRPr="00097A86" w:rsidRDefault="00F1362A" w:rsidP="00D22D3F">
            <w:pPr>
              <w:pStyle w:val="ENoteTableText"/>
            </w:pPr>
          </w:p>
        </w:tc>
      </w:tr>
      <w:tr w:rsidR="00F1362A" w:rsidRPr="00097A86" w14:paraId="1CC905A8" w14:textId="77777777" w:rsidTr="00C20CC2">
        <w:tblPrEx>
          <w:jc w:val="center"/>
        </w:tblPrEx>
        <w:trPr>
          <w:gridAfter w:val="1"/>
          <w:wAfter w:w="37" w:type="pct"/>
          <w:jc w:val="center"/>
        </w:trPr>
        <w:tc>
          <w:tcPr>
            <w:tcW w:w="1390" w:type="pct"/>
            <w:gridSpan w:val="2"/>
          </w:tcPr>
          <w:p w14:paraId="41283032" w14:textId="77777777" w:rsidR="00F1362A" w:rsidRPr="00097A86" w:rsidRDefault="00F1362A" w:rsidP="00BE20A2">
            <w:pPr>
              <w:pStyle w:val="ENoteTableText"/>
              <w:tabs>
                <w:tab w:val="center" w:leader="dot" w:pos="2268"/>
              </w:tabs>
            </w:pPr>
            <w:r w:rsidRPr="00097A86">
              <w:t>s 2.14</w:t>
            </w:r>
            <w:r w:rsidRPr="00097A86">
              <w:tab/>
            </w:r>
          </w:p>
        </w:tc>
        <w:tc>
          <w:tcPr>
            <w:tcW w:w="3573" w:type="pct"/>
            <w:gridSpan w:val="2"/>
          </w:tcPr>
          <w:p w14:paraId="3DCDD74A" w14:textId="77777777" w:rsidR="00F1362A" w:rsidRPr="00097A86" w:rsidRDefault="00F1362A" w:rsidP="00D22D3F">
            <w:pPr>
              <w:pStyle w:val="ENoteTableText"/>
            </w:pPr>
            <w:r w:rsidRPr="00097A86">
              <w:t>am 2009 No.</w:t>
            </w:r>
            <w:r>
              <w:t> </w:t>
            </w:r>
            <w:r w:rsidRPr="00097A86">
              <w:t>1</w:t>
            </w:r>
          </w:p>
        </w:tc>
      </w:tr>
      <w:tr w:rsidR="00F1362A" w:rsidRPr="00097A86" w14:paraId="41989DCA" w14:textId="77777777" w:rsidTr="00C20CC2">
        <w:tblPrEx>
          <w:jc w:val="center"/>
        </w:tblPrEx>
        <w:trPr>
          <w:gridAfter w:val="1"/>
          <w:wAfter w:w="37" w:type="pct"/>
          <w:jc w:val="center"/>
        </w:trPr>
        <w:tc>
          <w:tcPr>
            <w:tcW w:w="1390" w:type="pct"/>
            <w:gridSpan w:val="2"/>
          </w:tcPr>
          <w:p w14:paraId="66EAB45A" w14:textId="77777777" w:rsidR="00F1362A" w:rsidRPr="00097A86" w:rsidRDefault="00F1362A" w:rsidP="00BE20A2">
            <w:pPr>
              <w:pStyle w:val="ENoteTableText"/>
              <w:tabs>
                <w:tab w:val="center" w:leader="dot" w:pos="2268"/>
              </w:tabs>
            </w:pPr>
            <w:r w:rsidRPr="00097A86">
              <w:t>s 2.15</w:t>
            </w:r>
            <w:r w:rsidRPr="00097A86">
              <w:tab/>
            </w:r>
          </w:p>
        </w:tc>
        <w:tc>
          <w:tcPr>
            <w:tcW w:w="3573" w:type="pct"/>
            <w:gridSpan w:val="2"/>
          </w:tcPr>
          <w:p w14:paraId="5515D4FC" w14:textId="77777777" w:rsidR="00F1362A" w:rsidRPr="00097A86" w:rsidRDefault="00F1362A" w:rsidP="00D22D3F">
            <w:pPr>
              <w:pStyle w:val="ENoteTableText"/>
            </w:pPr>
            <w:r w:rsidRPr="00097A86">
              <w:t>am 2011 No.</w:t>
            </w:r>
            <w:r>
              <w:t> </w:t>
            </w:r>
            <w:r w:rsidRPr="00097A86">
              <w:t>1; 2013 No.</w:t>
            </w:r>
            <w:r>
              <w:t> </w:t>
            </w:r>
            <w:r w:rsidRPr="00097A86">
              <w:t>1</w:t>
            </w:r>
          </w:p>
        </w:tc>
      </w:tr>
      <w:tr w:rsidR="00F1362A" w:rsidRPr="00097A86" w14:paraId="6687B0CD" w14:textId="77777777" w:rsidTr="00C20CC2">
        <w:tblPrEx>
          <w:jc w:val="center"/>
        </w:tblPrEx>
        <w:trPr>
          <w:gridAfter w:val="1"/>
          <w:wAfter w:w="37" w:type="pct"/>
          <w:jc w:val="center"/>
        </w:trPr>
        <w:tc>
          <w:tcPr>
            <w:tcW w:w="1390" w:type="pct"/>
            <w:gridSpan w:val="2"/>
          </w:tcPr>
          <w:p w14:paraId="16EA2AD9" w14:textId="77777777" w:rsidR="00F1362A" w:rsidRPr="00097A86" w:rsidRDefault="00F1362A" w:rsidP="00BE20A2">
            <w:pPr>
              <w:pStyle w:val="ENoteTableText"/>
              <w:tabs>
                <w:tab w:val="center" w:leader="dot" w:pos="2268"/>
              </w:tabs>
            </w:pPr>
            <w:r w:rsidRPr="00097A86">
              <w:t>s 2.16</w:t>
            </w:r>
            <w:r w:rsidRPr="00097A86">
              <w:tab/>
            </w:r>
          </w:p>
        </w:tc>
        <w:tc>
          <w:tcPr>
            <w:tcW w:w="3573" w:type="pct"/>
            <w:gridSpan w:val="2"/>
          </w:tcPr>
          <w:p w14:paraId="307A7FDB" w14:textId="77777777" w:rsidR="00F1362A" w:rsidRPr="00097A86" w:rsidRDefault="00F1362A" w:rsidP="00D22D3F">
            <w:pPr>
              <w:pStyle w:val="ENoteTableText"/>
            </w:pPr>
            <w:r w:rsidRPr="00097A86">
              <w:t>am 2011 No.</w:t>
            </w:r>
            <w:r>
              <w:t> </w:t>
            </w:r>
            <w:r w:rsidRPr="00097A86">
              <w:t>1</w:t>
            </w:r>
          </w:p>
        </w:tc>
      </w:tr>
      <w:tr w:rsidR="00F1362A" w:rsidRPr="00097A86" w14:paraId="3F6633A6" w14:textId="77777777" w:rsidTr="00C20CC2">
        <w:tblPrEx>
          <w:jc w:val="center"/>
        </w:tblPrEx>
        <w:trPr>
          <w:gridAfter w:val="1"/>
          <w:wAfter w:w="37" w:type="pct"/>
          <w:jc w:val="center"/>
        </w:trPr>
        <w:tc>
          <w:tcPr>
            <w:tcW w:w="1390" w:type="pct"/>
            <w:gridSpan w:val="2"/>
          </w:tcPr>
          <w:p w14:paraId="7E9683CF" w14:textId="77777777" w:rsidR="00F1362A" w:rsidRPr="00097A86" w:rsidRDefault="00F1362A" w:rsidP="00BE20A2">
            <w:pPr>
              <w:pStyle w:val="ENoteTableText"/>
              <w:tabs>
                <w:tab w:val="center" w:leader="dot" w:pos="2268"/>
              </w:tabs>
            </w:pPr>
            <w:r w:rsidRPr="00097A86">
              <w:t>s 2.17</w:t>
            </w:r>
            <w:r w:rsidRPr="00097A86">
              <w:tab/>
            </w:r>
          </w:p>
        </w:tc>
        <w:tc>
          <w:tcPr>
            <w:tcW w:w="3573" w:type="pct"/>
            <w:gridSpan w:val="2"/>
          </w:tcPr>
          <w:p w14:paraId="6F4B8625" w14:textId="77777777" w:rsidR="00F1362A" w:rsidRPr="00097A86" w:rsidRDefault="00F1362A" w:rsidP="00D22D3F">
            <w:pPr>
              <w:pStyle w:val="ENoteTableText"/>
            </w:pPr>
            <w:r w:rsidRPr="00097A86">
              <w:t>am 2009 No.</w:t>
            </w:r>
            <w:r>
              <w:t> </w:t>
            </w:r>
            <w:r w:rsidRPr="00097A86">
              <w:t>1</w:t>
            </w:r>
          </w:p>
        </w:tc>
      </w:tr>
      <w:tr w:rsidR="00F1362A" w:rsidRPr="00097A86" w14:paraId="15A19D7F" w14:textId="77777777" w:rsidTr="00C20CC2">
        <w:tblPrEx>
          <w:jc w:val="center"/>
        </w:tblPrEx>
        <w:trPr>
          <w:gridAfter w:val="1"/>
          <w:wAfter w:w="37" w:type="pct"/>
          <w:jc w:val="center"/>
        </w:trPr>
        <w:tc>
          <w:tcPr>
            <w:tcW w:w="1390" w:type="pct"/>
            <w:gridSpan w:val="2"/>
          </w:tcPr>
          <w:p w14:paraId="4ED84B09" w14:textId="77777777" w:rsidR="00F1362A" w:rsidRPr="00097A86" w:rsidRDefault="00F1362A" w:rsidP="00D22D3F">
            <w:pPr>
              <w:pStyle w:val="ENoteTableText"/>
            </w:pPr>
            <w:r w:rsidRPr="00097A86">
              <w:rPr>
                <w:b/>
              </w:rPr>
              <w:t>Part</w:t>
            </w:r>
            <w:r>
              <w:rPr>
                <w:b/>
              </w:rPr>
              <w:t> </w:t>
            </w:r>
            <w:r w:rsidRPr="00097A86">
              <w:rPr>
                <w:b/>
              </w:rPr>
              <w:t>2.3</w:t>
            </w:r>
          </w:p>
        </w:tc>
        <w:tc>
          <w:tcPr>
            <w:tcW w:w="3573" w:type="pct"/>
            <w:gridSpan w:val="2"/>
          </w:tcPr>
          <w:p w14:paraId="5AC3690A" w14:textId="77777777" w:rsidR="00F1362A" w:rsidRPr="00097A86" w:rsidRDefault="00F1362A" w:rsidP="00D22D3F">
            <w:pPr>
              <w:pStyle w:val="ENoteTableText"/>
            </w:pPr>
          </w:p>
        </w:tc>
      </w:tr>
      <w:tr w:rsidR="00F1362A" w:rsidRPr="00097A86" w14:paraId="2C47EFFC" w14:textId="77777777" w:rsidTr="00C20CC2">
        <w:tblPrEx>
          <w:jc w:val="center"/>
        </w:tblPrEx>
        <w:trPr>
          <w:gridAfter w:val="1"/>
          <w:wAfter w:w="37" w:type="pct"/>
          <w:jc w:val="center"/>
        </w:trPr>
        <w:tc>
          <w:tcPr>
            <w:tcW w:w="1390" w:type="pct"/>
            <w:gridSpan w:val="2"/>
          </w:tcPr>
          <w:p w14:paraId="7423C416" w14:textId="77777777" w:rsidR="00F1362A" w:rsidRPr="00097A86" w:rsidRDefault="00F1362A" w:rsidP="00D22D3F">
            <w:pPr>
              <w:pStyle w:val="ENoteTableText"/>
            </w:pPr>
            <w:r w:rsidRPr="00097A86">
              <w:rPr>
                <w:b/>
              </w:rPr>
              <w:t>Division</w:t>
            </w:r>
            <w:r>
              <w:rPr>
                <w:b/>
              </w:rPr>
              <w:t> </w:t>
            </w:r>
            <w:r w:rsidRPr="00097A86">
              <w:rPr>
                <w:b/>
              </w:rPr>
              <w:t>2.3.1</w:t>
            </w:r>
          </w:p>
        </w:tc>
        <w:tc>
          <w:tcPr>
            <w:tcW w:w="3573" w:type="pct"/>
            <w:gridSpan w:val="2"/>
          </w:tcPr>
          <w:p w14:paraId="1B266D9D" w14:textId="77777777" w:rsidR="00F1362A" w:rsidRPr="00097A86" w:rsidRDefault="00F1362A" w:rsidP="00D22D3F">
            <w:pPr>
              <w:pStyle w:val="ENoteTableText"/>
            </w:pPr>
          </w:p>
        </w:tc>
      </w:tr>
      <w:tr w:rsidR="00F1362A" w:rsidRPr="00097A86" w14:paraId="2F12C236" w14:textId="77777777" w:rsidTr="00C20CC2">
        <w:tblPrEx>
          <w:jc w:val="center"/>
        </w:tblPrEx>
        <w:trPr>
          <w:gridAfter w:val="1"/>
          <w:wAfter w:w="37" w:type="pct"/>
          <w:jc w:val="center"/>
        </w:trPr>
        <w:tc>
          <w:tcPr>
            <w:tcW w:w="1390" w:type="pct"/>
            <w:gridSpan w:val="2"/>
          </w:tcPr>
          <w:p w14:paraId="5ECE691E" w14:textId="77777777" w:rsidR="00F1362A" w:rsidRPr="00097A86" w:rsidRDefault="00F1362A" w:rsidP="00BE20A2">
            <w:pPr>
              <w:pStyle w:val="ENoteTableText"/>
              <w:tabs>
                <w:tab w:val="center" w:leader="dot" w:pos="2268"/>
              </w:tabs>
            </w:pPr>
            <w:r w:rsidRPr="00097A86">
              <w:lastRenderedPageBreak/>
              <w:t>s 2.18</w:t>
            </w:r>
            <w:r w:rsidRPr="00097A86">
              <w:tab/>
            </w:r>
          </w:p>
        </w:tc>
        <w:tc>
          <w:tcPr>
            <w:tcW w:w="3573" w:type="pct"/>
            <w:gridSpan w:val="2"/>
          </w:tcPr>
          <w:p w14:paraId="2FA3842F" w14:textId="77777777" w:rsidR="00F1362A" w:rsidRPr="00097A86" w:rsidRDefault="00F1362A" w:rsidP="00D22D3F">
            <w:pPr>
              <w:pStyle w:val="ENoteTableText"/>
            </w:pPr>
            <w:r w:rsidRPr="00097A86">
              <w:t>am 2009 No.</w:t>
            </w:r>
            <w:r>
              <w:t> </w:t>
            </w:r>
            <w:r w:rsidRPr="00097A86">
              <w:t>1</w:t>
            </w:r>
          </w:p>
        </w:tc>
      </w:tr>
      <w:tr w:rsidR="00F1362A" w:rsidRPr="00097A86" w14:paraId="548D5AE2" w14:textId="77777777" w:rsidTr="00C20CC2">
        <w:tblPrEx>
          <w:jc w:val="center"/>
        </w:tblPrEx>
        <w:trPr>
          <w:gridAfter w:val="1"/>
          <w:wAfter w:w="37" w:type="pct"/>
          <w:jc w:val="center"/>
        </w:trPr>
        <w:tc>
          <w:tcPr>
            <w:tcW w:w="1390" w:type="pct"/>
            <w:gridSpan w:val="2"/>
          </w:tcPr>
          <w:p w14:paraId="7DB161DD" w14:textId="77777777" w:rsidR="00F1362A" w:rsidRPr="00097A86" w:rsidRDefault="00F1362A" w:rsidP="00BE20A2">
            <w:pPr>
              <w:pStyle w:val="ENoteTableText"/>
              <w:tabs>
                <w:tab w:val="center" w:leader="dot" w:pos="2268"/>
              </w:tabs>
            </w:pPr>
          </w:p>
        </w:tc>
        <w:tc>
          <w:tcPr>
            <w:tcW w:w="3573" w:type="pct"/>
            <w:gridSpan w:val="2"/>
          </w:tcPr>
          <w:p w14:paraId="190449BB" w14:textId="77777777" w:rsidR="00F1362A" w:rsidRPr="00097A86" w:rsidRDefault="00F1362A" w:rsidP="00D22D3F">
            <w:pPr>
              <w:pStyle w:val="ENoteTableText"/>
            </w:pPr>
            <w:r w:rsidRPr="00097A86">
              <w:t>rs 2013 No.</w:t>
            </w:r>
            <w:r>
              <w:t> </w:t>
            </w:r>
            <w:r w:rsidRPr="00097A86">
              <w:t>1</w:t>
            </w:r>
          </w:p>
        </w:tc>
      </w:tr>
      <w:tr w:rsidR="00F1362A" w:rsidRPr="00097A86" w14:paraId="178388B4" w14:textId="77777777" w:rsidTr="00C20CC2">
        <w:tblPrEx>
          <w:jc w:val="center"/>
        </w:tblPrEx>
        <w:trPr>
          <w:gridAfter w:val="1"/>
          <w:wAfter w:w="37" w:type="pct"/>
          <w:jc w:val="center"/>
        </w:trPr>
        <w:tc>
          <w:tcPr>
            <w:tcW w:w="1390" w:type="pct"/>
            <w:gridSpan w:val="2"/>
          </w:tcPr>
          <w:p w14:paraId="4DE462AC" w14:textId="77777777" w:rsidR="00F1362A" w:rsidRPr="00097A86" w:rsidRDefault="00F1362A" w:rsidP="00BE20A2">
            <w:pPr>
              <w:pStyle w:val="ENoteTableText"/>
              <w:tabs>
                <w:tab w:val="center" w:leader="dot" w:pos="2268"/>
              </w:tabs>
            </w:pPr>
            <w:r w:rsidRPr="00097A86">
              <w:t>s 2.19</w:t>
            </w:r>
            <w:r w:rsidRPr="00097A86">
              <w:tab/>
            </w:r>
          </w:p>
        </w:tc>
        <w:tc>
          <w:tcPr>
            <w:tcW w:w="3573" w:type="pct"/>
            <w:gridSpan w:val="2"/>
          </w:tcPr>
          <w:p w14:paraId="4DAA40C4" w14:textId="77777777" w:rsidR="00F1362A" w:rsidRPr="00097A86" w:rsidRDefault="00F1362A" w:rsidP="00D22D3F">
            <w:pPr>
              <w:pStyle w:val="ENoteTableText"/>
            </w:pPr>
            <w:r w:rsidRPr="00097A86">
              <w:t>am 2009 No.</w:t>
            </w:r>
            <w:r>
              <w:t> </w:t>
            </w:r>
            <w:r w:rsidRPr="00097A86">
              <w:t>1; 2011 No.</w:t>
            </w:r>
            <w:r>
              <w:t> </w:t>
            </w:r>
            <w:r w:rsidRPr="00097A86">
              <w:t>1; 2012 No.</w:t>
            </w:r>
            <w:r>
              <w:t> </w:t>
            </w:r>
            <w:r w:rsidRPr="00097A86">
              <w:t>1</w:t>
            </w:r>
          </w:p>
        </w:tc>
      </w:tr>
      <w:tr w:rsidR="00F1362A" w:rsidRPr="00097A86" w14:paraId="7BADAB31" w14:textId="77777777" w:rsidTr="00C20CC2">
        <w:tblPrEx>
          <w:jc w:val="center"/>
        </w:tblPrEx>
        <w:trPr>
          <w:gridAfter w:val="1"/>
          <w:wAfter w:w="37" w:type="pct"/>
          <w:jc w:val="center"/>
        </w:trPr>
        <w:tc>
          <w:tcPr>
            <w:tcW w:w="1390" w:type="pct"/>
            <w:gridSpan w:val="2"/>
          </w:tcPr>
          <w:p w14:paraId="2C2031A4" w14:textId="77777777" w:rsidR="00F1362A" w:rsidRPr="00097A86" w:rsidRDefault="00F1362A" w:rsidP="00D22D3F">
            <w:pPr>
              <w:pStyle w:val="ENoteTableText"/>
            </w:pPr>
            <w:r w:rsidRPr="00097A86">
              <w:rPr>
                <w:b/>
              </w:rPr>
              <w:t>Division</w:t>
            </w:r>
            <w:r>
              <w:rPr>
                <w:b/>
              </w:rPr>
              <w:t> </w:t>
            </w:r>
            <w:r w:rsidRPr="00097A86">
              <w:rPr>
                <w:b/>
              </w:rPr>
              <w:t>2.3.2</w:t>
            </w:r>
          </w:p>
        </w:tc>
        <w:tc>
          <w:tcPr>
            <w:tcW w:w="3573" w:type="pct"/>
            <w:gridSpan w:val="2"/>
          </w:tcPr>
          <w:p w14:paraId="6A1D28A8" w14:textId="77777777" w:rsidR="00F1362A" w:rsidRPr="00097A86" w:rsidRDefault="00F1362A" w:rsidP="00D22D3F">
            <w:pPr>
              <w:pStyle w:val="ENoteTableText"/>
            </w:pPr>
          </w:p>
        </w:tc>
      </w:tr>
      <w:tr w:rsidR="00F1362A" w:rsidRPr="00097A86" w14:paraId="6CAAAA99" w14:textId="77777777" w:rsidTr="00C20CC2">
        <w:tblPrEx>
          <w:jc w:val="center"/>
        </w:tblPrEx>
        <w:trPr>
          <w:gridAfter w:val="1"/>
          <w:wAfter w:w="37" w:type="pct"/>
          <w:jc w:val="center"/>
        </w:trPr>
        <w:tc>
          <w:tcPr>
            <w:tcW w:w="1390" w:type="pct"/>
            <w:gridSpan w:val="2"/>
          </w:tcPr>
          <w:p w14:paraId="508D61CC" w14:textId="77777777" w:rsidR="00F1362A" w:rsidRPr="00097A86" w:rsidRDefault="00F1362A" w:rsidP="00BE20A2">
            <w:pPr>
              <w:pStyle w:val="ENoteTableText"/>
              <w:tabs>
                <w:tab w:val="center" w:leader="dot" w:pos="2268"/>
              </w:tabs>
            </w:pPr>
            <w:r w:rsidRPr="00097A86">
              <w:t>s 2.20</w:t>
            </w:r>
            <w:r w:rsidRPr="00097A86">
              <w:tab/>
            </w:r>
          </w:p>
        </w:tc>
        <w:tc>
          <w:tcPr>
            <w:tcW w:w="3573" w:type="pct"/>
            <w:gridSpan w:val="2"/>
          </w:tcPr>
          <w:p w14:paraId="5AEDB7A2"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6E5CC647" w14:textId="77777777" w:rsidTr="00C20CC2">
        <w:tblPrEx>
          <w:jc w:val="center"/>
        </w:tblPrEx>
        <w:trPr>
          <w:gridAfter w:val="1"/>
          <w:wAfter w:w="37" w:type="pct"/>
          <w:jc w:val="center"/>
        </w:trPr>
        <w:tc>
          <w:tcPr>
            <w:tcW w:w="1390" w:type="pct"/>
            <w:gridSpan w:val="2"/>
          </w:tcPr>
          <w:p w14:paraId="6A5FAD3C" w14:textId="77777777" w:rsidR="00F1362A" w:rsidRPr="00097A86" w:rsidRDefault="00F1362A" w:rsidP="00D22D3F">
            <w:pPr>
              <w:pStyle w:val="ENoteTableText"/>
            </w:pPr>
            <w:r w:rsidRPr="00097A86">
              <w:rPr>
                <w:b/>
              </w:rPr>
              <w:t>Division</w:t>
            </w:r>
            <w:r>
              <w:rPr>
                <w:b/>
              </w:rPr>
              <w:t> </w:t>
            </w:r>
            <w:r w:rsidRPr="00097A86">
              <w:rPr>
                <w:b/>
              </w:rPr>
              <w:t>2.3.3</w:t>
            </w:r>
          </w:p>
        </w:tc>
        <w:tc>
          <w:tcPr>
            <w:tcW w:w="3573" w:type="pct"/>
            <w:gridSpan w:val="2"/>
          </w:tcPr>
          <w:p w14:paraId="7385C829" w14:textId="77777777" w:rsidR="00F1362A" w:rsidRPr="00097A86" w:rsidRDefault="00F1362A" w:rsidP="00D22D3F">
            <w:pPr>
              <w:pStyle w:val="ENoteTableText"/>
            </w:pPr>
          </w:p>
        </w:tc>
      </w:tr>
      <w:tr w:rsidR="00F1362A" w:rsidRPr="00097A86" w14:paraId="09B62296" w14:textId="77777777" w:rsidTr="00C20CC2">
        <w:tblPrEx>
          <w:jc w:val="center"/>
        </w:tblPrEx>
        <w:trPr>
          <w:gridAfter w:val="1"/>
          <w:wAfter w:w="37" w:type="pct"/>
          <w:jc w:val="center"/>
        </w:trPr>
        <w:tc>
          <w:tcPr>
            <w:tcW w:w="1390" w:type="pct"/>
            <w:gridSpan w:val="2"/>
          </w:tcPr>
          <w:p w14:paraId="782F7585" w14:textId="77777777" w:rsidR="00F1362A" w:rsidRPr="00097A86" w:rsidRDefault="00F1362A" w:rsidP="00D22D3F">
            <w:pPr>
              <w:pStyle w:val="ENoteTableText"/>
            </w:pPr>
            <w:r w:rsidRPr="00097A86">
              <w:rPr>
                <w:b/>
              </w:rPr>
              <w:t>Subdivision</w:t>
            </w:r>
            <w:r>
              <w:rPr>
                <w:b/>
              </w:rPr>
              <w:t> </w:t>
            </w:r>
            <w:r w:rsidRPr="00097A86">
              <w:rPr>
                <w:b/>
              </w:rPr>
              <w:t>2.3.3.1</w:t>
            </w:r>
          </w:p>
        </w:tc>
        <w:tc>
          <w:tcPr>
            <w:tcW w:w="3573" w:type="pct"/>
            <w:gridSpan w:val="2"/>
          </w:tcPr>
          <w:p w14:paraId="4FBC6687" w14:textId="77777777" w:rsidR="00F1362A" w:rsidRPr="00097A86" w:rsidRDefault="00F1362A" w:rsidP="00D22D3F">
            <w:pPr>
              <w:pStyle w:val="ENoteTableText"/>
            </w:pPr>
          </w:p>
        </w:tc>
      </w:tr>
      <w:tr w:rsidR="00F1362A" w:rsidRPr="00097A86" w14:paraId="1D113935" w14:textId="77777777" w:rsidTr="00C20CC2">
        <w:tblPrEx>
          <w:jc w:val="center"/>
        </w:tblPrEx>
        <w:trPr>
          <w:gridAfter w:val="1"/>
          <w:wAfter w:w="37" w:type="pct"/>
          <w:jc w:val="center"/>
        </w:trPr>
        <w:tc>
          <w:tcPr>
            <w:tcW w:w="1390" w:type="pct"/>
            <w:gridSpan w:val="2"/>
          </w:tcPr>
          <w:p w14:paraId="2B598A4B" w14:textId="77777777" w:rsidR="00F1362A" w:rsidRPr="00097A86" w:rsidRDefault="00F1362A" w:rsidP="00BE20A2">
            <w:pPr>
              <w:pStyle w:val="ENoteTableText"/>
              <w:tabs>
                <w:tab w:val="center" w:leader="dot" w:pos="2268"/>
              </w:tabs>
            </w:pPr>
            <w:r w:rsidRPr="00097A86">
              <w:t>s 2.21</w:t>
            </w:r>
            <w:r w:rsidRPr="00097A86">
              <w:tab/>
            </w:r>
          </w:p>
        </w:tc>
        <w:tc>
          <w:tcPr>
            <w:tcW w:w="3573" w:type="pct"/>
            <w:gridSpan w:val="2"/>
          </w:tcPr>
          <w:p w14:paraId="251B22C2"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660B0FB2" w14:textId="77777777" w:rsidTr="00C20CC2">
        <w:tblPrEx>
          <w:jc w:val="center"/>
        </w:tblPrEx>
        <w:trPr>
          <w:gridAfter w:val="1"/>
          <w:wAfter w:w="37" w:type="pct"/>
          <w:jc w:val="center"/>
        </w:trPr>
        <w:tc>
          <w:tcPr>
            <w:tcW w:w="1390" w:type="pct"/>
            <w:gridSpan w:val="2"/>
          </w:tcPr>
          <w:p w14:paraId="38CC59BB" w14:textId="77777777" w:rsidR="00F1362A" w:rsidRPr="00097A86" w:rsidRDefault="00F1362A" w:rsidP="00BE20A2">
            <w:pPr>
              <w:pStyle w:val="ENoteTableText"/>
              <w:tabs>
                <w:tab w:val="center" w:leader="dot" w:pos="2268"/>
              </w:tabs>
            </w:pPr>
            <w:r w:rsidRPr="00097A86">
              <w:t>s 2.22</w:t>
            </w:r>
            <w:r w:rsidRPr="00097A86">
              <w:tab/>
            </w:r>
          </w:p>
        </w:tc>
        <w:tc>
          <w:tcPr>
            <w:tcW w:w="3573" w:type="pct"/>
            <w:gridSpan w:val="2"/>
          </w:tcPr>
          <w:p w14:paraId="129B2C9C" w14:textId="77777777" w:rsidR="00F1362A" w:rsidRPr="00097A86" w:rsidRDefault="00F1362A" w:rsidP="00D22D3F">
            <w:pPr>
              <w:pStyle w:val="ENoteTableText"/>
            </w:pPr>
            <w:r w:rsidRPr="00097A86">
              <w:t>am 2009 No.</w:t>
            </w:r>
            <w:r>
              <w:t> </w:t>
            </w:r>
            <w:r w:rsidRPr="00097A86">
              <w:t>1; 2010 No.</w:t>
            </w:r>
            <w:r>
              <w:t> </w:t>
            </w:r>
            <w:r w:rsidRPr="00097A86">
              <w:t>1; 2012 No.</w:t>
            </w:r>
            <w:r>
              <w:t> </w:t>
            </w:r>
            <w:r w:rsidRPr="00097A86">
              <w:t>1; 2015 No 1</w:t>
            </w:r>
          </w:p>
        </w:tc>
      </w:tr>
      <w:tr w:rsidR="00F1362A" w:rsidRPr="00097A86" w14:paraId="7C8A5B1F" w14:textId="77777777" w:rsidTr="00C20CC2">
        <w:tblPrEx>
          <w:jc w:val="center"/>
        </w:tblPrEx>
        <w:trPr>
          <w:gridAfter w:val="1"/>
          <w:wAfter w:w="37" w:type="pct"/>
          <w:jc w:val="center"/>
        </w:trPr>
        <w:tc>
          <w:tcPr>
            <w:tcW w:w="1390" w:type="pct"/>
            <w:gridSpan w:val="2"/>
          </w:tcPr>
          <w:p w14:paraId="51661440" w14:textId="77777777" w:rsidR="00F1362A" w:rsidRPr="00097A86" w:rsidRDefault="00F1362A" w:rsidP="00D22D3F">
            <w:pPr>
              <w:pStyle w:val="ENoteTableText"/>
            </w:pPr>
            <w:r w:rsidRPr="00097A86">
              <w:rPr>
                <w:b/>
              </w:rPr>
              <w:t>Subdivision</w:t>
            </w:r>
            <w:r>
              <w:rPr>
                <w:b/>
              </w:rPr>
              <w:t> </w:t>
            </w:r>
            <w:r w:rsidRPr="00097A86">
              <w:rPr>
                <w:b/>
              </w:rPr>
              <w:t>2.3.3.2</w:t>
            </w:r>
          </w:p>
        </w:tc>
        <w:tc>
          <w:tcPr>
            <w:tcW w:w="3573" w:type="pct"/>
            <w:gridSpan w:val="2"/>
          </w:tcPr>
          <w:p w14:paraId="5423CD5D" w14:textId="77777777" w:rsidR="00F1362A" w:rsidRPr="00097A86" w:rsidRDefault="00F1362A" w:rsidP="00D22D3F">
            <w:pPr>
              <w:pStyle w:val="ENoteTableText"/>
            </w:pPr>
          </w:p>
        </w:tc>
      </w:tr>
      <w:tr w:rsidR="00F1362A" w:rsidRPr="00097A86" w14:paraId="694ADAE6" w14:textId="77777777" w:rsidTr="00C20CC2">
        <w:tblPrEx>
          <w:jc w:val="center"/>
        </w:tblPrEx>
        <w:trPr>
          <w:gridAfter w:val="1"/>
          <w:wAfter w:w="37" w:type="pct"/>
          <w:jc w:val="center"/>
        </w:trPr>
        <w:tc>
          <w:tcPr>
            <w:tcW w:w="1390" w:type="pct"/>
            <w:gridSpan w:val="2"/>
          </w:tcPr>
          <w:p w14:paraId="62D6BB81" w14:textId="77777777" w:rsidR="00F1362A" w:rsidRPr="00097A86" w:rsidRDefault="00F1362A" w:rsidP="00BE20A2">
            <w:pPr>
              <w:pStyle w:val="ENoteTableText"/>
              <w:tabs>
                <w:tab w:val="center" w:leader="dot" w:pos="2268"/>
              </w:tabs>
            </w:pPr>
            <w:r w:rsidRPr="00097A86">
              <w:t>s 2.24</w:t>
            </w:r>
            <w:r w:rsidRPr="00097A86">
              <w:tab/>
            </w:r>
          </w:p>
        </w:tc>
        <w:tc>
          <w:tcPr>
            <w:tcW w:w="3573" w:type="pct"/>
            <w:gridSpan w:val="2"/>
          </w:tcPr>
          <w:p w14:paraId="62E43ED2" w14:textId="77777777" w:rsidR="00F1362A" w:rsidRPr="00097A86" w:rsidRDefault="00F1362A" w:rsidP="00D22D3F">
            <w:pPr>
              <w:pStyle w:val="ENoteTableText"/>
            </w:pPr>
            <w:r w:rsidRPr="00097A86">
              <w:t>am 2012 No.</w:t>
            </w:r>
            <w:r>
              <w:t> </w:t>
            </w:r>
            <w:r w:rsidRPr="00097A86">
              <w:t>1</w:t>
            </w:r>
          </w:p>
        </w:tc>
      </w:tr>
      <w:tr w:rsidR="00F1362A" w:rsidRPr="00097A86" w14:paraId="06B7D3E7" w14:textId="77777777" w:rsidTr="00C20CC2">
        <w:tblPrEx>
          <w:jc w:val="center"/>
        </w:tblPrEx>
        <w:trPr>
          <w:gridAfter w:val="1"/>
          <w:wAfter w:w="37" w:type="pct"/>
          <w:jc w:val="center"/>
        </w:trPr>
        <w:tc>
          <w:tcPr>
            <w:tcW w:w="1390" w:type="pct"/>
            <w:gridSpan w:val="2"/>
          </w:tcPr>
          <w:p w14:paraId="77BC96DF" w14:textId="77777777" w:rsidR="00F1362A" w:rsidRPr="00097A86" w:rsidRDefault="00F1362A" w:rsidP="00BE20A2">
            <w:pPr>
              <w:pStyle w:val="ENoteTableText"/>
              <w:tabs>
                <w:tab w:val="center" w:leader="dot" w:pos="2268"/>
              </w:tabs>
            </w:pPr>
            <w:r w:rsidRPr="00097A86">
              <w:t>s 2.25</w:t>
            </w:r>
            <w:r w:rsidRPr="00097A86">
              <w:tab/>
            </w:r>
          </w:p>
        </w:tc>
        <w:tc>
          <w:tcPr>
            <w:tcW w:w="3573" w:type="pct"/>
            <w:gridSpan w:val="2"/>
          </w:tcPr>
          <w:p w14:paraId="18F4E9BE" w14:textId="77777777" w:rsidR="00F1362A" w:rsidRPr="00097A86" w:rsidRDefault="00F1362A" w:rsidP="00D22D3F">
            <w:pPr>
              <w:pStyle w:val="ENoteTableText"/>
            </w:pPr>
            <w:r w:rsidRPr="00097A86">
              <w:t>am 2010 No.</w:t>
            </w:r>
            <w:r>
              <w:t> </w:t>
            </w:r>
            <w:r w:rsidRPr="00097A86">
              <w:t>1; 2013 No.</w:t>
            </w:r>
            <w:r>
              <w:t> </w:t>
            </w:r>
            <w:r w:rsidRPr="00097A86">
              <w:t>1</w:t>
            </w:r>
            <w:r w:rsidR="002827A0">
              <w:t>; F2018L00923</w:t>
            </w:r>
          </w:p>
        </w:tc>
      </w:tr>
      <w:tr w:rsidR="00F1362A" w:rsidRPr="00097A86" w14:paraId="297A5997" w14:textId="77777777" w:rsidTr="00C20CC2">
        <w:tblPrEx>
          <w:jc w:val="center"/>
        </w:tblPrEx>
        <w:trPr>
          <w:gridAfter w:val="1"/>
          <w:wAfter w:w="37" w:type="pct"/>
          <w:jc w:val="center"/>
        </w:trPr>
        <w:tc>
          <w:tcPr>
            <w:tcW w:w="1390" w:type="pct"/>
            <w:gridSpan w:val="2"/>
          </w:tcPr>
          <w:p w14:paraId="5548E908" w14:textId="77777777" w:rsidR="00F1362A" w:rsidRPr="00097A86" w:rsidRDefault="00F1362A" w:rsidP="00D22D3F">
            <w:pPr>
              <w:pStyle w:val="ENoteTableText"/>
            </w:pPr>
            <w:r w:rsidRPr="00097A86">
              <w:rPr>
                <w:b/>
              </w:rPr>
              <w:t>Division</w:t>
            </w:r>
            <w:r>
              <w:rPr>
                <w:b/>
              </w:rPr>
              <w:t> </w:t>
            </w:r>
            <w:r w:rsidRPr="00097A86">
              <w:rPr>
                <w:b/>
              </w:rPr>
              <w:t>2.3.6</w:t>
            </w:r>
          </w:p>
        </w:tc>
        <w:tc>
          <w:tcPr>
            <w:tcW w:w="3573" w:type="pct"/>
            <w:gridSpan w:val="2"/>
          </w:tcPr>
          <w:p w14:paraId="6920C6DF" w14:textId="77777777" w:rsidR="00F1362A" w:rsidRPr="00097A86" w:rsidRDefault="00F1362A" w:rsidP="00D22D3F">
            <w:pPr>
              <w:pStyle w:val="ENoteTableText"/>
            </w:pPr>
          </w:p>
        </w:tc>
      </w:tr>
      <w:tr w:rsidR="00F1362A" w:rsidRPr="00097A86" w14:paraId="681682B0" w14:textId="77777777" w:rsidTr="00C20CC2">
        <w:tblPrEx>
          <w:jc w:val="center"/>
        </w:tblPrEx>
        <w:trPr>
          <w:gridAfter w:val="1"/>
          <w:wAfter w:w="37" w:type="pct"/>
          <w:jc w:val="center"/>
        </w:trPr>
        <w:tc>
          <w:tcPr>
            <w:tcW w:w="1390" w:type="pct"/>
            <w:gridSpan w:val="2"/>
          </w:tcPr>
          <w:p w14:paraId="55CBC401" w14:textId="77777777" w:rsidR="00F1362A" w:rsidRPr="00097A86" w:rsidRDefault="00F1362A" w:rsidP="00BE20A2">
            <w:pPr>
              <w:pStyle w:val="ENoteTableText"/>
              <w:tabs>
                <w:tab w:val="center" w:leader="dot" w:pos="2268"/>
              </w:tabs>
            </w:pPr>
            <w:r w:rsidRPr="00097A86">
              <w:t>s 2.29</w:t>
            </w:r>
            <w:r w:rsidRPr="00097A86">
              <w:tab/>
            </w:r>
          </w:p>
        </w:tc>
        <w:tc>
          <w:tcPr>
            <w:tcW w:w="3573" w:type="pct"/>
            <w:gridSpan w:val="2"/>
          </w:tcPr>
          <w:p w14:paraId="052B4584" w14:textId="77777777" w:rsidR="00F1362A" w:rsidRPr="00097A86" w:rsidRDefault="00F1362A" w:rsidP="00D22D3F">
            <w:pPr>
              <w:pStyle w:val="ENoteTableText"/>
            </w:pPr>
            <w:r w:rsidRPr="00097A86">
              <w:t>am 2009 No.</w:t>
            </w:r>
            <w:r>
              <w:t> </w:t>
            </w:r>
            <w:r w:rsidRPr="00097A86">
              <w:t>1</w:t>
            </w:r>
          </w:p>
        </w:tc>
      </w:tr>
      <w:tr w:rsidR="00F1362A" w:rsidRPr="00097A86" w14:paraId="363D2F64" w14:textId="77777777" w:rsidTr="00C20CC2">
        <w:tblPrEx>
          <w:jc w:val="center"/>
        </w:tblPrEx>
        <w:trPr>
          <w:gridAfter w:val="1"/>
          <w:wAfter w:w="37" w:type="pct"/>
          <w:jc w:val="center"/>
        </w:trPr>
        <w:tc>
          <w:tcPr>
            <w:tcW w:w="1390" w:type="pct"/>
            <w:gridSpan w:val="2"/>
          </w:tcPr>
          <w:p w14:paraId="42A07A72" w14:textId="77777777" w:rsidR="00F1362A" w:rsidRPr="00097A86" w:rsidRDefault="00F1362A" w:rsidP="00BE20A2">
            <w:pPr>
              <w:pStyle w:val="ENoteTableText"/>
              <w:tabs>
                <w:tab w:val="center" w:leader="dot" w:pos="2268"/>
              </w:tabs>
            </w:pPr>
            <w:r w:rsidRPr="00097A86">
              <w:t>s 2.30</w:t>
            </w:r>
            <w:r w:rsidRPr="00097A86">
              <w:tab/>
            </w:r>
          </w:p>
        </w:tc>
        <w:tc>
          <w:tcPr>
            <w:tcW w:w="3573" w:type="pct"/>
            <w:gridSpan w:val="2"/>
          </w:tcPr>
          <w:p w14:paraId="21863F75" w14:textId="77777777" w:rsidR="00F1362A" w:rsidRPr="00097A86" w:rsidRDefault="00F1362A" w:rsidP="00657E43">
            <w:pPr>
              <w:pStyle w:val="ENoteTableText"/>
            </w:pPr>
            <w:r w:rsidRPr="00097A86">
              <w:t>am 2011 No.</w:t>
            </w:r>
            <w:r>
              <w:t> </w:t>
            </w:r>
            <w:r w:rsidRPr="00097A86">
              <w:t>1; 2013 No.</w:t>
            </w:r>
            <w:r>
              <w:t> </w:t>
            </w:r>
            <w:r w:rsidRPr="00097A86">
              <w:t>1</w:t>
            </w:r>
          </w:p>
        </w:tc>
      </w:tr>
      <w:tr w:rsidR="00F1362A" w:rsidRPr="00097A86" w14:paraId="44BC8AE9" w14:textId="77777777" w:rsidTr="00C20CC2">
        <w:tblPrEx>
          <w:jc w:val="center"/>
        </w:tblPrEx>
        <w:trPr>
          <w:gridAfter w:val="1"/>
          <w:wAfter w:w="37" w:type="pct"/>
          <w:jc w:val="center"/>
        </w:trPr>
        <w:tc>
          <w:tcPr>
            <w:tcW w:w="1390" w:type="pct"/>
            <w:gridSpan w:val="2"/>
          </w:tcPr>
          <w:p w14:paraId="644FD888" w14:textId="77777777" w:rsidR="00F1362A" w:rsidRPr="00097A86" w:rsidRDefault="00F1362A" w:rsidP="00BE20A2">
            <w:pPr>
              <w:pStyle w:val="ENoteTableText"/>
              <w:tabs>
                <w:tab w:val="center" w:leader="dot" w:pos="2268"/>
              </w:tabs>
            </w:pPr>
            <w:r w:rsidRPr="00097A86">
              <w:t>s 2.31</w:t>
            </w:r>
            <w:r w:rsidRPr="00097A86">
              <w:tab/>
            </w:r>
          </w:p>
        </w:tc>
        <w:tc>
          <w:tcPr>
            <w:tcW w:w="3573" w:type="pct"/>
            <w:gridSpan w:val="2"/>
          </w:tcPr>
          <w:p w14:paraId="6632C500" w14:textId="77777777" w:rsidR="00F1362A" w:rsidRPr="00097A86" w:rsidRDefault="00F1362A" w:rsidP="00D22D3F">
            <w:pPr>
              <w:pStyle w:val="ENoteTableText"/>
            </w:pPr>
            <w:r w:rsidRPr="00097A86">
              <w:t>am 2011 No.</w:t>
            </w:r>
            <w:r>
              <w:t> </w:t>
            </w:r>
            <w:r w:rsidRPr="00097A86">
              <w:t>1; 2012 No.</w:t>
            </w:r>
            <w:r>
              <w:t> </w:t>
            </w:r>
            <w:r w:rsidRPr="00097A86">
              <w:t>1; 2013 No.</w:t>
            </w:r>
            <w:r>
              <w:t> </w:t>
            </w:r>
            <w:r w:rsidRPr="00097A86">
              <w:t>1; 2014 No.</w:t>
            </w:r>
            <w:r>
              <w:t> </w:t>
            </w:r>
            <w:r w:rsidRPr="00097A86">
              <w:t>1</w:t>
            </w:r>
          </w:p>
        </w:tc>
      </w:tr>
      <w:tr w:rsidR="00F1362A" w:rsidRPr="00097A86" w14:paraId="081E6096" w14:textId="77777777" w:rsidTr="00C20CC2">
        <w:tblPrEx>
          <w:jc w:val="center"/>
        </w:tblPrEx>
        <w:trPr>
          <w:gridAfter w:val="1"/>
          <w:wAfter w:w="37" w:type="pct"/>
          <w:jc w:val="center"/>
        </w:trPr>
        <w:tc>
          <w:tcPr>
            <w:tcW w:w="1390" w:type="pct"/>
            <w:gridSpan w:val="2"/>
          </w:tcPr>
          <w:p w14:paraId="1029D46E" w14:textId="77777777" w:rsidR="00F1362A" w:rsidRPr="00097A86" w:rsidRDefault="00F1362A" w:rsidP="00BE20A2">
            <w:pPr>
              <w:pStyle w:val="ENoteTableText"/>
              <w:tabs>
                <w:tab w:val="center" w:leader="dot" w:pos="2268"/>
              </w:tabs>
            </w:pPr>
            <w:r w:rsidRPr="00097A86">
              <w:t>s 2.32</w:t>
            </w:r>
            <w:r w:rsidRPr="00097A86">
              <w:tab/>
            </w:r>
          </w:p>
        </w:tc>
        <w:tc>
          <w:tcPr>
            <w:tcW w:w="3573" w:type="pct"/>
            <w:gridSpan w:val="2"/>
          </w:tcPr>
          <w:p w14:paraId="2FC733E3" w14:textId="77777777" w:rsidR="00F1362A" w:rsidRPr="00097A86" w:rsidRDefault="00F1362A" w:rsidP="00D22D3F">
            <w:pPr>
              <w:pStyle w:val="ENoteTableText"/>
            </w:pPr>
            <w:r w:rsidRPr="00097A86">
              <w:t>am 2009 No.</w:t>
            </w:r>
            <w:r>
              <w:t> </w:t>
            </w:r>
            <w:r w:rsidRPr="00097A86">
              <w:t>1; 2010 No.</w:t>
            </w:r>
            <w:r>
              <w:t> </w:t>
            </w:r>
            <w:r w:rsidRPr="00097A86">
              <w:t>1; 2012 No.</w:t>
            </w:r>
            <w:r>
              <w:t> </w:t>
            </w:r>
            <w:r w:rsidRPr="00097A86">
              <w:t>1; 2014 No.</w:t>
            </w:r>
            <w:r>
              <w:t> </w:t>
            </w:r>
            <w:r w:rsidRPr="00097A86">
              <w:t>1</w:t>
            </w:r>
          </w:p>
        </w:tc>
      </w:tr>
      <w:tr w:rsidR="00F1362A" w:rsidRPr="00097A86" w14:paraId="156C695A" w14:textId="77777777" w:rsidTr="00C20CC2">
        <w:tblPrEx>
          <w:jc w:val="center"/>
        </w:tblPrEx>
        <w:trPr>
          <w:gridAfter w:val="1"/>
          <w:wAfter w:w="37" w:type="pct"/>
          <w:jc w:val="center"/>
        </w:trPr>
        <w:tc>
          <w:tcPr>
            <w:tcW w:w="1390" w:type="pct"/>
            <w:gridSpan w:val="2"/>
          </w:tcPr>
          <w:p w14:paraId="106C1B29" w14:textId="77777777" w:rsidR="00F1362A" w:rsidRPr="00097A86" w:rsidRDefault="00F1362A" w:rsidP="00BE20A2">
            <w:pPr>
              <w:pStyle w:val="ENoteTableText"/>
              <w:tabs>
                <w:tab w:val="center" w:leader="dot" w:pos="2268"/>
              </w:tabs>
            </w:pPr>
            <w:r w:rsidRPr="00097A86">
              <w:t>s 2.33</w:t>
            </w:r>
            <w:r w:rsidRPr="00097A86">
              <w:tab/>
            </w:r>
          </w:p>
        </w:tc>
        <w:tc>
          <w:tcPr>
            <w:tcW w:w="3573" w:type="pct"/>
            <w:gridSpan w:val="2"/>
          </w:tcPr>
          <w:p w14:paraId="1E5A9E02" w14:textId="77777777" w:rsidR="00F1362A" w:rsidRPr="00097A86" w:rsidRDefault="00F1362A" w:rsidP="00D22D3F">
            <w:pPr>
              <w:pStyle w:val="ENoteTableText"/>
            </w:pPr>
            <w:r w:rsidRPr="00097A86">
              <w:t>rs 2012 No.</w:t>
            </w:r>
            <w:r>
              <w:t> </w:t>
            </w:r>
            <w:r w:rsidRPr="00097A86">
              <w:t>1</w:t>
            </w:r>
          </w:p>
        </w:tc>
      </w:tr>
      <w:tr w:rsidR="00F1362A" w:rsidRPr="00097A86" w14:paraId="28850335" w14:textId="77777777" w:rsidTr="00C20CC2">
        <w:tblPrEx>
          <w:jc w:val="center"/>
        </w:tblPrEx>
        <w:trPr>
          <w:gridAfter w:val="1"/>
          <w:wAfter w:w="37" w:type="pct"/>
          <w:jc w:val="center"/>
        </w:trPr>
        <w:tc>
          <w:tcPr>
            <w:tcW w:w="1390" w:type="pct"/>
            <w:gridSpan w:val="2"/>
          </w:tcPr>
          <w:p w14:paraId="7B126521" w14:textId="77777777" w:rsidR="00F1362A" w:rsidRPr="00097A86" w:rsidRDefault="00F1362A" w:rsidP="00BE20A2">
            <w:pPr>
              <w:pStyle w:val="ENoteTableText"/>
              <w:tabs>
                <w:tab w:val="center" w:leader="dot" w:pos="2268"/>
              </w:tabs>
            </w:pPr>
            <w:r w:rsidRPr="00097A86">
              <w:t>s 2.34</w:t>
            </w:r>
            <w:r w:rsidRPr="00097A86">
              <w:tab/>
            </w:r>
          </w:p>
        </w:tc>
        <w:tc>
          <w:tcPr>
            <w:tcW w:w="3573" w:type="pct"/>
            <w:gridSpan w:val="2"/>
          </w:tcPr>
          <w:p w14:paraId="0BBE8F1D" w14:textId="77777777" w:rsidR="00F1362A" w:rsidRPr="00097A86" w:rsidRDefault="00F1362A" w:rsidP="00D22D3F">
            <w:pPr>
              <w:pStyle w:val="ENoteTableText"/>
            </w:pPr>
            <w:r w:rsidRPr="00097A86">
              <w:t>am 2012 No.</w:t>
            </w:r>
            <w:r>
              <w:t> </w:t>
            </w:r>
            <w:r w:rsidRPr="00097A86">
              <w:t>1</w:t>
            </w:r>
          </w:p>
        </w:tc>
      </w:tr>
      <w:tr w:rsidR="00F1362A" w:rsidRPr="00097A86" w14:paraId="142B1A04" w14:textId="77777777" w:rsidTr="00C20CC2">
        <w:tblPrEx>
          <w:jc w:val="center"/>
        </w:tblPrEx>
        <w:trPr>
          <w:gridAfter w:val="1"/>
          <w:wAfter w:w="37" w:type="pct"/>
          <w:jc w:val="center"/>
        </w:trPr>
        <w:tc>
          <w:tcPr>
            <w:tcW w:w="1390" w:type="pct"/>
            <w:gridSpan w:val="2"/>
          </w:tcPr>
          <w:p w14:paraId="11D8E086" w14:textId="77777777" w:rsidR="00F1362A" w:rsidRPr="00097A86" w:rsidRDefault="00F1362A" w:rsidP="00BE20A2">
            <w:pPr>
              <w:pStyle w:val="ENoteTableText"/>
              <w:tabs>
                <w:tab w:val="center" w:leader="dot" w:pos="2268"/>
              </w:tabs>
            </w:pPr>
            <w:r w:rsidRPr="00097A86">
              <w:t>s 2.35</w:t>
            </w:r>
            <w:r w:rsidRPr="00097A86">
              <w:tab/>
            </w:r>
          </w:p>
        </w:tc>
        <w:tc>
          <w:tcPr>
            <w:tcW w:w="3573" w:type="pct"/>
            <w:gridSpan w:val="2"/>
          </w:tcPr>
          <w:p w14:paraId="482A271B" w14:textId="77777777" w:rsidR="00F1362A" w:rsidRPr="00097A86" w:rsidRDefault="00F1362A" w:rsidP="00D22D3F">
            <w:pPr>
              <w:pStyle w:val="ENoteTableText"/>
            </w:pPr>
            <w:r w:rsidRPr="00097A86">
              <w:t>am 2010 No.</w:t>
            </w:r>
            <w:r>
              <w:t> </w:t>
            </w:r>
            <w:r w:rsidRPr="00097A86">
              <w:t>1; 2012 No.</w:t>
            </w:r>
            <w:r>
              <w:t> </w:t>
            </w:r>
            <w:r w:rsidRPr="00097A86">
              <w:t>1</w:t>
            </w:r>
          </w:p>
        </w:tc>
      </w:tr>
      <w:tr w:rsidR="00F1362A" w:rsidRPr="00097A86" w14:paraId="7D1B682F" w14:textId="77777777" w:rsidTr="00C20CC2">
        <w:tblPrEx>
          <w:jc w:val="center"/>
        </w:tblPrEx>
        <w:trPr>
          <w:gridAfter w:val="1"/>
          <w:wAfter w:w="37" w:type="pct"/>
          <w:jc w:val="center"/>
        </w:trPr>
        <w:tc>
          <w:tcPr>
            <w:tcW w:w="1390" w:type="pct"/>
            <w:gridSpan w:val="2"/>
          </w:tcPr>
          <w:p w14:paraId="5491D1CF" w14:textId="77777777" w:rsidR="00F1362A" w:rsidRPr="00097A86" w:rsidRDefault="00F1362A" w:rsidP="00BE20A2">
            <w:pPr>
              <w:pStyle w:val="ENoteTableText"/>
              <w:tabs>
                <w:tab w:val="center" w:leader="dot" w:pos="2268"/>
              </w:tabs>
            </w:pPr>
            <w:r w:rsidRPr="00097A86">
              <w:t>s 2.36</w:t>
            </w:r>
            <w:r w:rsidRPr="00097A86">
              <w:tab/>
            </w:r>
          </w:p>
        </w:tc>
        <w:tc>
          <w:tcPr>
            <w:tcW w:w="3573" w:type="pct"/>
            <w:gridSpan w:val="2"/>
          </w:tcPr>
          <w:p w14:paraId="792AE18A" w14:textId="77777777" w:rsidR="00F1362A" w:rsidRPr="00097A86" w:rsidRDefault="00F1362A" w:rsidP="00D22D3F">
            <w:pPr>
              <w:pStyle w:val="ENoteTableText"/>
            </w:pPr>
            <w:r w:rsidRPr="00097A86">
              <w:t>rs 2012 No.</w:t>
            </w:r>
            <w:r>
              <w:t> </w:t>
            </w:r>
            <w:r w:rsidRPr="00097A86">
              <w:t>1</w:t>
            </w:r>
          </w:p>
        </w:tc>
      </w:tr>
      <w:tr w:rsidR="00F1362A" w:rsidRPr="00097A86" w14:paraId="1737A587" w14:textId="77777777" w:rsidTr="00C20CC2">
        <w:tblPrEx>
          <w:jc w:val="center"/>
        </w:tblPrEx>
        <w:trPr>
          <w:gridAfter w:val="1"/>
          <w:wAfter w:w="37" w:type="pct"/>
          <w:jc w:val="center"/>
        </w:trPr>
        <w:tc>
          <w:tcPr>
            <w:tcW w:w="1390" w:type="pct"/>
            <w:gridSpan w:val="2"/>
          </w:tcPr>
          <w:p w14:paraId="1F78D96C" w14:textId="77777777" w:rsidR="00F1362A" w:rsidRPr="00097A86" w:rsidRDefault="00F1362A" w:rsidP="00BE20A2">
            <w:pPr>
              <w:pStyle w:val="ENoteTableText"/>
              <w:tabs>
                <w:tab w:val="center" w:leader="dot" w:pos="2268"/>
              </w:tabs>
            </w:pPr>
            <w:r w:rsidRPr="00097A86">
              <w:t>s 2.37</w:t>
            </w:r>
            <w:r w:rsidRPr="00097A86">
              <w:tab/>
            </w:r>
          </w:p>
        </w:tc>
        <w:tc>
          <w:tcPr>
            <w:tcW w:w="3573" w:type="pct"/>
            <w:gridSpan w:val="2"/>
          </w:tcPr>
          <w:p w14:paraId="7A39D1EF" w14:textId="77777777" w:rsidR="00F1362A" w:rsidRPr="00097A86" w:rsidRDefault="00F1362A" w:rsidP="00D22D3F">
            <w:pPr>
              <w:pStyle w:val="ENoteTableText"/>
            </w:pPr>
            <w:r w:rsidRPr="00097A86">
              <w:t>rs 2012 No.</w:t>
            </w:r>
            <w:r>
              <w:t> </w:t>
            </w:r>
            <w:r w:rsidRPr="00097A86">
              <w:t>1</w:t>
            </w:r>
          </w:p>
        </w:tc>
      </w:tr>
      <w:tr w:rsidR="00F1362A" w:rsidRPr="00097A86" w14:paraId="1403F76F" w14:textId="77777777" w:rsidTr="00C20CC2">
        <w:tblPrEx>
          <w:jc w:val="center"/>
        </w:tblPrEx>
        <w:trPr>
          <w:gridAfter w:val="1"/>
          <w:wAfter w:w="37" w:type="pct"/>
          <w:jc w:val="center"/>
        </w:trPr>
        <w:tc>
          <w:tcPr>
            <w:tcW w:w="1390" w:type="pct"/>
            <w:gridSpan w:val="2"/>
          </w:tcPr>
          <w:p w14:paraId="4CD5EE81" w14:textId="77777777" w:rsidR="00F1362A" w:rsidRPr="00097A86" w:rsidRDefault="00F1362A" w:rsidP="00BE20A2">
            <w:pPr>
              <w:pStyle w:val="ENoteTableText"/>
              <w:tabs>
                <w:tab w:val="center" w:leader="dot" w:pos="2268"/>
              </w:tabs>
            </w:pPr>
            <w:r w:rsidRPr="00097A86">
              <w:t>s 2.38</w:t>
            </w:r>
            <w:r w:rsidRPr="00097A86">
              <w:tab/>
            </w:r>
          </w:p>
        </w:tc>
        <w:tc>
          <w:tcPr>
            <w:tcW w:w="3573" w:type="pct"/>
            <w:gridSpan w:val="2"/>
          </w:tcPr>
          <w:p w14:paraId="462BA91F" w14:textId="77777777" w:rsidR="00F1362A" w:rsidRPr="00097A86" w:rsidRDefault="00F1362A" w:rsidP="00D22D3F">
            <w:pPr>
              <w:pStyle w:val="ENoteTableText"/>
            </w:pPr>
            <w:r w:rsidRPr="00097A86">
              <w:t>am 2009 No.</w:t>
            </w:r>
            <w:r>
              <w:t> </w:t>
            </w:r>
            <w:r w:rsidRPr="00097A86">
              <w:t>1; 2011 No.</w:t>
            </w:r>
            <w:r>
              <w:t> </w:t>
            </w:r>
            <w:r w:rsidRPr="00097A86">
              <w:t>1; 2014 No.</w:t>
            </w:r>
            <w:r>
              <w:t> </w:t>
            </w:r>
            <w:r w:rsidRPr="00097A86">
              <w:t>1</w:t>
            </w:r>
          </w:p>
        </w:tc>
      </w:tr>
      <w:tr w:rsidR="00F1362A" w:rsidRPr="00097A86" w14:paraId="50CBD47F" w14:textId="77777777" w:rsidTr="00C20CC2">
        <w:tblPrEx>
          <w:jc w:val="center"/>
        </w:tblPrEx>
        <w:trPr>
          <w:gridAfter w:val="1"/>
          <w:wAfter w:w="37" w:type="pct"/>
          <w:jc w:val="center"/>
        </w:trPr>
        <w:tc>
          <w:tcPr>
            <w:tcW w:w="1390" w:type="pct"/>
            <w:gridSpan w:val="2"/>
          </w:tcPr>
          <w:p w14:paraId="773829BF" w14:textId="77777777" w:rsidR="00F1362A" w:rsidRPr="00097A86" w:rsidRDefault="00F1362A" w:rsidP="00D22D3F">
            <w:pPr>
              <w:pStyle w:val="ENoteTableText"/>
            </w:pPr>
            <w:r w:rsidRPr="00097A86">
              <w:rPr>
                <w:b/>
              </w:rPr>
              <w:t>Part</w:t>
            </w:r>
            <w:r>
              <w:rPr>
                <w:b/>
              </w:rPr>
              <w:t> </w:t>
            </w:r>
            <w:r w:rsidRPr="00097A86">
              <w:rPr>
                <w:b/>
              </w:rPr>
              <w:t>2.4</w:t>
            </w:r>
          </w:p>
        </w:tc>
        <w:tc>
          <w:tcPr>
            <w:tcW w:w="3573" w:type="pct"/>
            <w:gridSpan w:val="2"/>
          </w:tcPr>
          <w:p w14:paraId="40A68F14" w14:textId="77777777" w:rsidR="00F1362A" w:rsidRPr="00097A86" w:rsidRDefault="00F1362A" w:rsidP="00D22D3F">
            <w:pPr>
              <w:pStyle w:val="ENoteTableText"/>
            </w:pPr>
          </w:p>
        </w:tc>
      </w:tr>
      <w:tr w:rsidR="00F1362A" w:rsidRPr="00097A86" w14:paraId="114166D7" w14:textId="77777777" w:rsidTr="00C20CC2">
        <w:tblPrEx>
          <w:jc w:val="center"/>
        </w:tblPrEx>
        <w:trPr>
          <w:gridAfter w:val="1"/>
          <w:wAfter w:w="37" w:type="pct"/>
          <w:jc w:val="center"/>
        </w:trPr>
        <w:tc>
          <w:tcPr>
            <w:tcW w:w="1390" w:type="pct"/>
            <w:gridSpan w:val="2"/>
          </w:tcPr>
          <w:p w14:paraId="36A3EAFF" w14:textId="77777777" w:rsidR="00F1362A" w:rsidRPr="00097A86" w:rsidRDefault="00F1362A" w:rsidP="00D22D3F">
            <w:pPr>
              <w:pStyle w:val="ENoteTableText"/>
            </w:pPr>
            <w:r w:rsidRPr="00097A86">
              <w:rPr>
                <w:b/>
              </w:rPr>
              <w:t>Division</w:t>
            </w:r>
            <w:r>
              <w:rPr>
                <w:b/>
              </w:rPr>
              <w:t> </w:t>
            </w:r>
            <w:r w:rsidRPr="00097A86">
              <w:rPr>
                <w:b/>
              </w:rPr>
              <w:t>2.4.1</w:t>
            </w:r>
          </w:p>
        </w:tc>
        <w:tc>
          <w:tcPr>
            <w:tcW w:w="3573" w:type="pct"/>
            <w:gridSpan w:val="2"/>
          </w:tcPr>
          <w:p w14:paraId="497B10D4" w14:textId="77777777" w:rsidR="00F1362A" w:rsidRPr="00097A86" w:rsidRDefault="00F1362A" w:rsidP="00D22D3F">
            <w:pPr>
              <w:pStyle w:val="ENoteTableText"/>
            </w:pPr>
          </w:p>
        </w:tc>
      </w:tr>
      <w:tr w:rsidR="00F1362A" w:rsidRPr="00097A86" w14:paraId="0CAAF82F" w14:textId="77777777" w:rsidTr="00C20CC2">
        <w:tblPrEx>
          <w:jc w:val="center"/>
        </w:tblPrEx>
        <w:trPr>
          <w:gridAfter w:val="1"/>
          <w:wAfter w:w="37" w:type="pct"/>
          <w:jc w:val="center"/>
        </w:trPr>
        <w:tc>
          <w:tcPr>
            <w:tcW w:w="1390" w:type="pct"/>
            <w:gridSpan w:val="2"/>
          </w:tcPr>
          <w:p w14:paraId="15130712" w14:textId="77777777" w:rsidR="00F1362A" w:rsidRPr="00097A86" w:rsidRDefault="00F1362A" w:rsidP="00BE20A2">
            <w:pPr>
              <w:pStyle w:val="ENoteTableText"/>
              <w:tabs>
                <w:tab w:val="center" w:leader="dot" w:pos="2268"/>
              </w:tabs>
            </w:pPr>
            <w:r w:rsidRPr="00097A86">
              <w:t>s 2.39</w:t>
            </w:r>
            <w:r w:rsidRPr="00097A86">
              <w:tab/>
            </w:r>
          </w:p>
        </w:tc>
        <w:tc>
          <w:tcPr>
            <w:tcW w:w="3573" w:type="pct"/>
            <w:gridSpan w:val="2"/>
          </w:tcPr>
          <w:p w14:paraId="16030386" w14:textId="77777777" w:rsidR="00F1362A" w:rsidRPr="00097A86" w:rsidRDefault="00F1362A" w:rsidP="00D22D3F">
            <w:pPr>
              <w:pStyle w:val="ENoteTableText"/>
            </w:pPr>
            <w:r w:rsidRPr="00097A86">
              <w:t>am 2009 No.</w:t>
            </w:r>
            <w:r>
              <w:t> </w:t>
            </w:r>
            <w:r w:rsidRPr="00097A86">
              <w:t>1</w:t>
            </w:r>
          </w:p>
        </w:tc>
      </w:tr>
      <w:tr w:rsidR="00F1362A" w:rsidRPr="00097A86" w14:paraId="2F637B1B" w14:textId="77777777" w:rsidTr="00C20CC2">
        <w:tblPrEx>
          <w:jc w:val="center"/>
        </w:tblPrEx>
        <w:trPr>
          <w:gridAfter w:val="1"/>
          <w:wAfter w:w="37" w:type="pct"/>
          <w:jc w:val="center"/>
        </w:trPr>
        <w:tc>
          <w:tcPr>
            <w:tcW w:w="1390" w:type="pct"/>
            <w:gridSpan w:val="2"/>
          </w:tcPr>
          <w:p w14:paraId="15FFE803" w14:textId="77777777" w:rsidR="00F1362A" w:rsidRPr="00097A86" w:rsidRDefault="00F1362A" w:rsidP="00BE20A2">
            <w:pPr>
              <w:pStyle w:val="ENoteTableText"/>
              <w:tabs>
                <w:tab w:val="center" w:leader="dot" w:pos="2268"/>
              </w:tabs>
            </w:pPr>
          </w:p>
        </w:tc>
        <w:tc>
          <w:tcPr>
            <w:tcW w:w="3573" w:type="pct"/>
            <w:gridSpan w:val="2"/>
          </w:tcPr>
          <w:p w14:paraId="157472C4" w14:textId="77777777" w:rsidR="00F1362A" w:rsidRPr="00097A86" w:rsidRDefault="00F1362A" w:rsidP="00D22D3F">
            <w:pPr>
              <w:pStyle w:val="ENoteTableText"/>
            </w:pPr>
            <w:r w:rsidRPr="00097A86">
              <w:t>rs 2013 No.</w:t>
            </w:r>
            <w:r>
              <w:t> </w:t>
            </w:r>
            <w:r w:rsidRPr="00097A86">
              <w:t>1</w:t>
            </w:r>
          </w:p>
        </w:tc>
      </w:tr>
      <w:tr w:rsidR="00F1362A" w:rsidRPr="00097A86" w14:paraId="22AE06BE" w14:textId="77777777" w:rsidTr="00C20CC2">
        <w:tblPrEx>
          <w:jc w:val="center"/>
        </w:tblPrEx>
        <w:trPr>
          <w:gridAfter w:val="1"/>
          <w:wAfter w:w="37" w:type="pct"/>
          <w:jc w:val="center"/>
        </w:trPr>
        <w:tc>
          <w:tcPr>
            <w:tcW w:w="1390" w:type="pct"/>
            <w:gridSpan w:val="2"/>
          </w:tcPr>
          <w:p w14:paraId="1676939A" w14:textId="77777777" w:rsidR="00F1362A" w:rsidRPr="00097A86" w:rsidRDefault="00F1362A" w:rsidP="00BE20A2">
            <w:pPr>
              <w:pStyle w:val="ENoteTableText"/>
              <w:tabs>
                <w:tab w:val="center" w:leader="dot" w:pos="2268"/>
              </w:tabs>
            </w:pPr>
            <w:r w:rsidRPr="00097A86">
              <w:t>s 2.39A</w:t>
            </w:r>
            <w:r w:rsidRPr="00097A86">
              <w:tab/>
            </w:r>
          </w:p>
        </w:tc>
        <w:tc>
          <w:tcPr>
            <w:tcW w:w="3573" w:type="pct"/>
            <w:gridSpan w:val="2"/>
          </w:tcPr>
          <w:p w14:paraId="5E0937C9" w14:textId="77777777" w:rsidR="00F1362A" w:rsidRPr="00097A86" w:rsidRDefault="00F1362A" w:rsidP="00D22D3F">
            <w:pPr>
              <w:pStyle w:val="ENoteTableText"/>
            </w:pPr>
            <w:r w:rsidRPr="00097A86">
              <w:t>ad 2009 No.</w:t>
            </w:r>
            <w:r>
              <w:t> </w:t>
            </w:r>
            <w:r w:rsidRPr="00097A86">
              <w:t>1</w:t>
            </w:r>
          </w:p>
        </w:tc>
      </w:tr>
      <w:tr w:rsidR="00F1362A" w:rsidRPr="00097A86" w14:paraId="7789D1FE" w14:textId="77777777" w:rsidTr="00C20CC2">
        <w:tblPrEx>
          <w:jc w:val="center"/>
        </w:tblPrEx>
        <w:trPr>
          <w:gridAfter w:val="1"/>
          <w:wAfter w:w="37" w:type="pct"/>
          <w:jc w:val="center"/>
        </w:trPr>
        <w:tc>
          <w:tcPr>
            <w:tcW w:w="1390" w:type="pct"/>
            <w:gridSpan w:val="2"/>
          </w:tcPr>
          <w:p w14:paraId="09457002" w14:textId="77777777" w:rsidR="00F1362A" w:rsidRPr="00097A86" w:rsidRDefault="00F1362A" w:rsidP="00D22D3F">
            <w:pPr>
              <w:pStyle w:val="ENoteTableText"/>
            </w:pPr>
            <w:r w:rsidRPr="00097A86">
              <w:rPr>
                <w:b/>
              </w:rPr>
              <w:t>Subdivision</w:t>
            </w:r>
            <w:r>
              <w:rPr>
                <w:b/>
              </w:rPr>
              <w:t> </w:t>
            </w:r>
            <w:r w:rsidRPr="00097A86">
              <w:rPr>
                <w:b/>
              </w:rPr>
              <w:t>2.4.1.1</w:t>
            </w:r>
          </w:p>
        </w:tc>
        <w:tc>
          <w:tcPr>
            <w:tcW w:w="3573" w:type="pct"/>
            <w:gridSpan w:val="2"/>
          </w:tcPr>
          <w:p w14:paraId="47E6AD0E" w14:textId="77777777" w:rsidR="00F1362A" w:rsidRPr="00097A86" w:rsidRDefault="00F1362A" w:rsidP="00D22D3F">
            <w:pPr>
              <w:pStyle w:val="ENoteTableText"/>
            </w:pPr>
          </w:p>
        </w:tc>
      </w:tr>
      <w:tr w:rsidR="00F1362A" w:rsidRPr="00097A86" w14:paraId="0EAE9F9A" w14:textId="77777777" w:rsidTr="00C20CC2">
        <w:tblPrEx>
          <w:jc w:val="center"/>
        </w:tblPrEx>
        <w:trPr>
          <w:gridAfter w:val="1"/>
          <w:wAfter w:w="37" w:type="pct"/>
          <w:jc w:val="center"/>
        </w:trPr>
        <w:tc>
          <w:tcPr>
            <w:tcW w:w="1390" w:type="pct"/>
            <w:gridSpan w:val="2"/>
          </w:tcPr>
          <w:p w14:paraId="7D49EA4A" w14:textId="77777777" w:rsidR="00F1362A" w:rsidRPr="00097A86" w:rsidRDefault="00F1362A" w:rsidP="00657E43">
            <w:pPr>
              <w:pStyle w:val="ENoteTableText"/>
              <w:tabs>
                <w:tab w:val="center" w:leader="dot" w:pos="2268"/>
              </w:tabs>
            </w:pPr>
            <w:r w:rsidRPr="00097A86">
              <w:t>Subdivision</w:t>
            </w:r>
            <w:r>
              <w:t> </w:t>
            </w:r>
            <w:r w:rsidRPr="00097A86">
              <w:t>2.4.1.1 heading</w:t>
            </w:r>
            <w:r w:rsidRPr="00097A86">
              <w:tab/>
              <w:t xml:space="preserve"> </w:t>
            </w:r>
          </w:p>
        </w:tc>
        <w:tc>
          <w:tcPr>
            <w:tcW w:w="3573" w:type="pct"/>
            <w:gridSpan w:val="2"/>
          </w:tcPr>
          <w:p w14:paraId="17AE242D" w14:textId="77777777" w:rsidR="00F1362A" w:rsidRPr="00097A86" w:rsidRDefault="00F1362A" w:rsidP="00D22D3F">
            <w:pPr>
              <w:pStyle w:val="ENoteTableText"/>
            </w:pPr>
            <w:r w:rsidRPr="00097A86">
              <w:t>ad 2009 No.</w:t>
            </w:r>
            <w:r>
              <w:t> </w:t>
            </w:r>
            <w:r w:rsidRPr="00097A86">
              <w:t>1</w:t>
            </w:r>
          </w:p>
        </w:tc>
      </w:tr>
      <w:tr w:rsidR="00F1362A" w:rsidRPr="00097A86" w14:paraId="1797767A" w14:textId="77777777" w:rsidTr="00C20CC2">
        <w:tblPrEx>
          <w:jc w:val="center"/>
        </w:tblPrEx>
        <w:trPr>
          <w:gridAfter w:val="1"/>
          <w:wAfter w:w="37" w:type="pct"/>
          <w:jc w:val="center"/>
        </w:trPr>
        <w:tc>
          <w:tcPr>
            <w:tcW w:w="1390" w:type="pct"/>
            <w:gridSpan w:val="2"/>
          </w:tcPr>
          <w:p w14:paraId="5C2D94D6" w14:textId="77777777" w:rsidR="00F1362A" w:rsidRPr="00097A86" w:rsidRDefault="00F1362A" w:rsidP="00BE20A2">
            <w:pPr>
              <w:pStyle w:val="ENoteTableText"/>
              <w:tabs>
                <w:tab w:val="center" w:leader="dot" w:pos="2268"/>
              </w:tabs>
            </w:pPr>
            <w:r w:rsidRPr="00097A86">
              <w:t>s 2.40</w:t>
            </w:r>
            <w:r w:rsidRPr="00097A86">
              <w:tab/>
            </w:r>
          </w:p>
        </w:tc>
        <w:tc>
          <w:tcPr>
            <w:tcW w:w="3573" w:type="pct"/>
            <w:gridSpan w:val="2"/>
          </w:tcPr>
          <w:p w14:paraId="5BB3B0EE" w14:textId="77777777" w:rsidR="00F1362A" w:rsidRPr="00097A86" w:rsidRDefault="00F1362A" w:rsidP="00D22D3F">
            <w:pPr>
              <w:pStyle w:val="ENoteTableText"/>
            </w:pPr>
            <w:r w:rsidRPr="00097A86">
              <w:t>am 2009 No.</w:t>
            </w:r>
            <w:r>
              <w:t> </w:t>
            </w:r>
            <w:r w:rsidRPr="00097A86">
              <w:t>1</w:t>
            </w:r>
          </w:p>
        </w:tc>
      </w:tr>
      <w:tr w:rsidR="00F1362A" w:rsidRPr="00097A86" w14:paraId="761ABEFB" w14:textId="77777777" w:rsidTr="00C20CC2">
        <w:tblPrEx>
          <w:jc w:val="center"/>
        </w:tblPrEx>
        <w:trPr>
          <w:gridAfter w:val="1"/>
          <w:wAfter w:w="37" w:type="pct"/>
          <w:jc w:val="center"/>
        </w:trPr>
        <w:tc>
          <w:tcPr>
            <w:tcW w:w="1390" w:type="pct"/>
            <w:gridSpan w:val="2"/>
          </w:tcPr>
          <w:p w14:paraId="28A8DBE5" w14:textId="77777777" w:rsidR="00F1362A" w:rsidRPr="00097A86" w:rsidRDefault="00F1362A" w:rsidP="00D22D3F">
            <w:pPr>
              <w:pStyle w:val="ENoteTableText"/>
            </w:pPr>
            <w:r w:rsidRPr="00097A86">
              <w:rPr>
                <w:b/>
              </w:rPr>
              <w:t>Subdivision</w:t>
            </w:r>
            <w:r>
              <w:rPr>
                <w:b/>
              </w:rPr>
              <w:t> </w:t>
            </w:r>
            <w:r w:rsidRPr="00097A86">
              <w:rPr>
                <w:b/>
              </w:rPr>
              <w:t>2.4.1.2</w:t>
            </w:r>
          </w:p>
        </w:tc>
        <w:tc>
          <w:tcPr>
            <w:tcW w:w="3573" w:type="pct"/>
            <w:gridSpan w:val="2"/>
          </w:tcPr>
          <w:p w14:paraId="7108B528" w14:textId="77777777" w:rsidR="00F1362A" w:rsidRPr="00097A86" w:rsidRDefault="00F1362A" w:rsidP="00D22D3F">
            <w:pPr>
              <w:pStyle w:val="ENoteTableText"/>
            </w:pPr>
          </w:p>
        </w:tc>
      </w:tr>
      <w:tr w:rsidR="00F1362A" w:rsidRPr="00097A86" w14:paraId="2FC00215" w14:textId="77777777" w:rsidTr="00C20CC2">
        <w:tblPrEx>
          <w:jc w:val="center"/>
        </w:tblPrEx>
        <w:trPr>
          <w:gridAfter w:val="1"/>
          <w:wAfter w:w="37" w:type="pct"/>
          <w:jc w:val="center"/>
        </w:trPr>
        <w:tc>
          <w:tcPr>
            <w:tcW w:w="1390" w:type="pct"/>
            <w:gridSpan w:val="2"/>
          </w:tcPr>
          <w:p w14:paraId="7B1DA255" w14:textId="77777777" w:rsidR="00F1362A" w:rsidRPr="00097A86" w:rsidRDefault="00F1362A" w:rsidP="00657E43">
            <w:pPr>
              <w:pStyle w:val="ENoteTableText"/>
              <w:tabs>
                <w:tab w:val="center" w:leader="dot" w:pos="2268"/>
              </w:tabs>
            </w:pPr>
            <w:r w:rsidRPr="00097A86">
              <w:t>Subdivision</w:t>
            </w:r>
            <w:r>
              <w:t> </w:t>
            </w:r>
            <w:r w:rsidRPr="00097A86">
              <w:t xml:space="preserve">2.4.1.2 </w:t>
            </w:r>
            <w:r w:rsidRPr="00097A86">
              <w:tab/>
            </w:r>
          </w:p>
        </w:tc>
        <w:tc>
          <w:tcPr>
            <w:tcW w:w="3573" w:type="pct"/>
            <w:gridSpan w:val="2"/>
          </w:tcPr>
          <w:p w14:paraId="3AE9A086" w14:textId="77777777" w:rsidR="00F1362A" w:rsidRPr="00097A86" w:rsidRDefault="00F1362A" w:rsidP="00D22D3F">
            <w:pPr>
              <w:pStyle w:val="ENoteTableText"/>
            </w:pPr>
            <w:r w:rsidRPr="00097A86">
              <w:t>ad 2009 No.</w:t>
            </w:r>
            <w:r>
              <w:t> </w:t>
            </w:r>
            <w:r w:rsidRPr="00097A86">
              <w:t>1</w:t>
            </w:r>
          </w:p>
        </w:tc>
      </w:tr>
      <w:tr w:rsidR="00F1362A" w:rsidRPr="00097A86" w14:paraId="60686A9D" w14:textId="77777777" w:rsidTr="00C20CC2">
        <w:tblPrEx>
          <w:jc w:val="center"/>
        </w:tblPrEx>
        <w:trPr>
          <w:gridAfter w:val="1"/>
          <w:wAfter w:w="37" w:type="pct"/>
          <w:jc w:val="center"/>
        </w:trPr>
        <w:tc>
          <w:tcPr>
            <w:tcW w:w="1390" w:type="pct"/>
            <w:gridSpan w:val="2"/>
          </w:tcPr>
          <w:p w14:paraId="741CAB74" w14:textId="77777777" w:rsidR="00F1362A" w:rsidRPr="00097A86" w:rsidRDefault="00F1362A" w:rsidP="00BE20A2">
            <w:pPr>
              <w:pStyle w:val="ENoteTableText"/>
              <w:tabs>
                <w:tab w:val="center" w:leader="dot" w:pos="2268"/>
              </w:tabs>
            </w:pPr>
            <w:r w:rsidRPr="00097A86">
              <w:t>s 2.40A</w:t>
            </w:r>
            <w:r w:rsidRPr="00097A86">
              <w:tab/>
            </w:r>
          </w:p>
        </w:tc>
        <w:tc>
          <w:tcPr>
            <w:tcW w:w="3573" w:type="pct"/>
            <w:gridSpan w:val="2"/>
          </w:tcPr>
          <w:p w14:paraId="0AEA7A74" w14:textId="77777777" w:rsidR="00F1362A" w:rsidRPr="00097A86" w:rsidRDefault="00F1362A" w:rsidP="00D22D3F">
            <w:pPr>
              <w:pStyle w:val="ENoteTableText"/>
            </w:pPr>
            <w:r w:rsidRPr="00097A86">
              <w:t>ad 2009 No.</w:t>
            </w:r>
            <w:r>
              <w:t> </w:t>
            </w:r>
            <w:r w:rsidRPr="00097A86">
              <w:t>1</w:t>
            </w:r>
          </w:p>
        </w:tc>
      </w:tr>
      <w:tr w:rsidR="00F1362A" w:rsidRPr="00097A86" w14:paraId="1C5139CD" w14:textId="77777777" w:rsidTr="00C20CC2">
        <w:tblPrEx>
          <w:jc w:val="center"/>
        </w:tblPrEx>
        <w:trPr>
          <w:gridAfter w:val="1"/>
          <w:wAfter w:w="37" w:type="pct"/>
          <w:jc w:val="center"/>
        </w:trPr>
        <w:tc>
          <w:tcPr>
            <w:tcW w:w="1390" w:type="pct"/>
            <w:gridSpan w:val="2"/>
          </w:tcPr>
          <w:p w14:paraId="20CEE4E6" w14:textId="77777777" w:rsidR="00F1362A" w:rsidRPr="00097A86" w:rsidRDefault="00F1362A" w:rsidP="00D22D3F">
            <w:pPr>
              <w:pStyle w:val="ENoteTableText"/>
            </w:pPr>
            <w:r w:rsidRPr="00097A86">
              <w:rPr>
                <w:b/>
              </w:rPr>
              <w:t>Division</w:t>
            </w:r>
            <w:r>
              <w:rPr>
                <w:b/>
              </w:rPr>
              <w:t> </w:t>
            </w:r>
            <w:r w:rsidRPr="00097A86">
              <w:rPr>
                <w:b/>
              </w:rPr>
              <w:t>2.4.2</w:t>
            </w:r>
          </w:p>
        </w:tc>
        <w:tc>
          <w:tcPr>
            <w:tcW w:w="3573" w:type="pct"/>
            <w:gridSpan w:val="2"/>
          </w:tcPr>
          <w:p w14:paraId="3C30198E" w14:textId="77777777" w:rsidR="00F1362A" w:rsidRPr="00097A86" w:rsidRDefault="00F1362A" w:rsidP="00D22D3F">
            <w:pPr>
              <w:pStyle w:val="ENoteTableText"/>
            </w:pPr>
          </w:p>
        </w:tc>
      </w:tr>
      <w:tr w:rsidR="00F1362A" w:rsidRPr="00097A86" w14:paraId="62898D00" w14:textId="77777777" w:rsidTr="00C20CC2">
        <w:tblPrEx>
          <w:jc w:val="center"/>
        </w:tblPrEx>
        <w:trPr>
          <w:gridAfter w:val="1"/>
          <w:wAfter w:w="37" w:type="pct"/>
          <w:jc w:val="center"/>
        </w:trPr>
        <w:tc>
          <w:tcPr>
            <w:tcW w:w="1390" w:type="pct"/>
            <w:gridSpan w:val="2"/>
          </w:tcPr>
          <w:p w14:paraId="73231F72" w14:textId="77777777" w:rsidR="00F1362A" w:rsidRPr="00097A86" w:rsidRDefault="00F1362A" w:rsidP="00657E43">
            <w:pPr>
              <w:pStyle w:val="ENoteTableText"/>
              <w:tabs>
                <w:tab w:val="center" w:leader="dot" w:pos="2268"/>
              </w:tabs>
            </w:pPr>
            <w:r w:rsidRPr="00097A86">
              <w:t>Division</w:t>
            </w:r>
            <w:r>
              <w:t> </w:t>
            </w:r>
            <w:r w:rsidRPr="00097A86">
              <w:t>2.4.2 heading</w:t>
            </w:r>
            <w:r w:rsidRPr="00097A86">
              <w:tab/>
            </w:r>
          </w:p>
        </w:tc>
        <w:tc>
          <w:tcPr>
            <w:tcW w:w="3573" w:type="pct"/>
            <w:gridSpan w:val="2"/>
          </w:tcPr>
          <w:p w14:paraId="257A5E8A" w14:textId="77777777" w:rsidR="00F1362A" w:rsidRPr="00097A86" w:rsidRDefault="00F1362A" w:rsidP="00D22D3F">
            <w:pPr>
              <w:pStyle w:val="ENoteTableText"/>
            </w:pPr>
            <w:r w:rsidRPr="00097A86">
              <w:t>rs 2009 No.</w:t>
            </w:r>
            <w:r>
              <w:t> </w:t>
            </w:r>
            <w:r w:rsidRPr="00097A86">
              <w:t>1</w:t>
            </w:r>
          </w:p>
        </w:tc>
      </w:tr>
      <w:tr w:rsidR="00F1362A" w:rsidRPr="00097A86" w14:paraId="37D9503F" w14:textId="77777777" w:rsidTr="00C20CC2">
        <w:tblPrEx>
          <w:jc w:val="center"/>
        </w:tblPrEx>
        <w:trPr>
          <w:gridAfter w:val="1"/>
          <w:wAfter w:w="37" w:type="pct"/>
          <w:jc w:val="center"/>
        </w:trPr>
        <w:tc>
          <w:tcPr>
            <w:tcW w:w="1390" w:type="pct"/>
            <w:gridSpan w:val="2"/>
          </w:tcPr>
          <w:p w14:paraId="51F33408" w14:textId="77777777" w:rsidR="00F1362A" w:rsidRPr="00097A86" w:rsidRDefault="00F1362A" w:rsidP="00BE20A2">
            <w:pPr>
              <w:pStyle w:val="ENoteTableText"/>
              <w:tabs>
                <w:tab w:val="center" w:leader="dot" w:pos="2268"/>
              </w:tabs>
            </w:pPr>
            <w:r w:rsidRPr="00097A86">
              <w:t>s 2.41</w:t>
            </w:r>
            <w:r w:rsidRPr="00097A86">
              <w:tab/>
            </w:r>
          </w:p>
        </w:tc>
        <w:tc>
          <w:tcPr>
            <w:tcW w:w="3573" w:type="pct"/>
            <w:gridSpan w:val="2"/>
          </w:tcPr>
          <w:p w14:paraId="7A1FFA7C"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6B521199" w14:textId="77777777" w:rsidTr="00C20CC2">
        <w:tblPrEx>
          <w:jc w:val="center"/>
        </w:tblPrEx>
        <w:trPr>
          <w:gridAfter w:val="1"/>
          <w:wAfter w:w="37" w:type="pct"/>
          <w:jc w:val="center"/>
        </w:trPr>
        <w:tc>
          <w:tcPr>
            <w:tcW w:w="1390" w:type="pct"/>
            <w:gridSpan w:val="2"/>
          </w:tcPr>
          <w:p w14:paraId="26E85BA0" w14:textId="77777777" w:rsidR="00F1362A" w:rsidRPr="00097A86" w:rsidRDefault="00F1362A" w:rsidP="00D22D3F">
            <w:pPr>
              <w:pStyle w:val="ENoteTableText"/>
            </w:pPr>
            <w:r w:rsidRPr="00097A86">
              <w:rPr>
                <w:b/>
              </w:rPr>
              <w:t>Division</w:t>
            </w:r>
            <w:r>
              <w:rPr>
                <w:b/>
              </w:rPr>
              <w:t> </w:t>
            </w:r>
            <w:r w:rsidRPr="00097A86">
              <w:rPr>
                <w:b/>
              </w:rPr>
              <w:t>2.4.3</w:t>
            </w:r>
          </w:p>
        </w:tc>
        <w:tc>
          <w:tcPr>
            <w:tcW w:w="3573" w:type="pct"/>
            <w:gridSpan w:val="2"/>
          </w:tcPr>
          <w:p w14:paraId="3B0FE1B1" w14:textId="77777777" w:rsidR="00F1362A" w:rsidRPr="00097A86" w:rsidRDefault="00F1362A" w:rsidP="00D22D3F">
            <w:pPr>
              <w:pStyle w:val="ENoteTableText"/>
            </w:pPr>
          </w:p>
        </w:tc>
      </w:tr>
      <w:tr w:rsidR="00F1362A" w:rsidRPr="00097A86" w14:paraId="4E4FAE14" w14:textId="77777777" w:rsidTr="00C20CC2">
        <w:tblPrEx>
          <w:jc w:val="center"/>
        </w:tblPrEx>
        <w:trPr>
          <w:gridAfter w:val="1"/>
          <w:wAfter w:w="37" w:type="pct"/>
          <w:jc w:val="center"/>
        </w:trPr>
        <w:tc>
          <w:tcPr>
            <w:tcW w:w="1390" w:type="pct"/>
            <w:gridSpan w:val="2"/>
          </w:tcPr>
          <w:p w14:paraId="467A13AB" w14:textId="77777777" w:rsidR="00F1362A" w:rsidRPr="00097A86" w:rsidRDefault="00F1362A" w:rsidP="00657E43">
            <w:pPr>
              <w:pStyle w:val="ENoteTableText"/>
              <w:tabs>
                <w:tab w:val="center" w:leader="dot" w:pos="2268"/>
              </w:tabs>
            </w:pPr>
            <w:r w:rsidRPr="00097A86">
              <w:t>Division</w:t>
            </w:r>
            <w:r>
              <w:t> </w:t>
            </w:r>
            <w:r w:rsidRPr="00097A86">
              <w:t>2.4.3 heading</w:t>
            </w:r>
            <w:r w:rsidRPr="00097A86">
              <w:tab/>
            </w:r>
          </w:p>
        </w:tc>
        <w:tc>
          <w:tcPr>
            <w:tcW w:w="3573" w:type="pct"/>
            <w:gridSpan w:val="2"/>
          </w:tcPr>
          <w:p w14:paraId="54514EFA" w14:textId="77777777" w:rsidR="00F1362A" w:rsidRPr="00097A86" w:rsidRDefault="00F1362A" w:rsidP="00D22D3F">
            <w:pPr>
              <w:pStyle w:val="ENoteTableText"/>
            </w:pPr>
            <w:r w:rsidRPr="00097A86">
              <w:t>rs 2009 No.</w:t>
            </w:r>
            <w:r>
              <w:t> </w:t>
            </w:r>
            <w:r w:rsidRPr="00097A86">
              <w:t>1</w:t>
            </w:r>
          </w:p>
        </w:tc>
      </w:tr>
      <w:tr w:rsidR="00F1362A" w:rsidRPr="00097A86" w14:paraId="27BD88FA" w14:textId="77777777" w:rsidTr="00C20CC2">
        <w:tblPrEx>
          <w:jc w:val="center"/>
        </w:tblPrEx>
        <w:trPr>
          <w:gridAfter w:val="1"/>
          <w:wAfter w:w="37" w:type="pct"/>
          <w:jc w:val="center"/>
        </w:trPr>
        <w:tc>
          <w:tcPr>
            <w:tcW w:w="1390" w:type="pct"/>
            <w:gridSpan w:val="2"/>
          </w:tcPr>
          <w:p w14:paraId="61D60643" w14:textId="77777777" w:rsidR="00F1362A" w:rsidRPr="00097A86" w:rsidRDefault="00F1362A" w:rsidP="00D22D3F">
            <w:pPr>
              <w:pStyle w:val="ENoteTableText"/>
            </w:pPr>
            <w:r w:rsidRPr="00097A86">
              <w:rPr>
                <w:b/>
              </w:rPr>
              <w:lastRenderedPageBreak/>
              <w:t>Subdivision</w:t>
            </w:r>
            <w:r>
              <w:rPr>
                <w:b/>
              </w:rPr>
              <w:t> </w:t>
            </w:r>
            <w:r w:rsidRPr="00097A86">
              <w:rPr>
                <w:b/>
              </w:rPr>
              <w:t>2.4.3.1</w:t>
            </w:r>
          </w:p>
        </w:tc>
        <w:tc>
          <w:tcPr>
            <w:tcW w:w="3573" w:type="pct"/>
            <w:gridSpan w:val="2"/>
          </w:tcPr>
          <w:p w14:paraId="6ABB1FBD" w14:textId="77777777" w:rsidR="00F1362A" w:rsidRPr="00097A86" w:rsidRDefault="00F1362A" w:rsidP="00D22D3F">
            <w:pPr>
              <w:pStyle w:val="ENoteTableText"/>
            </w:pPr>
          </w:p>
        </w:tc>
      </w:tr>
      <w:tr w:rsidR="00F1362A" w:rsidRPr="00097A86" w14:paraId="63D6EE0A" w14:textId="77777777" w:rsidTr="00C20CC2">
        <w:tblPrEx>
          <w:jc w:val="center"/>
        </w:tblPrEx>
        <w:trPr>
          <w:gridAfter w:val="1"/>
          <w:wAfter w:w="37" w:type="pct"/>
          <w:jc w:val="center"/>
        </w:trPr>
        <w:tc>
          <w:tcPr>
            <w:tcW w:w="1390" w:type="pct"/>
            <w:gridSpan w:val="2"/>
          </w:tcPr>
          <w:p w14:paraId="2D3CA734" w14:textId="77777777" w:rsidR="00F1362A" w:rsidRPr="00097A86" w:rsidRDefault="00F1362A" w:rsidP="00657E43">
            <w:pPr>
              <w:pStyle w:val="ENoteTableText"/>
              <w:tabs>
                <w:tab w:val="center" w:leader="dot" w:pos="2268"/>
              </w:tabs>
            </w:pPr>
            <w:r w:rsidRPr="00097A86">
              <w:t>Subdivision</w:t>
            </w:r>
            <w:r>
              <w:t> </w:t>
            </w:r>
            <w:r w:rsidRPr="00097A86">
              <w:t>2.4.3.1 heading</w:t>
            </w:r>
            <w:r w:rsidRPr="00097A86">
              <w:tab/>
            </w:r>
          </w:p>
        </w:tc>
        <w:tc>
          <w:tcPr>
            <w:tcW w:w="3573" w:type="pct"/>
            <w:gridSpan w:val="2"/>
          </w:tcPr>
          <w:p w14:paraId="0AE73B34" w14:textId="77777777" w:rsidR="00F1362A" w:rsidRPr="00097A86" w:rsidRDefault="00F1362A" w:rsidP="00D22D3F">
            <w:pPr>
              <w:pStyle w:val="ENoteTableText"/>
            </w:pPr>
            <w:r w:rsidRPr="00097A86">
              <w:t>rs 2009 No.</w:t>
            </w:r>
            <w:r>
              <w:t> </w:t>
            </w:r>
            <w:r w:rsidRPr="00097A86">
              <w:t>1</w:t>
            </w:r>
          </w:p>
        </w:tc>
      </w:tr>
      <w:tr w:rsidR="00F1362A" w:rsidRPr="00097A86" w14:paraId="5CFA2042" w14:textId="77777777" w:rsidTr="00C20CC2">
        <w:tblPrEx>
          <w:jc w:val="center"/>
        </w:tblPrEx>
        <w:trPr>
          <w:gridAfter w:val="1"/>
          <w:wAfter w:w="37" w:type="pct"/>
          <w:jc w:val="center"/>
        </w:trPr>
        <w:tc>
          <w:tcPr>
            <w:tcW w:w="1390" w:type="pct"/>
            <w:gridSpan w:val="2"/>
          </w:tcPr>
          <w:p w14:paraId="4776DFA8" w14:textId="77777777" w:rsidR="00F1362A" w:rsidRPr="00097A86" w:rsidRDefault="00F1362A" w:rsidP="00BE20A2">
            <w:pPr>
              <w:pStyle w:val="ENoteTableText"/>
              <w:tabs>
                <w:tab w:val="center" w:leader="dot" w:pos="2268"/>
              </w:tabs>
            </w:pPr>
            <w:r w:rsidRPr="00097A86">
              <w:t>s 2.42</w:t>
            </w:r>
            <w:r w:rsidRPr="00097A86">
              <w:tab/>
            </w:r>
          </w:p>
        </w:tc>
        <w:tc>
          <w:tcPr>
            <w:tcW w:w="3573" w:type="pct"/>
            <w:gridSpan w:val="2"/>
          </w:tcPr>
          <w:p w14:paraId="366F0AB2"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1A3D57D2" w14:textId="77777777" w:rsidTr="00C20CC2">
        <w:tblPrEx>
          <w:jc w:val="center"/>
        </w:tblPrEx>
        <w:trPr>
          <w:gridAfter w:val="1"/>
          <w:wAfter w:w="37" w:type="pct"/>
          <w:jc w:val="center"/>
        </w:trPr>
        <w:tc>
          <w:tcPr>
            <w:tcW w:w="1390" w:type="pct"/>
            <w:gridSpan w:val="2"/>
          </w:tcPr>
          <w:p w14:paraId="02B47CC4" w14:textId="77777777" w:rsidR="00F1362A" w:rsidRPr="00097A86" w:rsidRDefault="00F1362A" w:rsidP="00BE20A2">
            <w:pPr>
              <w:pStyle w:val="ENoteTableText"/>
              <w:tabs>
                <w:tab w:val="center" w:leader="dot" w:pos="2268"/>
              </w:tabs>
            </w:pPr>
            <w:r w:rsidRPr="00097A86">
              <w:t>s 2.43</w:t>
            </w:r>
            <w:r w:rsidRPr="00097A86">
              <w:tab/>
            </w:r>
          </w:p>
        </w:tc>
        <w:tc>
          <w:tcPr>
            <w:tcW w:w="3573" w:type="pct"/>
            <w:gridSpan w:val="2"/>
          </w:tcPr>
          <w:p w14:paraId="6123172F" w14:textId="77777777" w:rsidR="00F1362A" w:rsidRPr="00097A86" w:rsidRDefault="00F1362A" w:rsidP="00D22D3F">
            <w:pPr>
              <w:pStyle w:val="ENoteTableText"/>
            </w:pPr>
            <w:r w:rsidRPr="00097A86">
              <w:t>am 2009 No.</w:t>
            </w:r>
            <w:r>
              <w:t> </w:t>
            </w:r>
            <w:r w:rsidRPr="00097A86">
              <w:t>1; 2010 No.</w:t>
            </w:r>
            <w:r>
              <w:t> </w:t>
            </w:r>
            <w:r w:rsidRPr="00097A86">
              <w:t>1; 2015 No 1</w:t>
            </w:r>
          </w:p>
        </w:tc>
      </w:tr>
      <w:tr w:rsidR="00F1362A" w:rsidRPr="00097A86" w14:paraId="33B5384A" w14:textId="77777777" w:rsidTr="00C20CC2">
        <w:tblPrEx>
          <w:jc w:val="center"/>
        </w:tblPrEx>
        <w:trPr>
          <w:gridAfter w:val="1"/>
          <w:wAfter w:w="37" w:type="pct"/>
          <w:jc w:val="center"/>
        </w:trPr>
        <w:tc>
          <w:tcPr>
            <w:tcW w:w="1390" w:type="pct"/>
            <w:gridSpan w:val="2"/>
          </w:tcPr>
          <w:p w14:paraId="3E5ED36E" w14:textId="77777777" w:rsidR="00F1362A" w:rsidRPr="00097A86" w:rsidRDefault="00F1362A" w:rsidP="00D22D3F">
            <w:pPr>
              <w:pStyle w:val="ENoteTableText"/>
            </w:pPr>
            <w:r w:rsidRPr="00097A86">
              <w:rPr>
                <w:b/>
              </w:rPr>
              <w:t>Subdivision</w:t>
            </w:r>
            <w:r>
              <w:rPr>
                <w:b/>
              </w:rPr>
              <w:t> </w:t>
            </w:r>
            <w:r w:rsidRPr="00097A86">
              <w:rPr>
                <w:b/>
              </w:rPr>
              <w:t>2.4.3.2</w:t>
            </w:r>
          </w:p>
        </w:tc>
        <w:tc>
          <w:tcPr>
            <w:tcW w:w="3573" w:type="pct"/>
            <w:gridSpan w:val="2"/>
          </w:tcPr>
          <w:p w14:paraId="56E1E905" w14:textId="77777777" w:rsidR="00F1362A" w:rsidRPr="00097A86" w:rsidRDefault="00F1362A" w:rsidP="00D22D3F">
            <w:pPr>
              <w:pStyle w:val="ENoteTableText"/>
            </w:pPr>
          </w:p>
        </w:tc>
      </w:tr>
      <w:tr w:rsidR="00F1362A" w:rsidRPr="00097A86" w14:paraId="5DCC13A5" w14:textId="77777777" w:rsidTr="00C20CC2">
        <w:tblPrEx>
          <w:jc w:val="center"/>
        </w:tblPrEx>
        <w:trPr>
          <w:gridAfter w:val="1"/>
          <w:wAfter w:w="37" w:type="pct"/>
          <w:jc w:val="center"/>
        </w:trPr>
        <w:tc>
          <w:tcPr>
            <w:tcW w:w="1390" w:type="pct"/>
            <w:gridSpan w:val="2"/>
          </w:tcPr>
          <w:p w14:paraId="4A3D2FB2" w14:textId="77777777" w:rsidR="00F1362A" w:rsidRPr="00097A86" w:rsidRDefault="00F1362A" w:rsidP="00BE20A2">
            <w:pPr>
              <w:pStyle w:val="ENoteTableText"/>
              <w:tabs>
                <w:tab w:val="center" w:leader="dot" w:pos="2268"/>
              </w:tabs>
            </w:pPr>
            <w:r w:rsidRPr="00097A86">
              <w:t>s 2.45</w:t>
            </w:r>
            <w:r w:rsidRPr="00097A86">
              <w:tab/>
            </w:r>
          </w:p>
        </w:tc>
        <w:tc>
          <w:tcPr>
            <w:tcW w:w="3573" w:type="pct"/>
            <w:gridSpan w:val="2"/>
          </w:tcPr>
          <w:p w14:paraId="285B9E13" w14:textId="77777777" w:rsidR="00F1362A" w:rsidRPr="00097A86" w:rsidRDefault="00F1362A" w:rsidP="00D22D3F">
            <w:pPr>
              <w:pStyle w:val="ENoteTableText"/>
            </w:pPr>
            <w:r w:rsidRPr="00097A86">
              <w:t>am 2010 No.</w:t>
            </w:r>
            <w:r>
              <w:t> </w:t>
            </w:r>
            <w:r w:rsidRPr="00097A86">
              <w:t>1</w:t>
            </w:r>
          </w:p>
        </w:tc>
      </w:tr>
      <w:tr w:rsidR="00F1362A" w:rsidRPr="00097A86" w14:paraId="0AD2D99A" w14:textId="77777777" w:rsidTr="00C20CC2">
        <w:tblPrEx>
          <w:jc w:val="center"/>
        </w:tblPrEx>
        <w:trPr>
          <w:gridAfter w:val="1"/>
          <w:wAfter w:w="37" w:type="pct"/>
          <w:jc w:val="center"/>
        </w:trPr>
        <w:tc>
          <w:tcPr>
            <w:tcW w:w="1390" w:type="pct"/>
            <w:gridSpan w:val="2"/>
          </w:tcPr>
          <w:p w14:paraId="791A8B7C" w14:textId="77777777" w:rsidR="00F1362A" w:rsidRPr="00097A86" w:rsidRDefault="00F1362A" w:rsidP="00D22D3F">
            <w:pPr>
              <w:pStyle w:val="ENoteTableText"/>
            </w:pPr>
            <w:r w:rsidRPr="00097A86">
              <w:rPr>
                <w:b/>
              </w:rPr>
              <w:t>Division</w:t>
            </w:r>
            <w:r>
              <w:rPr>
                <w:b/>
              </w:rPr>
              <w:t> </w:t>
            </w:r>
            <w:r w:rsidRPr="00097A86">
              <w:rPr>
                <w:b/>
              </w:rPr>
              <w:t>2.4.4</w:t>
            </w:r>
          </w:p>
        </w:tc>
        <w:tc>
          <w:tcPr>
            <w:tcW w:w="3573" w:type="pct"/>
            <w:gridSpan w:val="2"/>
          </w:tcPr>
          <w:p w14:paraId="0A661F7E" w14:textId="77777777" w:rsidR="00F1362A" w:rsidRPr="00097A86" w:rsidRDefault="00F1362A" w:rsidP="00D22D3F">
            <w:pPr>
              <w:pStyle w:val="ENoteTableText"/>
            </w:pPr>
          </w:p>
        </w:tc>
      </w:tr>
      <w:tr w:rsidR="00F1362A" w:rsidRPr="00097A86" w14:paraId="3D5B1880" w14:textId="77777777" w:rsidTr="00C20CC2">
        <w:tblPrEx>
          <w:jc w:val="center"/>
        </w:tblPrEx>
        <w:trPr>
          <w:gridAfter w:val="1"/>
          <w:wAfter w:w="37" w:type="pct"/>
          <w:jc w:val="center"/>
        </w:trPr>
        <w:tc>
          <w:tcPr>
            <w:tcW w:w="1390" w:type="pct"/>
            <w:gridSpan w:val="2"/>
          </w:tcPr>
          <w:p w14:paraId="55F29E98" w14:textId="77777777" w:rsidR="00F1362A" w:rsidRPr="00097A86" w:rsidRDefault="00F1362A" w:rsidP="00657E43">
            <w:pPr>
              <w:pStyle w:val="ENoteTableText"/>
              <w:tabs>
                <w:tab w:val="center" w:leader="dot" w:pos="2268"/>
              </w:tabs>
            </w:pPr>
            <w:r w:rsidRPr="00097A86">
              <w:t>Division</w:t>
            </w:r>
            <w:r>
              <w:t> </w:t>
            </w:r>
            <w:r w:rsidRPr="00097A86">
              <w:t>2.4.4 heading</w:t>
            </w:r>
            <w:r w:rsidRPr="00097A86">
              <w:tab/>
            </w:r>
          </w:p>
        </w:tc>
        <w:tc>
          <w:tcPr>
            <w:tcW w:w="3573" w:type="pct"/>
            <w:gridSpan w:val="2"/>
          </w:tcPr>
          <w:p w14:paraId="57BB0928" w14:textId="77777777" w:rsidR="00F1362A" w:rsidRPr="00097A86" w:rsidRDefault="00F1362A" w:rsidP="00D22D3F">
            <w:pPr>
              <w:pStyle w:val="ENoteTableText"/>
            </w:pPr>
            <w:r w:rsidRPr="00097A86">
              <w:t>rs 2009 No.</w:t>
            </w:r>
            <w:r>
              <w:t> </w:t>
            </w:r>
            <w:r w:rsidRPr="00097A86">
              <w:t>1</w:t>
            </w:r>
          </w:p>
        </w:tc>
      </w:tr>
      <w:tr w:rsidR="00F1362A" w:rsidRPr="00097A86" w14:paraId="0AD3A948" w14:textId="77777777" w:rsidTr="00C20CC2">
        <w:tblPrEx>
          <w:jc w:val="center"/>
        </w:tblPrEx>
        <w:trPr>
          <w:gridAfter w:val="1"/>
          <w:wAfter w:w="37" w:type="pct"/>
          <w:jc w:val="center"/>
        </w:trPr>
        <w:tc>
          <w:tcPr>
            <w:tcW w:w="1390" w:type="pct"/>
            <w:gridSpan w:val="2"/>
          </w:tcPr>
          <w:p w14:paraId="6AC7BF96" w14:textId="77777777" w:rsidR="00F1362A" w:rsidRPr="00097A86" w:rsidRDefault="00F1362A" w:rsidP="00D22D3F">
            <w:pPr>
              <w:pStyle w:val="ENoteTableText"/>
            </w:pPr>
            <w:r w:rsidRPr="00097A86">
              <w:rPr>
                <w:b/>
              </w:rPr>
              <w:t>Division</w:t>
            </w:r>
            <w:r>
              <w:rPr>
                <w:b/>
              </w:rPr>
              <w:t> </w:t>
            </w:r>
            <w:r w:rsidRPr="00097A86">
              <w:rPr>
                <w:b/>
              </w:rPr>
              <w:t>2.4.5</w:t>
            </w:r>
          </w:p>
        </w:tc>
        <w:tc>
          <w:tcPr>
            <w:tcW w:w="3573" w:type="pct"/>
            <w:gridSpan w:val="2"/>
          </w:tcPr>
          <w:p w14:paraId="0C0DDC93" w14:textId="77777777" w:rsidR="00F1362A" w:rsidRPr="00097A86" w:rsidRDefault="00F1362A" w:rsidP="00D22D3F">
            <w:pPr>
              <w:pStyle w:val="ENoteTableText"/>
            </w:pPr>
          </w:p>
        </w:tc>
      </w:tr>
      <w:tr w:rsidR="00F1362A" w:rsidRPr="00097A86" w14:paraId="67AC4C8E" w14:textId="77777777" w:rsidTr="00C20CC2">
        <w:tblPrEx>
          <w:jc w:val="center"/>
        </w:tblPrEx>
        <w:trPr>
          <w:gridAfter w:val="1"/>
          <w:wAfter w:w="37" w:type="pct"/>
          <w:jc w:val="center"/>
        </w:trPr>
        <w:tc>
          <w:tcPr>
            <w:tcW w:w="1390" w:type="pct"/>
            <w:gridSpan w:val="2"/>
          </w:tcPr>
          <w:p w14:paraId="7511D345" w14:textId="77777777" w:rsidR="00F1362A" w:rsidRPr="00097A86" w:rsidRDefault="00F1362A" w:rsidP="00657E43">
            <w:pPr>
              <w:pStyle w:val="ENoteTableText"/>
              <w:tabs>
                <w:tab w:val="center" w:leader="dot" w:pos="2268"/>
              </w:tabs>
            </w:pPr>
            <w:r w:rsidRPr="00097A86">
              <w:t>Division</w:t>
            </w:r>
            <w:r>
              <w:t> </w:t>
            </w:r>
            <w:r w:rsidRPr="00097A86">
              <w:t>2.4.5</w:t>
            </w:r>
            <w:r w:rsidRPr="00097A86">
              <w:tab/>
            </w:r>
          </w:p>
        </w:tc>
        <w:tc>
          <w:tcPr>
            <w:tcW w:w="3573" w:type="pct"/>
            <w:gridSpan w:val="2"/>
          </w:tcPr>
          <w:p w14:paraId="47E2ED09" w14:textId="77777777" w:rsidR="00F1362A" w:rsidRPr="00097A86" w:rsidRDefault="00F1362A" w:rsidP="00D22D3F">
            <w:pPr>
              <w:pStyle w:val="ENoteTableText"/>
            </w:pPr>
            <w:r w:rsidRPr="00097A86">
              <w:t>rs 2009 No.</w:t>
            </w:r>
            <w:r>
              <w:t> </w:t>
            </w:r>
            <w:r w:rsidRPr="00097A86">
              <w:t>1</w:t>
            </w:r>
          </w:p>
        </w:tc>
      </w:tr>
      <w:tr w:rsidR="00F1362A" w:rsidRPr="00097A86" w14:paraId="16DE795E" w14:textId="77777777" w:rsidTr="00C20CC2">
        <w:tblPrEx>
          <w:jc w:val="center"/>
        </w:tblPrEx>
        <w:trPr>
          <w:gridAfter w:val="1"/>
          <w:wAfter w:w="37" w:type="pct"/>
          <w:jc w:val="center"/>
        </w:trPr>
        <w:tc>
          <w:tcPr>
            <w:tcW w:w="1390" w:type="pct"/>
            <w:gridSpan w:val="2"/>
          </w:tcPr>
          <w:p w14:paraId="5801DF11" w14:textId="77777777" w:rsidR="00F1362A" w:rsidRPr="00097A86" w:rsidRDefault="00F1362A" w:rsidP="00BE20A2">
            <w:pPr>
              <w:pStyle w:val="ENoteTableText"/>
              <w:tabs>
                <w:tab w:val="center" w:leader="dot" w:pos="2268"/>
              </w:tabs>
            </w:pPr>
            <w:r w:rsidRPr="00097A86">
              <w:t>s 2.48</w:t>
            </w:r>
            <w:r w:rsidRPr="00097A86">
              <w:tab/>
            </w:r>
          </w:p>
        </w:tc>
        <w:tc>
          <w:tcPr>
            <w:tcW w:w="3573" w:type="pct"/>
            <w:gridSpan w:val="2"/>
          </w:tcPr>
          <w:p w14:paraId="5AD77633" w14:textId="77777777" w:rsidR="00F1362A" w:rsidRPr="00097A86" w:rsidRDefault="00F1362A" w:rsidP="00D22D3F">
            <w:pPr>
              <w:pStyle w:val="ENoteTableText"/>
            </w:pPr>
            <w:r w:rsidRPr="00097A86">
              <w:t>am 2012 No.</w:t>
            </w:r>
            <w:r>
              <w:t> </w:t>
            </w:r>
            <w:r w:rsidRPr="00097A86">
              <w:t>1</w:t>
            </w:r>
          </w:p>
        </w:tc>
      </w:tr>
      <w:tr w:rsidR="00F1362A" w:rsidRPr="00097A86" w14:paraId="0685B7E9" w14:textId="77777777" w:rsidTr="00C20CC2">
        <w:tblPrEx>
          <w:jc w:val="center"/>
        </w:tblPrEx>
        <w:trPr>
          <w:gridAfter w:val="1"/>
          <w:wAfter w:w="37" w:type="pct"/>
          <w:jc w:val="center"/>
        </w:trPr>
        <w:tc>
          <w:tcPr>
            <w:tcW w:w="1390" w:type="pct"/>
            <w:gridSpan w:val="2"/>
          </w:tcPr>
          <w:p w14:paraId="6FE2C1C5" w14:textId="77777777" w:rsidR="00F1362A" w:rsidRPr="00097A86" w:rsidRDefault="00F1362A" w:rsidP="00D22D3F">
            <w:pPr>
              <w:pStyle w:val="ENoteTableText"/>
            </w:pPr>
            <w:r w:rsidRPr="00097A86">
              <w:rPr>
                <w:b/>
              </w:rPr>
              <w:t>Division</w:t>
            </w:r>
            <w:r>
              <w:rPr>
                <w:b/>
              </w:rPr>
              <w:t> </w:t>
            </w:r>
            <w:r w:rsidRPr="00097A86">
              <w:rPr>
                <w:b/>
              </w:rPr>
              <w:t>2.4.5A</w:t>
            </w:r>
          </w:p>
        </w:tc>
        <w:tc>
          <w:tcPr>
            <w:tcW w:w="3573" w:type="pct"/>
            <w:gridSpan w:val="2"/>
          </w:tcPr>
          <w:p w14:paraId="69308C5D" w14:textId="77777777" w:rsidR="00F1362A" w:rsidRPr="00097A86" w:rsidRDefault="00F1362A" w:rsidP="00D22D3F">
            <w:pPr>
              <w:pStyle w:val="ENoteTableText"/>
            </w:pPr>
          </w:p>
        </w:tc>
      </w:tr>
      <w:tr w:rsidR="00F1362A" w:rsidRPr="00097A86" w14:paraId="07CAE934" w14:textId="77777777" w:rsidTr="00C20CC2">
        <w:tblPrEx>
          <w:jc w:val="center"/>
        </w:tblPrEx>
        <w:trPr>
          <w:gridAfter w:val="1"/>
          <w:wAfter w:w="37" w:type="pct"/>
          <w:jc w:val="center"/>
        </w:trPr>
        <w:tc>
          <w:tcPr>
            <w:tcW w:w="1390" w:type="pct"/>
            <w:gridSpan w:val="2"/>
          </w:tcPr>
          <w:p w14:paraId="52ED1D3E" w14:textId="77777777" w:rsidR="00F1362A" w:rsidRPr="00097A86" w:rsidRDefault="00F1362A" w:rsidP="00657E43">
            <w:pPr>
              <w:pStyle w:val="ENoteTableText"/>
              <w:tabs>
                <w:tab w:val="center" w:leader="dot" w:pos="2268"/>
              </w:tabs>
            </w:pPr>
            <w:r w:rsidRPr="00097A86">
              <w:t>Division</w:t>
            </w:r>
            <w:r>
              <w:t> </w:t>
            </w:r>
            <w:r w:rsidRPr="00097A86">
              <w:t>2.4.5A</w:t>
            </w:r>
            <w:r w:rsidRPr="00097A86">
              <w:tab/>
            </w:r>
          </w:p>
        </w:tc>
        <w:tc>
          <w:tcPr>
            <w:tcW w:w="3573" w:type="pct"/>
            <w:gridSpan w:val="2"/>
          </w:tcPr>
          <w:p w14:paraId="6D87A4D1" w14:textId="77777777" w:rsidR="00F1362A" w:rsidRPr="00097A86" w:rsidRDefault="00F1362A" w:rsidP="00D22D3F">
            <w:pPr>
              <w:pStyle w:val="ENoteTableText"/>
            </w:pPr>
            <w:r w:rsidRPr="00097A86">
              <w:t>ad 2009 No.</w:t>
            </w:r>
            <w:r>
              <w:t> </w:t>
            </w:r>
            <w:r w:rsidRPr="00097A86">
              <w:t>1</w:t>
            </w:r>
          </w:p>
        </w:tc>
      </w:tr>
      <w:tr w:rsidR="00F1362A" w:rsidRPr="00097A86" w14:paraId="41595A8F" w14:textId="77777777" w:rsidTr="00C20CC2">
        <w:tblPrEx>
          <w:jc w:val="center"/>
        </w:tblPrEx>
        <w:trPr>
          <w:gridAfter w:val="1"/>
          <w:wAfter w:w="37" w:type="pct"/>
          <w:jc w:val="center"/>
        </w:trPr>
        <w:tc>
          <w:tcPr>
            <w:tcW w:w="1390" w:type="pct"/>
            <w:gridSpan w:val="2"/>
          </w:tcPr>
          <w:p w14:paraId="0E612C5C" w14:textId="77777777" w:rsidR="00F1362A" w:rsidRPr="00097A86" w:rsidRDefault="00F1362A" w:rsidP="00BE20A2">
            <w:pPr>
              <w:pStyle w:val="ENoteTableText"/>
              <w:tabs>
                <w:tab w:val="center" w:leader="dot" w:pos="2268"/>
              </w:tabs>
            </w:pPr>
            <w:r w:rsidRPr="00097A86">
              <w:t>s 2.48A</w:t>
            </w:r>
            <w:r w:rsidRPr="00097A86">
              <w:tab/>
            </w:r>
          </w:p>
        </w:tc>
        <w:tc>
          <w:tcPr>
            <w:tcW w:w="3573" w:type="pct"/>
            <w:gridSpan w:val="2"/>
          </w:tcPr>
          <w:p w14:paraId="40EF8F4D" w14:textId="77777777" w:rsidR="00F1362A" w:rsidRPr="00097A86" w:rsidRDefault="00F1362A" w:rsidP="00D22D3F">
            <w:pPr>
              <w:pStyle w:val="ENoteTableText"/>
            </w:pPr>
            <w:r w:rsidRPr="00097A86">
              <w:t>ad 2009 No.</w:t>
            </w:r>
            <w:r>
              <w:t> </w:t>
            </w:r>
            <w:r w:rsidRPr="00097A86">
              <w:t>1</w:t>
            </w:r>
          </w:p>
        </w:tc>
      </w:tr>
      <w:tr w:rsidR="00F1362A" w:rsidRPr="00097A86" w14:paraId="5B1617CD" w14:textId="77777777" w:rsidTr="00C20CC2">
        <w:tblPrEx>
          <w:jc w:val="center"/>
        </w:tblPrEx>
        <w:trPr>
          <w:gridAfter w:val="1"/>
          <w:wAfter w:w="37" w:type="pct"/>
          <w:jc w:val="center"/>
        </w:trPr>
        <w:tc>
          <w:tcPr>
            <w:tcW w:w="1390" w:type="pct"/>
            <w:gridSpan w:val="2"/>
          </w:tcPr>
          <w:p w14:paraId="1BF3F4C5" w14:textId="77777777" w:rsidR="00F1362A" w:rsidRPr="00097A86" w:rsidRDefault="00F1362A" w:rsidP="00D22D3F">
            <w:pPr>
              <w:pStyle w:val="ENoteTableText"/>
            </w:pPr>
          </w:p>
        </w:tc>
        <w:tc>
          <w:tcPr>
            <w:tcW w:w="3573" w:type="pct"/>
            <w:gridSpan w:val="2"/>
          </w:tcPr>
          <w:p w14:paraId="7901F4B7" w14:textId="77777777" w:rsidR="00F1362A" w:rsidRPr="00097A86" w:rsidRDefault="00F1362A" w:rsidP="00D22D3F">
            <w:pPr>
              <w:pStyle w:val="ENoteTableText"/>
            </w:pPr>
            <w:r w:rsidRPr="00097A86">
              <w:t>am 2011 No.</w:t>
            </w:r>
            <w:r>
              <w:t> </w:t>
            </w:r>
            <w:r w:rsidRPr="00097A86">
              <w:t>1</w:t>
            </w:r>
          </w:p>
        </w:tc>
      </w:tr>
      <w:tr w:rsidR="00F1362A" w:rsidRPr="00097A86" w14:paraId="64BFDE36" w14:textId="77777777" w:rsidTr="00C20CC2">
        <w:tblPrEx>
          <w:jc w:val="center"/>
        </w:tblPrEx>
        <w:trPr>
          <w:gridAfter w:val="1"/>
          <w:wAfter w:w="37" w:type="pct"/>
          <w:jc w:val="center"/>
        </w:trPr>
        <w:tc>
          <w:tcPr>
            <w:tcW w:w="1390" w:type="pct"/>
            <w:gridSpan w:val="2"/>
          </w:tcPr>
          <w:p w14:paraId="799BEF1B" w14:textId="77777777" w:rsidR="00F1362A" w:rsidRPr="00097A86" w:rsidRDefault="00F1362A" w:rsidP="00BE20A2">
            <w:pPr>
              <w:pStyle w:val="ENoteTableText"/>
              <w:tabs>
                <w:tab w:val="center" w:leader="dot" w:pos="2268"/>
              </w:tabs>
            </w:pPr>
            <w:r w:rsidRPr="00097A86">
              <w:t>s 2.48B</w:t>
            </w:r>
            <w:r w:rsidRPr="00097A86">
              <w:tab/>
            </w:r>
          </w:p>
        </w:tc>
        <w:tc>
          <w:tcPr>
            <w:tcW w:w="3573" w:type="pct"/>
            <w:gridSpan w:val="2"/>
          </w:tcPr>
          <w:p w14:paraId="6E30E4A1" w14:textId="77777777" w:rsidR="00F1362A" w:rsidRPr="00097A86" w:rsidRDefault="00F1362A" w:rsidP="00D22D3F">
            <w:pPr>
              <w:pStyle w:val="ENoteTableText"/>
            </w:pPr>
            <w:r w:rsidRPr="00097A86">
              <w:t>ad 2009 No.</w:t>
            </w:r>
            <w:r>
              <w:t> </w:t>
            </w:r>
            <w:r w:rsidRPr="00097A86">
              <w:t>1</w:t>
            </w:r>
          </w:p>
        </w:tc>
      </w:tr>
      <w:tr w:rsidR="00F1362A" w:rsidRPr="00097A86" w14:paraId="4FD2B81E" w14:textId="77777777" w:rsidTr="00C20CC2">
        <w:tblPrEx>
          <w:jc w:val="center"/>
        </w:tblPrEx>
        <w:trPr>
          <w:gridAfter w:val="1"/>
          <w:wAfter w:w="37" w:type="pct"/>
          <w:jc w:val="center"/>
        </w:trPr>
        <w:tc>
          <w:tcPr>
            <w:tcW w:w="1390" w:type="pct"/>
            <w:gridSpan w:val="2"/>
          </w:tcPr>
          <w:p w14:paraId="2FBCA2D9" w14:textId="77777777" w:rsidR="00F1362A" w:rsidRPr="00097A86" w:rsidRDefault="00F1362A" w:rsidP="00BE20A2">
            <w:pPr>
              <w:pStyle w:val="ENoteTableText"/>
              <w:tabs>
                <w:tab w:val="center" w:leader="dot" w:pos="2268"/>
              </w:tabs>
            </w:pPr>
            <w:r w:rsidRPr="00097A86">
              <w:t>s 2.48C</w:t>
            </w:r>
            <w:r w:rsidRPr="00097A86">
              <w:tab/>
            </w:r>
          </w:p>
        </w:tc>
        <w:tc>
          <w:tcPr>
            <w:tcW w:w="3573" w:type="pct"/>
            <w:gridSpan w:val="2"/>
          </w:tcPr>
          <w:p w14:paraId="72C02184" w14:textId="77777777" w:rsidR="00F1362A" w:rsidRPr="00097A86" w:rsidRDefault="00F1362A" w:rsidP="00D22D3F">
            <w:pPr>
              <w:pStyle w:val="ENoteTableText"/>
            </w:pPr>
            <w:r w:rsidRPr="00097A86">
              <w:t>ad 2009 No.</w:t>
            </w:r>
            <w:r>
              <w:t> </w:t>
            </w:r>
            <w:r w:rsidRPr="00097A86">
              <w:t>1</w:t>
            </w:r>
          </w:p>
        </w:tc>
      </w:tr>
      <w:tr w:rsidR="00F1362A" w:rsidRPr="00097A86" w14:paraId="1FB23BFE" w14:textId="77777777" w:rsidTr="00C20CC2">
        <w:tblPrEx>
          <w:jc w:val="center"/>
        </w:tblPrEx>
        <w:trPr>
          <w:gridAfter w:val="1"/>
          <w:wAfter w:w="37" w:type="pct"/>
          <w:jc w:val="center"/>
        </w:trPr>
        <w:tc>
          <w:tcPr>
            <w:tcW w:w="1390" w:type="pct"/>
            <w:gridSpan w:val="2"/>
          </w:tcPr>
          <w:p w14:paraId="61EE37C7" w14:textId="77777777" w:rsidR="00F1362A" w:rsidRPr="00097A86" w:rsidRDefault="00F1362A" w:rsidP="00D22D3F">
            <w:pPr>
              <w:pStyle w:val="ENoteTableText"/>
            </w:pPr>
            <w:r w:rsidRPr="00097A86">
              <w:rPr>
                <w:b/>
              </w:rPr>
              <w:t>Division</w:t>
            </w:r>
            <w:r>
              <w:rPr>
                <w:b/>
              </w:rPr>
              <w:t> </w:t>
            </w:r>
            <w:r w:rsidRPr="00097A86">
              <w:rPr>
                <w:b/>
              </w:rPr>
              <w:t>2.4.6</w:t>
            </w:r>
          </w:p>
        </w:tc>
        <w:tc>
          <w:tcPr>
            <w:tcW w:w="3573" w:type="pct"/>
            <w:gridSpan w:val="2"/>
          </w:tcPr>
          <w:p w14:paraId="0ADEC82E" w14:textId="77777777" w:rsidR="00F1362A" w:rsidRPr="00097A86" w:rsidRDefault="00F1362A" w:rsidP="00D22D3F">
            <w:pPr>
              <w:pStyle w:val="ENoteTableText"/>
            </w:pPr>
          </w:p>
        </w:tc>
      </w:tr>
      <w:tr w:rsidR="00F1362A" w:rsidRPr="00097A86" w14:paraId="25AC712F" w14:textId="77777777" w:rsidTr="00C20CC2">
        <w:tblPrEx>
          <w:jc w:val="center"/>
        </w:tblPrEx>
        <w:trPr>
          <w:gridAfter w:val="1"/>
          <w:wAfter w:w="37" w:type="pct"/>
          <w:jc w:val="center"/>
        </w:trPr>
        <w:tc>
          <w:tcPr>
            <w:tcW w:w="1390" w:type="pct"/>
            <w:gridSpan w:val="2"/>
          </w:tcPr>
          <w:p w14:paraId="13B44A5B" w14:textId="77777777" w:rsidR="00F1362A" w:rsidRPr="00097A86" w:rsidRDefault="00F1362A" w:rsidP="00BE20A2">
            <w:pPr>
              <w:pStyle w:val="ENoteTableText"/>
              <w:tabs>
                <w:tab w:val="center" w:leader="dot" w:pos="2268"/>
              </w:tabs>
            </w:pPr>
            <w:r w:rsidRPr="00097A86">
              <w:t>s 2.50</w:t>
            </w:r>
            <w:r w:rsidRPr="00097A86">
              <w:tab/>
            </w:r>
          </w:p>
        </w:tc>
        <w:tc>
          <w:tcPr>
            <w:tcW w:w="3573" w:type="pct"/>
            <w:gridSpan w:val="2"/>
          </w:tcPr>
          <w:p w14:paraId="069538B0" w14:textId="77777777" w:rsidR="00F1362A" w:rsidRPr="00097A86" w:rsidRDefault="00F1362A" w:rsidP="00D22D3F">
            <w:pPr>
              <w:pStyle w:val="ENoteTableText"/>
            </w:pPr>
            <w:r w:rsidRPr="00097A86">
              <w:t>am 2009 No.</w:t>
            </w:r>
            <w:r>
              <w:t> </w:t>
            </w:r>
            <w:r w:rsidRPr="00097A86">
              <w:t>1</w:t>
            </w:r>
          </w:p>
        </w:tc>
      </w:tr>
      <w:tr w:rsidR="00F1362A" w:rsidRPr="00097A86" w14:paraId="44C84449" w14:textId="77777777" w:rsidTr="00C20CC2">
        <w:tblPrEx>
          <w:jc w:val="center"/>
        </w:tblPrEx>
        <w:trPr>
          <w:gridAfter w:val="1"/>
          <w:wAfter w:w="37" w:type="pct"/>
          <w:jc w:val="center"/>
        </w:trPr>
        <w:tc>
          <w:tcPr>
            <w:tcW w:w="1390" w:type="pct"/>
            <w:gridSpan w:val="2"/>
          </w:tcPr>
          <w:p w14:paraId="637EE938" w14:textId="77777777" w:rsidR="00F1362A" w:rsidRPr="00097A86" w:rsidRDefault="00F1362A" w:rsidP="00BE20A2">
            <w:pPr>
              <w:pStyle w:val="ENoteTableText"/>
              <w:tabs>
                <w:tab w:val="center" w:leader="dot" w:pos="2268"/>
              </w:tabs>
            </w:pPr>
            <w:r w:rsidRPr="00097A86">
              <w:t>s 2.51</w:t>
            </w:r>
            <w:r w:rsidRPr="00097A86">
              <w:tab/>
            </w:r>
          </w:p>
        </w:tc>
        <w:tc>
          <w:tcPr>
            <w:tcW w:w="3573" w:type="pct"/>
            <w:gridSpan w:val="2"/>
          </w:tcPr>
          <w:p w14:paraId="16C5FEAF" w14:textId="77777777" w:rsidR="00F1362A" w:rsidRPr="00097A86" w:rsidRDefault="00F1362A" w:rsidP="00D22D3F">
            <w:pPr>
              <w:pStyle w:val="ENoteTableText"/>
            </w:pPr>
            <w:r w:rsidRPr="00097A86">
              <w:t>am 2010 No.</w:t>
            </w:r>
            <w:r>
              <w:t> </w:t>
            </w:r>
            <w:r w:rsidRPr="00097A86">
              <w:t>1;  2013 No.</w:t>
            </w:r>
            <w:r>
              <w:t> </w:t>
            </w:r>
            <w:r w:rsidRPr="00097A86">
              <w:t>1</w:t>
            </w:r>
          </w:p>
        </w:tc>
      </w:tr>
      <w:tr w:rsidR="00F1362A" w:rsidRPr="00097A86" w14:paraId="3C3F717E" w14:textId="77777777" w:rsidTr="00C20CC2">
        <w:tblPrEx>
          <w:jc w:val="center"/>
        </w:tblPrEx>
        <w:trPr>
          <w:gridAfter w:val="1"/>
          <w:wAfter w:w="37" w:type="pct"/>
          <w:jc w:val="center"/>
        </w:trPr>
        <w:tc>
          <w:tcPr>
            <w:tcW w:w="1390" w:type="pct"/>
            <w:gridSpan w:val="2"/>
          </w:tcPr>
          <w:p w14:paraId="51F06DA6" w14:textId="77777777" w:rsidR="00F1362A" w:rsidRPr="00097A86" w:rsidRDefault="00F1362A" w:rsidP="00BE20A2">
            <w:pPr>
              <w:pStyle w:val="ENoteTableText"/>
              <w:tabs>
                <w:tab w:val="center" w:leader="dot" w:pos="2268"/>
              </w:tabs>
            </w:pPr>
            <w:r w:rsidRPr="00097A86">
              <w:t>s 2.52</w:t>
            </w:r>
            <w:r w:rsidRPr="00097A86">
              <w:tab/>
            </w:r>
          </w:p>
        </w:tc>
        <w:tc>
          <w:tcPr>
            <w:tcW w:w="3573" w:type="pct"/>
            <w:gridSpan w:val="2"/>
          </w:tcPr>
          <w:p w14:paraId="0FAB5DF0" w14:textId="77777777" w:rsidR="00F1362A" w:rsidRPr="00097A86" w:rsidRDefault="00F1362A" w:rsidP="00D22D3F">
            <w:pPr>
              <w:pStyle w:val="ENoteTableText"/>
            </w:pPr>
            <w:r w:rsidRPr="00097A86">
              <w:t>am 2010 No.</w:t>
            </w:r>
            <w:r>
              <w:t> </w:t>
            </w:r>
            <w:r w:rsidRPr="00097A86">
              <w:t>1; 2013 No.</w:t>
            </w:r>
            <w:r>
              <w:t> </w:t>
            </w:r>
            <w:r w:rsidRPr="00097A86">
              <w:t>1</w:t>
            </w:r>
          </w:p>
        </w:tc>
      </w:tr>
      <w:tr w:rsidR="00F1362A" w:rsidRPr="00097A86" w14:paraId="0340380B" w14:textId="77777777" w:rsidTr="00C20CC2">
        <w:tblPrEx>
          <w:jc w:val="center"/>
        </w:tblPrEx>
        <w:trPr>
          <w:gridAfter w:val="1"/>
          <w:wAfter w:w="37" w:type="pct"/>
          <w:jc w:val="center"/>
        </w:trPr>
        <w:tc>
          <w:tcPr>
            <w:tcW w:w="1390" w:type="pct"/>
            <w:gridSpan w:val="2"/>
          </w:tcPr>
          <w:p w14:paraId="68F1B62E" w14:textId="77777777" w:rsidR="00F1362A" w:rsidRPr="00097A86" w:rsidRDefault="00F1362A" w:rsidP="00BE20A2">
            <w:pPr>
              <w:pStyle w:val="ENoteTableText"/>
              <w:tabs>
                <w:tab w:val="center" w:leader="dot" w:pos="2268"/>
              </w:tabs>
            </w:pPr>
            <w:r w:rsidRPr="00097A86">
              <w:t>s 2.53</w:t>
            </w:r>
            <w:r w:rsidRPr="00097A86">
              <w:tab/>
            </w:r>
          </w:p>
        </w:tc>
        <w:tc>
          <w:tcPr>
            <w:tcW w:w="3573" w:type="pct"/>
            <w:gridSpan w:val="2"/>
          </w:tcPr>
          <w:p w14:paraId="1BE6E086"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39F7C65F" w14:textId="77777777" w:rsidTr="00C20CC2">
        <w:tblPrEx>
          <w:jc w:val="center"/>
        </w:tblPrEx>
        <w:trPr>
          <w:gridAfter w:val="1"/>
          <w:wAfter w:w="37" w:type="pct"/>
          <w:jc w:val="center"/>
        </w:trPr>
        <w:tc>
          <w:tcPr>
            <w:tcW w:w="1390" w:type="pct"/>
            <w:gridSpan w:val="2"/>
          </w:tcPr>
          <w:p w14:paraId="51B2BCC9" w14:textId="77777777" w:rsidR="00F1362A" w:rsidRPr="00097A86" w:rsidRDefault="00F1362A" w:rsidP="00D22D3F">
            <w:pPr>
              <w:pStyle w:val="ENoteTableText"/>
            </w:pPr>
            <w:r w:rsidRPr="00097A86">
              <w:rPr>
                <w:b/>
              </w:rPr>
              <w:t>Part</w:t>
            </w:r>
            <w:r>
              <w:rPr>
                <w:b/>
              </w:rPr>
              <w:t> </w:t>
            </w:r>
            <w:r w:rsidRPr="00097A86">
              <w:rPr>
                <w:b/>
              </w:rPr>
              <w:t>2.5</w:t>
            </w:r>
          </w:p>
        </w:tc>
        <w:tc>
          <w:tcPr>
            <w:tcW w:w="3573" w:type="pct"/>
            <w:gridSpan w:val="2"/>
          </w:tcPr>
          <w:p w14:paraId="51014D1A" w14:textId="77777777" w:rsidR="00F1362A" w:rsidRPr="00097A86" w:rsidRDefault="00F1362A" w:rsidP="00D22D3F">
            <w:pPr>
              <w:pStyle w:val="ENoteTableText"/>
            </w:pPr>
          </w:p>
        </w:tc>
      </w:tr>
      <w:tr w:rsidR="00F1362A" w:rsidRPr="00097A86" w14:paraId="3C32C339" w14:textId="77777777" w:rsidTr="00C20CC2">
        <w:tblPrEx>
          <w:jc w:val="center"/>
        </w:tblPrEx>
        <w:trPr>
          <w:gridAfter w:val="1"/>
          <w:wAfter w:w="37" w:type="pct"/>
          <w:jc w:val="center"/>
        </w:trPr>
        <w:tc>
          <w:tcPr>
            <w:tcW w:w="1390" w:type="pct"/>
            <w:gridSpan w:val="2"/>
          </w:tcPr>
          <w:p w14:paraId="718201E0" w14:textId="77777777" w:rsidR="00F1362A" w:rsidRPr="00097A86" w:rsidRDefault="00F1362A" w:rsidP="00BE20A2">
            <w:pPr>
              <w:pStyle w:val="ENoteTableText"/>
              <w:tabs>
                <w:tab w:val="center" w:leader="dot" w:pos="2268"/>
              </w:tabs>
            </w:pPr>
            <w:r w:rsidRPr="00097A86">
              <w:t>s 2.54</w:t>
            </w:r>
            <w:r w:rsidRPr="00097A86">
              <w:tab/>
            </w:r>
          </w:p>
        </w:tc>
        <w:tc>
          <w:tcPr>
            <w:tcW w:w="3573" w:type="pct"/>
            <w:gridSpan w:val="2"/>
          </w:tcPr>
          <w:p w14:paraId="238EE6A3" w14:textId="77777777" w:rsidR="00F1362A" w:rsidRPr="00097A86" w:rsidRDefault="00F1362A" w:rsidP="00D22D3F">
            <w:pPr>
              <w:pStyle w:val="ENoteTableText"/>
            </w:pPr>
            <w:r w:rsidRPr="00097A86">
              <w:t>rs 2009 No.</w:t>
            </w:r>
            <w:r>
              <w:t> </w:t>
            </w:r>
            <w:r w:rsidRPr="00097A86">
              <w:t>1</w:t>
            </w:r>
          </w:p>
        </w:tc>
      </w:tr>
      <w:tr w:rsidR="00F1362A" w:rsidRPr="00097A86" w14:paraId="6B35C49D" w14:textId="77777777" w:rsidTr="00C20CC2">
        <w:tblPrEx>
          <w:jc w:val="center"/>
        </w:tblPrEx>
        <w:trPr>
          <w:gridAfter w:val="1"/>
          <w:wAfter w:w="37" w:type="pct"/>
          <w:jc w:val="center"/>
        </w:trPr>
        <w:tc>
          <w:tcPr>
            <w:tcW w:w="1390" w:type="pct"/>
            <w:gridSpan w:val="2"/>
          </w:tcPr>
          <w:p w14:paraId="02782A8B" w14:textId="77777777" w:rsidR="00F1362A" w:rsidRPr="00097A86" w:rsidRDefault="00F1362A" w:rsidP="00D22D3F">
            <w:pPr>
              <w:pStyle w:val="ENoteTableText"/>
            </w:pPr>
            <w:r w:rsidRPr="00097A86">
              <w:rPr>
                <w:b/>
              </w:rPr>
              <w:t>Division</w:t>
            </w:r>
            <w:r>
              <w:rPr>
                <w:b/>
              </w:rPr>
              <w:t> </w:t>
            </w:r>
            <w:r w:rsidRPr="00097A86">
              <w:rPr>
                <w:b/>
              </w:rPr>
              <w:t>2.5.1</w:t>
            </w:r>
          </w:p>
        </w:tc>
        <w:tc>
          <w:tcPr>
            <w:tcW w:w="3573" w:type="pct"/>
            <w:gridSpan w:val="2"/>
          </w:tcPr>
          <w:p w14:paraId="5704B8E3" w14:textId="77777777" w:rsidR="00F1362A" w:rsidRPr="00097A86" w:rsidRDefault="00F1362A" w:rsidP="00D22D3F">
            <w:pPr>
              <w:pStyle w:val="ENoteTableText"/>
            </w:pPr>
          </w:p>
        </w:tc>
      </w:tr>
      <w:tr w:rsidR="00F1362A" w:rsidRPr="00097A86" w14:paraId="03518E4A" w14:textId="77777777" w:rsidTr="00C20CC2">
        <w:tblPrEx>
          <w:jc w:val="center"/>
        </w:tblPrEx>
        <w:trPr>
          <w:gridAfter w:val="1"/>
          <w:wAfter w:w="37" w:type="pct"/>
          <w:jc w:val="center"/>
        </w:trPr>
        <w:tc>
          <w:tcPr>
            <w:tcW w:w="1390" w:type="pct"/>
            <w:gridSpan w:val="2"/>
          </w:tcPr>
          <w:p w14:paraId="08C4BE50" w14:textId="77777777" w:rsidR="00F1362A" w:rsidRPr="00097A86" w:rsidRDefault="00F1362A" w:rsidP="00BE20A2">
            <w:pPr>
              <w:pStyle w:val="ENoteTableText"/>
              <w:tabs>
                <w:tab w:val="center" w:leader="dot" w:pos="2268"/>
              </w:tabs>
            </w:pPr>
            <w:r w:rsidRPr="00097A86">
              <w:t>s 2.55</w:t>
            </w:r>
            <w:r w:rsidRPr="00097A86">
              <w:tab/>
            </w:r>
          </w:p>
        </w:tc>
        <w:tc>
          <w:tcPr>
            <w:tcW w:w="3573" w:type="pct"/>
            <w:gridSpan w:val="2"/>
          </w:tcPr>
          <w:p w14:paraId="7EC5BF87" w14:textId="77777777" w:rsidR="00F1362A" w:rsidRPr="00097A86" w:rsidRDefault="00F1362A" w:rsidP="00D22D3F">
            <w:pPr>
              <w:pStyle w:val="ENoteTableText"/>
            </w:pPr>
            <w:r w:rsidRPr="00097A86">
              <w:t>am 2009 No.</w:t>
            </w:r>
            <w:r>
              <w:t> </w:t>
            </w:r>
            <w:r w:rsidRPr="00097A86">
              <w:t>1</w:t>
            </w:r>
          </w:p>
        </w:tc>
      </w:tr>
      <w:tr w:rsidR="00F1362A" w:rsidRPr="00097A86" w14:paraId="2A61BA81" w14:textId="77777777" w:rsidTr="00C20CC2">
        <w:tblPrEx>
          <w:jc w:val="center"/>
        </w:tblPrEx>
        <w:trPr>
          <w:gridAfter w:val="1"/>
          <w:wAfter w:w="37" w:type="pct"/>
          <w:jc w:val="center"/>
        </w:trPr>
        <w:tc>
          <w:tcPr>
            <w:tcW w:w="1390" w:type="pct"/>
            <w:gridSpan w:val="2"/>
          </w:tcPr>
          <w:p w14:paraId="6ACC6441" w14:textId="77777777" w:rsidR="00F1362A" w:rsidRPr="00097A86" w:rsidRDefault="00F1362A" w:rsidP="00D22D3F">
            <w:pPr>
              <w:pStyle w:val="ENoteTableText"/>
            </w:pPr>
            <w:r w:rsidRPr="00097A86">
              <w:rPr>
                <w:b/>
              </w:rPr>
              <w:t>Division</w:t>
            </w:r>
            <w:r>
              <w:rPr>
                <w:b/>
              </w:rPr>
              <w:t> </w:t>
            </w:r>
            <w:r w:rsidRPr="00097A86">
              <w:rPr>
                <w:b/>
              </w:rPr>
              <w:t>2.5.2</w:t>
            </w:r>
          </w:p>
        </w:tc>
        <w:tc>
          <w:tcPr>
            <w:tcW w:w="3573" w:type="pct"/>
            <w:gridSpan w:val="2"/>
          </w:tcPr>
          <w:p w14:paraId="3E2EF45F" w14:textId="77777777" w:rsidR="00F1362A" w:rsidRPr="00097A86" w:rsidRDefault="00F1362A" w:rsidP="00D22D3F">
            <w:pPr>
              <w:pStyle w:val="ENoteTableText"/>
            </w:pPr>
          </w:p>
        </w:tc>
      </w:tr>
      <w:tr w:rsidR="00F1362A" w:rsidRPr="00097A86" w14:paraId="5A72CFC4" w14:textId="77777777" w:rsidTr="00C20CC2">
        <w:tblPrEx>
          <w:jc w:val="center"/>
        </w:tblPrEx>
        <w:trPr>
          <w:gridAfter w:val="1"/>
          <w:wAfter w:w="37" w:type="pct"/>
          <w:cantSplit/>
          <w:jc w:val="center"/>
        </w:trPr>
        <w:tc>
          <w:tcPr>
            <w:tcW w:w="1390" w:type="pct"/>
            <w:gridSpan w:val="2"/>
          </w:tcPr>
          <w:p w14:paraId="023CA01D" w14:textId="77777777" w:rsidR="00F1362A" w:rsidRPr="00097A86" w:rsidRDefault="00F1362A" w:rsidP="00657E43">
            <w:pPr>
              <w:pStyle w:val="ENoteTableText"/>
              <w:tabs>
                <w:tab w:val="center" w:leader="dot" w:pos="2268"/>
              </w:tabs>
            </w:pPr>
            <w:r w:rsidRPr="00097A86">
              <w:t>Division</w:t>
            </w:r>
            <w:r>
              <w:t> </w:t>
            </w:r>
            <w:r w:rsidRPr="00097A86">
              <w:t>2.5.2 heading</w:t>
            </w:r>
            <w:r w:rsidRPr="00097A86">
              <w:tab/>
            </w:r>
          </w:p>
        </w:tc>
        <w:tc>
          <w:tcPr>
            <w:tcW w:w="3573" w:type="pct"/>
            <w:gridSpan w:val="2"/>
          </w:tcPr>
          <w:p w14:paraId="6AD72351" w14:textId="77777777" w:rsidR="00F1362A" w:rsidRPr="00097A86" w:rsidRDefault="00F1362A" w:rsidP="00D22D3F">
            <w:pPr>
              <w:pStyle w:val="ENoteTableText"/>
            </w:pPr>
            <w:r w:rsidRPr="00097A86">
              <w:t>rs 2011 No.</w:t>
            </w:r>
            <w:r>
              <w:t> </w:t>
            </w:r>
            <w:r w:rsidRPr="00097A86">
              <w:t>1</w:t>
            </w:r>
          </w:p>
        </w:tc>
      </w:tr>
      <w:tr w:rsidR="00F1362A" w:rsidRPr="00097A86" w14:paraId="626A41AB" w14:textId="77777777" w:rsidTr="00C20CC2">
        <w:tblPrEx>
          <w:jc w:val="center"/>
        </w:tblPrEx>
        <w:trPr>
          <w:gridAfter w:val="1"/>
          <w:wAfter w:w="37" w:type="pct"/>
          <w:jc w:val="center"/>
        </w:trPr>
        <w:tc>
          <w:tcPr>
            <w:tcW w:w="1390" w:type="pct"/>
            <w:gridSpan w:val="2"/>
          </w:tcPr>
          <w:p w14:paraId="01996DFF" w14:textId="77777777" w:rsidR="00F1362A" w:rsidRPr="00097A86" w:rsidRDefault="00F1362A" w:rsidP="00BE20A2">
            <w:pPr>
              <w:pStyle w:val="ENoteTableText"/>
              <w:tabs>
                <w:tab w:val="center" w:leader="dot" w:pos="2268"/>
              </w:tabs>
            </w:pPr>
            <w:r w:rsidRPr="00097A86">
              <w:t>s 2.57</w:t>
            </w:r>
            <w:r w:rsidRPr="00097A86">
              <w:tab/>
            </w:r>
          </w:p>
        </w:tc>
        <w:tc>
          <w:tcPr>
            <w:tcW w:w="3573" w:type="pct"/>
            <w:gridSpan w:val="2"/>
          </w:tcPr>
          <w:p w14:paraId="761D704D" w14:textId="77777777" w:rsidR="00F1362A" w:rsidRPr="00097A86" w:rsidRDefault="00F1362A" w:rsidP="00D22D3F">
            <w:pPr>
              <w:pStyle w:val="ENoteTableText"/>
            </w:pPr>
            <w:r w:rsidRPr="00097A86">
              <w:t>am 2009 No.</w:t>
            </w:r>
            <w:r>
              <w:t> </w:t>
            </w:r>
            <w:r w:rsidRPr="00097A86">
              <w:t>1; 2011 No.</w:t>
            </w:r>
            <w:r>
              <w:t> </w:t>
            </w:r>
            <w:r w:rsidRPr="00097A86">
              <w:t>1</w:t>
            </w:r>
          </w:p>
        </w:tc>
      </w:tr>
      <w:tr w:rsidR="00F1362A" w:rsidRPr="00097A86" w14:paraId="5D3BF7CF" w14:textId="77777777" w:rsidTr="00C20CC2">
        <w:tblPrEx>
          <w:jc w:val="center"/>
        </w:tblPrEx>
        <w:trPr>
          <w:gridAfter w:val="1"/>
          <w:wAfter w:w="37" w:type="pct"/>
          <w:jc w:val="center"/>
        </w:trPr>
        <w:tc>
          <w:tcPr>
            <w:tcW w:w="1390" w:type="pct"/>
            <w:gridSpan w:val="2"/>
          </w:tcPr>
          <w:p w14:paraId="216620B4" w14:textId="77777777" w:rsidR="00F1362A" w:rsidRPr="00097A86" w:rsidRDefault="00F1362A" w:rsidP="00BE20A2">
            <w:pPr>
              <w:pStyle w:val="ENoteTableText"/>
              <w:tabs>
                <w:tab w:val="center" w:leader="dot" w:pos="2268"/>
              </w:tabs>
            </w:pPr>
            <w:r w:rsidRPr="00097A86">
              <w:t>s 2.58</w:t>
            </w:r>
            <w:r w:rsidRPr="00097A86">
              <w:tab/>
            </w:r>
          </w:p>
        </w:tc>
        <w:tc>
          <w:tcPr>
            <w:tcW w:w="3573" w:type="pct"/>
            <w:gridSpan w:val="2"/>
          </w:tcPr>
          <w:p w14:paraId="66015C3A" w14:textId="77777777" w:rsidR="00F1362A" w:rsidRPr="00097A86" w:rsidRDefault="00F1362A" w:rsidP="00D22D3F">
            <w:pPr>
              <w:pStyle w:val="ENoteTableText"/>
            </w:pPr>
            <w:r w:rsidRPr="00097A86">
              <w:t>am 2009 No.</w:t>
            </w:r>
            <w:r>
              <w:t> </w:t>
            </w:r>
            <w:r w:rsidRPr="00097A86">
              <w:t>1; 2011 No.</w:t>
            </w:r>
            <w:r>
              <w:t> </w:t>
            </w:r>
            <w:r w:rsidRPr="00097A86">
              <w:t>1</w:t>
            </w:r>
          </w:p>
        </w:tc>
      </w:tr>
      <w:tr w:rsidR="00F1362A" w:rsidRPr="00097A86" w14:paraId="16DDD896" w14:textId="77777777" w:rsidTr="00C20CC2">
        <w:tblPrEx>
          <w:jc w:val="center"/>
        </w:tblPrEx>
        <w:trPr>
          <w:gridAfter w:val="1"/>
          <w:wAfter w:w="37" w:type="pct"/>
          <w:jc w:val="center"/>
        </w:trPr>
        <w:tc>
          <w:tcPr>
            <w:tcW w:w="1390" w:type="pct"/>
            <w:gridSpan w:val="2"/>
          </w:tcPr>
          <w:p w14:paraId="609E98C3" w14:textId="77777777" w:rsidR="00F1362A" w:rsidRPr="00097A86" w:rsidRDefault="00F1362A" w:rsidP="00D22D3F">
            <w:pPr>
              <w:pStyle w:val="ENoteTableText"/>
            </w:pPr>
            <w:r w:rsidRPr="00097A86">
              <w:rPr>
                <w:b/>
              </w:rPr>
              <w:t>Division</w:t>
            </w:r>
            <w:r>
              <w:rPr>
                <w:b/>
              </w:rPr>
              <w:t> </w:t>
            </w:r>
            <w:r w:rsidRPr="00097A86">
              <w:rPr>
                <w:b/>
              </w:rPr>
              <w:t>2.5.3</w:t>
            </w:r>
          </w:p>
        </w:tc>
        <w:tc>
          <w:tcPr>
            <w:tcW w:w="3573" w:type="pct"/>
            <w:gridSpan w:val="2"/>
          </w:tcPr>
          <w:p w14:paraId="3F576581" w14:textId="77777777" w:rsidR="00F1362A" w:rsidRPr="00097A86" w:rsidRDefault="00F1362A" w:rsidP="00D22D3F">
            <w:pPr>
              <w:pStyle w:val="ENoteTableText"/>
            </w:pPr>
          </w:p>
        </w:tc>
      </w:tr>
      <w:tr w:rsidR="00F1362A" w:rsidRPr="00097A86" w14:paraId="375176DB" w14:textId="77777777" w:rsidTr="00C20CC2">
        <w:tblPrEx>
          <w:jc w:val="center"/>
        </w:tblPrEx>
        <w:trPr>
          <w:gridAfter w:val="1"/>
          <w:wAfter w:w="37" w:type="pct"/>
          <w:jc w:val="center"/>
        </w:trPr>
        <w:tc>
          <w:tcPr>
            <w:tcW w:w="1390" w:type="pct"/>
            <w:gridSpan w:val="2"/>
          </w:tcPr>
          <w:p w14:paraId="57CABA59" w14:textId="77777777" w:rsidR="00F1362A" w:rsidRPr="00097A86" w:rsidRDefault="00F1362A" w:rsidP="00BE20A2">
            <w:pPr>
              <w:pStyle w:val="ENoteTableText"/>
              <w:tabs>
                <w:tab w:val="center" w:leader="dot" w:pos="2268"/>
              </w:tabs>
            </w:pPr>
            <w:r w:rsidRPr="00097A86">
              <w:t>s 2.59</w:t>
            </w:r>
            <w:r w:rsidRPr="00097A86">
              <w:tab/>
            </w:r>
          </w:p>
        </w:tc>
        <w:tc>
          <w:tcPr>
            <w:tcW w:w="3573" w:type="pct"/>
            <w:gridSpan w:val="2"/>
          </w:tcPr>
          <w:p w14:paraId="175BC997" w14:textId="77777777" w:rsidR="00F1362A" w:rsidRPr="00097A86" w:rsidRDefault="00F1362A" w:rsidP="00D22D3F">
            <w:pPr>
              <w:pStyle w:val="ENoteTableText"/>
            </w:pPr>
            <w:r w:rsidRPr="00097A86">
              <w:t>am 2009 No.</w:t>
            </w:r>
            <w:r>
              <w:t> </w:t>
            </w:r>
            <w:r w:rsidRPr="00097A86">
              <w:t>1</w:t>
            </w:r>
          </w:p>
        </w:tc>
      </w:tr>
      <w:tr w:rsidR="00F1362A" w:rsidRPr="00097A86" w14:paraId="2910D227" w14:textId="77777777" w:rsidTr="00C20CC2">
        <w:tblPrEx>
          <w:jc w:val="center"/>
        </w:tblPrEx>
        <w:trPr>
          <w:gridAfter w:val="1"/>
          <w:wAfter w:w="37" w:type="pct"/>
          <w:jc w:val="center"/>
        </w:trPr>
        <w:tc>
          <w:tcPr>
            <w:tcW w:w="1390" w:type="pct"/>
            <w:gridSpan w:val="2"/>
          </w:tcPr>
          <w:p w14:paraId="4B497099" w14:textId="77777777" w:rsidR="00F1362A" w:rsidRPr="00097A86" w:rsidRDefault="00F1362A" w:rsidP="00BE20A2">
            <w:pPr>
              <w:pStyle w:val="ENoteTableText"/>
              <w:tabs>
                <w:tab w:val="center" w:leader="dot" w:pos="2268"/>
              </w:tabs>
            </w:pPr>
            <w:r w:rsidRPr="00097A86">
              <w:t>s 2.60</w:t>
            </w:r>
            <w:r w:rsidRPr="00097A86">
              <w:tab/>
            </w:r>
          </w:p>
        </w:tc>
        <w:tc>
          <w:tcPr>
            <w:tcW w:w="3573" w:type="pct"/>
            <w:gridSpan w:val="2"/>
          </w:tcPr>
          <w:p w14:paraId="5B716A88" w14:textId="77777777" w:rsidR="00F1362A" w:rsidRPr="00097A86" w:rsidRDefault="00F1362A" w:rsidP="00D22D3F">
            <w:pPr>
              <w:pStyle w:val="ENoteTableText"/>
            </w:pPr>
            <w:r w:rsidRPr="00097A86">
              <w:t>am 2009 No.</w:t>
            </w:r>
            <w:r>
              <w:t> </w:t>
            </w:r>
            <w:r w:rsidRPr="00097A86">
              <w:t>1</w:t>
            </w:r>
          </w:p>
        </w:tc>
      </w:tr>
      <w:tr w:rsidR="00F1362A" w:rsidRPr="00097A86" w14:paraId="3E728E67" w14:textId="77777777" w:rsidTr="00C20CC2">
        <w:tblPrEx>
          <w:jc w:val="center"/>
        </w:tblPrEx>
        <w:trPr>
          <w:gridAfter w:val="1"/>
          <w:wAfter w:w="37" w:type="pct"/>
          <w:jc w:val="center"/>
        </w:trPr>
        <w:tc>
          <w:tcPr>
            <w:tcW w:w="1390" w:type="pct"/>
            <w:gridSpan w:val="2"/>
          </w:tcPr>
          <w:p w14:paraId="055AE77B" w14:textId="77777777" w:rsidR="00F1362A" w:rsidRPr="00097A86" w:rsidRDefault="00F1362A" w:rsidP="00BE20A2">
            <w:pPr>
              <w:pStyle w:val="ENoteTableText"/>
              <w:tabs>
                <w:tab w:val="center" w:leader="dot" w:pos="2268"/>
              </w:tabs>
            </w:pPr>
            <w:r w:rsidRPr="00097A86">
              <w:t>s 2.62</w:t>
            </w:r>
            <w:r w:rsidRPr="00097A86">
              <w:tab/>
            </w:r>
          </w:p>
        </w:tc>
        <w:tc>
          <w:tcPr>
            <w:tcW w:w="3573" w:type="pct"/>
            <w:gridSpan w:val="2"/>
          </w:tcPr>
          <w:p w14:paraId="0B6F0DD6" w14:textId="77777777" w:rsidR="00F1362A" w:rsidRPr="00097A86" w:rsidRDefault="00F1362A" w:rsidP="00D22D3F">
            <w:pPr>
              <w:pStyle w:val="ENoteTableText"/>
            </w:pPr>
            <w:r w:rsidRPr="00097A86">
              <w:t>am 2010 No.</w:t>
            </w:r>
            <w:r>
              <w:t> </w:t>
            </w:r>
            <w:r w:rsidRPr="00097A86">
              <w:t>1</w:t>
            </w:r>
          </w:p>
        </w:tc>
      </w:tr>
      <w:tr w:rsidR="00F1362A" w:rsidRPr="00097A86" w14:paraId="71911E7D" w14:textId="77777777" w:rsidTr="00C20CC2">
        <w:tblPrEx>
          <w:jc w:val="center"/>
        </w:tblPrEx>
        <w:trPr>
          <w:gridAfter w:val="1"/>
          <w:wAfter w:w="37" w:type="pct"/>
          <w:jc w:val="center"/>
        </w:trPr>
        <w:tc>
          <w:tcPr>
            <w:tcW w:w="1390" w:type="pct"/>
            <w:gridSpan w:val="2"/>
          </w:tcPr>
          <w:p w14:paraId="4BCDE015" w14:textId="77777777" w:rsidR="00F1362A" w:rsidRPr="00097A86" w:rsidRDefault="00F1362A" w:rsidP="00BE20A2">
            <w:pPr>
              <w:pStyle w:val="ENoteTableText"/>
              <w:tabs>
                <w:tab w:val="center" w:leader="dot" w:pos="2268"/>
              </w:tabs>
            </w:pPr>
            <w:r w:rsidRPr="00097A86">
              <w:t>s 2.63</w:t>
            </w:r>
            <w:r w:rsidRPr="00097A86">
              <w:tab/>
            </w:r>
          </w:p>
        </w:tc>
        <w:tc>
          <w:tcPr>
            <w:tcW w:w="3573" w:type="pct"/>
            <w:gridSpan w:val="2"/>
          </w:tcPr>
          <w:p w14:paraId="341A573A" w14:textId="77777777" w:rsidR="00F1362A" w:rsidRPr="00097A86" w:rsidRDefault="00F1362A" w:rsidP="00D22D3F">
            <w:pPr>
              <w:pStyle w:val="ENoteTableText"/>
            </w:pPr>
            <w:r w:rsidRPr="00097A86">
              <w:t>am 2010 No.</w:t>
            </w:r>
            <w:r>
              <w:t> </w:t>
            </w:r>
            <w:r w:rsidRPr="00097A86">
              <w:t>1</w:t>
            </w:r>
          </w:p>
        </w:tc>
      </w:tr>
      <w:tr w:rsidR="00F1362A" w:rsidRPr="00097A86" w14:paraId="582BDCF2" w14:textId="77777777" w:rsidTr="00C20CC2">
        <w:tblPrEx>
          <w:jc w:val="center"/>
        </w:tblPrEx>
        <w:trPr>
          <w:gridAfter w:val="1"/>
          <w:wAfter w:w="37" w:type="pct"/>
          <w:jc w:val="center"/>
        </w:trPr>
        <w:tc>
          <w:tcPr>
            <w:tcW w:w="1390" w:type="pct"/>
            <w:gridSpan w:val="2"/>
          </w:tcPr>
          <w:p w14:paraId="674B9A1E" w14:textId="77777777" w:rsidR="00F1362A" w:rsidRPr="00097A86" w:rsidRDefault="00F1362A" w:rsidP="00D22D3F">
            <w:pPr>
              <w:pStyle w:val="ENoteTableText"/>
            </w:pPr>
            <w:r w:rsidRPr="00097A86">
              <w:rPr>
                <w:b/>
              </w:rPr>
              <w:t>Part</w:t>
            </w:r>
            <w:r>
              <w:rPr>
                <w:b/>
              </w:rPr>
              <w:t> </w:t>
            </w:r>
            <w:r w:rsidRPr="00097A86">
              <w:rPr>
                <w:b/>
              </w:rPr>
              <w:t>2.6</w:t>
            </w:r>
          </w:p>
        </w:tc>
        <w:tc>
          <w:tcPr>
            <w:tcW w:w="3573" w:type="pct"/>
            <w:gridSpan w:val="2"/>
          </w:tcPr>
          <w:p w14:paraId="5A6462B7" w14:textId="77777777" w:rsidR="00F1362A" w:rsidRPr="00097A86" w:rsidRDefault="00F1362A" w:rsidP="00D22D3F">
            <w:pPr>
              <w:pStyle w:val="ENoteTableText"/>
            </w:pPr>
          </w:p>
        </w:tc>
      </w:tr>
      <w:tr w:rsidR="00F1362A" w:rsidRPr="00097A86" w14:paraId="7D749413" w14:textId="77777777" w:rsidTr="00C20CC2">
        <w:tblPrEx>
          <w:jc w:val="center"/>
        </w:tblPrEx>
        <w:trPr>
          <w:gridAfter w:val="1"/>
          <w:wAfter w:w="37" w:type="pct"/>
          <w:jc w:val="center"/>
        </w:trPr>
        <w:tc>
          <w:tcPr>
            <w:tcW w:w="1390" w:type="pct"/>
            <w:gridSpan w:val="2"/>
          </w:tcPr>
          <w:p w14:paraId="25C82148" w14:textId="77777777" w:rsidR="00F1362A" w:rsidRPr="00097A86" w:rsidRDefault="00F1362A" w:rsidP="00BE20A2">
            <w:pPr>
              <w:pStyle w:val="ENoteTableText"/>
              <w:tabs>
                <w:tab w:val="center" w:leader="dot" w:pos="2268"/>
              </w:tabs>
            </w:pPr>
            <w:r w:rsidRPr="00097A86">
              <w:t>s 2.66</w:t>
            </w:r>
            <w:r w:rsidRPr="00097A86">
              <w:tab/>
            </w:r>
          </w:p>
        </w:tc>
        <w:tc>
          <w:tcPr>
            <w:tcW w:w="3573" w:type="pct"/>
            <w:gridSpan w:val="2"/>
          </w:tcPr>
          <w:p w14:paraId="09B19A2E" w14:textId="77777777" w:rsidR="00F1362A" w:rsidRPr="00097A86" w:rsidRDefault="00F1362A" w:rsidP="00D22D3F">
            <w:pPr>
              <w:pStyle w:val="ENoteTableText"/>
            </w:pPr>
            <w:r w:rsidRPr="00097A86">
              <w:t>am 2009 No.</w:t>
            </w:r>
            <w:r>
              <w:t> </w:t>
            </w:r>
            <w:r w:rsidRPr="00097A86">
              <w:t>1; 2011 No.</w:t>
            </w:r>
            <w:r>
              <w:t> </w:t>
            </w:r>
            <w:r w:rsidRPr="00097A86">
              <w:t>1</w:t>
            </w:r>
          </w:p>
        </w:tc>
      </w:tr>
      <w:tr w:rsidR="00F1362A" w:rsidRPr="00097A86" w14:paraId="2E58891F" w14:textId="77777777" w:rsidTr="00C20CC2">
        <w:tblPrEx>
          <w:jc w:val="center"/>
        </w:tblPrEx>
        <w:trPr>
          <w:gridAfter w:val="1"/>
          <w:wAfter w:w="37" w:type="pct"/>
          <w:jc w:val="center"/>
        </w:trPr>
        <w:tc>
          <w:tcPr>
            <w:tcW w:w="1390" w:type="pct"/>
            <w:gridSpan w:val="2"/>
          </w:tcPr>
          <w:p w14:paraId="7C619409" w14:textId="77777777" w:rsidR="00F1362A" w:rsidRPr="00097A86" w:rsidRDefault="00F1362A" w:rsidP="00BE20A2">
            <w:pPr>
              <w:pStyle w:val="ENoteTableText"/>
              <w:tabs>
                <w:tab w:val="center" w:leader="dot" w:pos="2268"/>
              </w:tabs>
            </w:pPr>
            <w:r w:rsidRPr="00097A86">
              <w:t>s 2.67</w:t>
            </w:r>
            <w:r w:rsidRPr="00097A86">
              <w:tab/>
            </w:r>
          </w:p>
        </w:tc>
        <w:tc>
          <w:tcPr>
            <w:tcW w:w="3573" w:type="pct"/>
            <w:gridSpan w:val="2"/>
          </w:tcPr>
          <w:p w14:paraId="46791647" w14:textId="77777777" w:rsidR="00F1362A" w:rsidRPr="00097A86" w:rsidRDefault="00F1362A" w:rsidP="00D22D3F">
            <w:pPr>
              <w:pStyle w:val="ENoteTableText"/>
            </w:pPr>
            <w:r w:rsidRPr="00097A86">
              <w:t>am 2009 No.</w:t>
            </w:r>
            <w:r>
              <w:t> </w:t>
            </w:r>
            <w:r w:rsidRPr="00097A86">
              <w:t>1; 2011 No.</w:t>
            </w:r>
            <w:r>
              <w:t> </w:t>
            </w:r>
            <w:r w:rsidRPr="00097A86">
              <w:t>1</w:t>
            </w:r>
          </w:p>
        </w:tc>
      </w:tr>
      <w:tr w:rsidR="00F1362A" w:rsidRPr="00097A86" w14:paraId="2EAC9A43" w14:textId="77777777" w:rsidTr="00C20CC2">
        <w:tblPrEx>
          <w:jc w:val="center"/>
        </w:tblPrEx>
        <w:trPr>
          <w:gridAfter w:val="1"/>
          <w:wAfter w:w="37" w:type="pct"/>
          <w:jc w:val="center"/>
        </w:trPr>
        <w:tc>
          <w:tcPr>
            <w:tcW w:w="1390" w:type="pct"/>
            <w:gridSpan w:val="2"/>
          </w:tcPr>
          <w:p w14:paraId="1591303F" w14:textId="77777777" w:rsidR="00F1362A" w:rsidRPr="00097A86" w:rsidRDefault="00F1362A" w:rsidP="00D22D3F">
            <w:pPr>
              <w:pStyle w:val="ENoteTableText"/>
            </w:pPr>
            <w:r w:rsidRPr="00097A86">
              <w:rPr>
                <w:b/>
              </w:rPr>
              <w:t>Part</w:t>
            </w:r>
            <w:r>
              <w:rPr>
                <w:b/>
              </w:rPr>
              <w:t> </w:t>
            </w:r>
            <w:r w:rsidRPr="00097A86">
              <w:rPr>
                <w:b/>
              </w:rPr>
              <w:t>2.7</w:t>
            </w:r>
          </w:p>
        </w:tc>
        <w:tc>
          <w:tcPr>
            <w:tcW w:w="3573" w:type="pct"/>
            <w:gridSpan w:val="2"/>
          </w:tcPr>
          <w:p w14:paraId="7DF4AD63" w14:textId="77777777" w:rsidR="00F1362A" w:rsidRPr="00097A86" w:rsidRDefault="00F1362A" w:rsidP="00D22D3F">
            <w:pPr>
              <w:pStyle w:val="ENoteTableText"/>
            </w:pPr>
          </w:p>
        </w:tc>
      </w:tr>
      <w:tr w:rsidR="00F1362A" w:rsidRPr="00097A86" w14:paraId="74ABD6DE" w14:textId="77777777" w:rsidTr="00C20CC2">
        <w:tblPrEx>
          <w:jc w:val="center"/>
        </w:tblPrEx>
        <w:trPr>
          <w:gridAfter w:val="1"/>
          <w:wAfter w:w="37" w:type="pct"/>
          <w:jc w:val="center"/>
        </w:trPr>
        <w:tc>
          <w:tcPr>
            <w:tcW w:w="1390" w:type="pct"/>
            <w:gridSpan w:val="2"/>
          </w:tcPr>
          <w:p w14:paraId="2EA6DA60" w14:textId="77777777" w:rsidR="00F1362A" w:rsidRPr="00097A86" w:rsidRDefault="00F1362A" w:rsidP="00BE20A2">
            <w:pPr>
              <w:pStyle w:val="ENoteTableText"/>
              <w:tabs>
                <w:tab w:val="center" w:leader="dot" w:pos="2268"/>
              </w:tabs>
            </w:pPr>
            <w:r w:rsidRPr="00097A86">
              <w:lastRenderedPageBreak/>
              <w:t>s 2.68</w:t>
            </w:r>
            <w:r w:rsidRPr="00097A86">
              <w:tab/>
            </w:r>
          </w:p>
        </w:tc>
        <w:tc>
          <w:tcPr>
            <w:tcW w:w="3573" w:type="pct"/>
            <w:gridSpan w:val="2"/>
          </w:tcPr>
          <w:p w14:paraId="52146D24" w14:textId="77777777" w:rsidR="00F1362A" w:rsidRPr="00097A86" w:rsidRDefault="00F1362A" w:rsidP="00D22D3F">
            <w:pPr>
              <w:pStyle w:val="ENoteTableText"/>
            </w:pPr>
            <w:r w:rsidRPr="00097A86">
              <w:t>rs 2012 No.</w:t>
            </w:r>
            <w:r>
              <w:t> </w:t>
            </w:r>
            <w:r w:rsidRPr="00097A86">
              <w:t>1</w:t>
            </w:r>
          </w:p>
        </w:tc>
      </w:tr>
      <w:tr w:rsidR="00F1362A" w:rsidRPr="00097A86" w14:paraId="2ABCA86E" w14:textId="77777777" w:rsidTr="00C20CC2">
        <w:tblPrEx>
          <w:jc w:val="center"/>
        </w:tblPrEx>
        <w:trPr>
          <w:gridAfter w:val="1"/>
          <w:wAfter w:w="37" w:type="pct"/>
          <w:jc w:val="center"/>
        </w:trPr>
        <w:tc>
          <w:tcPr>
            <w:tcW w:w="1390" w:type="pct"/>
            <w:gridSpan w:val="2"/>
          </w:tcPr>
          <w:p w14:paraId="7F5EE5DA" w14:textId="77777777" w:rsidR="00F1362A" w:rsidRPr="00097A86" w:rsidRDefault="00F1362A" w:rsidP="00BE20A2">
            <w:pPr>
              <w:pStyle w:val="ENoteTableText"/>
              <w:tabs>
                <w:tab w:val="center" w:leader="dot" w:pos="2268"/>
              </w:tabs>
            </w:pPr>
          </w:p>
        </w:tc>
        <w:tc>
          <w:tcPr>
            <w:tcW w:w="3573" w:type="pct"/>
            <w:gridSpan w:val="2"/>
          </w:tcPr>
          <w:p w14:paraId="76A4C8EA" w14:textId="77777777" w:rsidR="00F1362A" w:rsidRPr="00097A86" w:rsidRDefault="00F1362A" w:rsidP="00D22D3F">
            <w:pPr>
              <w:pStyle w:val="ENoteTableText"/>
            </w:pPr>
            <w:r w:rsidRPr="00097A86">
              <w:t>am 2013 No.</w:t>
            </w:r>
            <w:r>
              <w:t> </w:t>
            </w:r>
            <w:r w:rsidRPr="00097A86">
              <w:t>1</w:t>
            </w:r>
            <w:r>
              <w:t>; F2018L00923</w:t>
            </w:r>
          </w:p>
        </w:tc>
      </w:tr>
      <w:tr w:rsidR="00F1362A" w:rsidRPr="00097A86" w14:paraId="57914620" w14:textId="77777777" w:rsidTr="00C20CC2">
        <w:tblPrEx>
          <w:jc w:val="center"/>
        </w:tblPrEx>
        <w:trPr>
          <w:gridAfter w:val="1"/>
          <w:wAfter w:w="37" w:type="pct"/>
          <w:jc w:val="center"/>
        </w:trPr>
        <w:tc>
          <w:tcPr>
            <w:tcW w:w="1390" w:type="pct"/>
            <w:gridSpan w:val="2"/>
          </w:tcPr>
          <w:p w14:paraId="22963B56" w14:textId="77777777" w:rsidR="00F1362A" w:rsidRPr="00097A86" w:rsidRDefault="00F1362A" w:rsidP="00BE20A2">
            <w:pPr>
              <w:pStyle w:val="ENoteTableText"/>
              <w:tabs>
                <w:tab w:val="center" w:leader="dot" w:pos="2268"/>
              </w:tabs>
            </w:pPr>
            <w:r w:rsidRPr="00097A86">
              <w:t>s 2.71</w:t>
            </w:r>
            <w:r w:rsidRPr="00097A86">
              <w:tab/>
            </w:r>
          </w:p>
        </w:tc>
        <w:tc>
          <w:tcPr>
            <w:tcW w:w="3573" w:type="pct"/>
            <w:gridSpan w:val="2"/>
          </w:tcPr>
          <w:p w14:paraId="786F0EA2" w14:textId="77777777" w:rsidR="00F1362A" w:rsidRPr="00097A86" w:rsidRDefault="00F1362A" w:rsidP="00D22D3F">
            <w:pPr>
              <w:pStyle w:val="ENoteTableText"/>
            </w:pPr>
            <w:r w:rsidRPr="00097A86">
              <w:t>am 2013 No.</w:t>
            </w:r>
            <w:r>
              <w:t> </w:t>
            </w:r>
            <w:r w:rsidRPr="00097A86">
              <w:t>1</w:t>
            </w:r>
            <w:r w:rsidR="002827A0">
              <w:t>; F2018L00923</w:t>
            </w:r>
          </w:p>
        </w:tc>
      </w:tr>
      <w:tr w:rsidR="00F1362A" w:rsidRPr="00097A86" w14:paraId="744F88B7" w14:textId="77777777" w:rsidTr="00C20CC2">
        <w:tblPrEx>
          <w:jc w:val="center"/>
        </w:tblPrEx>
        <w:trPr>
          <w:gridAfter w:val="1"/>
          <w:wAfter w:w="37" w:type="pct"/>
          <w:jc w:val="center"/>
        </w:trPr>
        <w:tc>
          <w:tcPr>
            <w:tcW w:w="1390" w:type="pct"/>
            <w:gridSpan w:val="2"/>
          </w:tcPr>
          <w:p w14:paraId="7B3C1B67" w14:textId="77777777" w:rsidR="00F1362A" w:rsidRPr="00097A86" w:rsidRDefault="00F1362A" w:rsidP="00D22D3F">
            <w:pPr>
              <w:pStyle w:val="ENoteTableText"/>
            </w:pPr>
            <w:r w:rsidRPr="00097A86">
              <w:rPr>
                <w:b/>
              </w:rPr>
              <w:t>Chapter</w:t>
            </w:r>
            <w:r>
              <w:rPr>
                <w:b/>
              </w:rPr>
              <w:t> </w:t>
            </w:r>
            <w:r w:rsidRPr="00097A86">
              <w:rPr>
                <w:b/>
              </w:rPr>
              <w:t>3</w:t>
            </w:r>
          </w:p>
        </w:tc>
        <w:tc>
          <w:tcPr>
            <w:tcW w:w="3573" w:type="pct"/>
            <w:gridSpan w:val="2"/>
          </w:tcPr>
          <w:p w14:paraId="4BF44032" w14:textId="77777777" w:rsidR="00F1362A" w:rsidRPr="00097A86" w:rsidRDefault="00F1362A" w:rsidP="00D22D3F">
            <w:pPr>
              <w:pStyle w:val="ENoteTableText"/>
            </w:pPr>
          </w:p>
        </w:tc>
      </w:tr>
      <w:tr w:rsidR="00F1362A" w:rsidRPr="00097A86" w14:paraId="7E84D1FE" w14:textId="77777777" w:rsidTr="00C20CC2">
        <w:tblPrEx>
          <w:jc w:val="center"/>
        </w:tblPrEx>
        <w:trPr>
          <w:gridAfter w:val="1"/>
          <w:wAfter w:w="37" w:type="pct"/>
          <w:jc w:val="center"/>
        </w:trPr>
        <w:tc>
          <w:tcPr>
            <w:tcW w:w="1390" w:type="pct"/>
            <w:gridSpan w:val="2"/>
          </w:tcPr>
          <w:p w14:paraId="2A3CCA6B" w14:textId="77777777" w:rsidR="00F1362A" w:rsidRPr="00097A86" w:rsidRDefault="00F1362A" w:rsidP="00657E43">
            <w:pPr>
              <w:pStyle w:val="ENoteTableText"/>
              <w:tabs>
                <w:tab w:val="center" w:leader="dot" w:pos="2268"/>
              </w:tabs>
            </w:pPr>
            <w:r w:rsidRPr="00097A86">
              <w:t>Chapter</w:t>
            </w:r>
            <w:r>
              <w:t> </w:t>
            </w:r>
            <w:r w:rsidRPr="00097A86">
              <w:t>3 heading</w:t>
            </w:r>
            <w:r w:rsidRPr="00097A86">
              <w:tab/>
            </w:r>
          </w:p>
        </w:tc>
        <w:tc>
          <w:tcPr>
            <w:tcW w:w="3573" w:type="pct"/>
            <w:gridSpan w:val="2"/>
          </w:tcPr>
          <w:p w14:paraId="792E411C" w14:textId="77777777" w:rsidR="00F1362A" w:rsidRPr="00097A86" w:rsidRDefault="00F1362A" w:rsidP="00D22D3F">
            <w:pPr>
              <w:pStyle w:val="ENoteTableText"/>
            </w:pPr>
            <w:r w:rsidRPr="00097A86">
              <w:t>rs 2009 No.</w:t>
            </w:r>
            <w:r>
              <w:t> </w:t>
            </w:r>
            <w:r w:rsidRPr="00097A86">
              <w:t>1; 2010 No.</w:t>
            </w:r>
            <w:r>
              <w:t> </w:t>
            </w:r>
            <w:r w:rsidRPr="00097A86">
              <w:t>1</w:t>
            </w:r>
          </w:p>
        </w:tc>
      </w:tr>
      <w:tr w:rsidR="00F1362A" w:rsidRPr="00097A86" w14:paraId="4CE6F339" w14:textId="77777777" w:rsidTr="00C20CC2">
        <w:tblPrEx>
          <w:jc w:val="center"/>
        </w:tblPrEx>
        <w:trPr>
          <w:gridAfter w:val="1"/>
          <w:wAfter w:w="37" w:type="pct"/>
          <w:jc w:val="center"/>
        </w:trPr>
        <w:tc>
          <w:tcPr>
            <w:tcW w:w="1390" w:type="pct"/>
            <w:gridSpan w:val="2"/>
          </w:tcPr>
          <w:p w14:paraId="4879032C" w14:textId="77777777" w:rsidR="00F1362A" w:rsidRPr="00097A86" w:rsidRDefault="00F1362A" w:rsidP="00D22D3F">
            <w:pPr>
              <w:pStyle w:val="ENoteTableText"/>
            </w:pPr>
            <w:r w:rsidRPr="00097A86">
              <w:rPr>
                <w:b/>
              </w:rPr>
              <w:t>Part</w:t>
            </w:r>
            <w:r>
              <w:rPr>
                <w:b/>
              </w:rPr>
              <w:t> </w:t>
            </w:r>
            <w:r w:rsidRPr="00097A86">
              <w:rPr>
                <w:b/>
              </w:rPr>
              <w:t>3.1</w:t>
            </w:r>
          </w:p>
        </w:tc>
        <w:tc>
          <w:tcPr>
            <w:tcW w:w="3573" w:type="pct"/>
            <w:gridSpan w:val="2"/>
          </w:tcPr>
          <w:p w14:paraId="657B793D" w14:textId="77777777" w:rsidR="00F1362A" w:rsidRPr="00097A86" w:rsidRDefault="00F1362A" w:rsidP="00D22D3F">
            <w:pPr>
              <w:pStyle w:val="ENoteTableText"/>
            </w:pPr>
          </w:p>
        </w:tc>
      </w:tr>
      <w:tr w:rsidR="00F1362A" w:rsidRPr="00097A86" w14:paraId="176CEB36" w14:textId="77777777" w:rsidTr="00C20CC2">
        <w:tblPrEx>
          <w:jc w:val="center"/>
        </w:tblPrEx>
        <w:trPr>
          <w:gridAfter w:val="1"/>
          <w:wAfter w:w="37" w:type="pct"/>
          <w:jc w:val="center"/>
        </w:trPr>
        <w:tc>
          <w:tcPr>
            <w:tcW w:w="1390" w:type="pct"/>
            <w:gridSpan w:val="2"/>
          </w:tcPr>
          <w:p w14:paraId="530DB848" w14:textId="77777777" w:rsidR="00F1362A" w:rsidRPr="00097A86" w:rsidRDefault="00F1362A" w:rsidP="00BE20A2">
            <w:pPr>
              <w:pStyle w:val="ENoteTableText"/>
              <w:tabs>
                <w:tab w:val="center" w:leader="dot" w:pos="2268"/>
              </w:tabs>
            </w:pPr>
            <w:r w:rsidRPr="00097A86">
              <w:t>s 3.1</w:t>
            </w:r>
            <w:r w:rsidRPr="00097A86">
              <w:tab/>
            </w:r>
          </w:p>
        </w:tc>
        <w:tc>
          <w:tcPr>
            <w:tcW w:w="3573" w:type="pct"/>
            <w:gridSpan w:val="2"/>
          </w:tcPr>
          <w:p w14:paraId="5063958C" w14:textId="77777777" w:rsidR="00F1362A" w:rsidRPr="00097A86" w:rsidRDefault="00F1362A" w:rsidP="00D22D3F">
            <w:pPr>
              <w:pStyle w:val="ENoteTableText"/>
            </w:pPr>
            <w:r w:rsidRPr="00097A86">
              <w:t>rs 2009 No.</w:t>
            </w:r>
            <w:r>
              <w:t> </w:t>
            </w:r>
            <w:r w:rsidRPr="00097A86">
              <w:t>1; 2010 No.</w:t>
            </w:r>
            <w:r>
              <w:t> </w:t>
            </w:r>
            <w:r w:rsidRPr="00097A86">
              <w:t>1</w:t>
            </w:r>
          </w:p>
        </w:tc>
      </w:tr>
      <w:tr w:rsidR="00F1362A" w:rsidRPr="00097A86" w14:paraId="040F03B7" w14:textId="77777777" w:rsidTr="00C20CC2">
        <w:tblPrEx>
          <w:jc w:val="center"/>
        </w:tblPrEx>
        <w:trPr>
          <w:gridAfter w:val="1"/>
          <w:wAfter w:w="37" w:type="pct"/>
          <w:jc w:val="center"/>
        </w:trPr>
        <w:tc>
          <w:tcPr>
            <w:tcW w:w="1390" w:type="pct"/>
            <w:gridSpan w:val="2"/>
          </w:tcPr>
          <w:p w14:paraId="488837CE" w14:textId="77777777" w:rsidR="00F1362A" w:rsidRPr="00097A86" w:rsidRDefault="00F1362A" w:rsidP="00D22D3F">
            <w:pPr>
              <w:pStyle w:val="ENoteTableText"/>
            </w:pPr>
            <w:r w:rsidRPr="00097A86">
              <w:rPr>
                <w:b/>
              </w:rPr>
              <w:t>Part</w:t>
            </w:r>
            <w:r>
              <w:rPr>
                <w:b/>
              </w:rPr>
              <w:t> </w:t>
            </w:r>
            <w:r w:rsidRPr="00097A86">
              <w:rPr>
                <w:b/>
              </w:rPr>
              <w:t>3.2</w:t>
            </w:r>
          </w:p>
        </w:tc>
        <w:tc>
          <w:tcPr>
            <w:tcW w:w="3573" w:type="pct"/>
            <w:gridSpan w:val="2"/>
          </w:tcPr>
          <w:p w14:paraId="2CD1B4BA" w14:textId="77777777" w:rsidR="00F1362A" w:rsidRPr="00097A86" w:rsidRDefault="00F1362A" w:rsidP="00D22D3F">
            <w:pPr>
              <w:pStyle w:val="ENoteTableText"/>
            </w:pPr>
          </w:p>
        </w:tc>
      </w:tr>
      <w:tr w:rsidR="00F1362A" w:rsidRPr="00097A86" w14:paraId="77BE6119" w14:textId="77777777" w:rsidTr="00C20CC2">
        <w:tblPrEx>
          <w:jc w:val="center"/>
        </w:tblPrEx>
        <w:trPr>
          <w:gridAfter w:val="1"/>
          <w:wAfter w:w="37" w:type="pct"/>
          <w:jc w:val="center"/>
        </w:trPr>
        <w:tc>
          <w:tcPr>
            <w:tcW w:w="1390" w:type="pct"/>
            <w:gridSpan w:val="2"/>
          </w:tcPr>
          <w:p w14:paraId="4F0E232D" w14:textId="77777777" w:rsidR="00F1362A" w:rsidRPr="00097A86" w:rsidRDefault="00F1362A" w:rsidP="00657E43">
            <w:pPr>
              <w:pStyle w:val="ENoteTableText"/>
              <w:tabs>
                <w:tab w:val="center" w:leader="dot" w:pos="2268"/>
              </w:tabs>
            </w:pPr>
            <w:r w:rsidRPr="00097A86">
              <w:t>Part</w:t>
            </w:r>
            <w:r>
              <w:t> </w:t>
            </w:r>
            <w:r w:rsidRPr="00097A86">
              <w:t>3.2 heading</w:t>
            </w:r>
            <w:r w:rsidRPr="00097A86">
              <w:tab/>
            </w:r>
          </w:p>
        </w:tc>
        <w:tc>
          <w:tcPr>
            <w:tcW w:w="3573" w:type="pct"/>
            <w:gridSpan w:val="2"/>
          </w:tcPr>
          <w:p w14:paraId="6C6848D1" w14:textId="77777777" w:rsidR="00F1362A" w:rsidRPr="00097A86" w:rsidRDefault="00F1362A" w:rsidP="00D22D3F">
            <w:pPr>
              <w:pStyle w:val="ENoteTableText"/>
            </w:pPr>
            <w:r w:rsidRPr="00097A86">
              <w:t>rs 2009 No.</w:t>
            </w:r>
            <w:r>
              <w:t> </w:t>
            </w:r>
            <w:r w:rsidRPr="00097A86">
              <w:t>1</w:t>
            </w:r>
          </w:p>
        </w:tc>
      </w:tr>
      <w:tr w:rsidR="00F1362A" w:rsidRPr="00097A86" w14:paraId="523B0C48" w14:textId="77777777" w:rsidTr="00C20CC2">
        <w:tblPrEx>
          <w:jc w:val="center"/>
        </w:tblPrEx>
        <w:trPr>
          <w:gridAfter w:val="1"/>
          <w:wAfter w:w="37" w:type="pct"/>
          <w:jc w:val="center"/>
        </w:trPr>
        <w:tc>
          <w:tcPr>
            <w:tcW w:w="1390" w:type="pct"/>
            <w:gridSpan w:val="2"/>
          </w:tcPr>
          <w:p w14:paraId="5DA000EE" w14:textId="77777777" w:rsidR="00F1362A" w:rsidRPr="00097A86" w:rsidRDefault="00F1362A" w:rsidP="00D22D3F">
            <w:pPr>
              <w:pStyle w:val="ENoteTableText"/>
            </w:pPr>
            <w:r w:rsidRPr="00097A86">
              <w:rPr>
                <w:b/>
              </w:rPr>
              <w:t>Division</w:t>
            </w:r>
            <w:r>
              <w:rPr>
                <w:b/>
              </w:rPr>
              <w:t> </w:t>
            </w:r>
            <w:r w:rsidRPr="00097A86">
              <w:rPr>
                <w:b/>
              </w:rPr>
              <w:t>3.2.1</w:t>
            </w:r>
          </w:p>
        </w:tc>
        <w:tc>
          <w:tcPr>
            <w:tcW w:w="3573" w:type="pct"/>
            <w:gridSpan w:val="2"/>
          </w:tcPr>
          <w:p w14:paraId="5E50863F" w14:textId="77777777" w:rsidR="00F1362A" w:rsidRPr="00097A86" w:rsidRDefault="00F1362A" w:rsidP="00D22D3F">
            <w:pPr>
              <w:pStyle w:val="ENoteTableText"/>
            </w:pPr>
          </w:p>
        </w:tc>
      </w:tr>
      <w:tr w:rsidR="00F1362A" w:rsidRPr="00097A86" w14:paraId="19C12C28" w14:textId="77777777" w:rsidTr="00C20CC2">
        <w:tblPrEx>
          <w:jc w:val="center"/>
        </w:tblPrEx>
        <w:trPr>
          <w:gridAfter w:val="1"/>
          <w:wAfter w:w="37" w:type="pct"/>
          <w:jc w:val="center"/>
        </w:trPr>
        <w:tc>
          <w:tcPr>
            <w:tcW w:w="1390" w:type="pct"/>
            <w:gridSpan w:val="2"/>
          </w:tcPr>
          <w:p w14:paraId="3E53077D" w14:textId="77777777" w:rsidR="00F1362A" w:rsidRPr="00097A86" w:rsidRDefault="00F1362A" w:rsidP="00BE20A2">
            <w:pPr>
              <w:pStyle w:val="ENoteTableText"/>
              <w:tabs>
                <w:tab w:val="center" w:leader="dot" w:pos="2268"/>
              </w:tabs>
            </w:pPr>
            <w:r w:rsidRPr="00097A86">
              <w:t>s 3.2</w:t>
            </w:r>
            <w:r w:rsidRPr="00097A86">
              <w:tab/>
            </w:r>
          </w:p>
        </w:tc>
        <w:tc>
          <w:tcPr>
            <w:tcW w:w="3573" w:type="pct"/>
            <w:gridSpan w:val="2"/>
          </w:tcPr>
          <w:p w14:paraId="12531E61" w14:textId="77777777" w:rsidR="00F1362A" w:rsidRPr="00097A86" w:rsidRDefault="00F1362A" w:rsidP="00D22D3F">
            <w:pPr>
              <w:pStyle w:val="ENoteTableText"/>
            </w:pPr>
            <w:r w:rsidRPr="00097A86">
              <w:t>rs 2009 No.</w:t>
            </w:r>
            <w:r>
              <w:t> </w:t>
            </w:r>
            <w:r w:rsidRPr="00097A86">
              <w:t>1</w:t>
            </w:r>
          </w:p>
        </w:tc>
      </w:tr>
      <w:tr w:rsidR="00F1362A" w:rsidRPr="00097A86" w14:paraId="0A765ABA" w14:textId="77777777" w:rsidTr="00C20CC2">
        <w:tblPrEx>
          <w:jc w:val="center"/>
        </w:tblPrEx>
        <w:trPr>
          <w:gridAfter w:val="1"/>
          <w:wAfter w:w="37" w:type="pct"/>
          <w:jc w:val="center"/>
        </w:trPr>
        <w:tc>
          <w:tcPr>
            <w:tcW w:w="1390" w:type="pct"/>
            <w:gridSpan w:val="2"/>
          </w:tcPr>
          <w:p w14:paraId="22C7C7DC" w14:textId="77777777" w:rsidR="00F1362A" w:rsidRPr="00097A86" w:rsidRDefault="00F1362A" w:rsidP="00D22D3F">
            <w:pPr>
              <w:pStyle w:val="ENoteTableText"/>
            </w:pPr>
            <w:r w:rsidRPr="00097A86">
              <w:rPr>
                <w:b/>
              </w:rPr>
              <w:t>Division</w:t>
            </w:r>
            <w:r>
              <w:rPr>
                <w:b/>
              </w:rPr>
              <w:t> </w:t>
            </w:r>
            <w:r w:rsidRPr="00097A86">
              <w:rPr>
                <w:b/>
              </w:rPr>
              <w:t>3.2.2</w:t>
            </w:r>
          </w:p>
        </w:tc>
        <w:tc>
          <w:tcPr>
            <w:tcW w:w="3573" w:type="pct"/>
            <w:gridSpan w:val="2"/>
          </w:tcPr>
          <w:p w14:paraId="654B07C7" w14:textId="77777777" w:rsidR="00F1362A" w:rsidRPr="00097A86" w:rsidRDefault="00F1362A" w:rsidP="00D22D3F">
            <w:pPr>
              <w:pStyle w:val="ENoteTableText"/>
            </w:pPr>
          </w:p>
        </w:tc>
      </w:tr>
      <w:tr w:rsidR="00F1362A" w:rsidRPr="00097A86" w14:paraId="0D2DAF95" w14:textId="77777777" w:rsidTr="00C20CC2">
        <w:tblPrEx>
          <w:jc w:val="center"/>
        </w:tblPrEx>
        <w:trPr>
          <w:gridAfter w:val="1"/>
          <w:wAfter w:w="37" w:type="pct"/>
          <w:jc w:val="center"/>
        </w:trPr>
        <w:tc>
          <w:tcPr>
            <w:tcW w:w="1390" w:type="pct"/>
            <w:gridSpan w:val="2"/>
          </w:tcPr>
          <w:p w14:paraId="79834797" w14:textId="77777777" w:rsidR="00F1362A" w:rsidRPr="00097A86" w:rsidRDefault="00F1362A" w:rsidP="00D22D3F">
            <w:pPr>
              <w:pStyle w:val="ENoteTableText"/>
            </w:pPr>
            <w:r w:rsidRPr="00097A86">
              <w:rPr>
                <w:b/>
              </w:rPr>
              <w:t>Subdivision</w:t>
            </w:r>
            <w:r>
              <w:rPr>
                <w:b/>
              </w:rPr>
              <w:t> </w:t>
            </w:r>
            <w:r w:rsidRPr="00097A86">
              <w:rPr>
                <w:b/>
              </w:rPr>
              <w:t>3.2.2.1</w:t>
            </w:r>
          </w:p>
        </w:tc>
        <w:tc>
          <w:tcPr>
            <w:tcW w:w="3573" w:type="pct"/>
            <w:gridSpan w:val="2"/>
          </w:tcPr>
          <w:p w14:paraId="3C5E6AA2" w14:textId="77777777" w:rsidR="00F1362A" w:rsidRPr="00097A86" w:rsidRDefault="00F1362A" w:rsidP="00D22D3F">
            <w:pPr>
              <w:pStyle w:val="ENoteTableText"/>
            </w:pPr>
          </w:p>
        </w:tc>
      </w:tr>
      <w:tr w:rsidR="00F1362A" w:rsidRPr="00097A86" w14:paraId="5A5493EF" w14:textId="77777777" w:rsidTr="00C20CC2">
        <w:tblPrEx>
          <w:jc w:val="center"/>
        </w:tblPrEx>
        <w:trPr>
          <w:gridAfter w:val="1"/>
          <w:wAfter w:w="37" w:type="pct"/>
          <w:jc w:val="center"/>
        </w:trPr>
        <w:tc>
          <w:tcPr>
            <w:tcW w:w="1390" w:type="pct"/>
            <w:gridSpan w:val="2"/>
          </w:tcPr>
          <w:p w14:paraId="2CB59BBB" w14:textId="77777777" w:rsidR="00F1362A" w:rsidRPr="00097A86" w:rsidRDefault="00F1362A" w:rsidP="00BE20A2">
            <w:pPr>
              <w:pStyle w:val="ENoteTableText"/>
              <w:tabs>
                <w:tab w:val="center" w:leader="dot" w:pos="2268"/>
              </w:tabs>
            </w:pPr>
            <w:r w:rsidRPr="00097A86">
              <w:t>s 3.3</w:t>
            </w:r>
            <w:r w:rsidRPr="00097A86">
              <w:tab/>
            </w:r>
          </w:p>
        </w:tc>
        <w:tc>
          <w:tcPr>
            <w:tcW w:w="3573" w:type="pct"/>
            <w:gridSpan w:val="2"/>
          </w:tcPr>
          <w:p w14:paraId="4E241C0A" w14:textId="77777777" w:rsidR="00F1362A" w:rsidRPr="00097A86" w:rsidRDefault="00F1362A" w:rsidP="00D22D3F">
            <w:pPr>
              <w:pStyle w:val="ENoteTableText"/>
            </w:pPr>
            <w:r w:rsidRPr="00097A86">
              <w:t>am 2009 No.</w:t>
            </w:r>
            <w:r>
              <w:t> </w:t>
            </w:r>
            <w:r w:rsidRPr="00097A86">
              <w:t>1</w:t>
            </w:r>
          </w:p>
        </w:tc>
      </w:tr>
      <w:tr w:rsidR="00F1362A" w:rsidRPr="00097A86" w14:paraId="4D5DD63F" w14:textId="77777777" w:rsidTr="00C20CC2">
        <w:tblPrEx>
          <w:jc w:val="center"/>
        </w:tblPrEx>
        <w:trPr>
          <w:gridAfter w:val="1"/>
          <w:wAfter w:w="37" w:type="pct"/>
          <w:jc w:val="center"/>
        </w:trPr>
        <w:tc>
          <w:tcPr>
            <w:tcW w:w="1390" w:type="pct"/>
            <w:gridSpan w:val="2"/>
          </w:tcPr>
          <w:p w14:paraId="79BC0BAA" w14:textId="77777777" w:rsidR="00F1362A" w:rsidRPr="00097A86" w:rsidRDefault="00F1362A" w:rsidP="00BE20A2">
            <w:pPr>
              <w:pStyle w:val="ENoteTableText"/>
              <w:tabs>
                <w:tab w:val="center" w:leader="dot" w:pos="2268"/>
              </w:tabs>
            </w:pPr>
            <w:r w:rsidRPr="00097A86">
              <w:t>s 3.4</w:t>
            </w:r>
            <w:r w:rsidRPr="00097A86">
              <w:tab/>
            </w:r>
          </w:p>
        </w:tc>
        <w:tc>
          <w:tcPr>
            <w:tcW w:w="3573" w:type="pct"/>
            <w:gridSpan w:val="2"/>
          </w:tcPr>
          <w:p w14:paraId="3E1882C7" w14:textId="77777777" w:rsidR="00F1362A" w:rsidRPr="00097A86" w:rsidRDefault="00F1362A" w:rsidP="00D22D3F">
            <w:pPr>
              <w:pStyle w:val="ENoteTableText"/>
            </w:pPr>
            <w:r w:rsidRPr="00097A86">
              <w:t>am 2009 No.</w:t>
            </w:r>
            <w:r>
              <w:t> </w:t>
            </w:r>
            <w:r w:rsidRPr="00097A86">
              <w:t>1; 2013 No.</w:t>
            </w:r>
            <w:r>
              <w:t> </w:t>
            </w:r>
            <w:r w:rsidRPr="00097A86">
              <w:t>1</w:t>
            </w:r>
          </w:p>
        </w:tc>
      </w:tr>
      <w:tr w:rsidR="00F1362A" w:rsidRPr="00097A86" w14:paraId="3FA0DF47" w14:textId="77777777" w:rsidTr="00C20CC2">
        <w:tblPrEx>
          <w:jc w:val="center"/>
        </w:tblPrEx>
        <w:trPr>
          <w:gridAfter w:val="1"/>
          <w:wAfter w:w="37" w:type="pct"/>
          <w:jc w:val="center"/>
        </w:trPr>
        <w:tc>
          <w:tcPr>
            <w:tcW w:w="1390" w:type="pct"/>
            <w:gridSpan w:val="2"/>
          </w:tcPr>
          <w:p w14:paraId="23F11371" w14:textId="77777777" w:rsidR="00F1362A" w:rsidRPr="00097A86" w:rsidRDefault="00F1362A" w:rsidP="00BE20A2">
            <w:pPr>
              <w:pStyle w:val="ENoteTableText"/>
              <w:tabs>
                <w:tab w:val="center" w:leader="dot" w:pos="2268"/>
              </w:tabs>
            </w:pPr>
            <w:r w:rsidRPr="00097A86">
              <w:t>s 3.5</w:t>
            </w:r>
            <w:r w:rsidRPr="00097A86">
              <w:tab/>
            </w:r>
          </w:p>
        </w:tc>
        <w:tc>
          <w:tcPr>
            <w:tcW w:w="3573" w:type="pct"/>
            <w:gridSpan w:val="2"/>
          </w:tcPr>
          <w:p w14:paraId="7283A6BF" w14:textId="77777777" w:rsidR="00F1362A" w:rsidRPr="00097A86" w:rsidRDefault="00F1362A" w:rsidP="00D22D3F">
            <w:pPr>
              <w:pStyle w:val="ENoteTableText"/>
            </w:pPr>
            <w:r w:rsidRPr="00097A86">
              <w:t>am 2015 No 1</w:t>
            </w:r>
          </w:p>
        </w:tc>
      </w:tr>
      <w:tr w:rsidR="00F1362A" w:rsidRPr="00097A86" w14:paraId="3F7500D2" w14:textId="77777777" w:rsidTr="00C20CC2">
        <w:tblPrEx>
          <w:jc w:val="center"/>
        </w:tblPrEx>
        <w:trPr>
          <w:gridAfter w:val="1"/>
          <w:wAfter w:w="37" w:type="pct"/>
          <w:jc w:val="center"/>
        </w:trPr>
        <w:tc>
          <w:tcPr>
            <w:tcW w:w="1390" w:type="pct"/>
            <w:gridSpan w:val="2"/>
          </w:tcPr>
          <w:p w14:paraId="19A2843B" w14:textId="77777777" w:rsidR="00F1362A" w:rsidRPr="00097A86" w:rsidRDefault="00F1362A" w:rsidP="00D22D3F">
            <w:pPr>
              <w:pStyle w:val="ENoteTableText"/>
            </w:pPr>
            <w:r w:rsidRPr="00097A86">
              <w:rPr>
                <w:b/>
              </w:rPr>
              <w:t>Subdivision</w:t>
            </w:r>
            <w:r>
              <w:rPr>
                <w:b/>
              </w:rPr>
              <w:t> </w:t>
            </w:r>
            <w:r w:rsidRPr="00097A86">
              <w:rPr>
                <w:b/>
              </w:rPr>
              <w:t>3.2.2.2</w:t>
            </w:r>
          </w:p>
        </w:tc>
        <w:tc>
          <w:tcPr>
            <w:tcW w:w="3573" w:type="pct"/>
            <w:gridSpan w:val="2"/>
          </w:tcPr>
          <w:p w14:paraId="0AB79252" w14:textId="77777777" w:rsidR="00F1362A" w:rsidRPr="00097A86" w:rsidRDefault="00F1362A" w:rsidP="00D22D3F">
            <w:pPr>
              <w:pStyle w:val="ENoteTableText"/>
            </w:pPr>
          </w:p>
        </w:tc>
      </w:tr>
      <w:tr w:rsidR="00F1362A" w:rsidRPr="00097A86" w14:paraId="128C8E7E" w14:textId="77777777" w:rsidTr="00C20CC2">
        <w:tblPrEx>
          <w:jc w:val="center"/>
        </w:tblPrEx>
        <w:trPr>
          <w:gridAfter w:val="1"/>
          <w:wAfter w:w="37" w:type="pct"/>
          <w:jc w:val="center"/>
        </w:trPr>
        <w:tc>
          <w:tcPr>
            <w:tcW w:w="1390" w:type="pct"/>
            <w:gridSpan w:val="2"/>
          </w:tcPr>
          <w:p w14:paraId="06AD5880" w14:textId="77777777" w:rsidR="00F1362A" w:rsidRPr="00097A86" w:rsidRDefault="00F1362A" w:rsidP="00BE20A2">
            <w:pPr>
              <w:pStyle w:val="ENoteTableText"/>
              <w:tabs>
                <w:tab w:val="center" w:leader="dot" w:pos="2268"/>
              </w:tabs>
            </w:pPr>
            <w:r w:rsidRPr="00097A86">
              <w:t>s 3.6</w:t>
            </w:r>
            <w:r w:rsidRPr="00097A86">
              <w:tab/>
            </w:r>
          </w:p>
        </w:tc>
        <w:tc>
          <w:tcPr>
            <w:tcW w:w="3573" w:type="pct"/>
            <w:gridSpan w:val="2"/>
          </w:tcPr>
          <w:p w14:paraId="4328E2AB" w14:textId="77777777" w:rsidR="00F1362A" w:rsidRPr="00097A86" w:rsidRDefault="00F1362A" w:rsidP="00D22D3F">
            <w:pPr>
              <w:pStyle w:val="ENoteTableText"/>
            </w:pPr>
            <w:r w:rsidRPr="00097A86">
              <w:t>am 2011 No.</w:t>
            </w:r>
            <w:r>
              <w:t> </w:t>
            </w:r>
            <w:r w:rsidRPr="00097A86">
              <w:t>1; 2014 No 1; 2015 No 2</w:t>
            </w:r>
          </w:p>
        </w:tc>
      </w:tr>
      <w:tr w:rsidR="00F1362A" w:rsidRPr="00097A86" w14:paraId="1183709B" w14:textId="77777777" w:rsidTr="00C20CC2">
        <w:tblPrEx>
          <w:jc w:val="center"/>
        </w:tblPrEx>
        <w:trPr>
          <w:gridAfter w:val="1"/>
          <w:wAfter w:w="37" w:type="pct"/>
          <w:jc w:val="center"/>
        </w:trPr>
        <w:tc>
          <w:tcPr>
            <w:tcW w:w="1390" w:type="pct"/>
            <w:gridSpan w:val="2"/>
          </w:tcPr>
          <w:p w14:paraId="35433F7B" w14:textId="77777777" w:rsidR="00F1362A" w:rsidRPr="00097A86" w:rsidRDefault="00F1362A" w:rsidP="00BE20A2">
            <w:pPr>
              <w:pStyle w:val="ENoteTableText"/>
              <w:tabs>
                <w:tab w:val="center" w:leader="dot" w:pos="2268"/>
              </w:tabs>
            </w:pPr>
            <w:r w:rsidRPr="00097A86">
              <w:t>s 3.13</w:t>
            </w:r>
            <w:r w:rsidRPr="00097A86">
              <w:tab/>
            </w:r>
          </w:p>
        </w:tc>
        <w:tc>
          <w:tcPr>
            <w:tcW w:w="3573" w:type="pct"/>
            <w:gridSpan w:val="2"/>
          </w:tcPr>
          <w:p w14:paraId="6FE72500" w14:textId="77777777" w:rsidR="00F1362A" w:rsidRPr="00097A86" w:rsidRDefault="00F1362A" w:rsidP="00D22D3F">
            <w:pPr>
              <w:pStyle w:val="ENoteTableText"/>
            </w:pPr>
            <w:r w:rsidRPr="00097A86">
              <w:t>am 2015 No 2</w:t>
            </w:r>
          </w:p>
        </w:tc>
      </w:tr>
      <w:tr w:rsidR="00F1362A" w:rsidRPr="00097A86" w14:paraId="6FEEFA08" w14:textId="77777777" w:rsidTr="00C20CC2">
        <w:tblPrEx>
          <w:jc w:val="center"/>
        </w:tblPrEx>
        <w:trPr>
          <w:gridAfter w:val="1"/>
          <w:wAfter w:w="37" w:type="pct"/>
          <w:jc w:val="center"/>
        </w:trPr>
        <w:tc>
          <w:tcPr>
            <w:tcW w:w="1390" w:type="pct"/>
            <w:gridSpan w:val="2"/>
          </w:tcPr>
          <w:p w14:paraId="7A83AAAB" w14:textId="77777777" w:rsidR="00F1362A" w:rsidRPr="00097A86" w:rsidRDefault="00F1362A" w:rsidP="00D22D3F">
            <w:pPr>
              <w:pStyle w:val="ENoteTableText"/>
            </w:pPr>
            <w:r w:rsidRPr="00097A86">
              <w:rPr>
                <w:b/>
              </w:rPr>
              <w:t>Subdivision</w:t>
            </w:r>
            <w:r>
              <w:rPr>
                <w:b/>
              </w:rPr>
              <w:t> </w:t>
            </w:r>
            <w:r w:rsidRPr="00097A86">
              <w:rPr>
                <w:b/>
              </w:rPr>
              <w:t>3.2.2.3</w:t>
            </w:r>
          </w:p>
        </w:tc>
        <w:tc>
          <w:tcPr>
            <w:tcW w:w="3573" w:type="pct"/>
            <w:gridSpan w:val="2"/>
          </w:tcPr>
          <w:p w14:paraId="28376373" w14:textId="77777777" w:rsidR="00F1362A" w:rsidRPr="00097A86" w:rsidRDefault="00F1362A" w:rsidP="00D22D3F">
            <w:pPr>
              <w:pStyle w:val="ENoteTableText"/>
            </w:pPr>
          </w:p>
        </w:tc>
      </w:tr>
      <w:tr w:rsidR="00F1362A" w:rsidRPr="00097A86" w14:paraId="6405F824" w14:textId="77777777" w:rsidTr="00C20CC2">
        <w:tblPrEx>
          <w:jc w:val="center"/>
        </w:tblPrEx>
        <w:trPr>
          <w:gridAfter w:val="1"/>
          <w:wAfter w:w="37" w:type="pct"/>
          <w:jc w:val="center"/>
        </w:trPr>
        <w:tc>
          <w:tcPr>
            <w:tcW w:w="1390" w:type="pct"/>
            <w:gridSpan w:val="2"/>
          </w:tcPr>
          <w:p w14:paraId="3DFAFB25" w14:textId="77777777" w:rsidR="00F1362A" w:rsidRPr="00097A86" w:rsidRDefault="00F1362A" w:rsidP="00BE20A2">
            <w:pPr>
              <w:pStyle w:val="ENoteTableText"/>
              <w:tabs>
                <w:tab w:val="center" w:leader="dot" w:pos="2268"/>
              </w:tabs>
            </w:pPr>
            <w:r w:rsidRPr="00097A86">
              <w:t>s 3.14</w:t>
            </w:r>
            <w:r w:rsidRPr="00097A86">
              <w:tab/>
            </w:r>
          </w:p>
        </w:tc>
        <w:tc>
          <w:tcPr>
            <w:tcW w:w="3573" w:type="pct"/>
            <w:gridSpan w:val="2"/>
          </w:tcPr>
          <w:p w14:paraId="60818631" w14:textId="77777777" w:rsidR="00F1362A" w:rsidRPr="00097A86" w:rsidRDefault="00F1362A" w:rsidP="00D22D3F">
            <w:pPr>
              <w:pStyle w:val="ENoteTableText"/>
            </w:pPr>
            <w:r w:rsidRPr="00097A86">
              <w:t>am 2009 No.</w:t>
            </w:r>
            <w:r>
              <w:t> </w:t>
            </w:r>
            <w:r w:rsidRPr="00097A86">
              <w:t>1; 2015 No 1</w:t>
            </w:r>
          </w:p>
        </w:tc>
      </w:tr>
      <w:tr w:rsidR="00F1362A" w:rsidRPr="00097A86" w14:paraId="1BA92C1C" w14:textId="77777777" w:rsidTr="00C20CC2">
        <w:tblPrEx>
          <w:jc w:val="center"/>
        </w:tblPrEx>
        <w:trPr>
          <w:gridAfter w:val="1"/>
          <w:wAfter w:w="37" w:type="pct"/>
          <w:jc w:val="center"/>
        </w:trPr>
        <w:tc>
          <w:tcPr>
            <w:tcW w:w="1390" w:type="pct"/>
            <w:gridSpan w:val="2"/>
          </w:tcPr>
          <w:p w14:paraId="540D5DF6" w14:textId="77777777" w:rsidR="00F1362A" w:rsidRPr="00097A86" w:rsidRDefault="00F1362A" w:rsidP="006D1F60">
            <w:pPr>
              <w:pStyle w:val="ENoteTableText"/>
              <w:tabs>
                <w:tab w:val="left" w:leader="dot" w:pos="2268"/>
              </w:tabs>
            </w:pPr>
            <w:r w:rsidRPr="00097A86">
              <w:t>s 3.15</w:t>
            </w:r>
            <w:r w:rsidRPr="00097A86">
              <w:tab/>
            </w:r>
          </w:p>
        </w:tc>
        <w:tc>
          <w:tcPr>
            <w:tcW w:w="3573" w:type="pct"/>
            <w:gridSpan w:val="2"/>
          </w:tcPr>
          <w:p w14:paraId="1FDA7AE3" w14:textId="77777777" w:rsidR="00F1362A" w:rsidRPr="00097A86" w:rsidRDefault="00F1362A" w:rsidP="00DF7928">
            <w:pPr>
              <w:pStyle w:val="ENoteTableText"/>
            </w:pPr>
            <w:r w:rsidRPr="00097A86">
              <w:t>rs 2011 No.</w:t>
            </w:r>
            <w:r>
              <w:t> </w:t>
            </w:r>
            <w:r w:rsidRPr="00097A86">
              <w:t>1; 2013 No.</w:t>
            </w:r>
            <w:r>
              <w:t> </w:t>
            </w:r>
            <w:r w:rsidRPr="00097A86">
              <w:t>1</w:t>
            </w:r>
          </w:p>
        </w:tc>
      </w:tr>
      <w:tr w:rsidR="00F1362A" w:rsidRPr="00097A86" w14:paraId="4DD091C5" w14:textId="77777777" w:rsidTr="00C20CC2">
        <w:tblPrEx>
          <w:jc w:val="center"/>
        </w:tblPrEx>
        <w:trPr>
          <w:gridAfter w:val="1"/>
          <w:wAfter w:w="37" w:type="pct"/>
          <w:jc w:val="center"/>
        </w:trPr>
        <w:tc>
          <w:tcPr>
            <w:tcW w:w="1390" w:type="pct"/>
            <w:gridSpan w:val="2"/>
          </w:tcPr>
          <w:p w14:paraId="440DF940" w14:textId="77777777" w:rsidR="00F1362A" w:rsidRPr="00097A86" w:rsidRDefault="00F1362A" w:rsidP="006D1F60">
            <w:pPr>
              <w:pStyle w:val="ENoteTableText"/>
              <w:tabs>
                <w:tab w:val="left" w:leader="dot" w:pos="2268"/>
              </w:tabs>
            </w:pPr>
          </w:p>
        </w:tc>
        <w:tc>
          <w:tcPr>
            <w:tcW w:w="3573" w:type="pct"/>
            <w:gridSpan w:val="2"/>
          </w:tcPr>
          <w:p w14:paraId="671FE63D" w14:textId="77777777" w:rsidR="00F1362A" w:rsidRPr="00097A86" w:rsidRDefault="00F1362A" w:rsidP="00D22D3F">
            <w:pPr>
              <w:pStyle w:val="ENoteTableText"/>
            </w:pPr>
            <w:r w:rsidRPr="00097A86">
              <w:t>am 2015 No 1</w:t>
            </w:r>
          </w:p>
        </w:tc>
      </w:tr>
      <w:tr w:rsidR="00F1362A" w:rsidRPr="00097A86" w14:paraId="2A941737" w14:textId="77777777" w:rsidTr="00C20CC2">
        <w:tblPrEx>
          <w:jc w:val="center"/>
        </w:tblPrEx>
        <w:trPr>
          <w:gridAfter w:val="1"/>
          <w:wAfter w:w="37" w:type="pct"/>
          <w:jc w:val="center"/>
        </w:trPr>
        <w:tc>
          <w:tcPr>
            <w:tcW w:w="1390" w:type="pct"/>
            <w:gridSpan w:val="2"/>
          </w:tcPr>
          <w:p w14:paraId="557503B6" w14:textId="77777777" w:rsidR="00F1362A" w:rsidRPr="00097A86" w:rsidRDefault="00F1362A" w:rsidP="006D1F60">
            <w:pPr>
              <w:pStyle w:val="ENoteTableText"/>
              <w:tabs>
                <w:tab w:val="left" w:leader="dot" w:pos="2268"/>
              </w:tabs>
            </w:pPr>
            <w:r w:rsidRPr="00097A86">
              <w:t>s 3.15A</w:t>
            </w:r>
            <w:r w:rsidRPr="00097A86">
              <w:tab/>
            </w:r>
          </w:p>
        </w:tc>
        <w:tc>
          <w:tcPr>
            <w:tcW w:w="3573" w:type="pct"/>
            <w:gridSpan w:val="2"/>
          </w:tcPr>
          <w:p w14:paraId="051C5275" w14:textId="77777777" w:rsidR="00F1362A" w:rsidRPr="00097A86" w:rsidRDefault="00F1362A" w:rsidP="00D22D3F">
            <w:pPr>
              <w:pStyle w:val="ENoteTableText"/>
            </w:pPr>
            <w:r w:rsidRPr="00097A86">
              <w:t>ad 2013 No.</w:t>
            </w:r>
            <w:r>
              <w:t> </w:t>
            </w:r>
            <w:r w:rsidRPr="00097A86">
              <w:t>1</w:t>
            </w:r>
          </w:p>
        </w:tc>
      </w:tr>
      <w:tr w:rsidR="00F1362A" w:rsidRPr="00097A86" w14:paraId="782E8023" w14:textId="77777777" w:rsidTr="00C20CC2">
        <w:tblPrEx>
          <w:jc w:val="center"/>
        </w:tblPrEx>
        <w:trPr>
          <w:gridAfter w:val="1"/>
          <w:wAfter w:w="37" w:type="pct"/>
          <w:jc w:val="center"/>
        </w:trPr>
        <w:tc>
          <w:tcPr>
            <w:tcW w:w="1390" w:type="pct"/>
            <w:gridSpan w:val="2"/>
          </w:tcPr>
          <w:p w14:paraId="0E4B621D" w14:textId="77777777" w:rsidR="00F1362A" w:rsidRPr="00097A86" w:rsidRDefault="00F1362A" w:rsidP="006D1F60">
            <w:pPr>
              <w:pStyle w:val="ENoteTableText"/>
              <w:tabs>
                <w:tab w:val="left" w:leader="dot" w:pos="2268"/>
              </w:tabs>
            </w:pPr>
          </w:p>
        </w:tc>
        <w:tc>
          <w:tcPr>
            <w:tcW w:w="3573" w:type="pct"/>
            <w:gridSpan w:val="2"/>
          </w:tcPr>
          <w:p w14:paraId="7CFFB0CC" w14:textId="77777777" w:rsidR="00F1362A" w:rsidRPr="00097A86" w:rsidRDefault="00F1362A" w:rsidP="00D22D3F">
            <w:pPr>
              <w:pStyle w:val="ENoteTableText"/>
            </w:pPr>
            <w:r w:rsidRPr="00097A86">
              <w:t>am 2015 No 1</w:t>
            </w:r>
          </w:p>
        </w:tc>
      </w:tr>
      <w:tr w:rsidR="00F1362A" w:rsidRPr="00097A86" w14:paraId="29BEE4F0" w14:textId="77777777" w:rsidTr="00C20CC2">
        <w:tblPrEx>
          <w:jc w:val="center"/>
        </w:tblPrEx>
        <w:trPr>
          <w:gridAfter w:val="1"/>
          <w:wAfter w:w="37" w:type="pct"/>
          <w:jc w:val="center"/>
        </w:trPr>
        <w:tc>
          <w:tcPr>
            <w:tcW w:w="1390" w:type="pct"/>
            <w:gridSpan w:val="2"/>
          </w:tcPr>
          <w:p w14:paraId="2AF6ACA3" w14:textId="77777777" w:rsidR="00F1362A" w:rsidRPr="00097A86" w:rsidRDefault="00F1362A" w:rsidP="006D1F60">
            <w:pPr>
              <w:pStyle w:val="ENoteTableText"/>
              <w:tabs>
                <w:tab w:val="left" w:leader="dot" w:pos="2268"/>
              </w:tabs>
            </w:pPr>
            <w:r w:rsidRPr="00097A86">
              <w:t>s 3.16</w:t>
            </w:r>
            <w:r w:rsidRPr="00097A86">
              <w:tab/>
            </w:r>
          </w:p>
        </w:tc>
        <w:tc>
          <w:tcPr>
            <w:tcW w:w="3573" w:type="pct"/>
            <w:gridSpan w:val="2"/>
          </w:tcPr>
          <w:p w14:paraId="5449AEAC" w14:textId="77777777" w:rsidR="00F1362A" w:rsidRPr="00097A86" w:rsidRDefault="00F1362A" w:rsidP="00D22D3F">
            <w:pPr>
              <w:pStyle w:val="ENoteTableText"/>
            </w:pPr>
            <w:r w:rsidRPr="00097A86">
              <w:t>rs 2011 No.</w:t>
            </w:r>
            <w:r>
              <w:t> </w:t>
            </w:r>
            <w:r w:rsidRPr="00097A86">
              <w:t>1</w:t>
            </w:r>
          </w:p>
        </w:tc>
      </w:tr>
      <w:tr w:rsidR="00F1362A" w:rsidRPr="00097A86" w14:paraId="4BE25AC3" w14:textId="77777777" w:rsidTr="00C20CC2">
        <w:tblPrEx>
          <w:jc w:val="center"/>
        </w:tblPrEx>
        <w:trPr>
          <w:gridAfter w:val="1"/>
          <w:wAfter w:w="37" w:type="pct"/>
          <w:jc w:val="center"/>
        </w:trPr>
        <w:tc>
          <w:tcPr>
            <w:tcW w:w="1390" w:type="pct"/>
            <w:gridSpan w:val="2"/>
          </w:tcPr>
          <w:p w14:paraId="1B61869C" w14:textId="77777777" w:rsidR="00F1362A" w:rsidRPr="00097A86" w:rsidRDefault="00F1362A" w:rsidP="006D1F60">
            <w:pPr>
              <w:pStyle w:val="ENoteTableText"/>
              <w:tabs>
                <w:tab w:val="left" w:leader="dot" w:pos="2268"/>
              </w:tabs>
            </w:pPr>
          </w:p>
        </w:tc>
        <w:tc>
          <w:tcPr>
            <w:tcW w:w="3573" w:type="pct"/>
            <w:gridSpan w:val="2"/>
          </w:tcPr>
          <w:p w14:paraId="0775C3BA" w14:textId="77777777" w:rsidR="00F1362A" w:rsidRPr="00097A86" w:rsidRDefault="00F1362A" w:rsidP="00D22D3F">
            <w:pPr>
              <w:pStyle w:val="ENoteTableText"/>
            </w:pPr>
            <w:r w:rsidRPr="00097A86">
              <w:t>am 2013 No.</w:t>
            </w:r>
            <w:r>
              <w:t> </w:t>
            </w:r>
            <w:r w:rsidRPr="00097A86">
              <w:t>1</w:t>
            </w:r>
          </w:p>
        </w:tc>
      </w:tr>
      <w:tr w:rsidR="00F1362A" w:rsidRPr="00097A86" w14:paraId="0B86C479" w14:textId="77777777" w:rsidTr="00C20CC2">
        <w:tblPrEx>
          <w:jc w:val="center"/>
        </w:tblPrEx>
        <w:trPr>
          <w:gridAfter w:val="1"/>
          <w:wAfter w:w="37" w:type="pct"/>
          <w:jc w:val="center"/>
        </w:trPr>
        <w:tc>
          <w:tcPr>
            <w:tcW w:w="1390" w:type="pct"/>
            <w:gridSpan w:val="2"/>
          </w:tcPr>
          <w:p w14:paraId="45C0BA6A" w14:textId="77777777" w:rsidR="00F1362A" w:rsidRPr="00097A86" w:rsidRDefault="00F1362A" w:rsidP="006D1F60">
            <w:pPr>
              <w:pStyle w:val="ENoteTableText"/>
              <w:tabs>
                <w:tab w:val="left" w:leader="dot" w:pos="2268"/>
              </w:tabs>
            </w:pPr>
            <w:r w:rsidRPr="00097A86">
              <w:t>s 3.17</w:t>
            </w:r>
          </w:p>
        </w:tc>
        <w:tc>
          <w:tcPr>
            <w:tcW w:w="3573" w:type="pct"/>
            <w:gridSpan w:val="2"/>
          </w:tcPr>
          <w:p w14:paraId="0DBC4A9B" w14:textId="77777777" w:rsidR="00F1362A" w:rsidRPr="00097A86" w:rsidRDefault="00F1362A" w:rsidP="00D22D3F">
            <w:pPr>
              <w:pStyle w:val="ENoteTableText"/>
            </w:pPr>
            <w:r w:rsidRPr="00097A86">
              <w:t>am 2015 No 1</w:t>
            </w:r>
          </w:p>
        </w:tc>
      </w:tr>
      <w:tr w:rsidR="00F1362A" w:rsidRPr="00097A86" w14:paraId="1ECC03E9" w14:textId="77777777" w:rsidTr="00C20CC2">
        <w:tblPrEx>
          <w:jc w:val="center"/>
        </w:tblPrEx>
        <w:trPr>
          <w:gridAfter w:val="1"/>
          <w:wAfter w:w="37" w:type="pct"/>
          <w:jc w:val="center"/>
        </w:trPr>
        <w:tc>
          <w:tcPr>
            <w:tcW w:w="1390" w:type="pct"/>
            <w:gridSpan w:val="2"/>
          </w:tcPr>
          <w:p w14:paraId="4C2C1738"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3.2.3</w:t>
            </w:r>
          </w:p>
        </w:tc>
        <w:tc>
          <w:tcPr>
            <w:tcW w:w="3573" w:type="pct"/>
            <w:gridSpan w:val="2"/>
          </w:tcPr>
          <w:p w14:paraId="5283A133" w14:textId="77777777" w:rsidR="00F1362A" w:rsidRPr="00097A86" w:rsidRDefault="00F1362A" w:rsidP="00D22D3F">
            <w:pPr>
              <w:pStyle w:val="ENoteTableText"/>
            </w:pPr>
          </w:p>
        </w:tc>
      </w:tr>
      <w:tr w:rsidR="00F1362A" w:rsidRPr="00097A86" w14:paraId="5B004B8D" w14:textId="77777777" w:rsidTr="00C20CC2">
        <w:tblPrEx>
          <w:jc w:val="center"/>
        </w:tblPrEx>
        <w:trPr>
          <w:gridAfter w:val="1"/>
          <w:wAfter w:w="37" w:type="pct"/>
          <w:jc w:val="center"/>
        </w:trPr>
        <w:tc>
          <w:tcPr>
            <w:tcW w:w="1390" w:type="pct"/>
            <w:gridSpan w:val="2"/>
          </w:tcPr>
          <w:p w14:paraId="13BEC815"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3.2.3.1</w:t>
            </w:r>
          </w:p>
        </w:tc>
        <w:tc>
          <w:tcPr>
            <w:tcW w:w="3573" w:type="pct"/>
            <w:gridSpan w:val="2"/>
          </w:tcPr>
          <w:p w14:paraId="190E7738" w14:textId="77777777" w:rsidR="00F1362A" w:rsidRPr="00097A86" w:rsidRDefault="00F1362A" w:rsidP="00D22D3F">
            <w:pPr>
              <w:pStyle w:val="ENoteTableText"/>
            </w:pPr>
          </w:p>
        </w:tc>
      </w:tr>
      <w:tr w:rsidR="00F1362A" w:rsidRPr="00097A86" w14:paraId="390E8609" w14:textId="77777777" w:rsidTr="00C20CC2">
        <w:tblPrEx>
          <w:jc w:val="center"/>
        </w:tblPrEx>
        <w:trPr>
          <w:gridAfter w:val="1"/>
          <w:wAfter w:w="37" w:type="pct"/>
          <w:jc w:val="center"/>
        </w:trPr>
        <w:tc>
          <w:tcPr>
            <w:tcW w:w="1390" w:type="pct"/>
            <w:gridSpan w:val="2"/>
          </w:tcPr>
          <w:p w14:paraId="355F4082" w14:textId="77777777" w:rsidR="00F1362A" w:rsidRPr="00097A86" w:rsidRDefault="00F1362A" w:rsidP="006D1F60">
            <w:pPr>
              <w:pStyle w:val="ENoteTableText"/>
              <w:tabs>
                <w:tab w:val="left" w:leader="dot" w:pos="2268"/>
              </w:tabs>
            </w:pPr>
            <w:r w:rsidRPr="00097A86">
              <w:t>s 3.18</w:t>
            </w:r>
            <w:r w:rsidRPr="00097A86">
              <w:tab/>
            </w:r>
          </w:p>
        </w:tc>
        <w:tc>
          <w:tcPr>
            <w:tcW w:w="3573" w:type="pct"/>
            <w:gridSpan w:val="2"/>
          </w:tcPr>
          <w:p w14:paraId="223A7E5D" w14:textId="77777777" w:rsidR="00F1362A" w:rsidRPr="00097A86" w:rsidRDefault="00F1362A" w:rsidP="00D22D3F">
            <w:pPr>
              <w:pStyle w:val="ENoteTableText"/>
            </w:pPr>
            <w:r w:rsidRPr="00097A86">
              <w:t>am 2009 No.</w:t>
            </w:r>
            <w:r>
              <w:t> </w:t>
            </w:r>
            <w:r w:rsidRPr="00097A86">
              <w:t>1</w:t>
            </w:r>
          </w:p>
        </w:tc>
      </w:tr>
      <w:tr w:rsidR="00F1362A" w:rsidRPr="00097A86" w14:paraId="0E62EFD9" w14:textId="77777777" w:rsidTr="00C20CC2">
        <w:tblPrEx>
          <w:jc w:val="center"/>
        </w:tblPrEx>
        <w:trPr>
          <w:gridAfter w:val="1"/>
          <w:wAfter w:w="37" w:type="pct"/>
          <w:jc w:val="center"/>
        </w:trPr>
        <w:tc>
          <w:tcPr>
            <w:tcW w:w="1390" w:type="pct"/>
            <w:gridSpan w:val="2"/>
          </w:tcPr>
          <w:p w14:paraId="7D38CF59" w14:textId="77777777" w:rsidR="00F1362A" w:rsidRPr="00097A86" w:rsidRDefault="00F1362A" w:rsidP="006D1F60">
            <w:pPr>
              <w:pStyle w:val="ENoteTableText"/>
              <w:tabs>
                <w:tab w:val="left" w:leader="dot" w:pos="2268"/>
              </w:tabs>
            </w:pPr>
            <w:r w:rsidRPr="00097A86">
              <w:lastRenderedPageBreak/>
              <w:t>s 3.19</w:t>
            </w:r>
            <w:r w:rsidRPr="00097A86">
              <w:tab/>
            </w:r>
          </w:p>
        </w:tc>
        <w:tc>
          <w:tcPr>
            <w:tcW w:w="3573" w:type="pct"/>
            <w:gridSpan w:val="2"/>
          </w:tcPr>
          <w:p w14:paraId="07777F7F" w14:textId="77777777" w:rsidR="00F1362A" w:rsidRPr="00097A86" w:rsidRDefault="00F1362A" w:rsidP="00D22D3F">
            <w:pPr>
              <w:pStyle w:val="ENoteTableText"/>
            </w:pPr>
            <w:r w:rsidRPr="00097A86">
              <w:t>am 2009 No.</w:t>
            </w:r>
            <w:r>
              <w:t> </w:t>
            </w:r>
            <w:r w:rsidRPr="00097A86">
              <w:t>1</w:t>
            </w:r>
          </w:p>
        </w:tc>
      </w:tr>
      <w:tr w:rsidR="00F1362A" w:rsidRPr="00097A86" w14:paraId="29FD4B4E" w14:textId="77777777" w:rsidTr="00C20CC2">
        <w:tblPrEx>
          <w:jc w:val="center"/>
        </w:tblPrEx>
        <w:trPr>
          <w:gridAfter w:val="1"/>
          <w:wAfter w:w="37" w:type="pct"/>
          <w:jc w:val="center"/>
        </w:trPr>
        <w:tc>
          <w:tcPr>
            <w:tcW w:w="1390" w:type="pct"/>
            <w:gridSpan w:val="2"/>
          </w:tcPr>
          <w:p w14:paraId="049820F7"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3.2.3.2</w:t>
            </w:r>
          </w:p>
        </w:tc>
        <w:tc>
          <w:tcPr>
            <w:tcW w:w="3573" w:type="pct"/>
            <w:gridSpan w:val="2"/>
          </w:tcPr>
          <w:p w14:paraId="5B3561FF" w14:textId="77777777" w:rsidR="00F1362A" w:rsidRPr="00097A86" w:rsidRDefault="00F1362A" w:rsidP="00D22D3F">
            <w:pPr>
              <w:pStyle w:val="ENoteTableText"/>
            </w:pPr>
          </w:p>
        </w:tc>
      </w:tr>
      <w:tr w:rsidR="00F1362A" w:rsidRPr="00097A86" w14:paraId="408FF91A" w14:textId="77777777" w:rsidTr="00C20CC2">
        <w:tblPrEx>
          <w:jc w:val="center"/>
        </w:tblPrEx>
        <w:trPr>
          <w:gridAfter w:val="1"/>
          <w:wAfter w:w="37" w:type="pct"/>
          <w:jc w:val="center"/>
        </w:trPr>
        <w:tc>
          <w:tcPr>
            <w:tcW w:w="1390" w:type="pct"/>
            <w:gridSpan w:val="2"/>
          </w:tcPr>
          <w:p w14:paraId="753EB6BD" w14:textId="77777777" w:rsidR="00F1362A" w:rsidRPr="00097A86" w:rsidRDefault="00F1362A" w:rsidP="006D1F60">
            <w:pPr>
              <w:pStyle w:val="ENoteTableText"/>
              <w:tabs>
                <w:tab w:val="left" w:leader="dot" w:pos="2268"/>
              </w:tabs>
            </w:pPr>
            <w:r w:rsidRPr="00097A86">
              <w:t>s 3.20</w:t>
            </w:r>
            <w:r w:rsidRPr="00097A86">
              <w:tab/>
            </w:r>
          </w:p>
        </w:tc>
        <w:tc>
          <w:tcPr>
            <w:tcW w:w="3573" w:type="pct"/>
            <w:gridSpan w:val="2"/>
          </w:tcPr>
          <w:p w14:paraId="01F574D6" w14:textId="77777777" w:rsidR="00F1362A" w:rsidRPr="00097A86" w:rsidRDefault="00F1362A" w:rsidP="00D22D3F">
            <w:pPr>
              <w:pStyle w:val="ENoteTableText"/>
            </w:pPr>
            <w:r w:rsidRPr="00097A86">
              <w:t>am 2013 No.</w:t>
            </w:r>
            <w:r>
              <w:t> </w:t>
            </w:r>
            <w:r w:rsidRPr="00097A86">
              <w:t>1; 2015 No 1</w:t>
            </w:r>
          </w:p>
        </w:tc>
      </w:tr>
      <w:tr w:rsidR="00F1362A" w:rsidRPr="00097A86" w14:paraId="1EFD6CFB" w14:textId="77777777" w:rsidTr="00C20CC2">
        <w:tblPrEx>
          <w:jc w:val="center"/>
        </w:tblPrEx>
        <w:trPr>
          <w:gridAfter w:val="1"/>
          <w:wAfter w:w="37" w:type="pct"/>
          <w:jc w:val="center"/>
        </w:trPr>
        <w:tc>
          <w:tcPr>
            <w:tcW w:w="1390" w:type="pct"/>
            <w:gridSpan w:val="2"/>
          </w:tcPr>
          <w:p w14:paraId="6E543F99" w14:textId="77777777" w:rsidR="00F1362A" w:rsidRPr="00097A86" w:rsidRDefault="00F1362A" w:rsidP="006D1F60">
            <w:pPr>
              <w:pStyle w:val="ENoteTableText"/>
              <w:tabs>
                <w:tab w:val="left" w:leader="dot" w:pos="2268"/>
              </w:tabs>
            </w:pPr>
            <w:r w:rsidRPr="00097A86">
              <w:t>s 3.21</w:t>
            </w:r>
            <w:r w:rsidRPr="00097A86">
              <w:tab/>
            </w:r>
          </w:p>
        </w:tc>
        <w:tc>
          <w:tcPr>
            <w:tcW w:w="3573" w:type="pct"/>
            <w:gridSpan w:val="2"/>
          </w:tcPr>
          <w:p w14:paraId="3118C9AB" w14:textId="77777777" w:rsidR="00F1362A" w:rsidRPr="00097A86" w:rsidRDefault="00F1362A" w:rsidP="00D22D3F">
            <w:pPr>
              <w:pStyle w:val="ENoteTableText"/>
            </w:pPr>
            <w:r w:rsidRPr="00097A86">
              <w:t>am 2012 No.</w:t>
            </w:r>
            <w:r>
              <w:t> </w:t>
            </w:r>
            <w:r w:rsidRPr="00097A86">
              <w:t>1; 2015 No 1</w:t>
            </w:r>
          </w:p>
        </w:tc>
      </w:tr>
      <w:tr w:rsidR="00F1362A" w:rsidRPr="00097A86" w14:paraId="1187B5D2" w14:textId="77777777" w:rsidTr="00C20CC2">
        <w:tblPrEx>
          <w:jc w:val="center"/>
        </w:tblPrEx>
        <w:trPr>
          <w:gridAfter w:val="1"/>
          <w:wAfter w:w="37" w:type="pct"/>
          <w:jc w:val="center"/>
        </w:trPr>
        <w:tc>
          <w:tcPr>
            <w:tcW w:w="1390" w:type="pct"/>
            <w:gridSpan w:val="2"/>
          </w:tcPr>
          <w:p w14:paraId="7B4A9413" w14:textId="77777777" w:rsidR="00F1362A" w:rsidRPr="00097A86" w:rsidRDefault="00F1362A" w:rsidP="006D1F60">
            <w:pPr>
              <w:pStyle w:val="ENoteTableText"/>
              <w:tabs>
                <w:tab w:val="left" w:leader="dot" w:pos="2268"/>
              </w:tabs>
            </w:pPr>
            <w:r w:rsidRPr="00097A86">
              <w:t>s 3.22</w:t>
            </w:r>
            <w:r w:rsidRPr="00097A86">
              <w:tab/>
            </w:r>
          </w:p>
        </w:tc>
        <w:tc>
          <w:tcPr>
            <w:tcW w:w="3573" w:type="pct"/>
            <w:gridSpan w:val="2"/>
          </w:tcPr>
          <w:p w14:paraId="771F9443" w14:textId="77777777" w:rsidR="00F1362A" w:rsidRPr="00097A86" w:rsidRDefault="00F1362A" w:rsidP="00D22D3F">
            <w:pPr>
              <w:pStyle w:val="ENoteTableText"/>
            </w:pPr>
            <w:r w:rsidRPr="00097A86">
              <w:t>am 2010 No.</w:t>
            </w:r>
            <w:r>
              <w:t> </w:t>
            </w:r>
            <w:r w:rsidRPr="00097A86">
              <w:t>1; 2012 No.</w:t>
            </w:r>
            <w:r>
              <w:t> </w:t>
            </w:r>
            <w:r w:rsidRPr="00097A86">
              <w:t>1</w:t>
            </w:r>
          </w:p>
        </w:tc>
      </w:tr>
      <w:tr w:rsidR="00F1362A" w:rsidRPr="00097A86" w14:paraId="35A8E34B" w14:textId="77777777" w:rsidTr="00C20CC2">
        <w:tblPrEx>
          <w:jc w:val="center"/>
        </w:tblPrEx>
        <w:trPr>
          <w:gridAfter w:val="1"/>
          <w:wAfter w:w="37" w:type="pct"/>
          <w:jc w:val="center"/>
        </w:trPr>
        <w:tc>
          <w:tcPr>
            <w:tcW w:w="1390" w:type="pct"/>
            <w:gridSpan w:val="2"/>
          </w:tcPr>
          <w:p w14:paraId="1E56E6EC" w14:textId="77777777" w:rsidR="00F1362A" w:rsidRPr="00097A86" w:rsidRDefault="00F1362A" w:rsidP="006D1F60">
            <w:pPr>
              <w:pStyle w:val="ENoteTableText"/>
              <w:tabs>
                <w:tab w:val="left" w:leader="dot" w:pos="2268"/>
              </w:tabs>
            </w:pPr>
            <w:r w:rsidRPr="00097A86">
              <w:t>s 3.23</w:t>
            </w:r>
            <w:r w:rsidRPr="00097A86">
              <w:tab/>
            </w:r>
          </w:p>
        </w:tc>
        <w:tc>
          <w:tcPr>
            <w:tcW w:w="3573" w:type="pct"/>
            <w:gridSpan w:val="2"/>
          </w:tcPr>
          <w:p w14:paraId="06E5B6F7" w14:textId="77777777" w:rsidR="00F1362A" w:rsidRPr="00097A86" w:rsidRDefault="00F1362A" w:rsidP="00D22D3F">
            <w:pPr>
              <w:pStyle w:val="ENoteTableText"/>
            </w:pPr>
            <w:r w:rsidRPr="00097A86">
              <w:t>am 2012 No.</w:t>
            </w:r>
            <w:r>
              <w:t> </w:t>
            </w:r>
            <w:r w:rsidRPr="00097A86">
              <w:t>1</w:t>
            </w:r>
          </w:p>
        </w:tc>
      </w:tr>
      <w:tr w:rsidR="00F1362A" w:rsidRPr="00097A86" w14:paraId="6BC4B3C1" w14:textId="77777777" w:rsidTr="00C20CC2">
        <w:tblPrEx>
          <w:jc w:val="center"/>
        </w:tblPrEx>
        <w:trPr>
          <w:gridAfter w:val="1"/>
          <w:wAfter w:w="37" w:type="pct"/>
          <w:jc w:val="center"/>
        </w:trPr>
        <w:tc>
          <w:tcPr>
            <w:tcW w:w="1390" w:type="pct"/>
            <w:gridSpan w:val="2"/>
          </w:tcPr>
          <w:p w14:paraId="2B248B9D" w14:textId="77777777" w:rsidR="00F1362A" w:rsidRPr="00097A86" w:rsidRDefault="00F1362A" w:rsidP="006D1F60">
            <w:pPr>
              <w:pStyle w:val="ENoteTableText"/>
              <w:tabs>
                <w:tab w:val="left" w:leader="dot" w:pos="2268"/>
              </w:tabs>
            </w:pPr>
            <w:r w:rsidRPr="00097A86">
              <w:t>s 3.24</w:t>
            </w:r>
            <w:r w:rsidRPr="00097A86">
              <w:tab/>
            </w:r>
          </w:p>
        </w:tc>
        <w:tc>
          <w:tcPr>
            <w:tcW w:w="3573" w:type="pct"/>
            <w:gridSpan w:val="2"/>
          </w:tcPr>
          <w:p w14:paraId="340CD7EF" w14:textId="77777777" w:rsidR="00F1362A" w:rsidRPr="00097A86" w:rsidRDefault="00F1362A" w:rsidP="00D22D3F">
            <w:pPr>
              <w:pStyle w:val="ENoteTableText"/>
            </w:pPr>
            <w:r w:rsidRPr="00097A86">
              <w:t>am 2012 No.</w:t>
            </w:r>
            <w:r>
              <w:t> </w:t>
            </w:r>
            <w:r w:rsidRPr="00097A86">
              <w:t>1</w:t>
            </w:r>
          </w:p>
        </w:tc>
      </w:tr>
      <w:tr w:rsidR="00F1362A" w:rsidRPr="00097A86" w14:paraId="7A53E767" w14:textId="77777777" w:rsidTr="00C20CC2">
        <w:tblPrEx>
          <w:jc w:val="center"/>
        </w:tblPrEx>
        <w:trPr>
          <w:gridAfter w:val="1"/>
          <w:wAfter w:w="37" w:type="pct"/>
          <w:jc w:val="center"/>
        </w:trPr>
        <w:tc>
          <w:tcPr>
            <w:tcW w:w="1390" w:type="pct"/>
            <w:gridSpan w:val="2"/>
          </w:tcPr>
          <w:p w14:paraId="7430DB56" w14:textId="77777777" w:rsidR="00F1362A" w:rsidRPr="00097A86" w:rsidRDefault="00F1362A" w:rsidP="006D1F60">
            <w:pPr>
              <w:pStyle w:val="ENoteTableText"/>
              <w:tabs>
                <w:tab w:val="left" w:leader="dot" w:pos="2268"/>
              </w:tabs>
            </w:pPr>
            <w:r w:rsidRPr="00097A86">
              <w:t>s 3.25</w:t>
            </w:r>
            <w:r w:rsidRPr="00097A86">
              <w:tab/>
            </w:r>
          </w:p>
        </w:tc>
        <w:tc>
          <w:tcPr>
            <w:tcW w:w="3573" w:type="pct"/>
            <w:gridSpan w:val="2"/>
          </w:tcPr>
          <w:p w14:paraId="115B658F" w14:textId="77777777" w:rsidR="00F1362A" w:rsidRPr="00097A86" w:rsidRDefault="00F1362A" w:rsidP="00D22D3F">
            <w:pPr>
              <w:pStyle w:val="ENoteTableText"/>
            </w:pPr>
            <w:r w:rsidRPr="00097A86">
              <w:t>am 2012 No.</w:t>
            </w:r>
            <w:r>
              <w:t> </w:t>
            </w:r>
            <w:r w:rsidRPr="00097A86">
              <w:t>1</w:t>
            </w:r>
          </w:p>
        </w:tc>
      </w:tr>
      <w:tr w:rsidR="00F1362A" w:rsidRPr="00097A86" w14:paraId="5D89F852" w14:textId="77777777" w:rsidTr="00C20CC2">
        <w:tblPrEx>
          <w:jc w:val="center"/>
        </w:tblPrEx>
        <w:trPr>
          <w:gridAfter w:val="1"/>
          <w:wAfter w:w="37" w:type="pct"/>
          <w:jc w:val="center"/>
        </w:trPr>
        <w:tc>
          <w:tcPr>
            <w:tcW w:w="1390" w:type="pct"/>
            <w:gridSpan w:val="2"/>
          </w:tcPr>
          <w:p w14:paraId="7FE14D0E" w14:textId="77777777" w:rsidR="00F1362A" w:rsidRPr="00097A86" w:rsidRDefault="00F1362A" w:rsidP="006D1F60">
            <w:pPr>
              <w:pStyle w:val="ENoteTableText"/>
              <w:tabs>
                <w:tab w:val="left" w:leader="dot" w:pos="2268"/>
              </w:tabs>
            </w:pPr>
            <w:r w:rsidRPr="00097A86">
              <w:t>s 3.25A</w:t>
            </w:r>
            <w:r w:rsidRPr="00097A86">
              <w:tab/>
            </w:r>
          </w:p>
        </w:tc>
        <w:tc>
          <w:tcPr>
            <w:tcW w:w="3573" w:type="pct"/>
            <w:gridSpan w:val="2"/>
          </w:tcPr>
          <w:p w14:paraId="01560EFF" w14:textId="77777777" w:rsidR="00F1362A" w:rsidRPr="00097A86" w:rsidRDefault="00F1362A" w:rsidP="00D22D3F">
            <w:pPr>
              <w:pStyle w:val="ENoteTableText"/>
            </w:pPr>
            <w:r w:rsidRPr="00097A86">
              <w:t>ad 2012 No.</w:t>
            </w:r>
            <w:r>
              <w:t> </w:t>
            </w:r>
            <w:r w:rsidRPr="00097A86">
              <w:t>1</w:t>
            </w:r>
          </w:p>
        </w:tc>
      </w:tr>
      <w:tr w:rsidR="00F1362A" w:rsidRPr="00097A86" w14:paraId="18941B4B" w14:textId="77777777" w:rsidTr="00C20CC2">
        <w:tblPrEx>
          <w:jc w:val="center"/>
        </w:tblPrEx>
        <w:trPr>
          <w:gridAfter w:val="1"/>
          <w:wAfter w:w="37" w:type="pct"/>
          <w:jc w:val="center"/>
        </w:trPr>
        <w:tc>
          <w:tcPr>
            <w:tcW w:w="1390" w:type="pct"/>
            <w:gridSpan w:val="2"/>
          </w:tcPr>
          <w:p w14:paraId="110837A9" w14:textId="77777777" w:rsidR="00F1362A" w:rsidRPr="00097A86" w:rsidRDefault="00F1362A" w:rsidP="006D1F60">
            <w:pPr>
              <w:pStyle w:val="ENoteTableText"/>
              <w:tabs>
                <w:tab w:val="left" w:leader="dot" w:pos="2268"/>
              </w:tabs>
            </w:pPr>
            <w:r w:rsidRPr="00097A86">
              <w:t>s 3.25B</w:t>
            </w:r>
            <w:r w:rsidRPr="00097A86">
              <w:tab/>
            </w:r>
          </w:p>
        </w:tc>
        <w:tc>
          <w:tcPr>
            <w:tcW w:w="3573" w:type="pct"/>
            <w:gridSpan w:val="2"/>
          </w:tcPr>
          <w:p w14:paraId="034C137C" w14:textId="77777777" w:rsidR="00F1362A" w:rsidRPr="00097A86" w:rsidRDefault="00F1362A" w:rsidP="00D22D3F">
            <w:pPr>
              <w:pStyle w:val="ENoteTableText"/>
            </w:pPr>
            <w:r w:rsidRPr="00097A86">
              <w:t>ad 2012 No.</w:t>
            </w:r>
            <w:r>
              <w:t> </w:t>
            </w:r>
            <w:r w:rsidRPr="00097A86">
              <w:t>1</w:t>
            </w:r>
          </w:p>
        </w:tc>
      </w:tr>
      <w:tr w:rsidR="00F1362A" w:rsidRPr="00097A86" w14:paraId="129ABAC5" w14:textId="77777777" w:rsidTr="00C20CC2">
        <w:tblPrEx>
          <w:jc w:val="center"/>
        </w:tblPrEx>
        <w:trPr>
          <w:gridAfter w:val="1"/>
          <w:wAfter w:w="37" w:type="pct"/>
          <w:jc w:val="center"/>
        </w:trPr>
        <w:tc>
          <w:tcPr>
            <w:tcW w:w="1390" w:type="pct"/>
            <w:gridSpan w:val="2"/>
          </w:tcPr>
          <w:p w14:paraId="04E7DC47" w14:textId="77777777" w:rsidR="00F1362A" w:rsidRPr="00097A86" w:rsidRDefault="00F1362A" w:rsidP="006D1F60">
            <w:pPr>
              <w:pStyle w:val="ENoteTableText"/>
              <w:tabs>
                <w:tab w:val="left" w:leader="dot" w:pos="2268"/>
              </w:tabs>
            </w:pPr>
            <w:r w:rsidRPr="00097A86">
              <w:t>s 3.25C</w:t>
            </w:r>
            <w:r w:rsidRPr="00097A86">
              <w:tab/>
            </w:r>
          </w:p>
        </w:tc>
        <w:tc>
          <w:tcPr>
            <w:tcW w:w="3573" w:type="pct"/>
            <w:gridSpan w:val="2"/>
          </w:tcPr>
          <w:p w14:paraId="4DFA339C" w14:textId="77777777" w:rsidR="00F1362A" w:rsidRPr="00097A86" w:rsidRDefault="00F1362A" w:rsidP="00D22D3F">
            <w:pPr>
              <w:pStyle w:val="ENoteTableText"/>
            </w:pPr>
            <w:r w:rsidRPr="00097A86">
              <w:t>ad 2012 No.</w:t>
            </w:r>
            <w:r>
              <w:t> </w:t>
            </w:r>
            <w:r w:rsidRPr="00097A86">
              <w:t>1</w:t>
            </w:r>
          </w:p>
        </w:tc>
      </w:tr>
      <w:tr w:rsidR="00F1362A" w:rsidRPr="00097A86" w14:paraId="148628EA" w14:textId="77777777" w:rsidTr="00C20CC2">
        <w:tblPrEx>
          <w:jc w:val="center"/>
        </w:tblPrEx>
        <w:trPr>
          <w:gridAfter w:val="1"/>
          <w:wAfter w:w="37" w:type="pct"/>
          <w:jc w:val="center"/>
        </w:trPr>
        <w:tc>
          <w:tcPr>
            <w:tcW w:w="1390" w:type="pct"/>
            <w:gridSpan w:val="2"/>
          </w:tcPr>
          <w:p w14:paraId="54FBDBE6" w14:textId="77777777" w:rsidR="00F1362A" w:rsidRPr="00097A86" w:rsidRDefault="00F1362A" w:rsidP="006D1F60">
            <w:pPr>
              <w:pStyle w:val="ENoteTableText"/>
              <w:tabs>
                <w:tab w:val="left" w:leader="dot" w:pos="2268"/>
              </w:tabs>
            </w:pPr>
            <w:r w:rsidRPr="00097A86">
              <w:t>s 3.25D</w:t>
            </w:r>
            <w:r w:rsidRPr="00097A86">
              <w:tab/>
            </w:r>
          </w:p>
        </w:tc>
        <w:tc>
          <w:tcPr>
            <w:tcW w:w="3573" w:type="pct"/>
            <w:gridSpan w:val="2"/>
          </w:tcPr>
          <w:p w14:paraId="5D2FF991" w14:textId="77777777" w:rsidR="00F1362A" w:rsidRPr="00097A86" w:rsidRDefault="00F1362A" w:rsidP="00D22D3F">
            <w:pPr>
              <w:pStyle w:val="ENoteTableText"/>
            </w:pPr>
            <w:r w:rsidRPr="00097A86">
              <w:t>ad 2012 No.</w:t>
            </w:r>
            <w:r>
              <w:t> </w:t>
            </w:r>
            <w:r w:rsidRPr="00097A86">
              <w:t>1</w:t>
            </w:r>
          </w:p>
        </w:tc>
      </w:tr>
      <w:tr w:rsidR="00F1362A" w:rsidRPr="00097A86" w14:paraId="61EDD023" w14:textId="77777777" w:rsidTr="00C20CC2">
        <w:tblPrEx>
          <w:jc w:val="center"/>
        </w:tblPrEx>
        <w:trPr>
          <w:gridAfter w:val="1"/>
          <w:wAfter w:w="37" w:type="pct"/>
          <w:jc w:val="center"/>
        </w:trPr>
        <w:tc>
          <w:tcPr>
            <w:tcW w:w="1390" w:type="pct"/>
            <w:gridSpan w:val="2"/>
          </w:tcPr>
          <w:p w14:paraId="79DC486F"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3.2.4</w:t>
            </w:r>
          </w:p>
        </w:tc>
        <w:tc>
          <w:tcPr>
            <w:tcW w:w="3573" w:type="pct"/>
            <w:gridSpan w:val="2"/>
          </w:tcPr>
          <w:p w14:paraId="12D3C9B5" w14:textId="77777777" w:rsidR="00F1362A" w:rsidRPr="00097A86" w:rsidRDefault="00F1362A" w:rsidP="00D22D3F">
            <w:pPr>
              <w:pStyle w:val="ENoteTableText"/>
            </w:pPr>
          </w:p>
        </w:tc>
      </w:tr>
      <w:tr w:rsidR="00F1362A" w:rsidRPr="00097A86" w14:paraId="292FB6EE" w14:textId="77777777" w:rsidTr="00C20CC2">
        <w:tblPrEx>
          <w:jc w:val="center"/>
        </w:tblPrEx>
        <w:trPr>
          <w:gridAfter w:val="1"/>
          <w:wAfter w:w="37" w:type="pct"/>
          <w:jc w:val="center"/>
        </w:trPr>
        <w:tc>
          <w:tcPr>
            <w:tcW w:w="1390" w:type="pct"/>
            <w:gridSpan w:val="2"/>
          </w:tcPr>
          <w:p w14:paraId="7B56AF12"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3.2.4.1</w:t>
            </w:r>
          </w:p>
        </w:tc>
        <w:tc>
          <w:tcPr>
            <w:tcW w:w="3573" w:type="pct"/>
            <w:gridSpan w:val="2"/>
          </w:tcPr>
          <w:p w14:paraId="47873602" w14:textId="77777777" w:rsidR="00F1362A" w:rsidRPr="00097A86" w:rsidRDefault="00F1362A" w:rsidP="00D22D3F">
            <w:pPr>
              <w:pStyle w:val="ENoteTableText"/>
            </w:pPr>
          </w:p>
        </w:tc>
      </w:tr>
      <w:tr w:rsidR="00F1362A" w:rsidRPr="00097A86" w14:paraId="6CEF5587" w14:textId="77777777" w:rsidTr="00C20CC2">
        <w:tblPrEx>
          <w:jc w:val="center"/>
        </w:tblPrEx>
        <w:trPr>
          <w:gridAfter w:val="1"/>
          <w:wAfter w:w="37" w:type="pct"/>
          <w:jc w:val="center"/>
        </w:trPr>
        <w:tc>
          <w:tcPr>
            <w:tcW w:w="1390" w:type="pct"/>
            <w:gridSpan w:val="2"/>
          </w:tcPr>
          <w:p w14:paraId="268997E3" w14:textId="77777777" w:rsidR="00F1362A" w:rsidRPr="00097A86" w:rsidRDefault="00F1362A" w:rsidP="006D1F60">
            <w:pPr>
              <w:pStyle w:val="ENoteTableText"/>
              <w:tabs>
                <w:tab w:val="left" w:leader="dot" w:pos="2268"/>
              </w:tabs>
            </w:pPr>
            <w:r w:rsidRPr="00097A86">
              <w:t>s 3.30</w:t>
            </w:r>
            <w:r w:rsidRPr="00097A86">
              <w:tab/>
            </w:r>
          </w:p>
        </w:tc>
        <w:tc>
          <w:tcPr>
            <w:tcW w:w="3573" w:type="pct"/>
            <w:gridSpan w:val="2"/>
          </w:tcPr>
          <w:p w14:paraId="0794A7A0" w14:textId="77777777" w:rsidR="00F1362A" w:rsidRPr="00097A86" w:rsidRDefault="00F1362A" w:rsidP="00D22D3F">
            <w:pPr>
              <w:pStyle w:val="ENoteTableText"/>
            </w:pPr>
            <w:r w:rsidRPr="00097A86">
              <w:t>am 2009 No.</w:t>
            </w:r>
            <w:r>
              <w:t> </w:t>
            </w:r>
            <w:r w:rsidRPr="00097A86">
              <w:t>1</w:t>
            </w:r>
          </w:p>
        </w:tc>
      </w:tr>
      <w:tr w:rsidR="00F1362A" w:rsidRPr="00097A86" w14:paraId="2BCA4E2B" w14:textId="77777777" w:rsidTr="00C20CC2">
        <w:tblPrEx>
          <w:jc w:val="center"/>
        </w:tblPrEx>
        <w:trPr>
          <w:gridAfter w:val="1"/>
          <w:wAfter w:w="37" w:type="pct"/>
          <w:jc w:val="center"/>
        </w:trPr>
        <w:tc>
          <w:tcPr>
            <w:tcW w:w="1390" w:type="pct"/>
            <w:gridSpan w:val="2"/>
          </w:tcPr>
          <w:p w14:paraId="34B102EC" w14:textId="77777777" w:rsidR="00F1362A" w:rsidRPr="00097A86" w:rsidRDefault="00F1362A" w:rsidP="006D1F60">
            <w:pPr>
              <w:pStyle w:val="ENoteTableText"/>
              <w:tabs>
                <w:tab w:val="left" w:leader="dot" w:pos="2268"/>
              </w:tabs>
            </w:pPr>
          </w:p>
        </w:tc>
        <w:tc>
          <w:tcPr>
            <w:tcW w:w="3573" w:type="pct"/>
            <w:gridSpan w:val="2"/>
          </w:tcPr>
          <w:p w14:paraId="05C9DA59" w14:textId="77777777" w:rsidR="00F1362A" w:rsidRPr="00097A86" w:rsidRDefault="00F1362A" w:rsidP="00D22D3F">
            <w:pPr>
              <w:pStyle w:val="ENoteTableText"/>
            </w:pPr>
            <w:r>
              <w:t>rs F2018L00923</w:t>
            </w:r>
          </w:p>
        </w:tc>
      </w:tr>
      <w:tr w:rsidR="00F1362A" w:rsidRPr="00097A86" w14:paraId="577FE052" w14:textId="77777777" w:rsidTr="00C20CC2">
        <w:tblPrEx>
          <w:jc w:val="center"/>
        </w:tblPrEx>
        <w:trPr>
          <w:gridAfter w:val="1"/>
          <w:wAfter w:w="37" w:type="pct"/>
          <w:jc w:val="center"/>
        </w:trPr>
        <w:tc>
          <w:tcPr>
            <w:tcW w:w="1390" w:type="pct"/>
            <w:gridSpan w:val="2"/>
          </w:tcPr>
          <w:p w14:paraId="0B258631" w14:textId="77777777" w:rsidR="00F1362A" w:rsidRPr="00097A86" w:rsidRDefault="00F1362A" w:rsidP="006D1F60">
            <w:pPr>
              <w:pStyle w:val="ENoteTableText"/>
              <w:tabs>
                <w:tab w:val="left" w:leader="dot" w:pos="2268"/>
              </w:tabs>
            </w:pPr>
            <w:r w:rsidRPr="00097A86">
              <w:t>s 3.31</w:t>
            </w:r>
            <w:r w:rsidRPr="00097A86">
              <w:tab/>
            </w:r>
          </w:p>
        </w:tc>
        <w:tc>
          <w:tcPr>
            <w:tcW w:w="3573" w:type="pct"/>
            <w:gridSpan w:val="2"/>
          </w:tcPr>
          <w:p w14:paraId="3999AC9D" w14:textId="77777777" w:rsidR="00F1362A" w:rsidRPr="00097A86" w:rsidRDefault="00F1362A" w:rsidP="00D22D3F">
            <w:pPr>
              <w:pStyle w:val="ENoteTableText"/>
            </w:pPr>
            <w:r w:rsidRPr="00097A86">
              <w:t>am 2009 No.</w:t>
            </w:r>
            <w:r>
              <w:t> </w:t>
            </w:r>
            <w:r w:rsidRPr="00097A86">
              <w:t>1</w:t>
            </w:r>
            <w:r>
              <w:t>; F2018L00923</w:t>
            </w:r>
          </w:p>
        </w:tc>
      </w:tr>
      <w:tr w:rsidR="00F1362A" w:rsidRPr="00097A86" w14:paraId="1491F54E" w14:textId="77777777" w:rsidTr="00C20CC2">
        <w:tblPrEx>
          <w:jc w:val="center"/>
        </w:tblPrEx>
        <w:trPr>
          <w:gridAfter w:val="1"/>
          <w:wAfter w:w="37" w:type="pct"/>
          <w:jc w:val="center"/>
        </w:trPr>
        <w:tc>
          <w:tcPr>
            <w:tcW w:w="1390" w:type="pct"/>
            <w:gridSpan w:val="2"/>
          </w:tcPr>
          <w:p w14:paraId="5FCD8919"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3.2.4.2</w:t>
            </w:r>
          </w:p>
        </w:tc>
        <w:tc>
          <w:tcPr>
            <w:tcW w:w="3573" w:type="pct"/>
            <w:gridSpan w:val="2"/>
          </w:tcPr>
          <w:p w14:paraId="6B115FB8" w14:textId="77777777" w:rsidR="00F1362A" w:rsidRPr="00097A86" w:rsidRDefault="00F1362A" w:rsidP="00D22D3F">
            <w:pPr>
              <w:pStyle w:val="ENoteTableText"/>
            </w:pPr>
          </w:p>
        </w:tc>
      </w:tr>
      <w:tr w:rsidR="00F1362A" w:rsidRPr="00097A86" w14:paraId="556CF502" w14:textId="77777777" w:rsidTr="00C20CC2">
        <w:tblPrEx>
          <w:jc w:val="center"/>
        </w:tblPrEx>
        <w:trPr>
          <w:gridAfter w:val="1"/>
          <w:wAfter w:w="37" w:type="pct"/>
          <w:jc w:val="center"/>
        </w:trPr>
        <w:tc>
          <w:tcPr>
            <w:tcW w:w="1390" w:type="pct"/>
            <w:gridSpan w:val="2"/>
          </w:tcPr>
          <w:p w14:paraId="3E7C74B2" w14:textId="77777777" w:rsidR="00F1362A" w:rsidRPr="00097A86" w:rsidRDefault="00F1362A" w:rsidP="006D1F60">
            <w:pPr>
              <w:pStyle w:val="ENoteTableText"/>
              <w:tabs>
                <w:tab w:val="left" w:leader="dot" w:pos="2268"/>
              </w:tabs>
            </w:pPr>
            <w:r w:rsidRPr="00097A86">
              <w:lastRenderedPageBreak/>
              <w:t>s 3.32</w:t>
            </w:r>
            <w:r w:rsidRPr="00097A86">
              <w:tab/>
            </w:r>
          </w:p>
        </w:tc>
        <w:tc>
          <w:tcPr>
            <w:tcW w:w="3573" w:type="pct"/>
            <w:gridSpan w:val="2"/>
          </w:tcPr>
          <w:p w14:paraId="4795B5D1" w14:textId="77777777" w:rsidR="00F1362A" w:rsidRPr="00097A86" w:rsidRDefault="00F1362A" w:rsidP="00D22D3F">
            <w:pPr>
              <w:pStyle w:val="ENoteTableText"/>
            </w:pPr>
            <w:r w:rsidRPr="00097A86">
              <w:t>am 2010 No.</w:t>
            </w:r>
            <w:r>
              <w:t> </w:t>
            </w:r>
            <w:r w:rsidRPr="00097A86">
              <w:t>1</w:t>
            </w:r>
            <w:r>
              <w:t>; F2018L00923</w:t>
            </w:r>
          </w:p>
        </w:tc>
      </w:tr>
      <w:tr w:rsidR="00F1362A" w:rsidRPr="00097A86" w14:paraId="5A9D71BB" w14:textId="77777777" w:rsidTr="00C20CC2">
        <w:tblPrEx>
          <w:jc w:val="center"/>
        </w:tblPrEx>
        <w:trPr>
          <w:gridAfter w:val="1"/>
          <w:wAfter w:w="37" w:type="pct"/>
          <w:jc w:val="center"/>
        </w:trPr>
        <w:tc>
          <w:tcPr>
            <w:tcW w:w="1390" w:type="pct"/>
            <w:gridSpan w:val="2"/>
          </w:tcPr>
          <w:p w14:paraId="50001EA6" w14:textId="77777777" w:rsidR="00F1362A" w:rsidRPr="00097A86" w:rsidRDefault="00F1362A" w:rsidP="006D1F60">
            <w:pPr>
              <w:pStyle w:val="ENoteTableText"/>
              <w:tabs>
                <w:tab w:val="left" w:leader="dot" w:pos="2268"/>
              </w:tabs>
            </w:pPr>
            <w:r>
              <w:t>s 3.33</w:t>
            </w:r>
            <w:r>
              <w:tab/>
            </w:r>
          </w:p>
        </w:tc>
        <w:tc>
          <w:tcPr>
            <w:tcW w:w="3573" w:type="pct"/>
            <w:gridSpan w:val="2"/>
          </w:tcPr>
          <w:p w14:paraId="2FA4A6BD" w14:textId="77777777" w:rsidR="00F1362A" w:rsidRPr="00097A86" w:rsidRDefault="00F1362A" w:rsidP="00D22D3F">
            <w:pPr>
              <w:pStyle w:val="ENoteTableText"/>
            </w:pPr>
            <w:r>
              <w:t>am F2018L00923</w:t>
            </w:r>
          </w:p>
        </w:tc>
      </w:tr>
      <w:tr w:rsidR="00F1362A" w:rsidRPr="00097A86" w14:paraId="1893F861" w14:textId="77777777" w:rsidTr="00C20CC2">
        <w:tblPrEx>
          <w:jc w:val="center"/>
        </w:tblPrEx>
        <w:trPr>
          <w:gridAfter w:val="1"/>
          <w:wAfter w:w="37" w:type="pct"/>
          <w:jc w:val="center"/>
        </w:trPr>
        <w:tc>
          <w:tcPr>
            <w:tcW w:w="1390" w:type="pct"/>
            <w:gridSpan w:val="2"/>
          </w:tcPr>
          <w:p w14:paraId="6521014D" w14:textId="77777777" w:rsidR="00F1362A" w:rsidRPr="00097A86" w:rsidRDefault="00F1362A" w:rsidP="006D1F60">
            <w:pPr>
              <w:pStyle w:val="ENoteTableText"/>
              <w:tabs>
                <w:tab w:val="left" w:leader="dot" w:pos="2268"/>
              </w:tabs>
            </w:pPr>
            <w:r w:rsidRPr="00097A86">
              <w:t>s 3.34</w:t>
            </w:r>
            <w:r w:rsidRPr="00097A86">
              <w:tab/>
            </w:r>
          </w:p>
        </w:tc>
        <w:tc>
          <w:tcPr>
            <w:tcW w:w="3573" w:type="pct"/>
            <w:gridSpan w:val="2"/>
          </w:tcPr>
          <w:p w14:paraId="3E3BD62B" w14:textId="77777777" w:rsidR="00F1362A" w:rsidRPr="00097A86" w:rsidRDefault="00F1362A" w:rsidP="00D22D3F">
            <w:pPr>
              <w:pStyle w:val="ENoteTableText"/>
            </w:pPr>
            <w:r w:rsidRPr="00097A86">
              <w:t>rs 2010 No.</w:t>
            </w:r>
            <w:r>
              <w:t> </w:t>
            </w:r>
            <w:r w:rsidRPr="00097A86">
              <w:t>1</w:t>
            </w:r>
          </w:p>
        </w:tc>
      </w:tr>
      <w:tr w:rsidR="00F1362A" w:rsidRPr="00097A86" w14:paraId="5CC02CBF" w14:textId="77777777" w:rsidTr="00C20CC2">
        <w:tblPrEx>
          <w:jc w:val="center"/>
        </w:tblPrEx>
        <w:trPr>
          <w:gridAfter w:val="1"/>
          <w:wAfter w:w="37" w:type="pct"/>
          <w:jc w:val="center"/>
        </w:trPr>
        <w:tc>
          <w:tcPr>
            <w:tcW w:w="1390" w:type="pct"/>
            <w:gridSpan w:val="2"/>
          </w:tcPr>
          <w:p w14:paraId="7FAC6306" w14:textId="77777777" w:rsidR="00F1362A" w:rsidRPr="00097A86" w:rsidRDefault="00F1362A" w:rsidP="006D1F60">
            <w:pPr>
              <w:pStyle w:val="ENoteTableText"/>
              <w:tabs>
                <w:tab w:val="left" w:leader="dot" w:pos="2268"/>
              </w:tabs>
            </w:pPr>
          </w:p>
        </w:tc>
        <w:tc>
          <w:tcPr>
            <w:tcW w:w="3573" w:type="pct"/>
            <w:gridSpan w:val="2"/>
          </w:tcPr>
          <w:p w14:paraId="135FC974" w14:textId="77777777" w:rsidR="00F1362A" w:rsidRPr="00097A86" w:rsidRDefault="00F1362A" w:rsidP="00D22D3F">
            <w:pPr>
              <w:pStyle w:val="ENoteTableText"/>
            </w:pPr>
            <w:r>
              <w:t>am F2018L00923</w:t>
            </w:r>
          </w:p>
        </w:tc>
      </w:tr>
      <w:tr w:rsidR="00F1362A" w:rsidRPr="00097A86" w14:paraId="311701C2" w14:textId="77777777" w:rsidTr="00C20CC2">
        <w:tblPrEx>
          <w:jc w:val="center"/>
        </w:tblPrEx>
        <w:trPr>
          <w:gridAfter w:val="1"/>
          <w:wAfter w:w="37" w:type="pct"/>
          <w:jc w:val="center"/>
        </w:trPr>
        <w:tc>
          <w:tcPr>
            <w:tcW w:w="1390" w:type="pct"/>
            <w:gridSpan w:val="2"/>
          </w:tcPr>
          <w:p w14:paraId="538191C6" w14:textId="77777777" w:rsidR="00F1362A" w:rsidRPr="00097A86" w:rsidRDefault="00F1362A" w:rsidP="006D1F60">
            <w:pPr>
              <w:pStyle w:val="ENoteTableText"/>
              <w:tabs>
                <w:tab w:val="left" w:leader="dot" w:pos="2268"/>
              </w:tabs>
            </w:pPr>
            <w:r w:rsidRPr="00097A86">
              <w:rPr>
                <w:b/>
              </w:rPr>
              <w:t>Part</w:t>
            </w:r>
            <w:r>
              <w:rPr>
                <w:b/>
              </w:rPr>
              <w:t> </w:t>
            </w:r>
            <w:r w:rsidRPr="00097A86">
              <w:rPr>
                <w:b/>
              </w:rPr>
              <w:t>3.3</w:t>
            </w:r>
          </w:p>
        </w:tc>
        <w:tc>
          <w:tcPr>
            <w:tcW w:w="3573" w:type="pct"/>
            <w:gridSpan w:val="2"/>
          </w:tcPr>
          <w:p w14:paraId="2CC23278" w14:textId="77777777" w:rsidR="00F1362A" w:rsidRPr="00097A86" w:rsidRDefault="00F1362A" w:rsidP="00D22D3F">
            <w:pPr>
              <w:pStyle w:val="ENoteTableText"/>
            </w:pPr>
          </w:p>
        </w:tc>
      </w:tr>
      <w:tr w:rsidR="00F1362A" w:rsidRPr="00097A86" w14:paraId="65E9A70D" w14:textId="77777777" w:rsidTr="00C20CC2">
        <w:tblPrEx>
          <w:jc w:val="center"/>
        </w:tblPrEx>
        <w:trPr>
          <w:gridAfter w:val="1"/>
          <w:wAfter w:w="37" w:type="pct"/>
          <w:jc w:val="center"/>
        </w:trPr>
        <w:tc>
          <w:tcPr>
            <w:tcW w:w="1390" w:type="pct"/>
            <w:gridSpan w:val="2"/>
          </w:tcPr>
          <w:p w14:paraId="5AAB32FC"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3.3.1</w:t>
            </w:r>
          </w:p>
        </w:tc>
        <w:tc>
          <w:tcPr>
            <w:tcW w:w="3573" w:type="pct"/>
            <w:gridSpan w:val="2"/>
          </w:tcPr>
          <w:p w14:paraId="74CFE0A2" w14:textId="77777777" w:rsidR="00F1362A" w:rsidRPr="00097A86" w:rsidRDefault="00F1362A" w:rsidP="00D22D3F">
            <w:pPr>
              <w:pStyle w:val="ENoteTableText"/>
            </w:pPr>
          </w:p>
        </w:tc>
      </w:tr>
      <w:tr w:rsidR="00F1362A" w:rsidRPr="00097A86" w14:paraId="2510D8C4" w14:textId="77777777" w:rsidTr="00C20CC2">
        <w:tblPrEx>
          <w:jc w:val="center"/>
        </w:tblPrEx>
        <w:trPr>
          <w:gridAfter w:val="1"/>
          <w:wAfter w:w="37" w:type="pct"/>
          <w:jc w:val="center"/>
        </w:trPr>
        <w:tc>
          <w:tcPr>
            <w:tcW w:w="1390" w:type="pct"/>
            <w:gridSpan w:val="2"/>
          </w:tcPr>
          <w:p w14:paraId="4FBA95D5" w14:textId="77777777" w:rsidR="00F1362A" w:rsidRPr="00097A86" w:rsidRDefault="00F1362A" w:rsidP="006D1F60">
            <w:pPr>
              <w:pStyle w:val="ENoteTableText"/>
              <w:tabs>
                <w:tab w:val="left" w:leader="dot" w:pos="2268"/>
              </w:tabs>
            </w:pPr>
            <w:r w:rsidRPr="00097A86">
              <w:t>s 3.40A</w:t>
            </w:r>
            <w:r w:rsidRPr="00097A86">
              <w:tab/>
            </w:r>
          </w:p>
        </w:tc>
        <w:tc>
          <w:tcPr>
            <w:tcW w:w="3573" w:type="pct"/>
            <w:gridSpan w:val="2"/>
          </w:tcPr>
          <w:p w14:paraId="4412ECBD" w14:textId="77777777" w:rsidR="00F1362A" w:rsidRPr="00097A86" w:rsidRDefault="00F1362A" w:rsidP="00D22D3F">
            <w:pPr>
              <w:pStyle w:val="ENoteTableText"/>
            </w:pPr>
            <w:r w:rsidRPr="00097A86">
              <w:t>ad 2009 No.</w:t>
            </w:r>
            <w:r>
              <w:t> </w:t>
            </w:r>
            <w:r w:rsidRPr="00097A86">
              <w:t>1</w:t>
            </w:r>
          </w:p>
        </w:tc>
      </w:tr>
      <w:tr w:rsidR="00F1362A" w:rsidRPr="00097A86" w14:paraId="320BFB85" w14:textId="77777777" w:rsidTr="00C20CC2">
        <w:tblPrEx>
          <w:jc w:val="center"/>
        </w:tblPrEx>
        <w:trPr>
          <w:gridAfter w:val="1"/>
          <w:wAfter w:w="37" w:type="pct"/>
          <w:jc w:val="center"/>
        </w:trPr>
        <w:tc>
          <w:tcPr>
            <w:tcW w:w="1390" w:type="pct"/>
            <w:gridSpan w:val="2"/>
          </w:tcPr>
          <w:p w14:paraId="1258A355" w14:textId="77777777" w:rsidR="00F1362A" w:rsidRPr="00097A86" w:rsidRDefault="00F1362A" w:rsidP="006D1F60">
            <w:pPr>
              <w:pStyle w:val="ENoteTableText"/>
              <w:tabs>
                <w:tab w:val="left" w:leader="dot" w:pos="2268"/>
              </w:tabs>
            </w:pPr>
          </w:p>
        </w:tc>
        <w:tc>
          <w:tcPr>
            <w:tcW w:w="3573" w:type="pct"/>
            <w:gridSpan w:val="2"/>
          </w:tcPr>
          <w:p w14:paraId="6D7EBC55" w14:textId="77777777" w:rsidR="00F1362A" w:rsidRPr="00097A86" w:rsidRDefault="00F1362A" w:rsidP="00D22D3F">
            <w:pPr>
              <w:pStyle w:val="ENoteTableText"/>
            </w:pPr>
            <w:r w:rsidRPr="00097A86">
              <w:t>am 2014 No.</w:t>
            </w:r>
            <w:r>
              <w:t> </w:t>
            </w:r>
            <w:r w:rsidRPr="00097A86">
              <w:t>1; 2016 No 1</w:t>
            </w:r>
          </w:p>
        </w:tc>
      </w:tr>
      <w:tr w:rsidR="00F1362A" w:rsidRPr="00097A86" w14:paraId="3768F017" w14:textId="77777777" w:rsidTr="00C20CC2">
        <w:tblPrEx>
          <w:jc w:val="center"/>
        </w:tblPrEx>
        <w:trPr>
          <w:gridAfter w:val="1"/>
          <w:wAfter w:w="37" w:type="pct"/>
          <w:jc w:val="center"/>
        </w:trPr>
        <w:tc>
          <w:tcPr>
            <w:tcW w:w="1390" w:type="pct"/>
            <w:gridSpan w:val="2"/>
          </w:tcPr>
          <w:p w14:paraId="10BCF3DD" w14:textId="77777777" w:rsidR="00F1362A" w:rsidRPr="00097A86" w:rsidRDefault="00F1362A" w:rsidP="006D1F60">
            <w:pPr>
              <w:pStyle w:val="ENoteTableText"/>
              <w:tabs>
                <w:tab w:val="left" w:leader="dot" w:pos="2268"/>
              </w:tabs>
            </w:pPr>
            <w:r w:rsidRPr="00097A86">
              <w:t>s 3.41</w:t>
            </w:r>
            <w:r w:rsidRPr="00097A86">
              <w:tab/>
            </w:r>
          </w:p>
        </w:tc>
        <w:tc>
          <w:tcPr>
            <w:tcW w:w="3573" w:type="pct"/>
            <w:gridSpan w:val="2"/>
          </w:tcPr>
          <w:p w14:paraId="3BE410E5" w14:textId="77777777" w:rsidR="00F1362A" w:rsidRPr="00097A86" w:rsidRDefault="00F1362A" w:rsidP="00D22D3F">
            <w:pPr>
              <w:pStyle w:val="ENoteTableText"/>
            </w:pPr>
            <w:r w:rsidRPr="00097A86">
              <w:t>rs 2009 No.</w:t>
            </w:r>
            <w:r>
              <w:t> </w:t>
            </w:r>
            <w:r w:rsidRPr="00097A86">
              <w:t>1</w:t>
            </w:r>
          </w:p>
        </w:tc>
      </w:tr>
      <w:tr w:rsidR="00F1362A" w:rsidRPr="00097A86" w14:paraId="556AA527" w14:textId="77777777" w:rsidTr="00C20CC2">
        <w:tblPrEx>
          <w:jc w:val="center"/>
        </w:tblPrEx>
        <w:trPr>
          <w:gridAfter w:val="1"/>
          <w:wAfter w:w="37" w:type="pct"/>
          <w:jc w:val="center"/>
        </w:trPr>
        <w:tc>
          <w:tcPr>
            <w:tcW w:w="1390" w:type="pct"/>
            <w:gridSpan w:val="2"/>
          </w:tcPr>
          <w:p w14:paraId="4FCF8676"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3.3.2</w:t>
            </w:r>
          </w:p>
        </w:tc>
        <w:tc>
          <w:tcPr>
            <w:tcW w:w="3573" w:type="pct"/>
            <w:gridSpan w:val="2"/>
          </w:tcPr>
          <w:p w14:paraId="67662A1E" w14:textId="77777777" w:rsidR="00F1362A" w:rsidRPr="00097A86" w:rsidRDefault="00F1362A" w:rsidP="00D22D3F">
            <w:pPr>
              <w:pStyle w:val="ENoteTableText"/>
            </w:pPr>
          </w:p>
        </w:tc>
      </w:tr>
      <w:tr w:rsidR="00F1362A" w:rsidRPr="00097A86" w14:paraId="7A5C7579" w14:textId="77777777" w:rsidTr="00C20CC2">
        <w:tblPrEx>
          <w:jc w:val="center"/>
        </w:tblPrEx>
        <w:trPr>
          <w:gridAfter w:val="1"/>
          <w:wAfter w:w="37" w:type="pct"/>
          <w:jc w:val="center"/>
        </w:trPr>
        <w:tc>
          <w:tcPr>
            <w:tcW w:w="1390" w:type="pct"/>
            <w:gridSpan w:val="2"/>
          </w:tcPr>
          <w:p w14:paraId="774EA45A" w14:textId="77777777" w:rsidR="00F1362A" w:rsidRPr="00097A86" w:rsidRDefault="00F1362A" w:rsidP="00657E43">
            <w:pPr>
              <w:pStyle w:val="ENoteTableText"/>
              <w:tabs>
                <w:tab w:val="left" w:leader="dot" w:pos="2268"/>
              </w:tabs>
            </w:pPr>
            <w:r w:rsidRPr="00097A86">
              <w:t>Division</w:t>
            </w:r>
            <w:r>
              <w:t> </w:t>
            </w:r>
            <w:r w:rsidRPr="00097A86">
              <w:t>3.3.2 heading</w:t>
            </w:r>
            <w:r w:rsidRPr="00097A86">
              <w:tab/>
            </w:r>
          </w:p>
        </w:tc>
        <w:tc>
          <w:tcPr>
            <w:tcW w:w="3573" w:type="pct"/>
            <w:gridSpan w:val="2"/>
          </w:tcPr>
          <w:p w14:paraId="1F041313" w14:textId="77777777" w:rsidR="00F1362A" w:rsidRPr="00097A86" w:rsidRDefault="00F1362A" w:rsidP="00D22D3F">
            <w:pPr>
              <w:pStyle w:val="ENoteTableText"/>
            </w:pPr>
            <w:r w:rsidRPr="00097A86">
              <w:t>rs 2009 No.</w:t>
            </w:r>
            <w:r>
              <w:t> </w:t>
            </w:r>
            <w:r w:rsidRPr="00097A86">
              <w:t>1</w:t>
            </w:r>
          </w:p>
        </w:tc>
      </w:tr>
      <w:tr w:rsidR="00F1362A" w:rsidRPr="00097A86" w14:paraId="7570C9E9" w14:textId="77777777" w:rsidTr="00C20CC2">
        <w:tblPrEx>
          <w:jc w:val="center"/>
        </w:tblPrEx>
        <w:trPr>
          <w:gridAfter w:val="1"/>
          <w:wAfter w:w="37" w:type="pct"/>
          <w:jc w:val="center"/>
        </w:trPr>
        <w:tc>
          <w:tcPr>
            <w:tcW w:w="1390" w:type="pct"/>
            <w:gridSpan w:val="2"/>
          </w:tcPr>
          <w:p w14:paraId="48139E4A"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3.3.2.1</w:t>
            </w:r>
          </w:p>
        </w:tc>
        <w:tc>
          <w:tcPr>
            <w:tcW w:w="3573" w:type="pct"/>
            <w:gridSpan w:val="2"/>
          </w:tcPr>
          <w:p w14:paraId="33AC5620" w14:textId="77777777" w:rsidR="00F1362A" w:rsidRPr="00097A86" w:rsidRDefault="00F1362A" w:rsidP="00D22D3F">
            <w:pPr>
              <w:pStyle w:val="ENoteTableText"/>
            </w:pPr>
          </w:p>
        </w:tc>
      </w:tr>
      <w:tr w:rsidR="00F1362A" w:rsidRPr="00097A86" w14:paraId="7D87AFA7" w14:textId="77777777" w:rsidTr="00C20CC2">
        <w:tblPrEx>
          <w:jc w:val="center"/>
        </w:tblPrEx>
        <w:trPr>
          <w:gridAfter w:val="1"/>
          <w:wAfter w:w="37" w:type="pct"/>
          <w:jc w:val="center"/>
        </w:trPr>
        <w:tc>
          <w:tcPr>
            <w:tcW w:w="1390" w:type="pct"/>
            <w:gridSpan w:val="2"/>
          </w:tcPr>
          <w:p w14:paraId="02FEEA02" w14:textId="77777777" w:rsidR="00F1362A" w:rsidRPr="00097A86" w:rsidRDefault="00F1362A" w:rsidP="00657E43">
            <w:pPr>
              <w:pStyle w:val="ENoteTableText"/>
              <w:tabs>
                <w:tab w:val="left" w:leader="dot" w:pos="2268"/>
              </w:tabs>
            </w:pPr>
            <w:r w:rsidRPr="00097A86">
              <w:t>Subdivision</w:t>
            </w:r>
            <w:r>
              <w:t> </w:t>
            </w:r>
            <w:r w:rsidRPr="00097A86">
              <w:t>3.3.2.1</w:t>
            </w:r>
            <w:r w:rsidRPr="00097A86">
              <w:tab/>
            </w:r>
          </w:p>
        </w:tc>
        <w:tc>
          <w:tcPr>
            <w:tcW w:w="3573" w:type="pct"/>
            <w:gridSpan w:val="2"/>
          </w:tcPr>
          <w:p w14:paraId="0863F3AC" w14:textId="77777777" w:rsidR="00F1362A" w:rsidRPr="00097A86" w:rsidRDefault="00F1362A" w:rsidP="00D22D3F">
            <w:pPr>
              <w:pStyle w:val="ENoteTableText"/>
            </w:pPr>
            <w:r w:rsidRPr="00097A86">
              <w:t>ad 2010 No.</w:t>
            </w:r>
            <w:r>
              <w:t> </w:t>
            </w:r>
            <w:r w:rsidRPr="00097A86">
              <w:t>1</w:t>
            </w:r>
          </w:p>
        </w:tc>
      </w:tr>
      <w:tr w:rsidR="00F1362A" w:rsidRPr="00097A86" w14:paraId="2226AC8E" w14:textId="77777777" w:rsidTr="00C20CC2">
        <w:tblPrEx>
          <w:jc w:val="center"/>
        </w:tblPrEx>
        <w:trPr>
          <w:gridAfter w:val="1"/>
          <w:wAfter w:w="37" w:type="pct"/>
          <w:jc w:val="center"/>
        </w:trPr>
        <w:tc>
          <w:tcPr>
            <w:tcW w:w="1390" w:type="pct"/>
            <w:gridSpan w:val="2"/>
          </w:tcPr>
          <w:p w14:paraId="596A83E8" w14:textId="77777777" w:rsidR="00F1362A" w:rsidRPr="00097A86" w:rsidRDefault="00F1362A" w:rsidP="006D1F60">
            <w:pPr>
              <w:pStyle w:val="ENoteTableText"/>
              <w:tabs>
                <w:tab w:val="left" w:leader="dot" w:pos="2268"/>
              </w:tabs>
            </w:pPr>
            <w:r w:rsidRPr="00097A86">
              <w:t>s 3.42</w:t>
            </w:r>
            <w:r w:rsidRPr="00097A86">
              <w:tab/>
            </w:r>
          </w:p>
        </w:tc>
        <w:tc>
          <w:tcPr>
            <w:tcW w:w="3573" w:type="pct"/>
            <w:gridSpan w:val="2"/>
          </w:tcPr>
          <w:p w14:paraId="66533BB6" w14:textId="77777777" w:rsidR="00F1362A" w:rsidRPr="00097A86" w:rsidRDefault="00F1362A" w:rsidP="00D22D3F">
            <w:pPr>
              <w:pStyle w:val="ENoteTableText"/>
            </w:pPr>
            <w:r w:rsidRPr="00097A86">
              <w:t>rs 2009 No.</w:t>
            </w:r>
            <w:r>
              <w:t> </w:t>
            </w:r>
            <w:r w:rsidRPr="00097A86">
              <w:t>1</w:t>
            </w:r>
          </w:p>
        </w:tc>
      </w:tr>
      <w:tr w:rsidR="00F1362A" w:rsidRPr="00097A86" w14:paraId="074C2E7B" w14:textId="77777777" w:rsidTr="00C20CC2">
        <w:tblPrEx>
          <w:jc w:val="center"/>
        </w:tblPrEx>
        <w:trPr>
          <w:gridAfter w:val="1"/>
          <w:wAfter w:w="37" w:type="pct"/>
          <w:jc w:val="center"/>
        </w:trPr>
        <w:tc>
          <w:tcPr>
            <w:tcW w:w="1390" w:type="pct"/>
            <w:gridSpan w:val="2"/>
          </w:tcPr>
          <w:p w14:paraId="40B68B98" w14:textId="77777777" w:rsidR="00F1362A" w:rsidRPr="00097A86" w:rsidRDefault="00F1362A" w:rsidP="006D1F60">
            <w:pPr>
              <w:pStyle w:val="ENoteTableText"/>
              <w:tabs>
                <w:tab w:val="left" w:leader="dot" w:pos="2268"/>
              </w:tabs>
            </w:pPr>
          </w:p>
        </w:tc>
        <w:tc>
          <w:tcPr>
            <w:tcW w:w="3573" w:type="pct"/>
            <w:gridSpan w:val="2"/>
          </w:tcPr>
          <w:p w14:paraId="36160F0D" w14:textId="77777777" w:rsidR="00F1362A" w:rsidRPr="00097A86" w:rsidRDefault="00F1362A" w:rsidP="00D22D3F">
            <w:pPr>
              <w:pStyle w:val="ENoteTableText"/>
            </w:pPr>
            <w:r w:rsidRPr="00097A86">
              <w:t>am 2010 No.</w:t>
            </w:r>
            <w:r>
              <w:t> </w:t>
            </w:r>
            <w:r w:rsidRPr="00097A86">
              <w:t>1; 2013 No.</w:t>
            </w:r>
            <w:r>
              <w:t> </w:t>
            </w:r>
            <w:r w:rsidRPr="00097A86">
              <w:t>1</w:t>
            </w:r>
          </w:p>
        </w:tc>
      </w:tr>
      <w:tr w:rsidR="00F1362A" w:rsidRPr="00097A86" w14:paraId="400B8B2F" w14:textId="77777777" w:rsidTr="00C20CC2">
        <w:tblPrEx>
          <w:jc w:val="center"/>
        </w:tblPrEx>
        <w:trPr>
          <w:gridAfter w:val="1"/>
          <w:wAfter w:w="37" w:type="pct"/>
          <w:jc w:val="center"/>
        </w:trPr>
        <w:tc>
          <w:tcPr>
            <w:tcW w:w="1390" w:type="pct"/>
            <w:gridSpan w:val="2"/>
          </w:tcPr>
          <w:p w14:paraId="109FE679"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3.3.2.2</w:t>
            </w:r>
          </w:p>
        </w:tc>
        <w:tc>
          <w:tcPr>
            <w:tcW w:w="3573" w:type="pct"/>
            <w:gridSpan w:val="2"/>
          </w:tcPr>
          <w:p w14:paraId="615975DD" w14:textId="77777777" w:rsidR="00F1362A" w:rsidRPr="00097A86" w:rsidRDefault="00F1362A" w:rsidP="00D22D3F">
            <w:pPr>
              <w:pStyle w:val="ENoteTableText"/>
            </w:pPr>
          </w:p>
        </w:tc>
      </w:tr>
      <w:tr w:rsidR="00F1362A" w:rsidRPr="00097A86" w14:paraId="7D3F1A17" w14:textId="77777777" w:rsidTr="00C20CC2">
        <w:tblPrEx>
          <w:jc w:val="center"/>
        </w:tblPrEx>
        <w:trPr>
          <w:gridAfter w:val="1"/>
          <w:wAfter w:w="37" w:type="pct"/>
          <w:jc w:val="center"/>
        </w:trPr>
        <w:tc>
          <w:tcPr>
            <w:tcW w:w="1390" w:type="pct"/>
            <w:gridSpan w:val="2"/>
          </w:tcPr>
          <w:p w14:paraId="15E75322" w14:textId="77777777" w:rsidR="00F1362A" w:rsidRPr="00097A86" w:rsidRDefault="00F1362A" w:rsidP="00657E43">
            <w:pPr>
              <w:pStyle w:val="ENoteTableText"/>
              <w:tabs>
                <w:tab w:val="left" w:leader="dot" w:pos="2268"/>
              </w:tabs>
            </w:pPr>
            <w:r w:rsidRPr="00097A86">
              <w:t>Subdivision</w:t>
            </w:r>
            <w:r>
              <w:t> </w:t>
            </w:r>
            <w:r w:rsidRPr="00097A86">
              <w:t>3.3.2.2 heading</w:t>
            </w:r>
            <w:r w:rsidRPr="00097A86">
              <w:tab/>
            </w:r>
          </w:p>
        </w:tc>
        <w:tc>
          <w:tcPr>
            <w:tcW w:w="3573" w:type="pct"/>
            <w:gridSpan w:val="2"/>
          </w:tcPr>
          <w:p w14:paraId="666CF6A6" w14:textId="77777777" w:rsidR="00F1362A" w:rsidRPr="00097A86" w:rsidRDefault="00F1362A" w:rsidP="00D22D3F">
            <w:pPr>
              <w:pStyle w:val="ENoteTableText"/>
            </w:pPr>
            <w:r w:rsidRPr="00097A86">
              <w:t>ad 2010 No.</w:t>
            </w:r>
            <w:r>
              <w:t> </w:t>
            </w:r>
            <w:r w:rsidRPr="00097A86">
              <w:t>1</w:t>
            </w:r>
          </w:p>
        </w:tc>
      </w:tr>
      <w:tr w:rsidR="00F1362A" w:rsidRPr="00097A86" w14:paraId="0B84C1AC" w14:textId="77777777" w:rsidTr="00C20CC2">
        <w:tblPrEx>
          <w:jc w:val="center"/>
        </w:tblPrEx>
        <w:trPr>
          <w:gridAfter w:val="1"/>
          <w:wAfter w:w="37" w:type="pct"/>
          <w:jc w:val="center"/>
        </w:trPr>
        <w:tc>
          <w:tcPr>
            <w:tcW w:w="1390" w:type="pct"/>
            <w:gridSpan w:val="2"/>
          </w:tcPr>
          <w:p w14:paraId="78D8D1BF" w14:textId="77777777" w:rsidR="00F1362A" w:rsidRPr="00097A86" w:rsidRDefault="00F1362A" w:rsidP="006D1F60">
            <w:pPr>
              <w:pStyle w:val="ENoteTableText"/>
              <w:tabs>
                <w:tab w:val="left" w:leader="dot" w:pos="2268"/>
              </w:tabs>
            </w:pPr>
            <w:r w:rsidRPr="00097A86">
              <w:t>s 3.43</w:t>
            </w:r>
            <w:r w:rsidRPr="00097A86">
              <w:tab/>
            </w:r>
          </w:p>
        </w:tc>
        <w:tc>
          <w:tcPr>
            <w:tcW w:w="3573" w:type="pct"/>
            <w:gridSpan w:val="2"/>
          </w:tcPr>
          <w:p w14:paraId="30F39415" w14:textId="77777777" w:rsidR="00F1362A" w:rsidRPr="00097A86" w:rsidRDefault="00F1362A" w:rsidP="00D22D3F">
            <w:pPr>
              <w:pStyle w:val="ENoteTableText"/>
            </w:pPr>
            <w:r w:rsidRPr="00097A86">
              <w:t>am 2009 No.</w:t>
            </w:r>
            <w:r>
              <w:t> </w:t>
            </w:r>
            <w:r w:rsidRPr="00097A86">
              <w:t>1; 2011 No.</w:t>
            </w:r>
            <w:r>
              <w:t> </w:t>
            </w:r>
            <w:r w:rsidRPr="00097A86">
              <w:t>1; 2015 No 2</w:t>
            </w:r>
          </w:p>
        </w:tc>
      </w:tr>
      <w:tr w:rsidR="00F1362A" w:rsidRPr="00097A86" w14:paraId="353B4827" w14:textId="77777777" w:rsidTr="00C20CC2">
        <w:tblPrEx>
          <w:jc w:val="center"/>
        </w:tblPrEx>
        <w:trPr>
          <w:gridAfter w:val="1"/>
          <w:wAfter w:w="37" w:type="pct"/>
          <w:jc w:val="center"/>
        </w:trPr>
        <w:tc>
          <w:tcPr>
            <w:tcW w:w="1390" w:type="pct"/>
            <w:gridSpan w:val="2"/>
          </w:tcPr>
          <w:p w14:paraId="7F06A75E" w14:textId="77777777" w:rsidR="00F1362A" w:rsidRPr="00097A86" w:rsidRDefault="00F1362A" w:rsidP="006D1F60">
            <w:pPr>
              <w:pStyle w:val="ENoteTableText"/>
              <w:tabs>
                <w:tab w:val="left" w:leader="dot" w:pos="2268"/>
              </w:tabs>
            </w:pPr>
            <w:r w:rsidRPr="00097A86">
              <w:t>s 3.44</w:t>
            </w:r>
            <w:r w:rsidRPr="00097A86">
              <w:tab/>
            </w:r>
          </w:p>
        </w:tc>
        <w:tc>
          <w:tcPr>
            <w:tcW w:w="3573" w:type="pct"/>
            <w:gridSpan w:val="2"/>
          </w:tcPr>
          <w:p w14:paraId="3D4FB0B8" w14:textId="77777777" w:rsidR="00F1362A" w:rsidRPr="00097A86" w:rsidRDefault="00F1362A" w:rsidP="00D22D3F">
            <w:pPr>
              <w:pStyle w:val="ENoteTableText"/>
            </w:pPr>
            <w:r w:rsidRPr="00097A86">
              <w:t>am 2009 No.</w:t>
            </w:r>
            <w:r>
              <w:t> </w:t>
            </w:r>
            <w:r w:rsidRPr="00097A86">
              <w:t>1; 2015 No 1</w:t>
            </w:r>
          </w:p>
        </w:tc>
      </w:tr>
      <w:tr w:rsidR="00F1362A" w:rsidRPr="00097A86" w14:paraId="514DEB76" w14:textId="77777777" w:rsidTr="00C20CC2">
        <w:tblPrEx>
          <w:jc w:val="center"/>
        </w:tblPrEx>
        <w:trPr>
          <w:gridAfter w:val="1"/>
          <w:wAfter w:w="37" w:type="pct"/>
          <w:jc w:val="center"/>
        </w:trPr>
        <w:tc>
          <w:tcPr>
            <w:tcW w:w="1390" w:type="pct"/>
            <w:gridSpan w:val="2"/>
          </w:tcPr>
          <w:p w14:paraId="3E4BDAAF" w14:textId="77777777" w:rsidR="00F1362A" w:rsidRPr="00097A86" w:rsidRDefault="00F1362A" w:rsidP="006D1F60">
            <w:pPr>
              <w:pStyle w:val="ENoteTableText"/>
              <w:tabs>
                <w:tab w:val="left" w:leader="dot" w:pos="2268"/>
              </w:tabs>
            </w:pPr>
            <w:r w:rsidRPr="00097A86">
              <w:t>s 3.45</w:t>
            </w:r>
            <w:r w:rsidRPr="00097A86">
              <w:tab/>
            </w:r>
          </w:p>
        </w:tc>
        <w:tc>
          <w:tcPr>
            <w:tcW w:w="3573" w:type="pct"/>
            <w:gridSpan w:val="2"/>
          </w:tcPr>
          <w:p w14:paraId="7F112F3B" w14:textId="77777777" w:rsidR="00F1362A" w:rsidRPr="00097A86" w:rsidRDefault="00F1362A" w:rsidP="00D22D3F">
            <w:pPr>
              <w:pStyle w:val="ENoteTableText"/>
            </w:pPr>
            <w:r w:rsidRPr="00097A86">
              <w:t>am 2009 No.</w:t>
            </w:r>
            <w:r>
              <w:t> </w:t>
            </w:r>
            <w:r w:rsidRPr="00097A86">
              <w:t>1</w:t>
            </w:r>
          </w:p>
        </w:tc>
      </w:tr>
      <w:tr w:rsidR="00F1362A" w:rsidRPr="00097A86" w14:paraId="552F6ECB" w14:textId="77777777" w:rsidTr="00C20CC2">
        <w:tblPrEx>
          <w:jc w:val="center"/>
        </w:tblPrEx>
        <w:trPr>
          <w:gridAfter w:val="1"/>
          <w:wAfter w:w="37" w:type="pct"/>
          <w:jc w:val="center"/>
        </w:trPr>
        <w:tc>
          <w:tcPr>
            <w:tcW w:w="1390" w:type="pct"/>
            <w:gridSpan w:val="2"/>
          </w:tcPr>
          <w:p w14:paraId="354EDF9D" w14:textId="77777777" w:rsidR="00F1362A" w:rsidRPr="00097A86" w:rsidRDefault="00F1362A" w:rsidP="006D1F60">
            <w:pPr>
              <w:pStyle w:val="ENoteTableText"/>
              <w:tabs>
                <w:tab w:val="left" w:leader="dot" w:pos="2268"/>
              </w:tabs>
            </w:pPr>
          </w:p>
        </w:tc>
        <w:tc>
          <w:tcPr>
            <w:tcW w:w="3573" w:type="pct"/>
            <w:gridSpan w:val="2"/>
          </w:tcPr>
          <w:p w14:paraId="2DE56A65" w14:textId="77777777" w:rsidR="00F1362A" w:rsidRPr="00097A86" w:rsidRDefault="00F1362A" w:rsidP="00D22D3F">
            <w:pPr>
              <w:pStyle w:val="ENoteTableText"/>
            </w:pPr>
            <w:r w:rsidRPr="00097A86">
              <w:t>rs 2011 No.</w:t>
            </w:r>
            <w:r>
              <w:t> </w:t>
            </w:r>
            <w:r w:rsidRPr="00097A86">
              <w:t>1</w:t>
            </w:r>
          </w:p>
        </w:tc>
      </w:tr>
      <w:tr w:rsidR="00F1362A" w:rsidRPr="00097A86" w14:paraId="107329AE" w14:textId="77777777" w:rsidTr="00C20CC2">
        <w:tblPrEx>
          <w:jc w:val="center"/>
        </w:tblPrEx>
        <w:trPr>
          <w:gridAfter w:val="1"/>
          <w:wAfter w:w="37" w:type="pct"/>
          <w:jc w:val="center"/>
        </w:trPr>
        <w:tc>
          <w:tcPr>
            <w:tcW w:w="1390" w:type="pct"/>
            <w:gridSpan w:val="2"/>
          </w:tcPr>
          <w:p w14:paraId="17BA543D" w14:textId="77777777" w:rsidR="00F1362A" w:rsidRPr="00097A86" w:rsidRDefault="00F1362A" w:rsidP="006D1F60">
            <w:pPr>
              <w:pStyle w:val="ENoteTableText"/>
              <w:tabs>
                <w:tab w:val="left" w:leader="dot" w:pos="2268"/>
              </w:tabs>
            </w:pPr>
          </w:p>
        </w:tc>
        <w:tc>
          <w:tcPr>
            <w:tcW w:w="3573" w:type="pct"/>
            <w:gridSpan w:val="2"/>
          </w:tcPr>
          <w:p w14:paraId="623E709D" w14:textId="77777777" w:rsidR="00F1362A" w:rsidRPr="00097A86" w:rsidRDefault="00F1362A" w:rsidP="00D22D3F">
            <w:pPr>
              <w:pStyle w:val="ENoteTableText"/>
            </w:pPr>
            <w:r w:rsidRPr="00097A86">
              <w:t>am 2015 No 1; 2015 No 2</w:t>
            </w:r>
          </w:p>
        </w:tc>
      </w:tr>
      <w:tr w:rsidR="00F1362A" w:rsidRPr="00097A86" w14:paraId="39E74317" w14:textId="77777777" w:rsidTr="00C20CC2">
        <w:tblPrEx>
          <w:jc w:val="center"/>
        </w:tblPrEx>
        <w:trPr>
          <w:gridAfter w:val="1"/>
          <w:wAfter w:w="37" w:type="pct"/>
          <w:jc w:val="center"/>
        </w:trPr>
        <w:tc>
          <w:tcPr>
            <w:tcW w:w="1390" w:type="pct"/>
            <w:gridSpan w:val="2"/>
          </w:tcPr>
          <w:p w14:paraId="2D12A83E" w14:textId="77777777" w:rsidR="00F1362A" w:rsidRPr="00097A86" w:rsidRDefault="00F1362A" w:rsidP="006D1F60">
            <w:pPr>
              <w:pStyle w:val="ENoteTableText"/>
              <w:tabs>
                <w:tab w:val="left" w:leader="dot" w:pos="2268"/>
              </w:tabs>
            </w:pPr>
            <w:r w:rsidRPr="00097A86">
              <w:t>s 3.45A</w:t>
            </w:r>
            <w:r w:rsidRPr="00097A86">
              <w:tab/>
            </w:r>
          </w:p>
        </w:tc>
        <w:tc>
          <w:tcPr>
            <w:tcW w:w="3573" w:type="pct"/>
            <w:gridSpan w:val="2"/>
          </w:tcPr>
          <w:p w14:paraId="3FCD168F" w14:textId="77777777" w:rsidR="00F1362A" w:rsidRPr="00097A86" w:rsidRDefault="00F1362A" w:rsidP="00D22D3F">
            <w:pPr>
              <w:pStyle w:val="ENoteTableText"/>
            </w:pPr>
            <w:r w:rsidRPr="00097A86">
              <w:t>ad 2015 No 2</w:t>
            </w:r>
          </w:p>
        </w:tc>
      </w:tr>
      <w:tr w:rsidR="00F1362A" w:rsidRPr="00097A86" w14:paraId="2CFA2153" w14:textId="77777777" w:rsidTr="00C20CC2">
        <w:tblPrEx>
          <w:jc w:val="center"/>
        </w:tblPrEx>
        <w:trPr>
          <w:gridAfter w:val="1"/>
          <w:wAfter w:w="37" w:type="pct"/>
          <w:jc w:val="center"/>
        </w:trPr>
        <w:tc>
          <w:tcPr>
            <w:tcW w:w="1390" w:type="pct"/>
            <w:gridSpan w:val="2"/>
          </w:tcPr>
          <w:p w14:paraId="7805ACB5" w14:textId="77777777" w:rsidR="00F1362A" w:rsidRPr="00097A86" w:rsidRDefault="00F1362A" w:rsidP="006D1F60">
            <w:pPr>
              <w:pStyle w:val="ENoteTableText"/>
              <w:tabs>
                <w:tab w:val="left" w:leader="dot" w:pos="2268"/>
              </w:tabs>
            </w:pPr>
            <w:r w:rsidRPr="00097A86">
              <w:t>s 3.46</w:t>
            </w:r>
            <w:r w:rsidRPr="00097A86">
              <w:tab/>
            </w:r>
          </w:p>
        </w:tc>
        <w:tc>
          <w:tcPr>
            <w:tcW w:w="3573" w:type="pct"/>
            <w:gridSpan w:val="2"/>
          </w:tcPr>
          <w:p w14:paraId="0CBF966A" w14:textId="77777777" w:rsidR="00F1362A" w:rsidRPr="00097A86" w:rsidRDefault="00F1362A" w:rsidP="00D22D3F">
            <w:pPr>
              <w:pStyle w:val="ENoteTableText"/>
            </w:pPr>
            <w:r w:rsidRPr="00097A86">
              <w:t>am 2009 No.</w:t>
            </w:r>
            <w:r>
              <w:t> </w:t>
            </w:r>
            <w:r w:rsidRPr="00097A86">
              <w:t>1</w:t>
            </w:r>
          </w:p>
        </w:tc>
      </w:tr>
      <w:tr w:rsidR="00F1362A" w:rsidRPr="00097A86" w14:paraId="2A70439E" w14:textId="77777777" w:rsidTr="00C20CC2">
        <w:tblPrEx>
          <w:jc w:val="center"/>
        </w:tblPrEx>
        <w:trPr>
          <w:gridAfter w:val="1"/>
          <w:wAfter w:w="37" w:type="pct"/>
          <w:jc w:val="center"/>
        </w:trPr>
        <w:tc>
          <w:tcPr>
            <w:tcW w:w="1390" w:type="pct"/>
            <w:gridSpan w:val="2"/>
          </w:tcPr>
          <w:p w14:paraId="12DD2534" w14:textId="77777777" w:rsidR="00F1362A" w:rsidRPr="00097A86" w:rsidRDefault="00F1362A" w:rsidP="006D1F60">
            <w:pPr>
              <w:pStyle w:val="ENoteTableText"/>
              <w:tabs>
                <w:tab w:val="left" w:leader="dot" w:pos="2268"/>
              </w:tabs>
            </w:pPr>
          </w:p>
        </w:tc>
        <w:tc>
          <w:tcPr>
            <w:tcW w:w="3573" w:type="pct"/>
            <w:gridSpan w:val="2"/>
          </w:tcPr>
          <w:p w14:paraId="48E8EA45" w14:textId="77777777" w:rsidR="00F1362A" w:rsidRPr="00097A86" w:rsidRDefault="00F1362A" w:rsidP="00D22D3F">
            <w:pPr>
              <w:pStyle w:val="ENoteTableText"/>
            </w:pPr>
            <w:r w:rsidRPr="00097A86">
              <w:t>rs 2011 No.</w:t>
            </w:r>
            <w:r>
              <w:t> </w:t>
            </w:r>
            <w:r w:rsidRPr="00097A86">
              <w:t>1</w:t>
            </w:r>
          </w:p>
        </w:tc>
      </w:tr>
      <w:tr w:rsidR="00F1362A" w:rsidRPr="00097A86" w14:paraId="06D5575A" w14:textId="77777777" w:rsidTr="00C20CC2">
        <w:tblPrEx>
          <w:jc w:val="center"/>
        </w:tblPrEx>
        <w:trPr>
          <w:gridAfter w:val="1"/>
          <w:wAfter w:w="37" w:type="pct"/>
          <w:jc w:val="center"/>
        </w:trPr>
        <w:tc>
          <w:tcPr>
            <w:tcW w:w="1390" w:type="pct"/>
            <w:gridSpan w:val="2"/>
          </w:tcPr>
          <w:p w14:paraId="2FDEC31D"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3.3.2.3</w:t>
            </w:r>
          </w:p>
        </w:tc>
        <w:tc>
          <w:tcPr>
            <w:tcW w:w="3573" w:type="pct"/>
            <w:gridSpan w:val="2"/>
          </w:tcPr>
          <w:p w14:paraId="0FF00AA7" w14:textId="77777777" w:rsidR="00F1362A" w:rsidRPr="00097A86" w:rsidRDefault="00F1362A" w:rsidP="00D22D3F">
            <w:pPr>
              <w:pStyle w:val="ENoteTableText"/>
            </w:pPr>
          </w:p>
        </w:tc>
      </w:tr>
      <w:tr w:rsidR="00F1362A" w:rsidRPr="00097A86" w14:paraId="03BFE35A" w14:textId="77777777" w:rsidTr="00C20CC2">
        <w:tblPrEx>
          <w:jc w:val="center"/>
        </w:tblPrEx>
        <w:trPr>
          <w:gridAfter w:val="1"/>
          <w:wAfter w:w="37" w:type="pct"/>
          <w:jc w:val="center"/>
        </w:trPr>
        <w:tc>
          <w:tcPr>
            <w:tcW w:w="1390" w:type="pct"/>
            <w:gridSpan w:val="2"/>
          </w:tcPr>
          <w:p w14:paraId="4184D164" w14:textId="77777777" w:rsidR="00F1362A" w:rsidRPr="00097A86" w:rsidRDefault="00F1362A" w:rsidP="006C1D96">
            <w:pPr>
              <w:pStyle w:val="ENoteTableText"/>
              <w:tabs>
                <w:tab w:val="left" w:leader="dot" w:pos="2268"/>
              </w:tabs>
            </w:pPr>
            <w:r w:rsidRPr="00097A86">
              <w:t>Subdivision</w:t>
            </w:r>
            <w:r>
              <w:t> </w:t>
            </w:r>
            <w:r w:rsidRPr="00097A86">
              <w:t>3.3.2.3</w:t>
            </w:r>
            <w:r w:rsidRPr="00097A86">
              <w:tab/>
            </w:r>
          </w:p>
        </w:tc>
        <w:tc>
          <w:tcPr>
            <w:tcW w:w="3573" w:type="pct"/>
            <w:gridSpan w:val="2"/>
          </w:tcPr>
          <w:p w14:paraId="1F61BDED" w14:textId="77777777" w:rsidR="00F1362A" w:rsidRPr="00097A86" w:rsidRDefault="00F1362A" w:rsidP="00D22D3F">
            <w:pPr>
              <w:pStyle w:val="ENoteTableText"/>
            </w:pPr>
            <w:r w:rsidRPr="00097A86">
              <w:t>ad 2010 No.</w:t>
            </w:r>
            <w:r>
              <w:t> </w:t>
            </w:r>
            <w:r w:rsidRPr="00097A86">
              <w:t>1</w:t>
            </w:r>
          </w:p>
        </w:tc>
      </w:tr>
      <w:tr w:rsidR="00F1362A" w:rsidRPr="00097A86" w14:paraId="47900E20" w14:textId="77777777" w:rsidTr="00C20CC2">
        <w:tblPrEx>
          <w:jc w:val="center"/>
        </w:tblPrEx>
        <w:trPr>
          <w:gridAfter w:val="1"/>
          <w:wAfter w:w="37" w:type="pct"/>
          <w:jc w:val="center"/>
        </w:trPr>
        <w:tc>
          <w:tcPr>
            <w:tcW w:w="1390" w:type="pct"/>
            <w:gridSpan w:val="2"/>
          </w:tcPr>
          <w:p w14:paraId="73819449" w14:textId="77777777" w:rsidR="00F1362A" w:rsidRPr="00097A86" w:rsidRDefault="00F1362A" w:rsidP="006D1F60">
            <w:pPr>
              <w:pStyle w:val="ENoteTableText"/>
              <w:tabs>
                <w:tab w:val="left" w:leader="dot" w:pos="2268"/>
              </w:tabs>
            </w:pPr>
            <w:r w:rsidRPr="00097A86">
              <w:t>s 3.46A</w:t>
            </w:r>
            <w:r w:rsidRPr="00097A86">
              <w:tab/>
            </w:r>
          </w:p>
        </w:tc>
        <w:tc>
          <w:tcPr>
            <w:tcW w:w="3573" w:type="pct"/>
            <w:gridSpan w:val="2"/>
          </w:tcPr>
          <w:p w14:paraId="4D22B53F" w14:textId="77777777" w:rsidR="00F1362A" w:rsidRPr="00097A86" w:rsidRDefault="00F1362A" w:rsidP="00D22D3F">
            <w:pPr>
              <w:pStyle w:val="ENoteTableText"/>
            </w:pPr>
            <w:r w:rsidRPr="00097A86">
              <w:t>ad 2010 No.</w:t>
            </w:r>
            <w:r>
              <w:t> </w:t>
            </w:r>
            <w:r w:rsidRPr="00097A86">
              <w:t>1</w:t>
            </w:r>
          </w:p>
        </w:tc>
      </w:tr>
      <w:tr w:rsidR="00F1362A" w:rsidRPr="00097A86" w14:paraId="10FECCCD" w14:textId="77777777" w:rsidTr="00C20CC2">
        <w:tblPrEx>
          <w:jc w:val="center"/>
        </w:tblPrEx>
        <w:trPr>
          <w:gridAfter w:val="1"/>
          <w:wAfter w:w="37" w:type="pct"/>
          <w:jc w:val="center"/>
        </w:trPr>
        <w:tc>
          <w:tcPr>
            <w:tcW w:w="1390" w:type="pct"/>
            <w:gridSpan w:val="2"/>
          </w:tcPr>
          <w:p w14:paraId="7C7AAC1A" w14:textId="77777777" w:rsidR="00F1362A" w:rsidRPr="00097A86" w:rsidRDefault="00F1362A" w:rsidP="006D1F60">
            <w:pPr>
              <w:pStyle w:val="ENoteTableText"/>
              <w:tabs>
                <w:tab w:val="left" w:leader="dot" w:pos="2268"/>
              </w:tabs>
            </w:pPr>
          </w:p>
        </w:tc>
        <w:tc>
          <w:tcPr>
            <w:tcW w:w="3573" w:type="pct"/>
            <w:gridSpan w:val="2"/>
          </w:tcPr>
          <w:p w14:paraId="0929506B" w14:textId="77777777" w:rsidR="00F1362A" w:rsidRPr="00097A86" w:rsidRDefault="00F1362A" w:rsidP="00D22D3F">
            <w:pPr>
              <w:pStyle w:val="ENoteTableText"/>
            </w:pPr>
            <w:r w:rsidRPr="00097A86">
              <w:t>rs 2012 No.</w:t>
            </w:r>
            <w:r>
              <w:t> </w:t>
            </w:r>
            <w:r w:rsidRPr="00097A86">
              <w:t>1</w:t>
            </w:r>
          </w:p>
        </w:tc>
      </w:tr>
      <w:tr w:rsidR="00F1362A" w:rsidRPr="00097A86" w14:paraId="67F1A28E" w14:textId="77777777" w:rsidTr="00C20CC2">
        <w:tblPrEx>
          <w:jc w:val="center"/>
        </w:tblPrEx>
        <w:trPr>
          <w:gridAfter w:val="1"/>
          <w:wAfter w:w="37" w:type="pct"/>
          <w:jc w:val="center"/>
        </w:trPr>
        <w:tc>
          <w:tcPr>
            <w:tcW w:w="1390" w:type="pct"/>
            <w:gridSpan w:val="2"/>
          </w:tcPr>
          <w:p w14:paraId="1A03833B" w14:textId="77777777" w:rsidR="00F1362A" w:rsidRPr="00097A86" w:rsidRDefault="00F1362A" w:rsidP="006D1F60">
            <w:pPr>
              <w:pStyle w:val="ENoteTableText"/>
              <w:tabs>
                <w:tab w:val="left" w:leader="dot" w:pos="2268"/>
              </w:tabs>
            </w:pPr>
          </w:p>
        </w:tc>
        <w:tc>
          <w:tcPr>
            <w:tcW w:w="3573" w:type="pct"/>
            <w:gridSpan w:val="2"/>
          </w:tcPr>
          <w:p w14:paraId="13CE2F1A" w14:textId="77777777" w:rsidR="00F1362A" w:rsidRPr="00097A86" w:rsidRDefault="00F1362A" w:rsidP="00D22D3F">
            <w:pPr>
              <w:pStyle w:val="ENoteTableText"/>
            </w:pPr>
            <w:r w:rsidRPr="00097A86">
              <w:t>am 2013 No.</w:t>
            </w:r>
            <w:r>
              <w:t> </w:t>
            </w:r>
            <w:r w:rsidRPr="00097A86">
              <w:t>1; 2014 No.</w:t>
            </w:r>
            <w:r>
              <w:t> </w:t>
            </w:r>
            <w:r w:rsidRPr="00097A86">
              <w:t>1</w:t>
            </w:r>
          </w:p>
        </w:tc>
      </w:tr>
      <w:tr w:rsidR="00F1362A" w:rsidRPr="00097A86" w14:paraId="5376CDDD" w14:textId="77777777" w:rsidTr="00C20CC2">
        <w:tblPrEx>
          <w:jc w:val="center"/>
        </w:tblPrEx>
        <w:trPr>
          <w:gridAfter w:val="1"/>
          <w:wAfter w:w="37" w:type="pct"/>
          <w:jc w:val="center"/>
        </w:trPr>
        <w:tc>
          <w:tcPr>
            <w:tcW w:w="1390" w:type="pct"/>
            <w:gridSpan w:val="2"/>
          </w:tcPr>
          <w:p w14:paraId="3BF5FE93" w14:textId="77777777" w:rsidR="00F1362A" w:rsidRPr="00097A86" w:rsidRDefault="00F1362A" w:rsidP="006D1F60">
            <w:pPr>
              <w:pStyle w:val="ENoteTableText"/>
              <w:tabs>
                <w:tab w:val="left" w:leader="dot" w:pos="2268"/>
              </w:tabs>
            </w:pPr>
            <w:r w:rsidRPr="00097A86">
              <w:t>s 3.46B</w:t>
            </w:r>
            <w:r w:rsidRPr="00097A86">
              <w:tab/>
            </w:r>
          </w:p>
        </w:tc>
        <w:tc>
          <w:tcPr>
            <w:tcW w:w="3573" w:type="pct"/>
            <w:gridSpan w:val="2"/>
          </w:tcPr>
          <w:p w14:paraId="673410D6" w14:textId="77777777" w:rsidR="00F1362A" w:rsidRPr="00097A86" w:rsidRDefault="00F1362A" w:rsidP="00D22D3F">
            <w:pPr>
              <w:pStyle w:val="ENoteTableText"/>
            </w:pPr>
            <w:r w:rsidRPr="00097A86">
              <w:t>ad 2013 No.</w:t>
            </w:r>
            <w:r>
              <w:t> </w:t>
            </w:r>
            <w:r w:rsidRPr="00097A86">
              <w:t>1</w:t>
            </w:r>
          </w:p>
        </w:tc>
      </w:tr>
      <w:tr w:rsidR="00F1362A" w:rsidRPr="00097A86" w14:paraId="7696BEFB" w14:textId="77777777" w:rsidTr="00C20CC2">
        <w:tblPrEx>
          <w:jc w:val="center"/>
        </w:tblPrEx>
        <w:trPr>
          <w:gridAfter w:val="1"/>
          <w:wAfter w:w="37" w:type="pct"/>
          <w:jc w:val="center"/>
        </w:trPr>
        <w:tc>
          <w:tcPr>
            <w:tcW w:w="1390" w:type="pct"/>
            <w:gridSpan w:val="2"/>
          </w:tcPr>
          <w:p w14:paraId="0FC47540" w14:textId="77777777" w:rsidR="00F1362A" w:rsidRPr="00097A86" w:rsidRDefault="00F1362A" w:rsidP="006D1F60">
            <w:pPr>
              <w:pStyle w:val="ENoteTableText"/>
              <w:tabs>
                <w:tab w:val="left" w:leader="dot" w:pos="2268"/>
              </w:tabs>
            </w:pPr>
          </w:p>
        </w:tc>
        <w:tc>
          <w:tcPr>
            <w:tcW w:w="3573" w:type="pct"/>
            <w:gridSpan w:val="2"/>
          </w:tcPr>
          <w:p w14:paraId="7ED2C32E" w14:textId="77777777" w:rsidR="00F1362A" w:rsidRPr="00097A86" w:rsidRDefault="00F1362A" w:rsidP="00D22D3F">
            <w:pPr>
              <w:pStyle w:val="ENoteTableText"/>
            </w:pPr>
            <w:r w:rsidRPr="00097A86">
              <w:t>am 2015 No 1</w:t>
            </w:r>
          </w:p>
        </w:tc>
      </w:tr>
      <w:tr w:rsidR="00F1362A" w:rsidRPr="00097A86" w14:paraId="4B076F5B" w14:textId="77777777" w:rsidTr="00C20CC2">
        <w:tblPrEx>
          <w:jc w:val="center"/>
        </w:tblPrEx>
        <w:trPr>
          <w:gridAfter w:val="1"/>
          <w:wAfter w:w="37" w:type="pct"/>
          <w:jc w:val="center"/>
        </w:trPr>
        <w:tc>
          <w:tcPr>
            <w:tcW w:w="1390" w:type="pct"/>
            <w:gridSpan w:val="2"/>
          </w:tcPr>
          <w:p w14:paraId="1029AC61"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3.3.3</w:t>
            </w:r>
          </w:p>
        </w:tc>
        <w:tc>
          <w:tcPr>
            <w:tcW w:w="3573" w:type="pct"/>
            <w:gridSpan w:val="2"/>
          </w:tcPr>
          <w:p w14:paraId="29C6CF32" w14:textId="77777777" w:rsidR="00F1362A" w:rsidRPr="00097A86" w:rsidRDefault="00F1362A" w:rsidP="00D22D3F">
            <w:pPr>
              <w:pStyle w:val="ENoteTableText"/>
            </w:pPr>
          </w:p>
        </w:tc>
      </w:tr>
      <w:tr w:rsidR="00F1362A" w:rsidRPr="00097A86" w14:paraId="0EBF1FCD" w14:textId="77777777" w:rsidTr="00C20CC2">
        <w:tblPrEx>
          <w:jc w:val="center"/>
        </w:tblPrEx>
        <w:trPr>
          <w:gridAfter w:val="1"/>
          <w:wAfter w:w="37" w:type="pct"/>
          <w:jc w:val="center"/>
        </w:trPr>
        <w:tc>
          <w:tcPr>
            <w:tcW w:w="1390" w:type="pct"/>
            <w:gridSpan w:val="2"/>
          </w:tcPr>
          <w:p w14:paraId="7747C6C1"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3.3.3.1</w:t>
            </w:r>
          </w:p>
        </w:tc>
        <w:tc>
          <w:tcPr>
            <w:tcW w:w="3573" w:type="pct"/>
            <w:gridSpan w:val="2"/>
          </w:tcPr>
          <w:p w14:paraId="17A0CC02" w14:textId="77777777" w:rsidR="00F1362A" w:rsidRPr="00097A86" w:rsidRDefault="00F1362A" w:rsidP="00D22D3F">
            <w:pPr>
              <w:pStyle w:val="ENoteTableText"/>
            </w:pPr>
          </w:p>
        </w:tc>
      </w:tr>
      <w:tr w:rsidR="00F1362A" w:rsidRPr="00097A86" w14:paraId="3B1C7259" w14:textId="77777777" w:rsidTr="00C20CC2">
        <w:tblPrEx>
          <w:jc w:val="center"/>
        </w:tblPrEx>
        <w:trPr>
          <w:gridAfter w:val="1"/>
          <w:wAfter w:w="37" w:type="pct"/>
          <w:jc w:val="center"/>
        </w:trPr>
        <w:tc>
          <w:tcPr>
            <w:tcW w:w="1390" w:type="pct"/>
            <w:gridSpan w:val="2"/>
          </w:tcPr>
          <w:p w14:paraId="5533C25B" w14:textId="77777777" w:rsidR="00F1362A" w:rsidRPr="00097A86" w:rsidRDefault="00F1362A" w:rsidP="006D1F60">
            <w:pPr>
              <w:pStyle w:val="ENoteTableText"/>
              <w:tabs>
                <w:tab w:val="left" w:leader="dot" w:pos="2268"/>
              </w:tabs>
            </w:pPr>
            <w:r w:rsidRPr="00097A86">
              <w:t>s 3.47</w:t>
            </w:r>
            <w:r w:rsidRPr="00097A86">
              <w:tab/>
            </w:r>
          </w:p>
        </w:tc>
        <w:tc>
          <w:tcPr>
            <w:tcW w:w="3573" w:type="pct"/>
            <w:gridSpan w:val="2"/>
          </w:tcPr>
          <w:p w14:paraId="3DB3F074" w14:textId="77777777" w:rsidR="00F1362A" w:rsidRPr="00097A86" w:rsidRDefault="00F1362A" w:rsidP="00D22D3F">
            <w:pPr>
              <w:pStyle w:val="ENoteTableText"/>
            </w:pPr>
            <w:r w:rsidRPr="00097A86">
              <w:t>rs 2009 No.</w:t>
            </w:r>
            <w:r>
              <w:t> </w:t>
            </w:r>
            <w:r w:rsidRPr="00097A86">
              <w:t>1</w:t>
            </w:r>
          </w:p>
        </w:tc>
      </w:tr>
      <w:tr w:rsidR="00F1362A" w:rsidRPr="00097A86" w14:paraId="0E4F10BE" w14:textId="77777777" w:rsidTr="00C20CC2">
        <w:tblPrEx>
          <w:jc w:val="center"/>
        </w:tblPrEx>
        <w:trPr>
          <w:gridAfter w:val="1"/>
          <w:wAfter w:w="37" w:type="pct"/>
          <w:jc w:val="center"/>
        </w:trPr>
        <w:tc>
          <w:tcPr>
            <w:tcW w:w="1390" w:type="pct"/>
            <w:gridSpan w:val="2"/>
          </w:tcPr>
          <w:p w14:paraId="4D5BA2DD"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3.3.3.2</w:t>
            </w:r>
          </w:p>
        </w:tc>
        <w:tc>
          <w:tcPr>
            <w:tcW w:w="3573" w:type="pct"/>
            <w:gridSpan w:val="2"/>
          </w:tcPr>
          <w:p w14:paraId="4F83CCA7" w14:textId="77777777" w:rsidR="00F1362A" w:rsidRPr="00097A86" w:rsidRDefault="00F1362A" w:rsidP="00D22D3F">
            <w:pPr>
              <w:pStyle w:val="ENoteTableText"/>
            </w:pPr>
          </w:p>
        </w:tc>
      </w:tr>
      <w:tr w:rsidR="00F1362A" w:rsidRPr="00097A86" w14:paraId="04A050E4" w14:textId="77777777" w:rsidTr="00C20CC2">
        <w:tblPrEx>
          <w:jc w:val="center"/>
        </w:tblPrEx>
        <w:trPr>
          <w:gridAfter w:val="1"/>
          <w:wAfter w:w="37" w:type="pct"/>
          <w:jc w:val="center"/>
        </w:trPr>
        <w:tc>
          <w:tcPr>
            <w:tcW w:w="1390" w:type="pct"/>
            <w:gridSpan w:val="2"/>
          </w:tcPr>
          <w:p w14:paraId="0A41F5FC" w14:textId="77777777" w:rsidR="00F1362A" w:rsidRPr="00097A86" w:rsidRDefault="00F1362A" w:rsidP="006C1D96">
            <w:pPr>
              <w:pStyle w:val="ENoteTableText"/>
              <w:tabs>
                <w:tab w:val="left" w:leader="dot" w:pos="2268"/>
              </w:tabs>
            </w:pPr>
            <w:r w:rsidRPr="00097A86">
              <w:t>Subdivision</w:t>
            </w:r>
            <w:r>
              <w:t> </w:t>
            </w:r>
            <w:r w:rsidRPr="00097A86">
              <w:t>3.3.3.2 heading</w:t>
            </w:r>
            <w:r w:rsidRPr="00097A86">
              <w:tab/>
            </w:r>
          </w:p>
        </w:tc>
        <w:tc>
          <w:tcPr>
            <w:tcW w:w="3573" w:type="pct"/>
            <w:gridSpan w:val="2"/>
          </w:tcPr>
          <w:p w14:paraId="1F86776D" w14:textId="77777777" w:rsidR="00F1362A" w:rsidRPr="00097A86" w:rsidRDefault="00F1362A" w:rsidP="00D22D3F">
            <w:pPr>
              <w:pStyle w:val="ENoteTableText"/>
            </w:pPr>
            <w:r w:rsidRPr="00097A86">
              <w:t>rs 2010 No.</w:t>
            </w:r>
            <w:r>
              <w:t> </w:t>
            </w:r>
            <w:r w:rsidRPr="00097A86">
              <w:t>1</w:t>
            </w:r>
          </w:p>
        </w:tc>
      </w:tr>
      <w:tr w:rsidR="00F1362A" w:rsidRPr="00097A86" w14:paraId="561FFAA5" w14:textId="77777777" w:rsidTr="00C20CC2">
        <w:tblPrEx>
          <w:jc w:val="center"/>
        </w:tblPrEx>
        <w:trPr>
          <w:gridAfter w:val="1"/>
          <w:wAfter w:w="37" w:type="pct"/>
          <w:jc w:val="center"/>
        </w:trPr>
        <w:tc>
          <w:tcPr>
            <w:tcW w:w="1390" w:type="pct"/>
            <w:gridSpan w:val="2"/>
          </w:tcPr>
          <w:p w14:paraId="154BE876" w14:textId="77777777" w:rsidR="00F1362A" w:rsidRPr="00097A86" w:rsidRDefault="00F1362A" w:rsidP="006D1F60">
            <w:pPr>
              <w:pStyle w:val="ENoteTableText"/>
              <w:tabs>
                <w:tab w:val="left" w:leader="dot" w:pos="2268"/>
              </w:tabs>
            </w:pPr>
            <w:r w:rsidRPr="00097A86">
              <w:t>s 3.48</w:t>
            </w:r>
            <w:r w:rsidRPr="00097A86">
              <w:tab/>
            </w:r>
          </w:p>
        </w:tc>
        <w:tc>
          <w:tcPr>
            <w:tcW w:w="3573" w:type="pct"/>
            <w:gridSpan w:val="2"/>
          </w:tcPr>
          <w:p w14:paraId="1C21C219"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0F847884" w14:textId="77777777" w:rsidTr="00C20CC2">
        <w:tblPrEx>
          <w:jc w:val="center"/>
        </w:tblPrEx>
        <w:trPr>
          <w:gridAfter w:val="1"/>
          <w:wAfter w:w="37" w:type="pct"/>
          <w:jc w:val="center"/>
        </w:trPr>
        <w:tc>
          <w:tcPr>
            <w:tcW w:w="1390" w:type="pct"/>
            <w:gridSpan w:val="2"/>
          </w:tcPr>
          <w:p w14:paraId="23DF634F" w14:textId="77777777" w:rsidR="00F1362A" w:rsidRPr="00097A86" w:rsidRDefault="00F1362A" w:rsidP="006D1F60">
            <w:pPr>
              <w:pStyle w:val="ENoteTableText"/>
              <w:tabs>
                <w:tab w:val="left" w:leader="dot" w:pos="2268"/>
              </w:tabs>
            </w:pPr>
            <w:r w:rsidRPr="00097A86">
              <w:t>s 3.49</w:t>
            </w:r>
            <w:r w:rsidRPr="00097A86">
              <w:tab/>
            </w:r>
          </w:p>
        </w:tc>
        <w:tc>
          <w:tcPr>
            <w:tcW w:w="3573" w:type="pct"/>
            <w:gridSpan w:val="2"/>
          </w:tcPr>
          <w:p w14:paraId="4BF19F98" w14:textId="77777777" w:rsidR="00F1362A" w:rsidRPr="00097A86" w:rsidRDefault="00F1362A" w:rsidP="00D22D3F">
            <w:pPr>
              <w:pStyle w:val="ENoteTableText"/>
            </w:pPr>
            <w:r w:rsidRPr="00097A86">
              <w:t>am 2010 No.</w:t>
            </w:r>
            <w:r>
              <w:t> </w:t>
            </w:r>
            <w:r w:rsidRPr="00097A86">
              <w:t>1; 2012 No.</w:t>
            </w:r>
            <w:r>
              <w:t> </w:t>
            </w:r>
            <w:r w:rsidRPr="00097A86">
              <w:t>1; 2015 No 1</w:t>
            </w:r>
          </w:p>
        </w:tc>
      </w:tr>
      <w:tr w:rsidR="00F1362A" w:rsidRPr="00097A86" w14:paraId="42AD6F40" w14:textId="77777777" w:rsidTr="00C20CC2">
        <w:tblPrEx>
          <w:jc w:val="center"/>
        </w:tblPrEx>
        <w:trPr>
          <w:gridAfter w:val="1"/>
          <w:wAfter w:w="37" w:type="pct"/>
          <w:jc w:val="center"/>
        </w:trPr>
        <w:tc>
          <w:tcPr>
            <w:tcW w:w="1390" w:type="pct"/>
            <w:gridSpan w:val="2"/>
          </w:tcPr>
          <w:p w14:paraId="681021D0" w14:textId="77777777" w:rsidR="00F1362A" w:rsidRPr="00097A86" w:rsidRDefault="00F1362A" w:rsidP="006D1F60">
            <w:pPr>
              <w:pStyle w:val="ENoteTableText"/>
              <w:tabs>
                <w:tab w:val="left" w:leader="dot" w:pos="2268"/>
              </w:tabs>
            </w:pPr>
            <w:r w:rsidRPr="00097A86">
              <w:t>s 3.50</w:t>
            </w:r>
            <w:r w:rsidRPr="00097A86">
              <w:tab/>
            </w:r>
          </w:p>
        </w:tc>
        <w:tc>
          <w:tcPr>
            <w:tcW w:w="3573" w:type="pct"/>
            <w:gridSpan w:val="2"/>
          </w:tcPr>
          <w:p w14:paraId="4DEE1BCD" w14:textId="77777777" w:rsidR="00F1362A" w:rsidRPr="00097A86" w:rsidRDefault="00F1362A" w:rsidP="00D22D3F">
            <w:pPr>
              <w:pStyle w:val="ENoteTableText"/>
            </w:pPr>
            <w:r w:rsidRPr="00097A86">
              <w:t>am 2010 No.</w:t>
            </w:r>
            <w:r>
              <w:t> </w:t>
            </w:r>
            <w:r w:rsidRPr="00097A86">
              <w:t>1; 2012 No.</w:t>
            </w:r>
            <w:r>
              <w:t> </w:t>
            </w:r>
            <w:r w:rsidRPr="00097A86">
              <w:t>1</w:t>
            </w:r>
          </w:p>
        </w:tc>
      </w:tr>
      <w:tr w:rsidR="00F1362A" w:rsidRPr="00097A86" w14:paraId="71F8E7E0" w14:textId="77777777" w:rsidTr="00C20CC2">
        <w:tblPrEx>
          <w:jc w:val="center"/>
        </w:tblPrEx>
        <w:trPr>
          <w:gridAfter w:val="1"/>
          <w:wAfter w:w="37" w:type="pct"/>
          <w:jc w:val="center"/>
        </w:trPr>
        <w:tc>
          <w:tcPr>
            <w:tcW w:w="1390" w:type="pct"/>
            <w:gridSpan w:val="2"/>
          </w:tcPr>
          <w:p w14:paraId="1291B3AF" w14:textId="77777777" w:rsidR="00F1362A" w:rsidRPr="00097A86" w:rsidRDefault="00F1362A" w:rsidP="007B1866">
            <w:pPr>
              <w:pStyle w:val="ENoteTableText"/>
              <w:keepNext/>
              <w:keepLines/>
              <w:tabs>
                <w:tab w:val="left" w:leader="dot" w:pos="2268"/>
              </w:tabs>
            </w:pPr>
            <w:r w:rsidRPr="00097A86">
              <w:rPr>
                <w:b/>
              </w:rPr>
              <w:t>Subdivision</w:t>
            </w:r>
            <w:r>
              <w:rPr>
                <w:b/>
              </w:rPr>
              <w:t> </w:t>
            </w:r>
            <w:r w:rsidRPr="00097A86">
              <w:rPr>
                <w:b/>
              </w:rPr>
              <w:t>3.3.3.3</w:t>
            </w:r>
          </w:p>
        </w:tc>
        <w:tc>
          <w:tcPr>
            <w:tcW w:w="3573" w:type="pct"/>
            <w:gridSpan w:val="2"/>
          </w:tcPr>
          <w:p w14:paraId="7AA6F459" w14:textId="77777777" w:rsidR="00F1362A" w:rsidRPr="00097A86" w:rsidRDefault="00F1362A" w:rsidP="007B1866">
            <w:pPr>
              <w:pStyle w:val="ENoteTableText"/>
              <w:keepNext/>
              <w:keepLines/>
            </w:pPr>
          </w:p>
        </w:tc>
      </w:tr>
      <w:tr w:rsidR="00F1362A" w:rsidRPr="00097A86" w14:paraId="2605D984" w14:textId="77777777" w:rsidTr="00C20CC2">
        <w:tblPrEx>
          <w:jc w:val="center"/>
        </w:tblPrEx>
        <w:trPr>
          <w:gridAfter w:val="1"/>
          <w:wAfter w:w="37" w:type="pct"/>
          <w:jc w:val="center"/>
        </w:trPr>
        <w:tc>
          <w:tcPr>
            <w:tcW w:w="1390" w:type="pct"/>
            <w:gridSpan w:val="2"/>
          </w:tcPr>
          <w:p w14:paraId="74E46BCA" w14:textId="77777777" w:rsidR="00F1362A" w:rsidRPr="00097A86" w:rsidRDefault="00F1362A" w:rsidP="006D1F60">
            <w:pPr>
              <w:pStyle w:val="ENoteTableText"/>
              <w:tabs>
                <w:tab w:val="left" w:leader="dot" w:pos="2268"/>
              </w:tabs>
            </w:pPr>
            <w:r w:rsidRPr="00097A86">
              <w:t>s 3.51</w:t>
            </w:r>
            <w:r w:rsidRPr="00097A86">
              <w:tab/>
            </w:r>
          </w:p>
        </w:tc>
        <w:tc>
          <w:tcPr>
            <w:tcW w:w="3573" w:type="pct"/>
            <w:gridSpan w:val="2"/>
          </w:tcPr>
          <w:p w14:paraId="7A08287A" w14:textId="77777777" w:rsidR="00F1362A" w:rsidRPr="00097A86" w:rsidRDefault="00F1362A" w:rsidP="00D22D3F">
            <w:pPr>
              <w:pStyle w:val="ENoteTableText"/>
            </w:pPr>
            <w:r w:rsidRPr="00097A86">
              <w:t>am 2009 No.</w:t>
            </w:r>
            <w:r>
              <w:t> </w:t>
            </w:r>
            <w:r w:rsidRPr="00097A86">
              <w:t>1; 2011 No.</w:t>
            </w:r>
            <w:r>
              <w:t> </w:t>
            </w:r>
            <w:r w:rsidRPr="00097A86">
              <w:t>1; 2015 No 2</w:t>
            </w:r>
          </w:p>
        </w:tc>
      </w:tr>
      <w:tr w:rsidR="00F1362A" w:rsidRPr="00097A86" w14:paraId="3FB10071" w14:textId="77777777" w:rsidTr="00C20CC2">
        <w:tblPrEx>
          <w:jc w:val="center"/>
        </w:tblPrEx>
        <w:trPr>
          <w:gridAfter w:val="1"/>
          <w:wAfter w:w="37" w:type="pct"/>
          <w:jc w:val="center"/>
        </w:trPr>
        <w:tc>
          <w:tcPr>
            <w:tcW w:w="1390" w:type="pct"/>
            <w:gridSpan w:val="2"/>
          </w:tcPr>
          <w:p w14:paraId="497666E8" w14:textId="77777777" w:rsidR="00F1362A" w:rsidRPr="00097A86" w:rsidRDefault="00F1362A" w:rsidP="006D1F60">
            <w:pPr>
              <w:pStyle w:val="ENoteTableText"/>
              <w:tabs>
                <w:tab w:val="left" w:leader="dot" w:pos="2268"/>
              </w:tabs>
            </w:pPr>
            <w:r w:rsidRPr="00097A86">
              <w:t>s 3.52</w:t>
            </w:r>
          </w:p>
        </w:tc>
        <w:tc>
          <w:tcPr>
            <w:tcW w:w="3573" w:type="pct"/>
            <w:gridSpan w:val="2"/>
          </w:tcPr>
          <w:p w14:paraId="5E56B6D5" w14:textId="77777777" w:rsidR="00F1362A" w:rsidRPr="00097A86" w:rsidRDefault="00F1362A" w:rsidP="00D22D3F">
            <w:pPr>
              <w:pStyle w:val="ENoteTableText"/>
            </w:pPr>
            <w:r w:rsidRPr="00097A86">
              <w:t>am 2015 No 1</w:t>
            </w:r>
          </w:p>
        </w:tc>
      </w:tr>
      <w:tr w:rsidR="00F1362A" w:rsidRPr="00097A86" w14:paraId="338F9AC6" w14:textId="77777777" w:rsidTr="00C20CC2">
        <w:tblPrEx>
          <w:jc w:val="center"/>
        </w:tblPrEx>
        <w:trPr>
          <w:gridAfter w:val="1"/>
          <w:wAfter w:w="37" w:type="pct"/>
          <w:jc w:val="center"/>
        </w:trPr>
        <w:tc>
          <w:tcPr>
            <w:tcW w:w="1390" w:type="pct"/>
            <w:gridSpan w:val="2"/>
          </w:tcPr>
          <w:p w14:paraId="046ABA95" w14:textId="77777777" w:rsidR="00F1362A" w:rsidRPr="00097A86" w:rsidRDefault="00F1362A" w:rsidP="006D1F60">
            <w:pPr>
              <w:pStyle w:val="ENoteTableText"/>
              <w:tabs>
                <w:tab w:val="left" w:leader="dot" w:pos="2268"/>
              </w:tabs>
            </w:pPr>
            <w:r w:rsidRPr="00097A86">
              <w:lastRenderedPageBreak/>
              <w:t>s 3.53</w:t>
            </w:r>
            <w:r w:rsidRPr="00097A86">
              <w:tab/>
            </w:r>
          </w:p>
        </w:tc>
        <w:tc>
          <w:tcPr>
            <w:tcW w:w="3573" w:type="pct"/>
            <w:gridSpan w:val="2"/>
          </w:tcPr>
          <w:p w14:paraId="0D849D34" w14:textId="77777777" w:rsidR="00F1362A" w:rsidRPr="00097A86" w:rsidRDefault="00F1362A" w:rsidP="00D22D3F">
            <w:pPr>
              <w:pStyle w:val="ENoteTableText"/>
            </w:pPr>
            <w:r w:rsidRPr="00097A86">
              <w:t>rs 2011 No.</w:t>
            </w:r>
            <w:r>
              <w:t> </w:t>
            </w:r>
            <w:r w:rsidRPr="00097A86">
              <w:t>1</w:t>
            </w:r>
          </w:p>
        </w:tc>
      </w:tr>
      <w:tr w:rsidR="00F1362A" w:rsidRPr="00097A86" w14:paraId="4A6B74F4" w14:textId="77777777" w:rsidTr="00C20CC2">
        <w:tblPrEx>
          <w:jc w:val="center"/>
        </w:tblPrEx>
        <w:trPr>
          <w:gridAfter w:val="1"/>
          <w:wAfter w:w="37" w:type="pct"/>
          <w:jc w:val="center"/>
        </w:trPr>
        <w:tc>
          <w:tcPr>
            <w:tcW w:w="1390" w:type="pct"/>
            <w:gridSpan w:val="2"/>
          </w:tcPr>
          <w:p w14:paraId="27317154" w14:textId="77777777" w:rsidR="00F1362A" w:rsidRPr="00097A86" w:rsidRDefault="00F1362A" w:rsidP="006D1F60">
            <w:pPr>
              <w:pStyle w:val="ENoteTableText"/>
              <w:tabs>
                <w:tab w:val="left" w:leader="dot" w:pos="2268"/>
              </w:tabs>
            </w:pPr>
          </w:p>
        </w:tc>
        <w:tc>
          <w:tcPr>
            <w:tcW w:w="3573" w:type="pct"/>
            <w:gridSpan w:val="2"/>
          </w:tcPr>
          <w:p w14:paraId="2ED55D5D" w14:textId="77777777" w:rsidR="00F1362A" w:rsidRPr="00097A86" w:rsidRDefault="00F1362A" w:rsidP="00D22D3F">
            <w:pPr>
              <w:pStyle w:val="ENoteTableText"/>
            </w:pPr>
            <w:r w:rsidRPr="00097A86">
              <w:t>am 2015 No 1</w:t>
            </w:r>
          </w:p>
        </w:tc>
      </w:tr>
      <w:tr w:rsidR="00F1362A" w:rsidRPr="00097A86" w14:paraId="14A8086F" w14:textId="77777777" w:rsidTr="00C20CC2">
        <w:tblPrEx>
          <w:jc w:val="center"/>
        </w:tblPrEx>
        <w:trPr>
          <w:gridAfter w:val="1"/>
          <w:wAfter w:w="37" w:type="pct"/>
          <w:jc w:val="center"/>
        </w:trPr>
        <w:tc>
          <w:tcPr>
            <w:tcW w:w="1390" w:type="pct"/>
            <w:gridSpan w:val="2"/>
          </w:tcPr>
          <w:p w14:paraId="17728903" w14:textId="77777777" w:rsidR="00F1362A" w:rsidRPr="00097A86" w:rsidRDefault="00F1362A" w:rsidP="006D1F60">
            <w:pPr>
              <w:pStyle w:val="ENoteTableText"/>
              <w:tabs>
                <w:tab w:val="left" w:leader="dot" w:pos="2268"/>
              </w:tabs>
            </w:pPr>
            <w:r w:rsidRPr="00097A86">
              <w:t>s 3.53A</w:t>
            </w:r>
            <w:r w:rsidRPr="00097A86">
              <w:tab/>
            </w:r>
          </w:p>
        </w:tc>
        <w:tc>
          <w:tcPr>
            <w:tcW w:w="3573" w:type="pct"/>
            <w:gridSpan w:val="2"/>
          </w:tcPr>
          <w:p w14:paraId="1FFEFFCC" w14:textId="77777777" w:rsidR="00F1362A" w:rsidRPr="00097A86" w:rsidRDefault="00F1362A" w:rsidP="00D22D3F">
            <w:pPr>
              <w:pStyle w:val="ENoteTableText"/>
            </w:pPr>
            <w:r w:rsidRPr="00097A86">
              <w:t>ad 2015 No 2</w:t>
            </w:r>
          </w:p>
        </w:tc>
      </w:tr>
      <w:tr w:rsidR="00F1362A" w:rsidRPr="00097A86" w14:paraId="207D1CB5" w14:textId="77777777" w:rsidTr="00C20CC2">
        <w:tblPrEx>
          <w:jc w:val="center"/>
        </w:tblPrEx>
        <w:trPr>
          <w:gridAfter w:val="1"/>
          <w:wAfter w:w="37" w:type="pct"/>
          <w:jc w:val="center"/>
        </w:trPr>
        <w:tc>
          <w:tcPr>
            <w:tcW w:w="1390" w:type="pct"/>
            <w:gridSpan w:val="2"/>
          </w:tcPr>
          <w:p w14:paraId="0D583D34" w14:textId="77777777" w:rsidR="00F1362A" w:rsidRPr="00097A86" w:rsidRDefault="00F1362A" w:rsidP="006D1F60">
            <w:pPr>
              <w:pStyle w:val="ENoteTableText"/>
              <w:tabs>
                <w:tab w:val="left" w:leader="dot" w:pos="2268"/>
              </w:tabs>
            </w:pPr>
            <w:r w:rsidRPr="00097A86">
              <w:t>s 3.54</w:t>
            </w:r>
            <w:r w:rsidRPr="00097A86">
              <w:tab/>
            </w:r>
          </w:p>
        </w:tc>
        <w:tc>
          <w:tcPr>
            <w:tcW w:w="3573" w:type="pct"/>
            <w:gridSpan w:val="2"/>
          </w:tcPr>
          <w:p w14:paraId="0D30B42F" w14:textId="77777777" w:rsidR="00F1362A" w:rsidRPr="00097A86" w:rsidRDefault="00F1362A" w:rsidP="00D22D3F">
            <w:pPr>
              <w:pStyle w:val="ENoteTableText"/>
            </w:pPr>
            <w:r w:rsidRPr="00097A86">
              <w:t>rs 2011 No.</w:t>
            </w:r>
            <w:r>
              <w:t> </w:t>
            </w:r>
            <w:r w:rsidRPr="00097A86">
              <w:t>1</w:t>
            </w:r>
          </w:p>
        </w:tc>
      </w:tr>
      <w:tr w:rsidR="00F1362A" w:rsidRPr="00097A86" w14:paraId="5093A09D" w14:textId="77777777" w:rsidTr="00C20CC2">
        <w:tblPrEx>
          <w:jc w:val="center"/>
        </w:tblPrEx>
        <w:trPr>
          <w:gridAfter w:val="1"/>
          <w:wAfter w:w="37" w:type="pct"/>
          <w:jc w:val="center"/>
        </w:trPr>
        <w:tc>
          <w:tcPr>
            <w:tcW w:w="1390" w:type="pct"/>
            <w:gridSpan w:val="2"/>
          </w:tcPr>
          <w:p w14:paraId="7AC316FB" w14:textId="77777777" w:rsidR="00F1362A" w:rsidRPr="00097A86" w:rsidRDefault="00F1362A" w:rsidP="001145AF">
            <w:pPr>
              <w:pStyle w:val="ENoteTableText"/>
              <w:tabs>
                <w:tab w:val="left" w:leader="dot" w:pos="2268"/>
              </w:tabs>
            </w:pPr>
            <w:r w:rsidRPr="00097A86">
              <w:t>s 3.55</w:t>
            </w:r>
            <w:r w:rsidRPr="00097A86">
              <w:tab/>
            </w:r>
          </w:p>
        </w:tc>
        <w:tc>
          <w:tcPr>
            <w:tcW w:w="3573" w:type="pct"/>
            <w:gridSpan w:val="2"/>
          </w:tcPr>
          <w:p w14:paraId="2955831C" w14:textId="77777777" w:rsidR="00F1362A" w:rsidRPr="00097A86" w:rsidRDefault="00F1362A" w:rsidP="001145AF">
            <w:pPr>
              <w:pStyle w:val="ENoteTableText"/>
            </w:pPr>
            <w:r w:rsidRPr="00097A86">
              <w:t>am 2011 No 1</w:t>
            </w:r>
          </w:p>
        </w:tc>
      </w:tr>
      <w:tr w:rsidR="00F1362A" w:rsidRPr="00097A86" w14:paraId="5658BC2B" w14:textId="77777777" w:rsidTr="00C20CC2">
        <w:tblPrEx>
          <w:jc w:val="center"/>
        </w:tblPrEx>
        <w:trPr>
          <w:gridAfter w:val="1"/>
          <w:wAfter w:w="37" w:type="pct"/>
          <w:jc w:val="center"/>
        </w:trPr>
        <w:tc>
          <w:tcPr>
            <w:tcW w:w="1390" w:type="pct"/>
            <w:gridSpan w:val="2"/>
          </w:tcPr>
          <w:p w14:paraId="4A857FE6" w14:textId="77777777" w:rsidR="00F1362A" w:rsidRPr="00097A86" w:rsidRDefault="00F1362A" w:rsidP="006D1F60">
            <w:pPr>
              <w:pStyle w:val="ENoteTableText"/>
              <w:tabs>
                <w:tab w:val="left" w:leader="dot" w:pos="2268"/>
              </w:tabs>
            </w:pPr>
          </w:p>
        </w:tc>
        <w:tc>
          <w:tcPr>
            <w:tcW w:w="3573" w:type="pct"/>
            <w:gridSpan w:val="2"/>
          </w:tcPr>
          <w:p w14:paraId="7E8884B9" w14:textId="77777777" w:rsidR="00F1362A" w:rsidRPr="00097A86" w:rsidRDefault="00F1362A" w:rsidP="00D22D3F">
            <w:pPr>
              <w:pStyle w:val="ENoteTableText"/>
            </w:pPr>
            <w:r w:rsidRPr="00097A86">
              <w:t>rep 2015 No 2</w:t>
            </w:r>
          </w:p>
        </w:tc>
      </w:tr>
      <w:tr w:rsidR="00F1362A" w:rsidRPr="00097A86" w14:paraId="30A75E99" w14:textId="77777777" w:rsidTr="00C20CC2">
        <w:tblPrEx>
          <w:jc w:val="center"/>
        </w:tblPrEx>
        <w:trPr>
          <w:gridAfter w:val="1"/>
          <w:wAfter w:w="37" w:type="pct"/>
          <w:jc w:val="center"/>
        </w:trPr>
        <w:tc>
          <w:tcPr>
            <w:tcW w:w="1390" w:type="pct"/>
            <w:gridSpan w:val="2"/>
          </w:tcPr>
          <w:p w14:paraId="2537AD57" w14:textId="77777777" w:rsidR="00F1362A" w:rsidRPr="00097A86" w:rsidRDefault="00F1362A" w:rsidP="006D1F60">
            <w:pPr>
              <w:pStyle w:val="ENoteTableText"/>
              <w:tabs>
                <w:tab w:val="left" w:leader="dot" w:pos="2268"/>
              </w:tabs>
            </w:pPr>
            <w:r w:rsidRPr="00097A86">
              <w:t>s 3.56</w:t>
            </w:r>
            <w:r w:rsidRPr="00097A86">
              <w:tab/>
            </w:r>
          </w:p>
        </w:tc>
        <w:tc>
          <w:tcPr>
            <w:tcW w:w="3573" w:type="pct"/>
            <w:gridSpan w:val="2"/>
          </w:tcPr>
          <w:p w14:paraId="6401B5C6" w14:textId="77777777" w:rsidR="00F1362A" w:rsidRPr="00097A86" w:rsidRDefault="00F1362A" w:rsidP="00D22D3F">
            <w:pPr>
              <w:pStyle w:val="ENoteTableText"/>
            </w:pPr>
            <w:r w:rsidRPr="00097A86">
              <w:t>am 2010 No.</w:t>
            </w:r>
            <w:r>
              <w:t> </w:t>
            </w:r>
            <w:r w:rsidRPr="00097A86">
              <w:t>1</w:t>
            </w:r>
          </w:p>
        </w:tc>
      </w:tr>
      <w:tr w:rsidR="00F1362A" w:rsidRPr="00097A86" w14:paraId="21E625EE" w14:textId="77777777" w:rsidTr="00C20CC2">
        <w:tblPrEx>
          <w:jc w:val="center"/>
        </w:tblPrEx>
        <w:trPr>
          <w:gridAfter w:val="1"/>
          <w:wAfter w:w="37" w:type="pct"/>
          <w:jc w:val="center"/>
        </w:trPr>
        <w:tc>
          <w:tcPr>
            <w:tcW w:w="1390" w:type="pct"/>
            <w:gridSpan w:val="2"/>
          </w:tcPr>
          <w:p w14:paraId="1FE4DC1D" w14:textId="77777777" w:rsidR="00F1362A" w:rsidRPr="00097A86" w:rsidRDefault="00F1362A" w:rsidP="006D1F60">
            <w:pPr>
              <w:pStyle w:val="ENoteTableText"/>
              <w:tabs>
                <w:tab w:val="left" w:leader="dot" w:pos="2268"/>
              </w:tabs>
            </w:pPr>
          </w:p>
        </w:tc>
        <w:tc>
          <w:tcPr>
            <w:tcW w:w="3573" w:type="pct"/>
            <w:gridSpan w:val="2"/>
          </w:tcPr>
          <w:p w14:paraId="29DD17C8" w14:textId="77777777" w:rsidR="00F1362A" w:rsidRPr="00097A86" w:rsidRDefault="00F1362A" w:rsidP="00D22D3F">
            <w:pPr>
              <w:pStyle w:val="ENoteTableText"/>
            </w:pPr>
            <w:r w:rsidRPr="00097A86">
              <w:t>rep 2011 No.</w:t>
            </w:r>
            <w:r>
              <w:t> </w:t>
            </w:r>
            <w:r w:rsidRPr="00097A86">
              <w:t>1</w:t>
            </w:r>
          </w:p>
        </w:tc>
      </w:tr>
      <w:tr w:rsidR="00F1362A" w:rsidRPr="00097A86" w14:paraId="79C8B299" w14:textId="77777777" w:rsidTr="00C20CC2">
        <w:tblPrEx>
          <w:jc w:val="center"/>
        </w:tblPrEx>
        <w:trPr>
          <w:gridAfter w:val="1"/>
          <w:wAfter w:w="37" w:type="pct"/>
          <w:jc w:val="center"/>
        </w:trPr>
        <w:tc>
          <w:tcPr>
            <w:tcW w:w="1390" w:type="pct"/>
            <w:gridSpan w:val="2"/>
          </w:tcPr>
          <w:p w14:paraId="1549DFE0"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3.3.3.4</w:t>
            </w:r>
          </w:p>
        </w:tc>
        <w:tc>
          <w:tcPr>
            <w:tcW w:w="3573" w:type="pct"/>
            <w:gridSpan w:val="2"/>
          </w:tcPr>
          <w:p w14:paraId="4E1E41A2" w14:textId="77777777" w:rsidR="00F1362A" w:rsidRPr="00097A86" w:rsidRDefault="00F1362A" w:rsidP="00D22D3F">
            <w:pPr>
              <w:pStyle w:val="ENoteTableText"/>
            </w:pPr>
          </w:p>
        </w:tc>
      </w:tr>
      <w:tr w:rsidR="00F1362A" w:rsidRPr="00097A86" w14:paraId="481599CA" w14:textId="77777777" w:rsidTr="00C20CC2">
        <w:tblPrEx>
          <w:jc w:val="center"/>
        </w:tblPrEx>
        <w:trPr>
          <w:gridAfter w:val="1"/>
          <w:wAfter w:w="37" w:type="pct"/>
          <w:jc w:val="center"/>
        </w:trPr>
        <w:tc>
          <w:tcPr>
            <w:tcW w:w="1390" w:type="pct"/>
            <w:gridSpan w:val="2"/>
          </w:tcPr>
          <w:p w14:paraId="2378941D" w14:textId="77777777" w:rsidR="00F1362A" w:rsidRPr="00097A86" w:rsidRDefault="00F1362A" w:rsidP="006C1D96">
            <w:pPr>
              <w:pStyle w:val="ENoteTableText"/>
              <w:tabs>
                <w:tab w:val="left" w:leader="dot" w:pos="2268"/>
              </w:tabs>
            </w:pPr>
            <w:r w:rsidRPr="00097A86">
              <w:t>Subdivision</w:t>
            </w:r>
            <w:r>
              <w:t> </w:t>
            </w:r>
            <w:r w:rsidRPr="00097A86">
              <w:t>3.3.3.4</w:t>
            </w:r>
            <w:r w:rsidRPr="00097A86">
              <w:tab/>
            </w:r>
          </w:p>
        </w:tc>
        <w:tc>
          <w:tcPr>
            <w:tcW w:w="3573" w:type="pct"/>
            <w:gridSpan w:val="2"/>
          </w:tcPr>
          <w:p w14:paraId="63D6F22D" w14:textId="77777777" w:rsidR="00F1362A" w:rsidRPr="00097A86" w:rsidRDefault="00F1362A" w:rsidP="00D22D3F">
            <w:pPr>
              <w:pStyle w:val="ENoteTableText"/>
            </w:pPr>
            <w:r w:rsidRPr="00097A86">
              <w:t>ad 2010  No.</w:t>
            </w:r>
            <w:r>
              <w:t> </w:t>
            </w:r>
            <w:r w:rsidRPr="00097A86">
              <w:t>1</w:t>
            </w:r>
          </w:p>
        </w:tc>
      </w:tr>
      <w:tr w:rsidR="00F1362A" w:rsidRPr="00097A86" w14:paraId="28C4F669" w14:textId="77777777" w:rsidTr="00C20CC2">
        <w:tblPrEx>
          <w:jc w:val="center"/>
        </w:tblPrEx>
        <w:trPr>
          <w:gridAfter w:val="1"/>
          <w:wAfter w:w="37" w:type="pct"/>
          <w:jc w:val="center"/>
        </w:trPr>
        <w:tc>
          <w:tcPr>
            <w:tcW w:w="1390" w:type="pct"/>
            <w:gridSpan w:val="2"/>
          </w:tcPr>
          <w:p w14:paraId="7FB9B45E" w14:textId="77777777" w:rsidR="00F1362A" w:rsidRPr="00097A86" w:rsidRDefault="00F1362A" w:rsidP="006D1F60">
            <w:pPr>
              <w:pStyle w:val="ENoteTableText"/>
              <w:tabs>
                <w:tab w:val="left" w:leader="dot" w:pos="2268"/>
              </w:tabs>
            </w:pPr>
            <w:r w:rsidRPr="00097A86">
              <w:t>s 3.56A</w:t>
            </w:r>
            <w:r w:rsidRPr="00097A86">
              <w:tab/>
            </w:r>
          </w:p>
        </w:tc>
        <w:tc>
          <w:tcPr>
            <w:tcW w:w="3573" w:type="pct"/>
            <w:gridSpan w:val="2"/>
          </w:tcPr>
          <w:p w14:paraId="12498020" w14:textId="77777777" w:rsidR="00F1362A" w:rsidRPr="00097A86" w:rsidRDefault="00F1362A" w:rsidP="00D22D3F">
            <w:pPr>
              <w:pStyle w:val="ENoteTableText"/>
            </w:pPr>
            <w:r w:rsidRPr="00097A86">
              <w:t>ad 2010 No.</w:t>
            </w:r>
            <w:r>
              <w:t> </w:t>
            </w:r>
            <w:r w:rsidRPr="00097A86">
              <w:t>1</w:t>
            </w:r>
          </w:p>
        </w:tc>
      </w:tr>
      <w:tr w:rsidR="00F1362A" w:rsidRPr="00097A86" w14:paraId="052C2F97" w14:textId="77777777" w:rsidTr="00C20CC2">
        <w:tblPrEx>
          <w:jc w:val="center"/>
        </w:tblPrEx>
        <w:trPr>
          <w:gridAfter w:val="1"/>
          <w:wAfter w:w="37" w:type="pct"/>
          <w:jc w:val="center"/>
        </w:trPr>
        <w:tc>
          <w:tcPr>
            <w:tcW w:w="1390" w:type="pct"/>
            <w:gridSpan w:val="2"/>
          </w:tcPr>
          <w:p w14:paraId="272DE91F" w14:textId="77777777" w:rsidR="00F1362A" w:rsidRPr="00097A86" w:rsidRDefault="00F1362A" w:rsidP="006D1F60">
            <w:pPr>
              <w:pStyle w:val="ENoteTableText"/>
              <w:tabs>
                <w:tab w:val="left" w:leader="dot" w:pos="2268"/>
              </w:tabs>
            </w:pPr>
          </w:p>
        </w:tc>
        <w:tc>
          <w:tcPr>
            <w:tcW w:w="3573" w:type="pct"/>
            <w:gridSpan w:val="2"/>
          </w:tcPr>
          <w:p w14:paraId="27550EF9" w14:textId="77777777" w:rsidR="00F1362A" w:rsidRPr="00097A86" w:rsidRDefault="00F1362A" w:rsidP="00D22D3F">
            <w:pPr>
              <w:pStyle w:val="ENoteTableText"/>
            </w:pPr>
            <w:r w:rsidRPr="00097A86">
              <w:t>rs 2012 No.</w:t>
            </w:r>
            <w:r>
              <w:t> </w:t>
            </w:r>
            <w:r w:rsidRPr="00097A86">
              <w:t>1</w:t>
            </w:r>
          </w:p>
        </w:tc>
      </w:tr>
      <w:tr w:rsidR="00F1362A" w:rsidRPr="00097A86" w14:paraId="316FFFDE" w14:textId="77777777" w:rsidTr="00C20CC2">
        <w:tblPrEx>
          <w:jc w:val="center"/>
        </w:tblPrEx>
        <w:trPr>
          <w:gridAfter w:val="1"/>
          <w:wAfter w:w="37" w:type="pct"/>
          <w:jc w:val="center"/>
        </w:trPr>
        <w:tc>
          <w:tcPr>
            <w:tcW w:w="1390" w:type="pct"/>
            <w:gridSpan w:val="2"/>
          </w:tcPr>
          <w:p w14:paraId="0B2A7220"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3.3.4</w:t>
            </w:r>
          </w:p>
        </w:tc>
        <w:tc>
          <w:tcPr>
            <w:tcW w:w="3573" w:type="pct"/>
            <w:gridSpan w:val="2"/>
          </w:tcPr>
          <w:p w14:paraId="7668E6ED" w14:textId="77777777" w:rsidR="00F1362A" w:rsidRPr="00097A86" w:rsidRDefault="00F1362A" w:rsidP="00D22D3F">
            <w:pPr>
              <w:pStyle w:val="ENoteTableText"/>
            </w:pPr>
          </w:p>
        </w:tc>
      </w:tr>
      <w:tr w:rsidR="00F1362A" w:rsidRPr="00097A86" w14:paraId="5012171D" w14:textId="77777777" w:rsidTr="00C20CC2">
        <w:tblPrEx>
          <w:jc w:val="center"/>
        </w:tblPrEx>
        <w:trPr>
          <w:gridAfter w:val="1"/>
          <w:wAfter w:w="37" w:type="pct"/>
          <w:jc w:val="center"/>
        </w:trPr>
        <w:tc>
          <w:tcPr>
            <w:tcW w:w="1390" w:type="pct"/>
            <w:gridSpan w:val="2"/>
          </w:tcPr>
          <w:p w14:paraId="30B7C589" w14:textId="77777777" w:rsidR="00F1362A" w:rsidRPr="00097A86" w:rsidRDefault="00F1362A" w:rsidP="006D1F60">
            <w:pPr>
              <w:pStyle w:val="ENoteTableText"/>
              <w:tabs>
                <w:tab w:val="left" w:leader="dot" w:pos="2268"/>
              </w:tabs>
            </w:pPr>
            <w:r w:rsidRPr="00097A86">
              <w:t>s 3.57</w:t>
            </w:r>
            <w:r w:rsidRPr="00097A86">
              <w:tab/>
            </w:r>
          </w:p>
        </w:tc>
        <w:tc>
          <w:tcPr>
            <w:tcW w:w="3573" w:type="pct"/>
            <w:gridSpan w:val="2"/>
          </w:tcPr>
          <w:p w14:paraId="1521E31A" w14:textId="77777777" w:rsidR="00F1362A" w:rsidRPr="00097A86" w:rsidRDefault="00F1362A" w:rsidP="00D22D3F">
            <w:pPr>
              <w:pStyle w:val="ENoteTableText"/>
            </w:pPr>
            <w:r w:rsidRPr="00097A86">
              <w:t>rs 2009 No.</w:t>
            </w:r>
            <w:r>
              <w:t> </w:t>
            </w:r>
            <w:r w:rsidRPr="00097A86">
              <w:t>1</w:t>
            </w:r>
          </w:p>
        </w:tc>
      </w:tr>
      <w:tr w:rsidR="00F1362A" w:rsidRPr="00097A86" w14:paraId="6F19FEAC" w14:textId="77777777" w:rsidTr="00C20CC2">
        <w:tblPrEx>
          <w:jc w:val="center"/>
        </w:tblPrEx>
        <w:trPr>
          <w:gridAfter w:val="1"/>
          <w:wAfter w:w="37" w:type="pct"/>
          <w:jc w:val="center"/>
        </w:trPr>
        <w:tc>
          <w:tcPr>
            <w:tcW w:w="1390" w:type="pct"/>
            <w:gridSpan w:val="2"/>
          </w:tcPr>
          <w:p w14:paraId="610D95FD" w14:textId="77777777" w:rsidR="00F1362A" w:rsidRPr="00097A86" w:rsidRDefault="00F1362A" w:rsidP="006D1F60">
            <w:pPr>
              <w:pStyle w:val="ENoteTableText"/>
              <w:tabs>
                <w:tab w:val="left" w:leader="dot" w:pos="2268"/>
              </w:tabs>
            </w:pPr>
            <w:r w:rsidRPr="00097A86">
              <w:t>s 3.58</w:t>
            </w:r>
            <w:r w:rsidRPr="00097A86">
              <w:tab/>
            </w:r>
          </w:p>
        </w:tc>
        <w:tc>
          <w:tcPr>
            <w:tcW w:w="3573" w:type="pct"/>
            <w:gridSpan w:val="2"/>
          </w:tcPr>
          <w:p w14:paraId="613FFEAC" w14:textId="77777777" w:rsidR="00F1362A" w:rsidRPr="00097A86" w:rsidRDefault="00F1362A" w:rsidP="00D22D3F">
            <w:pPr>
              <w:pStyle w:val="ENoteTableText"/>
            </w:pPr>
            <w:r w:rsidRPr="00097A86">
              <w:t>am 2009 No.</w:t>
            </w:r>
            <w:r>
              <w:t> </w:t>
            </w:r>
            <w:r w:rsidRPr="00097A86">
              <w:t>1</w:t>
            </w:r>
          </w:p>
        </w:tc>
      </w:tr>
      <w:tr w:rsidR="00F1362A" w:rsidRPr="00097A86" w14:paraId="27ED44FE" w14:textId="77777777" w:rsidTr="00C20CC2">
        <w:tblPrEx>
          <w:jc w:val="center"/>
        </w:tblPrEx>
        <w:trPr>
          <w:gridAfter w:val="1"/>
          <w:wAfter w:w="37" w:type="pct"/>
          <w:jc w:val="center"/>
        </w:trPr>
        <w:tc>
          <w:tcPr>
            <w:tcW w:w="1390" w:type="pct"/>
            <w:gridSpan w:val="2"/>
          </w:tcPr>
          <w:p w14:paraId="534C05CB" w14:textId="77777777" w:rsidR="00F1362A" w:rsidRPr="00097A86" w:rsidRDefault="00F1362A" w:rsidP="006D1F60">
            <w:pPr>
              <w:pStyle w:val="ENoteTableText"/>
              <w:tabs>
                <w:tab w:val="left" w:leader="dot" w:pos="2268"/>
              </w:tabs>
            </w:pPr>
            <w:r w:rsidRPr="00097A86">
              <w:t>s 359</w:t>
            </w:r>
            <w:r w:rsidRPr="00097A86">
              <w:tab/>
            </w:r>
          </w:p>
        </w:tc>
        <w:tc>
          <w:tcPr>
            <w:tcW w:w="3573" w:type="pct"/>
            <w:gridSpan w:val="2"/>
          </w:tcPr>
          <w:p w14:paraId="26871996" w14:textId="77777777" w:rsidR="00F1362A" w:rsidRPr="00097A86" w:rsidRDefault="00F1362A" w:rsidP="00D22D3F">
            <w:pPr>
              <w:pStyle w:val="ENoteTableText"/>
            </w:pPr>
            <w:r w:rsidRPr="00097A86">
              <w:t>am 2015 No 2</w:t>
            </w:r>
          </w:p>
        </w:tc>
      </w:tr>
      <w:tr w:rsidR="00F1362A" w:rsidRPr="00097A86" w14:paraId="2595BFEC" w14:textId="77777777" w:rsidTr="00C20CC2">
        <w:tblPrEx>
          <w:jc w:val="center"/>
        </w:tblPrEx>
        <w:trPr>
          <w:gridAfter w:val="1"/>
          <w:wAfter w:w="37" w:type="pct"/>
          <w:jc w:val="center"/>
        </w:trPr>
        <w:tc>
          <w:tcPr>
            <w:tcW w:w="1390" w:type="pct"/>
            <w:gridSpan w:val="2"/>
          </w:tcPr>
          <w:p w14:paraId="547C9246"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3.3.5</w:t>
            </w:r>
          </w:p>
        </w:tc>
        <w:tc>
          <w:tcPr>
            <w:tcW w:w="3573" w:type="pct"/>
            <w:gridSpan w:val="2"/>
          </w:tcPr>
          <w:p w14:paraId="4A0464A4" w14:textId="77777777" w:rsidR="00F1362A" w:rsidRPr="00097A86" w:rsidRDefault="00F1362A" w:rsidP="00D22D3F">
            <w:pPr>
              <w:pStyle w:val="ENoteTableText"/>
            </w:pPr>
          </w:p>
        </w:tc>
      </w:tr>
      <w:tr w:rsidR="00F1362A" w:rsidRPr="00097A86" w14:paraId="3E7056B6" w14:textId="77777777" w:rsidTr="00C20CC2">
        <w:tblPrEx>
          <w:jc w:val="center"/>
        </w:tblPrEx>
        <w:trPr>
          <w:gridAfter w:val="1"/>
          <w:wAfter w:w="37" w:type="pct"/>
          <w:jc w:val="center"/>
        </w:trPr>
        <w:tc>
          <w:tcPr>
            <w:tcW w:w="1390" w:type="pct"/>
            <w:gridSpan w:val="2"/>
          </w:tcPr>
          <w:p w14:paraId="7CF07A20" w14:textId="77777777" w:rsidR="00F1362A" w:rsidRPr="00097A86" w:rsidRDefault="00F1362A" w:rsidP="006D1F60">
            <w:pPr>
              <w:pStyle w:val="ENoteTableText"/>
              <w:tabs>
                <w:tab w:val="left" w:leader="dot" w:pos="2268"/>
              </w:tabs>
            </w:pPr>
            <w:r w:rsidRPr="00097A86">
              <w:t>s 3.61</w:t>
            </w:r>
            <w:r w:rsidRPr="00097A86">
              <w:tab/>
            </w:r>
          </w:p>
        </w:tc>
        <w:tc>
          <w:tcPr>
            <w:tcW w:w="3573" w:type="pct"/>
            <w:gridSpan w:val="2"/>
          </w:tcPr>
          <w:p w14:paraId="308A2313" w14:textId="77777777" w:rsidR="00F1362A" w:rsidRPr="00097A86" w:rsidRDefault="00F1362A" w:rsidP="00D22D3F">
            <w:pPr>
              <w:pStyle w:val="ENoteTableText"/>
            </w:pPr>
            <w:r w:rsidRPr="00097A86">
              <w:t>rs 2009 No.</w:t>
            </w:r>
            <w:r>
              <w:t> </w:t>
            </w:r>
            <w:r w:rsidRPr="00097A86">
              <w:t>1</w:t>
            </w:r>
          </w:p>
        </w:tc>
      </w:tr>
      <w:tr w:rsidR="00F1362A" w:rsidRPr="00097A86" w14:paraId="2ADE28E3" w14:textId="77777777" w:rsidTr="00C20CC2">
        <w:tblPrEx>
          <w:jc w:val="center"/>
        </w:tblPrEx>
        <w:trPr>
          <w:gridAfter w:val="1"/>
          <w:wAfter w:w="37" w:type="pct"/>
          <w:jc w:val="center"/>
        </w:trPr>
        <w:tc>
          <w:tcPr>
            <w:tcW w:w="1390" w:type="pct"/>
            <w:gridSpan w:val="2"/>
          </w:tcPr>
          <w:p w14:paraId="76BB508B" w14:textId="77777777" w:rsidR="00F1362A" w:rsidRPr="00097A86" w:rsidRDefault="00F1362A" w:rsidP="006D1F60">
            <w:pPr>
              <w:pStyle w:val="ENoteTableText"/>
              <w:tabs>
                <w:tab w:val="left" w:leader="dot" w:pos="2268"/>
              </w:tabs>
            </w:pPr>
            <w:r w:rsidRPr="00097A86">
              <w:t>s 3.62</w:t>
            </w:r>
            <w:r w:rsidRPr="00097A86">
              <w:tab/>
            </w:r>
          </w:p>
        </w:tc>
        <w:tc>
          <w:tcPr>
            <w:tcW w:w="3573" w:type="pct"/>
            <w:gridSpan w:val="2"/>
          </w:tcPr>
          <w:p w14:paraId="0B0DC8D4" w14:textId="77777777" w:rsidR="00F1362A" w:rsidRPr="00097A86" w:rsidRDefault="00F1362A" w:rsidP="00D22D3F">
            <w:pPr>
              <w:pStyle w:val="ENoteTableText"/>
            </w:pPr>
            <w:r w:rsidRPr="00097A86">
              <w:t>am 2009 No.</w:t>
            </w:r>
            <w:r>
              <w:t> </w:t>
            </w:r>
            <w:r w:rsidRPr="00097A86">
              <w:t>1; 2011 No.</w:t>
            </w:r>
            <w:r>
              <w:t> </w:t>
            </w:r>
            <w:r w:rsidRPr="00097A86">
              <w:t>1; 2015 No 2</w:t>
            </w:r>
          </w:p>
        </w:tc>
      </w:tr>
      <w:tr w:rsidR="00F1362A" w:rsidRPr="00097A86" w14:paraId="572364C5" w14:textId="77777777" w:rsidTr="00C20CC2">
        <w:tblPrEx>
          <w:jc w:val="center"/>
        </w:tblPrEx>
        <w:trPr>
          <w:gridAfter w:val="1"/>
          <w:wAfter w:w="37" w:type="pct"/>
          <w:jc w:val="center"/>
        </w:trPr>
        <w:tc>
          <w:tcPr>
            <w:tcW w:w="1390" w:type="pct"/>
            <w:gridSpan w:val="2"/>
          </w:tcPr>
          <w:p w14:paraId="27D344F6" w14:textId="77777777" w:rsidR="00F1362A" w:rsidRPr="00097A86" w:rsidRDefault="00F1362A" w:rsidP="006D1F60">
            <w:pPr>
              <w:pStyle w:val="ENoteTableText"/>
              <w:tabs>
                <w:tab w:val="left" w:leader="dot" w:pos="2268"/>
              </w:tabs>
            </w:pPr>
            <w:r w:rsidRPr="00097A86">
              <w:lastRenderedPageBreak/>
              <w:t>s 3.63</w:t>
            </w:r>
            <w:r w:rsidRPr="00097A86">
              <w:tab/>
            </w:r>
          </w:p>
        </w:tc>
        <w:tc>
          <w:tcPr>
            <w:tcW w:w="3573" w:type="pct"/>
            <w:gridSpan w:val="2"/>
          </w:tcPr>
          <w:p w14:paraId="6F09698E" w14:textId="77777777" w:rsidR="00F1362A" w:rsidRPr="00097A86" w:rsidRDefault="00F1362A" w:rsidP="00D22D3F">
            <w:pPr>
              <w:pStyle w:val="ENoteTableText"/>
            </w:pPr>
            <w:r w:rsidRPr="00097A86">
              <w:t>am 2015 No 1</w:t>
            </w:r>
          </w:p>
        </w:tc>
      </w:tr>
      <w:tr w:rsidR="00F1362A" w:rsidRPr="00097A86" w14:paraId="7874A5D9" w14:textId="77777777" w:rsidTr="00C20CC2">
        <w:tblPrEx>
          <w:jc w:val="center"/>
        </w:tblPrEx>
        <w:trPr>
          <w:gridAfter w:val="1"/>
          <w:wAfter w:w="37" w:type="pct"/>
          <w:jc w:val="center"/>
        </w:trPr>
        <w:tc>
          <w:tcPr>
            <w:tcW w:w="1390" w:type="pct"/>
            <w:gridSpan w:val="2"/>
          </w:tcPr>
          <w:p w14:paraId="03DDC0E6"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3.3.5.2</w:t>
            </w:r>
          </w:p>
        </w:tc>
        <w:tc>
          <w:tcPr>
            <w:tcW w:w="3573" w:type="pct"/>
            <w:gridSpan w:val="2"/>
          </w:tcPr>
          <w:p w14:paraId="6D3DD72C" w14:textId="77777777" w:rsidR="00F1362A" w:rsidRPr="00097A86" w:rsidRDefault="00F1362A" w:rsidP="00D22D3F">
            <w:pPr>
              <w:pStyle w:val="ENoteTableText"/>
            </w:pPr>
          </w:p>
        </w:tc>
      </w:tr>
      <w:tr w:rsidR="00F1362A" w:rsidRPr="00097A86" w14:paraId="703BC134" w14:textId="77777777" w:rsidTr="00C20CC2">
        <w:tblPrEx>
          <w:jc w:val="center"/>
        </w:tblPrEx>
        <w:trPr>
          <w:gridAfter w:val="1"/>
          <w:wAfter w:w="37" w:type="pct"/>
          <w:jc w:val="center"/>
        </w:trPr>
        <w:tc>
          <w:tcPr>
            <w:tcW w:w="1390" w:type="pct"/>
            <w:gridSpan w:val="2"/>
          </w:tcPr>
          <w:p w14:paraId="2E0B6135" w14:textId="77777777" w:rsidR="00F1362A" w:rsidRPr="00097A86" w:rsidRDefault="00F1362A" w:rsidP="006D1F60">
            <w:pPr>
              <w:pStyle w:val="ENoteTableText"/>
              <w:tabs>
                <w:tab w:val="left" w:leader="dot" w:pos="2268"/>
              </w:tabs>
            </w:pPr>
            <w:r w:rsidRPr="00097A86">
              <w:t>s 3.65</w:t>
            </w:r>
            <w:r w:rsidRPr="00097A86">
              <w:tab/>
            </w:r>
          </w:p>
        </w:tc>
        <w:tc>
          <w:tcPr>
            <w:tcW w:w="3573" w:type="pct"/>
            <w:gridSpan w:val="2"/>
          </w:tcPr>
          <w:p w14:paraId="059CECF9" w14:textId="77777777" w:rsidR="00F1362A" w:rsidRPr="00097A86" w:rsidRDefault="00F1362A" w:rsidP="00D22D3F">
            <w:pPr>
              <w:pStyle w:val="ENoteTableText"/>
            </w:pPr>
            <w:r w:rsidRPr="00097A86">
              <w:t>am 2009 No.</w:t>
            </w:r>
            <w:r>
              <w:t> </w:t>
            </w:r>
            <w:r w:rsidRPr="00097A86">
              <w:t>1</w:t>
            </w:r>
          </w:p>
        </w:tc>
      </w:tr>
      <w:tr w:rsidR="00F1362A" w:rsidRPr="00097A86" w14:paraId="535BE696" w14:textId="77777777" w:rsidTr="00C20CC2">
        <w:tblPrEx>
          <w:jc w:val="center"/>
        </w:tblPrEx>
        <w:trPr>
          <w:gridAfter w:val="1"/>
          <w:wAfter w:w="37" w:type="pct"/>
          <w:jc w:val="center"/>
        </w:trPr>
        <w:tc>
          <w:tcPr>
            <w:tcW w:w="1390" w:type="pct"/>
            <w:gridSpan w:val="2"/>
          </w:tcPr>
          <w:p w14:paraId="3F6FE34C"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3.3.5.3</w:t>
            </w:r>
          </w:p>
        </w:tc>
        <w:tc>
          <w:tcPr>
            <w:tcW w:w="3573" w:type="pct"/>
            <w:gridSpan w:val="2"/>
          </w:tcPr>
          <w:p w14:paraId="426FBABE" w14:textId="77777777" w:rsidR="00F1362A" w:rsidRPr="00097A86" w:rsidRDefault="00F1362A" w:rsidP="00D22D3F">
            <w:pPr>
              <w:pStyle w:val="ENoteTableText"/>
            </w:pPr>
          </w:p>
        </w:tc>
      </w:tr>
      <w:tr w:rsidR="00F1362A" w:rsidRPr="00097A86" w14:paraId="0BC79095" w14:textId="77777777" w:rsidTr="00C20CC2">
        <w:tblPrEx>
          <w:jc w:val="center"/>
        </w:tblPrEx>
        <w:trPr>
          <w:gridAfter w:val="1"/>
          <w:wAfter w:w="37" w:type="pct"/>
          <w:jc w:val="center"/>
        </w:trPr>
        <w:tc>
          <w:tcPr>
            <w:tcW w:w="1390" w:type="pct"/>
            <w:gridSpan w:val="2"/>
          </w:tcPr>
          <w:p w14:paraId="07A9E0FC" w14:textId="77777777" w:rsidR="00F1362A" w:rsidRPr="00097A86" w:rsidRDefault="00F1362A" w:rsidP="006D1F60">
            <w:pPr>
              <w:pStyle w:val="ENoteTableText"/>
              <w:tabs>
                <w:tab w:val="left" w:leader="dot" w:pos="2268"/>
              </w:tabs>
            </w:pPr>
            <w:r w:rsidRPr="00097A86">
              <w:t>s 3.67</w:t>
            </w:r>
            <w:r w:rsidRPr="00097A86">
              <w:tab/>
            </w:r>
          </w:p>
        </w:tc>
        <w:tc>
          <w:tcPr>
            <w:tcW w:w="3573" w:type="pct"/>
            <w:gridSpan w:val="2"/>
          </w:tcPr>
          <w:p w14:paraId="1B28EAE2" w14:textId="77777777" w:rsidR="00F1362A" w:rsidRPr="00097A86" w:rsidRDefault="00F1362A" w:rsidP="00D22D3F">
            <w:pPr>
              <w:pStyle w:val="ENoteTableText"/>
            </w:pPr>
            <w:r w:rsidRPr="00097A86">
              <w:t>am 2011 No.</w:t>
            </w:r>
            <w:r>
              <w:t> </w:t>
            </w:r>
            <w:r w:rsidRPr="00097A86">
              <w:t>1</w:t>
            </w:r>
          </w:p>
        </w:tc>
      </w:tr>
      <w:tr w:rsidR="00F1362A" w:rsidRPr="00097A86" w14:paraId="0B6E3563" w14:textId="77777777" w:rsidTr="00C20CC2">
        <w:tblPrEx>
          <w:jc w:val="center"/>
        </w:tblPrEx>
        <w:trPr>
          <w:gridAfter w:val="1"/>
          <w:wAfter w:w="37" w:type="pct"/>
          <w:jc w:val="center"/>
        </w:trPr>
        <w:tc>
          <w:tcPr>
            <w:tcW w:w="1390" w:type="pct"/>
            <w:gridSpan w:val="2"/>
          </w:tcPr>
          <w:p w14:paraId="02026B9D" w14:textId="77777777" w:rsidR="00F1362A" w:rsidRPr="00097A86" w:rsidRDefault="00F1362A" w:rsidP="006D1F60">
            <w:pPr>
              <w:pStyle w:val="ENoteTableText"/>
              <w:tabs>
                <w:tab w:val="left" w:leader="dot" w:pos="2268"/>
              </w:tabs>
            </w:pPr>
            <w:r w:rsidRPr="00097A86">
              <w:t>s 3.68</w:t>
            </w:r>
            <w:r w:rsidRPr="00097A86">
              <w:tab/>
            </w:r>
          </w:p>
        </w:tc>
        <w:tc>
          <w:tcPr>
            <w:tcW w:w="3573" w:type="pct"/>
            <w:gridSpan w:val="2"/>
          </w:tcPr>
          <w:p w14:paraId="31E72474" w14:textId="77777777" w:rsidR="00F1362A" w:rsidRPr="00097A86" w:rsidRDefault="00F1362A" w:rsidP="00D22D3F">
            <w:pPr>
              <w:pStyle w:val="ENoteTableText"/>
            </w:pPr>
            <w:r w:rsidRPr="00097A86">
              <w:t>rs 2011 No.</w:t>
            </w:r>
            <w:r>
              <w:t> </w:t>
            </w:r>
            <w:r w:rsidRPr="00097A86">
              <w:t>1</w:t>
            </w:r>
          </w:p>
        </w:tc>
      </w:tr>
      <w:tr w:rsidR="00F1362A" w:rsidRPr="00097A86" w14:paraId="194FA7F5" w14:textId="77777777" w:rsidTr="00C20CC2">
        <w:tblPrEx>
          <w:jc w:val="center"/>
        </w:tblPrEx>
        <w:trPr>
          <w:gridAfter w:val="1"/>
          <w:wAfter w:w="37" w:type="pct"/>
          <w:jc w:val="center"/>
        </w:trPr>
        <w:tc>
          <w:tcPr>
            <w:tcW w:w="1390" w:type="pct"/>
            <w:gridSpan w:val="2"/>
          </w:tcPr>
          <w:p w14:paraId="1E02C6C6" w14:textId="77777777" w:rsidR="00F1362A" w:rsidRPr="00097A86" w:rsidRDefault="00F1362A" w:rsidP="006D1F60">
            <w:pPr>
              <w:pStyle w:val="ENoteTableText"/>
              <w:tabs>
                <w:tab w:val="left" w:leader="dot" w:pos="2268"/>
              </w:tabs>
            </w:pPr>
          </w:p>
        </w:tc>
        <w:tc>
          <w:tcPr>
            <w:tcW w:w="3573" w:type="pct"/>
            <w:gridSpan w:val="2"/>
          </w:tcPr>
          <w:p w14:paraId="6B90490F" w14:textId="77777777" w:rsidR="00F1362A" w:rsidRPr="00097A86" w:rsidRDefault="00F1362A">
            <w:pPr>
              <w:pStyle w:val="ENoteTableText"/>
              <w:rPr>
                <w:rFonts w:eastAsiaTheme="minorHAnsi" w:cstheme="minorBidi"/>
              </w:rPr>
            </w:pPr>
            <w:r w:rsidRPr="00097A86">
              <w:t>am 2015 No 1</w:t>
            </w:r>
          </w:p>
        </w:tc>
      </w:tr>
      <w:tr w:rsidR="00F1362A" w:rsidRPr="00097A86" w14:paraId="20D78D34" w14:textId="77777777" w:rsidTr="00C20CC2">
        <w:tblPrEx>
          <w:jc w:val="center"/>
        </w:tblPrEx>
        <w:trPr>
          <w:gridAfter w:val="1"/>
          <w:wAfter w:w="37" w:type="pct"/>
          <w:jc w:val="center"/>
        </w:trPr>
        <w:tc>
          <w:tcPr>
            <w:tcW w:w="1390" w:type="pct"/>
            <w:gridSpan w:val="2"/>
          </w:tcPr>
          <w:p w14:paraId="1FEB1DE0" w14:textId="77777777" w:rsidR="00F1362A" w:rsidRPr="00097A86" w:rsidRDefault="00F1362A" w:rsidP="006D1F60">
            <w:pPr>
              <w:pStyle w:val="ENoteTableText"/>
              <w:tabs>
                <w:tab w:val="left" w:leader="dot" w:pos="2268"/>
              </w:tabs>
            </w:pPr>
            <w:r w:rsidRPr="00097A86">
              <w:t>s 3.68A</w:t>
            </w:r>
            <w:r w:rsidRPr="00097A86">
              <w:tab/>
            </w:r>
          </w:p>
        </w:tc>
        <w:tc>
          <w:tcPr>
            <w:tcW w:w="3573" w:type="pct"/>
            <w:gridSpan w:val="2"/>
          </w:tcPr>
          <w:p w14:paraId="19E5D2E0" w14:textId="77777777" w:rsidR="00F1362A" w:rsidRPr="00097A86" w:rsidRDefault="00F1362A" w:rsidP="001145AF">
            <w:pPr>
              <w:pStyle w:val="ENoteTableText"/>
            </w:pPr>
            <w:r w:rsidRPr="00097A86">
              <w:t>ad 2015 No 2</w:t>
            </w:r>
          </w:p>
        </w:tc>
      </w:tr>
      <w:tr w:rsidR="00F1362A" w:rsidRPr="00097A86" w14:paraId="0F1C7167" w14:textId="77777777" w:rsidTr="00C20CC2">
        <w:tblPrEx>
          <w:jc w:val="center"/>
        </w:tblPrEx>
        <w:trPr>
          <w:gridAfter w:val="1"/>
          <w:wAfter w:w="37" w:type="pct"/>
          <w:jc w:val="center"/>
        </w:trPr>
        <w:tc>
          <w:tcPr>
            <w:tcW w:w="1390" w:type="pct"/>
            <w:gridSpan w:val="2"/>
          </w:tcPr>
          <w:p w14:paraId="0850D5B7" w14:textId="77777777" w:rsidR="00F1362A" w:rsidRPr="00097A86" w:rsidRDefault="00F1362A" w:rsidP="001145AF">
            <w:pPr>
              <w:pStyle w:val="ENoteTableText"/>
              <w:tabs>
                <w:tab w:val="left" w:leader="dot" w:pos="2268"/>
              </w:tabs>
            </w:pPr>
            <w:r w:rsidRPr="00097A86">
              <w:t>s 3.69</w:t>
            </w:r>
            <w:r w:rsidRPr="00097A86">
              <w:tab/>
            </w:r>
          </w:p>
        </w:tc>
        <w:tc>
          <w:tcPr>
            <w:tcW w:w="3573" w:type="pct"/>
            <w:gridSpan w:val="2"/>
          </w:tcPr>
          <w:p w14:paraId="20238E72" w14:textId="77777777" w:rsidR="00F1362A" w:rsidRPr="00097A86" w:rsidRDefault="00F1362A" w:rsidP="001145AF">
            <w:pPr>
              <w:pStyle w:val="ENoteTableText"/>
            </w:pPr>
            <w:r w:rsidRPr="00097A86">
              <w:t>am 2011 No 1</w:t>
            </w:r>
          </w:p>
        </w:tc>
      </w:tr>
      <w:tr w:rsidR="00F1362A" w:rsidRPr="00097A86" w14:paraId="606A9823" w14:textId="77777777" w:rsidTr="00C20CC2">
        <w:tblPrEx>
          <w:jc w:val="center"/>
        </w:tblPrEx>
        <w:trPr>
          <w:gridAfter w:val="1"/>
          <w:wAfter w:w="37" w:type="pct"/>
          <w:jc w:val="center"/>
        </w:trPr>
        <w:tc>
          <w:tcPr>
            <w:tcW w:w="1390" w:type="pct"/>
            <w:gridSpan w:val="2"/>
          </w:tcPr>
          <w:p w14:paraId="5137228E"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3.3.6</w:t>
            </w:r>
          </w:p>
        </w:tc>
        <w:tc>
          <w:tcPr>
            <w:tcW w:w="3573" w:type="pct"/>
            <w:gridSpan w:val="2"/>
          </w:tcPr>
          <w:p w14:paraId="4B358CE2" w14:textId="77777777" w:rsidR="00F1362A" w:rsidRPr="00097A86" w:rsidRDefault="00F1362A" w:rsidP="00D22D3F">
            <w:pPr>
              <w:pStyle w:val="ENoteTableText"/>
            </w:pPr>
          </w:p>
        </w:tc>
      </w:tr>
      <w:tr w:rsidR="00F1362A" w:rsidRPr="00097A86" w14:paraId="702AF2BC" w14:textId="77777777" w:rsidTr="00C20CC2">
        <w:tblPrEx>
          <w:jc w:val="center"/>
        </w:tblPrEx>
        <w:trPr>
          <w:gridAfter w:val="1"/>
          <w:wAfter w:w="37" w:type="pct"/>
          <w:jc w:val="center"/>
        </w:trPr>
        <w:tc>
          <w:tcPr>
            <w:tcW w:w="1390" w:type="pct"/>
            <w:gridSpan w:val="2"/>
          </w:tcPr>
          <w:p w14:paraId="745B4EFA" w14:textId="77777777" w:rsidR="00F1362A" w:rsidRPr="00097A86" w:rsidRDefault="00F1362A" w:rsidP="006C1D96">
            <w:pPr>
              <w:pStyle w:val="ENoteTableText"/>
              <w:tabs>
                <w:tab w:val="left" w:leader="dot" w:pos="2268"/>
              </w:tabs>
            </w:pPr>
            <w:r w:rsidRPr="00097A86">
              <w:t>Division</w:t>
            </w:r>
            <w:r>
              <w:t> </w:t>
            </w:r>
            <w:r w:rsidRPr="00097A86">
              <w:t>3.3.6 heading</w:t>
            </w:r>
            <w:r w:rsidRPr="00097A86">
              <w:tab/>
            </w:r>
          </w:p>
        </w:tc>
        <w:tc>
          <w:tcPr>
            <w:tcW w:w="3573" w:type="pct"/>
            <w:gridSpan w:val="2"/>
          </w:tcPr>
          <w:p w14:paraId="6DF1CBF9" w14:textId="77777777" w:rsidR="00F1362A" w:rsidRPr="00097A86" w:rsidRDefault="00F1362A" w:rsidP="00D22D3F">
            <w:pPr>
              <w:pStyle w:val="ENoteTableText"/>
            </w:pPr>
            <w:r w:rsidRPr="00097A86">
              <w:t>rs 2009 No.</w:t>
            </w:r>
            <w:r>
              <w:t> </w:t>
            </w:r>
            <w:r w:rsidRPr="00097A86">
              <w:t>1</w:t>
            </w:r>
          </w:p>
        </w:tc>
      </w:tr>
      <w:tr w:rsidR="00F1362A" w:rsidRPr="00097A86" w14:paraId="74C3ED64" w14:textId="77777777" w:rsidTr="00C20CC2">
        <w:tblPrEx>
          <w:jc w:val="center"/>
        </w:tblPrEx>
        <w:trPr>
          <w:gridAfter w:val="1"/>
          <w:wAfter w:w="37" w:type="pct"/>
          <w:jc w:val="center"/>
        </w:trPr>
        <w:tc>
          <w:tcPr>
            <w:tcW w:w="1390" w:type="pct"/>
            <w:gridSpan w:val="2"/>
          </w:tcPr>
          <w:p w14:paraId="3AAF0A10" w14:textId="77777777" w:rsidR="00F1362A" w:rsidRPr="00097A86" w:rsidRDefault="00F1362A" w:rsidP="006D1F60">
            <w:pPr>
              <w:pStyle w:val="ENoteTableText"/>
              <w:tabs>
                <w:tab w:val="left" w:leader="dot" w:pos="2268"/>
              </w:tabs>
            </w:pPr>
            <w:r w:rsidRPr="00097A86">
              <w:t>s 3.70</w:t>
            </w:r>
            <w:r w:rsidRPr="00097A86">
              <w:tab/>
            </w:r>
          </w:p>
        </w:tc>
        <w:tc>
          <w:tcPr>
            <w:tcW w:w="3573" w:type="pct"/>
            <w:gridSpan w:val="2"/>
          </w:tcPr>
          <w:p w14:paraId="6821D3B6" w14:textId="77777777" w:rsidR="00F1362A" w:rsidRPr="00097A86" w:rsidRDefault="00F1362A" w:rsidP="00D22D3F">
            <w:pPr>
              <w:pStyle w:val="ENoteTableText"/>
            </w:pPr>
            <w:r w:rsidRPr="00097A86">
              <w:t>rs 2009 No.</w:t>
            </w:r>
            <w:r>
              <w:t> </w:t>
            </w:r>
            <w:r w:rsidRPr="00097A86">
              <w:t>1</w:t>
            </w:r>
          </w:p>
        </w:tc>
      </w:tr>
      <w:tr w:rsidR="00F1362A" w:rsidRPr="00097A86" w14:paraId="254E1E47" w14:textId="77777777" w:rsidTr="00C20CC2">
        <w:tblPrEx>
          <w:jc w:val="center"/>
        </w:tblPrEx>
        <w:trPr>
          <w:gridAfter w:val="1"/>
          <w:wAfter w:w="37" w:type="pct"/>
          <w:jc w:val="center"/>
        </w:trPr>
        <w:tc>
          <w:tcPr>
            <w:tcW w:w="1390" w:type="pct"/>
            <w:gridSpan w:val="2"/>
          </w:tcPr>
          <w:p w14:paraId="1B771456" w14:textId="77777777" w:rsidR="00F1362A" w:rsidRPr="00097A86" w:rsidRDefault="00F1362A" w:rsidP="006D1F60">
            <w:pPr>
              <w:pStyle w:val="ENoteTableText"/>
              <w:tabs>
                <w:tab w:val="left" w:leader="dot" w:pos="2268"/>
              </w:tabs>
            </w:pPr>
            <w:r w:rsidRPr="00097A86">
              <w:t>s 3.71</w:t>
            </w:r>
            <w:r w:rsidRPr="00097A86">
              <w:tab/>
            </w:r>
          </w:p>
        </w:tc>
        <w:tc>
          <w:tcPr>
            <w:tcW w:w="3573" w:type="pct"/>
            <w:gridSpan w:val="2"/>
          </w:tcPr>
          <w:p w14:paraId="4253D639" w14:textId="77777777" w:rsidR="00F1362A" w:rsidRPr="00097A86" w:rsidRDefault="00F1362A" w:rsidP="00D22D3F">
            <w:pPr>
              <w:pStyle w:val="ENoteTableText"/>
            </w:pPr>
            <w:r w:rsidRPr="00097A86">
              <w:t>am 2009 No.</w:t>
            </w:r>
            <w:r>
              <w:t> </w:t>
            </w:r>
            <w:r w:rsidRPr="00097A86">
              <w:t>1</w:t>
            </w:r>
          </w:p>
        </w:tc>
      </w:tr>
      <w:tr w:rsidR="00F1362A" w:rsidRPr="00097A86" w14:paraId="69176CC6" w14:textId="77777777" w:rsidTr="00C20CC2">
        <w:tblPrEx>
          <w:jc w:val="center"/>
        </w:tblPrEx>
        <w:trPr>
          <w:gridAfter w:val="1"/>
          <w:wAfter w:w="37" w:type="pct"/>
          <w:jc w:val="center"/>
        </w:trPr>
        <w:tc>
          <w:tcPr>
            <w:tcW w:w="1390" w:type="pct"/>
            <w:gridSpan w:val="2"/>
          </w:tcPr>
          <w:p w14:paraId="40EC4DE7" w14:textId="77777777" w:rsidR="00F1362A" w:rsidRPr="00097A86" w:rsidRDefault="00F1362A" w:rsidP="006D1F60">
            <w:pPr>
              <w:pStyle w:val="ENoteTableText"/>
              <w:tabs>
                <w:tab w:val="left" w:leader="dot" w:pos="2268"/>
              </w:tabs>
            </w:pPr>
            <w:r w:rsidRPr="00097A86">
              <w:t>s 3.72</w:t>
            </w:r>
            <w:r w:rsidRPr="00097A86">
              <w:tab/>
            </w:r>
          </w:p>
        </w:tc>
        <w:tc>
          <w:tcPr>
            <w:tcW w:w="3573" w:type="pct"/>
            <w:gridSpan w:val="2"/>
          </w:tcPr>
          <w:p w14:paraId="44757507" w14:textId="77777777" w:rsidR="00F1362A" w:rsidRPr="00097A86" w:rsidRDefault="00F1362A" w:rsidP="00D22D3F">
            <w:pPr>
              <w:pStyle w:val="ENoteTableText"/>
            </w:pPr>
            <w:r w:rsidRPr="00097A86">
              <w:t>am 2010 No.</w:t>
            </w:r>
            <w:r>
              <w:t> </w:t>
            </w:r>
            <w:r w:rsidRPr="00097A86">
              <w:t>1; 2012 No.</w:t>
            </w:r>
            <w:r>
              <w:t> </w:t>
            </w:r>
            <w:r w:rsidRPr="00097A86">
              <w:t>1; 2015 No 1</w:t>
            </w:r>
          </w:p>
        </w:tc>
      </w:tr>
      <w:tr w:rsidR="00F1362A" w:rsidRPr="00097A86" w14:paraId="67A35F1C" w14:textId="77777777" w:rsidTr="00C20CC2">
        <w:tblPrEx>
          <w:jc w:val="center"/>
        </w:tblPrEx>
        <w:trPr>
          <w:gridAfter w:val="1"/>
          <w:wAfter w:w="37" w:type="pct"/>
          <w:jc w:val="center"/>
        </w:trPr>
        <w:tc>
          <w:tcPr>
            <w:tcW w:w="1390" w:type="pct"/>
            <w:gridSpan w:val="2"/>
          </w:tcPr>
          <w:p w14:paraId="42B4E2F6" w14:textId="77777777" w:rsidR="00F1362A" w:rsidRPr="00097A86" w:rsidRDefault="00F1362A" w:rsidP="006D1F60">
            <w:pPr>
              <w:pStyle w:val="ENoteTableText"/>
              <w:tabs>
                <w:tab w:val="left" w:leader="dot" w:pos="2268"/>
              </w:tabs>
            </w:pPr>
            <w:r w:rsidRPr="00097A86">
              <w:t>s 3.73</w:t>
            </w:r>
            <w:r w:rsidRPr="00097A86">
              <w:tab/>
            </w:r>
          </w:p>
        </w:tc>
        <w:tc>
          <w:tcPr>
            <w:tcW w:w="3573" w:type="pct"/>
            <w:gridSpan w:val="2"/>
          </w:tcPr>
          <w:p w14:paraId="3073DAF3" w14:textId="77777777" w:rsidR="00F1362A" w:rsidRPr="00097A86" w:rsidRDefault="00F1362A" w:rsidP="00D22D3F">
            <w:pPr>
              <w:pStyle w:val="ENoteTableText"/>
            </w:pPr>
            <w:r w:rsidRPr="00097A86">
              <w:t>am 2010 No.</w:t>
            </w:r>
            <w:r>
              <w:t> </w:t>
            </w:r>
            <w:r w:rsidRPr="00097A86">
              <w:t>1; 2012 No.</w:t>
            </w:r>
            <w:r>
              <w:t> </w:t>
            </w:r>
            <w:r w:rsidRPr="00097A86">
              <w:t>1</w:t>
            </w:r>
          </w:p>
        </w:tc>
      </w:tr>
      <w:tr w:rsidR="00F1362A" w:rsidRPr="00097A86" w14:paraId="5EDBCBF0" w14:textId="77777777" w:rsidTr="00C20CC2">
        <w:tblPrEx>
          <w:jc w:val="center"/>
        </w:tblPrEx>
        <w:trPr>
          <w:gridAfter w:val="1"/>
          <w:wAfter w:w="37" w:type="pct"/>
          <w:jc w:val="center"/>
        </w:trPr>
        <w:tc>
          <w:tcPr>
            <w:tcW w:w="1390" w:type="pct"/>
            <w:gridSpan w:val="2"/>
          </w:tcPr>
          <w:p w14:paraId="0184B647"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3.3.7</w:t>
            </w:r>
          </w:p>
        </w:tc>
        <w:tc>
          <w:tcPr>
            <w:tcW w:w="3573" w:type="pct"/>
            <w:gridSpan w:val="2"/>
          </w:tcPr>
          <w:p w14:paraId="5B5173FE" w14:textId="77777777" w:rsidR="00F1362A" w:rsidRPr="00097A86" w:rsidRDefault="00F1362A" w:rsidP="00D22D3F">
            <w:pPr>
              <w:pStyle w:val="ENoteTableText"/>
            </w:pPr>
          </w:p>
        </w:tc>
      </w:tr>
      <w:tr w:rsidR="00F1362A" w:rsidRPr="00097A86" w14:paraId="2E8ACB08" w14:textId="77777777" w:rsidTr="00C20CC2">
        <w:tblPrEx>
          <w:jc w:val="center"/>
        </w:tblPrEx>
        <w:trPr>
          <w:gridAfter w:val="1"/>
          <w:wAfter w:w="37" w:type="pct"/>
          <w:jc w:val="center"/>
        </w:trPr>
        <w:tc>
          <w:tcPr>
            <w:tcW w:w="1390" w:type="pct"/>
            <w:gridSpan w:val="2"/>
          </w:tcPr>
          <w:p w14:paraId="312B9460" w14:textId="77777777" w:rsidR="00F1362A" w:rsidRPr="00097A86" w:rsidRDefault="00F1362A" w:rsidP="006D1F60">
            <w:pPr>
              <w:pStyle w:val="ENoteTableText"/>
              <w:tabs>
                <w:tab w:val="left" w:leader="dot" w:pos="2268"/>
              </w:tabs>
            </w:pPr>
            <w:r w:rsidRPr="00097A86">
              <w:t>s 3.74</w:t>
            </w:r>
            <w:r w:rsidRPr="00097A86">
              <w:tab/>
            </w:r>
          </w:p>
        </w:tc>
        <w:tc>
          <w:tcPr>
            <w:tcW w:w="3573" w:type="pct"/>
            <w:gridSpan w:val="2"/>
          </w:tcPr>
          <w:p w14:paraId="6FE7E6B6" w14:textId="77777777" w:rsidR="00F1362A" w:rsidRPr="00097A86" w:rsidRDefault="00F1362A" w:rsidP="00D22D3F">
            <w:pPr>
              <w:pStyle w:val="ENoteTableText"/>
            </w:pPr>
            <w:r w:rsidRPr="00097A86">
              <w:t>rs 2009 No.</w:t>
            </w:r>
            <w:r>
              <w:t> </w:t>
            </w:r>
            <w:r w:rsidRPr="00097A86">
              <w:t>1</w:t>
            </w:r>
          </w:p>
        </w:tc>
      </w:tr>
      <w:tr w:rsidR="00F1362A" w:rsidRPr="00097A86" w14:paraId="61A901F3" w14:textId="77777777" w:rsidTr="00C20CC2">
        <w:tblPrEx>
          <w:jc w:val="center"/>
        </w:tblPrEx>
        <w:trPr>
          <w:gridAfter w:val="1"/>
          <w:wAfter w:w="37" w:type="pct"/>
          <w:jc w:val="center"/>
        </w:trPr>
        <w:tc>
          <w:tcPr>
            <w:tcW w:w="1390" w:type="pct"/>
            <w:gridSpan w:val="2"/>
          </w:tcPr>
          <w:p w14:paraId="1D9BAF93" w14:textId="77777777" w:rsidR="00F1362A" w:rsidRPr="00097A86" w:rsidRDefault="00F1362A" w:rsidP="006D1F60">
            <w:pPr>
              <w:pStyle w:val="ENoteTableText"/>
              <w:tabs>
                <w:tab w:val="left" w:leader="dot" w:pos="2268"/>
              </w:tabs>
            </w:pPr>
            <w:r w:rsidRPr="00097A86">
              <w:t>s 3.75</w:t>
            </w:r>
            <w:r w:rsidRPr="00097A86">
              <w:tab/>
            </w:r>
          </w:p>
        </w:tc>
        <w:tc>
          <w:tcPr>
            <w:tcW w:w="3573" w:type="pct"/>
            <w:gridSpan w:val="2"/>
          </w:tcPr>
          <w:p w14:paraId="78AB60AF" w14:textId="77777777" w:rsidR="00F1362A" w:rsidRPr="00097A86" w:rsidRDefault="00F1362A" w:rsidP="00D22D3F">
            <w:pPr>
              <w:pStyle w:val="ENoteTableText"/>
            </w:pPr>
            <w:r w:rsidRPr="00097A86">
              <w:t>am 2009 No.</w:t>
            </w:r>
            <w:r>
              <w:t> </w:t>
            </w:r>
            <w:r w:rsidRPr="00097A86">
              <w:t>1</w:t>
            </w:r>
          </w:p>
        </w:tc>
      </w:tr>
      <w:tr w:rsidR="00F1362A" w:rsidRPr="00097A86" w14:paraId="431DFDE6" w14:textId="77777777" w:rsidTr="00C20CC2">
        <w:tblPrEx>
          <w:jc w:val="center"/>
        </w:tblPrEx>
        <w:trPr>
          <w:gridAfter w:val="1"/>
          <w:wAfter w:w="37" w:type="pct"/>
          <w:jc w:val="center"/>
        </w:trPr>
        <w:tc>
          <w:tcPr>
            <w:tcW w:w="1390" w:type="pct"/>
            <w:gridSpan w:val="2"/>
          </w:tcPr>
          <w:p w14:paraId="2BBCA22B" w14:textId="77777777" w:rsidR="00F1362A" w:rsidRPr="00097A86" w:rsidRDefault="00F1362A" w:rsidP="006D1F60">
            <w:pPr>
              <w:pStyle w:val="ENoteTableText"/>
              <w:tabs>
                <w:tab w:val="left" w:leader="dot" w:pos="2268"/>
              </w:tabs>
            </w:pPr>
            <w:r w:rsidRPr="00097A86">
              <w:lastRenderedPageBreak/>
              <w:t>s 3,76</w:t>
            </w:r>
            <w:r w:rsidRPr="00097A86">
              <w:tab/>
            </w:r>
          </w:p>
        </w:tc>
        <w:tc>
          <w:tcPr>
            <w:tcW w:w="3573" w:type="pct"/>
            <w:gridSpan w:val="2"/>
          </w:tcPr>
          <w:p w14:paraId="7EA60BC2" w14:textId="77777777" w:rsidR="00F1362A" w:rsidRPr="00097A86" w:rsidRDefault="00F1362A" w:rsidP="00D22D3F">
            <w:pPr>
              <w:pStyle w:val="ENoteTableText"/>
            </w:pPr>
            <w:r w:rsidRPr="00097A86">
              <w:t>am 2015 No 1</w:t>
            </w:r>
          </w:p>
        </w:tc>
      </w:tr>
      <w:tr w:rsidR="00F1362A" w:rsidRPr="00097A86" w14:paraId="65913882" w14:textId="77777777" w:rsidTr="00C20CC2">
        <w:tblPrEx>
          <w:jc w:val="center"/>
        </w:tblPrEx>
        <w:trPr>
          <w:gridAfter w:val="1"/>
          <w:wAfter w:w="37" w:type="pct"/>
          <w:jc w:val="center"/>
        </w:trPr>
        <w:tc>
          <w:tcPr>
            <w:tcW w:w="1390" w:type="pct"/>
            <w:gridSpan w:val="2"/>
          </w:tcPr>
          <w:p w14:paraId="70A23419" w14:textId="77777777" w:rsidR="00F1362A" w:rsidRPr="00097A86" w:rsidRDefault="00F1362A" w:rsidP="006D1F60">
            <w:pPr>
              <w:pStyle w:val="ENoteTableText"/>
              <w:tabs>
                <w:tab w:val="left" w:leader="dot" w:pos="2268"/>
              </w:tabs>
            </w:pPr>
            <w:r w:rsidRPr="00097A86">
              <w:t>s 3.77</w:t>
            </w:r>
            <w:r w:rsidRPr="00097A86">
              <w:tab/>
            </w:r>
          </w:p>
        </w:tc>
        <w:tc>
          <w:tcPr>
            <w:tcW w:w="3573" w:type="pct"/>
            <w:gridSpan w:val="2"/>
          </w:tcPr>
          <w:p w14:paraId="19B5913B" w14:textId="77777777" w:rsidR="00F1362A" w:rsidRPr="00097A86" w:rsidRDefault="00F1362A" w:rsidP="00D22D3F">
            <w:pPr>
              <w:pStyle w:val="ENoteTableText"/>
            </w:pPr>
            <w:r w:rsidRPr="00097A86">
              <w:t>am 2012 No.</w:t>
            </w:r>
            <w:r>
              <w:t> </w:t>
            </w:r>
            <w:r w:rsidRPr="00097A86">
              <w:t>1</w:t>
            </w:r>
          </w:p>
        </w:tc>
      </w:tr>
      <w:tr w:rsidR="00F1362A" w:rsidRPr="00097A86" w14:paraId="611EDCC5" w14:textId="77777777" w:rsidTr="00C20CC2">
        <w:tblPrEx>
          <w:jc w:val="center"/>
        </w:tblPrEx>
        <w:trPr>
          <w:gridAfter w:val="1"/>
          <w:wAfter w:w="37" w:type="pct"/>
          <w:jc w:val="center"/>
        </w:trPr>
        <w:tc>
          <w:tcPr>
            <w:tcW w:w="1390" w:type="pct"/>
            <w:gridSpan w:val="2"/>
          </w:tcPr>
          <w:p w14:paraId="0F31B649" w14:textId="77777777" w:rsidR="00F1362A" w:rsidRPr="00097A86" w:rsidRDefault="00F1362A" w:rsidP="005C5D38">
            <w:pPr>
              <w:pStyle w:val="ENoteTableText"/>
              <w:keepNext/>
              <w:tabs>
                <w:tab w:val="left" w:leader="dot" w:pos="2268"/>
              </w:tabs>
            </w:pPr>
            <w:r w:rsidRPr="00097A86">
              <w:rPr>
                <w:b/>
              </w:rPr>
              <w:t>Division</w:t>
            </w:r>
            <w:r>
              <w:rPr>
                <w:b/>
              </w:rPr>
              <w:t> </w:t>
            </w:r>
            <w:r w:rsidRPr="00097A86">
              <w:rPr>
                <w:b/>
              </w:rPr>
              <w:t>3.3.8</w:t>
            </w:r>
          </w:p>
        </w:tc>
        <w:tc>
          <w:tcPr>
            <w:tcW w:w="3573" w:type="pct"/>
            <w:gridSpan w:val="2"/>
          </w:tcPr>
          <w:p w14:paraId="012AC6F2" w14:textId="77777777" w:rsidR="00F1362A" w:rsidRPr="00097A86" w:rsidRDefault="00F1362A" w:rsidP="00D22D3F">
            <w:pPr>
              <w:pStyle w:val="ENoteTableText"/>
            </w:pPr>
          </w:p>
        </w:tc>
      </w:tr>
      <w:tr w:rsidR="00F1362A" w:rsidRPr="00097A86" w14:paraId="26D99B86" w14:textId="77777777" w:rsidTr="00C20CC2">
        <w:tblPrEx>
          <w:jc w:val="center"/>
        </w:tblPrEx>
        <w:trPr>
          <w:gridAfter w:val="1"/>
          <w:wAfter w:w="37" w:type="pct"/>
          <w:jc w:val="center"/>
        </w:trPr>
        <w:tc>
          <w:tcPr>
            <w:tcW w:w="1390" w:type="pct"/>
            <w:gridSpan w:val="2"/>
          </w:tcPr>
          <w:p w14:paraId="78086DDF" w14:textId="77777777" w:rsidR="00F1362A" w:rsidRPr="00097A86" w:rsidRDefault="00F1362A" w:rsidP="006D1F60">
            <w:pPr>
              <w:pStyle w:val="ENoteTableText"/>
              <w:tabs>
                <w:tab w:val="left" w:leader="dot" w:pos="2268"/>
              </w:tabs>
            </w:pPr>
            <w:r w:rsidRPr="00097A86">
              <w:t>s 3.78</w:t>
            </w:r>
            <w:r w:rsidRPr="00097A86">
              <w:tab/>
            </w:r>
          </w:p>
        </w:tc>
        <w:tc>
          <w:tcPr>
            <w:tcW w:w="3573" w:type="pct"/>
            <w:gridSpan w:val="2"/>
          </w:tcPr>
          <w:p w14:paraId="766BF66D" w14:textId="77777777" w:rsidR="00F1362A" w:rsidRPr="00097A86" w:rsidRDefault="00F1362A" w:rsidP="00D22D3F">
            <w:pPr>
              <w:pStyle w:val="ENoteTableText"/>
            </w:pPr>
            <w:r w:rsidRPr="00097A86">
              <w:t>rs 2009 No.</w:t>
            </w:r>
            <w:r>
              <w:t> </w:t>
            </w:r>
            <w:r w:rsidRPr="00097A86">
              <w:t>1</w:t>
            </w:r>
          </w:p>
        </w:tc>
      </w:tr>
      <w:tr w:rsidR="00F1362A" w:rsidRPr="00097A86" w14:paraId="3C8DCECD" w14:textId="77777777" w:rsidTr="00C20CC2">
        <w:tblPrEx>
          <w:jc w:val="center"/>
        </w:tblPrEx>
        <w:trPr>
          <w:gridAfter w:val="1"/>
          <w:wAfter w:w="37" w:type="pct"/>
          <w:jc w:val="center"/>
        </w:trPr>
        <w:tc>
          <w:tcPr>
            <w:tcW w:w="1390" w:type="pct"/>
            <w:gridSpan w:val="2"/>
          </w:tcPr>
          <w:p w14:paraId="05303B20" w14:textId="77777777" w:rsidR="00F1362A" w:rsidRPr="00097A86" w:rsidRDefault="00F1362A" w:rsidP="006D1F60">
            <w:pPr>
              <w:pStyle w:val="ENoteTableText"/>
              <w:tabs>
                <w:tab w:val="left" w:leader="dot" w:pos="2268"/>
              </w:tabs>
            </w:pPr>
            <w:r w:rsidRPr="00097A86">
              <w:t>s 3.79</w:t>
            </w:r>
            <w:r w:rsidRPr="00097A86">
              <w:tab/>
            </w:r>
          </w:p>
        </w:tc>
        <w:tc>
          <w:tcPr>
            <w:tcW w:w="3573" w:type="pct"/>
            <w:gridSpan w:val="2"/>
          </w:tcPr>
          <w:p w14:paraId="2658ED21" w14:textId="77777777" w:rsidR="00F1362A" w:rsidRPr="00097A86" w:rsidRDefault="00F1362A" w:rsidP="00D22D3F">
            <w:pPr>
              <w:pStyle w:val="ENoteTableText"/>
            </w:pPr>
            <w:r w:rsidRPr="00097A86">
              <w:t>am 2009 No.</w:t>
            </w:r>
            <w:r>
              <w:t> </w:t>
            </w:r>
            <w:r w:rsidRPr="00097A86">
              <w:t>1</w:t>
            </w:r>
            <w:r w:rsidR="00514268">
              <w:t xml:space="preserve">, rs </w:t>
            </w:r>
            <w:r w:rsidR="00514268" w:rsidRPr="00514268">
              <w:t>F2019L00938</w:t>
            </w:r>
          </w:p>
        </w:tc>
      </w:tr>
      <w:tr w:rsidR="00F1362A" w:rsidRPr="00097A86" w14:paraId="20D03821" w14:textId="77777777" w:rsidTr="00C20CC2">
        <w:tblPrEx>
          <w:jc w:val="center"/>
        </w:tblPrEx>
        <w:trPr>
          <w:gridAfter w:val="1"/>
          <w:wAfter w:w="37" w:type="pct"/>
          <w:jc w:val="center"/>
        </w:trPr>
        <w:tc>
          <w:tcPr>
            <w:tcW w:w="1390" w:type="pct"/>
            <w:gridSpan w:val="2"/>
          </w:tcPr>
          <w:p w14:paraId="274350B6" w14:textId="77777777" w:rsidR="00F1362A" w:rsidRPr="00097A86" w:rsidRDefault="00F1362A" w:rsidP="006D1F60">
            <w:pPr>
              <w:pStyle w:val="ENoteTableText"/>
              <w:tabs>
                <w:tab w:val="left" w:leader="dot" w:pos="2268"/>
              </w:tabs>
            </w:pPr>
            <w:r w:rsidRPr="00097A86">
              <w:t>s 3.80</w:t>
            </w:r>
            <w:r w:rsidRPr="00097A86">
              <w:tab/>
            </w:r>
          </w:p>
        </w:tc>
        <w:tc>
          <w:tcPr>
            <w:tcW w:w="3573" w:type="pct"/>
            <w:gridSpan w:val="2"/>
          </w:tcPr>
          <w:p w14:paraId="5C7C1F78" w14:textId="77777777" w:rsidR="00F1362A" w:rsidRPr="00097A86" w:rsidRDefault="00F1362A" w:rsidP="00D22D3F">
            <w:pPr>
              <w:pStyle w:val="ENoteTableText"/>
            </w:pPr>
            <w:r w:rsidRPr="00097A86">
              <w:t>am 2011 No.</w:t>
            </w:r>
            <w:r>
              <w:t> </w:t>
            </w:r>
            <w:r w:rsidRPr="00097A86">
              <w:t>1; 2015 No 1</w:t>
            </w:r>
          </w:p>
        </w:tc>
      </w:tr>
      <w:tr w:rsidR="00F1362A" w:rsidRPr="00097A86" w14:paraId="57E9F38A" w14:textId="77777777" w:rsidTr="00C20CC2">
        <w:tblPrEx>
          <w:jc w:val="center"/>
        </w:tblPrEx>
        <w:trPr>
          <w:gridAfter w:val="1"/>
          <w:wAfter w:w="37" w:type="pct"/>
          <w:jc w:val="center"/>
        </w:trPr>
        <w:tc>
          <w:tcPr>
            <w:tcW w:w="1390" w:type="pct"/>
            <w:gridSpan w:val="2"/>
          </w:tcPr>
          <w:p w14:paraId="6F06154A" w14:textId="77777777" w:rsidR="00F1362A" w:rsidRPr="00097A86" w:rsidRDefault="00F1362A" w:rsidP="006D1F60">
            <w:pPr>
              <w:pStyle w:val="ENoteTableText"/>
              <w:tabs>
                <w:tab w:val="left" w:leader="dot" w:pos="2268"/>
              </w:tabs>
            </w:pPr>
            <w:r w:rsidRPr="00097A86">
              <w:t>s 3.81</w:t>
            </w:r>
            <w:r w:rsidRPr="00097A86">
              <w:tab/>
            </w:r>
          </w:p>
        </w:tc>
        <w:tc>
          <w:tcPr>
            <w:tcW w:w="3573" w:type="pct"/>
            <w:gridSpan w:val="2"/>
          </w:tcPr>
          <w:p w14:paraId="576BA6C7" w14:textId="77777777" w:rsidR="00F1362A" w:rsidRPr="00097A86" w:rsidRDefault="00F1362A" w:rsidP="00D22D3F">
            <w:pPr>
              <w:pStyle w:val="ENoteTableText"/>
            </w:pPr>
            <w:r w:rsidRPr="00097A86">
              <w:t>am 2009 No.</w:t>
            </w:r>
            <w:r>
              <w:t> </w:t>
            </w:r>
            <w:r w:rsidRPr="00097A86">
              <w:t>1</w:t>
            </w:r>
          </w:p>
        </w:tc>
      </w:tr>
      <w:tr w:rsidR="00514268" w:rsidRPr="00097A86" w14:paraId="78F41C6B" w14:textId="77777777" w:rsidTr="00C20CC2">
        <w:tblPrEx>
          <w:jc w:val="center"/>
        </w:tblPrEx>
        <w:trPr>
          <w:gridAfter w:val="1"/>
          <w:wAfter w:w="37" w:type="pct"/>
          <w:jc w:val="center"/>
        </w:trPr>
        <w:tc>
          <w:tcPr>
            <w:tcW w:w="1390" w:type="pct"/>
            <w:gridSpan w:val="2"/>
          </w:tcPr>
          <w:p w14:paraId="4530C767" w14:textId="77777777" w:rsidR="00514268" w:rsidRPr="00097A86" w:rsidRDefault="00514268" w:rsidP="006D1F60">
            <w:pPr>
              <w:pStyle w:val="ENoteTableText"/>
              <w:tabs>
                <w:tab w:val="left" w:leader="dot" w:pos="2268"/>
              </w:tabs>
            </w:pPr>
            <w:r>
              <w:t>s 3.81A</w:t>
            </w:r>
            <w:r>
              <w:tab/>
            </w:r>
          </w:p>
        </w:tc>
        <w:tc>
          <w:tcPr>
            <w:tcW w:w="3573" w:type="pct"/>
            <w:gridSpan w:val="2"/>
          </w:tcPr>
          <w:p w14:paraId="7B5EA530" w14:textId="77777777" w:rsidR="00514268" w:rsidRPr="00097A86" w:rsidRDefault="00514268" w:rsidP="00D22D3F">
            <w:pPr>
              <w:pStyle w:val="ENoteTableText"/>
            </w:pPr>
            <w:r>
              <w:t xml:space="preserve">ad </w:t>
            </w:r>
            <w:r w:rsidRPr="00514268">
              <w:t>F2019L00938</w:t>
            </w:r>
          </w:p>
        </w:tc>
      </w:tr>
      <w:tr w:rsidR="00F1362A" w:rsidRPr="00097A86" w14:paraId="1972E7D9" w14:textId="77777777" w:rsidTr="00C20CC2">
        <w:tblPrEx>
          <w:jc w:val="center"/>
        </w:tblPrEx>
        <w:trPr>
          <w:gridAfter w:val="1"/>
          <w:wAfter w:w="37" w:type="pct"/>
          <w:jc w:val="center"/>
        </w:trPr>
        <w:tc>
          <w:tcPr>
            <w:tcW w:w="1390" w:type="pct"/>
            <w:gridSpan w:val="2"/>
          </w:tcPr>
          <w:p w14:paraId="47F329FC"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3.3.9</w:t>
            </w:r>
          </w:p>
        </w:tc>
        <w:tc>
          <w:tcPr>
            <w:tcW w:w="3573" w:type="pct"/>
            <w:gridSpan w:val="2"/>
          </w:tcPr>
          <w:p w14:paraId="569E7ECA" w14:textId="77777777" w:rsidR="00F1362A" w:rsidRPr="00097A86" w:rsidRDefault="00F1362A" w:rsidP="00D22D3F">
            <w:pPr>
              <w:pStyle w:val="ENoteTableText"/>
            </w:pPr>
          </w:p>
        </w:tc>
      </w:tr>
      <w:tr w:rsidR="00F1362A" w:rsidRPr="00097A86" w14:paraId="25EA34D0" w14:textId="77777777" w:rsidTr="00C20CC2">
        <w:tblPrEx>
          <w:jc w:val="center"/>
        </w:tblPrEx>
        <w:trPr>
          <w:gridAfter w:val="1"/>
          <w:wAfter w:w="37" w:type="pct"/>
          <w:jc w:val="center"/>
        </w:trPr>
        <w:tc>
          <w:tcPr>
            <w:tcW w:w="1390" w:type="pct"/>
            <w:gridSpan w:val="2"/>
          </w:tcPr>
          <w:p w14:paraId="683528DA" w14:textId="77777777" w:rsidR="00F1362A" w:rsidRPr="00097A86" w:rsidRDefault="00F1362A" w:rsidP="006C1D96">
            <w:pPr>
              <w:pStyle w:val="ENoteTableText"/>
              <w:tabs>
                <w:tab w:val="left" w:leader="dot" w:pos="2268"/>
              </w:tabs>
            </w:pPr>
            <w:r w:rsidRPr="00097A86">
              <w:t>Division</w:t>
            </w:r>
            <w:r>
              <w:t> </w:t>
            </w:r>
            <w:r w:rsidRPr="00097A86">
              <w:t>3.3.9 heading</w:t>
            </w:r>
            <w:r w:rsidRPr="00097A86">
              <w:tab/>
            </w:r>
          </w:p>
        </w:tc>
        <w:tc>
          <w:tcPr>
            <w:tcW w:w="3573" w:type="pct"/>
            <w:gridSpan w:val="2"/>
          </w:tcPr>
          <w:p w14:paraId="5A6D15CD" w14:textId="77777777" w:rsidR="00F1362A" w:rsidRPr="00097A86" w:rsidRDefault="00F1362A" w:rsidP="00D22D3F">
            <w:pPr>
              <w:pStyle w:val="ENoteTableText"/>
            </w:pPr>
            <w:r w:rsidRPr="00097A86">
              <w:t>rs 2009 No.</w:t>
            </w:r>
            <w:r>
              <w:t> </w:t>
            </w:r>
            <w:r w:rsidRPr="00097A86">
              <w:t>1</w:t>
            </w:r>
          </w:p>
        </w:tc>
      </w:tr>
      <w:tr w:rsidR="00F1362A" w:rsidRPr="00097A86" w14:paraId="58BD0037" w14:textId="77777777" w:rsidTr="00C20CC2">
        <w:tblPrEx>
          <w:jc w:val="center"/>
        </w:tblPrEx>
        <w:trPr>
          <w:gridAfter w:val="1"/>
          <w:wAfter w:w="37" w:type="pct"/>
          <w:jc w:val="center"/>
        </w:trPr>
        <w:tc>
          <w:tcPr>
            <w:tcW w:w="1390" w:type="pct"/>
            <w:gridSpan w:val="2"/>
          </w:tcPr>
          <w:p w14:paraId="24F8D326" w14:textId="77777777" w:rsidR="00F1362A" w:rsidRPr="00097A86" w:rsidRDefault="00F1362A" w:rsidP="006D1F60">
            <w:pPr>
              <w:pStyle w:val="ENoteTableText"/>
              <w:tabs>
                <w:tab w:val="left" w:leader="dot" w:pos="2268"/>
              </w:tabs>
            </w:pPr>
            <w:r w:rsidRPr="00097A86">
              <w:t>s 3.82</w:t>
            </w:r>
            <w:r w:rsidRPr="00097A86">
              <w:tab/>
            </w:r>
          </w:p>
        </w:tc>
        <w:tc>
          <w:tcPr>
            <w:tcW w:w="3573" w:type="pct"/>
            <w:gridSpan w:val="2"/>
          </w:tcPr>
          <w:p w14:paraId="78C92C7F" w14:textId="77777777" w:rsidR="00F1362A" w:rsidRPr="00097A86" w:rsidRDefault="00F1362A" w:rsidP="00D22D3F">
            <w:pPr>
              <w:pStyle w:val="ENoteTableText"/>
            </w:pPr>
            <w:r w:rsidRPr="00097A86">
              <w:t>rs 2009 No.</w:t>
            </w:r>
            <w:r>
              <w:t> </w:t>
            </w:r>
            <w:r w:rsidRPr="00097A86">
              <w:t>1</w:t>
            </w:r>
          </w:p>
        </w:tc>
      </w:tr>
      <w:tr w:rsidR="00F1362A" w:rsidRPr="00097A86" w14:paraId="2F920E26" w14:textId="77777777" w:rsidTr="00C20CC2">
        <w:tblPrEx>
          <w:jc w:val="center"/>
        </w:tblPrEx>
        <w:trPr>
          <w:gridAfter w:val="1"/>
          <w:wAfter w:w="37" w:type="pct"/>
          <w:jc w:val="center"/>
        </w:trPr>
        <w:tc>
          <w:tcPr>
            <w:tcW w:w="1390" w:type="pct"/>
            <w:gridSpan w:val="2"/>
          </w:tcPr>
          <w:p w14:paraId="65BE3663" w14:textId="77777777" w:rsidR="00F1362A" w:rsidRPr="00097A86" w:rsidRDefault="00F1362A" w:rsidP="006D1F60">
            <w:pPr>
              <w:pStyle w:val="ENoteTableText"/>
              <w:tabs>
                <w:tab w:val="left" w:leader="dot" w:pos="2268"/>
              </w:tabs>
            </w:pPr>
            <w:r w:rsidRPr="00097A86">
              <w:t>s 3.83</w:t>
            </w:r>
            <w:r w:rsidRPr="00097A86">
              <w:tab/>
            </w:r>
          </w:p>
        </w:tc>
        <w:tc>
          <w:tcPr>
            <w:tcW w:w="3573" w:type="pct"/>
            <w:gridSpan w:val="2"/>
          </w:tcPr>
          <w:p w14:paraId="4D397032" w14:textId="77777777" w:rsidR="00F1362A" w:rsidRPr="00097A86" w:rsidRDefault="00F1362A" w:rsidP="00D22D3F">
            <w:pPr>
              <w:pStyle w:val="ENoteTableText"/>
            </w:pPr>
            <w:r w:rsidRPr="00097A86">
              <w:t>am 2009 No.</w:t>
            </w:r>
            <w:r>
              <w:t> </w:t>
            </w:r>
            <w:r w:rsidRPr="00097A86">
              <w:t>1; 2010 No.</w:t>
            </w:r>
            <w:r>
              <w:t> </w:t>
            </w:r>
            <w:r w:rsidRPr="00097A86">
              <w:t>1; 2011 No.</w:t>
            </w:r>
            <w:r>
              <w:t> </w:t>
            </w:r>
            <w:r w:rsidRPr="00097A86">
              <w:t>1; 2015 No 2</w:t>
            </w:r>
          </w:p>
        </w:tc>
      </w:tr>
      <w:tr w:rsidR="00F1362A" w:rsidRPr="00097A86" w14:paraId="0D8CDC40" w14:textId="77777777" w:rsidTr="00C20CC2">
        <w:tblPrEx>
          <w:jc w:val="center"/>
        </w:tblPrEx>
        <w:trPr>
          <w:gridAfter w:val="1"/>
          <w:wAfter w:w="37" w:type="pct"/>
          <w:jc w:val="center"/>
        </w:trPr>
        <w:tc>
          <w:tcPr>
            <w:tcW w:w="1390" w:type="pct"/>
            <w:gridSpan w:val="2"/>
          </w:tcPr>
          <w:p w14:paraId="1135956F"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3.3.9.1</w:t>
            </w:r>
          </w:p>
        </w:tc>
        <w:tc>
          <w:tcPr>
            <w:tcW w:w="3573" w:type="pct"/>
            <w:gridSpan w:val="2"/>
          </w:tcPr>
          <w:p w14:paraId="4FB27DB1" w14:textId="77777777" w:rsidR="00F1362A" w:rsidRPr="00097A86" w:rsidRDefault="00F1362A" w:rsidP="00D22D3F">
            <w:pPr>
              <w:pStyle w:val="ENoteTableText"/>
            </w:pPr>
          </w:p>
        </w:tc>
      </w:tr>
      <w:tr w:rsidR="00F1362A" w:rsidRPr="00097A86" w14:paraId="58C12D02" w14:textId="77777777" w:rsidTr="00C20CC2">
        <w:tblPrEx>
          <w:jc w:val="center"/>
        </w:tblPrEx>
        <w:trPr>
          <w:gridAfter w:val="1"/>
          <w:wAfter w:w="37" w:type="pct"/>
          <w:jc w:val="center"/>
        </w:trPr>
        <w:tc>
          <w:tcPr>
            <w:tcW w:w="1390" w:type="pct"/>
            <w:gridSpan w:val="2"/>
          </w:tcPr>
          <w:p w14:paraId="6FEA3AC5" w14:textId="77777777" w:rsidR="00F1362A" w:rsidRPr="00097A86" w:rsidRDefault="00F1362A" w:rsidP="006D1F60">
            <w:pPr>
              <w:pStyle w:val="ENoteTableText"/>
              <w:tabs>
                <w:tab w:val="left" w:leader="dot" w:pos="2268"/>
              </w:tabs>
            </w:pPr>
            <w:r w:rsidRPr="00097A86">
              <w:t>s 3.84</w:t>
            </w:r>
            <w:r w:rsidRPr="00097A86">
              <w:tab/>
            </w:r>
          </w:p>
        </w:tc>
        <w:tc>
          <w:tcPr>
            <w:tcW w:w="3573" w:type="pct"/>
            <w:gridSpan w:val="2"/>
          </w:tcPr>
          <w:p w14:paraId="07DD8843" w14:textId="77777777" w:rsidR="00F1362A" w:rsidRPr="00097A86" w:rsidRDefault="00F1362A" w:rsidP="00D22D3F">
            <w:pPr>
              <w:pStyle w:val="ENoteTableText"/>
            </w:pPr>
            <w:r w:rsidRPr="00097A86">
              <w:t>rs 2010 No.</w:t>
            </w:r>
            <w:r>
              <w:t> </w:t>
            </w:r>
            <w:r w:rsidRPr="00097A86">
              <w:t>1</w:t>
            </w:r>
          </w:p>
        </w:tc>
      </w:tr>
      <w:tr w:rsidR="00F1362A" w:rsidRPr="00097A86" w14:paraId="2B5F5426" w14:textId="77777777" w:rsidTr="00C20CC2">
        <w:tblPrEx>
          <w:jc w:val="center"/>
        </w:tblPrEx>
        <w:trPr>
          <w:gridAfter w:val="1"/>
          <w:wAfter w:w="37" w:type="pct"/>
          <w:jc w:val="center"/>
        </w:trPr>
        <w:tc>
          <w:tcPr>
            <w:tcW w:w="1390" w:type="pct"/>
            <w:gridSpan w:val="2"/>
          </w:tcPr>
          <w:p w14:paraId="05E88830" w14:textId="77777777" w:rsidR="00F1362A" w:rsidRPr="00097A86" w:rsidRDefault="00F1362A" w:rsidP="006D1F60">
            <w:pPr>
              <w:pStyle w:val="ENoteTableText"/>
              <w:tabs>
                <w:tab w:val="left" w:leader="dot" w:pos="2268"/>
              </w:tabs>
            </w:pPr>
          </w:p>
        </w:tc>
        <w:tc>
          <w:tcPr>
            <w:tcW w:w="3573" w:type="pct"/>
            <w:gridSpan w:val="2"/>
          </w:tcPr>
          <w:p w14:paraId="44BD407A" w14:textId="77777777" w:rsidR="00F1362A" w:rsidRPr="00097A86" w:rsidRDefault="00F1362A" w:rsidP="00D22D3F">
            <w:pPr>
              <w:pStyle w:val="ENoteTableText"/>
            </w:pPr>
            <w:r w:rsidRPr="00097A86">
              <w:t>am 2012 No.</w:t>
            </w:r>
            <w:r>
              <w:t> </w:t>
            </w:r>
            <w:r w:rsidRPr="00097A86">
              <w:t>1</w:t>
            </w:r>
          </w:p>
        </w:tc>
      </w:tr>
      <w:tr w:rsidR="00F1362A" w:rsidRPr="00097A86" w14:paraId="1EC6987D" w14:textId="77777777" w:rsidTr="00C20CC2">
        <w:tblPrEx>
          <w:jc w:val="center"/>
        </w:tblPrEx>
        <w:trPr>
          <w:gridAfter w:val="1"/>
          <w:wAfter w:w="37" w:type="pct"/>
          <w:jc w:val="center"/>
        </w:trPr>
        <w:tc>
          <w:tcPr>
            <w:tcW w:w="1390" w:type="pct"/>
            <w:gridSpan w:val="2"/>
          </w:tcPr>
          <w:p w14:paraId="032C08C1"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3.3.9.2</w:t>
            </w:r>
          </w:p>
        </w:tc>
        <w:tc>
          <w:tcPr>
            <w:tcW w:w="3573" w:type="pct"/>
            <w:gridSpan w:val="2"/>
          </w:tcPr>
          <w:p w14:paraId="4B588A83" w14:textId="77777777" w:rsidR="00F1362A" w:rsidRPr="00097A86" w:rsidRDefault="00F1362A" w:rsidP="00D22D3F">
            <w:pPr>
              <w:pStyle w:val="ENoteTableText"/>
            </w:pPr>
          </w:p>
        </w:tc>
      </w:tr>
      <w:tr w:rsidR="00F1362A" w:rsidRPr="00097A86" w14:paraId="697A8DCC" w14:textId="77777777" w:rsidTr="00C20CC2">
        <w:tblPrEx>
          <w:jc w:val="center"/>
        </w:tblPrEx>
        <w:trPr>
          <w:gridAfter w:val="1"/>
          <w:wAfter w:w="37" w:type="pct"/>
          <w:jc w:val="center"/>
        </w:trPr>
        <w:tc>
          <w:tcPr>
            <w:tcW w:w="1390" w:type="pct"/>
            <w:gridSpan w:val="2"/>
          </w:tcPr>
          <w:p w14:paraId="43D4B62C" w14:textId="77777777" w:rsidR="00F1362A" w:rsidRPr="00097A86" w:rsidRDefault="00F1362A" w:rsidP="006D1F60">
            <w:pPr>
              <w:pStyle w:val="ENoteTableText"/>
              <w:tabs>
                <w:tab w:val="left" w:leader="dot" w:pos="2268"/>
              </w:tabs>
            </w:pPr>
            <w:r w:rsidRPr="00097A86">
              <w:t>s 3.86</w:t>
            </w:r>
            <w:r w:rsidRPr="00097A86">
              <w:tab/>
            </w:r>
          </w:p>
        </w:tc>
        <w:tc>
          <w:tcPr>
            <w:tcW w:w="3573" w:type="pct"/>
            <w:gridSpan w:val="2"/>
          </w:tcPr>
          <w:p w14:paraId="525D89C1" w14:textId="77777777" w:rsidR="00F1362A" w:rsidRPr="00097A86" w:rsidRDefault="00F1362A" w:rsidP="00D22D3F">
            <w:pPr>
              <w:pStyle w:val="ENoteTableText"/>
            </w:pPr>
            <w:r w:rsidRPr="00097A86">
              <w:t>rs 2011 No.</w:t>
            </w:r>
            <w:r>
              <w:t> </w:t>
            </w:r>
            <w:r w:rsidRPr="00097A86">
              <w:t>1</w:t>
            </w:r>
          </w:p>
        </w:tc>
      </w:tr>
      <w:tr w:rsidR="00F1362A" w:rsidRPr="00097A86" w14:paraId="16907A13" w14:textId="77777777" w:rsidTr="00C20CC2">
        <w:tblPrEx>
          <w:jc w:val="center"/>
        </w:tblPrEx>
        <w:trPr>
          <w:gridAfter w:val="1"/>
          <w:wAfter w:w="37" w:type="pct"/>
          <w:jc w:val="center"/>
        </w:trPr>
        <w:tc>
          <w:tcPr>
            <w:tcW w:w="1390" w:type="pct"/>
            <w:gridSpan w:val="2"/>
          </w:tcPr>
          <w:p w14:paraId="1D9EBF67" w14:textId="77777777" w:rsidR="00F1362A" w:rsidRPr="00097A86" w:rsidRDefault="00F1362A" w:rsidP="006D1F60">
            <w:pPr>
              <w:pStyle w:val="ENoteTableText"/>
              <w:tabs>
                <w:tab w:val="left" w:leader="dot" w:pos="2268"/>
              </w:tabs>
            </w:pPr>
          </w:p>
        </w:tc>
        <w:tc>
          <w:tcPr>
            <w:tcW w:w="3573" w:type="pct"/>
            <w:gridSpan w:val="2"/>
          </w:tcPr>
          <w:p w14:paraId="6E21824B" w14:textId="77777777" w:rsidR="00F1362A" w:rsidRPr="00097A86" w:rsidRDefault="00F1362A" w:rsidP="00D22D3F">
            <w:pPr>
              <w:pStyle w:val="ENoteTableText"/>
            </w:pPr>
            <w:r w:rsidRPr="00097A86">
              <w:t>am 2015 No 1; 2015 No 2</w:t>
            </w:r>
          </w:p>
        </w:tc>
      </w:tr>
      <w:tr w:rsidR="00F1362A" w:rsidRPr="00097A86" w14:paraId="4C1633B9" w14:textId="77777777" w:rsidTr="00C20CC2">
        <w:tblPrEx>
          <w:jc w:val="center"/>
        </w:tblPrEx>
        <w:trPr>
          <w:gridAfter w:val="1"/>
          <w:wAfter w:w="37" w:type="pct"/>
          <w:jc w:val="center"/>
        </w:trPr>
        <w:tc>
          <w:tcPr>
            <w:tcW w:w="1390" w:type="pct"/>
            <w:gridSpan w:val="2"/>
          </w:tcPr>
          <w:p w14:paraId="3FA7E413" w14:textId="77777777" w:rsidR="00F1362A" w:rsidRPr="00097A86" w:rsidRDefault="00F1362A">
            <w:pPr>
              <w:pStyle w:val="ENoteTableText"/>
              <w:tabs>
                <w:tab w:val="left" w:leader="dot" w:pos="2268"/>
              </w:tabs>
              <w:rPr>
                <w:rFonts w:eastAsiaTheme="minorHAnsi" w:cstheme="minorBidi"/>
              </w:rPr>
            </w:pPr>
            <w:r w:rsidRPr="00097A86">
              <w:lastRenderedPageBreak/>
              <w:t>s 3.86A</w:t>
            </w:r>
            <w:r w:rsidRPr="00097A86">
              <w:tab/>
            </w:r>
          </w:p>
        </w:tc>
        <w:tc>
          <w:tcPr>
            <w:tcW w:w="3573" w:type="pct"/>
            <w:gridSpan w:val="2"/>
          </w:tcPr>
          <w:p w14:paraId="26E57715" w14:textId="77777777" w:rsidR="00F1362A" w:rsidRPr="00097A86" w:rsidRDefault="00F1362A" w:rsidP="00D22D3F">
            <w:pPr>
              <w:pStyle w:val="ENoteTableText"/>
            </w:pPr>
            <w:r w:rsidRPr="00097A86">
              <w:t>ad 2015 No 2</w:t>
            </w:r>
          </w:p>
        </w:tc>
      </w:tr>
      <w:tr w:rsidR="00F1362A" w:rsidRPr="00097A86" w14:paraId="585DEDB2" w14:textId="77777777" w:rsidTr="00C20CC2">
        <w:tblPrEx>
          <w:jc w:val="center"/>
        </w:tblPrEx>
        <w:trPr>
          <w:gridAfter w:val="1"/>
          <w:wAfter w:w="37" w:type="pct"/>
          <w:jc w:val="center"/>
        </w:trPr>
        <w:tc>
          <w:tcPr>
            <w:tcW w:w="1390" w:type="pct"/>
            <w:gridSpan w:val="2"/>
          </w:tcPr>
          <w:p w14:paraId="0ACB2AE9" w14:textId="77777777" w:rsidR="00F1362A" w:rsidRPr="00097A86" w:rsidRDefault="00F1362A" w:rsidP="006D1F60">
            <w:pPr>
              <w:pStyle w:val="ENoteTableText"/>
              <w:tabs>
                <w:tab w:val="left" w:leader="dot" w:pos="2268"/>
              </w:tabs>
            </w:pPr>
            <w:r w:rsidRPr="00097A86">
              <w:t>s 3.87</w:t>
            </w:r>
            <w:r w:rsidRPr="00097A86">
              <w:tab/>
            </w:r>
          </w:p>
        </w:tc>
        <w:tc>
          <w:tcPr>
            <w:tcW w:w="3573" w:type="pct"/>
            <w:gridSpan w:val="2"/>
          </w:tcPr>
          <w:p w14:paraId="2F39D2EF" w14:textId="77777777" w:rsidR="00F1362A" w:rsidRPr="00097A86" w:rsidRDefault="00F1362A" w:rsidP="00D22D3F">
            <w:pPr>
              <w:pStyle w:val="ENoteTableText"/>
            </w:pPr>
            <w:r w:rsidRPr="00097A86">
              <w:t>am 2011 No.</w:t>
            </w:r>
            <w:r>
              <w:t> </w:t>
            </w:r>
            <w:r w:rsidRPr="00097A86">
              <w:t>1</w:t>
            </w:r>
          </w:p>
        </w:tc>
      </w:tr>
      <w:tr w:rsidR="00F1362A" w:rsidRPr="00097A86" w14:paraId="648CB010" w14:textId="77777777" w:rsidTr="00C20CC2">
        <w:tblPrEx>
          <w:jc w:val="center"/>
        </w:tblPrEx>
        <w:trPr>
          <w:gridAfter w:val="1"/>
          <w:wAfter w:w="37" w:type="pct"/>
          <w:jc w:val="center"/>
        </w:trPr>
        <w:tc>
          <w:tcPr>
            <w:tcW w:w="1390" w:type="pct"/>
            <w:gridSpan w:val="2"/>
          </w:tcPr>
          <w:p w14:paraId="26749B75" w14:textId="77777777" w:rsidR="00F1362A" w:rsidRPr="00097A86" w:rsidRDefault="00F1362A" w:rsidP="006D1F60">
            <w:pPr>
              <w:pStyle w:val="ENoteTableText"/>
              <w:tabs>
                <w:tab w:val="left" w:leader="dot" w:pos="2268"/>
              </w:tabs>
            </w:pPr>
            <w:r w:rsidRPr="00097A86">
              <w:rPr>
                <w:b/>
              </w:rPr>
              <w:t>Part</w:t>
            </w:r>
            <w:r>
              <w:rPr>
                <w:b/>
              </w:rPr>
              <w:t> </w:t>
            </w:r>
            <w:r w:rsidRPr="00097A86">
              <w:rPr>
                <w:b/>
              </w:rPr>
              <w:t>3.4</w:t>
            </w:r>
          </w:p>
        </w:tc>
        <w:tc>
          <w:tcPr>
            <w:tcW w:w="3573" w:type="pct"/>
            <w:gridSpan w:val="2"/>
          </w:tcPr>
          <w:p w14:paraId="627CB084" w14:textId="77777777" w:rsidR="00F1362A" w:rsidRPr="00097A86" w:rsidRDefault="00F1362A" w:rsidP="00D22D3F">
            <w:pPr>
              <w:pStyle w:val="ENoteTableText"/>
            </w:pPr>
          </w:p>
        </w:tc>
      </w:tr>
      <w:tr w:rsidR="00F1362A" w:rsidRPr="00097A86" w14:paraId="01923E7D" w14:textId="77777777" w:rsidTr="00C20CC2">
        <w:tblPrEx>
          <w:jc w:val="center"/>
        </w:tblPrEx>
        <w:trPr>
          <w:gridAfter w:val="1"/>
          <w:wAfter w:w="37" w:type="pct"/>
          <w:jc w:val="center"/>
        </w:trPr>
        <w:tc>
          <w:tcPr>
            <w:tcW w:w="1390" w:type="pct"/>
            <w:gridSpan w:val="2"/>
          </w:tcPr>
          <w:p w14:paraId="044B362D" w14:textId="77777777" w:rsidR="00F1362A" w:rsidRPr="00097A86" w:rsidRDefault="00F1362A" w:rsidP="006D1F60">
            <w:pPr>
              <w:pStyle w:val="ENoteTableText"/>
              <w:tabs>
                <w:tab w:val="left" w:leader="dot" w:pos="2268"/>
              </w:tabs>
            </w:pPr>
            <w:r w:rsidRPr="00097A86">
              <w:t>Part</w:t>
            </w:r>
            <w:r>
              <w:t> </w:t>
            </w:r>
            <w:r w:rsidRPr="00097A86">
              <w:t>3.4</w:t>
            </w:r>
            <w:r w:rsidRPr="00097A86">
              <w:tab/>
            </w:r>
          </w:p>
        </w:tc>
        <w:tc>
          <w:tcPr>
            <w:tcW w:w="3573" w:type="pct"/>
            <w:gridSpan w:val="2"/>
          </w:tcPr>
          <w:p w14:paraId="546A0016" w14:textId="77777777" w:rsidR="00F1362A" w:rsidRPr="00097A86" w:rsidRDefault="00F1362A" w:rsidP="00D22D3F">
            <w:pPr>
              <w:pStyle w:val="ENoteTableText"/>
            </w:pPr>
            <w:r w:rsidRPr="00097A86">
              <w:t>ad 2010 No.</w:t>
            </w:r>
            <w:r>
              <w:t> </w:t>
            </w:r>
            <w:r w:rsidRPr="00097A86">
              <w:t>1</w:t>
            </w:r>
          </w:p>
        </w:tc>
      </w:tr>
      <w:tr w:rsidR="00F1362A" w:rsidRPr="00097A86" w14:paraId="73387EEF" w14:textId="77777777" w:rsidTr="00C20CC2">
        <w:tblPrEx>
          <w:jc w:val="center"/>
        </w:tblPrEx>
        <w:trPr>
          <w:gridAfter w:val="1"/>
          <w:wAfter w:w="37" w:type="pct"/>
          <w:jc w:val="center"/>
        </w:trPr>
        <w:tc>
          <w:tcPr>
            <w:tcW w:w="1390" w:type="pct"/>
            <w:gridSpan w:val="2"/>
          </w:tcPr>
          <w:p w14:paraId="6273E380"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3.4.1</w:t>
            </w:r>
          </w:p>
        </w:tc>
        <w:tc>
          <w:tcPr>
            <w:tcW w:w="3573" w:type="pct"/>
            <w:gridSpan w:val="2"/>
          </w:tcPr>
          <w:p w14:paraId="12EB9825" w14:textId="77777777" w:rsidR="00F1362A" w:rsidRPr="00097A86" w:rsidRDefault="00F1362A" w:rsidP="00D22D3F">
            <w:pPr>
              <w:pStyle w:val="ENoteTableText"/>
            </w:pPr>
          </w:p>
        </w:tc>
      </w:tr>
      <w:tr w:rsidR="00F1362A" w:rsidRPr="00097A86" w14:paraId="1BC88BC2" w14:textId="77777777" w:rsidTr="00C20CC2">
        <w:tblPrEx>
          <w:jc w:val="center"/>
        </w:tblPrEx>
        <w:trPr>
          <w:gridAfter w:val="1"/>
          <w:wAfter w:w="37" w:type="pct"/>
          <w:jc w:val="center"/>
        </w:trPr>
        <w:tc>
          <w:tcPr>
            <w:tcW w:w="1390" w:type="pct"/>
            <w:gridSpan w:val="2"/>
          </w:tcPr>
          <w:p w14:paraId="596A7934" w14:textId="77777777" w:rsidR="00F1362A" w:rsidRPr="00097A86" w:rsidRDefault="00F1362A" w:rsidP="006D1F60">
            <w:pPr>
              <w:pStyle w:val="ENoteTableText"/>
              <w:tabs>
                <w:tab w:val="left" w:leader="dot" w:pos="2268"/>
              </w:tabs>
            </w:pPr>
            <w:r w:rsidRPr="00097A86">
              <w:t>s 3.88</w:t>
            </w:r>
            <w:r w:rsidRPr="00097A86">
              <w:tab/>
            </w:r>
          </w:p>
        </w:tc>
        <w:tc>
          <w:tcPr>
            <w:tcW w:w="3573" w:type="pct"/>
            <w:gridSpan w:val="2"/>
          </w:tcPr>
          <w:p w14:paraId="64B8ACC2" w14:textId="77777777" w:rsidR="00F1362A" w:rsidRPr="00097A86" w:rsidRDefault="00F1362A" w:rsidP="00D22D3F">
            <w:pPr>
              <w:pStyle w:val="ENoteTableText"/>
            </w:pPr>
            <w:r w:rsidRPr="00097A86">
              <w:t>ad 2010 No.</w:t>
            </w:r>
            <w:r>
              <w:t> </w:t>
            </w:r>
            <w:r w:rsidRPr="00097A86">
              <w:t>1</w:t>
            </w:r>
          </w:p>
        </w:tc>
      </w:tr>
      <w:tr w:rsidR="00F1362A" w:rsidRPr="00097A86" w14:paraId="5159BD3D" w14:textId="77777777" w:rsidTr="00C20CC2">
        <w:tblPrEx>
          <w:jc w:val="center"/>
        </w:tblPrEx>
        <w:trPr>
          <w:gridAfter w:val="1"/>
          <w:wAfter w:w="37" w:type="pct"/>
          <w:jc w:val="center"/>
        </w:trPr>
        <w:tc>
          <w:tcPr>
            <w:tcW w:w="1390" w:type="pct"/>
            <w:gridSpan w:val="2"/>
          </w:tcPr>
          <w:p w14:paraId="77A65FEC"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3.4.2</w:t>
            </w:r>
          </w:p>
        </w:tc>
        <w:tc>
          <w:tcPr>
            <w:tcW w:w="3573" w:type="pct"/>
            <w:gridSpan w:val="2"/>
          </w:tcPr>
          <w:p w14:paraId="44BAE7C1" w14:textId="77777777" w:rsidR="00F1362A" w:rsidRPr="00097A86" w:rsidRDefault="00F1362A" w:rsidP="00D22D3F">
            <w:pPr>
              <w:pStyle w:val="ENoteTableText"/>
            </w:pPr>
          </w:p>
        </w:tc>
      </w:tr>
      <w:tr w:rsidR="00F1362A" w:rsidRPr="00097A86" w14:paraId="652BB1B1" w14:textId="77777777" w:rsidTr="00C20CC2">
        <w:tblPrEx>
          <w:jc w:val="center"/>
        </w:tblPrEx>
        <w:trPr>
          <w:gridAfter w:val="1"/>
          <w:wAfter w:w="37" w:type="pct"/>
          <w:jc w:val="center"/>
        </w:trPr>
        <w:tc>
          <w:tcPr>
            <w:tcW w:w="1390" w:type="pct"/>
            <w:gridSpan w:val="2"/>
          </w:tcPr>
          <w:p w14:paraId="7ABDBD1A" w14:textId="77777777" w:rsidR="00F1362A" w:rsidRPr="00097A86" w:rsidRDefault="00F1362A" w:rsidP="006D1F60">
            <w:pPr>
              <w:pStyle w:val="ENoteTableText"/>
              <w:tabs>
                <w:tab w:val="left" w:leader="dot" w:pos="2268"/>
              </w:tabs>
            </w:pPr>
            <w:r w:rsidRPr="00097A86">
              <w:t>Division</w:t>
            </w:r>
            <w:r>
              <w:t> </w:t>
            </w:r>
            <w:r w:rsidRPr="00097A86">
              <w:t>3.4.2 heading</w:t>
            </w:r>
            <w:r w:rsidRPr="00097A86">
              <w:tab/>
            </w:r>
          </w:p>
        </w:tc>
        <w:tc>
          <w:tcPr>
            <w:tcW w:w="3573" w:type="pct"/>
            <w:gridSpan w:val="2"/>
          </w:tcPr>
          <w:p w14:paraId="5C0C7685" w14:textId="77777777" w:rsidR="00F1362A" w:rsidRPr="00097A86" w:rsidRDefault="00F1362A" w:rsidP="00D22D3F">
            <w:pPr>
              <w:pStyle w:val="ENoteTableText"/>
            </w:pPr>
            <w:r w:rsidRPr="00097A86">
              <w:t>rs 2016 No 1</w:t>
            </w:r>
          </w:p>
        </w:tc>
      </w:tr>
      <w:tr w:rsidR="00F1362A" w:rsidRPr="00097A86" w14:paraId="38B6F99C" w14:textId="77777777" w:rsidTr="00C20CC2">
        <w:tblPrEx>
          <w:jc w:val="center"/>
        </w:tblPrEx>
        <w:trPr>
          <w:gridAfter w:val="1"/>
          <w:wAfter w:w="37" w:type="pct"/>
          <w:jc w:val="center"/>
        </w:trPr>
        <w:tc>
          <w:tcPr>
            <w:tcW w:w="1390" w:type="pct"/>
            <w:gridSpan w:val="2"/>
          </w:tcPr>
          <w:p w14:paraId="584CCA49"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3.4.2.1</w:t>
            </w:r>
          </w:p>
        </w:tc>
        <w:tc>
          <w:tcPr>
            <w:tcW w:w="3573" w:type="pct"/>
            <w:gridSpan w:val="2"/>
          </w:tcPr>
          <w:p w14:paraId="14F93D72" w14:textId="77777777" w:rsidR="00F1362A" w:rsidRPr="00097A86" w:rsidRDefault="00F1362A" w:rsidP="00D22D3F">
            <w:pPr>
              <w:pStyle w:val="ENoteTableText"/>
            </w:pPr>
          </w:p>
        </w:tc>
      </w:tr>
      <w:tr w:rsidR="00F1362A" w:rsidRPr="00097A86" w14:paraId="415A59F0" w14:textId="77777777" w:rsidTr="00C20CC2">
        <w:tblPrEx>
          <w:jc w:val="center"/>
        </w:tblPrEx>
        <w:trPr>
          <w:gridAfter w:val="1"/>
          <w:wAfter w:w="37" w:type="pct"/>
          <w:jc w:val="center"/>
        </w:trPr>
        <w:tc>
          <w:tcPr>
            <w:tcW w:w="1390" w:type="pct"/>
            <w:gridSpan w:val="2"/>
          </w:tcPr>
          <w:p w14:paraId="5E929C2E" w14:textId="77777777" w:rsidR="00F1362A" w:rsidRPr="00097A86" w:rsidRDefault="00F1362A" w:rsidP="006D1F60">
            <w:pPr>
              <w:pStyle w:val="ENoteTableText"/>
              <w:tabs>
                <w:tab w:val="left" w:leader="dot" w:pos="2268"/>
              </w:tabs>
            </w:pPr>
            <w:r w:rsidRPr="00097A86">
              <w:t>s 3.89</w:t>
            </w:r>
            <w:r w:rsidRPr="00097A86">
              <w:tab/>
            </w:r>
          </w:p>
        </w:tc>
        <w:tc>
          <w:tcPr>
            <w:tcW w:w="3573" w:type="pct"/>
            <w:gridSpan w:val="2"/>
          </w:tcPr>
          <w:p w14:paraId="397E67A1" w14:textId="77777777" w:rsidR="00F1362A" w:rsidRPr="00097A86" w:rsidRDefault="00F1362A" w:rsidP="00D22D3F">
            <w:pPr>
              <w:pStyle w:val="ENoteTableText"/>
            </w:pPr>
            <w:r w:rsidRPr="00097A86">
              <w:t>ad 2010 No.</w:t>
            </w:r>
            <w:r>
              <w:t> </w:t>
            </w:r>
            <w:r w:rsidRPr="00097A86">
              <w:t>1</w:t>
            </w:r>
          </w:p>
        </w:tc>
      </w:tr>
      <w:tr w:rsidR="00F1362A" w:rsidRPr="00097A86" w14:paraId="3B07376C" w14:textId="77777777" w:rsidTr="00C20CC2">
        <w:tblPrEx>
          <w:jc w:val="center"/>
        </w:tblPrEx>
        <w:trPr>
          <w:gridAfter w:val="1"/>
          <w:wAfter w:w="37" w:type="pct"/>
          <w:jc w:val="center"/>
        </w:trPr>
        <w:tc>
          <w:tcPr>
            <w:tcW w:w="1390" w:type="pct"/>
            <w:gridSpan w:val="2"/>
          </w:tcPr>
          <w:p w14:paraId="42392CD8" w14:textId="77777777" w:rsidR="00F1362A" w:rsidRPr="00097A86" w:rsidRDefault="00F1362A" w:rsidP="006D1F60">
            <w:pPr>
              <w:pStyle w:val="ENoteTableText"/>
              <w:tabs>
                <w:tab w:val="left" w:leader="dot" w:pos="2268"/>
              </w:tabs>
            </w:pPr>
          </w:p>
        </w:tc>
        <w:tc>
          <w:tcPr>
            <w:tcW w:w="3573" w:type="pct"/>
            <w:gridSpan w:val="2"/>
          </w:tcPr>
          <w:p w14:paraId="267A4073" w14:textId="77777777" w:rsidR="00F1362A" w:rsidRPr="00097A86" w:rsidRDefault="00F1362A" w:rsidP="00D22D3F">
            <w:pPr>
              <w:pStyle w:val="ENoteTableText"/>
            </w:pPr>
            <w:r w:rsidRPr="00097A86">
              <w:t>am 2016 No 1</w:t>
            </w:r>
          </w:p>
        </w:tc>
      </w:tr>
      <w:tr w:rsidR="00F1362A" w:rsidRPr="00097A86" w14:paraId="004D15FA" w14:textId="77777777" w:rsidTr="00C20CC2">
        <w:tblPrEx>
          <w:jc w:val="center"/>
        </w:tblPrEx>
        <w:trPr>
          <w:gridAfter w:val="1"/>
          <w:wAfter w:w="37" w:type="pct"/>
          <w:jc w:val="center"/>
        </w:trPr>
        <w:tc>
          <w:tcPr>
            <w:tcW w:w="1390" w:type="pct"/>
            <w:gridSpan w:val="2"/>
          </w:tcPr>
          <w:p w14:paraId="1EE5F431" w14:textId="77777777" w:rsidR="00F1362A" w:rsidRPr="00097A86" w:rsidRDefault="00F1362A" w:rsidP="006D1F60">
            <w:pPr>
              <w:pStyle w:val="ENoteTableText"/>
              <w:tabs>
                <w:tab w:val="left" w:leader="dot" w:pos="2268"/>
              </w:tabs>
            </w:pPr>
            <w:r w:rsidRPr="00097A86">
              <w:t>s 3.90</w:t>
            </w:r>
            <w:r w:rsidRPr="00097A86">
              <w:tab/>
            </w:r>
          </w:p>
        </w:tc>
        <w:tc>
          <w:tcPr>
            <w:tcW w:w="3573" w:type="pct"/>
            <w:gridSpan w:val="2"/>
          </w:tcPr>
          <w:p w14:paraId="76D5B9FD" w14:textId="77777777" w:rsidR="00F1362A" w:rsidRPr="00097A86" w:rsidRDefault="00F1362A" w:rsidP="00D22D3F">
            <w:pPr>
              <w:pStyle w:val="ENoteTableText"/>
            </w:pPr>
            <w:r w:rsidRPr="00097A86">
              <w:t>ad 2010 No.</w:t>
            </w:r>
            <w:r>
              <w:t> </w:t>
            </w:r>
            <w:r w:rsidRPr="00097A86">
              <w:t>1</w:t>
            </w:r>
          </w:p>
        </w:tc>
      </w:tr>
      <w:tr w:rsidR="00F1362A" w:rsidRPr="00097A86" w14:paraId="74CCBEB4" w14:textId="77777777" w:rsidTr="00C20CC2">
        <w:tblPrEx>
          <w:jc w:val="center"/>
        </w:tblPrEx>
        <w:trPr>
          <w:gridAfter w:val="1"/>
          <w:wAfter w:w="37" w:type="pct"/>
          <w:jc w:val="center"/>
        </w:trPr>
        <w:tc>
          <w:tcPr>
            <w:tcW w:w="1390" w:type="pct"/>
            <w:gridSpan w:val="2"/>
          </w:tcPr>
          <w:p w14:paraId="2850BD10" w14:textId="77777777" w:rsidR="00F1362A" w:rsidRPr="00097A86" w:rsidRDefault="00F1362A" w:rsidP="006D1F60">
            <w:pPr>
              <w:pStyle w:val="ENoteTableText"/>
              <w:tabs>
                <w:tab w:val="left" w:leader="dot" w:pos="2268"/>
              </w:tabs>
            </w:pPr>
          </w:p>
        </w:tc>
        <w:tc>
          <w:tcPr>
            <w:tcW w:w="3573" w:type="pct"/>
            <w:gridSpan w:val="2"/>
          </w:tcPr>
          <w:p w14:paraId="3C71CCDB" w14:textId="77777777" w:rsidR="00F1362A" w:rsidRPr="00097A86" w:rsidRDefault="00F1362A" w:rsidP="00D22D3F">
            <w:pPr>
              <w:pStyle w:val="ENoteTableText"/>
            </w:pPr>
            <w:r w:rsidRPr="00097A86">
              <w:t>am 2016 No 1</w:t>
            </w:r>
          </w:p>
        </w:tc>
      </w:tr>
      <w:tr w:rsidR="00F1362A" w:rsidRPr="00097A86" w14:paraId="3C7838E3" w14:textId="77777777" w:rsidTr="00C20CC2">
        <w:tblPrEx>
          <w:jc w:val="center"/>
        </w:tblPrEx>
        <w:trPr>
          <w:gridAfter w:val="1"/>
          <w:wAfter w:w="37" w:type="pct"/>
          <w:jc w:val="center"/>
        </w:trPr>
        <w:tc>
          <w:tcPr>
            <w:tcW w:w="1390" w:type="pct"/>
            <w:gridSpan w:val="2"/>
          </w:tcPr>
          <w:p w14:paraId="6DBCF4BA" w14:textId="77777777" w:rsidR="00F1362A" w:rsidRPr="00097A86" w:rsidRDefault="00F1362A" w:rsidP="00C260E2">
            <w:pPr>
              <w:pStyle w:val="ENoteTableText"/>
              <w:tabs>
                <w:tab w:val="left" w:leader="dot" w:pos="2268"/>
              </w:tabs>
            </w:pPr>
            <w:r w:rsidRPr="00097A86">
              <w:rPr>
                <w:b/>
              </w:rPr>
              <w:t>Subdivision</w:t>
            </w:r>
            <w:r>
              <w:rPr>
                <w:b/>
              </w:rPr>
              <w:t> </w:t>
            </w:r>
            <w:r w:rsidRPr="00097A86">
              <w:rPr>
                <w:b/>
              </w:rPr>
              <w:t xml:space="preserve">3.4.2.2 </w:t>
            </w:r>
          </w:p>
        </w:tc>
        <w:tc>
          <w:tcPr>
            <w:tcW w:w="3573" w:type="pct"/>
            <w:gridSpan w:val="2"/>
          </w:tcPr>
          <w:p w14:paraId="05056ECC" w14:textId="77777777" w:rsidR="00F1362A" w:rsidRPr="00097A86" w:rsidRDefault="00F1362A" w:rsidP="00D22D3F">
            <w:pPr>
              <w:pStyle w:val="ENoteTableText"/>
            </w:pPr>
          </w:p>
        </w:tc>
      </w:tr>
      <w:tr w:rsidR="00F1362A" w:rsidRPr="00097A86" w14:paraId="20FA4E4F" w14:textId="77777777" w:rsidTr="00C20CC2">
        <w:tblPrEx>
          <w:jc w:val="center"/>
        </w:tblPrEx>
        <w:trPr>
          <w:gridAfter w:val="1"/>
          <w:wAfter w:w="37" w:type="pct"/>
          <w:jc w:val="center"/>
        </w:trPr>
        <w:tc>
          <w:tcPr>
            <w:tcW w:w="1390" w:type="pct"/>
            <w:gridSpan w:val="2"/>
          </w:tcPr>
          <w:p w14:paraId="6B2B3FD1" w14:textId="77777777" w:rsidR="00F1362A" w:rsidRPr="00097A86" w:rsidRDefault="00F1362A" w:rsidP="006D1F60">
            <w:pPr>
              <w:pStyle w:val="ENoteTableText"/>
              <w:tabs>
                <w:tab w:val="left" w:leader="dot" w:pos="2268"/>
              </w:tabs>
            </w:pPr>
            <w:r w:rsidRPr="00097A86">
              <w:t>Subdivision</w:t>
            </w:r>
            <w:r>
              <w:t> </w:t>
            </w:r>
            <w:r w:rsidRPr="00097A86">
              <w:t>3.4.2.2 heading</w:t>
            </w:r>
            <w:r w:rsidRPr="00097A86">
              <w:tab/>
            </w:r>
            <w:r w:rsidRPr="00097A86">
              <w:br/>
              <w:t>(first occurring)</w:t>
            </w:r>
          </w:p>
        </w:tc>
        <w:tc>
          <w:tcPr>
            <w:tcW w:w="3573" w:type="pct"/>
            <w:gridSpan w:val="2"/>
          </w:tcPr>
          <w:p w14:paraId="753C2F95" w14:textId="77777777" w:rsidR="00F1362A" w:rsidRPr="00097A86" w:rsidRDefault="00F1362A" w:rsidP="00D22D3F">
            <w:pPr>
              <w:pStyle w:val="ENoteTableText"/>
            </w:pPr>
            <w:r w:rsidRPr="00097A86">
              <w:t>rs 2016 No 1</w:t>
            </w:r>
          </w:p>
        </w:tc>
      </w:tr>
      <w:tr w:rsidR="00F1362A" w:rsidRPr="00097A86" w14:paraId="63906E6D" w14:textId="77777777" w:rsidTr="00C20CC2">
        <w:tblPrEx>
          <w:jc w:val="center"/>
        </w:tblPrEx>
        <w:trPr>
          <w:gridAfter w:val="1"/>
          <w:wAfter w:w="37" w:type="pct"/>
          <w:jc w:val="center"/>
        </w:trPr>
        <w:tc>
          <w:tcPr>
            <w:tcW w:w="1390" w:type="pct"/>
            <w:gridSpan w:val="2"/>
          </w:tcPr>
          <w:p w14:paraId="3D9AE4D2" w14:textId="77777777" w:rsidR="00F1362A" w:rsidRPr="00097A86" w:rsidRDefault="00F1362A" w:rsidP="006D1F60">
            <w:pPr>
              <w:pStyle w:val="ENoteTableText"/>
              <w:tabs>
                <w:tab w:val="left" w:leader="dot" w:pos="2268"/>
              </w:tabs>
            </w:pPr>
            <w:r w:rsidRPr="00097A86">
              <w:t>s 3.91</w:t>
            </w:r>
            <w:r w:rsidRPr="00097A86">
              <w:tab/>
            </w:r>
          </w:p>
        </w:tc>
        <w:tc>
          <w:tcPr>
            <w:tcW w:w="3573" w:type="pct"/>
            <w:gridSpan w:val="2"/>
          </w:tcPr>
          <w:p w14:paraId="7A492800" w14:textId="77777777" w:rsidR="00F1362A" w:rsidRPr="00097A86" w:rsidRDefault="00F1362A" w:rsidP="00D22D3F">
            <w:pPr>
              <w:pStyle w:val="ENoteTableText"/>
            </w:pPr>
            <w:r w:rsidRPr="00097A86">
              <w:t>ad 2010 No.</w:t>
            </w:r>
            <w:r>
              <w:t> </w:t>
            </w:r>
            <w:r w:rsidRPr="00097A86">
              <w:t>1</w:t>
            </w:r>
          </w:p>
        </w:tc>
      </w:tr>
      <w:tr w:rsidR="00F1362A" w:rsidRPr="00097A86" w14:paraId="64FF28C1" w14:textId="77777777" w:rsidTr="00C20CC2">
        <w:tblPrEx>
          <w:jc w:val="center"/>
        </w:tblPrEx>
        <w:trPr>
          <w:gridAfter w:val="1"/>
          <w:wAfter w:w="37" w:type="pct"/>
          <w:jc w:val="center"/>
        </w:trPr>
        <w:tc>
          <w:tcPr>
            <w:tcW w:w="1390" w:type="pct"/>
            <w:gridSpan w:val="2"/>
          </w:tcPr>
          <w:p w14:paraId="36E93120" w14:textId="77777777" w:rsidR="00F1362A" w:rsidRPr="00097A86" w:rsidRDefault="00F1362A" w:rsidP="006D1F60">
            <w:pPr>
              <w:pStyle w:val="ENoteTableText"/>
              <w:tabs>
                <w:tab w:val="left" w:leader="dot" w:pos="2268"/>
              </w:tabs>
            </w:pPr>
          </w:p>
        </w:tc>
        <w:tc>
          <w:tcPr>
            <w:tcW w:w="3573" w:type="pct"/>
            <w:gridSpan w:val="2"/>
          </w:tcPr>
          <w:p w14:paraId="2B0E7730" w14:textId="77777777" w:rsidR="00F1362A" w:rsidRPr="00097A86" w:rsidRDefault="00F1362A" w:rsidP="00D22D3F">
            <w:pPr>
              <w:pStyle w:val="ENoteTableText"/>
            </w:pPr>
            <w:r w:rsidRPr="00097A86">
              <w:t>rs 2016 No 1</w:t>
            </w:r>
          </w:p>
        </w:tc>
      </w:tr>
      <w:tr w:rsidR="00F1362A" w:rsidRPr="00097A86" w14:paraId="6B22A318" w14:textId="77777777" w:rsidTr="00C20CC2">
        <w:tblPrEx>
          <w:jc w:val="center"/>
        </w:tblPrEx>
        <w:trPr>
          <w:gridAfter w:val="1"/>
          <w:wAfter w:w="37" w:type="pct"/>
          <w:jc w:val="center"/>
        </w:trPr>
        <w:tc>
          <w:tcPr>
            <w:tcW w:w="1390" w:type="pct"/>
            <w:gridSpan w:val="2"/>
          </w:tcPr>
          <w:p w14:paraId="2BCB566C" w14:textId="77777777" w:rsidR="00F1362A" w:rsidRPr="00097A86" w:rsidRDefault="00F1362A" w:rsidP="006D1F60">
            <w:pPr>
              <w:pStyle w:val="ENoteTableText"/>
              <w:tabs>
                <w:tab w:val="left" w:leader="dot" w:pos="2268"/>
              </w:tabs>
            </w:pPr>
          </w:p>
        </w:tc>
        <w:tc>
          <w:tcPr>
            <w:tcW w:w="3573" w:type="pct"/>
            <w:gridSpan w:val="2"/>
          </w:tcPr>
          <w:p w14:paraId="32BF2CB3" w14:textId="77777777" w:rsidR="00F1362A" w:rsidRPr="00097A86" w:rsidRDefault="00F1362A" w:rsidP="00D22D3F">
            <w:pPr>
              <w:pStyle w:val="ENoteTableText"/>
            </w:pPr>
            <w:r>
              <w:t>am F2018L00923</w:t>
            </w:r>
          </w:p>
        </w:tc>
      </w:tr>
      <w:tr w:rsidR="00F1362A" w:rsidRPr="00097A86" w14:paraId="1AD0B832" w14:textId="77777777" w:rsidTr="00C20CC2">
        <w:tblPrEx>
          <w:jc w:val="center"/>
        </w:tblPrEx>
        <w:trPr>
          <w:gridAfter w:val="1"/>
          <w:wAfter w:w="37" w:type="pct"/>
          <w:jc w:val="center"/>
        </w:trPr>
        <w:tc>
          <w:tcPr>
            <w:tcW w:w="1390" w:type="pct"/>
            <w:gridSpan w:val="2"/>
          </w:tcPr>
          <w:p w14:paraId="2AD7C848" w14:textId="77777777" w:rsidR="00F1362A" w:rsidRPr="00097A86" w:rsidRDefault="00F1362A" w:rsidP="00C260E2">
            <w:pPr>
              <w:pStyle w:val="ENoteTableText"/>
              <w:tabs>
                <w:tab w:val="left" w:leader="dot" w:pos="2268"/>
              </w:tabs>
            </w:pPr>
            <w:r w:rsidRPr="00097A86">
              <w:rPr>
                <w:b/>
              </w:rPr>
              <w:t>Subdivision</w:t>
            </w:r>
            <w:r>
              <w:rPr>
                <w:b/>
              </w:rPr>
              <w:t> </w:t>
            </w:r>
            <w:r w:rsidRPr="00097A86">
              <w:rPr>
                <w:b/>
              </w:rPr>
              <w:t>3.4.2.3</w:t>
            </w:r>
          </w:p>
        </w:tc>
        <w:tc>
          <w:tcPr>
            <w:tcW w:w="3573" w:type="pct"/>
            <w:gridSpan w:val="2"/>
          </w:tcPr>
          <w:p w14:paraId="332B2FAC" w14:textId="77777777" w:rsidR="00F1362A" w:rsidRPr="00097A86" w:rsidRDefault="00F1362A" w:rsidP="00D22D3F">
            <w:pPr>
              <w:pStyle w:val="ENoteTableText"/>
            </w:pPr>
          </w:p>
        </w:tc>
      </w:tr>
      <w:tr w:rsidR="00F1362A" w:rsidRPr="00097A86" w14:paraId="7022F166" w14:textId="77777777" w:rsidTr="00C20CC2">
        <w:tblPrEx>
          <w:jc w:val="center"/>
        </w:tblPrEx>
        <w:trPr>
          <w:gridAfter w:val="1"/>
          <w:wAfter w:w="37" w:type="pct"/>
          <w:jc w:val="center"/>
        </w:trPr>
        <w:tc>
          <w:tcPr>
            <w:tcW w:w="1390" w:type="pct"/>
            <w:gridSpan w:val="2"/>
          </w:tcPr>
          <w:p w14:paraId="5437206B" w14:textId="77777777" w:rsidR="00F1362A" w:rsidRPr="00097A86" w:rsidRDefault="00F1362A" w:rsidP="00C260E2">
            <w:pPr>
              <w:pStyle w:val="ENoteTableText"/>
              <w:tabs>
                <w:tab w:val="left" w:leader="dot" w:pos="2268"/>
              </w:tabs>
            </w:pPr>
            <w:r w:rsidRPr="00097A86">
              <w:t>Subdivision</w:t>
            </w:r>
            <w:r>
              <w:t> </w:t>
            </w:r>
            <w:r w:rsidRPr="00097A86">
              <w:t>3.4.2.2 heading</w:t>
            </w:r>
            <w:r w:rsidRPr="00097A86">
              <w:tab/>
            </w:r>
            <w:r w:rsidRPr="00097A86">
              <w:br/>
              <w:t>(second occurring)</w:t>
            </w:r>
          </w:p>
        </w:tc>
        <w:tc>
          <w:tcPr>
            <w:tcW w:w="3573" w:type="pct"/>
            <w:gridSpan w:val="2"/>
          </w:tcPr>
          <w:p w14:paraId="61E382EF" w14:textId="77777777" w:rsidR="00F1362A" w:rsidRPr="00097A86" w:rsidRDefault="00F1362A" w:rsidP="00D22D3F">
            <w:pPr>
              <w:pStyle w:val="ENoteTableText"/>
            </w:pPr>
            <w:r w:rsidRPr="00097A86">
              <w:t>rep 2016 No 1</w:t>
            </w:r>
          </w:p>
        </w:tc>
      </w:tr>
      <w:tr w:rsidR="00F1362A" w:rsidRPr="00097A86" w14:paraId="6A4BC563" w14:textId="77777777" w:rsidTr="00C20CC2">
        <w:tblPrEx>
          <w:jc w:val="center"/>
        </w:tblPrEx>
        <w:trPr>
          <w:gridAfter w:val="1"/>
          <w:wAfter w:w="37" w:type="pct"/>
          <w:jc w:val="center"/>
        </w:trPr>
        <w:tc>
          <w:tcPr>
            <w:tcW w:w="1390" w:type="pct"/>
            <w:gridSpan w:val="2"/>
          </w:tcPr>
          <w:p w14:paraId="0793C973" w14:textId="77777777" w:rsidR="00F1362A" w:rsidRPr="00097A86" w:rsidRDefault="00F1362A" w:rsidP="006D1F60">
            <w:pPr>
              <w:pStyle w:val="ENoteTableText"/>
              <w:tabs>
                <w:tab w:val="left" w:leader="dot" w:pos="2268"/>
              </w:tabs>
            </w:pPr>
            <w:r w:rsidRPr="00097A86">
              <w:t>Subdivision</w:t>
            </w:r>
            <w:r>
              <w:t> </w:t>
            </w:r>
            <w:r w:rsidRPr="00097A86">
              <w:t>3.4.2.3 heading</w:t>
            </w:r>
            <w:r w:rsidRPr="00097A86">
              <w:tab/>
            </w:r>
          </w:p>
        </w:tc>
        <w:tc>
          <w:tcPr>
            <w:tcW w:w="3573" w:type="pct"/>
            <w:gridSpan w:val="2"/>
          </w:tcPr>
          <w:p w14:paraId="4BA3E9C3" w14:textId="77777777" w:rsidR="00F1362A" w:rsidRPr="00097A86" w:rsidRDefault="00F1362A" w:rsidP="00D22D3F">
            <w:pPr>
              <w:pStyle w:val="ENoteTableText"/>
            </w:pPr>
            <w:r w:rsidRPr="00097A86">
              <w:t>ad 2016 No 1</w:t>
            </w:r>
          </w:p>
        </w:tc>
      </w:tr>
      <w:tr w:rsidR="00F1362A" w:rsidRPr="00097A86" w14:paraId="791F171A" w14:textId="77777777" w:rsidTr="00C20CC2">
        <w:tblPrEx>
          <w:jc w:val="center"/>
        </w:tblPrEx>
        <w:trPr>
          <w:gridAfter w:val="1"/>
          <w:wAfter w:w="37" w:type="pct"/>
          <w:jc w:val="center"/>
        </w:trPr>
        <w:tc>
          <w:tcPr>
            <w:tcW w:w="1390" w:type="pct"/>
            <w:gridSpan w:val="2"/>
          </w:tcPr>
          <w:p w14:paraId="77E06837" w14:textId="77777777" w:rsidR="00F1362A" w:rsidRPr="00097A86" w:rsidRDefault="00F1362A" w:rsidP="006D1F60">
            <w:pPr>
              <w:pStyle w:val="ENoteTableText"/>
              <w:tabs>
                <w:tab w:val="left" w:leader="dot" w:pos="2268"/>
              </w:tabs>
            </w:pPr>
            <w:r w:rsidRPr="00097A86">
              <w:lastRenderedPageBreak/>
              <w:t>s 3.92</w:t>
            </w:r>
            <w:r w:rsidRPr="00097A86">
              <w:tab/>
            </w:r>
          </w:p>
        </w:tc>
        <w:tc>
          <w:tcPr>
            <w:tcW w:w="3573" w:type="pct"/>
            <w:gridSpan w:val="2"/>
          </w:tcPr>
          <w:p w14:paraId="770AEC7B" w14:textId="77777777" w:rsidR="00F1362A" w:rsidRPr="00097A86" w:rsidRDefault="00F1362A" w:rsidP="00D22D3F">
            <w:pPr>
              <w:pStyle w:val="ENoteTableText"/>
            </w:pPr>
            <w:r w:rsidRPr="00097A86">
              <w:t>ad 2010 No.</w:t>
            </w:r>
            <w:r>
              <w:t> </w:t>
            </w:r>
            <w:r w:rsidRPr="00097A86">
              <w:t>1</w:t>
            </w:r>
          </w:p>
        </w:tc>
      </w:tr>
      <w:tr w:rsidR="00F1362A" w:rsidRPr="00097A86" w14:paraId="11F9FE45" w14:textId="77777777" w:rsidTr="00C20CC2">
        <w:tblPrEx>
          <w:jc w:val="center"/>
        </w:tblPrEx>
        <w:trPr>
          <w:gridAfter w:val="1"/>
          <w:wAfter w:w="37" w:type="pct"/>
          <w:jc w:val="center"/>
        </w:trPr>
        <w:tc>
          <w:tcPr>
            <w:tcW w:w="1390" w:type="pct"/>
            <w:gridSpan w:val="2"/>
          </w:tcPr>
          <w:p w14:paraId="38C63A5B" w14:textId="77777777" w:rsidR="00F1362A" w:rsidRPr="00097A86" w:rsidRDefault="00F1362A" w:rsidP="006D1F60">
            <w:pPr>
              <w:pStyle w:val="ENoteTableText"/>
              <w:tabs>
                <w:tab w:val="left" w:leader="dot" w:pos="2268"/>
              </w:tabs>
            </w:pPr>
          </w:p>
        </w:tc>
        <w:tc>
          <w:tcPr>
            <w:tcW w:w="3573" w:type="pct"/>
            <w:gridSpan w:val="2"/>
          </w:tcPr>
          <w:p w14:paraId="27B97CEB" w14:textId="77777777" w:rsidR="00F1362A" w:rsidRPr="00097A86" w:rsidRDefault="00F1362A" w:rsidP="00D22D3F">
            <w:pPr>
              <w:pStyle w:val="ENoteTableText"/>
            </w:pPr>
            <w:r w:rsidRPr="00097A86">
              <w:t>rs 2016 No 1</w:t>
            </w:r>
          </w:p>
        </w:tc>
      </w:tr>
      <w:tr w:rsidR="00F1362A" w:rsidRPr="00097A86" w14:paraId="604699E9" w14:textId="77777777" w:rsidTr="00C20CC2">
        <w:tblPrEx>
          <w:jc w:val="center"/>
        </w:tblPrEx>
        <w:trPr>
          <w:gridAfter w:val="1"/>
          <w:wAfter w:w="37" w:type="pct"/>
          <w:jc w:val="center"/>
        </w:trPr>
        <w:tc>
          <w:tcPr>
            <w:tcW w:w="1390" w:type="pct"/>
            <w:gridSpan w:val="2"/>
          </w:tcPr>
          <w:p w14:paraId="3E9C47B3" w14:textId="77777777" w:rsidR="00F1362A" w:rsidRPr="00097A86" w:rsidRDefault="00F1362A" w:rsidP="006D1F60">
            <w:pPr>
              <w:pStyle w:val="ENoteTableText"/>
              <w:tabs>
                <w:tab w:val="left" w:leader="dot" w:pos="2268"/>
              </w:tabs>
            </w:pPr>
          </w:p>
        </w:tc>
        <w:tc>
          <w:tcPr>
            <w:tcW w:w="3573" w:type="pct"/>
            <w:gridSpan w:val="2"/>
          </w:tcPr>
          <w:p w14:paraId="0C77856F" w14:textId="77777777" w:rsidR="00F1362A" w:rsidRPr="00097A86" w:rsidRDefault="00F1362A" w:rsidP="00D22D3F">
            <w:pPr>
              <w:pStyle w:val="ENoteTableText"/>
            </w:pPr>
            <w:r>
              <w:t>am F2018L00923</w:t>
            </w:r>
          </w:p>
        </w:tc>
      </w:tr>
      <w:tr w:rsidR="00F1362A" w:rsidRPr="00097A86" w14:paraId="498FC2BA" w14:textId="77777777" w:rsidTr="00C20CC2">
        <w:tblPrEx>
          <w:jc w:val="center"/>
        </w:tblPrEx>
        <w:trPr>
          <w:gridAfter w:val="1"/>
          <w:wAfter w:w="37" w:type="pct"/>
          <w:jc w:val="center"/>
        </w:trPr>
        <w:tc>
          <w:tcPr>
            <w:tcW w:w="1390" w:type="pct"/>
            <w:gridSpan w:val="2"/>
          </w:tcPr>
          <w:p w14:paraId="0F8B6E64" w14:textId="77777777" w:rsidR="00F1362A" w:rsidRPr="00097A86" w:rsidRDefault="00F1362A" w:rsidP="005C5D38">
            <w:pPr>
              <w:pStyle w:val="ENoteTableText"/>
              <w:keepNext/>
              <w:tabs>
                <w:tab w:val="left" w:leader="dot" w:pos="2268"/>
              </w:tabs>
              <w:rPr>
                <w:b/>
              </w:rPr>
            </w:pPr>
            <w:r w:rsidRPr="00097A86">
              <w:rPr>
                <w:b/>
              </w:rPr>
              <w:t>Division</w:t>
            </w:r>
            <w:r>
              <w:rPr>
                <w:b/>
              </w:rPr>
              <w:t> </w:t>
            </w:r>
            <w:r w:rsidRPr="00097A86">
              <w:rPr>
                <w:b/>
              </w:rPr>
              <w:t>3.4.3</w:t>
            </w:r>
          </w:p>
        </w:tc>
        <w:tc>
          <w:tcPr>
            <w:tcW w:w="3573" w:type="pct"/>
            <w:gridSpan w:val="2"/>
          </w:tcPr>
          <w:p w14:paraId="7316B7A2" w14:textId="77777777" w:rsidR="00F1362A" w:rsidRPr="00097A86" w:rsidRDefault="00F1362A" w:rsidP="00D22D3F">
            <w:pPr>
              <w:pStyle w:val="ENoteTableText"/>
            </w:pPr>
          </w:p>
        </w:tc>
      </w:tr>
      <w:tr w:rsidR="00F1362A" w:rsidRPr="00097A86" w14:paraId="4CCFC7B3" w14:textId="77777777" w:rsidTr="00C20CC2">
        <w:tblPrEx>
          <w:jc w:val="center"/>
        </w:tblPrEx>
        <w:trPr>
          <w:gridAfter w:val="1"/>
          <w:wAfter w:w="37" w:type="pct"/>
          <w:jc w:val="center"/>
        </w:trPr>
        <w:tc>
          <w:tcPr>
            <w:tcW w:w="1390" w:type="pct"/>
            <w:gridSpan w:val="2"/>
          </w:tcPr>
          <w:p w14:paraId="2B2E4398" w14:textId="77777777" w:rsidR="00F1362A" w:rsidRPr="00097A86" w:rsidRDefault="00F1362A" w:rsidP="006D1F60">
            <w:pPr>
              <w:pStyle w:val="ENoteTableText"/>
              <w:tabs>
                <w:tab w:val="left" w:leader="dot" w:pos="2268"/>
              </w:tabs>
            </w:pPr>
            <w:r w:rsidRPr="00097A86">
              <w:t>Division</w:t>
            </w:r>
            <w:r>
              <w:t> </w:t>
            </w:r>
            <w:r w:rsidRPr="00097A86">
              <w:t>3.4.3</w:t>
            </w:r>
            <w:r w:rsidRPr="00097A86">
              <w:tab/>
            </w:r>
          </w:p>
        </w:tc>
        <w:tc>
          <w:tcPr>
            <w:tcW w:w="3573" w:type="pct"/>
            <w:gridSpan w:val="2"/>
          </w:tcPr>
          <w:p w14:paraId="28E3F8E2" w14:textId="77777777" w:rsidR="00F1362A" w:rsidRPr="00097A86" w:rsidRDefault="00F1362A" w:rsidP="00D22D3F">
            <w:pPr>
              <w:pStyle w:val="ENoteTableText"/>
            </w:pPr>
            <w:r w:rsidRPr="00097A86">
              <w:t>ad 2016 No 1</w:t>
            </w:r>
          </w:p>
        </w:tc>
      </w:tr>
      <w:tr w:rsidR="00F1362A" w:rsidRPr="00097A86" w14:paraId="75891D00" w14:textId="77777777" w:rsidTr="00C20CC2">
        <w:tblPrEx>
          <w:jc w:val="center"/>
        </w:tblPrEx>
        <w:trPr>
          <w:gridAfter w:val="1"/>
          <w:wAfter w:w="37" w:type="pct"/>
          <w:jc w:val="center"/>
        </w:trPr>
        <w:tc>
          <w:tcPr>
            <w:tcW w:w="1390" w:type="pct"/>
            <w:gridSpan w:val="2"/>
          </w:tcPr>
          <w:p w14:paraId="5A2CF072" w14:textId="77777777" w:rsidR="00F1362A" w:rsidRPr="00097A86" w:rsidRDefault="00F1362A" w:rsidP="006D1F60">
            <w:pPr>
              <w:pStyle w:val="ENoteTableText"/>
              <w:tabs>
                <w:tab w:val="left" w:leader="dot" w:pos="2268"/>
              </w:tabs>
              <w:rPr>
                <w:b/>
              </w:rPr>
            </w:pPr>
            <w:r w:rsidRPr="00097A86">
              <w:rPr>
                <w:b/>
              </w:rPr>
              <w:t>Subdivision</w:t>
            </w:r>
            <w:r>
              <w:rPr>
                <w:b/>
              </w:rPr>
              <w:t> </w:t>
            </w:r>
            <w:r w:rsidRPr="00097A86">
              <w:rPr>
                <w:b/>
              </w:rPr>
              <w:t>3.4.3.1</w:t>
            </w:r>
          </w:p>
        </w:tc>
        <w:tc>
          <w:tcPr>
            <w:tcW w:w="3573" w:type="pct"/>
            <w:gridSpan w:val="2"/>
          </w:tcPr>
          <w:p w14:paraId="09113E21" w14:textId="77777777" w:rsidR="00F1362A" w:rsidRPr="00097A86" w:rsidRDefault="00F1362A" w:rsidP="00D22D3F">
            <w:pPr>
              <w:pStyle w:val="ENoteTableText"/>
            </w:pPr>
          </w:p>
        </w:tc>
      </w:tr>
      <w:tr w:rsidR="00F1362A" w:rsidRPr="00097A86" w14:paraId="365F75A9" w14:textId="77777777" w:rsidTr="00C20CC2">
        <w:tblPrEx>
          <w:jc w:val="center"/>
        </w:tblPrEx>
        <w:trPr>
          <w:gridAfter w:val="1"/>
          <w:wAfter w:w="37" w:type="pct"/>
          <w:jc w:val="center"/>
        </w:trPr>
        <w:tc>
          <w:tcPr>
            <w:tcW w:w="1390" w:type="pct"/>
            <w:gridSpan w:val="2"/>
          </w:tcPr>
          <w:p w14:paraId="282A7EDD" w14:textId="77777777" w:rsidR="00F1362A" w:rsidRPr="00097A86" w:rsidRDefault="00F1362A" w:rsidP="006D1F60">
            <w:pPr>
              <w:pStyle w:val="ENoteTableText"/>
              <w:tabs>
                <w:tab w:val="left" w:leader="dot" w:pos="2268"/>
              </w:tabs>
            </w:pPr>
            <w:r w:rsidRPr="00097A86">
              <w:t>s 3.93</w:t>
            </w:r>
            <w:r w:rsidRPr="00097A86">
              <w:tab/>
            </w:r>
          </w:p>
        </w:tc>
        <w:tc>
          <w:tcPr>
            <w:tcW w:w="3573" w:type="pct"/>
            <w:gridSpan w:val="2"/>
          </w:tcPr>
          <w:p w14:paraId="0151B37D" w14:textId="77777777" w:rsidR="00F1362A" w:rsidRPr="00097A86" w:rsidRDefault="00F1362A" w:rsidP="00D22D3F">
            <w:pPr>
              <w:pStyle w:val="ENoteTableText"/>
            </w:pPr>
            <w:r w:rsidRPr="00097A86">
              <w:t>ad 2016 No 1</w:t>
            </w:r>
          </w:p>
        </w:tc>
      </w:tr>
      <w:tr w:rsidR="00F1362A" w:rsidRPr="00097A86" w14:paraId="400FBCA4" w14:textId="77777777" w:rsidTr="00C20CC2">
        <w:tblPrEx>
          <w:jc w:val="center"/>
        </w:tblPrEx>
        <w:trPr>
          <w:gridAfter w:val="1"/>
          <w:wAfter w:w="37" w:type="pct"/>
          <w:jc w:val="center"/>
        </w:trPr>
        <w:tc>
          <w:tcPr>
            <w:tcW w:w="1390" w:type="pct"/>
            <w:gridSpan w:val="2"/>
          </w:tcPr>
          <w:p w14:paraId="0731B788" w14:textId="77777777" w:rsidR="00F1362A" w:rsidRPr="00097A86" w:rsidRDefault="00F1362A" w:rsidP="006D1F60">
            <w:pPr>
              <w:pStyle w:val="ENoteTableText"/>
              <w:tabs>
                <w:tab w:val="left" w:leader="dot" w:pos="2268"/>
              </w:tabs>
            </w:pPr>
            <w:r w:rsidRPr="00097A86">
              <w:t>s 3.94</w:t>
            </w:r>
            <w:r w:rsidRPr="00097A86">
              <w:tab/>
            </w:r>
          </w:p>
        </w:tc>
        <w:tc>
          <w:tcPr>
            <w:tcW w:w="3573" w:type="pct"/>
            <w:gridSpan w:val="2"/>
          </w:tcPr>
          <w:p w14:paraId="195A80E6" w14:textId="77777777" w:rsidR="00F1362A" w:rsidRPr="00097A86" w:rsidRDefault="00F1362A" w:rsidP="00D22D3F">
            <w:pPr>
              <w:pStyle w:val="ENoteTableText"/>
            </w:pPr>
            <w:r w:rsidRPr="00097A86">
              <w:t>ad 2016 No 1</w:t>
            </w:r>
          </w:p>
        </w:tc>
      </w:tr>
      <w:tr w:rsidR="00F1362A" w:rsidRPr="00097A86" w14:paraId="32BF7268" w14:textId="77777777" w:rsidTr="00C20CC2">
        <w:tblPrEx>
          <w:jc w:val="center"/>
        </w:tblPrEx>
        <w:trPr>
          <w:gridAfter w:val="1"/>
          <w:wAfter w:w="37" w:type="pct"/>
          <w:jc w:val="center"/>
        </w:trPr>
        <w:tc>
          <w:tcPr>
            <w:tcW w:w="1390" w:type="pct"/>
            <w:gridSpan w:val="2"/>
          </w:tcPr>
          <w:p w14:paraId="36C4A530" w14:textId="77777777" w:rsidR="00F1362A" w:rsidRPr="00097A86" w:rsidRDefault="00F1362A" w:rsidP="00CD4D3F">
            <w:pPr>
              <w:pStyle w:val="ENoteTableText"/>
              <w:tabs>
                <w:tab w:val="left" w:leader="dot" w:pos="2268"/>
              </w:tabs>
            </w:pPr>
            <w:r w:rsidRPr="00097A86">
              <w:rPr>
                <w:b/>
              </w:rPr>
              <w:t>Subdivision</w:t>
            </w:r>
            <w:r>
              <w:rPr>
                <w:b/>
              </w:rPr>
              <w:t> </w:t>
            </w:r>
            <w:r w:rsidRPr="00097A86">
              <w:rPr>
                <w:b/>
              </w:rPr>
              <w:t>3.4.3.2</w:t>
            </w:r>
          </w:p>
        </w:tc>
        <w:tc>
          <w:tcPr>
            <w:tcW w:w="3573" w:type="pct"/>
            <w:gridSpan w:val="2"/>
          </w:tcPr>
          <w:p w14:paraId="3101F276" w14:textId="77777777" w:rsidR="00F1362A" w:rsidRPr="00097A86" w:rsidRDefault="00F1362A" w:rsidP="00D22D3F">
            <w:pPr>
              <w:pStyle w:val="ENoteTableText"/>
            </w:pPr>
          </w:p>
        </w:tc>
      </w:tr>
      <w:tr w:rsidR="00F1362A" w:rsidRPr="00097A86" w14:paraId="5F85A066" w14:textId="77777777" w:rsidTr="00C20CC2">
        <w:tblPrEx>
          <w:jc w:val="center"/>
        </w:tblPrEx>
        <w:trPr>
          <w:gridAfter w:val="1"/>
          <w:wAfter w:w="37" w:type="pct"/>
          <w:jc w:val="center"/>
        </w:trPr>
        <w:tc>
          <w:tcPr>
            <w:tcW w:w="1390" w:type="pct"/>
            <w:gridSpan w:val="2"/>
          </w:tcPr>
          <w:p w14:paraId="7594DBF1" w14:textId="77777777" w:rsidR="00F1362A" w:rsidRPr="00097A86" w:rsidRDefault="00F1362A" w:rsidP="00CD4D3F">
            <w:pPr>
              <w:pStyle w:val="ENoteTableText"/>
              <w:tabs>
                <w:tab w:val="left" w:leader="dot" w:pos="2268"/>
              </w:tabs>
            </w:pPr>
            <w:r w:rsidRPr="00097A86">
              <w:t>s 3.95</w:t>
            </w:r>
            <w:r w:rsidRPr="00097A86">
              <w:tab/>
            </w:r>
          </w:p>
        </w:tc>
        <w:tc>
          <w:tcPr>
            <w:tcW w:w="3573" w:type="pct"/>
            <w:gridSpan w:val="2"/>
          </w:tcPr>
          <w:p w14:paraId="6AC6966C" w14:textId="77777777" w:rsidR="00F1362A" w:rsidRPr="00097A86" w:rsidRDefault="00F1362A" w:rsidP="00D22D3F">
            <w:pPr>
              <w:pStyle w:val="ENoteTableText"/>
            </w:pPr>
            <w:r w:rsidRPr="00097A86">
              <w:t>ad 2016 No 1</w:t>
            </w:r>
          </w:p>
        </w:tc>
      </w:tr>
      <w:tr w:rsidR="00F1362A" w:rsidRPr="00097A86" w14:paraId="07010567" w14:textId="77777777" w:rsidTr="00C20CC2">
        <w:tblPrEx>
          <w:jc w:val="center"/>
        </w:tblPrEx>
        <w:trPr>
          <w:gridAfter w:val="1"/>
          <w:wAfter w:w="37" w:type="pct"/>
          <w:jc w:val="center"/>
        </w:trPr>
        <w:tc>
          <w:tcPr>
            <w:tcW w:w="1390" w:type="pct"/>
            <w:gridSpan w:val="2"/>
          </w:tcPr>
          <w:p w14:paraId="246749F0" w14:textId="77777777" w:rsidR="00F1362A" w:rsidRPr="00097A86" w:rsidRDefault="00F1362A" w:rsidP="00CD4D3F">
            <w:pPr>
              <w:pStyle w:val="ENoteTableText"/>
              <w:tabs>
                <w:tab w:val="left" w:leader="dot" w:pos="2268"/>
              </w:tabs>
            </w:pPr>
            <w:r w:rsidRPr="00097A86">
              <w:rPr>
                <w:b/>
              </w:rPr>
              <w:t>Subdivision</w:t>
            </w:r>
            <w:r>
              <w:rPr>
                <w:b/>
              </w:rPr>
              <w:t> </w:t>
            </w:r>
            <w:r w:rsidRPr="00097A86">
              <w:rPr>
                <w:b/>
              </w:rPr>
              <w:t>3.4.3.3</w:t>
            </w:r>
          </w:p>
        </w:tc>
        <w:tc>
          <w:tcPr>
            <w:tcW w:w="3573" w:type="pct"/>
            <w:gridSpan w:val="2"/>
          </w:tcPr>
          <w:p w14:paraId="298C50B5" w14:textId="77777777" w:rsidR="00F1362A" w:rsidRPr="00097A86" w:rsidRDefault="00F1362A" w:rsidP="00D22D3F">
            <w:pPr>
              <w:pStyle w:val="ENoteTableText"/>
            </w:pPr>
          </w:p>
        </w:tc>
      </w:tr>
      <w:tr w:rsidR="00F1362A" w:rsidRPr="00097A86" w14:paraId="1847A037" w14:textId="77777777" w:rsidTr="00C20CC2">
        <w:tblPrEx>
          <w:jc w:val="center"/>
        </w:tblPrEx>
        <w:trPr>
          <w:gridAfter w:val="1"/>
          <w:wAfter w:w="37" w:type="pct"/>
          <w:jc w:val="center"/>
        </w:trPr>
        <w:tc>
          <w:tcPr>
            <w:tcW w:w="1390" w:type="pct"/>
            <w:gridSpan w:val="2"/>
          </w:tcPr>
          <w:p w14:paraId="4D38E522" w14:textId="77777777" w:rsidR="00F1362A" w:rsidRPr="00097A86" w:rsidRDefault="00F1362A" w:rsidP="00CD4D3F">
            <w:pPr>
              <w:pStyle w:val="ENoteTableText"/>
              <w:tabs>
                <w:tab w:val="left" w:leader="dot" w:pos="2268"/>
              </w:tabs>
            </w:pPr>
            <w:r w:rsidRPr="00097A86">
              <w:t>s 3.96</w:t>
            </w:r>
            <w:r w:rsidRPr="00097A86">
              <w:tab/>
            </w:r>
          </w:p>
        </w:tc>
        <w:tc>
          <w:tcPr>
            <w:tcW w:w="3573" w:type="pct"/>
            <w:gridSpan w:val="2"/>
          </w:tcPr>
          <w:p w14:paraId="1ABB2358" w14:textId="77777777" w:rsidR="00F1362A" w:rsidRPr="00097A86" w:rsidRDefault="00F1362A" w:rsidP="00D22D3F">
            <w:pPr>
              <w:pStyle w:val="ENoteTableText"/>
            </w:pPr>
            <w:r w:rsidRPr="00097A86">
              <w:t>ad 2016 No 1</w:t>
            </w:r>
          </w:p>
        </w:tc>
      </w:tr>
      <w:tr w:rsidR="00F1362A" w:rsidRPr="00097A86" w14:paraId="62266F70" w14:textId="77777777" w:rsidTr="00C20CC2">
        <w:tblPrEx>
          <w:jc w:val="center"/>
        </w:tblPrEx>
        <w:trPr>
          <w:gridAfter w:val="1"/>
          <w:wAfter w:w="37" w:type="pct"/>
          <w:jc w:val="center"/>
        </w:trPr>
        <w:tc>
          <w:tcPr>
            <w:tcW w:w="1390" w:type="pct"/>
            <w:gridSpan w:val="2"/>
          </w:tcPr>
          <w:p w14:paraId="0EDA2F22" w14:textId="77777777" w:rsidR="00F1362A" w:rsidRPr="00097A86" w:rsidRDefault="00F1362A" w:rsidP="006D1F60">
            <w:pPr>
              <w:pStyle w:val="ENoteTableText"/>
              <w:tabs>
                <w:tab w:val="left" w:leader="dot" w:pos="2268"/>
              </w:tabs>
            </w:pPr>
            <w:r w:rsidRPr="00097A86">
              <w:t>s 3.97</w:t>
            </w:r>
            <w:r w:rsidRPr="00097A86">
              <w:tab/>
            </w:r>
          </w:p>
        </w:tc>
        <w:tc>
          <w:tcPr>
            <w:tcW w:w="3573" w:type="pct"/>
            <w:gridSpan w:val="2"/>
          </w:tcPr>
          <w:p w14:paraId="634ED3F6" w14:textId="77777777" w:rsidR="00F1362A" w:rsidRPr="00097A86" w:rsidRDefault="00F1362A" w:rsidP="00D22D3F">
            <w:pPr>
              <w:pStyle w:val="ENoteTableText"/>
            </w:pPr>
            <w:r w:rsidRPr="00097A86">
              <w:t>ad 2016 No 1</w:t>
            </w:r>
          </w:p>
        </w:tc>
      </w:tr>
      <w:tr w:rsidR="00F1362A" w:rsidRPr="00097A86" w14:paraId="52C58958" w14:textId="77777777" w:rsidTr="00C20CC2">
        <w:tblPrEx>
          <w:jc w:val="center"/>
        </w:tblPrEx>
        <w:trPr>
          <w:gridAfter w:val="1"/>
          <w:wAfter w:w="37" w:type="pct"/>
          <w:jc w:val="center"/>
        </w:trPr>
        <w:tc>
          <w:tcPr>
            <w:tcW w:w="1390" w:type="pct"/>
            <w:gridSpan w:val="2"/>
          </w:tcPr>
          <w:p w14:paraId="778E0B2D" w14:textId="77777777" w:rsidR="00F1362A" w:rsidRPr="00097A86" w:rsidRDefault="00F1362A" w:rsidP="00CD4D3F">
            <w:pPr>
              <w:pStyle w:val="ENoteTableText"/>
              <w:tabs>
                <w:tab w:val="left" w:leader="dot" w:pos="2268"/>
              </w:tabs>
            </w:pPr>
            <w:r w:rsidRPr="00097A86">
              <w:rPr>
                <w:b/>
              </w:rPr>
              <w:t>Division</w:t>
            </w:r>
            <w:r>
              <w:rPr>
                <w:b/>
              </w:rPr>
              <w:t> </w:t>
            </w:r>
            <w:r w:rsidRPr="00097A86">
              <w:rPr>
                <w:b/>
              </w:rPr>
              <w:t>3.4.4</w:t>
            </w:r>
          </w:p>
        </w:tc>
        <w:tc>
          <w:tcPr>
            <w:tcW w:w="3573" w:type="pct"/>
            <w:gridSpan w:val="2"/>
          </w:tcPr>
          <w:p w14:paraId="1F4FC858" w14:textId="77777777" w:rsidR="00F1362A" w:rsidRPr="00097A86" w:rsidRDefault="00F1362A" w:rsidP="00D22D3F">
            <w:pPr>
              <w:pStyle w:val="ENoteTableText"/>
            </w:pPr>
          </w:p>
        </w:tc>
      </w:tr>
      <w:tr w:rsidR="00F1362A" w:rsidRPr="00097A86" w14:paraId="33973F3A" w14:textId="77777777" w:rsidTr="00C20CC2">
        <w:tblPrEx>
          <w:jc w:val="center"/>
        </w:tblPrEx>
        <w:trPr>
          <w:gridAfter w:val="1"/>
          <w:wAfter w:w="37" w:type="pct"/>
          <w:jc w:val="center"/>
        </w:trPr>
        <w:tc>
          <w:tcPr>
            <w:tcW w:w="1390" w:type="pct"/>
            <w:gridSpan w:val="2"/>
          </w:tcPr>
          <w:p w14:paraId="7F32E9B4" w14:textId="77777777" w:rsidR="00F1362A" w:rsidRPr="00097A86" w:rsidRDefault="00F1362A" w:rsidP="00CD4D3F">
            <w:pPr>
              <w:pStyle w:val="ENoteTableText"/>
              <w:tabs>
                <w:tab w:val="left" w:leader="dot" w:pos="2268"/>
              </w:tabs>
            </w:pPr>
            <w:r w:rsidRPr="00097A86">
              <w:t>Division</w:t>
            </w:r>
            <w:r>
              <w:t> </w:t>
            </w:r>
            <w:r w:rsidRPr="00097A86">
              <w:t>3.4.4</w:t>
            </w:r>
            <w:r w:rsidRPr="00097A86">
              <w:tab/>
            </w:r>
          </w:p>
        </w:tc>
        <w:tc>
          <w:tcPr>
            <w:tcW w:w="3573" w:type="pct"/>
            <w:gridSpan w:val="2"/>
          </w:tcPr>
          <w:p w14:paraId="5F3C9E71" w14:textId="77777777" w:rsidR="00F1362A" w:rsidRPr="00097A86" w:rsidRDefault="00F1362A" w:rsidP="00D22D3F">
            <w:pPr>
              <w:pStyle w:val="ENoteTableText"/>
            </w:pPr>
            <w:r w:rsidRPr="00097A86">
              <w:t>ad 2016 No 1</w:t>
            </w:r>
          </w:p>
        </w:tc>
      </w:tr>
      <w:tr w:rsidR="00F1362A" w:rsidRPr="00097A86" w14:paraId="19AB9242" w14:textId="77777777" w:rsidTr="00C20CC2">
        <w:tblPrEx>
          <w:jc w:val="center"/>
        </w:tblPrEx>
        <w:trPr>
          <w:gridAfter w:val="1"/>
          <w:wAfter w:w="37" w:type="pct"/>
          <w:jc w:val="center"/>
        </w:trPr>
        <w:tc>
          <w:tcPr>
            <w:tcW w:w="1390" w:type="pct"/>
            <w:gridSpan w:val="2"/>
          </w:tcPr>
          <w:p w14:paraId="4C61564E" w14:textId="77777777" w:rsidR="00F1362A" w:rsidRPr="00097A86" w:rsidRDefault="00F1362A" w:rsidP="00CD4D3F">
            <w:pPr>
              <w:pStyle w:val="ENoteTableText"/>
              <w:tabs>
                <w:tab w:val="left" w:leader="dot" w:pos="2268"/>
              </w:tabs>
            </w:pPr>
            <w:r w:rsidRPr="00097A86">
              <w:rPr>
                <w:b/>
              </w:rPr>
              <w:t>Subdivision</w:t>
            </w:r>
            <w:r>
              <w:rPr>
                <w:b/>
              </w:rPr>
              <w:t> </w:t>
            </w:r>
            <w:r w:rsidRPr="00097A86">
              <w:rPr>
                <w:b/>
              </w:rPr>
              <w:t>3.4.4.1</w:t>
            </w:r>
          </w:p>
        </w:tc>
        <w:tc>
          <w:tcPr>
            <w:tcW w:w="3573" w:type="pct"/>
            <w:gridSpan w:val="2"/>
          </w:tcPr>
          <w:p w14:paraId="4D38DE0E" w14:textId="77777777" w:rsidR="00F1362A" w:rsidRPr="00097A86" w:rsidRDefault="00F1362A" w:rsidP="00D22D3F">
            <w:pPr>
              <w:pStyle w:val="ENoteTableText"/>
            </w:pPr>
          </w:p>
        </w:tc>
      </w:tr>
      <w:tr w:rsidR="00F1362A" w:rsidRPr="00097A86" w14:paraId="67CF7E2E" w14:textId="77777777" w:rsidTr="00C20CC2">
        <w:tblPrEx>
          <w:jc w:val="center"/>
        </w:tblPrEx>
        <w:trPr>
          <w:gridAfter w:val="1"/>
          <w:wAfter w:w="37" w:type="pct"/>
          <w:jc w:val="center"/>
        </w:trPr>
        <w:tc>
          <w:tcPr>
            <w:tcW w:w="1390" w:type="pct"/>
            <w:gridSpan w:val="2"/>
          </w:tcPr>
          <w:p w14:paraId="6616B947" w14:textId="77777777" w:rsidR="00F1362A" w:rsidRPr="00097A86" w:rsidRDefault="00F1362A" w:rsidP="00CD4D3F">
            <w:pPr>
              <w:pStyle w:val="ENoteTableText"/>
              <w:tabs>
                <w:tab w:val="left" w:leader="dot" w:pos="2268"/>
              </w:tabs>
            </w:pPr>
            <w:r w:rsidRPr="00097A86">
              <w:t>s 3.98</w:t>
            </w:r>
            <w:r w:rsidRPr="00097A86">
              <w:tab/>
            </w:r>
          </w:p>
        </w:tc>
        <w:tc>
          <w:tcPr>
            <w:tcW w:w="3573" w:type="pct"/>
            <w:gridSpan w:val="2"/>
          </w:tcPr>
          <w:p w14:paraId="10CEC7B1" w14:textId="77777777" w:rsidR="00F1362A" w:rsidRPr="00097A86" w:rsidRDefault="00F1362A" w:rsidP="00D22D3F">
            <w:pPr>
              <w:pStyle w:val="ENoteTableText"/>
            </w:pPr>
            <w:r w:rsidRPr="00097A86">
              <w:t>ad 2016 No 1</w:t>
            </w:r>
          </w:p>
        </w:tc>
      </w:tr>
      <w:tr w:rsidR="00F1362A" w:rsidRPr="00097A86" w14:paraId="1EBFB9A5" w14:textId="77777777" w:rsidTr="00C20CC2">
        <w:tblPrEx>
          <w:jc w:val="center"/>
        </w:tblPrEx>
        <w:trPr>
          <w:gridAfter w:val="1"/>
          <w:wAfter w:w="37" w:type="pct"/>
          <w:jc w:val="center"/>
        </w:trPr>
        <w:tc>
          <w:tcPr>
            <w:tcW w:w="1390" w:type="pct"/>
            <w:gridSpan w:val="2"/>
          </w:tcPr>
          <w:p w14:paraId="1E28A359" w14:textId="77777777" w:rsidR="00F1362A" w:rsidRPr="00097A86" w:rsidRDefault="00F1362A" w:rsidP="006D1F60">
            <w:pPr>
              <w:pStyle w:val="ENoteTableText"/>
              <w:tabs>
                <w:tab w:val="left" w:leader="dot" w:pos="2268"/>
              </w:tabs>
            </w:pPr>
            <w:r w:rsidRPr="00097A86">
              <w:t>s 3.99</w:t>
            </w:r>
            <w:r w:rsidRPr="00097A86">
              <w:tab/>
            </w:r>
          </w:p>
        </w:tc>
        <w:tc>
          <w:tcPr>
            <w:tcW w:w="3573" w:type="pct"/>
            <w:gridSpan w:val="2"/>
          </w:tcPr>
          <w:p w14:paraId="180F51BF" w14:textId="77777777" w:rsidR="00F1362A" w:rsidRPr="00097A86" w:rsidRDefault="00F1362A" w:rsidP="00D22D3F">
            <w:pPr>
              <w:pStyle w:val="ENoteTableText"/>
            </w:pPr>
            <w:r w:rsidRPr="00097A86">
              <w:t>ad 2016 No 1</w:t>
            </w:r>
          </w:p>
        </w:tc>
      </w:tr>
      <w:tr w:rsidR="00F1362A" w:rsidRPr="00097A86" w14:paraId="2B39A217" w14:textId="77777777" w:rsidTr="00C20CC2">
        <w:tblPrEx>
          <w:jc w:val="center"/>
        </w:tblPrEx>
        <w:trPr>
          <w:gridAfter w:val="1"/>
          <w:wAfter w:w="37" w:type="pct"/>
          <w:jc w:val="center"/>
        </w:trPr>
        <w:tc>
          <w:tcPr>
            <w:tcW w:w="1390" w:type="pct"/>
            <w:gridSpan w:val="2"/>
          </w:tcPr>
          <w:p w14:paraId="3C41BDB1" w14:textId="77777777" w:rsidR="00F1362A" w:rsidRPr="00097A86" w:rsidRDefault="00F1362A" w:rsidP="00CD4D3F">
            <w:pPr>
              <w:pStyle w:val="ENoteTableText"/>
              <w:tabs>
                <w:tab w:val="left" w:leader="dot" w:pos="2268"/>
              </w:tabs>
            </w:pPr>
            <w:r w:rsidRPr="00097A86">
              <w:rPr>
                <w:b/>
              </w:rPr>
              <w:t>Subdivision</w:t>
            </w:r>
            <w:r>
              <w:rPr>
                <w:b/>
              </w:rPr>
              <w:t> </w:t>
            </w:r>
            <w:r w:rsidRPr="00097A86">
              <w:rPr>
                <w:b/>
              </w:rPr>
              <w:t>3.4.4.2</w:t>
            </w:r>
          </w:p>
        </w:tc>
        <w:tc>
          <w:tcPr>
            <w:tcW w:w="3573" w:type="pct"/>
            <w:gridSpan w:val="2"/>
          </w:tcPr>
          <w:p w14:paraId="41170578" w14:textId="77777777" w:rsidR="00F1362A" w:rsidRPr="00097A86" w:rsidRDefault="00F1362A" w:rsidP="00D22D3F">
            <w:pPr>
              <w:pStyle w:val="ENoteTableText"/>
            </w:pPr>
          </w:p>
        </w:tc>
      </w:tr>
      <w:tr w:rsidR="00F1362A" w:rsidRPr="00097A86" w14:paraId="5A870802" w14:textId="77777777" w:rsidTr="00C20CC2">
        <w:tblPrEx>
          <w:jc w:val="center"/>
        </w:tblPrEx>
        <w:trPr>
          <w:gridAfter w:val="1"/>
          <w:wAfter w:w="37" w:type="pct"/>
          <w:jc w:val="center"/>
        </w:trPr>
        <w:tc>
          <w:tcPr>
            <w:tcW w:w="1390" w:type="pct"/>
            <w:gridSpan w:val="2"/>
          </w:tcPr>
          <w:p w14:paraId="5D0C097F" w14:textId="77777777" w:rsidR="00F1362A" w:rsidRPr="00097A86" w:rsidRDefault="00F1362A" w:rsidP="00CD4D3F">
            <w:pPr>
              <w:pStyle w:val="ENoteTableText"/>
              <w:tabs>
                <w:tab w:val="left" w:leader="dot" w:pos="2268"/>
              </w:tabs>
            </w:pPr>
            <w:r w:rsidRPr="00097A86">
              <w:t>s 3.100</w:t>
            </w:r>
            <w:r w:rsidRPr="00097A86">
              <w:tab/>
            </w:r>
          </w:p>
        </w:tc>
        <w:tc>
          <w:tcPr>
            <w:tcW w:w="3573" w:type="pct"/>
            <w:gridSpan w:val="2"/>
          </w:tcPr>
          <w:p w14:paraId="31D52F5E" w14:textId="77777777" w:rsidR="00F1362A" w:rsidRPr="00097A86" w:rsidRDefault="00F1362A" w:rsidP="00D22D3F">
            <w:pPr>
              <w:pStyle w:val="ENoteTableText"/>
            </w:pPr>
            <w:r w:rsidRPr="00097A86">
              <w:t>ad 2016 No 1</w:t>
            </w:r>
          </w:p>
        </w:tc>
      </w:tr>
      <w:tr w:rsidR="00F1362A" w:rsidRPr="00097A86" w14:paraId="44A5F020" w14:textId="77777777" w:rsidTr="00C20CC2">
        <w:tblPrEx>
          <w:jc w:val="center"/>
        </w:tblPrEx>
        <w:trPr>
          <w:gridAfter w:val="1"/>
          <w:wAfter w:w="37" w:type="pct"/>
          <w:jc w:val="center"/>
        </w:trPr>
        <w:tc>
          <w:tcPr>
            <w:tcW w:w="1390" w:type="pct"/>
            <w:gridSpan w:val="2"/>
          </w:tcPr>
          <w:p w14:paraId="094B0CEC" w14:textId="77777777" w:rsidR="00F1362A" w:rsidRPr="00097A86" w:rsidRDefault="00F1362A" w:rsidP="006D1F60">
            <w:pPr>
              <w:pStyle w:val="ENoteTableText"/>
              <w:tabs>
                <w:tab w:val="left" w:leader="dot" w:pos="2268"/>
              </w:tabs>
            </w:pPr>
            <w:r w:rsidRPr="00097A86">
              <w:rPr>
                <w:b/>
              </w:rPr>
              <w:t>Chapter</w:t>
            </w:r>
            <w:r>
              <w:rPr>
                <w:b/>
              </w:rPr>
              <w:t> </w:t>
            </w:r>
            <w:r w:rsidRPr="00097A86">
              <w:rPr>
                <w:b/>
              </w:rPr>
              <w:t>4</w:t>
            </w:r>
          </w:p>
        </w:tc>
        <w:tc>
          <w:tcPr>
            <w:tcW w:w="3573" w:type="pct"/>
            <w:gridSpan w:val="2"/>
          </w:tcPr>
          <w:p w14:paraId="1F3B6532" w14:textId="77777777" w:rsidR="00F1362A" w:rsidRPr="00097A86" w:rsidRDefault="00F1362A" w:rsidP="00D22D3F">
            <w:pPr>
              <w:pStyle w:val="ENoteTableText"/>
            </w:pPr>
          </w:p>
        </w:tc>
      </w:tr>
      <w:tr w:rsidR="00F1362A" w:rsidRPr="00097A86" w14:paraId="154F2D4E" w14:textId="77777777" w:rsidTr="00C20CC2">
        <w:tblPrEx>
          <w:jc w:val="center"/>
        </w:tblPrEx>
        <w:trPr>
          <w:gridAfter w:val="1"/>
          <w:wAfter w:w="37" w:type="pct"/>
          <w:jc w:val="center"/>
        </w:trPr>
        <w:tc>
          <w:tcPr>
            <w:tcW w:w="1390" w:type="pct"/>
            <w:gridSpan w:val="2"/>
          </w:tcPr>
          <w:p w14:paraId="2CF9E7F9" w14:textId="77777777" w:rsidR="00F1362A" w:rsidRPr="00097A86" w:rsidRDefault="00F1362A" w:rsidP="006D1F60">
            <w:pPr>
              <w:pStyle w:val="ENoteTableText"/>
              <w:tabs>
                <w:tab w:val="left" w:leader="dot" w:pos="2268"/>
              </w:tabs>
            </w:pPr>
            <w:r w:rsidRPr="00097A86">
              <w:lastRenderedPageBreak/>
              <w:t>Chapter</w:t>
            </w:r>
            <w:r>
              <w:t> </w:t>
            </w:r>
            <w:r w:rsidRPr="00097A86">
              <w:t>4 heading</w:t>
            </w:r>
            <w:r w:rsidRPr="00097A86">
              <w:tab/>
            </w:r>
          </w:p>
        </w:tc>
        <w:tc>
          <w:tcPr>
            <w:tcW w:w="3573" w:type="pct"/>
            <w:gridSpan w:val="2"/>
          </w:tcPr>
          <w:p w14:paraId="0A4507F6" w14:textId="77777777" w:rsidR="00F1362A" w:rsidRPr="00097A86" w:rsidRDefault="00F1362A" w:rsidP="00D22D3F">
            <w:pPr>
              <w:pStyle w:val="ENoteTableText"/>
            </w:pPr>
            <w:r w:rsidRPr="00097A86">
              <w:t>rs 2009 No.</w:t>
            </w:r>
            <w:r>
              <w:t> </w:t>
            </w:r>
            <w:r w:rsidRPr="00097A86">
              <w:t>1</w:t>
            </w:r>
          </w:p>
        </w:tc>
      </w:tr>
      <w:tr w:rsidR="00F1362A" w:rsidRPr="00097A86" w14:paraId="21F68611" w14:textId="77777777" w:rsidTr="00C20CC2">
        <w:tblPrEx>
          <w:jc w:val="center"/>
        </w:tblPrEx>
        <w:trPr>
          <w:gridAfter w:val="1"/>
          <w:wAfter w:w="37" w:type="pct"/>
          <w:jc w:val="center"/>
        </w:trPr>
        <w:tc>
          <w:tcPr>
            <w:tcW w:w="1390" w:type="pct"/>
            <w:gridSpan w:val="2"/>
          </w:tcPr>
          <w:p w14:paraId="1989C103" w14:textId="77777777" w:rsidR="00F1362A" w:rsidRPr="00097A86" w:rsidRDefault="00F1362A" w:rsidP="006D1F60">
            <w:pPr>
              <w:pStyle w:val="ENoteTableText"/>
              <w:tabs>
                <w:tab w:val="left" w:leader="dot" w:pos="2268"/>
              </w:tabs>
            </w:pPr>
            <w:r w:rsidRPr="00097A86">
              <w:rPr>
                <w:b/>
              </w:rPr>
              <w:t>Part</w:t>
            </w:r>
            <w:r>
              <w:rPr>
                <w:b/>
              </w:rPr>
              <w:t> </w:t>
            </w:r>
            <w:r w:rsidRPr="00097A86">
              <w:rPr>
                <w:b/>
              </w:rPr>
              <w:t>4.1</w:t>
            </w:r>
          </w:p>
        </w:tc>
        <w:tc>
          <w:tcPr>
            <w:tcW w:w="3573" w:type="pct"/>
            <w:gridSpan w:val="2"/>
          </w:tcPr>
          <w:p w14:paraId="54BE41FE" w14:textId="77777777" w:rsidR="00F1362A" w:rsidRPr="00097A86" w:rsidRDefault="00F1362A" w:rsidP="00D22D3F">
            <w:pPr>
              <w:pStyle w:val="ENoteTableText"/>
            </w:pPr>
          </w:p>
        </w:tc>
      </w:tr>
      <w:tr w:rsidR="00F1362A" w:rsidRPr="00097A86" w14:paraId="24472454" w14:textId="77777777" w:rsidTr="00C20CC2">
        <w:tblPrEx>
          <w:jc w:val="center"/>
        </w:tblPrEx>
        <w:trPr>
          <w:gridAfter w:val="1"/>
          <w:wAfter w:w="37" w:type="pct"/>
          <w:jc w:val="center"/>
        </w:trPr>
        <w:tc>
          <w:tcPr>
            <w:tcW w:w="1390" w:type="pct"/>
            <w:gridSpan w:val="2"/>
          </w:tcPr>
          <w:p w14:paraId="0981F705" w14:textId="77777777" w:rsidR="00F1362A" w:rsidRPr="00097A86" w:rsidRDefault="00F1362A" w:rsidP="006D1F60">
            <w:pPr>
              <w:pStyle w:val="ENoteTableText"/>
              <w:tabs>
                <w:tab w:val="left" w:leader="dot" w:pos="2268"/>
              </w:tabs>
            </w:pPr>
            <w:r w:rsidRPr="00097A86">
              <w:t>s 4.1</w:t>
            </w:r>
            <w:r w:rsidRPr="00097A86">
              <w:tab/>
            </w:r>
          </w:p>
        </w:tc>
        <w:tc>
          <w:tcPr>
            <w:tcW w:w="3573" w:type="pct"/>
            <w:gridSpan w:val="2"/>
          </w:tcPr>
          <w:p w14:paraId="59EE412C" w14:textId="77777777" w:rsidR="00F1362A" w:rsidRPr="00097A86" w:rsidRDefault="00F1362A" w:rsidP="00D22D3F">
            <w:pPr>
              <w:pStyle w:val="ENoteTableText"/>
            </w:pPr>
            <w:r w:rsidRPr="00097A86">
              <w:t>am 2009 No.</w:t>
            </w:r>
            <w:r>
              <w:t> </w:t>
            </w:r>
            <w:r w:rsidRPr="00097A86">
              <w:t>1; 2011 No.</w:t>
            </w:r>
            <w:r>
              <w:t> </w:t>
            </w:r>
            <w:r w:rsidRPr="00097A86">
              <w:t>1; 2012 No.</w:t>
            </w:r>
            <w:r>
              <w:t> </w:t>
            </w:r>
            <w:r w:rsidRPr="00097A86">
              <w:t>1</w:t>
            </w:r>
          </w:p>
        </w:tc>
      </w:tr>
      <w:tr w:rsidR="00F1362A" w:rsidRPr="00097A86" w14:paraId="5D9C47EA" w14:textId="77777777" w:rsidTr="00C20CC2">
        <w:tblPrEx>
          <w:jc w:val="center"/>
        </w:tblPrEx>
        <w:trPr>
          <w:gridAfter w:val="1"/>
          <w:wAfter w:w="37" w:type="pct"/>
          <w:jc w:val="center"/>
        </w:trPr>
        <w:tc>
          <w:tcPr>
            <w:tcW w:w="1390" w:type="pct"/>
            <w:gridSpan w:val="2"/>
          </w:tcPr>
          <w:p w14:paraId="58498135" w14:textId="77777777" w:rsidR="00F1362A" w:rsidRPr="00097A86" w:rsidRDefault="00F1362A" w:rsidP="006D1F60">
            <w:pPr>
              <w:pStyle w:val="ENoteTableText"/>
              <w:tabs>
                <w:tab w:val="left" w:leader="dot" w:pos="2268"/>
              </w:tabs>
            </w:pPr>
            <w:r w:rsidRPr="00097A86">
              <w:rPr>
                <w:b/>
              </w:rPr>
              <w:t>Part</w:t>
            </w:r>
            <w:r>
              <w:rPr>
                <w:b/>
              </w:rPr>
              <w:t> </w:t>
            </w:r>
            <w:r w:rsidRPr="00097A86">
              <w:rPr>
                <w:b/>
              </w:rPr>
              <w:t>4.2</w:t>
            </w:r>
          </w:p>
        </w:tc>
        <w:tc>
          <w:tcPr>
            <w:tcW w:w="3573" w:type="pct"/>
            <w:gridSpan w:val="2"/>
          </w:tcPr>
          <w:p w14:paraId="16EEAE2A" w14:textId="77777777" w:rsidR="00F1362A" w:rsidRPr="00097A86" w:rsidRDefault="00F1362A" w:rsidP="00D22D3F">
            <w:pPr>
              <w:pStyle w:val="ENoteTableText"/>
            </w:pPr>
          </w:p>
        </w:tc>
      </w:tr>
      <w:tr w:rsidR="00F1362A" w:rsidRPr="00097A86" w14:paraId="46B1572E" w14:textId="77777777" w:rsidTr="00C20CC2">
        <w:tblPrEx>
          <w:jc w:val="center"/>
        </w:tblPrEx>
        <w:trPr>
          <w:gridAfter w:val="1"/>
          <w:wAfter w:w="37" w:type="pct"/>
          <w:jc w:val="center"/>
        </w:trPr>
        <w:tc>
          <w:tcPr>
            <w:tcW w:w="1390" w:type="pct"/>
            <w:gridSpan w:val="2"/>
          </w:tcPr>
          <w:p w14:paraId="4F7FC0DC"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4.2.1</w:t>
            </w:r>
          </w:p>
        </w:tc>
        <w:tc>
          <w:tcPr>
            <w:tcW w:w="3573" w:type="pct"/>
            <w:gridSpan w:val="2"/>
          </w:tcPr>
          <w:p w14:paraId="7316A47D" w14:textId="77777777" w:rsidR="00F1362A" w:rsidRPr="00097A86" w:rsidRDefault="00F1362A" w:rsidP="00D22D3F">
            <w:pPr>
              <w:pStyle w:val="ENoteTableText"/>
            </w:pPr>
          </w:p>
        </w:tc>
      </w:tr>
      <w:tr w:rsidR="00F1362A" w:rsidRPr="00097A86" w14:paraId="05591626" w14:textId="77777777" w:rsidTr="00C20CC2">
        <w:tblPrEx>
          <w:jc w:val="center"/>
        </w:tblPrEx>
        <w:trPr>
          <w:gridAfter w:val="1"/>
          <w:wAfter w:w="37" w:type="pct"/>
          <w:jc w:val="center"/>
        </w:trPr>
        <w:tc>
          <w:tcPr>
            <w:tcW w:w="1390" w:type="pct"/>
            <w:gridSpan w:val="2"/>
          </w:tcPr>
          <w:p w14:paraId="1C6A5EA6" w14:textId="77777777" w:rsidR="00F1362A" w:rsidRPr="00097A86" w:rsidRDefault="00F1362A" w:rsidP="006D1F60">
            <w:pPr>
              <w:pStyle w:val="ENoteTableText"/>
              <w:tabs>
                <w:tab w:val="left" w:leader="dot" w:pos="2268"/>
              </w:tabs>
            </w:pPr>
            <w:r w:rsidRPr="00097A86">
              <w:t>s 4.2</w:t>
            </w:r>
            <w:r w:rsidRPr="00097A86">
              <w:tab/>
            </w:r>
          </w:p>
        </w:tc>
        <w:tc>
          <w:tcPr>
            <w:tcW w:w="3573" w:type="pct"/>
            <w:gridSpan w:val="2"/>
          </w:tcPr>
          <w:p w14:paraId="37BDBF1A" w14:textId="77777777" w:rsidR="00F1362A" w:rsidRPr="00097A86" w:rsidRDefault="00F1362A" w:rsidP="00D22D3F">
            <w:pPr>
              <w:pStyle w:val="ENoteTableText"/>
            </w:pPr>
            <w:r w:rsidRPr="00097A86">
              <w:t>am 2009 No.</w:t>
            </w:r>
            <w:r>
              <w:t> </w:t>
            </w:r>
            <w:r w:rsidRPr="00097A86">
              <w:t>1</w:t>
            </w:r>
          </w:p>
        </w:tc>
      </w:tr>
      <w:tr w:rsidR="00F1362A" w:rsidRPr="00097A86" w14:paraId="2B942E2E" w14:textId="77777777" w:rsidTr="00C20CC2">
        <w:tblPrEx>
          <w:jc w:val="center"/>
        </w:tblPrEx>
        <w:trPr>
          <w:gridAfter w:val="1"/>
          <w:wAfter w:w="37" w:type="pct"/>
          <w:jc w:val="center"/>
        </w:trPr>
        <w:tc>
          <w:tcPr>
            <w:tcW w:w="1390" w:type="pct"/>
            <w:gridSpan w:val="2"/>
          </w:tcPr>
          <w:p w14:paraId="45B37124" w14:textId="77777777" w:rsidR="00F1362A" w:rsidRPr="00097A86" w:rsidRDefault="00F1362A" w:rsidP="006D1F60">
            <w:pPr>
              <w:pStyle w:val="ENoteTableText"/>
              <w:tabs>
                <w:tab w:val="left" w:leader="dot" w:pos="2268"/>
              </w:tabs>
            </w:pPr>
            <w:r w:rsidRPr="00097A86">
              <w:t>s 4.3</w:t>
            </w:r>
            <w:r w:rsidRPr="00097A86">
              <w:tab/>
            </w:r>
          </w:p>
        </w:tc>
        <w:tc>
          <w:tcPr>
            <w:tcW w:w="3573" w:type="pct"/>
            <w:gridSpan w:val="2"/>
          </w:tcPr>
          <w:p w14:paraId="10085AE8" w14:textId="77777777" w:rsidR="00F1362A" w:rsidRPr="00097A86" w:rsidRDefault="00F1362A" w:rsidP="00D22D3F">
            <w:pPr>
              <w:pStyle w:val="ENoteTableText"/>
            </w:pPr>
            <w:r w:rsidRPr="00097A86">
              <w:t>am 2009 No.</w:t>
            </w:r>
            <w:r>
              <w:t> </w:t>
            </w:r>
            <w:r w:rsidRPr="00097A86">
              <w:t>1</w:t>
            </w:r>
          </w:p>
        </w:tc>
      </w:tr>
      <w:tr w:rsidR="00F1362A" w:rsidRPr="00097A86" w14:paraId="362E185A" w14:textId="77777777" w:rsidTr="00C20CC2">
        <w:tblPrEx>
          <w:jc w:val="center"/>
        </w:tblPrEx>
        <w:trPr>
          <w:gridAfter w:val="1"/>
          <w:wAfter w:w="37" w:type="pct"/>
          <w:jc w:val="center"/>
        </w:trPr>
        <w:tc>
          <w:tcPr>
            <w:tcW w:w="1390" w:type="pct"/>
            <w:gridSpan w:val="2"/>
          </w:tcPr>
          <w:p w14:paraId="6EBC6184" w14:textId="77777777" w:rsidR="00F1362A" w:rsidRPr="00097A86" w:rsidRDefault="00F1362A" w:rsidP="006D1F60">
            <w:pPr>
              <w:pStyle w:val="ENoteTableText"/>
              <w:tabs>
                <w:tab w:val="left" w:leader="dot" w:pos="2268"/>
              </w:tabs>
            </w:pPr>
            <w:r w:rsidRPr="00097A86">
              <w:t>s 4.5</w:t>
            </w:r>
            <w:r w:rsidRPr="00097A86">
              <w:tab/>
            </w:r>
          </w:p>
        </w:tc>
        <w:tc>
          <w:tcPr>
            <w:tcW w:w="3573" w:type="pct"/>
            <w:gridSpan w:val="2"/>
          </w:tcPr>
          <w:p w14:paraId="4BF5F7BE" w14:textId="77777777" w:rsidR="00F1362A" w:rsidRPr="00097A86" w:rsidRDefault="00F1362A" w:rsidP="00D22D3F">
            <w:pPr>
              <w:pStyle w:val="ENoteTableText"/>
            </w:pPr>
            <w:r w:rsidRPr="00097A86">
              <w:t>am 2009 No.</w:t>
            </w:r>
            <w:r>
              <w:t> </w:t>
            </w:r>
            <w:r w:rsidRPr="00097A86">
              <w:t>1</w:t>
            </w:r>
          </w:p>
        </w:tc>
      </w:tr>
      <w:tr w:rsidR="00F1362A" w:rsidRPr="00097A86" w14:paraId="76CB054D" w14:textId="77777777" w:rsidTr="00C20CC2">
        <w:tblPrEx>
          <w:jc w:val="center"/>
        </w:tblPrEx>
        <w:trPr>
          <w:gridAfter w:val="1"/>
          <w:wAfter w:w="37" w:type="pct"/>
          <w:jc w:val="center"/>
        </w:trPr>
        <w:tc>
          <w:tcPr>
            <w:tcW w:w="1390" w:type="pct"/>
            <w:gridSpan w:val="2"/>
          </w:tcPr>
          <w:p w14:paraId="216916DB" w14:textId="77777777" w:rsidR="00F1362A" w:rsidRPr="00097A86" w:rsidRDefault="00F1362A" w:rsidP="006D1F60">
            <w:pPr>
              <w:pStyle w:val="ENoteTableText"/>
              <w:tabs>
                <w:tab w:val="left" w:leader="dot" w:pos="2268"/>
              </w:tabs>
            </w:pPr>
          </w:p>
        </w:tc>
        <w:tc>
          <w:tcPr>
            <w:tcW w:w="3573" w:type="pct"/>
            <w:gridSpan w:val="2"/>
          </w:tcPr>
          <w:p w14:paraId="579E8116" w14:textId="77777777" w:rsidR="00F1362A" w:rsidRPr="00097A86" w:rsidRDefault="00F1362A" w:rsidP="00D22D3F">
            <w:pPr>
              <w:pStyle w:val="ENoteTableText"/>
            </w:pPr>
            <w:r w:rsidRPr="00097A86">
              <w:t>rs 2010 No.</w:t>
            </w:r>
            <w:r>
              <w:t> </w:t>
            </w:r>
            <w:r w:rsidRPr="00097A86">
              <w:t>1</w:t>
            </w:r>
          </w:p>
        </w:tc>
      </w:tr>
      <w:tr w:rsidR="00F1362A" w:rsidRPr="00097A86" w14:paraId="00C2E854" w14:textId="77777777" w:rsidTr="00C20CC2">
        <w:tblPrEx>
          <w:jc w:val="center"/>
        </w:tblPrEx>
        <w:trPr>
          <w:gridAfter w:val="1"/>
          <w:wAfter w:w="37" w:type="pct"/>
          <w:jc w:val="center"/>
        </w:trPr>
        <w:tc>
          <w:tcPr>
            <w:tcW w:w="1390" w:type="pct"/>
            <w:gridSpan w:val="2"/>
          </w:tcPr>
          <w:p w14:paraId="659752C8" w14:textId="77777777" w:rsidR="00F1362A" w:rsidRPr="00097A86" w:rsidRDefault="00F1362A" w:rsidP="006D1F60">
            <w:pPr>
              <w:pStyle w:val="ENoteTableText"/>
              <w:tabs>
                <w:tab w:val="left" w:leader="dot" w:pos="2268"/>
              </w:tabs>
            </w:pPr>
            <w:r w:rsidRPr="00097A86">
              <w:t>s 4.7</w:t>
            </w:r>
            <w:r w:rsidRPr="00097A86">
              <w:tab/>
            </w:r>
          </w:p>
        </w:tc>
        <w:tc>
          <w:tcPr>
            <w:tcW w:w="3573" w:type="pct"/>
            <w:gridSpan w:val="2"/>
          </w:tcPr>
          <w:p w14:paraId="794FAD93" w14:textId="77777777" w:rsidR="00F1362A" w:rsidRPr="00097A86" w:rsidRDefault="00F1362A" w:rsidP="00D22D3F">
            <w:pPr>
              <w:pStyle w:val="ENoteTableText"/>
            </w:pPr>
            <w:r w:rsidRPr="00097A86">
              <w:t>am 2010 No.</w:t>
            </w:r>
            <w:r>
              <w:t> </w:t>
            </w:r>
            <w:r w:rsidRPr="00097A86">
              <w:t>1</w:t>
            </w:r>
          </w:p>
        </w:tc>
      </w:tr>
      <w:tr w:rsidR="00F1362A" w:rsidRPr="00097A86" w14:paraId="2D76DAC2" w14:textId="77777777" w:rsidTr="00C20CC2">
        <w:tblPrEx>
          <w:jc w:val="center"/>
        </w:tblPrEx>
        <w:trPr>
          <w:gridAfter w:val="1"/>
          <w:wAfter w:w="37" w:type="pct"/>
          <w:jc w:val="center"/>
        </w:trPr>
        <w:tc>
          <w:tcPr>
            <w:tcW w:w="1390" w:type="pct"/>
            <w:gridSpan w:val="2"/>
          </w:tcPr>
          <w:p w14:paraId="50577ECF" w14:textId="77777777" w:rsidR="00F1362A" w:rsidRPr="00097A86" w:rsidRDefault="00F1362A" w:rsidP="006D1F60">
            <w:pPr>
              <w:pStyle w:val="ENoteTableText"/>
              <w:tabs>
                <w:tab w:val="left" w:leader="dot" w:pos="2268"/>
              </w:tabs>
            </w:pPr>
            <w:r w:rsidRPr="00097A86">
              <w:t>s 4.8</w:t>
            </w:r>
            <w:r w:rsidRPr="00097A86">
              <w:tab/>
            </w:r>
          </w:p>
        </w:tc>
        <w:tc>
          <w:tcPr>
            <w:tcW w:w="3573" w:type="pct"/>
            <w:gridSpan w:val="2"/>
          </w:tcPr>
          <w:p w14:paraId="47A8B00E" w14:textId="77777777" w:rsidR="00F1362A" w:rsidRPr="00097A86" w:rsidRDefault="00F1362A" w:rsidP="00D22D3F">
            <w:pPr>
              <w:pStyle w:val="ENoteTableText"/>
            </w:pPr>
            <w:r w:rsidRPr="00097A86">
              <w:t>am 2010 No.</w:t>
            </w:r>
            <w:r>
              <w:t> </w:t>
            </w:r>
            <w:r w:rsidRPr="00097A86">
              <w:t>1</w:t>
            </w:r>
          </w:p>
        </w:tc>
      </w:tr>
      <w:tr w:rsidR="00F1362A" w:rsidRPr="00097A86" w14:paraId="58A1AC20" w14:textId="77777777" w:rsidTr="00C20CC2">
        <w:tblPrEx>
          <w:jc w:val="center"/>
        </w:tblPrEx>
        <w:trPr>
          <w:gridAfter w:val="1"/>
          <w:wAfter w:w="37" w:type="pct"/>
          <w:jc w:val="center"/>
        </w:trPr>
        <w:tc>
          <w:tcPr>
            <w:tcW w:w="1390" w:type="pct"/>
            <w:gridSpan w:val="2"/>
          </w:tcPr>
          <w:p w14:paraId="43B31DDE" w14:textId="77777777" w:rsidR="00F1362A" w:rsidRPr="00097A86" w:rsidRDefault="00F1362A" w:rsidP="006D1F60">
            <w:pPr>
              <w:pStyle w:val="ENoteTableText"/>
              <w:tabs>
                <w:tab w:val="left" w:leader="dot" w:pos="2268"/>
              </w:tabs>
            </w:pPr>
            <w:r w:rsidRPr="00097A86">
              <w:t>s 4.10</w:t>
            </w:r>
            <w:r w:rsidRPr="00097A86">
              <w:tab/>
            </w:r>
          </w:p>
        </w:tc>
        <w:tc>
          <w:tcPr>
            <w:tcW w:w="3573" w:type="pct"/>
            <w:gridSpan w:val="2"/>
          </w:tcPr>
          <w:p w14:paraId="498D9BE0" w14:textId="77777777" w:rsidR="00F1362A" w:rsidRPr="00097A86" w:rsidRDefault="00F1362A" w:rsidP="00D22D3F">
            <w:pPr>
              <w:pStyle w:val="ENoteTableText"/>
            </w:pPr>
            <w:r w:rsidRPr="00097A86">
              <w:t>am 2010 No.</w:t>
            </w:r>
            <w:r>
              <w:t> </w:t>
            </w:r>
            <w:r w:rsidRPr="00097A86">
              <w:t>1</w:t>
            </w:r>
          </w:p>
        </w:tc>
      </w:tr>
      <w:tr w:rsidR="00F1362A" w:rsidRPr="00097A86" w14:paraId="0E1AF08F" w14:textId="77777777" w:rsidTr="00C20CC2">
        <w:tblPrEx>
          <w:jc w:val="center"/>
        </w:tblPrEx>
        <w:trPr>
          <w:gridAfter w:val="1"/>
          <w:wAfter w:w="37" w:type="pct"/>
          <w:jc w:val="center"/>
        </w:trPr>
        <w:tc>
          <w:tcPr>
            <w:tcW w:w="1390" w:type="pct"/>
            <w:gridSpan w:val="2"/>
          </w:tcPr>
          <w:p w14:paraId="4D5539F7"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4.2.2</w:t>
            </w:r>
          </w:p>
        </w:tc>
        <w:tc>
          <w:tcPr>
            <w:tcW w:w="3573" w:type="pct"/>
            <w:gridSpan w:val="2"/>
          </w:tcPr>
          <w:p w14:paraId="599D999D" w14:textId="77777777" w:rsidR="00F1362A" w:rsidRPr="00097A86" w:rsidRDefault="00F1362A" w:rsidP="00D22D3F">
            <w:pPr>
              <w:pStyle w:val="ENoteTableText"/>
            </w:pPr>
          </w:p>
        </w:tc>
      </w:tr>
      <w:tr w:rsidR="00F1362A" w:rsidRPr="00097A86" w14:paraId="6A40CA94" w14:textId="77777777" w:rsidTr="00C20CC2">
        <w:tblPrEx>
          <w:jc w:val="center"/>
        </w:tblPrEx>
        <w:trPr>
          <w:gridAfter w:val="1"/>
          <w:wAfter w:w="37" w:type="pct"/>
          <w:jc w:val="center"/>
        </w:trPr>
        <w:tc>
          <w:tcPr>
            <w:tcW w:w="1390" w:type="pct"/>
            <w:gridSpan w:val="2"/>
          </w:tcPr>
          <w:p w14:paraId="3A8B4D3B" w14:textId="77777777" w:rsidR="00F1362A" w:rsidRPr="00097A86" w:rsidRDefault="00F1362A" w:rsidP="006D1F60">
            <w:pPr>
              <w:pStyle w:val="ENoteTableText"/>
              <w:tabs>
                <w:tab w:val="left" w:leader="dot" w:pos="2268"/>
              </w:tabs>
            </w:pPr>
            <w:r w:rsidRPr="00097A86">
              <w:t>s 4.11</w:t>
            </w:r>
            <w:r w:rsidRPr="00097A86">
              <w:tab/>
            </w:r>
          </w:p>
        </w:tc>
        <w:tc>
          <w:tcPr>
            <w:tcW w:w="3573" w:type="pct"/>
            <w:gridSpan w:val="2"/>
          </w:tcPr>
          <w:p w14:paraId="0D1E9B84" w14:textId="77777777" w:rsidR="00F1362A" w:rsidRPr="00097A86" w:rsidRDefault="00F1362A" w:rsidP="00D22D3F">
            <w:pPr>
              <w:pStyle w:val="ENoteTableText"/>
            </w:pPr>
            <w:r w:rsidRPr="00097A86">
              <w:t>am 2009 No.</w:t>
            </w:r>
            <w:r>
              <w:t> </w:t>
            </w:r>
            <w:r w:rsidRPr="00097A86">
              <w:t>1</w:t>
            </w:r>
          </w:p>
        </w:tc>
      </w:tr>
      <w:tr w:rsidR="00F1362A" w:rsidRPr="00097A86" w14:paraId="0ED9C028" w14:textId="77777777" w:rsidTr="00C20CC2">
        <w:tblPrEx>
          <w:jc w:val="center"/>
        </w:tblPrEx>
        <w:trPr>
          <w:gridAfter w:val="1"/>
          <w:wAfter w:w="37" w:type="pct"/>
          <w:jc w:val="center"/>
        </w:trPr>
        <w:tc>
          <w:tcPr>
            <w:tcW w:w="1390" w:type="pct"/>
            <w:gridSpan w:val="2"/>
          </w:tcPr>
          <w:p w14:paraId="52A86F60" w14:textId="77777777" w:rsidR="00F1362A" w:rsidRPr="00097A86" w:rsidRDefault="00F1362A" w:rsidP="006D1F60">
            <w:pPr>
              <w:pStyle w:val="ENoteTableText"/>
              <w:tabs>
                <w:tab w:val="left" w:leader="dot" w:pos="2268"/>
              </w:tabs>
            </w:pPr>
            <w:r w:rsidRPr="00097A86">
              <w:t>s 4.12</w:t>
            </w:r>
            <w:r w:rsidRPr="00097A86">
              <w:tab/>
            </w:r>
          </w:p>
        </w:tc>
        <w:tc>
          <w:tcPr>
            <w:tcW w:w="3573" w:type="pct"/>
            <w:gridSpan w:val="2"/>
          </w:tcPr>
          <w:p w14:paraId="22C58706" w14:textId="77777777" w:rsidR="00F1362A" w:rsidRPr="00097A86" w:rsidRDefault="00F1362A" w:rsidP="00D22D3F">
            <w:pPr>
              <w:pStyle w:val="ENoteTableText"/>
            </w:pPr>
            <w:r w:rsidRPr="00097A86">
              <w:t>am 2009 No.</w:t>
            </w:r>
            <w:r>
              <w:t> </w:t>
            </w:r>
            <w:r w:rsidRPr="00097A86">
              <w:t>1</w:t>
            </w:r>
          </w:p>
        </w:tc>
      </w:tr>
      <w:tr w:rsidR="00F1362A" w:rsidRPr="00097A86" w14:paraId="79EFAD4B" w14:textId="77777777" w:rsidTr="00C20CC2">
        <w:tblPrEx>
          <w:jc w:val="center"/>
        </w:tblPrEx>
        <w:trPr>
          <w:gridAfter w:val="1"/>
          <w:wAfter w:w="37" w:type="pct"/>
          <w:jc w:val="center"/>
        </w:trPr>
        <w:tc>
          <w:tcPr>
            <w:tcW w:w="1390" w:type="pct"/>
            <w:gridSpan w:val="2"/>
          </w:tcPr>
          <w:p w14:paraId="52AD833D" w14:textId="77777777" w:rsidR="00F1362A" w:rsidRPr="00097A86" w:rsidRDefault="00F1362A" w:rsidP="006D1F60">
            <w:pPr>
              <w:pStyle w:val="ENoteTableText"/>
              <w:tabs>
                <w:tab w:val="left" w:leader="dot" w:pos="2268"/>
              </w:tabs>
            </w:pPr>
            <w:r w:rsidRPr="00097A86">
              <w:t>s 4.13</w:t>
            </w:r>
            <w:r w:rsidRPr="00097A86">
              <w:tab/>
            </w:r>
          </w:p>
        </w:tc>
        <w:tc>
          <w:tcPr>
            <w:tcW w:w="3573" w:type="pct"/>
            <w:gridSpan w:val="2"/>
          </w:tcPr>
          <w:p w14:paraId="6590AAA7" w14:textId="77777777" w:rsidR="00F1362A" w:rsidRPr="00097A86" w:rsidRDefault="00F1362A" w:rsidP="00D22D3F">
            <w:pPr>
              <w:pStyle w:val="ENoteTableText"/>
            </w:pPr>
            <w:r w:rsidRPr="00097A86">
              <w:t>rs 2011 No.</w:t>
            </w:r>
            <w:r>
              <w:t> </w:t>
            </w:r>
            <w:r w:rsidRPr="00097A86">
              <w:t>1</w:t>
            </w:r>
          </w:p>
        </w:tc>
      </w:tr>
      <w:tr w:rsidR="00F1362A" w:rsidRPr="00097A86" w14:paraId="52E9D527" w14:textId="77777777" w:rsidTr="00C20CC2">
        <w:tblPrEx>
          <w:jc w:val="center"/>
        </w:tblPrEx>
        <w:trPr>
          <w:gridAfter w:val="1"/>
          <w:wAfter w:w="37" w:type="pct"/>
          <w:jc w:val="center"/>
        </w:trPr>
        <w:tc>
          <w:tcPr>
            <w:tcW w:w="1390" w:type="pct"/>
            <w:gridSpan w:val="2"/>
          </w:tcPr>
          <w:p w14:paraId="7AD81446" w14:textId="77777777" w:rsidR="00F1362A" w:rsidRPr="00097A86" w:rsidRDefault="00F1362A" w:rsidP="006D1F60">
            <w:pPr>
              <w:pStyle w:val="ENoteTableText"/>
              <w:tabs>
                <w:tab w:val="left" w:leader="dot" w:pos="2268"/>
              </w:tabs>
            </w:pPr>
            <w:r w:rsidRPr="00097A86">
              <w:t>s 4.14</w:t>
            </w:r>
            <w:r w:rsidRPr="00097A86">
              <w:tab/>
            </w:r>
          </w:p>
        </w:tc>
        <w:tc>
          <w:tcPr>
            <w:tcW w:w="3573" w:type="pct"/>
            <w:gridSpan w:val="2"/>
          </w:tcPr>
          <w:p w14:paraId="4E8EAF59" w14:textId="77777777" w:rsidR="00F1362A" w:rsidRPr="00097A86" w:rsidRDefault="00F1362A" w:rsidP="00D22D3F">
            <w:pPr>
              <w:pStyle w:val="ENoteTableText"/>
            </w:pPr>
            <w:r w:rsidRPr="00097A86">
              <w:t>am 2010 No.</w:t>
            </w:r>
            <w:r>
              <w:t> </w:t>
            </w:r>
            <w:r w:rsidRPr="00097A86">
              <w:t>1</w:t>
            </w:r>
          </w:p>
        </w:tc>
      </w:tr>
      <w:tr w:rsidR="00F1362A" w:rsidRPr="00097A86" w14:paraId="1A079C33" w14:textId="77777777" w:rsidTr="00C20CC2">
        <w:tblPrEx>
          <w:jc w:val="center"/>
        </w:tblPrEx>
        <w:trPr>
          <w:gridAfter w:val="1"/>
          <w:wAfter w:w="37" w:type="pct"/>
          <w:jc w:val="center"/>
        </w:trPr>
        <w:tc>
          <w:tcPr>
            <w:tcW w:w="1390" w:type="pct"/>
            <w:gridSpan w:val="2"/>
          </w:tcPr>
          <w:p w14:paraId="6FA3219E" w14:textId="77777777" w:rsidR="00F1362A" w:rsidRPr="00097A86" w:rsidRDefault="00F1362A" w:rsidP="006D1F60">
            <w:pPr>
              <w:pStyle w:val="ENoteTableText"/>
              <w:tabs>
                <w:tab w:val="left" w:leader="dot" w:pos="2268"/>
              </w:tabs>
            </w:pPr>
          </w:p>
        </w:tc>
        <w:tc>
          <w:tcPr>
            <w:tcW w:w="3573" w:type="pct"/>
            <w:gridSpan w:val="2"/>
          </w:tcPr>
          <w:p w14:paraId="604D8C2E" w14:textId="77777777" w:rsidR="00F1362A" w:rsidRPr="00097A86" w:rsidRDefault="00F1362A" w:rsidP="00D22D3F">
            <w:pPr>
              <w:pStyle w:val="ENoteTableText"/>
            </w:pPr>
            <w:r w:rsidRPr="00097A86">
              <w:t>rs 2011 No.</w:t>
            </w:r>
            <w:r>
              <w:t> </w:t>
            </w:r>
            <w:r w:rsidRPr="00097A86">
              <w:t>1</w:t>
            </w:r>
          </w:p>
        </w:tc>
      </w:tr>
      <w:tr w:rsidR="00F1362A" w:rsidRPr="00097A86" w14:paraId="0FD74CD1" w14:textId="77777777" w:rsidTr="00C20CC2">
        <w:tblPrEx>
          <w:jc w:val="center"/>
        </w:tblPrEx>
        <w:trPr>
          <w:gridAfter w:val="1"/>
          <w:wAfter w:w="37" w:type="pct"/>
          <w:jc w:val="center"/>
        </w:trPr>
        <w:tc>
          <w:tcPr>
            <w:tcW w:w="1390" w:type="pct"/>
            <w:gridSpan w:val="2"/>
          </w:tcPr>
          <w:p w14:paraId="3100220D" w14:textId="77777777" w:rsidR="00F1362A" w:rsidRPr="00097A86" w:rsidRDefault="00F1362A" w:rsidP="006C1D96">
            <w:pPr>
              <w:pStyle w:val="ENoteTableText"/>
              <w:tabs>
                <w:tab w:val="left" w:leader="dot" w:pos="2268"/>
              </w:tabs>
              <w:rPr>
                <w:rFonts w:eastAsiaTheme="minorHAnsi" w:cstheme="minorBidi"/>
              </w:rPr>
            </w:pPr>
            <w:r w:rsidRPr="00097A86">
              <w:lastRenderedPageBreak/>
              <w:t>s 4.15</w:t>
            </w:r>
            <w:r w:rsidRPr="00097A86">
              <w:tab/>
            </w:r>
          </w:p>
        </w:tc>
        <w:tc>
          <w:tcPr>
            <w:tcW w:w="3573" w:type="pct"/>
            <w:gridSpan w:val="2"/>
          </w:tcPr>
          <w:p w14:paraId="6D27182C" w14:textId="77777777" w:rsidR="00F1362A" w:rsidRPr="00097A86" w:rsidRDefault="00F1362A" w:rsidP="006C1D96">
            <w:pPr>
              <w:pStyle w:val="ENoteTableText"/>
            </w:pPr>
            <w:r w:rsidRPr="00097A86">
              <w:t>am 2011 No.</w:t>
            </w:r>
            <w:r>
              <w:t> </w:t>
            </w:r>
            <w:r w:rsidRPr="00097A86">
              <w:t>1</w:t>
            </w:r>
          </w:p>
        </w:tc>
      </w:tr>
      <w:tr w:rsidR="00F1362A" w:rsidRPr="00097A86" w14:paraId="7BBA0731" w14:textId="77777777" w:rsidTr="00C20CC2">
        <w:tblPrEx>
          <w:jc w:val="center"/>
        </w:tblPrEx>
        <w:trPr>
          <w:gridAfter w:val="1"/>
          <w:wAfter w:w="37" w:type="pct"/>
          <w:jc w:val="center"/>
        </w:trPr>
        <w:tc>
          <w:tcPr>
            <w:tcW w:w="1390" w:type="pct"/>
            <w:gridSpan w:val="2"/>
          </w:tcPr>
          <w:p w14:paraId="51AAB914" w14:textId="77777777" w:rsidR="00F1362A" w:rsidRPr="00097A86" w:rsidRDefault="00F1362A" w:rsidP="006D1F60">
            <w:pPr>
              <w:pStyle w:val="ENoteTableText"/>
              <w:tabs>
                <w:tab w:val="left" w:leader="dot" w:pos="2268"/>
              </w:tabs>
            </w:pPr>
            <w:r w:rsidRPr="00097A86">
              <w:t>s 4.16</w:t>
            </w:r>
            <w:r w:rsidRPr="00097A86">
              <w:tab/>
            </w:r>
          </w:p>
        </w:tc>
        <w:tc>
          <w:tcPr>
            <w:tcW w:w="3573" w:type="pct"/>
            <w:gridSpan w:val="2"/>
          </w:tcPr>
          <w:p w14:paraId="1D8B153A" w14:textId="77777777" w:rsidR="00F1362A" w:rsidRPr="00097A86" w:rsidRDefault="00F1362A" w:rsidP="00D22D3F">
            <w:pPr>
              <w:pStyle w:val="ENoteTableText"/>
            </w:pPr>
            <w:r w:rsidRPr="00097A86">
              <w:t>am 2010 No.</w:t>
            </w:r>
            <w:r>
              <w:t> </w:t>
            </w:r>
            <w:r w:rsidRPr="00097A86">
              <w:t>1</w:t>
            </w:r>
          </w:p>
        </w:tc>
      </w:tr>
      <w:tr w:rsidR="00F1362A" w:rsidRPr="00097A86" w14:paraId="00179BCD" w14:textId="77777777" w:rsidTr="00C20CC2">
        <w:tblPrEx>
          <w:jc w:val="center"/>
        </w:tblPrEx>
        <w:trPr>
          <w:gridAfter w:val="1"/>
          <w:wAfter w:w="37" w:type="pct"/>
          <w:jc w:val="center"/>
        </w:trPr>
        <w:tc>
          <w:tcPr>
            <w:tcW w:w="1390" w:type="pct"/>
            <w:gridSpan w:val="2"/>
          </w:tcPr>
          <w:p w14:paraId="2AB2DAB0" w14:textId="77777777" w:rsidR="00F1362A" w:rsidRPr="00097A86" w:rsidRDefault="00F1362A" w:rsidP="006D1F60">
            <w:pPr>
              <w:pStyle w:val="ENoteTableText"/>
              <w:tabs>
                <w:tab w:val="left" w:leader="dot" w:pos="2268"/>
              </w:tabs>
            </w:pPr>
            <w:r w:rsidRPr="00097A86">
              <w:t>s 4.17</w:t>
            </w:r>
            <w:r w:rsidRPr="00097A86">
              <w:tab/>
            </w:r>
          </w:p>
        </w:tc>
        <w:tc>
          <w:tcPr>
            <w:tcW w:w="3573" w:type="pct"/>
            <w:gridSpan w:val="2"/>
          </w:tcPr>
          <w:p w14:paraId="2A7C5D64" w14:textId="77777777" w:rsidR="00F1362A" w:rsidRPr="00097A86" w:rsidRDefault="00F1362A" w:rsidP="00D22D3F">
            <w:pPr>
              <w:pStyle w:val="ENoteTableText"/>
            </w:pPr>
            <w:r w:rsidRPr="00097A86">
              <w:t>am 2010 No.</w:t>
            </w:r>
            <w:r>
              <w:t> </w:t>
            </w:r>
            <w:r w:rsidRPr="00097A86">
              <w:t>1</w:t>
            </w:r>
          </w:p>
        </w:tc>
      </w:tr>
      <w:tr w:rsidR="00F1362A" w:rsidRPr="00097A86" w14:paraId="6B03E3F3" w14:textId="77777777" w:rsidTr="00C20CC2">
        <w:tblPrEx>
          <w:jc w:val="center"/>
        </w:tblPrEx>
        <w:trPr>
          <w:gridAfter w:val="1"/>
          <w:wAfter w:w="37" w:type="pct"/>
          <w:jc w:val="center"/>
        </w:trPr>
        <w:tc>
          <w:tcPr>
            <w:tcW w:w="1390" w:type="pct"/>
            <w:gridSpan w:val="2"/>
          </w:tcPr>
          <w:p w14:paraId="24C0AC1D" w14:textId="77777777" w:rsidR="00F1362A" w:rsidRPr="00097A86" w:rsidRDefault="00F1362A" w:rsidP="005C5D38">
            <w:pPr>
              <w:pStyle w:val="ENoteTableText"/>
              <w:keepNext/>
              <w:tabs>
                <w:tab w:val="left" w:leader="dot" w:pos="2268"/>
              </w:tabs>
            </w:pPr>
            <w:r w:rsidRPr="00097A86">
              <w:rPr>
                <w:b/>
              </w:rPr>
              <w:t>Division</w:t>
            </w:r>
            <w:r>
              <w:rPr>
                <w:b/>
              </w:rPr>
              <w:t> </w:t>
            </w:r>
            <w:r w:rsidRPr="00097A86">
              <w:rPr>
                <w:b/>
              </w:rPr>
              <w:t>4.2.3</w:t>
            </w:r>
          </w:p>
        </w:tc>
        <w:tc>
          <w:tcPr>
            <w:tcW w:w="3573" w:type="pct"/>
            <w:gridSpan w:val="2"/>
          </w:tcPr>
          <w:p w14:paraId="0E97A78F" w14:textId="77777777" w:rsidR="00F1362A" w:rsidRPr="00097A86" w:rsidRDefault="00F1362A" w:rsidP="00D22D3F">
            <w:pPr>
              <w:pStyle w:val="ENoteTableText"/>
            </w:pPr>
          </w:p>
        </w:tc>
      </w:tr>
      <w:tr w:rsidR="00F1362A" w:rsidRPr="00097A86" w14:paraId="0A66C167" w14:textId="77777777" w:rsidTr="00C20CC2">
        <w:tblPrEx>
          <w:jc w:val="center"/>
        </w:tblPrEx>
        <w:trPr>
          <w:gridAfter w:val="1"/>
          <w:wAfter w:w="37" w:type="pct"/>
          <w:jc w:val="center"/>
        </w:trPr>
        <w:tc>
          <w:tcPr>
            <w:tcW w:w="1390" w:type="pct"/>
            <w:gridSpan w:val="2"/>
          </w:tcPr>
          <w:p w14:paraId="0F4CDAAA" w14:textId="77777777" w:rsidR="00F1362A" w:rsidRPr="00097A86" w:rsidRDefault="00F1362A" w:rsidP="006C1D96">
            <w:pPr>
              <w:pStyle w:val="ENoteTableText"/>
              <w:tabs>
                <w:tab w:val="left" w:leader="dot" w:pos="2268"/>
              </w:tabs>
            </w:pPr>
            <w:r w:rsidRPr="00097A86">
              <w:t>Division</w:t>
            </w:r>
            <w:r>
              <w:t> </w:t>
            </w:r>
            <w:r w:rsidRPr="00097A86">
              <w:t>4.2.3 heading</w:t>
            </w:r>
            <w:r w:rsidRPr="00097A86">
              <w:tab/>
            </w:r>
          </w:p>
        </w:tc>
        <w:tc>
          <w:tcPr>
            <w:tcW w:w="3573" w:type="pct"/>
            <w:gridSpan w:val="2"/>
          </w:tcPr>
          <w:p w14:paraId="126D6921" w14:textId="77777777" w:rsidR="00F1362A" w:rsidRPr="00097A86" w:rsidRDefault="00F1362A" w:rsidP="00D22D3F">
            <w:pPr>
              <w:pStyle w:val="ENoteTableText"/>
            </w:pPr>
            <w:r w:rsidRPr="00097A86">
              <w:t>rs 2009 No.</w:t>
            </w:r>
            <w:r>
              <w:t> </w:t>
            </w:r>
            <w:r w:rsidRPr="00097A86">
              <w:t>1</w:t>
            </w:r>
          </w:p>
        </w:tc>
      </w:tr>
      <w:tr w:rsidR="00F1362A" w:rsidRPr="00097A86" w14:paraId="3D5F3F64" w14:textId="77777777" w:rsidTr="00C20CC2">
        <w:tblPrEx>
          <w:jc w:val="center"/>
        </w:tblPrEx>
        <w:trPr>
          <w:gridAfter w:val="1"/>
          <w:wAfter w:w="37" w:type="pct"/>
          <w:jc w:val="center"/>
        </w:trPr>
        <w:tc>
          <w:tcPr>
            <w:tcW w:w="1390" w:type="pct"/>
            <w:gridSpan w:val="2"/>
          </w:tcPr>
          <w:p w14:paraId="2316388E" w14:textId="77777777" w:rsidR="00F1362A" w:rsidRPr="00097A86" w:rsidRDefault="00F1362A" w:rsidP="006D1F60">
            <w:pPr>
              <w:pStyle w:val="ENoteTableText"/>
              <w:tabs>
                <w:tab w:val="left" w:leader="dot" w:pos="2268"/>
              </w:tabs>
            </w:pPr>
            <w:r w:rsidRPr="00097A86">
              <w:t>s 4.20</w:t>
            </w:r>
            <w:r w:rsidRPr="00097A86">
              <w:tab/>
            </w:r>
          </w:p>
        </w:tc>
        <w:tc>
          <w:tcPr>
            <w:tcW w:w="3573" w:type="pct"/>
            <w:gridSpan w:val="2"/>
          </w:tcPr>
          <w:p w14:paraId="2684528A" w14:textId="77777777" w:rsidR="00F1362A" w:rsidRPr="00097A86" w:rsidRDefault="00F1362A" w:rsidP="00D22D3F">
            <w:pPr>
              <w:pStyle w:val="ENoteTableText"/>
            </w:pPr>
            <w:r w:rsidRPr="00097A86">
              <w:t>rs 2009 No.</w:t>
            </w:r>
            <w:r>
              <w:t> </w:t>
            </w:r>
            <w:r w:rsidRPr="00097A86">
              <w:t>1; 2010 No.</w:t>
            </w:r>
            <w:r>
              <w:t> </w:t>
            </w:r>
            <w:r w:rsidRPr="00097A86">
              <w:t>1</w:t>
            </w:r>
          </w:p>
        </w:tc>
      </w:tr>
      <w:tr w:rsidR="00F1362A" w:rsidRPr="00097A86" w14:paraId="0B61AB2E" w14:textId="77777777" w:rsidTr="00C20CC2">
        <w:tblPrEx>
          <w:jc w:val="center"/>
        </w:tblPrEx>
        <w:trPr>
          <w:gridAfter w:val="1"/>
          <w:wAfter w:w="37" w:type="pct"/>
          <w:jc w:val="center"/>
        </w:trPr>
        <w:tc>
          <w:tcPr>
            <w:tcW w:w="1390" w:type="pct"/>
            <w:gridSpan w:val="2"/>
          </w:tcPr>
          <w:p w14:paraId="0A0FAF35" w14:textId="77777777" w:rsidR="00F1362A" w:rsidRPr="00097A86" w:rsidRDefault="00F1362A" w:rsidP="006D1F60">
            <w:pPr>
              <w:pStyle w:val="ENoteTableText"/>
              <w:tabs>
                <w:tab w:val="left" w:leader="dot" w:pos="2268"/>
              </w:tabs>
            </w:pPr>
          </w:p>
        </w:tc>
        <w:tc>
          <w:tcPr>
            <w:tcW w:w="3573" w:type="pct"/>
            <w:gridSpan w:val="2"/>
          </w:tcPr>
          <w:p w14:paraId="16C1297F" w14:textId="77777777" w:rsidR="00F1362A" w:rsidRPr="00097A86" w:rsidRDefault="00F1362A" w:rsidP="00D22D3F">
            <w:pPr>
              <w:pStyle w:val="ENoteTableText"/>
            </w:pPr>
            <w:r w:rsidRPr="00097A86">
              <w:t>am 2011 No.</w:t>
            </w:r>
            <w:r>
              <w:t> </w:t>
            </w:r>
            <w:r w:rsidRPr="00097A86">
              <w:t>1; 2012 No.</w:t>
            </w:r>
            <w:r>
              <w:t> </w:t>
            </w:r>
            <w:r w:rsidRPr="00097A86">
              <w:t>1</w:t>
            </w:r>
          </w:p>
        </w:tc>
      </w:tr>
      <w:tr w:rsidR="00F1362A" w:rsidRPr="00097A86" w14:paraId="62FF3341" w14:textId="77777777" w:rsidTr="00C20CC2">
        <w:tblPrEx>
          <w:jc w:val="center"/>
        </w:tblPrEx>
        <w:trPr>
          <w:gridAfter w:val="1"/>
          <w:wAfter w:w="37" w:type="pct"/>
          <w:jc w:val="center"/>
        </w:trPr>
        <w:tc>
          <w:tcPr>
            <w:tcW w:w="1390" w:type="pct"/>
            <w:gridSpan w:val="2"/>
          </w:tcPr>
          <w:p w14:paraId="3CF0C679" w14:textId="77777777" w:rsidR="00F1362A" w:rsidRPr="00097A86" w:rsidRDefault="00F1362A" w:rsidP="006D1F60">
            <w:pPr>
              <w:pStyle w:val="ENoteTableText"/>
              <w:tabs>
                <w:tab w:val="left" w:leader="dot" w:pos="2268"/>
              </w:tabs>
            </w:pPr>
            <w:r w:rsidRPr="00097A86">
              <w:t>s 4.21</w:t>
            </w:r>
            <w:r w:rsidRPr="00097A86">
              <w:tab/>
            </w:r>
          </w:p>
        </w:tc>
        <w:tc>
          <w:tcPr>
            <w:tcW w:w="3573" w:type="pct"/>
            <w:gridSpan w:val="2"/>
          </w:tcPr>
          <w:p w14:paraId="7BFAE3B9" w14:textId="77777777" w:rsidR="00F1362A" w:rsidRPr="00097A86" w:rsidRDefault="00F1362A" w:rsidP="00D22D3F">
            <w:pPr>
              <w:pStyle w:val="ENoteTableText"/>
            </w:pPr>
            <w:r w:rsidRPr="00097A86">
              <w:t>am 2009 No.</w:t>
            </w:r>
            <w:r>
              <w:t> </w:t>
            </w:r>
            <w:r w:rsidRPr="00097A86">
              <w:t>1; 2012 No.</w:t>
            </w:r>
            <w:r>
              <w:t> </w:t>
            </w:r>
            <w:r w:rsidRPr="00097A86">
              <w:t>1</w:t>
            </w:r>
          </w:p>
        </w:tc>
      </w:tr>
      <w:tr w:rsidR="00F1362A" w:rsidRPr="00097A86" w14:paraId="6120873F" w14:textId="77777777" w:rsidTr="00C20CC2">
        <w:tblPrEx>
          <w:jc w:val="center"/>
        </w:tblPrEx>
        <w:trPr>
          <w:gridAfter w:val="1"/>
          <w:wAfter w:w="37" w:type="pct"/>
          <w:jc w:val="center"/>
        </w:trPr>
        <w:tc>
          <w:tcPr>
            <w:tcW w:w="1390" w:type="pct"/>
            <w:gridSpan w:val="2"/>
          </w:tcPr>
          <w:p w14:paraId="735E38F9" w14:textId="77777777" w:rsidR="00F1362A" w:rsidRPr="00097A86" w:rsidRDefault="00F1362A" w:rsidP="006D1F60">
            <w:pPr>
              <w:pStyle w:val="ENoteTableText"/>
              <w:tabs>
                <w:tab w:val="left" w:leader="dot" w:pos="2268"/>
              </w:tabs>
            </w:pPr>
            <w:r w:rsidRPr="00097A86">
              <w:t>s 4.22</w:t>
            </w:r>
            <w:r w:rsidRPr="00097A86">
              <w:tab/>
            </w:r>
          </w:p>
        </w:tc>
        <w:tc>
          <w:tcPr>
            <w:tcW w:w="3573" w:type="pct"/>
            <w:gridSpan w:val="2"/>
          </w:tcPr>
          <w:p w14:paraId="00BCAC09" w14:textId="77777777" w:rsidR="00F1362A" w:rsidRPr="00097A86" w:rsidRDefault="00F1362A" w:rsidP="00386319">
            <w:pPr>
              <w:pStyle w:val="ENoteTableText"/>
            </w:pPr>
            <w:r w:rsidRPr="00097A86">
              <w:t>am 2009 No.</w:t>
            </w:r>
            <w:r>
              <w:t> </w:t>
            </w:r>
            <w:r w:rsidRPr="00097A86">
              <w:t>1 (Sch 1 item</w:t>
            </w:r>
            <w:r>
              <w:t> </w:t>
            </w:r>
            <w:r w:rsidRPr="00097A86">
              <w:t>92 md not incorp); 2010 No.</w:t>
            </w:r>
            <w:r>
              <w:t> </w:t>
            </w:r>
            <w:r w:rsidRPr="00097A86">
              <w:t>1</w:t>
            </w:r>
          </w:p>
        </w:tc>
      </w:tr>
      <w:tr w:rsidR="00F1362A" w:rsidRPr="00097A86" w14:paraId="0FD3A77E" w14:textId="77777777" w:rsidTr="00C20CC2">
        <w:tblPrEx>
          <w:jc w:val="center"/>
        </w:tblPrEx>
        <w:trPr>
          <w:gridAfter w:val="1"/>
          <w:wAfter w:w="37" w:type="pct"/>
          <w:jc w:val="center"/>
        </w:trPr>
        <w:tc>
          <w:tcPr>
            <w:tcW w:w="1390" w:type="pct"/>
            <w:gridSpan w:val="2"/>
          </w:tcPr>
          <w:p w14:paraId="37F15BA6" w14:textId="77777777" w:rsidR="00F1362A" w:rsidRPr="00097A86" w:rsidRDefault="00F1362A" w:rsidP="006D1F60">
            <w:pPr>
              <w:pStyle w:val="ENoteTableText"/>
              <w:tabs>
                <w:tab w:val="left" w:leader="dot" w:pos="2268"/>
              </w:tabs>
            </w:pPr>
            <w:r w:rsidRPr="00097A86">
              <w:t>s 4.22A</w:t>
            </w:r>
            <w:r w:rsidRPr="00097A86">
              <w:tab/>
            </w:r>
          </w:p>
        </w:tc>
        <w:tc>
          <w:tcPr>
            <w:tcW w:w="3573" w:type="pct"/>
            <w:gridSpan w:val="2"/>
          </w:tcPr>
          <w:p w14:paraId="4155B37D" w14:textId="77777777" w:rsidR="00F1362A" w:rsidRPr="00097A86" w:rsidRDefault="00F1362A" w:rsidP="00D22D3F">
            <w:pPr>
              <w:pStyle w:val="ENoteTableText"/>
            </w:pPr>
            <w:r w:rsidRPr="00097A86">
              <w:t>ad 2012 No.</w:t>
            </w:r>
            <w:r>
              <w:t> </w:t>
            </w:r>
            <w:r w:rsidRPr="00097A86">
              <w:t>1</w:t>
            </w:r>
          </w:p>
        </w:tc>
      </w:tr>
      <w:tr w:rsidR="00F1362A" w:rsidRPr="00097A86" w14:paraId="2ED84744" w14:textId="77777777" w:rsidTr="00C20CC2">
        <w:tblPrEx>
          <w:jc w:val="center"/>
        </w:tblPrEx>
        <w:trPr>
          <w:gridAfter w:val="1"/>
          <w:wAfter w:w="37" w:type="pct"/>
          <w:jc w:val="center"/>
        </w:trPr>
        <w:tc>
          <w:tcPr>
            <w:tcW w:w="1390" w:type="pct"/>
            <w:gridSpan w:val="2"/>
          </w:tcPr>
          <w:p w14:paraId="45CD4186" w14:textId="77777777" w:rsidR="00F1362A" w:rsidRPr="00097A86" w:rsidRDefault="00F1362A" w:rsidP="006D1F60">
            <w:pPr>
              <w:pStyle w:val="ENoteTableText"/>
              <w:tabs>
                <w:tab w:val="left" w:leader="dot" w:pos="2268"/>
              </w:tabs>
            </w:pPr>
            <w:r w:rsidRPr="00097A86">
              <w:t>s 4.23</w:t>
            </w:r>
            <w:r w:rsidRPr="00097A86">
              <w:tab/>
            </w:r>
          </w:p>
        </w:tc>
        <w:tc>
          <w:tcPr>
            <w:tcW w:w="3573" w:type="pct"/>
            <w:gridSpan w:val="2"/>
          </w:tcPr>
          <w:p w14:paraId="6E5786B9"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4E66B572" w14:textId="77777777" w:rsidTr="00C20CC2">
        <w:tblPrEx>
          <w:jc w:val="center"/>
        </w:tblPrEx>
        <w:trPr>
          <w:gridAfter w:val="1"/>
          <w:wAfter w:w="37" w:type="pct"/>
          <w:jc w:val="center"/>
        </w:trPr>
        <w:tc>
          <w:tcPr>
            <w:tcW w:w="1390" w:type="pct"/>
            <w:gridSpan w:val="2"/>
          </w:tcPr>
          <w:p w14:paraId="3A32D073" w14:textId="77777777" w:rsidR="00F1362A" w:rsidRPr="00097A86" w:rsidRDefault="00F1362A" w:rsidP="006D1F60">
            <w:pPr>
              <w:pStyle w:val="ENoteTableText"/>
              <w:tabs>
                <w:tab w:val="left" w:leader="dot" w:pos="2268"/>
              </w:tabs>
            </w:pPr>
            <w:r w:rsidRPr="00097A86">
              <w:t>s 4.23A</w:t>
            </w:r>
            <w:r w:rsidRPr="00097A86">
              <w:tab/>
            </w:r>
          </w:p>
        </w:tc>
        <w:tc>
          <w:tcPr>
            <w:tcW w:w="3573" w:type="pct"/>
            <w:gridSpan w:val="2"/>
          </w:tcPr>
          <w:p w14:paraId="4A738FF6" w14:textId="77777777" w:rsidR="00F1362A" w:rsidRPr="00097A86" w:rsidRDefault="00F1362A" w:rsidP="00D22D3F">
            <w:pPr>
              <w:pStyle w:val="ENoteTableText"/>
            </w:pPr>
            <w:r w:rsidRPr="00097A86">
              <w:t>ad 2012 No.</w:t>
            </w:r>
            <w:r>
              <w:t> </w:t>
            </w:r>
            <w:r w:rsidRPr="00097A86">
              <w:t>1</w:t>
            </w:r>
          </w:p>
        </w:tc>
      </w:tr>
      <w:tr w:rsidR="00F1362A" w:rsidRPr="00097A86" w14:paraId="478DF50D" w14:textId="77777777" w:rsidTr="00C20CC2">
        <w:tblPrEx>
          <w:jc w:val="center"/>
        </w:tblPrEx>
        <w:trPr>
          <w:gridAfter w:val="1"/>
          <w:wAfter w:w="37" w:type="pct"/>
          <w:jc w:val="center"/>
        </w:trPr>
        <w:tc>
          <w:tcPr>
            <w:tcW w:w="1390" w:type="pct"/>
            <w:gridSpan w:val="2"/>
          </w:tcPr>
          <w:p w14:paraId="554BB187" w14:textId="77777777" w:rsidR="00F1362A" w:rsidRPr="00097A86" w:rsidRDefault="00F1362A" w:rsidP="006D1F60">
            <w:pPr>
              <w:pStyle w:val="ENoteTableText"/>
              <w:tabs>
                <w:tab w:val="left" w:leader="dot" w:pos="2268"/>
              </w:tabs>
            </w:pPr>
            <w:r w:rsidRPr="00097A86">
              <w:t>s 4.23B</w:t>
            </w:r>
            <w:r w:rsidRPr="00097A86">
              <w:tab/>
            </w:r>
          </w:p>
        </w:tc>
        <w:tc>
          <w:tcPr>
            <w:tcW w:w="3573" w:type="pct"/>
            <w:gridSpan w:val="2"/>
          </w:tcPr>
          <w:p w14:paraId="53E65D16" w14:textId="77777777" w:rsidR="00F1362A" w:rsidRPr="00097A86" w:rsidRDefault="00F1362A" w:rsidP="00D22D3F">
            <w:pPr>
              <w:pStyle w:val="ENoteTableText"/>
            </w:pPr>
            <w:r w:rsidRPr="00097A86">
              <w:t>ad 2012 No.</w:t>
            </w:r>
            <w:r>
              <w:t> </w:t>
            </w:r>
            <w:r w:rsidRPr="00097A86">
              <w:t>1</w:t>
            </w:r>
          </w:p>
        </w:tc>
      </w:tr>
      <w:tr w:rsidR="00F1362A" w:rsidRPr="00097A86" w14:paraId="05D64E98" w14:textId="77777777" w:rsidTr="00C20CC2">
        <w:tblPrEx>
          <w:jc w:val="center"/>
        </w:tblPrEx>
        <w:trPr>
          <w:gridAfter w:val="1"/>
          <w:wAfter w:w="37" w:type="pct"/>
          <w:jc w:val="center"/>
        </w:trPr>
        <w:tc>
          <w:tcPr>
            <w:tcW w:w="1390" w:type="pct"/>
            <w:gridSpan w:val="2"/>
          </w:tcPr>
          <w:p w14:paraId="2BFEC851" w14:textId="77777777" w:rsidR="00F1362A" w:rsidRPr="00097A86" w:rsidRDefault="00F1362A" w:rsidP="006D1F60">
            <w:pPr>
              <w:pStyle w:val="ENoteTableText"/>
              <w:tabs>
                <w:tab w:val="left" w:leader="dot" w:pos="2268"/>
              </w:tabs>
            </w:pPr>
            <w:r w:rsidRPr="00097A86">
              <w:t>s 4.23C</w:t>
            </w:r>
            <w:r w:rsidRPr="00097A86">
              <w:tab/>
            </w:r>
          </w:p>
        </w:tc>
        <w:tc>
          <w:tcPr>
            <w:tcW w:w="3573" w:type="pct"/>
            <w:gridSpan w:val="2"/>
          </w:tcPr>
          <w:p w14:paraId="6857A809" w14:textId="77777777" w:rsidR="00F1362A" w:rsidRPr="00097A86" w:rsidRDefault="00F1362A" w:rsidP="00D22D3F">
            <w:pPr>
              <w:pStyle w:val="ENoteTableText"/>
            </w:pPr>
            <w:r w:rsidRPr="00097A86">
              <w:t>ad 2012 No.</w:t>
            </w:r>
            <w:r>
              <w:t> </w:t>
            </w:r>
            <w:r w:rsidRPr="00097A86">
              <w:t>1</w:t>
            </w:r>
          </w:p>
        </w:tc>
      </w:tr>
      <w:tr w:rsidR="00F1362A" w:rsidRPr="00097A86" w14:paraId="331FB7DE" w14:textId="77777777" w:rsidTr="00C20CC2">
        <w:tblPrEx>
          <w:jc w:val="center"/>
        </w:tblPrEx>
        <w:trPr>
          <w:gridAfter w:val="1"/>
          <w:wAfter w:w="37" w:type="pct"/>
          <w:jc w:val="center"/>
        </w:trPr>
        <w:tc>
          <w:tcPr>
            <w:tcW w:w="1390" w:type="pct"/>
            <w:gridSpan w:val="2"/>
          </w:tcPr>
          <w:p w14:paraId="0991D139" w14:textId="77777777" w:rsidR="00F1362A" w:rsidRPr="00097A86" w:rsidRDefault="00F1362A" w:rsidP="006D1F60">
            <w:pPr>
              <w:pStyle w:val="ENoteTableText"/>
              <w:tabs>
                <w:tab w:val="left" w:leader="dot" w:pos="2268"/>
              </w:tabs>
            </w:pPr>
            <w:r w:rsidRPr="00097A86">
              <w:t>s 4.25</w:t>
            </w:r>
            <w:r w:rsidRPr="00097A86">
              <w:tab/>
            </w:r>
          </w:p>
        </w:tc>
        <w:tc>
          <w:tcPr>
            <w:tcW w:w="3573" w:type="pct"/>
            <w:gridSpan w:val="2"/>
          </w:tcPr>
          <w:p w14:paraId="3A142D6E" w14:textId="77777777" w:rsidR="00F1362A" w:rsidRPr="00097A86" w:rsidRDefault="00F1362A" w:rsidP="00D22D3F">
            <w:pPr>
              <w:pStyle w:val="ENoteTableText"/>
            </w:pPr>
            <w:r w:rsidRPr="00097A86">
              <w:t>am 2010 No.</w:t>
            </w:r>
            <w:r>
              <w:t> </w:t>
            </w:r>
            <w:r w:rsidRPr="00097A86">
              <w:t>1</w:t>
            </w:r>
          </w:p>
        </w:tc>
      </w:tr>
      <w:tr w:rsidR="00F1362A" w:rsidRPr="00097A86" w14:paraId="5464B623" w14:textId="77777777" w:rsidTr="00C20CC2">
        <w:tblPrEx>
          <w:jc w:val="center"/>
        </w:tblPrEx>
        <w:trPr>
          <w:gridAfter w:val="1"/>
          <w:wAfter w:w="37" w:type="pct"/>
          <w:jc w:val="center"/>
        </w:trPr>
        <w:tc>
          <w:tcPr>
            <w:tcW w:w="1390" w:type="pct"/>
            <w:gridSpan w:val="2"/>
          </w:tcPr>
          <w:p w14:paraId="62DD907F"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4.2.4</w:t>
            </w:r>
          </w:p>
        </w:tc>
        <w:tc>
          <w:tcPr>
            <w:tcW w:w="3573" w:type="pct"/>
            <w:gridSpan w:val="2"/>
          </w:tcPr>
          <w:p w14:paraId="68FD3199" w14:textId="77777777" w:rsidR="00F1362A" w:rsidRPr="00097A86" w:rsidRDefault="00F1362A" w:rsidP="00D22D3F">
            <w:pPr>
              <w:pStyle w:val="ENoteTableText"/>
            </w:pPr>
          </w:p>
        </w:tc>
      </w:tr>
      <w:tr w:rsidR="00F1362A" w:rsidRPr="00097A86" w14:paraId="41417CF4" w14:textId="77777777" w:rsidTr="00C20CC2">
        <w:tblPrEx>
          <w:jc w:val="center"/>
        </w:tblPrEx>
        <w:trPr>
          <w:gridAfter w:val="1"/>
          <w:wAfter w:w="37" w:type="pct"/>
          <w:jc w:val="center"/>
        </w:trPr>
        <w:tc>
          <w:tcPr>
            <w:tcW w:w="1390" w:type="pct"/>
            <w:gridSpan w:val="2"/>
          </w:tcPr>
          <w:p w14:paraId="36AC4AB6" w14:textId="77777777" w:rsidR="00F1362A" w:rsidRPr="00097A86" w:rsidRDefault="00F1362A" w:rsidP="006D1F60">
            <w:pPr>
              <w:pStyle w:val="ENoteTableText"/>
              <w:tabs>
                <w:tab w:val="left" w:leader="dot" w:pos="2268"/>
              </w:tabs>
            </w:pPr>
            <w:r w:rsidRPr="00097A86">
              <w:t>s 4.26</w:t>
            </w:r>
            <w:r w:rsidRPr="00097A86">
              <w:tab/>
            </w:r>
          </w:p>
        </w:tc>
        <w:tc>
          <w:tcPr>
            <w:tcW w:w="3573" w:type="pct"/>
            <w:gridSpan w:val="2"/>
          </w:tcPr>
          <w:p w14:paraId="0ABAF479" w14:textId="77777777" w:rsidR="00F1362A" w:rsidRPr="00097A86" w:rsidRDefault="00F1362A" w:rsidP="00D22D3F">
            <w:pPr>
              <w:pStyle w:val="ENoteTableText"/>
            </w:pPr>
            <w:r w:rsidRPr="00097A86">
              <w:t>am 2009 No.</w:t>
            </w:r>
            <w:r>
              <w:t> </w:t>
            </w:r>
            <w:r w:rsidRPr="00097A86">
              <w:t>1</w:t>
            </w:r>
          </w:p>
        </w:tc>
      </w:tr>
      <w:tr w:rsidR="00F1362A" w:rsidRPr="00097A86" w14:paraId="28D30C4D" w14:textId="77777777" w:rsidTr="00C20CC2">
        <w:tblPrEx>
          <w:jc w:val="center"/>
        </w:tblPrEx>
        <w:trPr>
          <w:gridAfter w:val="1"/>
          <w:wAfter w:w="37" w:type="pct"/>
          <w:jc w:val="center"/>
        </w:trPr>
        <w:tc>
          <w:tcPr>
            <w:tcW w:w="1390" w:type="pct"/>
            <w:gridSpan w:val="2"/>
          </w:tcPr>
          <w:p w14:paraId="086382EC" w14:textId="77777777" w:rsidR="00F1362A" w:rsidRPr="00097A86" w:rsidRDefault="00F1362A" w:rsidP="006D1F60">
            <w:pPr>
              <w:pStyle w:val="ENoteTableText"/>
              <w:tabs>
                <w:tab w:val="left" w:leader="dot" w:pos="2268"/>
              </w:tabs>
            </w:pPr>
          </w:p>
        </w:tc>
        <w:tc>
          <w:tcPr>
            <w:tcW w:w="3573" w:type="pct"/>
            <w:gridSpan w:val="2"/>
          </w:tcPr>
          <w:p w14:paraId="6CA248E3" w14:textId="77777777" w:rsidR="00F1362A" w:rsidRPr="00097A86" w:rsidRDefault="00F1362A" w:rsidP="00D22D3F">
            <w:pPr>
              <w:pStyle w:val="ENoteTableText"/>
            </w:pPr>
            <w:r w:rsidRPr="00097A86">
              <w:t>rs 2010 No.</w:t>
            </w:r>
            <w:r>
              <w:t> </w:t>
            </w:r>
            <w:r w:rsidRPr="00097A86">
              <w:t>1</w:t>
            </w:r>
          </w:p>
        </w:tc>
      </w:tr>
      <w:tr w:rsidR="00F1362A" w:rsidRPr="00097A86" w14:paraId="4FA2C53C" w14:textId="77777777" w:rsidTr="00C20CC2">
        <w:tblPrEx>
          <w:jc w:val="center"/>
        </w:tblPrEx>
        <w:trPr>
          <w:gridAfter w:val="1"/>
          <w:wAfter w:w="37" w:type="pct"/>
          <w:jc w:val="center"/>
        </w:trPr>
        <w:tc>
          <w:tcPr>
            <w:tcW w:w="1390" w:type="pct"/>
            <w:gridSpan w:val="2"/>
          </w:tcPr>
          <w:p w14:paraId="438BA5BD"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4.2.4.1</w:t>
            </w:r>
          </w:p>
        </w:tc>
        <w:tc>
          <w:tcPr>
            <w:tcW w:w="3573" w:type="pct"/>
            <w:gridSpan w:val="2"/>
          </w:tcPr>
          <w:p w14:paraId="5F620D3D" w14:textId="77777777" w:rsidR="00F1362A" w:rsidRPr="00097A86" w:rsidRDefault="00F1362A" w:rsidP="00D22D3F">
            <w:pPr>
              <w:pStyle w:val="ENoteTableText"/>
            </w:pPr>
          </w:p>
        </w:tc>
      </w:tr>
      <w:tr w:rsidR="00F1362A" w:rsidRPr="00097A86" w14:paraId="4AF65520" w14:textId="77777777" w:rsidTr="00C20CC2">
        <w:tblPrEx>
          <w:jc w:val="center"/>
        </w:tblPrEx>
        <w:trPr>
          <w:gridAfter w:val="1"/>
          <w:wAfter w:w="37" w:type="pct"/>
          <w:jc w:val="center"/>
        </w:trPr>
        <w:tc>
          <w:tcPr>
            <w:tcW w:w="1390" w:type="pct"/>
            <w:gridSpan w:val="2"/>
          </w:tcPr>
          <w:p w14:paraId="3275741A" w14:textId="77777777" w:rsidR="00F1362A" w:rsidRPr="00097A86" w:rsidRDefault="00F1362A" w:rsidP="006D1F60">
            <w:pPr>
              <w:pStyle w:val="ENoteTableText"/>
              <w:tabs>
                <w:tab w:val="left" w:leader="dot" w:pos="2268"/>
              </w:tabs>
            </w:pPr>
            <w:r w:rsidRPr="00097A86">
              <w:t>s 4.28</w:t>
            </w:r>
            <w:r w:rsidRPr="00097A86">
              <w:tab/>
            </w:r>
          </w:p>
        </w:tc>
        <w:tc>
          <w:tcPr>
            <w:tcW w:w="3573" w:type="pct"/>
            <w:gridSpan w:val="2"/>
          </w:tcPr>
          <w:p w14:paraId="5EF3D319"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13CD8498" w14:textId="77777777" w:rsidTr="00C20CC2">
        <w:tblPrEx>
          <w:jc w:val="center"/>
        </w:tblPrEx>
        <w:trPr>
          <w:gridAfter w:val="1"/>
          <w:wAfter w:w="37" w:type="pct"/>
          <w:jc w:val="center"/>
        </w:trPr>
        <w:tc>
          <w:tcPr>
            <w:tcW w:w="1390" w:type="pct"/>
            <w:gridSpan w:val="2"/>
          </w:tcPr>
          <w:p w14:paraId="672C8DCE"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4.2.4.2</w:t>
            </w:r>
          </w:p>
        </w:tc>
        <w:tc>
          <w:tcPr>
            <w:tcW w:w="3573" w:type="pct"/>
            <w:gridSpan w:val="2"/>
          </w:tcPr>
          <w:p w14:paraId="3349083B" w14:textId="77777777" w:rsidR="00F1362A" w:rsidRPr="00097A86" w:rsidRDefault="00F1362A" w:rsidP="00D22D3F">
            <w:pPr>
              <w:pStyle w:val="ENoteTableText"/>
            </w:pPr>
          </w:p>
        </w:tc>
      </w:tr>
      <w:tr w:rsidR="00F1362A" w:rsidRPr="00097A86" w14:paraId="675B7200" w14:textId="77777777" w:rsidTr="00C20CC2">
        <w:tblPrEx>
          <w:jc w:val="center"/>
        </w:tblPrEx>
        <w:trPr>
          <w:gridAfter w:val="1"/>
          <w:wAfter w:w="37" w:type="pct"/>
          <w:jc w:val="center"/>
        </w:trPr>
        <w:tc>
          <w:tcPr>
            <w:tcW w:w="1390" w:type="pct"/>
            <w:gridSpan w:val="2"/>
          </w:tcPr>
          <w:p w14:paraId="4E6487CB" w14:textId="77777777" w:rsidR="00F1362A" w:rsidRPr="00097A86" w:rsidRDefault="00F1362A" w:rsidP="006D1F60">
            <w:pPr>
              <w:pStyle w:val="ENoteTableText"/>
              <w:tabs>
                <w:tab w:val="left" w:leader="dot" w:pos="2268"/>
              </w:tabs>
            </w:pPr>
            <w:r w:rsidRPr="00097A86">
              <w:t>s 4.30</w:t>
            </w:r>
            <w:r w:rsidRPr="00097A86">
              <w:tab/>
            </w:r>
          </w:p>
        </w:tc>
        <w:tc>
          <w:tcPr>
            <w:tcW w:w="3573" w:type="pct"/>
            <w:gridSpan w:val="2"/>
          </w:tcPr>
          <w:p w14:paraId="01BA6904"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61E12DBF" w14:textId="77777777" w:rsidTr="00C20CC2">
        <w:tblPrEx>
          <w:jc w:val="center"/>
        </w:tblPrEx>
        <w:trPr>
          <w:gridAfter w:val="1"/>
          <w:wAfter w:w="37" w:type="pct"/>
          <w:jc w:val="center"/>
        </w:trPr>
        <w:tc>
          <w:tcPr>
            <w:tcW w:w="1390" w:type="pct"/>
            <w:gridSpan w:val="2"/>
          </w:tcPr>
          <w:p w14:paraId="3A316902" w14:textId="77777777" w:rsidR="00F1362A" w:rsidRPr="00097A86" w:rsidRDefault="00F1362A" w:rsidP="006D1F60">
            <w:pPr>
              <w:pStyle w:val="ENoteTableText"/>
              <w:tabs>
                <w:tab w:val="left" w:leader="dot" w:pos="2268"/>
              </w:tabs>
            </w:pPr>
            <w:r w:rsidRPr="00097A86">
              <w:t>s 4.31</w:t>
            </w:r>
            <w:r w:rsidRPr="00097A86">
              <w:tab/>
            </w:r>
          </w:p>
        </w:tc>
        <w:tc>
          <w:tcPr>
            <w:tcW w:w="3573" w:type="pct"/>
            <w:gridSpan w:val="2"/>
          </w:tcPr>
          <w:p w14:paraId="149637A3" w14:textId="77777777" w:rsidR="00F1362A" w:rsidRPr="00097A86" w:rsidRDefault="00F1362A" w:rsidP="00D22D3F">
            <w:pPr>
              <w:pStyle w:val="ENoteTableText"/>
            </w:pPr>
            <w:r w:rsidRPr="00097A86">
              <w:t>am 2009 No.</w:t>
            </w:r>
            <w:r>
              <w:t> </w:t>
            </w:r>
            <w:r w:rsidRPr="00097A86">
              <w:t>1</w:t>
            </w:r>
          </w:p>
        </w:tc>
      </w:tr>
      <w:tr w:rsidR="00F1362A" w:rsidRPr="00097A86" w14:paraId="56EF8EEC" w14:textId="77777777" w:rsidTr="00C20CC2">
        <w:tblPrEx>
          <w:jc w:val="center"/>
        </w:tblPrEx>
        <w:trPr>
          <w:gridAfter w:val="1"/>
          <w:wAfter w:w="37" w:type="pct"/>
          <w:jc w:val="center"/>
        </w:trPr>
        <w:tc>
          <w:tcPr>
            <w:tcW w:w="1390" w:type="pct"/>
            <w:gridSpan w:val="2"/>
          </w:tcPr>
          <w:p w14:paraId="16A4E7CF" w14:textId="77777777" w:rsidR="00F1362A" w:rsidRPr="00097A86" w:rsidRDefault="00F1362A" w:rsidP="006D1F60">
            <w:pPr>
              <w:pStyle w:val="ENoteTableText"/>
              <w:tabs>
                <w:tab w:val="left" w:leader="dot" w:pos="2268"/>
              </w:tabs>
            </w:pPr>
          </w:p>
        </w:tc>
        <w:tc>
          <w:tcPr>
            <w:tcW w:w="3573" w:type="pct"/>
            <w:gridSpan w:val="2"/>
          </w:tcPr>
          <w:p w14:paraId="4F5DA77F" w14:textId="77777777" w:rsidR="00F1362A" w:rsidRPr="00097A86" w:rsidRDefault="00F1362A" w:rsidP="00D22D3F">
            <w:pPr>
              <w:pStyle w:val="ENoteTableText"/>
            </w:pPr>
            <w:r w:rsidRPr="00097A86">
              <w:t>rs 2010 No.</w:t>
            </w:r>
            <w:r>
              <w:t> </w:t>
            </w:r>
            <w:r w:rsidRPr="00097A86">
              <w:t>1</w:t>
            </w:r>
          </w:p>
        </w:tc>
      </w:tr>
      <w:tr w:rsidR="00F1362A" w:rsidRPr="00097A86" w14:paraId="6ECC71C1" w14:textId="77777777" w:rsidTr="00C20CC2">
        <w:tblPrEx>
          <w:jc w:val="center"/>
        </w:tblPrEx>
        <w:trPr>
          <w:gridAfter w:val="1"/>
          <w:wAfter w:w="37" w:type="pct"/>
          <w:jc w:val="center"/>
        </w:trPr>
        <w:tc>
          <w:tcPr>
            <w:tcW w:w="1390" w:type="pct"/>
            <w:gridSpan w:val="2"/>
          </w:tcPr>
          <w:p w14:paraId="3F4AE121" w14:textId="77777777" w:rsidR="00F1362A" w:rsidRPr="00097A86" w:rsidRDefault="00F1362A" w:rsidP="006D1F60">
            <w:pPr>
              <w:pStyle w:val="ENoteTableText"/>
              <w:tabs>
                <w:tab w:val="left" w:leader="dot" w:pos="2268"/>
              </w:tabs>
            </w:pPr>
          </w:p>
        </w:tc>
        <w:tc>
          <w:tcPr>
            <w:tcW w:w="3573" w:type="pct"/>
            <w:gridSpan w:val="2"/>
          </w:tcPr>
          <w:p w14:paraId="36AB9052" w14:textId="77777777" w:rsidR="00F1362A" w:rsidRPr="00097A86" w:rsidRDefault="00F1362A" w:rsidP="00D22D3F">
            <w:pPr>
              <w:pStyle w:val="ENoteTableText"/>
            </w:pPr>
            <w:r w:rsidRPr="00097A86">
              <w:t>am 2011 No.</w:t>
            </w:r>
            <w:r>
              <w:t> </w:t>
            </w:r>
            <w:r w:rsidRPr="00097A86">
              <w:t>1; 2012 No.</w:t>
            </w:r>
            <w:r>
              <w:t> </w:t>
            </w:r>
            <w:r w:rsidRPr="00097A86">
              <w:t>1</w:t>
            </w:r>
          </w:p>
        </w:tc>
      </w:tr>
      <w:tr w:rsidR="00F1362A" w:rsidRPr="00097A86" w14:paraId="41C3508C" w14:textId="77777777" w:rsidTr="00C20CC2">
        <w:tblPrEx>
          <w:jc w:val="center"/>
        </w:tblPrEx>
        <w:trPr>
          <w:gridAfter w:val="1"/>
          <w:wAfter w:w="37" w:type="pct"/>
          <w:jc w:val="center"/>
        </w:trPr>
        <w:tc>
          <w:tcPr>
            <w:tcW w:w="1390" w:type="pct"/>
            <w:gridSpan w:val="2"/>
          </w:tcPr>
          <w:p w14:paraId="3434DC65" w14:textId="77777777" w:rsidR="00F1362A" w:rsidRPr="00097A86" w:rsidRDefault="00F1362A" w:rsidP="006D1F60">
            <w:pPr>
              <w:pStyle w:val="ENoteTableText"/>
              <w:tabs>
                <w:tab w:val="left" w:leader="dot" w:pos="2268"/>
              </w:tabs>
            </w:pPr>
            <w:r w:rsidRPr="00097A86">
              <w:t>s 4.32</w:t>
            </w:r>
            <w:r w:rsidRPr="00097A86">
              <w:tab/>
            </w:r>
          </w:p>
        </w:tc>
        <w:tc>
          <w:tcPr>
            <w:tcW w:w="3573" w:type="pct"/>
            <w:gridSpan w:val="2"/>
          </w:tcPr>
          <w:p w14:paraId="6AF7DC17" w14:textId="77777777" w:rsidR="00F1362A" w:rsidRPr="00097A86" w:rsidRDefault="00F1362A" w:rsidP="00D22D3F">
            <w:pPr>
              <w:pStyle w:val="ENoteTableText"/>
            </w:pPr>
            <w:r w:rsidRPr="00097A86">
              <w:t>rs 2010 No.</w:t>
            </w:r>
            <w:r>
              <w:t> </w:t>
            </w:r>
            <w:r w:rsidRPr="00097A86">
              <w:t>1</w:t>
            </w:r>
          </w:p>
        </w:tc>
      </w:tr>
      <w:tr w:rsidR="00F1362A" w:rsidRPr="00097A86" w14:paraId="7BFC369F" w14:textId="77777777" w:rsidTr="00C20CC2">
        <w:tblPrEx>
          <w:jc w:val="center"/>
        </w:tblPrEx>
        <w:trPr>
          <w:gridAfter w:val="1"/>
          <w:wAfter w:w="37" w:type="pct"/>
          <w:jc w:val="center"/>
        </w:trPr>
        <w:tc>
          <w:tcPr>
            <w:tcW w:w="1390" w:type="pct"/>
            <w:gridSpan w:val="2"/>
          </w:tcPr>
          <w:p w14:paraId="7CF5DDCD" w14:textId="77777777" w:rsidR="00F1362A" w:rsidRPr="00097A86" w:rsidRDefault="00F1362A" w:rsidP="006D1F60">
            <w:pPr>
              <w:pStyle w:val="ENoteTableText"/>
              <w:tabs>
                <w:tab w:val="left" w:leader="dot" w:pos="2268"/>
              </w:tabs>
            </w:pPr>
          </w:p>
        </w:tc>
        <w:tc>
          <w:tcPr>
            <w:tcW w:w="3573" w:type="pct"/>
            <w:gridSpan w:val="2"/>
          </w:tcPr>
          <w:p w14:paraId="7F4B0498" w14:textId="77777777" w:rsidR="00F1362A" w:rsidRPr="00097A86" w:rsidRDefault="00F1362A" w:rsidP="00D22D3F">
            <w:pPr>
              <w:pStyle w:val="ENoteTableText"/>
            </w:pPr>
            <w:r w:rsidRPr="00097A86">
              <w:t>am 2011 No.</w:t>
            </w:r>
            <w:r>
              <w:t> </w:t>
            </w:r>
            <w:r w:rsidRPr="00097A86">
              <w:t>1; 2012 No.</w:t>
            </w:r>
            <w:r>
              <w:t> </w:t>
            </w:r>
            <w:r w:rsidRPr="00097A86">
              <w:t>1</w:t>
            </w:r>
          </w:p>
        </w:tc>
      </w:tr>
      <w:tr w:rsidR="00F1362A" w:rsidRPr="00097A86" w14:paraId="75C0017E" w14:textId="77777777" w:rsidTr="00C20CC2">
        <w:tblPrEx>
          <w:jc w:val="center"/>
        </w:tblPrEx>
        <w:trPr>
          <w:gridAfter w:val="1"/>
          <w:wAfter w:w="37" w:type="pct"/>
          <w:jc w:val="center"/>
        </w:trPr>
        <w:tc>
          <w:tcPr>
            <w:tcW w:w="1390" w:type="pct"/>
            <w:gridSpan w:val="2"/>
          </w:tcPr>
          <w:p w14:paraId="15C87843" w14:textId="77777777" w:rsidR="00F1362A" w:rsidRPr="00097A86" w:rsidRDefault="00F1362A" w:rsidP="006D1F60">
            <w:pPr>
              <w:pStyle w:val="ENoteTableText"/>
              <w:tabs>
                <w:tab w:val="left" w:leader="dot" w:pos="2268"/>
              </w:tabs>
            </w:pPr>
            <w:r w:rsidRPr="00097A86">
              <w:t>s 4.33</w:t>
            </w:r>
            <w:r w:rsidRPr="00097A86">
              <w:tab/>
            </w:r>
          </w:p>
        </w:tc>
        <w:tc>
          <w:tcPr>
            <w:tcW w:w="3573" w:type="pct"/>
            <w:gridSpan w:val="2"/>
          </w:tcPr>
          <w:p w14:paraId="46BA579D" w14:textId="77777777" w:rsidR="00F1362A" w:rsidRPr="00097A86" w:rsidRDefault="00F1362A" w:rsidP="00D22D3F">
            <w:pPr>
              <w:pStyle w:val="ENoteTableText"/>
            </w:pPr>
            <w:r w:rsidRPr="00097A86">
              <w:t>rs 2010 No.</w:t>
            </w:r>
            <w:r>
              <w:t> </w:t>
            </w:r>
            <w:r w:rsidRPr="00097A86">
              <w:t>1</w:t>
            </w:r>
          </w:p>
        </w:tc>
      </w:tr>
      <w:tr w:rsidR="00F1362A" w:rsidRPr="00097A86" w14:paraId="30B2860E" w14:textId="77777777" w:rsidTr="00C20CC2">
        <w:tblPrEx>
          <w:jc w:val="center"/>
        </w:tblPrEx>
        <w:trPr>
          <w:gridAfter w:val="1"/>
          <w:wAfter w:w="37" w:type="pct"/>
          <w:jc w:val="center"/>
        </w:trPr>
        <w:tc>
          <w:tcPr>
            <w:tcW w:w="1390" w:type="pct"/>
            <w:gridSpan w:val="2"/>
          </w:tcPr>
          <w:p w14:paraId="62062858" w14:textId="77777777" w:rsidR="00F1362A" w:rsidRPr="00097A86" w:rsidRDefault="00F1362A" w:rsidP="006D1F60">
            <w:pPr>
              <w:pStyle w:val="ENoteTableText"/>
              <w:tabs>
                <w:tab w:val="left" w:leader="dot" w:pos="2268"/>
              </w:tabs>
            </w:pPr>
          </w:p>
        </w:tc>
        <w:tc>
          <w:tcPr>
            <w:tcW w:w="3573" w:type="pct"/>
            <w:gridSpan w:val="2"/>
          </w:tcPr>
          <w:p w14:paraId="2146B5A0" w14:textId="77777777" w:rsidR="00F1362A" w:rsidRPr="00097A86" w:rsidRDefault="00F1362A" w:rsidP="00D22D3F">
            <w:pPr>
              <w:pStyle w:val="ENoteTableText"/>
            </w:pPr>
            <w:r w:rsidRPr="00097A86">
              <w:t>am 2011 No.</w:t>
            </w:r>
            <w:r>
              <w:t> </w:t>
            </w:r>
            <w:r w:rsidRPr="00097A86">
              <w:t>1</w:t>
            </w:r>
          </w:p>
        </w:tc>
      </w:tr>
      <w:tr w:rsidR="00F1362A" w:rsidRPr="00097A86" w14:paraId="194DC414" w14:textId="77777777" w:rsidTr="00C20CC2">
        <w:tblPrEx>
          <w:jc w:val="center"/>
        </w:tblPrEx>
        <w:trPr>
          <w:gridAfter w:val="1"/>
          <w:wAfter w:w="37" w:type="pct"/>
          <w:jc w:val="center"/>
        </w:trPr>
        <w:tc>
          <w:tcPr>
            <w:tcW w:w="1390" w:type="pct"/>
            <w:gridSpan w:val="2"/>
          </w:tcPr>
          <w:p w14:paraId="4BCD9323"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4.2.5</w:t>
            </w:r>
          </w:p>
        </w:tc>
        <w:tc>
          <w:tcPr>
            <w:tcW w:w="3573" w:type="pct"/>
            <w:gridSpan w:val="2"/>
          </w:tcPr>
          <w:p w14:paraId="28928D91" w14:textId="77777777" w:rsidR="00F1362A" w:rsidRPr="00097A86" w:rsidRDefault="00F1362A" w:rsidP="00D22D3F">
            <w:pPr>
              <w:pStyle w:val="ENoteTableText"/>
            </w:pPr>
          </w:p>
        </w:tc>
      </w:tr>
      <w:tr w:rsidR="00F1362A" w:rsidRPr="00097A86" w14:paraId="117DE5A2" w14:textId="77777777" w:rsidTr="00C20CC2">
        <w:tblPrEx>
          <w:jc w:val="center"/>
        </w:tblPrEx>
        <w:trPr>
          <w:gridAfter w:val="1"/>
          <w:wAfter w:w="37" w:type="pct"/>
          <w:jc w:val="center"/>
        </w:trPr>
        <w:tc>
          <w:tcPr>
            <w:tcW w:w="1390" w:type="pct"/>
            <w:gridSpan w:val="2"/>
          </w:tcPr>
          <w:p w14:paraId="5767E2EB" w14:textId="77777777" w:rsidR="00F1362A" w:rsidRPr="00097A86" w:rsidRDefault="00F1362A" w:rsidP="006D1F60">
            <w:pPr>
              <w:pStyle w:val="ENoteTableText"/>
              <w:tabs>
                <w:tab w:val="left" w:leader="dot" w:pos="2268"/>
              </w:tabs>
            </w:pPr>
            <w:r w:rsidRPr="00097A86">
              <w:t>s 4.34</w:t>
            </w:r>
            <w:r w:rsidRPr="00097A86">
              <w:tab/>
            </w:r>
          </w:p>
        </w:tc>
        <w:tc>
          <w:tcPr>
            <w:tcW w:w="3573" w:type="pct"/>
            <w:gridSpan w:val="2"/>
          </w:tcPr>
          <w:p w14:paraId="47793F4A" w14:textId="77777777" w:rsidR="00F1362A" w:rsidRPr="00097A86" w:rsidRDefault="00F1362A" w:rsidP="00D22D3F">
            <w:pPr>
              <w:pStyle w:val="ENoteTableText"/>
            </w:pPr>
            <w:r w:rsidRPr="00097A86">
              <w:t>am 2012 No.</w:t>
            </w:r>
            <w:r>
              <w:t> </w:t>
            </w:r>
            <w:r w:rsidRPr="00097A86">
              <w:t>1</w:t>
            </w:r>
          </w:p>
        </w:tc>
      </w:tr>
      <w:tr w:rsidR="00F1362A" w:rsidRPr="00097A86" w14:paraId="3CC4C6AD" w14:textId="77777777" w:rsidTr="00C20CC2">
        <w:tblPrEx>
          <w:jc w:val="center"/>
        </w:tblPrEx>
        <w:trPr>
          <w:gridAfter w:val="1"/>
          <w:wAfter w:w="37" w:type="pct"/>
          <w:jc w:val="center"/>
        </w:trPr>
        <w:tc>
          <w:tcPr>
            <w:tcW w:w="1390" w:type="pct"/>
            <w:gridSpan w:val="2"/>
          </w:tcPr>
          <w:p w14:paraId="25DF32F9" w14:textId="77777777" w:rsidR="00F1362A" w:rsidRPr="00097A86" w:rsidRDefault="00F1362A" w:rsidP="006D1F60">
            <w:pPr>
              <w:pStyle w:val="ENoteTableText"/>
              <w:tabs>
                <w:tab w:val="left" w:leader="dot" w:pos="2268"/>
              </w:tabs>
            </w:pPr>
            <w:r w:rsidRPr="00097A86">
              <w:t>s 4.35</w:t>
            </w:r>
            <w:r w:rsidRPr="00097A86">
              <w:tab/>
            </w:r>
          </w:p>
        </w:tc>
        <w:tc>
          <w:tcPr>
            <w:tcW w:w="3573" w:type="pct"/>
            <w:gridSpan w:val="2"/>
          </w:tcPr>
          <w:p w14:paraId="7EB339FE" w14:textId="77777777" w:rsidR="00F1362A" w:rsidRPr="00097A86" w:rsidRDefault="00F1362A" w:rsidP="00D22D3F">
            <w:pPr>
              <w:pStyle w:val="ENoteTableText"/>
            </w:pPr>
            <w:r w:rsidRPr="00097A86">
              <w:t>am 2009 No.</w:t>
            </w:r>
            <w:r>
              <w:t> </w:t>
            </w:r>
            <w:r w:rsidRPr="00097A86">
              <w:t>1</w:t>
            </w:r>
          </w:p>
        </w:tc>
      </w:tr>
      <w:tr w:rsidR="00F1362A" w:rsidRPr="00097A86" w14:paraId="5EE5D41E" w14:textId="77777777" w:rsidTr="00C20CC2">
        <w:tblPrEx>
          <w:jc w:val="center"/>
        </w:tblPrEx>
        <w:trPr>
          <w:gridAfter w:val="1"/>
          <w:wAfter w:w="37" w:type="pct"/>
          <w:jc w:val="center"/>
        </w:trPr>
        <w:tc>
          <w:tcPr>
            <w:tcW w:w="1390" w:type="pct"/>
            <w:gridSpan w:val="2"/>
          </w:tcPr>
          <w:p w14:paraId="6406A8FF" w14:textId="77777777" w:rsidR="00F1362A" w:rsidRPr="00097A86" w:rsidRDefault="00F1362A" w:rsidP="006D1F60">
            <w:pPr>
              <w:pStyle w:val="ENoteTableText"/>
              <w:tabs>
                <w:tab w:val="left" w:leader="dot" w:pos="2268"/>
              </w:tabs>
            </w:pPr>
            <w:r w:rsidRPr="00097A86">
              <w:t>s 4.38</w:t>
            </w:r>
            <w:r w:rsidRPr="00097A86">
              <w:tab/>
            </w:r>
          </w:p>
        </w:tc>
        <w:tc>
          <w:tcPr>
            <w:tcW w:w="3573" w:type="pct"/>
            <w:gridSpan w:val="2"/>
          </w:tcPr>
          <w:p w14:paraId="6E8E29C8" w14:textId="77777777" w:rsidR="00F1362A" w:rsidRPr="00097A86" w:rsidRDefault="00F1362A" w:rsidP="00D22D3F">
            <w:pPr>
              <w:pStyle w:val="ENoteTableText"/>
            </w:pPr>
            <w:r w:rsidRPr="00097A86">
              <w:t>am 2009 No.</w:t>
            </w:r>
            <w:r>
              <w:t> </w:t>
            </w:r>
            <w:r w:rsidRPr="00097A86">
              <w:t>1</w:t>
            </w:r>
          </w:p>
        </w:tc>
      </w:tr>
      <w:tr w:rsidR="00F1362A" w:rsidRPr="00097A86" w14:paraId="33D8206E" w14:textId="77777777" w:rsidTr="00C20CC2">
        <w:tblPrEx>
          <w:jc w:val="center"/>
        </w:tblPrEx>
        <w:trPr>
          <w:gridAfter w:val="1"/>
          <w:wAfter w:w="37" w:type="pct"/>
          <w:jc w:val="center"/>
        </w:trPr>
        <w:tc>
          <w:tcPr>
            <w:tcW w:w="1390" w:type="pct"/>
            <w:gridSpan w:val="2"/>
          </w:tcPr>
          <w:p w14:paraId="3207637B" w14:textId="77777777" w:rsidR="00F1362A" w:rsidRPr="00097A86" w:rsidRDefault="00F1362A" w:rsidP="006D1F60">
            <w:pPr>
              <w:pStyle w:val="ENoteTableText"/>
              <w:tabs>
                <w:tab w:val="left" w:leader="dot" w:pos="2268"/>
              </w:tabs>
            </w:pPr>
            <w:r w:rsidRPr="00097A86">
              <w:rPr>
                <w:b/>
              </w:rPr>
              <w:t>Part</w:t>
            </w:r>
            <w:r>
              <w:rPr>
                <w:b/>
              </w:rPr>
              <w:t> </w:t>
            </w:r>
            <w:r w:rsidRPr="00097A86">
              <w:rPr>
                <w:b/>
              </w:rPr>
              <w:t>4.3</w:t>
            </w:r>
          </w:p>
        </w:tc>
        <w:tc>
          <w:tcPr>
            <w:tcW w:w="3573" w:type="pct"/>
            <w:gridSpan w:val="2"/>
          </w:tcPr>
          <w:p w14:paraId="608044B1" w14:textId="77777777" w:rsidR="00F1362A" w:rsidRPr="00097A86" w:rsidRDefault="00F1362A" w:rsidP="00D22D3F">
            <w:pPr>
              <w:pStyle w:val="ENoteTableText"/>
            </w:pPr>
          </w:p>
        </w:tc>
      </w:tr>
      <w:tr w:rsidR="00F1362A" w:rsidRPr="00097A86" w14:paraId="0FB1218F" w14:textId="77777777" w:rsidTr="00C20CC2">
        <w:tblPrEx>
          <w:jc w:val="center"/>
        </w:tblPrEx>
        <w:trPr>
          <w:gridAfter w:val="1"/>
          <w:wAfter w:w="37" w:type="pct"/>
          <w:jc w:val="center"/>
        </w:trPr>
        <w:tc>
          <w:tcPr>
            <w:tcW w:w="1390" w:type="pct"/>
            <w:gridSpan w:val="2"/>
          </w:tcPr>
          <w:p w14:paraId="0560E58B"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4.3.1</w:t>
            </w:r>
          </w:p>
        </w:tc>
        <w:tc>
          <w:tcPr>
            <w:tcW w:w="3573" w:type="pct"/>
            <w:gridSpan w:val="2"/>
          </w:tcPr>
          <w:p w14:paraId="7152C735" w14:textId="77777777" w:rsidR="00F1362A" w:rsidRPr="00097A86" w:rsidRDefault="00F1362A" w:rsidP="00D22D3F">
            <w:pPr>
              <w:pStyle w:val="ENoteTableText"/>
            </w:pPr>
          </w:p>
        </w:tc>
      </w:tr>
      <w:tr w:rsidR="00F1362A" w:rsidRPr="00097A86" w14:paraId="4C495917" w14:textId="77777777" w:rsidTr="00C20CC2">
        <w:tblPrEx>
          <w:jc w:val="center"/>
        </w:tblPrEx>
        <w:trPr>
          <w:gridAfter w:val="1"/>
          <w:wAfter w:w="37" w:type="pct"/>
          <w:jc w:val="center"/>
        </w:trPr>
        <w:tc>
          <w:tcPr>
            <w:tcW w:w="1390" w:type="pct"/>
            <w:gridSpan w:val="2"/>
          </w:tcPr>
          <w:p w14:paraId="1961349B" w14:textId="77777777" w:rsidR="00F1362A" w:rsidRPr="00097A86" w:rsidRDefault="00F1362A" w:rsidP="006D1F60">
            <w:pPr>
              <w:pStyle w:val="ENoteTableText"/>
              <w:tabs>
                <w:tab w:val="left" w:leader="dot" w:pos="2268"/>
              </w:tabs>
            </w:pPr>
            <w:r w:rsidRPr="00097A86">
              <w:t>s 4.40</w:t>
            </w:r>
            <w:r w:rsidRPr="00097A86">
              <w:tab/>
            </w:r>
          </w:p>
        </w:tc>
        <w:tc>
          <w:tcPr>
            <w:tcW w:w="3573" w:type="pct"/>
            <w:gridSpan w:val="2"/>
          </w:tcPr>
          <w:p w14:paraId="412BE6FD" w14:textId="77777777" w:rsidR="00F1362A" w:rsidRPr="00097A86" w:rsidRDefault="00F1362A" w:rsidP="00D22D3F">
            <w:pPr>
              <w:pStyle w:val="ENoteTableText"/>
            </w:pPr>
            <w:r w:rsidRPr="00097A86">
              <w:t>am 2009 No.</w:t>
            </w:r>
            <w:r>
              <w:t> </w:t>
            </w:r>
            <w:r w:rsidRPr="00097A86">
              <w:t>1</w:t>
            </w:r>
          </w:p>
        </w:tc>
      </w:tr>
      <w:tr w:rsidR="00F1362A" w:rsidRPr="00097A86" w14:paraId="3FF08839" w14:textId="77777777" w:rsidTr="00C20CC2">
        <w:tblPrEx>
          <w:jc w:val="center"/>
        </w:tblPrEx>
        <w:trPr>
          <w:gridAfter w:val="1"/>
          <w:wAfter w:w="37" w:type="pct"/>
          <w:jc w:val="center"/>
        </w:trPr>
        <w:tc>
          <w:tcPr>
            <w:tcW w:w="1390" w:type="pct"/>
            <w:gridSpan w:val="2"/>
          </w:tcPr>
          <w:p w14:paraId="34EBB7C0" w14:textId="77777777" w:rsidR="00F1362A" w:rsidRPr="00097A86" w:rsidRDefault="00F1362A" w:rsidP="006D1F60">
            <w:pPr>
              <w:pStyle w:val="ENoteTableText"/>
              <w:tabs>
                <w:tab w:val="left" w:leader="dot" w:pos="2268"/>
              </w:tabs>
            </w:pPr>
            <w:r w:rsidRPr="00097A86">
              <w:t>s 4.41</w:t>
            </w:r>
            <w:r w:rsidRPr="00097A86">
              <w:tab/>
            </w:r>
          </w:p>
        </w:tc>
        <w:tc>
          <w:tcPr>
            <w:tcW w:w="3573" w:type="pct"/>
            <w:gridSpan w:val="2"/>
          </w:tcPr>
          <w:p w14:paraId="51F505E8" w14:textId="77777777" w:rsidR="00F1362A" w:rsidRPr="00097A86" w:rsidRDefault="00F1362A" w:rsidP="00D22D3F">
            <w:pPr>
              <w:pStyle w:val="ENoteTableText"/>
            </w:pPr>
            <w:r w:rsidRPr="00097A86">
              <w:t>am 2009 No.</w:t>
            </w:r>
            <w:r>
              <w:t> </w:t>
            </w:r>
            <w:r w:rsidRPr="00097A86">
              <w:t>1</w:t>
            </w:r>
          </w:p>
        </w:tc>
      </w:tr>
      <w:tr w:rsidR="00F1362A" w:rsidRPr="00097A86" w14:paraId="48199322" w14:textId="77777777" w:rsidTr="00C20CC2">
        <w:tblPrEx>
          <w:jc w:val="center"/>
        </w:tblPrEx>
        <w:trPr>
          <w:gridAfter w:val="1"/>
          <w:wAfter w:w="37" w:type="pct"/>
          <w:jc w:val="center"/>
        </w:trPr>
        <w:tc>
          <w:tcPr>
            <w:tcW w:w="1390" w:type="pct"/>
            <w:gridSpan w:val="2"/>
          </w:tcPr>
          <w:p w14:paraId="09A6BE9D" w14:textId="77777777" w:rsidR="00F1362A" w:rsidRPr="00097A86" w:rsidRDefault="00F1362A" w:rsidP="006D1F60">
            <w:pPr>
              <w:pStyle w:val="ENoteTableText"/>
              <w:tabs>
                <w:tab w:val="left" w:leader="dot" w:pos="2268"/>
              </w:tabs>
            </w:pPr>
            <w:r w:rsidRPr="00097A86">
              <w:t>s 4.42</w:t>
            </w:r>
            <w:r w:rsidRPr="00097A86">
              <w:tab/>
            </w:r>
          </w:p>
        </w:tc>
        <w:tc>
          <w:tcPr>
            <w:tcW w:w="3573" w:type="pct"/>
            <w:gridSpan w:val="2"/>
          </w:tcPr>
          <w:p w14:paraId="5CEB4096" w14:textId="77777777" w:rsidR="00F1362A" w:rsidRPr="00097A86" w:rsidRDefault="00F1362A" w:rsidP="00D22D3F">
            <w:pPr>
              <w:pStyle w:val="ENoteTableText"/>
            </w:pPr>
            <w:r w:rsidRPr="00097A86">
              <w:t>am 2009 No.</w:t>
            </w:r>
            <w:r>
              <w:t> </w:t>
            </w:r>
            <w:r w:rsidRPr="00097A86">
              <w:t>1; 2014 No.</w:t>
            </w:r>
            <w:r>
              <w:t> </w:t>
            </w:r>
            <w:r w:rsidRPr="00097A86">
              <w:t>1</w:t>
            </w:r>
          </w:p>
        </w:tc>
      </w:tr>
      <w:tr w:rsidR="00F1362A" w:rsidRPr="00097A86" w14:paraId="43D98604" w14:textId="77777777" w:rsidTr="00C20CC2">
        <w:tblPrEx>
          <w:jc w:val="center"/>
        </w:tblPrEx>
        <w:trPr>
          <w:gridAfter w:val="1"/>
          <w:wAfter w:w="37" w:type="pct"/>
          <w:jc w:val="center"/>
        </w:trPr>
        <w:tc>
          <w:tcPr>
            <w:tcW w:w="1390" w:type="pct"/>
            <w:gridSpan w:val="2"/>
          </w:tcPr>
          <w:p w14:paraId="182E549F" w14:textId="77777777" w:rsidR="00F1362A" w:rsidRPr="00097A86" w:rsidRDefault="00F1362A" w:rsidP="006D1F60">
            <w:pPr>
              <w:pStyle w:val="ENoteTableText"/>
              <w:tabs>
                <w:tab w:val="left" w:leader="dot" w:pos="2268"/>
              </w:tabs>
            </w:pPr>
            <w:r w:rsidRPr="00097A86">
              <w:lastRenderedPageBreak/>
              <w:t>s 4.43</w:t>
            </w:r>
            <w:r w:rsidRPr="00097A86">
              <w:tab/>
            </w:r>
          </w:p>
        </w:tc>
        <w:tc>
          <w:tcPr>
            <w:tcW w:w="3573" w:type="pct"/>
            <w:gridSpan w:val="2"/>
          </w:tcPr>
          <w:p w14:paraId="4471265D" w14:textId="77777777" w:rsidR="00F1362A" w:rsidRPr="00097A86" w:rsidRDefault="00F1362A" w:rsidP="00D22D3F">
            <w:pPr>
              <w:pStyle w:val="ENoteTableText"/>
            </w:pPr>
            <w:r w:rsidRPr="00097A86">
              <w:t>rs 2010 No.</w:t>
            </w:r>
            <w:r>
              <w:t> </w:t>
            </w:r>
            <w:r w:rsidRPr="00097A86">
              <w:t>1</w:t>
            </w:r>
          </w:p>
        </w:tc>
      </w:tr>
      <w:tr w:rsidR="00F1362A" w:rsidRPr="00097A86" w14:paraId="19B49214" w14:textId="77777777" w:rsidTr="00C20CC2">
        <w:tblPrEx>
          <w:jc w:val="center"/>
        </w:tblPrEx>
        <w:trPr>
          <w:gridAfter w:val="1"/>
          <w:wAfter w:w="37" w:type="pct"/>
          <w:jc w:val="center"/>
        </w:trPr>
        <w:tc>
          <w:tcPr>
            <w:tcW w:w="1390" w:type="pct"/>
            <w:gridSpan w:val="2"/>
          </w:tcPr>
          <w:p w14:paraId="0AF72531" w14:textId="77777777" w:rsidR="00F1362A" w:rsidRPr="00097A86" w:rsidRDefault="00F1362A" w:rsidP="006D1F60">
            <w:pPr>
              <w:pStyle w:val="ENoteTableText"/>
              <w:tabs>
                <w:tab w:val="left" w:leader="dot" w:pos="2268"/>
              </w:tabs>
            </w:pPr>
          </w:p>
        </w:tc>
        <w:tc>
          <w:tcPr>
            <w:tcW w:w="3573" w:type="pct"/>
            <w:gridSpan w:val="2"/>
          </w:tcPr>
          <w:p w14:paraId="465A8531" w14:textId="77777777" w:rsidR="00F1362A" w:rsidRPr="00097A86" w:rsidRDefault="00F1362A" w:rsidP="00D22D3F">
            <w:pPr>
              <w:pStyle w:val="ENoteTableText"/>
            </w:pPr>
            <w:r w:rsidRPr="00097A86">
              <w:t>am 2012 No.</w:t>
            </w:r>
            <w:r>
              <w:t> </w:t>
            </w:r>
            <w:r w:rsidRPr="00097A86">
              <w:t>1; 2014 No.</w:t>
            </w:r>
            <w:r>
              <w:t> </w:t>
            </w:r>
            <w:r w:rsidRPr="00097A86">
              <w:t>1</w:t>
            </w:r>
          </w:p>
        </w:tc>
      </w:tr>
      <w:tr w:rsidR="00F1362A" w:rsidRPr="00097A86" w14:paraId="61587292" w14:textId="77777777" w:rsidTr="00C20CC2">
        <w:tblPrEx>
          <w:jc w:val="center"/>
        </w:tblPrEx>
        <w:trPr>
          <w:gridAfter w:val="1"/>
          <w:wAfter w:w="37" w:type="pct"/>
          <w:jc w:val="center"/>
        </w:trPr>
        <w:tc>
          <w:tcPr>
            <w:tcW w:w="1390" w:type="pct"/>
            <w:gridSpan w:val="2"/>
          </w:tcPr>
          <w:p w14:paraId="3F54C49C" w14:textId="77777777" w:rsidR="00F1362A" w:rsidRPr="00097A86" w:rsidRDefault="00F1362A" w:rsidP="006D1F60">
            <w:pPr>
              <w:pStyle w:val="ENoteTableText"/>
              <w:tabs>
                <w:tab w:val="left" w:leader="dot" w:pos="2268"/>
              </w:tabs>
            </w:pPr>
            <w:r w:rsidRPr="00097A86">
              <w:t>s 4.44</w:t>
            </w:r>
            <w:r w:rsidRPr="00097A86">
              <w:tab/>
            </w:r>
          </w:p>
        </w:tc>
        <w:tc>
          <w:tcPr>
            <w:tcW w:w="3573" w:type="pct"/>
            <w:gridSpan w:val="2"/>
          </w:tcPr>
          <w:p w14:paraId="3207691E" w14:textId="77777777" w:rsidR="00F1362A" w:rsidRPr="00097A86" w:rsidRDefault="00F1362A" w:rsidP="00D22D3F">
            <w:pPr>
              <w:pStyle w:val="ENoteTableText"/>
            </w:pPr>
            <w:r w:rsidRPr="00097A86">
              <w:t>rs 2010 No.</w:t>
            </w:r>
            <w:r>
              <w:t> </w:t>
            </w:r>
            <w:r w:rsidRPr="00097A86">
              <w:t>1</w:t>
            </w:r>
          </w:p>
        </w:tc>
      </w:tr>
      <w:tr w:rsidR="00F1362A" w:rsidRPr="00097A86" w14:paraId="727FAA14" w14:textId="77777777" w:rsidTr="00C20CC2">
        <w:tblPrEx>
          <w:jc w:val="center"/>
        </w:tblPrEx>
        <w:trPr>
          <w:gridAfter w:val="1"/>
          <w:wAfter w:w="37" w:type="pct"/>
          <w:jc w:val="center"/>
        </w:trPr>
        <w:tc>
          <w:tcPr>
            <w:tcW w:w="1390" w:type="pct"/>
            <w:gridSpan w:val="2"/>
          </w:tcPr>
          <w:p w14:paraId="1930409B"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4.3.2</w:t>
            </w:r>
          </w:p>
        </w:tc>
        <w:tc>
          <w:tcPr>
            <w:tcW w:w="3573" w:type="pct"/>
            <w:gridSpan w:val="2"/>
          </w:tcPr>
          <w:p w14:paraId="6B2B2D8F" w14:textId="77777777" w:rsidR="00F1362A" w:rsidRPr="00097A86" w:rsidRDefault="00F1362A" w:rsidP="00D22D3F">
            <w:pPr>
              <w:pStyle w:val="ENoteTableText"/>
            </w:pPr>
          </w:p>
        </w:tc>
      </w:tr>
      <w:tr w:rsidR="00F1362A" w:rsidRPr="00097A86" w14:paraId="4E075273" w14:textId="77777777" w:rsidTr="00C20CC2">
        <w:tblPrEx>
          <w:jc w:val="center"/>
        </w:tblPrEx>
        <w:trPr>
          <w:gridAfter w:val="1"/>
          <w:wAfter w:w="37" w:type="pct"/>
          <w:jc w:val="center"/>
        </w:trPr>
        <w:tc>
          <w:tcPr>
            <w:tcW w:w="1390" w:type="pct"/>
            <w:gridSpan w:val="2"/>
          </w:tcPr>
          <w:p w14:paraId="26ACA718" w14:textId="77777777" w:rsidR="00F1362A" w:rsidRPr="00097A86" w:rsidRDefault="00F1362A" w:rsidP="006D1F60">
            <w:pPr>
              <w:pStyle w:val="ENoteTableText"/>
              <w:tabs>
                <w:tab w:val="left" w:leader="dot" w:pos="2268"/>
              </w:tabs>
            </w:pPr>
            <w:r w:rsidRPr="00097A86">
              <w:t>s 4.45</w:t>
            </w:r>
            <w:r w:rsidRPr="00097A86">
              <w:tab/>
            </w:r>
          </w:p>
        </w:tc>
        <w:tc>
          <w:tcPr>
            <w:tcW w:w="3573" w:type="pct"/>
            <w:gridSpan w:val="2"/>
          </w:tcPr>
          <w:p w14:paraId="489317DD" w14:textId="77777777" w:rsidR="00F1362A" w:rsidRPr="00097A86" w:rsidRDefault="00F1362A" w:rsidP="00D22D3F">
            <w:pPr>
              <w:pStyle w:val="ENoteTableText"/>
            </w:pPr>
            <w:r w:rsidRPr="00097A86">
              <w:t>am 2009 No.</w:t>
            </w:r>
            <w:r>
              <w:t> </w:t>
            </w:r>
            <w:r w:rsidRPr="00097A86">
              <w:t>1</w:t>
            </w:r>
          </w:p>
        </w:tc>
      </w:tr>
      <w:tr w:rsidR="00F1362A" w:rsidRPr="00097A86" w14:paraId="7AF40966" w14:textId="77777777" w:rsidTr="00C20CC2">
        <w:tblPrEx>
          <w:jc w:val="center"/>
        </w:tblPrEx>
        <w:trPr>
          <w:gridAfter w:val="1"/>
          <w:wAfter w:w="37" w:type="pct"/>
          <w:jc w:val="center"/>
        </w:trPr>
        <w:tc>
          <w:tcPr>
            <w:tcW w:w="1390" w:type="pct"/>
            <w:gridSpan w:val="2"/>
          </w:tcPr>
          <w:p w14:paraId="09F2E577" w14:textId="77777777" w:rsidR="00F1362A" w:rsidRPr="00097A86" w:rsidRDefault="00F1362A" w:rsidP="006D1F60">
            <w:pPr>
              <w:pStyle w:val="ENoteTableText"/>
              <w:tabs>
                <w:tab w:val="left" w:leader="dot" w:pos="2268"/>
              </w:tabs>
            </w:pPr>
            <w:r w:rsidRPr="00097A86">
              <w:t>s 4.46</w:t>
            </w:r>
            <w:r w:rsidRPr="00097A86">
              <w:tab/>
            </w:r>
          </w:p>
        </w:tc>
        <w:tc>
          <w:tcPr>
            <w:tcW w:w="3573" w:type="pct"/>
            <w:gridSpan w:val="2"/>
          </w:tcPr>
          <w:p w14:paraId="4659B7FC" w14:textId="77777777" w:rsidR="00F1362A" w:rsidRPr="00097A86" w:rsidRDefault="00F1362A" w:rsidP="00D22D3F">
            <w:pPr>
              <w:pStyle w:val="ENoteTableText"/>
            </w:pPr>
            <w:r w:rsidRPr="00097A86">
              <w:t>am 2009 No.</w:t>
            </w:r>
            <w:r>
              <w:t> </w:t>
            </w:r>
            <w:r w:rsidRPr="00097A86">
              <w:t>1</w:t>
            </w:r>
          </w:p>
        </w:tc>
      </w:tr>
      <w:tr w:rsidR="00F1362A" w:rsidRPr="00097A86" w14:paraId="19FF24CD" w14:textId="77777777" w:rsidTr="00C20CC2">
        <w:tblPrEx>
          <w:jc w:val="center"/>
        </w:tblPrEx>
        <w:trPr>
          <w:gridAfter w:val="1"/>
          <w:wAfter w:w="37" w:type="pct"/>
          <w:jc w:val="center"/>
        </w:trPr>
        <w:tc>
          <w:tcPr>
            <w:tcW w:w="1390" w:type="pct"/>
            <w:gridSpan w:val="2"/>
          </w:tcPr>
          <w:p w14:paraId="7F197980" w14:textId="77777777" w:rsidR="00F1362A" w:rsidRPr="00097A86" w:rsidRDefault="00F1362A" w:rsidP="006D1F60">
            <w:pPr>
              <w:pStyle w:val="ENoteTableText"/>
              <w:tabs>
                <w:tab w:val="left" w:leader="dot" w:pos="2268"/>
              </w:tabs>
            </w:pPr>
            <w:r w:rsidRPr="00097A86">
              <w:t>s 4.47</w:t>
            </w:r>
            <w:r w:rsidRPr="00097A86">
              <w:tab/>
            </w:r>
          </w:p>
        </w:tc>
        <w:tc>
          <w:tcPr>
            <w:tcW w:w="3573" w:type="pct"/>
            <w:gridSpan w:val="2"/>
          </w:tcPr>
          <w:p w14:paraId="0F570FA0" w14:textId="77777777" w:rsidR="00F1362A" w:rsidRPr="00097A86" w:rsidRDefault="00F1362A" w:rsidP="00D22D3F">
            <w:pPr>
              <w:pStyle w:val="ENoteTableText"/>
            </w:pPr>
            <w:r w:rsidRPr="00097A86">
              <w:t>am 2015 No 1</w:t>
            </w:r>
          </w:p>
        </w:tc>
      </w:tr>
      <w:tr w:rsidR="00F1362A" w:rsidRPr="00097A86" w14:paraId="7940BA09" w14:textId="77777777" w:rsidTr="00C20CC2">
        <w:tblPrEx>
          <w:jc w:val="center"/>
        </w:tblPrEx>
        <w:trPr>
          <w:gridAfter w:val="1"/>
          <w:wAfter w:w="37" w:type="pct"/>
          <w:jc w:val="center"/>
        </w:trPr>
        <w:tc>
          <w:tcPr>
            <w:tcW w:w="1390" w:type="pct"/>
            <w:gridSpan w:val="2"/>
          </w:tcPr>
          <w:p w14:paraId="6C337E5F"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4.3.3</w:t>
            </w:r>
          </w:p>
        </w:tc>
        <w:tc>
          <w:tcPr>
            <w:tcW w:w="3573" w:type="pct"/>
            <w:gridSpan w:val="2"/>
          </w:tcPr>
          <w:p w14:paraId="0E8401AB" w14:textId="77777777" w:rsidR="00F1362A" w:rsidRPr="00097A86" w:rsidRDefault="00F1362A" w:rsidP="00D22D3F">
            <w:pPr>
              <w:pStyle w:val="ENoteTableText"/>
            </w:pPr>
          </w:p>
        </w:tc>
      </w:tr>
      <w:tr w:rsidR="00F1362A" w:rsidRPr="00097A86" w14:paraId="1812B024" w14:textId="77777777" w:rsidTr="00C20CC2">
        <w:tblPrEx>
          <w:jc w:val="center"/>
        </w:tblPrEx>
        <w:trPr>
          <w:gridAfter w:val="1"/>
          <w:wAfter w:w="37" w:type="pct"/>
          <w:jc w:val="center"/>
        </w:trPr>
        <w:tc>
          <w:tcPr>
            <w:tcW w:w="1390" w:type="pct"/>
            <w:gridSpan w:val="2"/>
          </w:tcPr>
          <w:p w14:paraId="432DDEF5" w14:textId="77777777" w:rsidR="00F1362A" w:rsidRPr="00097A86" w:rsidRDefault="00F1362A" w:rsidP="006D1F60">
            <w:pPr>
              <w:pStyle w:val="ENoteTableText"/>
              <w:tabs>
                <w:tab w:val="left" w:leader="dot" w:pos="2268"/>
              </w:tabs>
            </w:pPr>
            <w:r w:rsidRPr="00097A86">
              <w:t>s 4.49</w:t>
            </w:r>
            <w:r w:rsidRPr="00097A86">
              <w:tab/>
            </w:r>
          </w:p>
        </w:tc>
        <w:tc>
          <w:tcPr>
            <w:tcW w:w="3573" w:type="pct"/>
            <w:gridSpan w:val="2"/>
          </w:tcPr>
          <w:p w14:paraId="51CF483A" w14:textId="77777777" w:rsidR="00F1362A" w:rsidRPr="00097A86" w:rsidRDefault="00F1362A" w:rsidP="00D22D3F">
            <w:pPr>
              <w:pStyle w:val="ENoteTableText"/>
            </w:pPr>
            <w:r w:rsidRPr="00097A86">
              <w:t>am 2009 No.</w:t>
            </w:r>
            <w:r>
              <w:t> </w:t>
            </w:r>
            <w:r w:rsidRPr="00097A86">
              <w:t>1</w:t>
            </w:r>
          </w:p>
        </w:tc>
      </w:tr>
      <w:tr w:rsidR="00F1362A" w:rsidRPr="00097A86" w14:paraId="52542AA6" w14:textId="77777777" w:rsidTr="00C20CC2">
        <w:tblPrEx>
          <w:jc w:val="center"/>
        </w:tblPrEx>
        <w:trPr>
          <w:gridAfter w:val="1"/>
          <w:wAfter w:w="37" w:type="pct"/>
          <w:jc w:val="center"/>
        </w:trPr>
        <w:tc>
          <w:tcPr>
            <w:tcW w:w="1390" w:type="pct"/>
            <w:gridSpan w:val="2"/>
          </w:tcPr>
          <w:p w14:paraId="1FFC0B1B" w14:textId="77777777" w:rsidR="00F1362A" w:rsidRPr="00097A86" w:rsidRDefault="00F1362A" w:rsidP="006D1F60">
            <w:pPr>
              <w:pStyle w:val="ENoteTableText"/>
              <w:tabs>
                <w:tab w:val="left" w:leader="dot" w:pos="2268"/>
              </w:tabs>
            </w:pPr>
            <w:r w:rsidRPr="00097A86">
              <w:t>s 4.50</w:t>
            </w:r>
            <w:r w:rsidRPr="00097A86">
              <w:tab/>
            </w:r>
          </w:p>
        </w:tc>
        <w:tc>
          <w:tcPr>
            <w:tcW w:w="3573" w:type="pct"/>
            <w:gridSpan w:val="2"/>
          </w:tcPr>
          <w:p w14:paraId="2342BCDD" w14:textId="77777777" w:rsidR="00F1362A" w:rsidRPr="00097A86" w:rsidRDefault="00F1362A" w:rsidP="00D22D3F">
            <w:pPr>
              <w:pStyle w:val="ENoteTableText"/>
            </w:pPr>
            <w:r w:rsidRPr="00097A86">
              <w:t>am 2009 No.</w:t>
            </w:r>
            <w:r>
              <w:t> </w:t>
            </w:r>
            <w:r w:rsidRPr="00097A86">
              <w:t>1</w:t>
            </w:r>
          </w:p>
        </w:tc>
      </w:tr>
      <w:tr w:rsidR="00F1362A" w:rsidRPr="00097A86" w14:paraId="0C110B4A" w14:textId="77777777" w:rsidTr="00C20CC2">
        <w:tblPrEx>
          <w:jc w:val="center"/>
        </w:tblPrEx>
        <w:trPr>
          <w:gridAfter w:val="1"/>
          <w:wAfter w:w="37" w:type="pct"/>
          <w:jc w:val="center"/>
        </w:trPr>
        <w:tc>
          <w:tcPr>
            <w:tcW w:w="1390" w:type="pct"/>
            <w:gridSpan w:val="2"/>
          </w:tcPr>
          <w:p w14:paraId="01F4FD46"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4.3.4</w:t>
            </w:r>
          </w:p>
        </w:tc>
        <w:tc>
          <w:tcPr>
            <w:tcW w:w="3573" w:type="pct"/>
            <w:gridSpan w:val="2"/>
          </w:tcPr>
          <w:p w14:paraId="2EA5072D" w14:textId="77777777" w:rsidR="00F1362A" w:rsidRPr="00097A86" w:rsidRDefault="00F1362A" w:rsidP="00D22D3F">
            <w:pPr>
              <w:pStyle w:val="ENoteTableText"/>
            </w:pPr>
          </w:p>
        </w:tc>
      </w:tr>
      <w:tr w:rsidR="00F1362A" w:rsidRPr="00097A86" w14:paraId="58E9774A" w14:textId="77777777" w:rsidTr="00C20CC2">
        <w:tblPrEx>
          <w:jc w:val="center"/>
        </w:tblPrEx>
        <w:trPr>
          <w:gridAfter w:val="1"/>
          <w:wAfter w:w="37" w:type="pct"/>
          <w:jc w:val="center"/>
        </w:trPr>
        <w:tc>
          <w:tcPr>
            <w:tcW w:w="1390" w:type="pct"/>
            <w:gridSpan w:val="2"/>
          </w:tcPr>
          <w:p w14:paraId="04EADA5F" w14:textId="77777777" w:rsidR="00F1362A" w:rsidRPr="00097A86" w:rsidRDefault="00F1362A" w:rsidP="006D1F60">
            <w:pPr>
              <w:pStyle w:val="ENoteTableText"/>
              <w:tabs>
                <w:tab w:val="left" w:leader="dot" w:pos="2268"/>
              </w:tabs>
            </w:pPr>
            <w:r w:rsidRPr="00097A86">
              <w:t>s 4.51</w:t>
            </w:r>
            <w:r w:rsidRPr="00097A86">
              <w:tab/>
            </w:r>
          </w:p>
        </w:tc>
        <w:tc>
          <w:tcPr>
            <w:tcW w:w="3573" w:type="pct"/>
            <w:gridSpan w:val="2"/>
          </w:tcPr>
          <w:p w14:paraId="40C822BD" w14:textId="77777777" w:rsidR="00F1362A" w:rsidRPr="00097A86" w:rsidRDefault="00F1362A" w:rsidP="00D22D3F">
            <w:pPr>
              <w:pStyle w:val="ENoteTableText"/>
            </w:pPr>
            <w:r w:rsidRPr="00097A86">
              <w:t>am 2009 No.</w:t>
            </w:r>
            <w:r>
              <w:t> </w:t>
            </w:r>
            <w:r w:rsidRPr="00097A86">
              <w:t>1</w:t>
            </w:r>
          </w:p>
        </w:tc>
      </w:tr>
      <w:tr w:rsidR="00F1362A" w:rsidRPr="00097A86" w14:paraId="41CD42F0" w14:textId="77777777" w:rsidTr="00C20CC2">
        <w:tblPrEx>
          <w:jc w:val="center"/>
        </w:tblPrEx>
        <w:trPr>
          <w:gridAfter w:val="1"/>
          <w:wAfter w:w="37" w:type="pct"/>
          <w:jc w:val="center"/>
        </w:trPr>
        <w:tc>
          <w:tcPr>
            <w:tcW w:w="1390" w:type="pct"/>
            <w:gridSpan w:val="2"/>
          </w:tcPr>
          <w:p w14:paraId="0F92286E" w14:textId="77777777" w:rsidR="00F1362A" w:rsidRPr="00097A86" w:rsidRDefault="00F1362A" w:rsidP="006D1F60">
            <w:pPr>
              <w:pStyle w:val="ENoteTableText"/>
              <w:tabs>
                <w:tab w:val="left" w:leader="dot" w:pos="2268"/>
              </w:tabs>
            </w:pPr>
            <w:r w:rsidRPr="00097A86">
              <w:t>s 4.52</w:t>
            </w:r>
            <w:r w:rsidRPr="00097A86">
              <w:tab/>
            </w:r>
          </w:p>
        </w:tc>
        <w:tc>
          <w:tcPr>
            <w:tcW w:w="3573" w:type="pct"/>
            <w:gridSpan w:val="2"/>
          </w:tcPr>
          <w:p w14:paraId="7525AF91" w14:textId="77777777" w:rsidR="00F1362A" w:rsidRPr="00097A86" w:rsidRDefault="00F1362A" w:rsidP="00D22D3F">
            <w:pPr>
              <w:pStyle w:val="ENoteTableText"/>
            </w:pPr>
            <w:r w:rsidRPr="00097A86">
              <w:t>am 2009 No.</w:t>
            </w:r>
            <w:r>
              <w:t> </w:t>
            </w:r>
            <w:r w:rsidRPr="00097A86">
              <w:t>1</w:t>
            </w:r>
          </w:p>
        </w:tc>
      </w:tr>
      <w:tr w:rsidR="00F1362A" w:rsidRPr="00097A86" w14:paraId="4D3B3548" w14:textId="77777777" w:rsidTr="00C20CC2">
        <w:tblPrEx>
          <w:jc w:val="center"/>
        </w:tblPrEx>
        <w:trPr>
          <w:gridAfter w:val="1"/>
          <w:wAfter w:w="37" w:type="pct"/>
          <w:jc w:val="center"/>
        </w:trPr>
        <w:tc>
          <w:tcPr>
            <w:tcW w:w="1390" w:type="pct"/>
            <w:gridSpan w:val="2"/>
          </w:tcPr>
          <w:p w14:paraId="7A8DD55D"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4.3.5</w:t>
            </w:r>
          </w:p>
        </w:tc>
        <w:tc>
          <w:tcPr>
            <w:tcW w:w="3573" w:type="pct"/>
            <w:gridSpan w:val="2"/>
          </w:tcPr>
          <w:p w14:paraId="2E3F4B5F" w14:textId="77777777" w:rsidR="00F1362A" w:rsidRPr="00097A86" w:rsidRDefault="00F1362A" w:rsidP="00D22D3F">
            <w:pPr>
              <w:pStyle w:val="ENoteTableText"/>
            </w:pPr>
          </w:p>
        </w:tc>
      </w:tr>
      <w:tr w:rsidR="00F1362A" w:rsidRPr="00097A86" w14:paraId="409C1FA6" w14:textId="77777777" w:rsidTr="00C20CC2">
        <w:tblPrEx>
          <w:jc w:val="center"/>
        </w:tblPrEx>
        <w:trPr>
          <w:gridAfter w:val="1"/>
          <w:wAfter w:w="37" w:type="pct"/>
          <w:jc w:val="center"/>
        </w:trPr>
        <w:tc>
          <w:tcPr>
            <w:tcW w:w="1390" w:type="pct"/>
            <w:gridSpan w:val="2"/>
          </w:tcPr>
          <w:p w14:paraId="7377E6B7" w14:textId="77777777" w:rsidR="00F1362A" w:rsidRPr="00097A86" w:rsidRDefault="00F1362A" w:rsidP="006C1D96">
            <w:pPr>
              <w:pStyle w:val="ENoteTableText"/>
              <w:tabs>
                <w:tab w:val="left" w:leader="dot" w:pos="2268"/>
              </w:tabs>
            </w:pPr>
            <w:r w:rsidRPr="00097A86">
              <w:t>Division</w:t>
            </w:r>
            <w:r>
              <w:t> </w:t>
            </w:r>
            <w:r w:rsidRPr="00097A86">
              <w:t>4.3.5 heading</w:t>
            </w:r>
            <w:r w:rsidRPr="00097A86">
              <w:tab/>
            </w:r>
          </w:p>
        </w:tc>
        <w:tc>
          <w:tcPr>
            <w:tcW w:w="3573" w:type="pct"/>
            <w:gridSpan w:val="2"/>
          </w:tcPr>
          <w:p w14:paraId="59DAF955" w14:textId="77777777" w:rsidR="00F1362A" w:rsidRPr="00097A86" w:rsidRDefault="00F1362A" w:rsidP="00D22D3F">
            <w:pPr>
              <w:pStyle w:val="ENoteTableText"/>
            </w:pPr>
            <w:r w:rsidRPr="00097A86">
              <w:t>rs 2009 No.</w:t>
            </w:r>
            <w:r>
              <w:t> </w:t>
            </w:r>
            <w:r w:rsidRPr="00097A86">
              <w:t>1; 2011 No.</w:t>
            </w:r>
            <w:r>
              <w:t> </w:t>
            </w:r>
            <w:r w:rsidRPr="00097A86">
              <w:t>1</w:t>
            </w:r>
          </w:p>
        </w:tc>
      </w:tr>
      <w:tr w:rsidR="00F1362A" w:rsidRPr="00097A86" w14:paraId="38548C21" w14:textId="77777777" w:rsidTr="00C20CC2">
        <w:tblPrEx>
          <w:jc w:val="center"/>
        </w:tblPrEx>
        <w:trPr>
          <w:gridAfter w:val="1"/>
          <w:wAfter w:w="37" w:type="pct"/>
          <w:jc w:val="center"/>
        </w:trPr>
        <w:tc>
          <w:tcPr>
            <w:tcW w:w="1390" w:type="pct"/>
            <w:gridSpan w:val="2"/>
          </w:tcPr>
          <w:p w14:paraId="4077011D" w14:textId="77777777" w:rsidR="00F1362A" w:rsidRPr="00097A86" w:rsidRDefault="00F1362A" w:rsidP="006D1F60">
            <w:pPr>
              <w:pStyle w:val="ENoteTableText"/>
              <w:tabs>
                <w:tab w:val="left" w:leader="dot" w:pos="2268"/>
              </w:tabs>
            </w:pPr>
            <w:r w:rsidRPr="00097A86">
              <w:t>s 4.53</w:t>
            </w:r>
            <w:r w:rsidRPr="00097A86">
              <w:tab/>
            </w:r>
          </w:p>
        </w:tc>
        <w:tc>
          <w:tcPr>
            <w:tcW w:w="3573" w:type="pct"/>
            <w:gridSpan w:val="2"/>
          </w:tcPr>
          <w:p w14:paraId="30729F43" w14:textId="77777777" w:rsidR="00F1362A" w:rsidRPr="00097A86" w:rsidRDefault="00F1362A" w:rsidP="00D22D3F">
            <w:pPr>
              <w:pStyle w:val="ENoteTableText"/>
            </w:pPr>
            <w:r w:rsidRPr="00097A86">
              <w:t>rs 2009 No.</w:t>
            </w:r>
            <w:r>
              <w:t> </w:t>
            </w:r>
            <w:r w:rsidRPr="00097A86">
              <w:t>1; 2011 No.</w:t>
            </w:r>
            <w:r>
              <w:t> </w:t>
            </w:r>
            <w:r w:rsidRPr="00097A86">
              <w:t>1</w:t>
            </w:r>
          </w:p>
        </w:tc>
      </w:tr>
      <w:tr w:rsidR="00F1362A" w:rsidRPr="00097A86" w14:paraId="5EBD564C" w14:textId="77777777" w:rsidTr="00C20CC2">
        <w:tblPrEx>
          <w:jc w:val="center"/>
        </w:tblPrEx>
        <w:trPr>
          <w:gridAfter w:val="1"/>
          <w:wAfter w:w="37" w:type="pct"/>
          <w:jc w:val="center"/>
        </w:trPr>
        <w:tc>
          <w:tcPr>
            <w:tcW w:w="1390" w:type="pct"/>
            <w:gridSpan w:val="2"/>
          </w:tcPr>
          <w:p w14:paraId="1E90B012" w14:textId="77777777" w:rsidR="00F1362A" w:rsidRPr="00097A86" w:rsidRDefault="00F1362A" w:rsidP="006D1F60">
            <w:pPr>
              <w:pStyle w:val="ENoteTableText"/>
              <w:tabs>
                <w:tab w:val="left" w:leader="dot" w:pos="2268"/>
              </w:tabs>
            </w:pPr>
            <w:r w:rsidRPr="00097A86">
              <w:t>s 4.54</w:t>
            </w:r>
            <w:r w:rsidRPr="00097A86">
              <w:tab/>
            </w:r>
          </w:p>
        </w:tc>
        <w:tc>
          <w:tcPr>
            <w:tcW w:w="3573" w:type="pct"/>
            <w:gridSpan w:val="2"/>
          </w:tcPr>
          <w:p w14:paraId="2FBF7377" w14:textId="77777777" w:rsidR="00F1362A" w:rsidRPr="00097A86" w:rsidRDefault="00F1362A" w:rsidP="00D22D3F">
            <w:pPr>
              <w:pStyle w:val="ENoteTableText"/>
            </w:pPr>
            <w:r w:rsidRPr="00097A86">
              <w:t>am 2009 No.</w:t>
            </w:r>
            <w:r>
              <w:t> </w:t>
            </w:r>
            <w:r w:rsidRPr="00097A86">
              <w:t>1</w:t>
            </w:r>
          </w:p>
        </w:tc>
      </w:tr>
      <w:tr w:rsidR="00F1362A" w:rsidRPr="00097A86" w14:paraId="668FC3FA" w14:textId="77777777" w:rsidTr="00C20CC2">
        <w:tblPrEx>
          <w:jc w:val="center"/>
        </w:tblPrEx>
        <w:trPr>
          <w:gridAfter w:val="1"/>
          <w:wAfter w:w="37" w:type="pct"/>
          <w:jc w:val="center"/>
        </w:trPr>
        <w:tc>
          <w:tcPr>
            <w:tcW w:w="1390" w:type="pct"/>
            <w:gridSpan w:val="2"/>
          </w:tcPr>
          <w:p w14:paraId="20A4990C" w14:textId="77777777" w:rsidR="00F1362A" w:rsidRPr="00097A86" w:rsidRDefault="00F1362A" w:rsidP="006D1F60">
            <w:pPr>
              <w:pStyle w:val="ENoteTableText"/>
              <w:tabs>
                <w:tab w:val="left" w:leader="dot" w:pos="2268"/>
              </w:tabs>
            </w:pPr>
            <w:r w:rsidRPr="00097A86">
              <w:t>s 4.55</w:t>
            </w:r>
            <w:r w:rsidRPr="00097A86">
              <w:tab/>
            </w:r>
          </w:p>
        </w:tc>
        <w:tc>
          <w:tcPr>
            <w:tcW w:w="3573" w:type="pct"/>
            <w:gridSpan w:val="2"/>
          </w:tcPr>
          <w:p w14:paraId="6590295D" w14:textId="77777777" w:rsidR="00F1362A" w:rsidRPr="00097A86" w:rsidRDefault="00F1362A" w:rsidP="00D22D3F">
            <w:pPr>
              <w:pStyle w:val="ENoteTableText"/>
            </w:pPr>
            <w:r w:rsidRPr="00097A86">
              <w:t>am 2009 No.</w:t>
            </w:r>
            <w:r>
              <w:t> </w:t>
            </w:r>
            <w:r w:rsidRPr="00097A86">
              <w:t>1</w:t>
            </w:r>
          </w:p>
        </w:tc>
      </w:tr>
      <w:tr w:rsidR="00F1362A" w:rsidRPr="00097A86" w14:paraId="313DEE84" w14:textId="77777777" w:rsidTr="00C20CC2">
        <w:tblPrEx>
          <w:jc w:val="center"/>
        </w:tblPrEx>
        <w:trPr>
          <w:gridAfter w:val="1"/>
          <w:wAfter w:w="37" w:type="pct"/>
          <w:jc w:val="center"/>
        </w:trPr>
        <w:tc>
          <w:tcPr>
            <w:tcW w:w="1390" w:type="pct"/>
            <w:gridSpan w:val="2"/>
          </w:tcPr>
          <w:p w14:paraId="345E3CF1" w14:textId="77777777" w:rsidR="00F1362A" w:rsidRPr="00097A86" w:rsidRDefault="00F1362A" w:rsidP="006D1F60">
            <w:pPr>
              <w:pStyle w:val="ENoteTableText"/>
              <w:tabs>
                <w:tab w:val="left" w:leader="dot" w:pos="2268"/>
              </w:tabs>
            </w:pPr>
          </w:p>
        </w:tc>
        <w:tc>
          <w:tcPr>
            <w:tcW w:w="3573" w:type="pct"/>
            <w:gridSpan w:val="2"/>
          </w:tcPr>
          <w:p w14:paraId="1E54AB57" w14:textId="77777777" w:rsidR="00F1362A" w:rsidRPr="00097A86" w:rsidRDefault="00F1362A" w:rsidP="00D22D3F">
            <w:pPr>
              <w:pStyle w:val="ENoteTableText"/>
            </w:pPr>
            <w:r w:rsidRPr="00097A86">
              <w:t>rs 2011 No.</w:t>
            </w:r>
            <w:r>
              <w:t> </w:t>
            </w:r>
            <w:r w:rsidRPr="00097A86">
              <w:t>1</w:t>
            </w:r>
          </w:p>
        </w:tc>
      </w:tr>
      <w:tr w:rsidR="00F1362A" w:rsidRPr="00097A86" w14:paraId="2CF701E4" w14:textId="77777777" w:rsidTr="00C20CC2">
        <w:tblPrEx>
          <w:jc w:val="center"/>
        </w:tblPrEx>
        <w:trPr>
          <w:gridAfter w:val="1"/>
          <w:wAfter w:w="37" w:type="pct"/>
          <w:jc w:val="center"/>
        </w:trPr>
        <w:tc>
          <w:tcPr>
            <w:tcW w:w="1390" w:type="pct"/>
            <w:gridSpan w:val="2"/>
          </w:tcPr>
          <w:p w14:paraId="2FF4037D" w14:textId="77777777" w:rsidR="00F1362A" w:rsidRPr="00097A86" w:rsidRDefault="00F1362A" w:rsidP="006D1F60">
            <w:pPr>
              <w:pStyle w:val="ENoteTableText"/>
              <w:tabs>
                <w:tab w:val="left" w:leader="dot" w:pos="2268"/>
              </w:tabs>
            </w:pPr>
          </w:p>
        </w:tc>
        <w:tc>
          <w:tcPr>
            <w:tcW w:w="3573" w:type="pct"/>
            <w:gridSpan w:val="2"/>
          </w:tcPr>
          <w:p w14:paraId="3F369B77" w14:textId="77777777" w:rsidR="00F1362A" w:rsidRPr="00097A86" w:rsidRDefault="00F1362A" w:rsidP="00D22D3F">
            <w:pPr>
              <w:pStyle w:val="ENoteTableText"/>
            </w:pPr>
            <w:r w:rsidRPr="00097A86">
              <w:t>am 2012 No.</w:t>
            </w:r>
            <w:r>
              <w:t> </w:t>
            </w:r>
            <w:r w:rsidRPr="00097A86">
              <w:t>1</w:t>
            </w:r>
          </w:p>
        </w:tc>
      </w:tr>
      <w:tr w:rsidR="00F1362A" w:rsidRPr="00097A86" w14:paraId="16883C4C" w14:textId="77777777" w:rsidTr="00C20CC2">
        <w:tblPrEx>
          <w:jc w:val="center"/>
        </w:tblPrEx>
        <w:trPr>
          <w:gridAfter w:val="1"/>
          <w:wAfter w:w="37" w:type="pct"/>
          <w:jc w:val="center"/>
        </w:trPr>
        <w:tc>
          <w:tcPr>
            <w:tcW w:w="1390" w:type="pct"/>
            <w:gridSpan w:val="2"/>
          </w:tcPr>
          <w:p w14:paraId="1B10639E" w14:textId="77777777" w:rsidR="00F1362A" w:rsidRPr="00097A86" w:rsidRDefault="00F1362A" w:rsidP="006D1F60">
            <w:pPr>
              <w:pStyle w:val="ENoteTableText"/>
              <w:tabs>
                <w:tab w:val="left" w:leader="dot" w:pos="2268"/>
              </w:tabs>
            </w:pPr>
            <w:r w:rsidRPr="00097A86">
              <w:t>s 4.56</w:t>
            </w:r>
            <w:r w:rsidRPr="00097A86">
              <w:tab/>
            </w:r>
          </w:p>
        </w:tc>
        <w:tc>
          <w:tcPr>
            <w:tcW w:w="3573" w:type="pct"/>
            <w:gridSpan w:val="2"/>
          </w:tcPr>
          <w:p w14:paraId="5ECA6B6E" w14:textId="77777777" w:rsidR="00F1362A" w:rsidRPr="00097A86" w:rsidRDefault="00F1362A" w:rsidP="00D22D3F">
            <w:pPr>
              <w:pStyle w:val="ENoteTableText"/>
            </w:pPr>
            <w:r w:rsidRPr="00097A86">
              <w:t>am 2009 No.</w:t>
            </w:r>
            <w:r>
              <w:t> </w:t>
            </w:r>
            <w:r w:rsidRPr="00097A86">
              <w:t>1</w:t>
            </w:r>
          </w:p>
        </w:tc>
      </w:tr>
      <w:tr w:rsidR="00F1362A" w:rsidRPr="00097A86" w14:paraId="1ADCBFE2" w14:textId="77777777" w:rsidTr="00C20CC2">
        <w:tblPrEx>
          <w:jc w:val="center"/>
        </w:tblPrEx>
        <w:trPr>
          <w:gridAfter w:val="1"/>
          <w:wAfter w:w="37" w:type="pct"/>
          <w:jc w:val="center"/>
        </w:trPr>
        <w:tc>
          <w:tcPr>
            <w:tcW w:w="1390" w:type="pct"/>
            <w:gridSpan w:val="2"/>
          </w:tcPr>
          <w:p w14:paraId="037DE137" w14:textId="77777777" w:rsidR="00F1362A" w:rsidRPr="00097A86" w:rsidRDefault="00F1362A" w:rsidP="006D1F60">
            <w:pPr>
              <w:pStyle w:val="ENoteTableText"/>
              <w:tabs>
                <w:tab w:val="left" w:leader="dot" w:pos="2268"/>
              </w:tabs>
            </w:pPr>
          </w:p>
        </w:tc>
        <w:tc>
          <w:tcPr>
            <w:tcW w:w="3573" w:type="pct"/>
            <w:gridSpan w:val="2"/>
          </w:tcPr>
          <w:p w14:paraId="0F35B7E7" w14:textId="77777777" w:rsidR="00F1362A" w:rsidRPr="00097A86" w:rsidRDefault="00F1362A" w:rsidP="00D22D3F">
            <w:pPr>
              <w:pStyle w:val="ENoteTableText"/>
            </w:pPr>
            <w:r w:rsidRPr="00097A86">
              <w:t>rs 2011 No.</w:t>
            </w:r>
            <w:r>
              <w:t> </w:t>
            </w:r>
            <w:r w:rsidRPr="00097A86">
              <w:t>1</w:t>
            </w:r>
          </w:p>
        </w:tc>
      </w:tr>
      <w:tr w:rsidR="00F1362A" w:rsidRPr="00097A86" w14:paraId="68A2CFB5" w14:textId="77777777" w:rsidTr="00C20CC2">
        <w:tblPrEx>
          <w:jc w:val="center"/>
        </w:tblPrEx>
        <w:trPr>
          <w:gridAfter w:val="1"/>
          <w:wAfter w:w="37" w:type="pct"/>
          <w:jc w:val="center"/>
        </w:trPr>
        <w:tc>
          <w:tcPr>
            <w:tcW w:w="1390" w:type="pct"/>
            <w:gridSpan w:val="2"/>
          </w:tcPr>
          <w:p w14:paraId="21BA05F6" w14:textId="77777777" w:rsidR="00F1362A" w:rsidRPr="00097A86" w:rsidRDefault="00F1362A" w:rsidP="006D1F60">
            <w:pPr>
              <w:pStyle w:val="ENoteTableText"/>
              <w:tabs>
                <w:tab w:val="left" w:leader="dot" w:pos="2268"/>
              </w:tabs>
            </w:pPr>
            <w:r w:rsidRPr="00097A86">
              <w:t>s 4.57</w:t>
            </w:r>
            <w:r w:rsidRPr="00097A86">
              <w:tab/>
            </w:r>
          </w:p>
        </w:tc>
        <w:tc>
          <w:tcPr>
            <w:tcW w:w="3573" w:type="pct"/>
            <w:gridSpan w:val="2"/>
          </w:tcPr>
          <w:p w14:paraId="7883856E" w14:textId="77777777" w:rsidR="00F1362A" w:rsidRPr="00097A86" w:rsidRDefault="00F1362A" w:rsidP="00D22D3F">
            <w:pPr>
              <w:pStyle w:val="ENoteTableText"/>
            </w:pPr>
            <w:r w:rsidRPr="00097A86">
              <w:t>am 2009 No.</w:t>
            </w:r>
            <w:r>
              <w:t> </w:t>
            </w:r>
            <w:r w:rsidRPr="00097A86">
              <w:t>1</w:t>
            </w:r>
          </w:p>
        </w:tc>
      </w:tr>
      <w:tr w:rsidR="00F1362A" w:rsidRPr="00097A86" w14:paraId="01AB1E36" w14:textId="77777777" w:rsidTr="00C20CC2">
        <w:tblPrEx>
          <w:jc w:val="center"/>
        </w:tblPrEx>
        <w:trPr>
          <w:gridAfter w:val="1"/>
          <w:wAfter w:w="37" w:type="pct"/>
          <w:jc w:val="center"/>
        </w:trPr>
        <w:tc>
          <w:tcPr>
            <w:tcW w:w="1390" w:type="pct"/>
            <w:gridSpan w:val="2"/>
          </w:tcPr>
          <w:p w14:paraId="4907519B" w14:textId="77777777" w:rsidR="00F1362A" w:rsidRPr="00097A86" w:rsidRDefault="00F1362A" w:rsidP="006D1F60">
            <w:pPr>
              <w:pStyle w:val="ENoteTableText"/>
              <w:tabs>
                <w:tab w:val="left" w:leader="dot" w:pos="2268"/>
              </w:tabs>
            </w:pPr>
          </w:p>
        </w:tc>
        <w:tc>
          <w:tcPr>
            <w:tcW w:w="3573" w:type="pct"/>
            <w:gridSpan w:val="2"/>
          </w:tcPr>
          <w:p w14:paraId="38D29501" w14:textId="77777777" w:rsidR="00F1362A" w:rsidRPr="00097A86" w:rsidRDefault="00F1362A" w:rsidP="00D22D3F">
            <w:pPr>
              <w:pStyle w:val="ENoteTableText"/>
            </w:pPr>
            <w:r w:rsidRPr="00097A86">
              <w:t>rs 2011 No.</w:t>
            </w:r>
            <w:r>
              <w:t> </w:t>
            </w:r>
            <w:r w:rsidRPr="00097A86">
              <w:t>1</w:t>
            </w:r>
          </w:p>
        </w:tc>
      </w:tr>
      <w:tr w:rsidR="00F1362A" w:rsidRPr="00097A86" w14:paraId="5A651082" w14:textId="77777777" w:rsidTr="00C20CC2">
        <w:tblPrEx>
          <w:jc w:val="center"/>
        </w:tblPrEx>
        <w:trPr>
          <w:gridAfter w:val="1"/>
          <w:wAfter w:w="37" w:type="pct"/>
          <w:jc w:val="center"/>
        </w:trPr>
        <w:tc>
          <w:tcPr>
            <w:tcW w:w="1390" w:type="pct"/>
            <w:gridSpan w:val="2"/>
          </w:tcPr>
          <w:p w14:paraId="1CB29EBD"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4.3.6</w:t>
            </w:r>
          </w:p>
        </w:tc>
        <w:tc>
          <w:tcPr>
            <w:tcW w:w="3573" w:type="pct"/>
            <w:gridSpan w:val="2"/>
          </w:tcPr>
          <w:p w14:paraId="0B807715" w14:textId="77777777" w:rsidR="00F1362A" w:rsidRPr="00097A86" w:rsidRDefault="00F1362A" w:rsidP="00D22D3F">
            <w:pPr>
              <w:pStyle w:val="ENoteTableText"/>
            </w:pPr>
          </w:p>
        </w:tc>
      </w:tr>
      <w:tr w:rsidR="00F1362A" w:rsidRPr="00097A86" w14:paraId="49CDAE78" w14:textId="77777777" w:rsidTr="00C20CC2">
        <w:tblPrEx>
          <w:jc w:val="center"/>
        </w:tblPrEx>
        <w:trPr>
          <w:gridAfter w:val="1"/>
          <w:wAfter w:w="37" w:type="pct"/>
          <w:jc w:val="center"/>
        </w:trPr>
        <w:tc>
          <w:tcPr>
            <w:tcW w:w="1390" w:type="pct"/>
            <w:gridSpan w:val="2"/>
          </w:tcPr>
          <w:p w14:paraId="723727AF" w14:textId="77777777" w:rsidR="00F1362A" w:rsidRPr="00097A86" w:rsidRDefault="00F1362A" w:rsidP="006C1D96">
            <w:pPr>
              <w:pStyle w:val="ENoteTableText"/>
              <w:tabs>
                <w:tab w:val="left" w:leader="dot" w:pos="2268"/>
              </w:tabs>
            </w:pPr>
            <w:r w:rsidRPr="00097A86">
              <w:t>Division</w:t>
            </w:r>
            <w:r>
              <w:t> </w:t>
            </w:r>
            <w:r w:rsidRPr="00097A86">
              <w:t>4.3.6</w:t>
            </w:r>
            <w:r w:rsidRPr="00097A86">
              <w:tab/>
            </w:r>
          </w:p>
        </w:tc>
        <w:tc>
          <w:tcPr>
            <w:tcW w:w="3573" w:type="pct"/>
            <w:gridSpan w:val="2"/>
          </w:tcPr>
          <w:p w14:paraId="48FA6A52" w14:textId="77777777" w:rsidR="00F1362A" w:rsidRPr="00097A86" w:rsidRDefault="00F1362A" w:rsidP="00D22D3F">
            <w:pPr>
              <w:pStyle w:val="ENoteTableText"/>
            </w:pPr>
            <w:r w:rsidRPr="00097A86">
              <w:t>rep 2009 No.</w:t>
            </w:r>
            <w:r>
              <w:t> </w:t>
            </w:r>
            <w:r w:rsidRPr="00097A86">
              <w:t>1</w:t>
            </w:r>
          </w:p>
        </w:tc>
      </w:tr>
      <w:tr w:rsidR="00F1362A" w:rsidRPr="00097A86" w14:paraId="057737C0" w14:textId="77777777" w:rsidTr="00C20CC2">
        <w:tblPrEx>
          <w:jc w:val="center"/>
        </w:tblPrEx>
        <w:trPr>
          <w:gridAfter w:val="1"/>
          <w:wAfter w:w="37" w:type="pct"/>
          <w:jc w:val="center"/>
        </w:trPr>
        <w:tc>
          <w:tcPr>
            <w:tcW w:w="1390" w:type="pct"/>
            <w:gridSpan w:val="2"/>
          </w:tcPr>
          <w:p w14:paraId="72AB13E6" w14:textId="77777777" w:rsidR="00F1362A" w:rsidRPr="00097A86" w:rsidRDefault="00F1362A" w:rsidP="006D1F60">
            <w:pPr>
              <w:pStyle w:val="ENoteTableText"/>
              <w:tabs>
                <w:tab w:val="left" w:leader="dot" w:pos="2268"/>
              </w:tabs>
            </w:pPr>
          </w:p>
        </w:tc>
        <w:tc>
          <w:tcPr>
            <w:tcW w:w="3573" w:type="pct"/>
            <w:gridSpan w:val="2"/>
          </w:tcPr>
          <w:p w14:paraId="28274462" w14:textId="77777777" w:rsidR="00F1362A" w:rsidRPr="00097A86" w:rsidRDefault="00F1362A" w:rsidP="00D22D3F">
            <w:pPr>
              <w:pStyle w:val="ENoteTableText"/>
            </w:pPr>
            <w:r w:rsidRPr="00097A86">
              <w:t>ad 2012 No.</w:t>
            </w:r>
            <w:r>
              <w:t> </w:t>
            </w:r>
            <w:r w:rsidRPr="00097A86">
              <w:t>1</w:t>
            </w:r>
          </w:p>
        </w:tc>
      </w:tr>
      <w:tr w:rsidR="00F1362A" w:rsidRPr="00097A86" w14:paraId="0EFCE766" w14:textId="77777777" w:rsidTr="00C20CC2">
        <w:tblPrEx>
          <w:jc w:val="center"/>
        </w:tblPrEx>
        <w:trPr>
          <w:gridAfter w:val="1"/>
          <w:wAfter w:w="37" w:type="pct"/>
          <w:jc w:val="center"/>
        </w:trPr>
        <w:tc>
          <w:tcPr>
            <w:tcW w:w="1390" w:type="pct"/>
            <w:gridSpan w:val="2"/>
          </w:tcPr>
          <w:p w14:paraId="49A2738D" w14:textId="77777777" w:rsidR="00F1362A" w:rsidRPr="00097A86" w:rsidRDefault="00F1362A" w:rsidP="006D1F60">
            <w:pPr>
              <w:pStyle w:val="ENoteTableText"/>
              <w:tabs>
                <w:tab w:val="left" w:leader="dot" w:pos="2268"/>
              </w:tabs>
            </w:pPr>
            <w:r w:rsidRPr="00097A86">
              <w:t>s 4.58</w:t>
            </w:r>
            <w:r w:rsidRPr="00097A86">
              <w:tab/>
            </w:r>
          </w:p>
        </w:tc>
        <w:tc>
          <w:tcPr>
            <w:tcW w:w="3573" w:type="pct"/>
            <w:gridSpan w:val="2"/>
          </w:tcPr>
          <w:p w14:paraId="7837C7E7" w14:textId="77777777" w:rsidR="00F1362A" w:rsidRPr="00097A86" w:rsidRDefault="00F1362A" w:rsidP="00D22D3F">
            <w:pPr>
              <w:pStyle w:val="ENoteTableText"/>
            </w:pPr>
            <w:r w:rsidRPr="00097A86">
              <w:t>rep 2009 No.</w:t>
            </w:r>
            <w:r>
              <w:t> </w:t>
            </w:r>
            <w:r w:rsidRPr="00097A86">
              <w:t>1</w:t>
            </w:r>
          </w:p>
        </w:tc>
      </w:tr>
      <w:tr w:rsidR="00F1362A" w:rsidRPr="00097A86" w14:paraId="03EFCC8C" w14:textId="77777777" w:rsidTr="00C20CC2">
        <w:tblPrEx>
          <w:jc w:val="center"/>
        </w:tblPrEx>
        <w:trPr>
          <w:gridAfter w:val="1"/>
          <w:wAfter w:w="37" w:type="pct"/>
          <w:jc w:val="center"/>
        </w:trPr>
        <w:tc>
          <w:tcPr>
            <w:tcW w:w="1390" w:type="pct"/>
            <w:gridSpan w:val="2"/>
          </w:tcPr>
          <w:p w14:paraId="1745FEE9" w14:textId="77777777" w:rsidR="00F1362A" w:rsidRPr="00097A86" w:rsidRDefault="00F1362A" w:rsidP="006D1F60">
            <w:pPr>
              <w:pStyle w:val="ENoteTableText"/>
              <w:tabs>
                <w:tab w:val="left" w:leader="dot" w:pos="2268"/>
              </w:tabs>
            </w:pPr>
          </w:p>
        </w:tc>
        <w:tc>
          <w:tcPr>
            <w:tcW w:w="3573" w:type="pct"/>
            <w:gridSpan w:val="2"/>
          </w:tcPr>
          <w:p w14:paraId="7350F5BA" w14:textId="77777777" w:rsidR="00F1362A" w:rsidRPr="00097A86" w:rsidRDefault="00F1362A" w:rsidP="00D22D3F">
            <w:pPr>
              <w:pStyle w:val="ENoteTableText"/>
            </w:pPr>
            <w:r w:rsidRPr="00097A86">
              <w:t>ad 2012 No.</w:t>
            </w:r>
            <w:r>
              <w:t> </w:t>
            </w:r>
            <w:r w:rsidRPr="00097A86">
              <w:t>1</w:t>
            </w:r>
          </w:p>
        </w:tc>
      </w:tr>
      <w:tr w:rsidR="00F1362A" w:rsidRPr="00097A86" w14:paraId="5073229C" w14:textId="77777777" w:rsidTr="00C20CC2">
        <w:tblPrEx>
          <w:jc w:val="center"/>
        </w:tblPrEx>
        <w:trPr>
          <w:gridAfter w:val="1"/>
          <w:wAfter w:w="37" w:type="pct"/>
          <w:jc w:val="center"/>
        </w:trPr>
        <w:tc>
          <w:tcPr>
            <w:tcW w:w="1390" w:type="pct"/>
            <w:gridSpan w:val="2"/>
          </w:tcPr>
          <w:p w14:paraId="2186C099" w14:textId="77777777" w:rsidR="00F1362A" w:rsidRPr="00097A86" w:rsidRDefault="00F1362A" w:rsidP="006D1F60">
            <w:pPr>
              <w:pStyle w:val="ENoteTableText"/>
              <w:tabs>
                <w:tab w:val="left" w:leader="dot" w:pos="2268"/>
              </w:tabs>
            </w:pPr>
            <w:r w:rsidRPr="00097A86">
              <w:t>s 4.59</w:t>
            </w:r>
            <w:r w:rsidRPr="00097A86">
              <w:tab/>
            </w:r>
          </w:p>
        </w:tc>
        <w:tc>
          <w:tcPr>
            <w:tcW w:w="3573" w:type="pct"/>
            <w:gridSpan w:val="2"/>
          </w:tcPr>
          <w:p w14:paraId="499767BA" w14:textId="77777777" w:rsidR="00F1362A" w:rsidRPr="00097A86" w:rsidRDefault="00F1362A" w:rsidP="00D22D3F">
            <w:pPr>
              <w:pStyle w:val="ENoteTableText"/>
            </w:pPr>
            <w:r w:rsidRPr="00097A86">
              <w:t>rep 2009 No.</w:t>
            </w:r>
            <w:r>
              <w:t> </w:t>
            </w:r>
            <w:r w:rsidRPr="00097A86">
              <w:t>1</w:t>
            </w:r>
          </w:p>
        </w:tc>
      </w:tr>
      <w:tr w:rsidR="00F1362A" w:rsidRPr="00097A86" w14:paraId="7C4274DB" w14:textId="77777777" w:rsidTr="00C20CC2">
        <w:tblPrEx>
          <w:jc w:val="center"/>
        </w:tblPrEx>
        <w:trPr>
          <w:gridAfter w:val="1"/>
          <w:wAfter w:w="37" w:type="pct"/>
          <w:jc w:val="center"/>
        </w:trPr>
        <w:tc>
          <w:tcPr>
            <w:tcW w:w="1390" w:type="pct"/>
            <w:gridSpan w:val="2"/>
          </w:tcPr>
          <w:p w14:paraId="6C03A4EB" w14:textId="77777777" w:rsidR="00F1362A" w:rsidRPr="00097A86" w:rsidRDefault="00F1362A" w:rsidP="006D1F60">
            <w:pPr>
              <w:pStyle w:val="ENoteTableText"/>
              <w:tabs>
                <w:tab w:val="left" w:leader="dot" w:pos="2268"/>
              </w:tabs>
            </w:pPr>
          </w:p>
        </w:tc>
        <w:tc>
          <w:tcPr>
            <w:tcW w:w="3573" w:type="pct"/>
            <w:gridSpan w:val="2"/>
          </w:tcPr>
          <w:p w14:paraId="62DABAF0" w14:textId="77777777" w:rsidR="00F1362A" w:rsidRPr="00097A86" w:rsidRDefault="00F1362A" w:rsidP="00D22D3F">
            <w:pPr>
              <w:pStyle w:val="ENoteTableText"/>
            </w:pPr>
            <w:r w:rsidRPr="00097A86">
              <w:t>ad 2012 No.</w:t>
            </w:r>
            <w:r>
              <w:t> </w:t>
            </w:r>
            <w:r w:rsidRPr="00097A86">
              <w:t>1</w:t>
            </w:r>
          </w:p>
        </w:tc>
      </w:tr>
      <w:tr w:rsidR="00F1362A" w:rsidRPr="00097A86" w14:paraId="248E32FF" w14:textId="77777777" w:rsidTr="00C20CC2">
        <w:tblPrEx>
          <w:jc w:val="center"/>
        </w:tblPrEx>
        <w:trPr>
          <w:gridAfter w:val="1"/>
          <w:wAfter w:w="37" w:type="pct"/>
          <w:jc w:val="center"/>
        </w:trPr>
        <w:tc>
          <w:tcPr>
            <w:tcW w:w="1390" w:type="pct"/>
            <w:gridSpan w:val="2"/>
          </w:tcPr>
          <w:p w14:paraId="1C89F670" w14:textId="77777777" w:rsidR="00F1362A" w:rsidRPr="00097A86" w:rsidRDefault="00F1362A" w:rsidP="006D1F60">
            <w:pPr>
              <w:pStyle w:val="ENoteTableText"/>
              <w:tabs>
                <w:tab w:val="left" w:leader="dot" w:pos="2268"/>
              </w:tabs>
            </w:pPr>
            <w:r w:rsidRPr="00097A86">
              <w:t>s 4.60</w:t>
            </w:r>
            <w:r w:rsidRPr="00097A86">
              <w:tab/>
            </w:r>
          </w:p>
        </w:tc>
        <w:tc>
          <w:tcPr>
            <w:tcW w:w="3573" w:type="pct"/>
            <w:gridSpan w:val="2"/>
          </w:tcPr>
          <w:p w14:paraId="73BFEA58" w14:textId="77777777" w:rsidR="00F1362A" w:rsidRPr="00097A86" w:rsidRDefault="00F1362A" w:rsidP="00D22D3F">
            <w:pPr>
              <w:pStyle w:val="ENoteTableText"/>
            </w:pPr>
            <w:r w:rsidRPr="00097A86">
              <w:t>rep 2009 No.</w:t>
            </w:r>
            <w:r>
              <w:t> </w:t>
            </w:r>
            <w:r w:rsidRPr="00097A86">
              <w:t>1</w:t>
            </w:r>
          </w:p>
        </w:tc>
      </w:tr>
      <w:tr w:rsidR="00F1362A" w:rsidRPr="00097A86" w14:paraId="0F3EDCA0" w14:textId="77777777" w:rsidTr="00C20CC2">
        <w:tblPrEx>
          <w:jc w:val="center"/>
        </w:tblPrEx>
        <w:trPr>
          <w:gridAfter w:val="1"/>
          <w:wAfter w:w="37" w:type="pct"/>
          <w:jc w:val="center"/>
        </w:trPr>
        <w:tc>
          <w:tcPr>
            <w:tcW w:w="1390" w:type="pct"/>
            <w:gridSpan w:val="2"/>
          </w:tcPr>
          <w:p w14:paraId="7E473261" w14:textId="77777777" w:rsidR="00F1362A" w:rsidRPr="00097A86" w:rsidRDefault="00F1362A" w:rsidP="006D1F60">
            <w:pPr>
              <w:pStyle w:val="ENoteTableText"/>
              <w:tabs>
                <w:tab w:val="left" w:leader="dot" w:pos="2268"/>
              </w:tabs>
            </w:pPr>
            <w:r w:rsidRPr="00097A86">
              <w:t>s 4.61</w:t>
            </w:r>
            <w:r w:rsidRPr="00097A86">
              <w:tab/>
            </w:r>
          </w:p>
        </w:tc>
        <w:tc>
          <w:tcPr>
            <w:tcW w:w="3573" w:type="pct"/>
            <w:gridSpan w:val="2"/>
          </w:tcPr>
          <w:p w14:paraId="0C64B9F6" w14:textId="77777777" w:rsidR="00F1362A" w:rsidRPr="00097A86" w:rsidRDefault="00F1362A" w:rsidP="00D22D3F">
            <w:pPr>
              <w:pStyle w:val="ENoteTableText"/>
            </w:pPr>
            <w:r w:rsidRPr="00097A86">
              <w:t>rep 2009 No.</w:t>
            </w:r>
            <w:r>
              <w:t> </w:t>
            </w:r>
            <w:r w:rsidRPr="00097A86">
              <w:t>1</w:t>
            </w:r>
          </w:p>
        </w:tc>
      </w:tr>
      <w:tr w:rsidR="00F1362A" w:rsidRPr="00097A86" w14:paraId="489F1689" w14:textId="77777777" w:rsidTr="00C20CC2">
        <w:tblPrEx>
          <w:jc w:val="center"/>
        </w:tblPrEx>
        <w:trPr>
          <w:gridAfter w:val="1"/>
          <w:wAfter w:w="37" w:type="pct"/>
          <w:jc w:val="center"/>
        </w:trPr>
        <w:tc>
          <w:tcPr>
            <w:tcW w:w="1390" w:type="pct"/>
            <w:gridSpan w:val="2"/>
          </w:tcPr>
          <w:p w14:paraId="79A299D3" w14:textId="77777777" w:rsidR="00F1362A" w:rsidRPr="00097A86" w:rsidRDefault="00F1362A" w:rsidP="006D1F60">
            <w:pPr>
              <w:pStyle w:val="ENoteTableText"/>
              <w:tabs>
                <w:tab w:val="left" w:leader="dot" w:pos="2268"/>
              </w:tabs>
            </w:pPr>
            <w:r w:rsidRPr="00097A86">
              <w:t>s 4.62</w:t>
            </w:r>
            <w:r w:rsidRPr="00097A86">
              <w:tab/>
            </w:r>
          </w:p>
        </w:tc>
        <w:tc>
          <w:tcPr>
            <w:tcW w:w="3573" w:type="pct"/>
            <w:gridSpan w:val="2"/>
          </w:tcPr>
          <w:p w14:paraId="6DF41A3A" w14:textId="77777777" w:rsidR="00F1362A" w:rsidRPr="00097A86" w:rsidRDefault="00F1362A" w:rsidP="00D22D3F">
            <w:pPr>
              <w:pStyle w:val="ENoteTableText"/>
            </w:pPr>
            <w:r w:rsidRPr="00097A86">
              <w:t>rep 2009 No.</w:t>
            </w:r>
            <w:r>
              <w:t> </w:t>
            </w:r>
            <w:r w:rsidRPr="00097A86">
              <w:t>1</w:t>
            </w:r>
          </w:p>
        </w:tc>
      </w:tr>
      <w:tr w:rsidR="00F1362A" w:rsidRPr="00097A86" w14:paraId="2D22C364" w14:textId="77777777" w:rsidTr="00C20CC2">
        <w:tblPrEx>
          <w:jc w:val="center"/>
        </w:tblPrEx>
        <w:trPr>
          <w:gridAfter w:val="1"/>
          <w:wAfter w:w="37" w:type="pct"/>
          <w:jc w:val="center"/>
        </w:trPr>
        <w:tc>
          <w:tcPr>
            <w:tcW w:w="1390" w:type="pct"/>
            <w:gridSpan w:val="2"/>
          </w:tcPr>
          <w:p w14:paraId="1A305C2A" w14:textId="77777777" w:rsidR="00F1362A" w:rsidRPr="00097A86" w:rsidRDefault="00F1362A" w:rsidP="006D1F60">
            <w:pPr>
              <w:pStyle w:val="ENoteTableText"/>
              <w:tabs>
                <w:tab w:val="left" w:leader="dot" w:pos="2268"/>
              </w:tabs>
            </w:pPr>
            <w:r w:rsidRPr="00097A86">
              <w:rPr>
                <w:b/>
              </w:rPr>
              <w:t>Part</w:t>
            </w:r>
            <w:r>
              <w:rPr>
                <w:b/>
              </w:rPr>
              <w:t> </w:t>
            </w:r>
            <w:r w:rsidRPr="00097A86">
              <w:rPr>
                <w:b/>
              </w:rPr>
              <w:t>4.4</w:t>
            </w:r>
          </w:p>
        </w:tc>
        <w:tc>
          <w:tcPr>
            <w:tcW w:w="3573" w:type="pct"/>
            <w:gridSpan w:val="2"/>
          </w:tcPr>
          <w:p w14:paraId="4C4C7B4B" w14:textId="77777777" w:rsidR="00F1362A" w:rsidRPr="00097A86" w:rsidRDefault="00F1362A" w:rsidP="00D22D3F">
            <w:pPr>
              <w:pStyle w:val="ENoteTableText"/>
            </w:pPr>
          </w:p>
        </w:tc>
      </w:tr>
      <w:tr w:rsidR="00F1362A" w:rsidRPr="00097A86" w14:paraId="380302BB" w14:textId="77777777" w:rsidTr="00C20CC2">
        <w:tblPrEx>
          <w:jc w:val="center"/>
        </w:tblPrEx>
        <w:trPr>
          <w:gridAfter w:val="1"/>
          <w:wAfter w:w="37" w:type="pct"/>
          <w:jc w:val="center"/>
        </w:trPr>
        <w:tc>
          <w:tcPr>
            <w:tcW w:w="1390" w:type="pct"/>
            <w:gridSpan w:val="2"/>
          </w:tcPr>
          <w:p w14:paraId="29AE9052"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4.4.1</w:t>
            </w:r>
          </w:p>
        </w:tc>
        <w:tc>
          <w:tcPr>
            <w:tcW w:w="3573" w:type="pct"/>
            <w:gridSpan w:val="2"/>
          </w:tcPr>
          <w:p w14:paraId="28E36E16" w14:textId="77777777" w:rsidR="00F1362A" w:rsidRPr="00097A86" w:rsidRDefault="00F1362A" w:rsidP="00D22D3F">
            <w:pPr>
              <w:pStyle w:val="ENoteTableText"/>
            </w:pPr>
          </w:p>
        </w:tc>
      </w:tr>
      <w:tr w:rsidR="00F1362A" w:rsidRPr="00097A86" w14:paraId="77AD3AD5" w14:textId="77777777" w:rsidTr="00C20CC2">
        <w:tblPrEx>
          <w:jc w:val="center"/>
        </w:tblPrEx>
        <w:trPr>
          <w:gridAfter w:val="1"/>
          <w:wAfter w:w="37" w:type="pct"/>
          <w:cantSplit/>
          <w:jc w:val="center"/>
        </w:trPr>
        <w:tc>
          <w:tcPr>
            <w:tcW w:w="1390" w:type="pct"/>
            <w:gridSpan w:val="2"/>
          </w:tcPr>
          <w:p w14:paraId="668C975F" w14:textId="77777777" w:rsidR="00F1362A" w:rsidRPr="00097A86" w:rsidRDefault="00F1362A" w:rsidP="006C1D96">
            <w:pPr>
              <w:pStyle w:val="ENoteTableText"/>
              <w:tabs>
                <w:tab w:val="left" w:leader="dot" w:pos="2268"/>
              </w:tabs>
            </w:pPr>
            <w:r w:rsidRPr="00097A86">
              <w:t>Division</w:t>
            </w:r>
            <w:r>
              <w:t> </w:t>
            </w:r>
            <w:r w:rsidRPr="00097A86">
              <w:t>4.4.1 heading</w:t>
            </w:r>
            <w:r w:rsidRPr="00097A86">
              <w:tab/>
            </w:r>
          </w:p>
        </w:tc>
        <w:tc>
          <w:tcPr>
            <w:tcW w:w="3573" w:type="pct"/>
            <w:gridSpan w:val="2"/>
          </w:tcPr>
          <w:p w14:paraId="3A9816BE" w14:textId="77777777" w:rsidR="00F1362A" w:rsidRPr="00097A86" w:rsidRDefault="00F1362A" w:rsidP="00D22D3F">
            <w:pPr>
              <w:pStyle w:val="ENoteTableText"/>
            </w:pPr>
            <w:r w:rsidRPr="00097A86">
              <w:t>rs 2009 No.</w:t>
            </w:r>
            <w:r>
              <w:t> </w:t>
            </w:r>
            <w:r w:rsidRPr="00097A86">
              <w:t>1</w:t>
            </w:r>
          </w:p>
        </w:tc>
      </w:tr>
      <w:tr w:rsidR="00F1362A" w:rsidRPr="00097A86" w14:paraId="4C3F5C4E" w14:textId="77777777" w:rsidTr="00C20CC2">
        <w:tblPrEx>
          <w:jc w:val="center"/>
        </w:tblPrEx>
        <w:trPr>
          <w:gridAfter w:val="1"/>
          <w:wAfter w:w="37" w:type="pct"/>
          <w:jc w:val="center"/>
        </w:trPr>
        <w:tc>
          <w:tcPr>
            <w:tcW w:w="1390" w:type="pct"/>
            <w:gridSpan w:val="2"/>
          </w:tcPr>
          <w:p w14:paraId="4BB6E5FA" w14:textId="77777777" w:rsidR="00F1362A" w:rsidRPr="00097A86" w:rsidRDefault="00F1362A" w:rsidP="006D1F60">
            <w:pPr>
              <w:pStyle w:val="ENoteTableText"/>
              <w:tabs>
                <w:tab w:val="left" w:leader="dot" w:pos="2268"/>
              </w:tabs>
            </w:pPr>
            <w:r w:rsidRPr="00097A86">
              <w:t>s 4.63</w:t>
            </w:r>
            <w:r w:rsidRPr="00097A86">
              <w:tab/>
            </w:r>
          </w:p>
        </w:tc>
        <w:tc>
          <w:tcPr>
            <w:tcW w:w="3573" w:type="pct"/>
            <w:gridSpan w:val="2"/>
          </w:tcPr>
          <w:p w14:paraId="42A1978A" w14:textId="77777777" w:rsidR="00F1362A" w:rsidRPr="00097A86" w:rsidRDefault="00F1362A" w:rsidP="00D22D3F">
            <w:pPr>
              <w:pStyle w:val="ENoteTableText"/>
            </w:pPr>
            <w:r w:rsidRPr="00097A86">
              <w:t>rs 2009 No.</w:t>
            </w:r>
            <w:r>
              <w:t> </w:t>
            </w:r>
            <w:r w:rsidRPr="00097A86">
              <w:t>1; 2011 No.</w:t>
            </w:r>
            <w:r>
              <w:t> </w:t>
            </w:r>
            <w:r w:rsidRPr="00097A86">
              <w:t>1</w:t>
            </w:r>
          </w:p>
        </w:tc>
      </w:tr>
      <w:tr w:rsidR="00F1362A" w:rsidRPr="00097A86" w14:paraId="726FD06A" w14:textId="77777777" w:rsidTr="00C20CC2">
        <w:tblPrEx>
          <w:jc w:val="center"/>
        </w:tblPrEx>
        <w:trPr>
          <w:gridAfter w:val="1"/>
          <w:wAfter w:w="37" w:type="pct"/>
          <w:jc w:val="center"/>
        </w:trPr>
        <w:tc>
          <w:tcPr>
            <w:tcW w:w="1390" w:type="pct"/>
            <w:gridSpan w:val="2"/>
          </w:tcPr>
          <w:p w14:paraId="35C4E7A4" w14:textId="77777777" w:rsidR="00F1362A" w:rsidRPr="00097A86" w:rsidRDefault="00F1362A" w:rsidP="006D1F60">
            <w:pPr>
              <w:pStyle w:val="ENoteTableText"/>
              <w:tabs>
                <w:tab w:val="left" w:leader="dot" w:pos="2268"/>
              </w:tabs>
            </w:pPr>
            <w:r w:rsidRPr="00097A86">
              <w:t>s 4.64</w:t>
            </w:r>
            <w:r w:rsidRPr="00097A86">
              <w:tab/>
            </w:r>
          </w:p>
        </w:tc>
        <w:tc>
          <w:tcPr>
            <w:tcW w:w="3573" w:type="pct"/>
            <w:gridSpan w:val="2"/>
          </w:tcPr>
          <w:p w14:paraId="5DF7471B" w14:textId="77777777" w:rsidR="00F1362A" w:rsidRPr="00097A86" w:rsidRDefault="00F1362A" w:rsidP="00D22D3F">
            <w:pPr>
              <w:pStyle w:val="ENoteTableText"/>
            </w:pPr>
            <w:r w:rsidRPr="00097A86">
              <w:t>am 2009 No.</w:t>
            </w:r>
            <w:r>
              <w:t> </w:t>
            </w:r>
            <w:r w:rsidRPr="00097A86">
              <w:t>1</w:t>
            </w:r>
          </w:p>
        </w:tc>
      </w:tr>
      <w:tr w:rsidR="00F1362A" w:rsidRPr="00097A86" w14:paraId="2B99F48F" w14:textId="77777777" w:rsidTr="00C20CC2">
        <w:tblPrEx>
          <w:jc w:val="center"/>
        </w:tblPrEx>
        <w:trPr>
          <w:gridAfter w:val="1"/>
          <w:wAfter w:w="37" w:type="pct"/>
          <w:jc w:val="center"/>
        </w:trPr>
        <w:tc>
          <w:tcPr>
            <w:tcW w:w="1390" w:type="pct"/>
            <w:gridSpan w:val="2"/>
          </w:tcPr>
          <w:p w14:paraId="469B6B24" w14:textId="77777777" w:rsidR="00F1362A" w:rsidRPr="00097A86" w:rsidRDefault="00F1362A" w:rsidP="006D1F60">
            <w:pPr>
              <w:pStyle w:val="ENoteTableText"/>
              <w:tabs>
                <w:tab w:val="left" w:leader="dot" w:pos="2268"/>
              </w:tabs>
            </w:pPr>
            <w:r w:rsidRPr="00097A86">
              <w:lastRenderedPageBreak/>
              <w:t>s 4.65</w:t>
            </w:r>
            <w:r w:rsidRPr="00097A86">
              <w:tab/>
            </w:r>
          </w:p>
        </w:tc>
        <w:tc>
          <w:tcPr>
            <w:tcW w:w="3573" w:type="pct"/>
            <w:gridSpan w:val="2"/>
          </w:tcPr>
          <w:p w14:paraId="536A2F00" w14:textId="77777777" w:rsidR="00F1362A" w:rsidRPr="00097A86" w:rsidRDefault="00F1362A" w:rsidP="00D22D3F">
            <w:pPr>
              <w:pStyle w:val="ENoteTableText"/>
            </w:pPr>
            <w:r w:rsidRPr="00097A86">
              <w:t>am 2009 No.</w:t>
            </w:r>
            <w:r>
              <w:t> </w:t>
            </w:r>
            <w:r w:rsidRPr="00097A86">
              <w:t>1</w:t>
            </w:r>
          </w:p>
        </w:tc>
      </w:tr>
      <w:tr w:rsidR="00F1362A" w:rsidRPr="00097A86" w14:paraId="0E2018B0" w14:textId="77777777" w:rsidTr="00C20CC2">
        <w:tblPrEx>
          <w:jc w:val="center"/>
        </w:tblPrEx>
        <w:trPr>
          <w:gridAfter w:val="1"/>
          <w:wAfter w:w="37" w:type="pct"/>
          <w:jc w:val="center"/>
        </w:trPr>
        <w:tc>
          <w:tcPr>
            <w:tcW w:w="1390" w:type="pct"/>
            <w:gridSpan w:val="2"/>
          </w:tcPr>
          <w:p w14:paraId="4C47D875" w14:textId="77777777" w:rsidR="00F1362A" w:rsidRPr="00097A86" w:rsidRDefault="00F1362A" w:rsidP="006D1F60">
            <w:pPr>
              <w:pStyle w:val="ENoteTableText"/>
              <w:tabs>
                <w:tab w:val="left" w:leader="dot" w:pos="2268"/>
              </w:tabs>
            </w:pPr>
            <w:r w:rsidRPr="00097A86">
              <w:t>s 4.66</w:t>
            </w:r>
            <w:r w:rsidRPr="00097A86">
              <w:tab/>
            </w:r>
          </w:p>
        </w:tc>
        <w:tc>
          <w:tcPr>
            <w:tcW w:w="3573" w:type="pct"/>
            <w:gridSpan w:val="2"/>
          </w:tcPr>
          <w:p w14:paraId="7B47D76B" w14:textId="77777777" w:rsidR="00F1362A" w:rsidRPr="00097A86" w:rsidRDefault="00F1362A" w:rsidP="006C1D96">
            <w:pPr>
              <w:pStyle w:val="ENoteTableText"/>
            </w:pPr>
            <w:r w:rsidRPr="00097A86">
              <w:t>am 2009 No.</w:t>
            </w:r>
            <w:r>
              <w:t> </w:t>
            </w:r>
            <w:r w:rsidRPr="00097A86">
              <w:t>1; 2011 No.</w:t>
            </w:r>
            <w:r>
              <w:t> </w:t>
            </w:r>
            <w:r w:rsidRPr="00097A86">
              <w:t>1; 2012 No.</w:t>
            </w:r>
            <w:r>
              <w:t> </w:t>
            </w:r>
            <w:r w:rsidRPr="00097A86">
              <w:t>1; 2016 No 1</w:t>
            </w:r>
            <w:r>
              <w:t>; F2018L00923</w:t>
            </w:r>
          </w:p>
        </w:tc>
      </w:tr>
      <w:tr w:rsidR="00F1362A" w:rsidRPr="00097A86" w14:paraId="519C930B" w14:textId="77777777" w:rsidTr="00C20CC2">
        <w:tblPrEx>
          <w:jc w:val="center"/>
        </w:tblPrEx>
        <w:trPr>
          <w:gridAfter w:val="1"/>
          <w:wAfter w:w="37" w:type="pct"/>
          <w:jc w:val="center"/>
        </w:trPr>
        <w:tc>
          <w:tcPr>
            <w:tcW w:w="1390" w:type="pct"/>
            <w:gridSpan w:val="2"/>
          </w:tcPr>
          <w:p w14:paraId="005FD250" w14:textId="77777777" w:rsidR="00F1362A" w:rsidRPr="00097A86" w:rsidRDefault="00F1362A" w:rsidP="006D1F60">
            <w:pPr>
              <w:pStyle w:val="ENoteTableText"/>
              <w:tabs>
                <w:tab w:val="left" w:leader="dot" w:pos="2268"/>
              </w:tabs>
            </w:pPr>
            <w:r w:rsidRPr="00097A86">
              <w:t>s 4.67</w:t>
            </w:r>
            <w:r w:rsidRPr="00097A86">
              <w:tab/>
            </w:r>
          </w:p>
        </w:tc>
        <w:tc>
          <w:tcPr>
            <w:tcW w:w="3573" w:type="pct"/>
            <w:gridSpan w:val="2"/>
          </w:tcPr>
          <w:p w14:paraId="7713E747" w14:textId="77777777" w:rsidR="00F1362A" w:rsidRPr="00097A86" w:rsidRDefault="00F1362A" w:rsidP="006C1D96">
            <w:pPr>
              <w:pStyle w:val="ENoteTableText"/>
            </w:pPr>
            <w:r w:rsidRPr="00097A86">
              <w:t>am 2009 No.</w:t>
            </w:r>
            <w:r>
              <w:t> </w:t>
            </w:r>
            <w:r w:rsidRPr="00097A86">
              <w:t>1; 2010 No.</w:t>
            </w:r>
            <w:r>
              <w:t> </w:t>
            </w:r>
            <w:r w:rsidRPr="00097A86">
              <w:t>1; 2011 No.</w:t>
            </w:r>
            <w:r>
              <w:t> </w:t>
            </w:r>
            <w:r w:rsidRPr="00097A86">
              <w:t>1</w:t>
            </w:r>
          </w:p>
        </w:tc>
      </w:tr>
      <w:tr w:rsidR="00F1362A" w:rsidRPr="00097A86" w14:paraId="634EFE6D" w14:textId="77777777" w:rsidTr="00C20CC2">
        <w:tblPrEx>
          <w:jc w:val="center"/>
        </w:tblPrEx>
        <w:trPr>
          <w:gridAfter w:val="1"/>
          <w:wAfter w:w="37" w:type="pct"/>
          <w:jc w:val="center"/>
        </w:trPr>
        <w:tc>
          <w:tcPr>
            <w:tcW w:w="1390" w:type="pct"/>
            <w:gridSpan w:val="2"/>
          </w:tcPr>
          <w:p w14:paraId="7EC1E5C8" w14:textId="77777777" w:rsidR="00F1362A" w:rsidRPr="00097A86" w:rsidRDefault="00F1362A" w:rsidP="006D1F60">
            <w:pPr>
              <w:pStyle w:val="ENoteTableText"/>
              <w:tabs>
                <w:tab w:val="left" w:leader="dot" w:pos="2268"/>
              </w:tabs>
            </w:pPr>
            <w:r w:rsidRPr="00097A86">
              <w:t>s 4.68</w:t>
            </w:r>
            <w:r w:rsidRPr="00097A86">
              <w:tab/>
            </w:r>
          </w:p>
        </w:tc>
        <w:tc>
          <w:tcPr>
            <w:tcW w:w="3573" w:type="pct"/>
            <w:gridSpan w:val="2"/>
          </w:tcPr>
          <w:p w14:paraId="6F993339"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50869252" w14:textId="77777777" w:rsidTr="00C20CC2">
        <w:tblPrEx>
          <w:jc w:val="center"/>
        </w:tblPrEx>
        <w:trPr>
          <w:gridAfter w:val="1"/>
          <w:wAfter w:w="37" w:type="pct"/>
          <w:jc w:val="center"/>
        </w:trPr>
        <w:tc>
          <w:tcPr>
            <w:tcW w:w="1390" w:type="pct"/>
            <w:gridSpan w:val="2"/>
          </w:tcPr>
          <w:p w14:paraId="68838B04"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4.4.2</w:t>
            </w:r>
          </w:p>
        </w:tc>
        <w:tc>
          <w:tcPr>
            <w:tcW w:w="3573" w:type="pct"/>
            <w:gridSpan w:val="2"/>
          </w:tcPr>
          <w:p w14:paraId="1978F61E" w14:textId="77777777" w:rsidR="00F1362A" w:rsidRPr="00097A86" w:rsidRDefault="00F1362A" w:rsidP="00D22D3F">
            <w:pPr>
              <w:pStyle w:val="ENoteTableText"/>
            </w:pPr>
          </w:p>
        </w:tc>
      </w:tr>
      <w:tr w:rsidR="00F1362A" w:rsidRPr="00097A86" w14:paraId="5E7932BF" w14:textId="77777777" w:rsidTr="00C20CC2">
        <w:tblPrEx>
          <w:jc w:val="center"/>
        </w:tblPrEx>
        <w:trPr>
          <w:gridAfter w:val="1"/>
          <w:wAfter w:w="37" w:type="pct"/>
          <w:jc w:val="center"/>
        </w:trPr>
        <w:tc>
          <w:tcPr>
            <w:tcW w:w="1390" w:type="pct"/>
            <w:gridSpan w:val="2"/>
          </w:tcPr>
          <w:p w14:paraId="55A8412F" w14:textId="77777777" w:rsidR="00F1362A" w:rsidRPr="00097A86" w:rsidRDefault="00F1362A" w:rsidP="006D1F60">
            <w:pPr>
              <w:pStyle w:val="ENoteTableText"/>
              <w:tabs>
                <w:tab w:val="left" w:leader="dot" w:pos="2268"/>
              </w:tabs>
            </w:pPr>
            <w:r w:rsidRPr="00097A86">
              <w:t>Heading to Div. 4.4.2</w:t>
            </w:r>
            <w:r w:rsidRPr="00097A86">
              <w:tab/>
            </w:r>
            <w:r w:rsidRPr="00097A86">
              <w:br/>
              <w:t>of Part</w:t>
            </w:r>
            <w:r>
              <w:t> </w:t>
            </w:r>
            <w:r w:rsidRPr="00097A86">
              <w:t>4.4</w:t>
            </w:r>
          </w:p>
        </w:tc>
        <w:tc>
          <w:tcPr>
            <w:tcW w:w="3573" w:type="pct"/>
            <w:gridSpan w:val="2"/>
          </w:tcPr>
          <w:p w14:paraId="32D98968" w14:textId="77777777" w:rsidR="00F1362A" w:rsidRPr="00097A86" w:rsidRDefault="00F1362A" w:rsidP="00D22D3F">
            <w:pPr>
              <w:pStyle w:val="ENoteTableText"/>
            </w:pPr>
            <w:r w:rsidRPr="00097A86">
              <w:t>rs 2009 No.</w:t>
            </w:r>
            <w:r>
              <w:t> </w:t>
            </w:r>
            <w:r w:rsidRPr="00097A86">
              <w:t>1</w:t>
            </w:r>
          </w:p>
        </w:tc>
      </w:tr>
      <w:tr w:rsidR="00F1362A" w:rsidRPr="00097A86" w14:paraId="6040A5A3" w14:textId="77777777" w:rsidTr="00C20CC2">
        <w:tblPrEx>
          <w:jc w:val="center"/>
        </w:tblPrEx>
        <w:trPr>
          <w:gridAfter w:val="1"/>
          <w:wAfter w:w="37" w:type="pct"/>
          <w:jc w:val="center"/>
        </w:trPr>
        <w:tc>
          <w:tcPr>
            <w:tcW w:w="1390" w:type="pct"/>
            <w:gridSpan w:val="2"/>
          </w:tcPr>
          <w:p w14:paraId="6A9CACAA" w14:textId="77777777" w:rsidR="00F1362A" w:rsidRPr="00097A86" w:rsidRDefault="00F1362A" w:rsidP="006D1F60">
            <w:pPr>
              <w:pStyle w:val="ENoteTableText"/>
              <w:tabs>
                <w:tab w:val="left" w:leader="dot" w:pos="2268"/>
              </w:tabs>
            </w:pPr>
            <w:r w:rsidRPr="00097A86">
              <w:t>s 4.69</w:t>
            </w:r>
            <w:r w:rsidRPr="00097A86">
              <w:tab/>
            </w:r>
          </w:p>
        </w:tc>
        <w:tc>
          <w:tcPr>
            <w:tcW w:w="3573" w:type="pct"/>
            <w:gridSpan w:val="2"/>
          </w:tcPr>
          <w:p w14:paraId="1798E973" w14:textId="77777777" w:rsidR="00F1362A" w:rsidRPr="00097A86" w:rsidRDefault="00F1362A" w:rsidP="00D22D3F">
            <w:pPr>
              <w:pStyle w:val="ENoteTableText"/>
            </w:pPr>
            <w:r w:rsidRPr="00097A86">
              <w:t>am 2009 No.</w:t>
            </w:r>
            <w:r>
              <w:t> </w:t>
            </w:r>
            <w:r w:rsidRPr="00097A86">
              <w:t>1</w:t>
            </w:r>
          </w:p>
        </w:tc>
      </w:tr>
      <w:tr w:rsidR="00F1362A" w:rsidRPr="00097A86" w14:paraId="65FE97E9" w14:textId="77777777" w:rsidTr="00C20CC2">
        <w:tblPrEx>
          <w:jc w:val="center"/>
        </w:tblPrEx>
        <w:trPr>
          <w:gridAfter w:val="1"/>
          <w:wAfter w:w="37" w:type="pct"/>
          <w:jc w:val="center"/>
        </w:trPr>
        <w:tc>
          <w:tcPr>
            <w:tcW w:w="1390" w:type="pct"/>
            <w:gridSpan w:val="2"/>
          </w:tcPr>
          <w:p w14:paraId="2B1F3548" w14:textId="77777777" w:rsidR="00F1362A" w:rsidRPr="00097A86" w:rsidRDefault="00F1362A" w:rsidP="006D1F60">
            <w:pPr>
              <w:pStyle w:val="ENoteTableText"/>
              <w:tabs>
                <w:tab w:val="left" w:leader="dot" w:pos="2268"/>
              </w:tabs>
            </w:pPr>
          </w:p>
        </w:tc>
        <w:tc>
          <w:tcPr>
            <w:tcW w:w="3573" w:type="pct"/>
            <w:gridSpan w:val="2"/>
          </w:tcPr>
          <w:p w14:paraId="674BE78A" w14:textId="77777777" w:rsidR="00F1362A" w:rsidRPr="00097A86" w:rsidRDefault="00F1362A" w:rsidP="00D22D3F">
            <w:pPr>
              <w:pStyle w:val="ENoteTableText"/>
            </w:pPr>
            <w:r w:rsidRPr="00097A86">
              <w:t>rs 2010 No.</w:t>
            </w:r>
            <w:r>
              <w:t> </w:t>
            </w:r>
            <w:r w:rsidRPr="00097A86">
              <w:t>1</w:t>
            </w:r>
          </w:p>
        </w:tc>
      </w:tr>
      <w:tr w:rsidR="00F1362A" w:rsidRPr="00097A86" w14:paraId="67297693" w14:textId="77777777" w:rsidTr="00C20CC2">
        <w:tblPrEx>
          <w:jc w:val="center"/>
        </w:tblPrEx>
        <w:trPr>
          <w:gridAfter w:val="1"/>
          <w:wAfter w:w="37" w:type="pct"/>
          <w:jc w:val="center"/>
        </w:trPr>
        <w:tc>
          <w:tcPr>
            <w:tcW w:w="1390" w:type="pct"/>
            <w:gridSpan w:val="2"/>
          </w:tcPr>
          <w:p w14:paraId="7316AC5E" w14:textId="77777777" w:rsidR="00F1362A" w:rsidRPr="00097A86" w:rsidRDefault="00F1362A" w:rsidP="006D1F60">
            <w:pPr>
              <w:pStyle w:val="ENoteTableText"/>
              <w:tabs>
                <w:tab w:val="left" w:leader="dot" w:pos="2268"/>
              </w:tabs>
            </w:pPr>
            <w:r w:rsidRPr="00097A86">
              <w:t>s 4.70</w:t>
            </w:r>
            <w:r w:rsidRPr="00097A86">
              <w:tab/>
            </w:r>
          </w:p>
        </w:tc>
        <w:tc>
          <w:tcPr>
            <w:tcW w:w="3573" w:type="pct"/>
            <w:gridSpan w:val="2"/>
          </w:tcPr>
          <w:p w14:paraId="47DF9379"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14023F1E" w14:textId="77777777" w:rsidTr="00C20CC2">
        <w:tblPrEx>
          <w:jc w:val="center"/>
        </w:tblPrEx>
        <w:trPr>
          <w:gridAfter w:val="1"/>
          <w:wAfter w:w="37" w:type="pct"/>
          <w:jc w:val="center"/>
        </w:trPr>
        <w:tc>
          <w:tcPr>
            <w:tcW w:w="1390" w:type="pct"/>
            <w:gridSpan w:val="2"/>
          </w:tcPr>
          <w:p w14:paraId="3CB6DBA4" w14:textId="77777777" w:rsidR="00F1362A" w:rsidRPr="00097A86" w:rsidRDefault="00F1362A" w:rsidP="006D1F60">
            <w:pPr>
              <w:pStyle w:val="ENoteTableText"/>
              <w:tabs>
                <w:tab w:val="left" w:leader="dot" w:pos="2268"/>
              </w:tabs>
            </w:pPr>
            <w:r w:rsidRPr="00097A86">
              <w:t>s 4.71</w:t>
            </w:r>
            <w:r w:rsidRPr="00097A86">
              <w:tab/>
            </w:r>
          </w:p>
        </w:tc>
        <w:tc>
          <w:tcPr>
            <w:tcW w:w="3573" w:type="pct"/>
            <w:gridSpan w:val="2"/>
          </w:tcPr>
          <w:p w14:paraId="4E14EE2E" w14:textId="77777777" w:rsidR="00F1362A" w:rsidRPr="00097A86" w:rsidRDefault="00F1362A" w:rsidP="00D22D3F">
            <w:pPr>
              <w:pStyle w:val="ENoteTableText"/>
            </w:pPr>
            <w:r w:rsidRPr="00097A86">
              <w:t>am 2009 No.</w:t>
            </w:r>
            <w:r>
              <w:t> </w:t>
            </w:r>
            <w:r w:rsidRPr="00097A86">
              <w:t>1</w:t>
            </w:r>
          </w:p>
        </w:tc>
      </w:tr>
      <w:tr w:rsidR="00F1362A" w:rsidRPr="00097A86" w14:paraId="308596F2" w14:textId="77777777" w:rsidTr="00C20CC2">
        <w:tblPrEx>
          <w:jc w:val="center"/>
        </w:tblPrEx>
        <w:trPr>
          <w:gridAfter w:val="1"/>
          <w:wAfter w:w="37" w:type="pct"/>
          <w:jc w:val="center"/>
        </w:trPr>
        <w:tc>
          <w:tcPr>
            <w:tcW w:w="1390" w:type="pct"/>
            <w:gridSpan w:val="2"/>
          </w:tcPr>
          <w:p w14:paraId="353C24A9" w14:textId="77777777" w:rsidR="00F1362A" w:rsidRPr="00097A86" w:rsidRDefault="00F1362A" w:rsidP="006D1F60">
            <w:pPr>
              <w:pStyle w:val="ENoteTableText"/>
              <w:tabs>
                <w:tab w:val="left" w:leader="dot" w:pos="2268"/>
              </w:tabs>
            </w:pPr>
          </w:p>
        </w:tc>
        <w:tc>
          <w:tcPr>
            <w:tcW w:w="3573" w:type="pct"/>
            <w:gridSpan w:val="2"/>
          </w:tcPr>
          <w:p w14:paraId="5F573B2A" w14:textId="77777777" w:rsidR="00F1362A" w:rsidRPr="00097A86" w:rsidRDefault="00F1362A" w:rsidP="00D22D3F">
            <w:pPr>
              <w:pStyle w:val="ENoteTableText"/>
            </w:pPr>
            <w:r w:rsidRPr="00097A86">
              <w:t>rs 2011 No.</w:t>
            </w:r>
            <w:r>
              <w:t> </w:t>
            </w:r>
            <w:r w:rsidRPr="00097A86">
              <w:t>1</w:t>
            </w:r>
          </w:p>
        </w:tc>
      </w:tr>
      <w:tr w:rsidR="00F1362A" w:rsidRPr="00097A86" w14:paraId="5E6B8FCB" w14:textId="77777777" w:rsidTr="00C20CC2">
        <w:tblPrEx>
          <w:jc w:val="center"/>
        </w:tblPrEx>
        <w:trPr>
          <w:gridAfter w:val="1"/>
          <w:wAfter w:w="37" w:type="pct"/>
          <w:jc w:val="center"/>
        </w:trPr>
        <w:tc>
          <w:tcPr>
            <w:tcW w:w="1390" w:type="pct"/>
            <w:gridSpan w:val="2"/>
          </w:tcPr>
          <w:p w14:paraId="0FFC8FD8" w14:textId="77777777" w:rsidR="00F1362A" w:rsidRPr="00097A86" w:rsidRDefault="00F1362A" w:rsidP="006D1F60">
            <w:pPr>
              <w:pStyle w:val="ENoteTableText"/>
              <w:tabs>
                <w:tab w:val="left" w:leader="dot" w:pos="2268"/>
              </w:tabs>
            </w:pPr>
          </w:p>
        </w:tc>
        <w:tc>
          <w:tcPr>
            <w:tcW w:w="3573" w:type="pct"/>
            <w:gridSpan w:val="2"/>
          </w:tcPr>
          <w:p w14:paraId="67270159" w14:textId="77777777" w:rsidR="00F1362A" w:rsidRPr="00097A86" w:rsidRDefault="00F1362A" w:rsidP="00D22D3F">
            <w:pPr>
              <w:pStyle w:val="ENoteTableText"/>
            </w:pPr>
            <w:r w:rsidRPr="00097A86">
              <w:t>ed C7</w:t>
            </w:r>
          </w:p>
        </w:tc>
      </w:tr>
      <w:tr w:rsidR="00F1362A" w:rsidRPr="00097A86" w14:paraId="1344548F" w14:textId="77777777" w:rsidTr="00C20CC2">
        <w:tblPrEx>
          <w:jc w:val="center"/>
        </w:tblPrEx>
        <w:trPr>
          <w:gridAfter w:val="1"/>
          <w:wAfter w:w="37" w:type="pct"/>
          <w:jc w:val="center"/>
        </w:trPr>
        <w:tc>
          <w:tcPr>
            <w:tcW w:w="1390" w:type="pct"/>
            <w:gridSpan w:val="2"/>
          </w:tcPr>
          <w:p w14:paraId="5F783E21" w14:textId="77777777" w:rsidR="00F1362A" w:rsidRPr="00097A86" w:rsidRDefault="00F1362A" w:rsidP="006D1F60">
            <w:pPr>
              <w:pStyle w:val="ENoteTableText"/>
              <w:tabs>
                <w:tab w:val="left" w:leader="dot" w:pos="2268"/>
              </w:tabs>
            </w:pPr>
            <w:r w:rsidRPr="00097A86">
              <w:t>s 4.72</w:t>
            </w:r>
            <w:r w:rsidRPr="00097A86">
              <w:tab/>
            </w:r>
          </w:p>
        </w:tc>
        <w:tc>
          <w:tcPr>
            <w:tcW w:w="3573" w:type="pct"/>
            <w:gridSpan w:val="2"/>
          </w:tcPr>
          <w:p w14:paraId="22F45A99" w14:textId="77777777" w:rsidR="00F1362A" w:rsidRPr="00097A86" w:rsidRDefault="00F1362A" w:rsidP="00D22D3F">
            <w:pPr>
              <w:pStyle w:val="ENoteTableText"/>
            </w:pPr>
            <w:r w:rsidRPr="00097A86">
              <w:t>rs 2011 No.</w:t>
            </w:r>
            <w:r>
              <w:t> </w:t>
            </w:r>
            <w:r w:rsidRPr="00097A86">
              <w:t>1</w:t>
            </w:r>
          </w:p>
        </w:tc>
      </w:tr>
      <w:tr w:rsidR="00F1362A" w:rsidRPr="00097A86" w14:paraId="02B9D6F4" w14:textId="77777777" w:rsidTr="00C20CC2">
        <w:tblPrEx>
          <w:jc w:val="center"/>
        </w:tblPrEx>
        <w:trPr>
          <w:gridAfter w:val="1"/>
          <w:wAfter w:w="37" w:type="pct"/>
          <w:jc w:val="center"/>
        </w:trPr>
        <w:tc>
          <w:tcPr>
            <w:tcW w:w="1390" w:type="pct"/>
            <w:gridSpan w:val="2"/>
          </w:tcPr>
          <w:p w14:paraId="3F6CB589" w14:textId="77777777" w:rsidR="00F1362A" w:rsidRPr="00097A86" w:rsidRDefault="00F1362A" w:rsidP="006D1F60">
            <w:pPr>
              <w:pStyle w:val="ENoteTableText"/>
              <w:tabs>
                <w:tab w:val="left" w:leader="dot" w:pos="2268"/>
              </w:tabs>
            </w:pPr>
            <w:r w:rsidRPr="00097A86">
              <w:t>s 4.73</w:t>
            </w:r>
            <w:r w:rsidRPr="00097A86">
              <w:tab/>
            </w:r>
          </w:p>
        </w:tc>
        <w:tc>
          <w:tcPr>
            <w:tcW w:w="3573" w:type="pct"/>
            <w:gridSpan w:val="2"/>
          </w:tcPr>
          <w:p w14:paraId="487D1C77" w14:textId="77777777" w:rsidR="00F1362A" w:rsidRPr="00097A86" w:rsidRDefault="00F1362A" w:rsidP="00D22D3F">
            <w:pPr>
              <w:pStyle w:val="ENoteTableText"/>
            </w:pPr>
            <w:r w:rsidRPr="00097A86">
              <w:t>rs 2011 No.</w:t>
            </w:r>
            <w:r>
              <w:t> </w:t>
            </w:r>
            <w:r w:rsidRPr="00097A86">
              <w:t>1</w:t>
            </w:r>
          </w:p>
        </w:tc>
      </w:tr>
      <w:tr w:rsidR="00F1362A" w:rsidRPr="00097A86" w14:paraId="49656ECD" w14:textId="77777777" w:rsidTr="00C20CC2">
        <w:tblPrEx>
          <w:jc w:val="center"/>
        </w:tblPrEx>
        <w:trPr>
          <w:gridAfter w:val="1"/>
          <w:wAfter w:w="37" w:type="pct"/>
          <w:jc w:val="center"/>
        </w:trPr>
        <w:tc>
          <w:tcPr>
            <w:tcW w:w="1390" w:type="pct"/>
            <w:gridSpan w:val="2"/>
          </w:tcPr>
          <w:p w14:paraId="2E77FA53"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4.4.3</w:t>
            </w:r>
          </w:p>
        </w:tc>
        <w:tc>
          <w:tcPr>
            <w:tcW w:w="3573" w:type="pct"/>
            <w:gridSpan w:val="2"/>
          </w:tcPr>
          <w:p w14:paraId="4BCB1806" w14:textId="77777777" w:rsidR="00F1362A" w:rsidRPr="00097A86" w:rsidRDefault="00F1362A" w:rsidP="00D22D3F">
            <w:pPr>
              <w:pStyle w:val="ENoteTableText"/>
            </w:pPr>
          </w:p>
        </w:tc>
      </w:tr>
      <w:tr w:rsidR="00F1362A" w:rsidRPr="00097A86" w14:paraId="1D60F2C3" w14:textId="77777777" w:rsidTr="00C20CC2">
        <w:tblPrEx>
          <w:jc w:val="center"/>
        </w:tblPrEx>
        <w:trPr>
          <w:gridAfter w:val="1"/>
          <w:wAfter w:w="37" w:type="pct"/>
          <w:jc w:val="center"/>
        </w:trPr>
        <w:tc>
          <w:tcPr>
            <w:tcW w:w="1390" w:type="pct"/>
            <w:gridSpan w:val="2"/>
          </w:tcPr>
          <w:p w14:paraId="53589965" w14:textId="77777777" w:rsidR="00F1362A" w:rsidRPr="00097A86" w:rsidRDefault="00F1362A" w:rsidP="006C1D96">
            <w:pPr>
              <w:pStyle w:val="ENoteTableText"/>
              <w:tabs>
                <w:tab w:val="left" w:leader="dot" w:pos="2268"/>
              </w:tabs>
            </w:pPr>
            <w:r w:rsidRPr="00097A86">
              <w:t>Division</w:t>
            </w:r>
            <w:r>
              <w:t> </w:t>
            </w:r>
            <w:r w:rsidRPr="00097A86">
              <w:t>4.4.3 heading</w:t>
            </w:r>
            <w:r w:rsidRPr="00097A86">
              <w:tab/>
            </w:r>
          </w:p>
        </w:tc>
        <w:tc>
          <w:tcPr>
            <w:tcW w:w="3573" w:type="pct"/>
            <w:gridSpan w:val="2"/>
          </w:tcPr>
          <w:p w14:paraId="09019940" w14:textId="77777777" w:rsidR="00F1362A" w:rsidRPr="00097A86" w:rsidRDefault="00F1362A" w:rsidP="00D22D3F">
            <w:pPr>
              <w:pStyle w:val="ENoteTableText"/>
            </w:pPr>
            <w:r w:rsidRPr="00097A86">
              <w:t>rs 2009 No.</w:t>
            </w:r>
            <w:r>
              <w:t> </w:t>
            </w:r>
            <w:r w:rsidRPr="00097A86">
              <w:t>1</w:t>
            </w:r>
          </w:p>
        </w:tc>
      </w:tr>
      <w:tr w:rsidR="00F1362A" w:rsidRPr="00097A86" w14:paraId="7BE07DBB" w14:textId="77777777" w:rsidTr="00C20CC2">
        <w:tblPrEx>
          <w:jc w:val="center"/>
        </w:tblPrEx>
        <w:trPr>
          <w:gridAfter w:val="1"/>
          <w:wAfter w:w="37" w:type="pct"/>
          <w:jc w:val="center"/>
        </w:trPr>
        <w:tc>
          <w:tcPr>
            <w:tcW w:w="1390" w:type="pct"/>
            <w:gridSpan w:val="2"/>
          </w:tcPr>
          <w:p w14:paraId="2B4DD365" w14:textId="77777777" w:rsidR="00F1362A" w:rsidRPr="00097A86" w:rsidRDefault="00F1362A" w:rsidP="006D1F60">
            <w:pPr>
              <w:pStyle w:val="ENoteTableText"/>
              <w:tabs>
                <w:tab w:val="left" w:leader="dot" w:pos="2268"/>
              </w:tabs>
            </w:pPr>
            <w:r w:rsidRPr="00097A86">
              <w:t>s 4.74</w:t>
            </w:r>
            <w:r w:rsidRPr="00097A86">
              <w:tab/>
            </w:r>
          </w:p>
        </w:tc>
        <w:tc>
          <w:tcPr>
            <w:tcW w:w="3573" w:type="pct"/>
            <w:gridSpan w:val="2"/>
          </w:tcPr>
          <w:p w14:paraId="63B39824" w14:textId="77777777" w:rsidR="00F1362A" w:rsidRPr="00097A86" w:rsidRDefault="00F1362A" w:rsidP="00D22D3F">
            <w:pPr>
              <w:pStyle w:val="ENoteTableText"/>
            </w:pPr>
            <w:r w:rsidRPr="00097A86">
              <w:t>am 2009 No.</w:t>
            </w:r>
            <w:r>
              <w:t> </w:t>
            </w:r>
            <w:r w:rsidRPr="00097A86">
              <w:t>1</w:t>
            </w:r>
          </w:p>
        </w:tc>
      </w:tr>
      <w:tr w:rsidR="00F1362A" w:rsidRPr="00097A86" w14:paraId="524B8896" w14:textId="77777777" w:rsidTr="00C20CC2">
        <w:tblPrEx>
          <w:jc w:val="center"/>
        </w:tblPrEx>
        <w:trPr>
          <w:gridAfter w:val="1"/>
          <w:wAfter w:w="37" w:type="pct"/>
          <w:jc w:val="center"/>
        </w:trPr>
        <w:tc>
          <w:tcPr>
            <w:tcW w:w="1390" w:type="pct"/>
            <w:gridSpan w:val="2"/>
          </w:tcPr>
          <w:p w14:paraId="6E447B46"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4.4.3.1</w:t>
            </w:r>
          </w:p>
        </w:tc>
        <w:tc>
          <w:tcPr>
            <w:tcW w:w="3573" w:type="pct"/>
            <w:gridSpan w:val="2"/>
          </w:tcPr>
          <w:p w14:paraId="543A0E83" w14:textId="77777777" w:rsidR="00F1362A" w:rsidRPr="00097A86" w:rsidRDefault="00F1362A" w:rsidP="00D22D3F">
            <w:pPr>
              <w:pStyle w:val="ENoteTableText"/>
            </w:pPr>
          </w:p>
        </w:tc>
      </w:tr>
      <w:tr w:rsidR="00F1362A" w:rsidRPr="00097A86" w14:paraId="7BC20AD2" w14:textId="77777777" w:rsidTr="00C20CC2">
        <w:tblPrEx>
          <w:jc w:val="center"/>
        </w:tblPrEx>
        <w:trPr>
          <w:gridAfter w:val="1"/>
          <w:wAfter w:w="37" w:type="pct"/>
          <w:jc w:val="center"/>
        </w:trPr>
        <w:tc>
          <w:tcPr>
            <w:tcW w:w="1390" w:type="pct"/>
            <w:gridSpan w:val="2"/>
          </w:tcPr>
          <w:p w14:paraId="36C3C9E5" w14:textId="77777777" w:rsidR="00F1362A" w:rsidRPr="00097A86" w:rsidRDefault="00F1362A" w:rsidP="006C1D96">
            <w:pPr>
              <w:pStyle w:val="ENoteTableText"/>
              <w:tabs>
                <w:tab w:val="left" w:leader="dot" w:pos="2268"/>
              </w:tabs>
            </w:pPr>
            <w:r w:rsidRPr="00097A86">
              <w:lastRenderedPageBreak/>
              <w:t>Subdivision</w:t>
            </w:r>
            <w:r>
              <w:t> </w:t>
            </w:r>
            <w:r w:rsidRPr="00097A86">
              <w:t>4.4.3.1 heading</w:t>
            </w:r>
            <w:r w:rsidRPr="00097A86">
              <w:tab/>
            </w:r>
          </w:p>
        </w:tc>
        <w:tc>
          <w:tcPr>
            <w:tcW w:w="3573" w:type="pct"/>
            <w:gridSpan w:val="2"/>
          </w:tcPr>
          <w:p w14:paraId="10252325" w14:textId="77777777" w:rsidR="00F1362A" w:rsidRPr="00097A86" w:rsidRDefault="00F1362A" w:rsidP="00D22D3F">
            <w:pPr>
              <w:pStyle w:val="ENoteTableText"/>
            </w:pPr>
            <w:r w:rsidRPr="00097A86">
              <w:t>rs 2010 No.</w:t>
            </w:r>
            <w:r>
              <w:t> </w:t>
            </w:r>
            <w:r w:rsidRPr="00097A86">
              <w:t>1</w:t>
            </w:r>
          </w:p>
        </w:tc>
      </w:tr>
      <w:tr w:rsidR="00F1362A" w:rsidRPr="00097A86" w14:paraId="15F5E9A3" w14:textId="77777777" w:rsidTr="00C20CC2">
        <w:tblPrEx>
          <w:jc w:val="center"/>
        </w:tblPrEx>
        <w:trPr>
          <w:gridAfter w:val="1"/>
          <w:wAfter w:w="37" w:type="pct"/>
          <w:jc w:val="center"/>
        </w:trPr>
        <w:tc>
          <w:tcPr>
            <w:tcW w:w="1390" w:type="pct"/>
            <w:gridSpan w:val="2"/>
          </w:tcPr>
          <w:p w14:paraId="5E2605F6" w14:textId="77777777" w:rsidR="00F1362A" w:rsidRPr="00097A86" w:rsidRDefault="00F1362A" w:rsidP="006D1F60">
            <w:pPr>
              <w:pStyle w:val="ENoteTableText"/>
              <w:tabs>
                <w:tab w:val="left" w:leader="dot" w:pos="2268"/>
              </w:tabs>
            </w:pPr>
            <w:r w:rsidRPr="00097A86">
              <w:t>s 4.75</w:t>
            </w:r>
            <w:r w:rsidRPr="00097A86">
              <w:tab/>
            </w:r>
          </w:p>
        </w:tc>
        <w:tc>
          <w:tcPr>
            <w:tcW w:w="3573" w:type="pct"/>
            <w:gridSpan w:val="2"/>
          </w:tcPr>
          <w:p w14:paraId="73BF88F4"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0AE83EA9" w14:textId="77777777" w:rsidTr="00C20CC2">
        <w:tblPrEx>
          <w:jc w:val="center"/>
        </w:tblPrEx>
        <w:trPr>
          <w:gridAfter w:val="1"/>
          <w:wAfter w:w="37" w:type="pct"/>
          <w:jc w:val="center"/>
        </w:trPr>
        <w:tc>
          <w:tcPr>
            <w:tcW w:w="1390" w:type="pct"/>
            <w:gridSpan w:val="2"/>
          </w:tcPr>
          <w:p w14:paraId="1610C266" w14:textId="77777777" w:rsidR="00F1362A" w:rsidRPr="00097A86" w:rsidRDefault="00F1362A" w:rsidP="006D1F60">
            <w:pPr>
              <w:pStyle w:val="ENoteTableText"/>
              <w:tabs>
                <w:tab w:val="left" w:leader="dot" w:pos="2268"/>
              </w:tabs>
            </w:pPr>
            <w:r w:rsidRPr="00097A86">
              <w:t>s 4.76</w:t>
            </w:r>
            <w:r w:rsidRPr="00097A86">
              <w:tab/>
            </w:r>
          </w:p>
        </w:tc>
        <w:tc>
          <w:tcPr>
            <w:tcW w:w="3573" w:type="pct"/>
            <w:gridSpan w:val="2"/>
          </w:tcPr>
          <w:p w14:paraId="1BFE6EAA"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79CB75FB" w14:textId="77777777" w:rsidTr="00C20CC2">
        <w:tblPrEx>
          <w:jc w:val="center"/>
        </w:tblPrEx>
        <w:trPr>
          <w:gridAfter w:val="1"/>
          <w:wAfter w:w="37" w:type="pct"/>
          <w:jc w:val="center"/>
        </w:trPr>
        <w:tc>
          <w:tcPr>
            <w:tcW w:w="1390" w:type="pct"/>
            <w:gridSpan w:val="2"/>
          </w:tcPr>
          <w:p w14:paraId="0AB89724" w14:textId="77777777" w:rsidR="00F1362A" w:rsidRPr="00097A86" w:rsidRDefault="00F1362A" w:rsidP="006D1F60">
            <w:pPr>
              <w:pStyle w:val="ENoteTableText"/>
              <w:tabs>
                <w:tab w:val="left" w:leader="dot" w:pos="2268"/>
              </w:tabs>
            </w:pPr>
            <w:r w:rsidRPr="00097A86">
              <w:t>s 4.77</w:t>
            </w:r>
            <w:r w:rsidRPr="00097A86">
              <w:tab/>
            </w:r>
          </w:p>
        </w:tc>
        <w:tc>
          <w:tcPr>
            <w:tcW w:w="3573" w:type="pct"/>
            <w:gridSpan w:val="2"/>
          </w:tcPr>
          <w:p w14:paraId="668AE6F7" w14:textId="77777777" w:rsidR="00F1362A" w:rsidRPr="00097A86" w:rsidRDefault="00F1362A" w:rsidP="00D22D3F">
            <w:pPr>
              <w:pStyle w:val="ENoteTableText"/>
            </w:pPr>
            <w:r w:rsidRPr="00097A86">
              <w:t>am 2009 No.</w:t>
            </w:r>
            <w:r>
              <w:t> </w:t>
            </w:r>
            <w:r w:rsidRPr="00097A86">
              <w:t>1; 2010 No.</w:t>
            </w:r>
            <w:r>
              <w:t> </w:t>
            </w:r>
            <w:r w:rsidRPr="00097A86">
              <w:t>1</w:t>
            </w:r>
          </w:p>
        </w:tc>
      </w:tr>
      <w:tr w:rsidR="00F1362A" w:rsidRPr="00097A86" w14:paraId="6EF8D181" w14:textId="77777777" w:rsidTr="00C20CC2">
        <w:tblPrEx>
          <w:jc w:val="center"/>
        </w:tblPrEx>
        <w:trPr>
          <w:gridAfter w:val="1"/>
          <w:wAfter w:w="37" w:type="pct"/>
          <w:jc w:val="center"/>
        </w:trPr>
        <w:tc>
          <w:tcPr>
            <w:tcW w:w="1390" w:type="pct"/>
            <w:gridSpan w:val="2"/>
          </w:tcPr>
          <w:p w14:paraId="0D7A1FBD" w14:textId="77777777" w:rsidR="00F1362A" w:rsidRPr="00097A86" w:rsidRDefault="00F1362A" w:rsidP="006D1F60">
            <w:pPr>
              <w:pStyle w:val="ENoteTableText"/>
              <w:tabs>
                <w:tab w:val="left" w:leader="dot" w:pos="2268"/>
              </w:tabs>
            </w:pPr>
            <w:r w:rsidRPr="00097A86">
              <w:t>s 4.78</w:t>
            </w:r>
            <w:r w:rsidRPr="00097A86">
              <w:tab/>
            </w:r>
          </w:p>
        </w:tc>
        <w:tc>
          <w:tcPr>
            <w:tcW w:w="3573" w:type="pct"/>
            <w:gridSpan w:val="2"/>
          </w:tcPr>
          <w:p w14:paraId="21204B63" w14:textId="77777777" w:rsidR="00F1362A" w:rsidRPr="00097A86" w:rsidRDefault="00F1362A" w:rsidP="00D22D3F">
            <w:pPr>
              <w:pStyle w:val="ENoteTableText"/>
            </w:pPr>
            <w:r w:rsidRPr="00097A86">
              <w:t>am 2010 No.</w:t>
            </w:r>
            <w:r>
              <w:t> </w:t>
            </w:r>
            <w:r w:rsidRPr="00097A86">
              <w:t>1</w:t>
            </w:r>
          </w:p>
        </w:tc>
      </w:tr>
      <w:tr w:rsidR="00F1362A" w:rsidRPr="00097A86" w14:paraId="6DD93636" w14:textId="77777777" w:rsidTr="00C20CC2">
        <w:tblPrEx>
          <w:jc w:val="center"/>
        </w:tblPrEx>
        <w:trPr>
          <w:gridAfter w:val="1"/>
          <w:wAfter w:w="37" w:type="pct"/>
          <w:jc w:val="center"/>
        </w:trPr>
        <w:tc>
          <w:tcPr>
            <w:tcW w:w="1390" w:type="pct"/>
            <w:gridSpan w:val="2"/>
          </w:tcPr>
          <w:p w14:paraId="5A8A3913"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4.4.3.2</w:t>
            </w:r>
          </w:p>
        </w:tc>
        <w:tc>
          <w:tcPr>
            <w:tcW w:w="3573" w:type="pct"/>
            <w:gridSpan w:val="2"/>
          </w:tcPr>
          <w:p w14:paraId="03BC6772" w14:textId="77777777" w:rsidR="00F1362A" w:rsidRPr="00097A86" w:rsidRDefault="00F1362A" w:rsidP="00D22D3F">
            <w:pPr>
              <w:pStyle w:val="ENoteTableText"/>
            </w:pPr>
          </w:p>
        </w:tc>
      </w:tr>
      <w:tr w:rsidR="00F1362A" w:rsidRPr="00097A86" w14:paraId="0721F537" w14:textId="77777777" w:rsidTr="00C20CC2">
        <w:tblPrEx>
          <w:jc w:val="center"/>
        </w:tblPrEx>
        <w:trPr>
          <w:gridAfter w:val="1"/>
          <w:wAfter w:w="37" w:type="pct"/>
          <w:jc w:val="center"/>
        </w:trPr>
        <w:tc>
          <w:tcPr>
            <w:tcW w:w="1390" w:type="pct"/>
            <w:gridSpan w:val="2"/>
          </w:tcPr>
          <w:p w14:paraId="41019F7E" w14:textId="77777777" w:rsidR="00F1362A" w:rsidRPr="00097A86" w:rsidRDefault="00F1362A" w:rsidP="006D1F60">
            <w:pPr>
              <w:pStyle w:val="ENoteTableText"/>
              <w:tabs>
                <w:tab w:val="left" w:leader="dot" w:pos="2268"/>
              </w:tabs>
            </w:pPr>
            <w:r w:rsidRPr="00097A86">
              <w:t>s 4.79</w:t>
            </w:r>
            <w:r w:rsidRPr="00097A86">
              <w:tab/>
            </w:r>
          </w:p>
        </w:tc>
        <w:tc>
          <w:tcPr>
            <w:tcW w:w="3573" w:type="pct"/>
            <w:gridSpan w:val="2"/>
          </w:tcPr>
          <w:p w14:paraId="76507192" w14:textId="77777777" w:rsidR="00F1362A" w:rsidRPr="00097A86" w:rsidRDefault="00F1362A" w:rsidP="00D22D3F">
            <w:pPr>
              <w:pStyle w:val="ENoteTableText"/>
            </w:pPr>
            <w:r w:rsidRPr="00097A86">
              <w:t>am 2009 No.</w:t>
            </w:r>
            <w:r>
              <w:t> </w:t>
            </w:r>
            <w:r w:rsidRPr="00097A86">
              <w:t>1</w:t>
            </w:r>
          </w:p>
        </w:tc>
      </w:tr>
      <w:tr w:rsidR="00F1362A" w:rsidRPr="00097A86" w14:paraId="73CA75AA" w14:textId="77777777" w:rsidTr="00C20CC2">
        <w:tblPrEx>
          <w:jc w:val="center"/>
        </w:tblPrEx>
        <w:trPr>
          <w:gridAfter w:val="1"/>
          <w:wAfter w:w="37" w:type="pct"/>
          <w:jc w:val="center"/>
        </w:trPr>
        <w:tc>
          <w:tcPr>
            <w:tcW w:w="1390" w:type="pct"/>
            <w:gridSpan w:val="2"/>
          </w:tcPr>
          <w:p w14:paraId="3CC8E62B" w14:textId="77777777" w:rsidR="00F1362A" w:rsidRPr="00097A86" w:rsidRDefault="00F1362A" w:rsidP="006D1F60">
            <w:pPr>
              <w:pStyle w:val="ENoteTableText"/>
              <w:tabs>
                <w:tab w:val="left" w:leader="dot" w:pos="2268"/>
              </w:tabs>
            </w:pPr>
            <w:r w:rsidRPr="00097A86">
              <w:t>s 4.80</w:t>
            </w:r>
            <w:r w:rsidRPr="00097A86">
              <w:tab/>
            </w:r>
          </w:p>
        </w:tc>
        <w:tc>
          <w:tcPr>
            <w:tcW w:w="3573" w:type="pct"/>
            <w:gridSpan w:val="2"/>
          </w:tcPr>
          <w:p w14:paraId="0232D964" w14:textId="77777777" w:rsidR="00F1362A" w:rsidRPr="00097A86" w:rsidRDefault="00F1362A" w:rsidP="00D22D3F">
            <w:pPr>
              <w:pStyle w:val="ENoteTableText"/>
            </w:pPr>
            <w:r w:rsidRPr="00097A86">
              <w:t>am 2009 No.</w:t>
            </w:r>
            <w:r>
              <w:t> </w:t>
            </w:r>
            <w:r w:rsidRPr="00097A86">
              <w:t>1</w:t>
            </w:r>
          </w:p>
        </w:tc>
      </w:tr>
      <w:tr w:rsidR="00F1362A" w:rsidRPr="00097A86" w14:paraId="57EAD2D5" w14:textId="77777777" w:rsidTr="00C20CC2">
        <w:tblPrEx>
          <w:jc w:val="center"/>
        </w:tblPrEx>
        <w:trPr>
          <w:gridAfter w:val="1"/>
          <w:wAfter w:w="37" w:type="pct"/>
          <w:jc w:val="center"/>
        </w:trPr>
        <w:tc>
          <w:tcPr>
            <w:tcW w:w="1390" w:type="pct"/>
            <w:gridSpan w:val="2"/>
          </w:tcPr>
          <w:p w14:paraId="3910FEA2"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4.4.4</w:t>
            </w:r>
          </w:p>
        </w:tc>
        <w:tc>
          <w:tcPr>
            <w:tcW w:w="3573" w:type="pct"/>
            <w:gridSpan w:val="2"/>
          </w:tcPr>
          <w:p w14:paraId="5C0571C7" w14:textId="77777777" w:rsidR="00F1362A" w:rsidRPr="00097A86" w:rsidRDefault="00F1362A" w:rsidP="00D22D3F">
            <w:pPr>
              <w:pStyle w:val="ENoteTableText"/>
            </w:pPr>
          </w:p>
        </w:tc>
      </w:tr>
      <w:tr w:rsidR="00F1362A" w:rsidRPr="00097A86" w14:paraId="08AADED1" w14:textId="77777777" w:rsidTr="00C20CC2">
        <w:tblPrEx>
          <w:jc w:val="center"/>
        </w:tblPrEx>
        <w:trPr>
          <w:gridAfter w:val="1"/>
          <w:wAfter w:w="37" w:type="pct"/>
          <w:jc w:val="center"/>
        </w:trPr>
        <w:tc>
          <w:tcPr>
            <w:tcW w:w="1390" w:type="pct"/>
            <w:gridSpan w:val="2"/>
          </w:tcPr>
          <w:p w14:paraId="66A712AA" w14:textId="77777777" w:rsidR="00F1362A" w:rsidRPr="00097A86" w:rsidRDefault="00F1362A" w:rsidP="006C1D96">
            <w:pPr>
              <w:pStyle w:val="ENoteTableText"/>
              <w:tabs>
                <w:tab w:val="left" w:leader="dot" w:pos="2268"/>
              </w:tabs>
            </w:pPr>
            <w:r w:rsidRPr="00097A86">
              <w:t>Division</w:t>
            </w:r>
            <w:r>
              <w:t> </w:t>
            </w:r>
            <w:r w:rsidRPr="00097A86">
              <w:t>4.4.4 heading</w:t>
            </w:r>
            <w:r w:rsidRPr="00097A86">
              <w:tab/>
              <w:t xml:space="preserve"> </w:t>
            </w:r>
          </w:p>
        </w:tc>
        <w:tc>
          <w:tcPr>
            <w:tcW w:w="3573" w:type="pct"/>
            <w:gridSpan w:val="2"/>
          </w:tcPr>
          <w:p w14:paraId="3283E311" w14:textId="77777777" w:rsidR="00F1362A" w:rsidRPr="00097A86" w:rsidRDefault="00F1362A" w:rsidP="00D22D3F">
            <w:pPr>
              <w:pStyle w:val="ENoteTableText"/>
            </w:pPr>
            <w:r w:rsidRPr="00097A86">
              <w:t>rs 2009 No.</w:t>
            </w:r>
            <w:r>
              <w:t> </w:t>
            </w:r>
            <w:r w:rsidRPr="00097A86">
              <w:t>1</w:t>
            </w:r>
          </w:p>
        </w:tc>
      </w:tr>
      <w:tr w:rsidR="00F1362A" w:rsidRPr="00097A86" w14:paraId="27A2318C" w14:textId="77777777" w:rsidTr="00C20CC2">
        <w:tblPrEx>
          <w:jc w:val="center"/>
        </w:tblPrEx>
        <w:trPr>
          <w:gridAfter w:val="1"/>
          <w:wAfter w:w="37" w:type="pct"/>
          <w:jc w:val="center"/>
        </w:trPr>
        <w:tc>
          <w:tcPr>
            <w:tcW w:w="1390" w:type="pct"/>
            <w:gridSpan w:val="2"/>
          </w:tcPr>
          <w:p w14:paraId="1E32B106" w14:textId="77777777" w:rsidR="00F1362A" w:rsidRPr="00097A86" w:rsidRDefault="00F1362A" w:rsidP="006D1F60">
            <w:pPr>
              <w:pStyle w:val="ENoteTableText"/>
              <w:tabs>
                <w:tab w:val="left" w:leader="dot" w:pos="2268"/>
              </w:tabs>
            </w:pPr>
            <w:r w:rsidRPr="00097A86">
              <w:t>s 4.83</w:t>
            </w:r>
            <w:r w:rsidRPr="00097A86">
              <w:tab/>
            </w:r>
          </w:p>
        </w:tc>
        <w:tc>
          <w:tcPr>
            <w:tcW w:w="3573" w:type="pct"/>
            <w:gridSpan w:val="2"/>
          </w:tcPr>
          <w:p w14:paraId="19BDF665" w14:textId="77777777" w:rsidR="00F1362A" w:rsidRPr="00097A86" w:rsidRDefault="00F1362A" w:rsidP="00D22D3F">
            <w:pPr>
              <w:pStyle w:val="ENoteTableText"/>
            </w:pPr>
            <w:r w:rsidRPr="00097A86">
              <w:t>am 2009 No.</w:t>
            </w:r>
            <w:r>
              <w:t> </w:t>
            </w:r>
            <w:r w:rsidRPr="00097A86">
              <w:t>1</w:t>
            </w:r>
          </w:p>
        </w:tc>
      </w:tr>
      <w:tr w:rsidR="00F1362A" w:rsidRPr="00097A86" w14:paraId="651BE157" w14:textId="77777777" w:rsidTr="00C20CC2">
        <w:tblPrEx>
          <w:jc w:val="center"/>
        </w:tblPrEx>
        <w:trPr>
          <w:gridAfter w:val="1"/>
          <w:wAfter w:w="37" w:type="pct"/>
          <w:jc w:val="center"/>
        </w:trPr>
        <w:tc>
          <w:tcPr>
            <w:tcW w:w="1390" w:type="pct"/>
            <w:gridSpan w:val="2"/>
          </w:tcPr>
          <w:p w14:paraId="14538BD3" w14:textId="77777777" w:rsidR="00F1362A" w:rsidRPr="00097A86" w:rsidRDefault="00F1362A" w:rsidP="005573AD">
            <w:pPr>
              <w:pStyle w:val="ENoteTableText"/>
              <w:keepNext/>
              <w:keepLines/>
              <w:tabs>
                <w:tab w:val="left" w:leader="dot" w:pos="2268"/>
              </w:tabs>
            </w:pPr>
            <w:r w:rsidRPr="00097A86">
              <w:rPr>
                <w:b/>
              </w:rPr>
              <w:t>Subdivision</w:t>
            </w:r>
            <w:r>
              <w:rPr>
                <w:b/>
              </w:rPr>
              <w:t> </w:t>
            </w:r>
            <w:r w:rsidRPr="00097A86">
              <w:rPr>
                <w:b/>
              </w:rPr>
              <w:t>4.4.4.1</w:t>
            </w:r>
          </w:p>
        </w:tc>
        <w:tc>
          <w:tcPr>
            <w:tcW w:w="3573" w:type="pct"/>
            <w:gridSpan w:val="2"/>
          </w:tcPr>
          <w:p w14:paraId="6427C776" w14:textId="77777777" w:rsidR="00F1362A" w:rsidRPr="00097A86" w:rsidRDefault="00F1362A" w:rsidP="005573AD">
            <w:pPr>
              <w:pStyle w:val="ENoteTableText"/>
              <w:keepNext/>
              <w:keepLines/>
            </w:pPr>
          </w:p>
        </w:tc>
      </w:tr>
      <w:tr w:rsidR="00F1362A" w:rsidRPr="00097A86" w14:paraId="5F8DCB1D" w14:textId="77777777" w:rsidTr="00C20CC2">
        <w:tblPrEx>
          <w:jc w:val="center"/>
        </w:tblPrEx>
        <w:trPr>
          <w:gridAfter w:val="1"/>
          <w:wAfter w:w="37" w:type="pct"/>
          <w:jc w:val="center"/>
        </w:trPr>
        <w:tc>
          <w:tcPr>
            <w:tcW w:w="1390" w:type="pct"/>
            <w:gridSpan w:val="2"/>
          </w:tcPr>
          <w:p w14:paraId="79A0C0E3" w14:textId="77777777" w:rsidR="00F1362A" w:rsidRPr="00097A86" w:rsidRDefault="00F1362A" w:rsidP="006D1F60">
            <w:pPr>
              <w:pStyle w:val="ENoteTableText"/>
              <w:tabs>
                <w:tab w:val="left" w:leader="dot" w:pos="2268"/>
              </w:tabs>
            </w:pPr>
            <w:r w:rsidRPr="00097A86">
              <w:t>s 4.84</w:t>
            </w:r>
            <w:r w:rsidRPr="00097A86">
              <w:tab/>
            </w:r>
          </w:p>
        </w:tc>
        <w:tc>
          <w:tcPr>
            <w:tcW w:w="3573" w:type="pct"/>
            <w:gridSpan w:val="2"/>
          </w:tcPr>
          <w:p w14:paraId="2714AF17" w14:textId="77777777" w:rsidR="00F1362A" w:rsidRPr="00097A86" w:rsidRDefault="00F1362A" w:rsidP="00D22D3F">
            <w:pPr>
              <w:pStyle w:val="ENoteTableText"/>
            </w:pPr>
            <w:r w:rsidRPr="00097A86">
              <w:t>am 2009 No.</w:t>
            </w:r>
            <w:r>
              <w:t> </w:t>
            </w:r>
            <w:r w:rsidRPr="00097A86">
              <w:t>1</w:t>
            </w:r>
          </w:p>
        </w:tc>
      </w:tr>
      <w:tr w:rsidR="00F1362A" w:rsidRPr="00097A86" w14:paraId="64A3B13C" w14:textId="77777777" w:rsidTr="00C20CC2">
        <w:tblPrEx>
          <w:jc w:val="center"/>
        </w:tblPrEx>
        <w:trPr>
          <w:gridAfter w:val="1"/>
          <w:wAfter w:w="37" w:type="pct"/>
          <w:jc w:val="center"/>
        </w:trPr>
        <w:tc>
          <w:tcPr>
            <w:tcW w:w="1390" w:type="pct"/>
            <w:gridSpan w:val="2"/>
          </w:tcPr>
          <w:p w14:paraId="5DB5F57E" w14:textId="77777777" w:rsidR="00F1362A" w:rsidRPr="00097A86" w:rsidRDefault="00F1362A" w:rsidP="006D1F60">
            <w:pPr>
              <w:pStyle w:val="ENoteTableText"/>
              <w:tabs>
                <w:tab w:val="left" w:leader="dot" w:pos="2268"/>
              </w:tabs>
            </w:pPr>
            <w:r w:rsidRPr="00097A86">
              <w:t>s 4.85</w:t>
            </w:r>
            <w:r w:rsidRPr="00097A86">
              <w:tab/>
            </w:r>
          </w:p>
        </w:tc>
        <w:tc>
          <w:tcPr>
            <w:tcW w:w="3573" w:type="pct"/>
            <w:gridSpan w:val="2"/>
          </w:tcPr>
          <w:p w14:paraId="2897DA70" w14:textId="77777777" w:rsidR="00F1362A" w:rsidRPr="00097A86" w:rsidRDefault="00F1362A" w:rsidP="00D22D3F">
            <w:pPr>
              <w:pStyle w:val="ENoteTableText"/>
            </w:pPr>
            <w:r w:rsidRPr="00097A86">
              <w:t>am 2015 No 1</w:t>
            </w:r>
          </w:p>
        </w:tc>
      </w:tr>
      <w:tr w:rsidR="00F1362A" w:rsidRPr="00097A86" w14:paraId="39474AE2" w14:textId="77777777" w:rsidTr="00C20CC2">
        <w:tblPrEx>
          <w:jc w:val="center"/>
        </w:tblPrEx>
        <w:trPr>
          <w:gridAfter w:val="1"/>
          <w:wAfter w:w="37" w:type="pct"/>
          <w:jc w:val="center"/>
        </w:trPr>
        <w:tc>
          <w:tcPr>
            <w:tcW w:w="1390" w:type="pct"/>
            <w:gridSpan w:val="2"/>
          </w:tcPr>
          <w:p w14:paraId="76D32DA0"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4.4.4.2</w:t>
            </w:r>
          </w:p>
        </w:tc>
        <w:tc>
          <w:tcPr>
            <w:tcW w:w="3573" w:type="pct"/>
            <w:gridSpan w:val="2"/>
          </w:tcPr>
          <w:p w14:paraId="1E8A435F" w14:textId="77777777" w:rsidR="00F1362A" w:rsidRPr="00097A86" w:rsidRDefault="00F1362A" w:rsidP="00D22D3F">
            <w:pPr>
              <w:pStyle w:val="ENoteTableText"/>
            </w:pPr>
          </w:p>
        </w:tc>
      </w:tr>
      <w:tr w:rsidR="00F1362A" w:rsidRPr="00097A86" w14:paraId="2E0E9129" w14:textId="77777777" w:rsidTr="00C20CC2">
        <w:tblPrEx>
          <w:jc w:val="center"/>
        </w:tblPrEx>
        <w:trPr>
          <w:gridAfter w:val="1"/>
          <w:wAfter w:w="37" w:type="pct"/>
          <w:jc w:val="center"/>
        </w:trPr>
        <w:tc>
          <w:tcPr>
            <w:tcW w:w="1390" w:type="pct"/>
            <w:gridSpan w:val="2"/>
          </w:tcPr>
          <w:p w14:paraId="7F10A2DB" w14:textId="77777777" w:rsidR="00F1362A" w:rsidRPr="00097A86" w:rsidRDefault="00F1362A" w:rsidP="006D1F60">
            <w:pPr>
              <w:pStyle w:val="ENoteTableText"/>
              <w:tabs>
                <w:tab w:val="left" w:leader="dot" w:pos="2268"/>
              </w:tabs>
            </w:pPr>
            <w:r w:rsidRPr="00097A86">
              <w:t>s 4.88</w:t>
            </w:r>
            <w:r w:rsidRPr="00097A86">
              <w:tab/>
            </w:r>
          </w:p>
        </w:tc>
        <w:tc>
          <w:tcPr>
            <w:tcW w:w="3573" w:type="pct"/>
            <w:gridSpan w:val="2"/>
          </w:tcPr>
          <w:p w14:paraId="3C4494D5" w14:textId="77777777" w:rsidR="00F1362A" w:rsidRPr="00097A86" w:rsidRDefault="00F1362A" w:rsidP="00D22D3F">
            <w:pPr>
              <w:pStyle w:val="ENoteTableText"/>
            </w:pPr>
            <w:r w:rsidRPr="00097A86">
              <w:t>am 2009 No.</w:t>
            </w:r>
            <w:r>
              <w:t> </w:t>
            </w:r>
            <w:r w:rsidRPr="00097A86">
              <w:t>1</w:t>
            </w:r>
          </w:p>
        </w:tc>
      </w:tr>
      <w:tr w:rsidR="00F1362A" w:rsidRPr="00097A86" w14:paraId="2E6ADF43" w14:textId="77777777" w:rsidTr="00C20CC2">
        <w:tblPrEx>
          <w:jc w:val="center"/>
        </w:tblPrEx>
        <w:trPr>
          <w:gridAfter w:val="1"/>
          <w:wAfter w:w="37" w:type="pct"/>
          <w:jc w:val="center"/>
        </w:trPr>
        <w:tc>
          <w:tcPr>
            <w:tcW w:w="1390" w:type="pct"/>
            <w:gridSpan w:val="2"/>
          </w:tcPr>
          <w:p w14:paraId="7FE3AD4E" w14:textId="77777777" w:rsidR="00F1362A" w:rsidRPr="00097A86" w:rsidRDefault="00F1362A" w:rsidP="006D1F60">
            <w:pPr>
              <w:pStyle w:val="ENoteTableText"/>
              <w:tabs>
                <w:tab w:val="left" w:leader="dot" w:pos="2268"/>
              </w:tabs>
            </w:pPr>
            <w:r w:rsidRPr="00097A86">
              <w:t>s 4.89</w:t>
            </w:r>
            <w:r w:rsidRPr="00097A86">
              <w:tab/>
            </w:r>
          </w:p>
        </w:tc>
        <w:tc>
          <w:tcPr>
            <w:tcW w:w="3573" w:type="pct"/>
            <w:gridSpan w:val="2"/>
          </w:tcPr>
          <w:p w14:paraId="5C7C7A40" w14:textId="77777777" w:rsidR="00F1362A" w:rsidRPr="00097A86" w:rsidRDefault="00F1362A" w:rsidP="00D22D3F">
            <w:pPr>
              <w:pStyle w:val="ENoteTableText"/>
            </w:pPr>
            <w:r w:rsidRPr="00097A86">
              <w:t>am 2015 No 1</w:t>
            </w:r>
          </w:p>
        </w:tc>
      </w:tr>
      <w:tr w:rsidR="00F1362A" w:rsidRPr="00097A86" w14:paraId="5EB7CF4A" w14:textId="77777777" w:rsidTr="00C20CC2">
        <w:tblPrEx>
          <w:jc w:val="center"/>
        </w:tblPrEx>
        <w:trPr>
          <w:gridAfter w:val="1"/>
          <w:wAfter w:w="37" w:type="pct"/>
          <w:jc w:val="center"/>
        </w:trPr>
        <w:tc>
          <w:tcPr>
            <w:tcW w:w="1390" w:type="pct"/>
            <w:gridSpan w:val="2"/>
          </w:tcPr>
          <w:p w14:paraId="5503EA66"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4.4.5</w:t>
            </w:r>
          </w:p>
        </w:tc>
        <w:tc>
          <w:tcPr>
            <w:tcW w:w="3573" w:type="pct"/>
            <w:gridSpan w:val="2"/>
          </w:tcPr>
          <w:p w14:paraId="12443BD3" w14:textId="77777777" w:rsidR="00F1362A" w:rsidRPr="00097A86" w:rsidRDefault="00F1362A" w:rsidP="00D22D3F">
            <w:pPr>
              <w:pStyle w:val="ENoteTableText"/>
            </w:pPr>
          </w:p>
        </w:tc>
      </w:tr>
      <w:tr w:rsidR="00F1362A" w:rsidRPr="00097A86" w14:paraId="682FFF91" w14:textId="77777777" w:rsidTr="00C20CC2">
        <w:tblPrEx>
          <w:jc w:val="center"/>
        </w:tblPrEx>
        <w:trPr>
          <w:gridAfter w:val="1"/>
          <w:wAfter w:w="37" w:type="pct"/>
          <w:jc w:val="center"/>
        </w:trPr>
        <w:tc>
          <w:tcPr>
            <w:tcW w:w="1390" w:type="pct"/>
            <w:gridSpan w:val="2"/>
          </w:tcPr>
          <w:p w14:paraId="4C982838" w14:textId="77777777" w:rsidR="00F1362A" w:rsidRPr="00097A86" w:rsidRDefault="00F1362A" w:rsidP="006C1D96">
            <w:pPr>
              <w:pStyle w:val="ENoteTableText"/>
              <w:tabs>
                <w:tab w:val="left" w:leader="dot" w:pos="2268"/>
              </w:tabs>
            </w:pPr>
            <w:r w:rsidRPr="00097A86">
              <w:lastRenderedPageBreak/>
              <w:t>Division</w:t>
            </w:r>
            <w:r>
              <w:t> </w:t>
            </w:r>
            <w:r w:rsidRPr="00097A86">
              <w:t>4.4.5 heading</w:t>
            </w:r>
            <w:r w:rsidRPr="00097A86">
              <w:tab/>
            </w:r>
          </w:p>
        </w:tc>
        <w:tc>
          <w:tcPr>
            <w:tcW w:w="3573" w:type="pct"/>
            <w:gridSpan w:val="2"/>
          </w:tcPr>
          <w:p w14:paraId="044BBA20" w14:textId="77777777" w:rsidR="00F1362A" w:rsidRPr="00097A86" w:rsidRDefault="00F1362A" w:rsidP="00D22D3F">
            <w:pPr>
              <w:pStyle w:val="ENoteTableText"/>
            </w:pPr>
            <w:r w:rsidRPr="00097A86">
              <w:t>rs 2009 No.</w:t>
            </w:r>
            <w:r>
              <w:t> </w:t>
            </w:r>
            <w:r w:rsidRPr="00097A86">
              <w:t>1</w:t>
            </w:r>
          </w:p>
        </w:tc>
      </w:tr>
      <w:tr w:rsidR="00F1362A" w:rsidRPr="00097A86" w14:paraId="392691A9" w14:textId="77777777" w:rsidTr="00C20CC2">
        <w:tblPrEx>
          <w:jc w:val="center"/>
        </w:tblPrEx>
        <w:trPr>
          <w:gridAfter w:val="1"/>
          <w:wAfter w:w="37" w:type="pct"/>
          <w:jc w:val="center"/>
        </w:trPr>
        <w:tc>
          <w:tcPr>
            <w:tcW w:w="1390" w:type="pct"/>
            <w:gridSpan w:val="2"/>
          </w:tcPr>
          <w:p w14:paraId="146C4262" w14:textId="77777777" w:rsidR="00F1362A" w:rsidRPr="00097A86" w:rsidRDefault="00F1362A" w:rsidP="006D1F60">
            <w:pPr>
              <w:pStyle w:val="ENoteTableText"/>
              <w:tabs>
                <w:tab w:val="left" w:leader="dot" w:pos="2268"/>
              </w:tabs>
            </w:pPr>
            <w:r w:rsidRPr="00097A86">
              <w:t>s 4.92</w:t>
            </w:r>
            <w:r w:rsidRPr="00097A86">
              <w:tab/>
            </w:r>
          </w:p>
        </w:tc>
        <w:tc>
          <w:tcPr>
            <w:tcW w:w="3573" w:type="pct"/>
            <w:gridSpan w:val="2"/>
          </w:tcPr>
          <w:p w14:paraId="183B61E0" w14:textId="77777777" w:rsidR="00F1362A" w:rsidRPr="00097A86" w:rsidRDefault="00F1362A" w:rsidP="00D22D3F">
            <w:pPr>
              <w:pStyle w:val="ENoteTableText"/>
            </w:pPr>
            <w:r w:rsidRPr="00097A86">
              <w:t>rs 2009 No.</w:t>
            </w:r>
            <w:r>
              <w:t> </w:t>
            </w:r>
            <w:r w:rsidRPr="00097A86">
              <w:t>1; 2010 No.</w:t>
            </w:r>
            <w:r>
              <w:t> </w:t>
            </w:r>
            <w:r w:rsidRPr="00097A86">
              <w:t>1</w:t>
            </w:r>
          </w:p>
        </w:tc>
      </w:tr>
      <w:tr w:rsidR="00F1362A" w:rsidRPr="00097A86" w14:paraId="7FF42FA3" w14:textId="77777777" w:rsidTr="00C20CC2">
        <w:tblPrEx>
          <w:jc w:val="center"/>
        </w:tblPrEx>
        <w:trPr>
          <w:gridAfter w:val="1"/>
          <w:wAfter w:w="37" w:type="pct"/>
          <w:jc w:val="center"/>
        </w:trPr>
        <w:tc>
          <w:tcPr>
            <w:tcW w:w="1390" w:type="pct"/>
            <w:gridSpan w:val="2"/>
          </w:tcPr>
          <w:p w14:paraId="17AEDE95" w14:textId="77777777" w:rsidR="00F1362A" w:rsidRPr="00097A86" w:rsidRDefault="00F1362A" w:rsidP="006D1F60">
            <w:pPr>
              <w:pStyle w:val="ENoteTableText"/>
              <w:tabs>
                <w:tab w:val="left" w:leader="dot" w:pos="2268"/>
              </w:tabs>
            </w:pPr>
            <w:r w:rsidRPr="00097A86">
              <w:t>s 4.93</w:t>
            </w:r>
            <w:r w:rsidRPr="00097A86">
              <w:tab/>
            </w:r>
          </w:p>
        </w:tc>
        <w:tc>
          <w:tcPr>
            <w:tcW w:w="3573" w:type="pct"/>
            <w:gridSpan w:val="2"/>
          </w:tcPr>
          <w:p w14:paraId="2A9DB9F8" w14:textId="77777777" w:rsidR="00F1362A" w:rsidRPr="00097A86" w:rsidRDefault="00F1362A" w:rsidP="00D22D3F">
            <w:pPr>
              <w:pStyle w:val="ENoteTableText"/>
            </w:pPr>
            <w:r w:rsidRPr="00097A86">
              <w:t>am 2009 No.</w:t>
            </w:r>
            <w:r>
              <w:t> </w:t>
            </w:r>
            <w:r w:rsidRPr="00097A86">
              <w:t>1</w:t>
            </w:r>
          </w:p>
        </w:tc>
      </w:tr>
      <w:tr w:rsidR="00F1362A" w:rsidRPr="00097A86" w14:paraId="2A78F6DE" w14:textId="77777777" w:rsidTr="00C20CC2">
        <w:tblPrEx>
          <w:jc w:val="center"/>
        </w:tblPrEx>
        <w:trPr>
          <w:gridAfter w:val="1"/>
          <w:wAfter w:w="37" w:type="pct"/>
          <w:jc w:val="center"/>
        </w:trPr>
        <w:tc>
          <w:tcPr>
            <w:tcW w:w="1390" w:type="pct"/>
            <w:gridSpan w:val="2"/>
          </w:tcPr>
          <w:p w14:paraId="55D48A88" w14:textId="77777777" w:rsidR="00F1362A" w:rsidRPr="00097A86" w:rsidRDefault="00F1362A" w:rsidP="006D1F60">
            <w:pPr>
              <w:pStyle w:val="ENoteTableText"/>
              <w:tabs>
                <w:tab w:val="left" w:leader="dot" w:pos="2268"/>
              </w:tabs>
            </w:pPr>
            <w:r w:rsidRPr="00097A86">
              <w:t>s 4.94</w:t>
            </w:r>
            <w:r w:rsidRPr="00097A86">
              <w:tab/>
            </w:r>
          </w:p>
        </w:tc>
        <w:tc>
          <w:tcPr>
            <w:tcW w:w="3573" w:type="pct"/>
            <w:gridSpan w:val="2"/>
          </w:tcPr>
          <w:p w14:paraId="55D3693C" w14:textId="77777777" w:rsidR="00F1362A" w:rsidRPr="00097A86" w:rsidRDefault="00F1362A" w:rsidP="00D22D3F">
            <w:pPr>
              <w:pStyle w:val="ENoteTableText"/>
            </w:pPr>
            <w:r w:rsidRPr="00097A86">
              <w:t>am 2009 No.</w:t>
            </w:r>
            <w:r>
              <w:t> </w:t>
            </w:r>
            <w:r w:rsidRPr="00097A86">
              <w:t>1</w:t>
            </w:r>
          </w:p>
        </w:tc>
      </w:tr>
      <w:tr w:rsidR="00F1362A" w:rsidRPr="00097A86" w14:paraId="104E632D" w14:textId="77777777" w:rsidTr="00C20CC2">
        <w:tblPrEx>
          <w:jc w:val="center"/>
        </w:tblPrEx>
        <w:trPr>
          <w:gridAfter w:val="1"/>
          <w:wAfter w:w="37" w:type="pct"/>
          <w:jc w:val="center"/>
        </w:trPr>
        <w:tc>
          <w:tcPr>
            <w:tcW w:w="1390" w:type="pct"/>
            <w:gridSpan w:val="2"/>
          </w:tcPr>
          <w:p w14:paraId="7DA374D7" w14:textId="77777777" w:rsidR="00F1362A" w:rsidRPr="00097A86" w:rsidRDefault="00F1362A" w:rsidP="006D1F60">
            <w:pPr>
              <w:pStyle w:val="ENoteTableText"/>
              <w:tabs>
                <w:tab w:val="left" w:leader="dot" w:pos="2268"/>
              </w:tabs>
            </w:pPr>
          </w:p>
        </w:tc>
        <w:tc>
          <w:tcPr>
            <w:tcW w:w="3573" w:type="pct"/>
            <w:gridSpan w:val="2"/>
          </w:tcPr>
          <w:p w14:paraId="02C66647" w14:textId="77777777" w:rsidR="00F1362A" w:rsidRPr="00097A86" w:rsidRDefault="00F1362A" w:rsidP="00D22D3F">
            <w:pPr>
              <w:pStyle w:val="ENoteTableText"/>
            </w:pPr>
            <w:r w:rsidRPr="00097A86">
              <w:t>rs 2011 No.</w:t>
            </w:r>
            <w:r>
              <w:t> </w:t>
            </w:r>
            <w:r w:rsidRPr="00097A86">
              <w:t>1</w:t>
            </w:r>
          </w:p>
        </w:tc>
      </w:tr>
      <w:tr w:rsidR="00F1362A" w:rsidRPr="00097A86" w14:paraId="41CBD091" w14:textId="77777777" w:rsidTr="00C20CC2">
        <w:tblPrEx>
          <w:jc w:val="center"/>
        </w:tblPrEx>
        <w:trPr>
          <w:gridAfter w:val="1"/>
          <w:wAfter w:w="37" w:type="pct"/>
          <w:jc w:val="center"/>
        </w:trPr>
        <w:tc>
          <w:tcPr>
            <w:tcW w:w="1390" w:type="pct"/>
            <w:gridSpan w:val="2"/>
          </w:tcPr>
          <w:p w14:paraId="2A3F5D5D" w14:textId="77777777" w:rsidR="00F1362A" w:rsidRPr="00097A86" w:rsidRDefault="00F1362A" w:rsidP="006D1F60">
            <w:pPr>
              <w:pStyle w:val="ENoteTableText"/>
              <w:tabs>
                <w:tab w:val="left" w:leader="dot" w:pos="2268"/>
              </w:tabs>
            </w:pPr>
          </w:p>
        </w:tc>
        <w:tc>
          <w:tcPr>
            <w:tcW w:w="3573" w:type="pct"/>
            <w:gridSpan w:val="2"/>
          </w:tcPr>
          <w:p w14:paraId="5BED831D" w14:textId="77777777" w:rsidR="00F1362A" w:rsidRPr="00097A86" w:rsidRDefault="00F1362A" w:rsidP="00D22D3F">
            <w:pPr>
              <w:pStyle w:val="ENoteTableText"/>
            </w:pPr>
            <w:r w:rsidRPr="00097A86">
              <w:t>ed C7</w:t>
            </w:r>
          </w:p>
        </w:tc>
      </w:tr>
      <w:tr w:rsidR="00F1362A" w:rsidRPr="00097A86" w14:paraId="0B393DF2" w14:textId="77777777" w:rsidTr="00C20CC2">
        <w:tblPrEx>
          <w:jc w:val="center"/>
        </w:tblPrEx>
        <w:trPr>
          <w:gridAfter w:val="1"/>
          <w:wAfter w:w="37" w:type="pct"/>
          <w:jc w:val="center"/>
        </w:trPr>
        <w:tc>
          <w:tcPr>
            <w:tcW w:w="1390" w:type="pct"/>
            <w:gridSpan w:val="2"/>
          </w:tcPr>
          <w:p w14:paraId="430D2D22" w14:textId="77777777" w:rsidR="00F1362A" w:rsidRPr="00097A86" w:rsidRDefault="00F1362A" w:rsidP="006D1F60">
            <w:pPr>
              <w:pStyle w:val="ENoteTableText"/>
              <w:tabs>
                <w:tab w:val="left" w:leader="dot" w:pos="2268"/>
              </w:tabs>
            </w:pPr>
            <w:r w:rsidRPr="00097A86">
              <w:t>s 4.95</w:t>
            </w:r>
            <w:r w:rsidRPr="00097A86">
              <w:tab/>
            </w:r>
          </w:p>
        </w:tc>
        <w:tc>
          <w:tcPr>
            <w:tcW w:w="3573" w:type="pct"/>
            <w:gridSpan w:val="2"/>
          </w:tcPr>
          <w:p w14:paraId="6B893EC0" w14:textId="77777777" w:rsidR="00F1362A" w:rsidRPr="00097A86" w:rsidRDefault="00F1362A" w:rsidP="00D22D3F">
            <w:pPr>
              <w:pStyle w:val="ENoteTableText"/>
            </w:pPr>
            <w:r w:rsidRPr="00097A86">
              <w:t>rs 2011 No.</w:t>
            </w:r>
            <w:r>
              <w:t> </w:t>
            </w:r>
            <w:r w:rsidRPr="00097A86">
              <w:t>1</w:t>
            </w:r>
          </w:p>
        </w:tc>
      </w:tr>
      <w:tr w:rsidR="00F1362A" w:rsidRPr="00097A86" w14:paraId="72FFC172" w14:textId="77777777" w:rsidTr="00C20CC2">
        <w:tblPrEx>
          <w:jc w:val="center"/>
        </w:tblPrEx>
        <w:trPr>
          <w:gridAfter w:val="1"/>
          <w:wAfter w:w="37" w:type="pct"/>
          <w:jc w:val="center"/>
        </w:trPr>
        <w:tc>
          <w:tcPr>
            <w:tcW w:w="1390" w:type="pct"/>
            <w:gridSpan w:val="2"/>
          </w:tcPr>
          <w:p w14:paraId="2E0A197F" w14:textId="77777777" w:rsidR="00F1362A" w:rsidRPr="00097A86" w:rsidRDefault="00F1362A" w:rsidP="006D1F60">
            <w:pPr>
              <w:pStyle w:val="ENoteTableText"/>
              <w:tabs>
                <w:tab w:val="left" w:leader="dot" w:pos="2268"/>
              </w:tabs>
            </w:pPr>
            <w:r w:rsidRPr="00097A86">
              <w:t>s 4.96</w:t>
            </w:r>
            <w:r w:rsidRPr="00097A86">
              <w:tab/>
            </w:r>
          </w:p>
        </w:tc>
        <w:tc>
          <w:tcPr>
            <w:tcW w:w="3573" w:type="pct"/>
            <w:gridSpan w:val="2"/>
          </w:tcPr>
          <w:p w14:paraId="5480F9E6" w14:textId="77777777" w:rsidR="00F1362A" w:rsidRPr="00097A86" w:rsidRDefault="00F1362A" w:rsidP="00D22D3F">
            <w:pPr>
              <w:pStyle w:val="ENoteTableText"/>
            </w:pPr>
            <w:r w:rsidRPr="00097A86">
              <w:t>rs 2011 No.</w:t>
            </w:r>
            <w:r>
              <w:t> </w:t>
            </w:r>
            <w:r w:rsidRPr="00097A86">
              <w:t>1</w:t>
            </w:r>
          </w:p>
        </w:tc>
      </w:tr>
      <w:tr w:rsidR="00F1362A" w:rsidRPr="00097A86" w14:paraId="4FBD5631" w14:textId="77777777" w:rsidTr="00C20CC2">
        <w:tblPrEx>
          <w:jc w:val="center"/>
        </w:tblPrEx>
        <w:trPr>
          <w:gridAfter w:val="1"/>
          <w:wAfter w:w="37" w:type="pct"/>
          <w:jc w:val="center"/>
        </w:trPr>
        <w:tc>
          <w:tcPr>
            <w:tcW w:w="1390" w:type="pct"/>
            <w:gridSpan w:val="2"/>
          </w:tcPr>
          <w:p w14:paraId="58AD2AE6" w14:textId="77777777" w:rsidR="00F1362A" w:rsidRPr="00097A86" w:rsidRDefault="00F1362A" w:rsidP="006D1F60">
            <w:pPr>
              <w:pStyle w:val="ENoteTableText"/>
              <w:tabs>
                <w:tab w:val="left" w:leader="dot" w:pos="2268"/>
              </w:tabs>
            </w:pPr>
            <w:r w:rsidRPr="00097A86">
              <w:rPr>
                <w:b/>
              </w:rPr>
              <w:t>Part</w:t>
            </w:r>
            <w:r>
              <w:rPr>
                <w:b/>
              </w:rPr>
              <w:t> </w:t>
            </w:r>
            <w:r w:rsidRPr="00097A86">
              <w:rPr>
                <w:b/>
              </w:rPr>
              <w:t>4.5</w:t>
            </w:r>
          </w:p>
        </w:tc>
        <w:tc>
          <w:tcPr>
            <w:tcW w:w="3573" w:type="pct"/>
            <w:gridSpan w:val="2"/>
          </w:tcPr>
          <w:p w14:paraId="06539665" w14:textId="77777777" w:rsidR="00F1362A" w:rsidRPr="00097A86" w:rsidRDefault="00F1362A" w:rsidP="00D22D3F">
            <w:pPr>
              <w:pStyle w:val="ENoteTableText"/>
            </w:pPr>
          </w:p>
        </w:tc>
      </w:tr>
      <w:tr w:rsidR="00F1362A" w:rsidRPr="00097A86" w14:paraId="0B1EEDEB" w14:textId="77777777" w:rsidTr="00C20CC2">
        <w:tblPrEx>
          <w:jc w:val="center"/>
        </w:tblPrEx>
        <w:trPr>
          <w:gridAfter w:val="1"/>
          <w:wAfter w:w="37" w:type="pct"/>
          <w:jc w:val="center"/>
        </w:trPr>
        <w:tc>
          <w:tcPr>
            <w:tcW w:w="1390" w:type="pct"/>
            <w:gridSpan w:val="2"/>
          </w:tcPr>
          <w:p w14:paraId="2DA063CD" w14:textId="77777777" w:rsidR="00F1362A" w:rsidRPr="00097A86" w:rsidRDefault="00F1362A" w:rsidP="006D1F60">
            <w:pPr>
              <w:pStyle w:val="ENoteTableText"/>
              <w:tabs>
                <w:tab w:val="left" w:leader="dot" w:pos="2268"/>
              </w:tabs>
            </w:pPr>
            <w:r w:rsidRPr="00097A86">
              <w:t>s 4.97</w:t>
            </w:r>
            <w:r w:rsidRPr="00097A86">
              <w:tab/>
            </w:r>
          </w:p>
        </w:tc>
        <w:tc>
          <w:tcPr>
            <w:tcW w:w="3573" w:type="pct"/>
            <w:gridSpan w:val="2"/>
          </w:tcPr>
          <w:p w14:paraId="7D218CAE" w14:textId="77777777" w:rsidR="00F1362A" w:rsidRPr="00097A86" w:rsidRDefault="00F1362A" w:rsidP="00D22D3F">
            <w:pPr>
              <w:pStyle w:val="ENoteTableText"/>
            </w:pPr>
            <w:r w:rsidRPr="00097A86">
              <w:t>am 2009 No.</w:t>
            </w:r>
            <w:r>
              <w:t> </w:t>
            </w:r>
            <w:r w:rsidRPr="00097A86">
              <w:t>1</w:t>
            </w:r>
          </w:p>
        </w:tc>
      </w:tr>
      <w:tr w:rsidR="00F1362A" w:rsidRPr="00097A86" w14:paraId="3180DE82" w14:textId="77777777" w:rsidTr="00C20CC2">
        <w:tblPrEx>
          <w:jc w:val="center"/>
        </w:tblPrEx>
        <w:trPr>
          <w:gridAfter w:val="1"/>
          <w:wAfter w:w="37" w:type="pct"/>
          <w:jc w:val="center"/>
        </w:trPr>
        <w:tc>
          <w:tcPr>
            <w:tcW w:w="1390" w:type="pct"/>
            <w:gridSpan w:val="2"/>
          </w:tcPr>
          <w:p w14:paraId="3C9A09D7" w14:textId="77777777" w:rsidR="00F1362A" w:rsidRPr="00097A86" w:rsidRDefault="00F1362A" w:rsidP="006D1F60">
            <w:pPr>
              <w:pStyle w:val="ENoteTableText"/>
              <w:tabs>
                <w:tab w:val="left" w:leader="dot" w:pos="2268"/>
              </w:tabs>
            </w:pPr>
            <w:r w:rsidRPr="00097A86">
              <w:t>s 4.98</w:t>
            </w:r>
            <w:r w:rsidRPr="00097A86">
              <w:tab/>
            </w:r>
          </w:p>
        </w:tc>
        <w:tc>
          <w:tcPr>
            <w:tcW w:w="3573" w:type="pct"/>
            <w:gridSpan w:val="2"/>
          </w:tcPr>
          <w:p w14:paraId="7C786328" w14:textId="77777777" w:rsidR="00F1362A" w:rsidRPr="00097A86" w:rsidRDefault="00F1362A" w:rsidP="00D22D3F">
            <w:pPr>
              <w:pStyle w:val="ENoteTableText"/>
            </w:pPr>
            <w:r w:rsidRPr="00097A86">
              <w:t>am 2009 No.</w:t>
            </w:r>
            <w:r>
              <w:t> </w:t>
            </w:r>
            <w:r w:rsidRPr="00097A86">
              <w:t>1</w:t>
            </w:r>
          </w:p>
        </w:tc>
      </w:tr>
      <w:tr w:rsidR="00F1362A" w:rsidRPr="00097A86" w14:paraId="577E334E" w14:textId="77777777" w:rsidTr="00C20CC2">
        <w:tblPrEx>
          <w:jc w:val="center"/>
        </w:tblPrEx>
        <w:trPr>
          <w:gridAfter w:val="1"/>
          <w:wAfter w:w="37" w:type="pct"/>
          <w:jc w:val="center"/>
        </w:trPr>
        <w:tc>
          <w:tcPr>
            <w:tcW w:w="1390" w:type="pct"/>
            <w:gridSpan w:val="2"/>
          </w:tcPr>
          <w:p w14:paraId="37E4E723" w14:textId="77777777" w:rsidR="00F1362A" w:rsidRPr="00097A86" w:rsidRDefault="00F1362A" w:rsidP="006D1F60">
            <w:pPr>
              <w:pStyle w:val="ENoteTableText"/>
              <w:tabs>
                <w:tab w:val="left" w:leader="dot" w:pos="2268"/>
              </w:tabs>
            </w:pPr>
            <w:r w:rsidRPr="00097A86">
              <w:t>s 4.99</w:t>
            </w:r>
            <w:r w:rsidRPr="00097A86">
              <w:tab/>
            </w:r>
          </w:p>
        </w:tc>
        <w:tc>
          <w:tcPr>
            <w:tcW w:w="3573" w:type="pct"/>
            <w:gridSpan w:val="2"/>
          </w:tcPr>
          <w:p w14:paraId="6383EF3F" w14:textId="77777777" w:rsidR="00F1362A" w:rsidRPr="00097A86" w:rsidRDefault="00F1362A" w:rsidP="00D22D3F">
            <w:pPr>
              <w:pStyle w:val="ENoteTableText"/>
            </w:pPr>
            <w:r w:rsidRPr="00097A86">
              <w:t>am 2013 No.</w:t>
            </w:r>
            <w:r>
              <w:t> </w:t>
            </w:r>
            <w:r w:rsidRPr="00097A86">
              <w:t>1</w:t>
            </w:r>
          </w:p>
        </w:tc>
      </w:tr>
      <w:tr w:rsidR="00F1362A" w:rsidRPr="00097A86" w14:paraId="01055AA2" w14:textId="77777777" w:rsidTr="00C20CC2">
        <w:tblPrEx>
          <w:jc w:val="center"/>
        </w:tblPrEx>
        <w:trPr>
          <w:gridAfter w:val="1"/>
          <w:wAfter w:w="37" w:type="pct"/>
          <w:jc w:val="center"/>
        </w:trPr>
        <w:tc>
          <w:tcPr>
            <w:tcW w:w="1390" w:type="pct"/>
            <w:gridSpan w:val="2"/>
          </w:tcPr>
          <w:p w14:paraId="1F831500" w14:textId="77777777" w:rsidR="00F1362A" w:rsidRPr="00097A86" w:rsidRDefault="00F1362A" w:rsidP="006D1F60">
            <w:pPr>
              <w:pStyle w:val="ENoteTableText"/>
              <w:tabs>
                <w:tab w:val="left" w:leader="dot" w:pos="2268"/>
              </w:tabs>
            </w:pPr>
            <w:r w:rsidRPr="00097A86">
              <w:t>s 4.100</w:t>
            </w:r>
            <w:r w:rsidRPr="00097A86">
              <w:tab/>
            </w:r>
          </w:p>
        </w:tc>
        <w:tc>
          <w:tcPr>
            <w:tcW w:w="3573" w:type="pct"/>
            <w:gridSpan w:val="2"/>
          </w:tcPr>
          <w:p w14:paraId="02C9566E" w14:textId="77777777" w:rsidR="00F1362A" w:rsidRPr="00097A86" w:rsidRDefault="00F1362A" w:rsidP="00D22D3F">
            <w:pPr>
              <w:pStyle w:val="ENoteTableText"/>
            </w:pPr>
            <w:r w:rsidRPr="00097A86">
              <w:t>am 2012 No.</w:t>
            </w:r>
            <w:r>
              <w:t> </w:t>
            </w:r>
            <w:r w:rsidRPr="00097A86">
              <w:t>1; 2014 No.</w:t>
            </w:r>
            <w:r>
              <w:t> </w:t>
            </w:r>
            <w:r w:rsidRPr="00097A86">
              <w:t>1; 2016 No 1</w:t>
            </w:r>
          </w:p>
        </w:tc>
      </w:tr>
      <w:tr w:rsidR="00F1362A" w:rsidRPr="00097A86" w14:paraId="53B77AB8" w14:textId="77777777" w:rsidTr="00C20CC2">
        <w:tblPrEx>
          <w:jc w:val="center"/>
        </w:tblPrEx>
        <w:trPr>
          <w:gridAfter w:val="1"/>
          <w:wAfter w:w="37" w:type="pct"/>
          <w:jc w:val="center"/>
        </w:trPr>
        <w:tc>
          <w:tcPr>
            <w:tcW w:w="1390" w:type="pct"/>
            <w:gridSpan w:val="2"/>
          </w:tcPr>
          <w:p w14:paraId="4572B3D3" w14:textId="77777777" w:rsidR="00F1362A" w:rsidRPr="00097A86" w:rsidRDefault="00F1362A" w:rsidP="00DE6EE1">
            <w:pPr>
              <w:pStyle w:val="ENoteTableText"/>
              <w:tabs>
                <w:tab w:val="left" w:leader="dot" w:pos="2268"/>
              </w:tabs>
            </w:pPr>
            <w:r w:rsidRPr="00097A86">
              <w:t>s 4.102</w:t>
            </w:r>
            <w:r w:rsidRPr="00097A86">
              <w:tab/>
            </w:r>
          </w:p>
        </w:tc>
        <w:tc>
          <w:tcPr>
            <w:tcW w:w="3573" w:type="pct"/>
            <w:gridSpan w:val="2"/>
          </w:tcPr>
          <w:p w14:paraId="5C696E40" w14:textId="77777777" w:rsidR="00F1362A" w:rsidRPr="00097A86" w:rsidRDefault="00F1362A" w:rsidP="00D22D3F">
            <w:pPr>
              <w:pStyle w:val="ENoteTableText"/>
            </w:pPr>
            <w:r w:rsidRPr="00097A86">
              <w:t>am 2009 No.</w:t>
            </w:r>
            <w:r>
              <w:t> </w:t>
            </w:r>
            <w:r w:rsidRPr="00097A86">
              <w:t>1; 2012 No.</w:t>
            </w:r>
            <w:r>
              <w:t> </w:t>
            </w:r>
            <w:r w:rsidRPr="00097A86">
              <w:t>1</w:t>
            </w:r>
          </w:p>
        </w:tc>
      </w:tr>
      <w:tr w:rsidR="00F1362A" w:rsidRPr="00097A86" w14:paraId="2D5B4C2D" w14:textId="77777777" w:rsidTr="00C20CC2">
        <w:tblPrEx>
          <w:jc w:val="center"/>
        </w:tblPrEx>
        <w:trPr>
          <w:gridAfter w:val="1"/>
          <w:wAfter w:w="37" w:type="pct"/>
          <w:jc w:val="center"/>
        </w:trPr>
        <w:tc>
          <w:tcPr>
            <w:tcW w:w="1390" w:type="pct"/>
            <w:gridSpan w:val="2"/>
          </w:tcPr>
          <w:p w14:paraId="40EBCD25" w14:textId="77777777" w:rsidR="00F1362A" w:rsidRPr="00097A86" w:rsidRDefault="00F1362A" w:rsidP="006D1F60">
            <w:pPr>
              <w:pStyle w:val="ENoteTableText"/>
              <w:tabs>
                <w:tab w:val="left" w:leader="dot" w:pos="2268"/>
              </w:tabs>
            </w:pPr>
            <w:r w:rsidRPr="00097A86">
              <w:t>s 4.103</w:t>
            </w:r>
            <w:r w:rsidRPr="00097A86">
              <w:tab/>
            </w:r>
          </w:p>
        </w:tc>
        <w:tc>
          <w:tcPr>
            <w:tcW w:w="3573" w:type="pct"/>
            <w:gridSpan w:val="2"/>
          </w:tcPr>
          <w:p w14:paraId="3129D84A" w14:textId="77777777" w:rsidR="00F1362A" w:rsidRPr="00097A86" w:rsidRDefault="00F1362A" w:rsidP="00D22D3F">
            <w:pPr>
              <w:pStyle w:val="ENoteTableText"/>
            </w:pPr>
            <w:r w:rsidRPr="00097A86">
              <w:t>ad 2009 No.</w:t>
            </w:r>
            <w:r>
              <w:t> </w:t>
            </w:r>
            <w:r w:rsidRPr="00097A86">
              <w:t>1</w:t>
            </w:r>
          </w:p>
        </w:tc>
      </w:tr>
      <w:tr w:rsidR="00F1362A" w:rsidRPr="00097A86" w14:paraId="36AE71F6" w14:textId="77777777" w:rsidTr="00C20CC2">
        <w:tblPrEx>
          <w:jc w:val="center"/>
        </w:tblPrEx>
        <w:trPr>
          <w:gridAfter w:val="1"/>
          <w:wAfter w:w="37" w:type="pct"/>
          <w:jc w:val="center"/>
        </w:trPr>
        <w:tc>
          <w:tcPr>
            <w:tcW w:w="1390" w:type="pct"/>
            <w:gridSpan w:val="2"/>
          </w:tcPr>
          <w:p w14:paraId="22862427" w14:textId="77777777" w:rsidR="00F1362A" w:rsidRPr="00097A86" w:rsidRDefault="00F1362A" w:rsidP="006D1F60">
            <w:pPr>
              <w:pStyle w:val="ENoteTableText"/>
              <w:tabs>
                <w:tab w:val="left" w:leader="dot" w:pos="2268"/>
              </w:tabs>
            </w:pPr>
            <w:r w:rsidRPr="00097A86">
              <w:t>s 4.104</w:t>
            </w:r>
            <w:r w:rsidRPr="00097A86">
              <w:tab/>
            </w:r>
          </w:p>
        </w:tc>
        <w:tc>
          <w:tcPr>
            <w:tcW w:w="3573" w:type="pct"/>
            <w:gridSpan w:val="2"/>
          </w:tcPr>
          <w:p w14:paraId="0F25C2CA" w14:textId="77777777" w:rsidR="00F1362A" w:rsidRPr="00097A86" w:rsidRDefault="00F1362A" w:rsidP="00D22D3F">
            <w:pPr>
              <w:pStyle w:val="ENoteTableText"/>
            </w:pPr>
            <w:r w:rsidRPr="00097A86">
              <w:t>ad 2009 No.</w:t>
            </w:r>
            <w:r>
              <w:t> </w:t>
            </w:r>
            <w:r w:rsidRPr="00097A86">
              <w:t>1</w:t>
            </w:r>
          </w:p>
        </w:tc>
      </w:tr>
      <w:tr w:rsidR="00F1362A" w:rsidRPr="00097A86" w14:paraId="05119778" w14:textId="77777777" w:rsidTr="00C20CC2">
        <w:tblPrEx>
          <w:jc w:val="center"/>
        </w:tblPrEx>
        <w:trPr>
          <w:gridAfter w:val="1"/>
          <w:wAfter w:w="37" w:type="pct"/>
          <w:jc w:val="center"/>
        </w:trPr>
        <w:tc>
          <w:tcPr>
            <w:tcW w:w="1390" w:type="pct"/>
            <w:gridSpan w:val="2"/>
          </w:tcPr>
          <w:p w14:paraId="5D56B525" w14:textId="77777777" w:rsidR="00F1362A" w:rsidRPr="00097A86" w:rsidRDefault="00F1362A" w:rsidP="006D1F60">
            <w:pPr>
              <w:pStyle w:val="ENoteTableText"/>
              <w:tabs>
                <w:tab w:val="left" w:leader="dot" w:pos="2268"/>
              </w:tabs>
            </w:pPr>
            <w:r w:rsidRPr="00097A86">
              <w:rPr>
                <w:b/>
              </w:rPr>
              <w:t>Chapter</w:t>
            </w:r>
            <w:r>
              <w:rPr>
                <w:b/>
              </w:rPr>
              <w:t> </w:t>
            </w:r>
            <w:r w:rsidRPr="00097A86">
              <w:rPr>
                <w:b/>
              </w:rPr>
              <w:t>5</w:t>
            </w:r>
          </w:p>
        </w:tc>
        <w:tc>
          <w:tcPr>
            <w:tcW w:w="3573" w:type="pct"/>
            <w:gridSpan w:val="2"/>
          </w:tcPr>
          <w:p w14:paraId="627030EB" w14:textId="77777777" w:rsidR="00F1362A" w:rsidRPr="00097A86" w:rsidRDefault="00F1362A" w:rsidP="00D22D3F">
            <w:pPr>
              <w:pStyle w:val="ENoteTableText"/>
            </w:pPr>
          </w:p>
        </w:tc>
      </w:tr>
      <w:tr w:rsidR="00F1362A" w:rsidRPr="00097A86" w14:paraId="7781FDE0" w14:textId="77777777" w:rsidTr="00C20CC2">
        <w:tblPrEx>
          <w:jc w:val="center"/>
        </w:tblPrEx>
        <w:trPr>
          <w:gridAfter w:val="1"/>
          <w:wAfter w:w="37" w:type="pct"/>
          <w:jc w:val="center"/>
        </w:trPr>
        <w:tc>
          <w:tcPr>
            <w:tcW w:w="1390" w:type="pct"/>
            <w:gridSpan w:val="2"/>
          </w:tcPr>
          <w:p w14:paraId="0EEC7FE2" w14:textId="77777777" w:rsidR="00F1362A" w:rsidRPr="00097A86" w:rsidRDefault="00F1362A" w:rsidP="006C1D96">
            <w:pPr>
              <w:pStyle w:val="ENoteTableText"/>
              <w:tabs>
                <w:tab w:val="left" w:leader="dot" w:pos="2268"/>
              </w:tabs>
            </w:pPr>
            <w:r w:rsidRPr="00097A86">
              <w:lastRenderedPageBreak/>
              <w:t>Chapter</w:t>
            </w:r>
            <w:r>
              <w:t> </w:t>
            </w:r>
            <w:r w:rsidRPr="00097A86">
              <w:t>5 heading</w:t>
            </w:r>
            <w:r w:rsidRPr="00097A86">
              <w:tab/>
            </w:r>
          </w:p>
        </w:tc>
        <w:tc>
          <w:tcPr>
            <w:tcW w:w="3573" w:type="pct"/>
            <w:gridSpan w:val="2"/>
          </w:tcPr>
          <w:p w14:paraId="21F2B7CD" w14:textId="77777777" w:rsidR="00F1362A" w:rsidRPr="00097A86" w:rsidRDefault="00F1362A" w:rsidP="00D22D3F">
            <w:pPr>
              <w:pStyle w:val="ENoteTableText"/>
            </w:pPr>
            <w:r w:rsidRPr="00097A86">
              <w:t>rs 2009 No.</w:t>
            </w:r>
            <w:r>
              <w:t> </w:t>
            </w:r>
            <w:r w:rsidRPr="00097A86">
              <w:t>1</w:t>
            </w:r>
          </w:p>
        </w:tc>
      </w:tr>
      <w:tr w:rsidR="00F1362A" w:rsidRPr="00097A86" w14:paraId="57A57464" w14:textId="77777777" w:rsidTr="00C20CC2">
        <w:tblPrEx>
          <w:jc w:val="center"/>
        </w:tblPrEx>
        <w:trPr>
          <w:gridAfter w:val="1"/>
          <w:wAfter w:w="37" w:type="pct"/>
          <w:jc w:val="center"/>
        </w:trPr>
        <w:tc>
          <w:tcPr>
            <w:tcW w:w="1390" w:type="pct"/>
            <w:gridSpan w:val="2"/>
          </w:tcPr>
          <w:p w14:paraId="50F56260" w14:textId="77777777" w:rsidR="00F1362A" w:rsidRPr="00097A86" w:rsidRDefault="00F1362A" w:rsidP="006D1F60">
            <w:pPr>
              <w:pStyle w:val="ENoteTableText"/>
              <w:tabs>
                <w:tab w:val="left" w:leader="dot" w:pos="2268"/>
              </w:tabs>
            </w:pPr>
            <w:r w:rsidRPr="00097A86">
              <w:rPr>
                <w:b/>
              </w:rPr>
              <w:t>Part</w:t>
            </w:r>
            <w:r>
              <w:rPr>
                <w:b/>
              </w:rPr>
              <w:t> </w:t>
            </w:r>
            <w:r w:rsidRPr="00097A86">
              <w:rPr>
                <w:b/>
              </w:rPr>
              <w:t>5.1</w:t>
            </w:r>
          </w:p>
        </w:tc>
        <w:tc>
          <w:tcPr>
            <w:tcW w:w="3573" w:type="pct"/>
            <w:gridSpan w:val="2"/>
          </w:tcPr>
          <w:p w14:paraId="70CBDB35" w14:textId="77777777" w:rsidR="00F1362A" w:rsidRPr="00097A86" w:rsidRDefault="00F1362A" w:rsidP="00D22D3F">
            <w:pPr>
              <w:pStyle w:val="ENoteTableText"/>
            </w:pPr>
          </w:p>
        </w:tc>
      </w:tr>
      <w:tr w:rsidR="00F1362A" w:rsidRPr="00097A86" w14:paraId="7EC18905" w14:textId="77777777" w:rsidTr="00C20CC2">
        <w:tblPrEx>
          <w:jc w:val="center"/>
        </w:tblPrEx>
        <w:trPr>
          <w:gridAfter w:val="1"/>
          <w:wAfter w:w="37" w:type="pct"/>
          <w:jc w:val="center"/>
        </w:trPr>
        <w:tc>
          <w:tcPr>
            <w:tcW w:w="1390" w:type="pct"/>
            <w:gridSpan w:val="2"/>
          </w:tcPr>
          <w:p w14:paraId="016F0F27" w14:textId="77777777" w:rsidR="00F1362A" w:rsidRPr="00097A86" w:rsidRDefault="00F1362A" w:rsidP="006D1F60">
            <w:pPr>
              <w:pStyle w:val="ENoteTableText"/>
              <w:tabs>
                <w:tab w:val="left" w:leader="dot" w:pos="2268"/>
              </w:tabs>
            </w:pPr>
            <w:r w:rsidRPr="00097A86">
              <w:t>s 5.1</w:t>
            </w:r>
            <w:r w:rsidRPr="00097A86">
              <w:tab/>
            </w:r>
          </w:p>
        </w:tc>
        <w:tc>
          <w:tcPr>
            <w:tcW w:w="3573" w:type="pct"/>
            <w:gridSpan w:val="2"/>
          </w:tcPr>
          <w:p w14:paraId="1CA4F116" w14:textId="77777777" w:rsidR="00F1362A" w:rsidRPr="00097A86" w:rsidRDefault="00F1362A" w:rsidP="00D22D3F">
            <w:pPr>
              <w:pStyle w:val="ENoteTableText"/>
            </w:pPr>
            <w:r w:rsidRPr="00097A86">
              <w:t>rs 2009 No.</w:t>
            </w:r>
            <w:r>
              <w:t> </w:t>
            </w:r>
            <w:r w:rsidRPr="00097A86">
              <w:t>1</w:t>
            </w:r>
          </w:p>
        </w:tc>
      </w:tr>
      <w:tr w:rsidR="00F1362A" w:rsidRPr="00097A86" w14:paraId="741E3EC4" w14:textId="77777777" w:rsidTr="00C20CC2">
        <w:tblPrEx>
          <w:jc w:val="center"/>
        </w:tblPrEx>
        <w:trPr>
          <w:gridAfter w:val="1"/>
          <w:wAfter w:w="37" w:type="pct"/>
          <w:jc w:val="center"/>
        </w:trPr>
        <w:tc>
          <w:tcPr>
            <w:tcW w:w="1390" w:type="pct"/>
            <w:gridSpan w:val="2"/>
          </w:tcPr>
          <w:p w14:paraId="61B27AB7" w14:textId="77777777" w:rsidR="00F1362A" w:rsidRPr="00097A86" w:rsidRDefault="00F1362A" w:rsidP="006D1F60">
            <w:pPr>
              <w:pStyle w:val="ENoteTableText"/>
              <w:tabs>
                <w:tab w:val="left" w:leader="dot" w:pos="2268"/>
              </w:tabs>
            </w:pPr>
            <w:r w:rsidRPr="00097A86">
              <w:rPr>
                <w:b/>
              </w:rPr>
              <w:t>Part</w:t>
            </w:r>
            <w:r>
              <w:rPr>
                <w:b/>
              </w:rPr>
              <w:t> </w:t>
            </w:r>
            <w:r w:rsidRPr="00097A86">
              <w:rPr>
                <w:b/>
              </w:rPr>
              <w:t>5.2</w:t>
            </w:r>
          </w:p>
        </w:tc>
        <w:tc>
          <w:tcPr>
            <w:tcW w:w="3573" w:type="pct"/>
            <w:gridSpan w:val="2"/>
          </w:tcPr>
          <w:p w14:paraId="171AA450" w14:textId="77777777" w:rsidR="00F1362A" w:rsidRPr="00097A86" w:rsidRDefault="00F1362A" w:rsidP="00D22D3F">
            <w:pPr>
              <w:pStyle w:val="ENoteTableText"/>
            </w:pPr>
          </w:p>
        </w:tc>
      </w:tr>
      <w:tr w:rsidR="00F1362A" w:rsidRPr="00097A86" w14:paraId="381D228E" w14:textId="77777777" w:rsidTr="00C20CC2">
        <w:tblPrEx>
          <w:jc w:val="center"/>
        </w:tblPrEx>
        <w:trPr>
          <w:gridAfter w:val="1"/>
          <w:wAfter w:w="37" w:type="pct"/>
          <w:jc w:val="center"/>
        </w:trPr>
        <w:tc>
          <w:tcPr>
            <w:tcW w:w="1390" w:type="pct"/>
            <w:gridSpan w:val="2"/>
          </w:tcPr>
          <w:p w14:paraId="475ADDC3"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5.2</w:t>
            </w:r>
          </w:p>
        </w:tc>
        <w:tc>
          <w:tcPr>
            <w:tcW w:w="3573" w:type="pct"/>
            <w:gridSpan w:val="2"/>
          </w:tcPr>
          <w:p w14:paraId="03FA65B9" w14:textId="77777777" w:rsidR="00F1362A" w:rsidRPr="00097A86" w:rsidRDefault="00F1362A" w:rsidP="00D22D3F">
            <w:pPr>
              <w:pStyle w:val="ENoteTableText"/>
            </w:pPr>
          </w:p>
        </w:tc>
      </w:tr>
      <w:tr w:rsidR="00F1362A" w:rsidRPr="00097A86" w14:paraId="2F8CE533" w14:textId="77777777" w:rsidTr="00C20CC2">
        <w:tblPrEx>
          <w:jc w:val="center"/>
        </w:tblPrEx>
        <w:trPr>
          <w:gridAfter w:val="1"/>
          <w:wAfter w:w="37" w:type="pct"/>
          <w:jc w:val="center"/>
        </w:trPr>
        <w:tc>
          <w:tcPr>
            <w:tcW w:w="1390" w:type="pct"/>
            <w:gridSpan w:val="2"/>
          </w:tcPr>
          <w:p w14:paraId="50C36BD7" w14:textId="77777777" w:rsidR="00F1362A" w:rsidRPr="00097A86" w:rsidRDefault="00F1362A" w:rsidP="006D1F60">
            <w:pPr>
              <w:pStyle w:val="ENoteTableText"/>
              <w:tabs>
                <w:tab w:val="left" w:leader="dot" w:pos="2268"/>
              </w:tabs>
            </w:pPr>
            <w:r w:rsidRPr="00097A86">
              <w:t>s 5.2</w:t>
            </w:r>
            <w:r w:rsidRPr="00097A86">
              <w:tab/>
            </w:r>
          </w:p>
        </w:tc>
        <w:tc>
          <w:tcPr>
            <w:tcW w:w="3573" w:type="pct"/>
            <w:gridSpan w:val="2"/>
          </w:tcPr>
          <w:p w14:paraId="740CF12B" w14:textId="77777777" w:rsidR="00F1362A" w:rsidRPr="00097A86" w:rsidRDefault="00F1362A" w:rsidP="00D22D3F">
            <w:pPr>
              <w:pStyle w:val="ENoteTableText"/>
            </w:pPr>
            <w:r w:rsidRPr="00097A86">
              <w:t>rs 2009 No.</w:t>
            </w:r>
            <w:r>
              <w:t> </w:t>
            </w:r>
            <w:r w:rsidRPr="00097A86">
              <w:t>1</w:t>
            </w:r>
          </w:p>
        </w:tc>
      </w:tr>
      <w:tr w:rsidR="00F1362A" w:rsidRPr="00097A86" w14:paraId="5D3F5244" w14:textId="77777777" w:rsidTr="00C20CC2">
        <w:tblPrEx>
          <w:jc w:val="center"/>
        </w:tblPrEx>
        <w:trPr>
          <w:gridAfter w:val="1"/>
          <w:wAfter w:w="37" w:type="pct"/>
          <w:jc w:val="center"/>
        </w:trPr>
        <w:tc>
          <w:tcPr>
            <w:tcW w:w="1390" w:type="pct"/>
            <w:gridSpan w:val="2"/>
          </w:tcPr>
          <w:p w14:paraId="4B41A2A1" w14:textId="77777777" w:rsidR="00F1362A" w:rsidRPr="00097A86" w:rsidRDefault="00F1362A" w:rsidP="006D1F60">
            <w:pPr>
              <w:pStyle w:val="ENoteTableText"/>
              <w:tabs>
                <w:tab w:val="left" w:leader="dot" w:pos="2268"/>
              </w:tabs>
            </w:pPr>
          </w:p>
        </w:tc>
        <w:tc>
          <w:tcPr>
            <w:tcW w:w="3573" w:type="pct"/>
            <w:gridSpan w:val="2"/>
          </w:tcPr>
          <w:p w14:paraId="3008D0CF" w14:textId="77777777" w:rsidR="00F1362A" w:rsidRPr="00097A86" w:rsidRDefault="00F1362A" w:rsidP="00D22D3F">
            <w:pPr>
              <w:pStyle w:val="ENoteTableText"/>
            </w:pPr>
            <w:r w:rsidRPr="00097A86">
              <w:t>am 2012 No.</w:t>
            </w:r>
            <w:r>
              <w:t> </w:t>
            </w:r>
            <w:r w:rsidRPr="00097A86">
              <w:t>1</w:t>
            </w:r>
          </w:p>
        </w:tc>
      </w:tr>
      <w:tr w:rsidR="00F1362A" w:rsidRPr="00097A86" w14:paraId="41EFE8EF" w14:textId="77777777" w:rsidTr="00C20CC2">
        <w:tblPrEx>
          <w:jc w:val="center"/>
        </w:tblPrEx>
        <w:trPr>
          <w:gridAfter w:val="1"/>
          <w:wAfter w:w="37" w:type="pct"/>
          <w:jc w:val="center"/>
        </w:trPr>
        <w:tc>
          <w:tcPr>
            <w:tcW w:w="1390" w:type="pct"/>
            <w:gridSpan w:val="2"/>
          </w:tcPr>
          <w:p w14:paraId="6143D5F7" w14:textId="77777777" w:rsidR="00F1362A" w:rsidRPr="00097A86" w:rsidRDefault="00F1362A" w:rsidP="006D1F60">
            <w:pPr>
              <w:pStyle w:val="ENoteTableText"/>
              <w:tabs>
                <w:tab w:val="left" w:leader="dot" w:pos="2268"/>
              </w:tabs>
            </w:pPr>
          </w:p>
        </w:tc>
        <w:tc>
          <w:tcPr>
            <w:tcW w:w="3573" w:type="pct"/>
            <w:gridSpan w:val="2"/>
          </w:tcPr>
          <w:p w14:paraId="027447B7" w14:textId="77777777" w:rsidR="00F1362A" w:rsidRPr="00097A86" w:rsidRDefault="00F1362A" w:rsidP="00D22D3F">
            <w:pPr>
              <w:pStyle w:val="ENoteTableText"/>
            </w:pPr>
            <w:r w:rsidRPr="00097A86">
              <w:t>rs 2015 No 2</w:t>
            </w:r>
          </w:p>
        </w:tc>
      </w:tr>
      <w:tr w:rsidR="00F1362A" w:rsidRPr="00097A86" w14:paraId="5DC13D35" w14:textId="77777777" w:rsidTr="00C20CC2">
        <w:tblPrEx>
          <w:jc w:val="center"/>
        </w:tblPrEx>
        <w:trPr>
          <w:gridAfter w:val="1"/>
          <w:wAfter w:w="37" w:type="pct"/>
          <w:jc w:val="center"/>
        </w:trPr>
        <w:tc>
          <w:tcPr>
            <w:tcW w:w="1390" w:type="pct"/>
            <w:gridSpan w:val="2"/>
          </w:tcPr>
          <w:p w14:paraId="2BC7EE2C" w14:textId="77777777" w:rsidR="00F1362A" w:rsidRPr="00097A86" w:rsidRDefault="00F1362A" w:rsidP="006D1F60">
            <w:pPr>
              <w:pStyle w:val="ENoteTableText"/>
              <w:tabs>
                <w:tab w:val="left" w:leader="dot" w:pos="2268"/>
              </w:tabs>
            </w:pPr>
            <w:r w:rsidRPr="00097A86">
              <w:t>s 5.3</w:t>
            </w:r>
            <w:r w:rsidRPr="00097A86">
              <w:tab/>
            </w:r>
          </w:p>
        </w:tc>
        <w:tc>
          <w:tcPr>
            <w:tcW w:w="3573" w:type="pct"/>
            <w:gridSpan w:val="2"/>
          </w:tcPr>
          <w:p w14:paraId="3008D432" w14:textId="77777777" w:rsidR="00F1362A" w:rsidRPr="00097A86" w:rsidRDefault="00F1362A" w:rsidP="00D22D3F">
            <w:pPr>
              <w:pStyle w:val="ENoteTableText"/>
            </w:pPr>
            <w:r w:rsidRPr="00097A86">
              <w:t>am 2009 No.</w:t>
            </w:r>
            <w:r>
              <w:t> </w:t>
            </w:r>
            <w:r w:rsidRPr="00097A86">
              <w:t>1; 2013 No.</w:t>
            </w:r>
            <w:r>
              <w:t> </w:t>
            </w:r>
            <w:r w:rsidRPr="00097A86">
              <w:t xml:space="preserve">1; 2015 No 2; 2016 No 1 </w:t>
            </w:r>
          </w:p>
        </w:tc>
      </w:tr>
      <w:tr w:rsidR="00F1362A" w:rsidRPr="00097A86" w14:paraId="50230C48" w14:textId="77777777" w:rsidTr="00C20CC2">
        <w:tblPrEx>
          <w:jc w:val="center"/>
        </w:tblPrEx>
        <w:trPr>
          <w:gridAfter w:val="1"/>
          <w:wAfter w:w="37" w:type="pct"/>
          <w:jc w:val="center"/>
        </w:trPr>
        <w:tc>
          <w:tcPr>
            <w:tcW w:w="1390" w:type="pct"/>
            <w:gridSpan w:val="2"/>
          </w:tcPr>
          <w:p w14:paraId="5955F930" w14:textId="77777777" w:rsidR="00F1362A" w:rsidRPr="00097A86" w:rsidRDefault="00F1362A" w:rsidP="006D1F60">
            <w:pPr>
              <w:pStyle w:val="ENoteTableText"/>
              <w:tabs>
                <w:tab w:val="left" w:leader="dot" w:pos="2268"/>
              </w:tabs>
            </w:pPr>
          </w:p>
        </w:tc>
        <w:tc>
          <w:tcPr>
            <w:tcW w:w="3573" w:type="pct"/>
            <w:gridSpan w:val="2"/>
          </w:tcPr>
          <w:p w14:paraId="52458598" w14:textId="77777777" w:rsidR="00F1362A" w:rsidRPr="00097A86" w:rsidRDefault="00F1362A" w:rsidP="00D22D3F">
            <w:pPr>
              <w:pStyle w:val="ENoteTableText"/>
            </w:pPr>
            <w:r w:rsidRPr="00097A86">
              <w:t>ed C7</w:t>
            </w:r>
          </w:p>
        </w:tc>
      </w:tr>
      <w:tr w:rsidR="00F1362A" w:rsidRPr="00097A86" w14:paraId="6CAA54EF" w14:textId="77777777" w:rsidTr="00C20CC2">
        <w:tblPrEx>
          <w:jc w:val="center"/>
        </w:tblPrEx>
        <w:trPr>
          <w:gridAfter w:val="1"/>
          <w:wAfter w:w="37" w:type="pct"/>
          <w:jc w:val="center"/>
        </w:trPr>
        <w:tc>
          <w:tcPr>
            <w:tcW w:w="1390" w:type="pct"/>
            <w:gridSpan w:val="2"/>
          </w:tcPr>
          <w:p w14:paraId="6B9B0DDB"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5.2.2</w:t>
            </w:r>
          </w:p>
        </w:tc>
        <w:tc>
          <w:tcPr>
            <w:tcW w:w="3573" w:type="pct"/>
            <w:gridSpan w:val="2"/>
          </w:tcPr>
          <w:p w14:paraId="366F7362" w14:textId="77777777" w:rsidR="00F1362A" w:rsidRPr="00097A86" w:rsidRDefault="00F1362A" w:rsidP="00D22D3F">
            <w:pPr>
              <w:pStyle w:val="ENoteTableText"/>
            </w:pPr>
          </w:p>
        </w:tc>
      </w:tr>
      <w:tr w:rsidR="00F1362A" w:rsidRPr="00097A86" w14:paraId="6364A1B6" w14:textId="77777777" w:rsidTr="00C20CC2">
        <w:tblPrEx>
          <w:jc w:val="center"/>
        </w:tblPrEx>
        <w:trPr>
          <w:gridAfter w:val="1"/>
          <w:wAfter w:w="37" w:type="pct"/>
          <w:jc w:val="center"/>
        </w:trPr>
        <w:tc>
          <w:tcPr>
            <w:tcW w:w="1390" w:type="pct"/>
            <w:gridSpan w:val="2"/>
          </w:tcPr>
          <w:p w14:paraId="5D8948F6" w14:textId="77777777" w:rsidR="00F1362A" w:rsidRPr="00097A86" w:rsidRDefault="00F1362A" w:rsidP="006D1F60">
            <w:pPr>
              <w:pStyle w:val="ENoteTableText"/>
              <w:tabs>
                <w:tab w:val="left" w:leader="dot" w:pos="2268"/>
              </w:tabs>
            </w:pPr>
            <w:r w:rsidRPr="00097A86">
              <w:t>s 5.4</w:t>
            </w:r>
            <w:r w:rsidRPr="00097A86">
              <w:tab/>
            </w:r>
          </w:p>
        </w:tc>
        <w:tc>
          <w:tcPr>
            <w:tcW w:w="3573" w:type="pct"/>
            <w:gridSpan w:val="2"/>
          </w:tcPr>
          <w:p w14:paraId="76C0F42F" w14:textId="77777777" w:rsidR="00F1362A" w:rsidRPr="00097A86" w:rsidRDefault="00F1362A" w:rsidP="00D22D3F">
            <w:pPr>
              <w:pStyle w:val="ENoteTableText"/>
            </w:pPr>
            <w:r w:rsidRPr="00097A86">
              <w:t>am 2009 No.</w:t>
            </w:r>
            <w:r>
              <w:t> </w:t>
            </w:r>
            <w:r w:rsidRPr="00097A86">
              <w:t>1; 2011 No.</w:t>
            </w:r>
            <w:r>
              <w:t> </w:t>
            </w:r>
            <w:r w:rsidRPr="00097A86">
              <w:t>1; 2012 No.</w:t>
            </w:r>
            <w:r>
              <w:t> </w:t>
            </w:r>
            <w:r w:rsidRPr="00097A86">
              <w:t>1; 2014 No.</w:t>
            </w:r>
            <w:r>
              <w:t> </w:t>
            </w:r>
            <w:r w:rsidRPr="00097A86">
              <w:t>1; 2015 No 1</w:t>
            </w:r>
          </w:p>
        </w:tc>
      </w:tr>
      <w:tr w:rsidR="00F1362A" w:rsidRPr="00097A86" w14:paraId="43313F11" w14:textId="77777777" w:rsidTr="00C20CC2">
        <w:tblPrEx>
          <w:jc w:val="center"/>
        </w:tblPrEx>
        <w:trPr>
          <w:gridAfter w:val="1"/>
          <w:wAfter w:w="37" w:type="pct"/>
          <w:jc w:val="center"/>
        </w:trPr>
        <w:tc>
          <w:tcPr>
            <w:tcW w:w="1390" w:type="pct"/>
            <w:gridSpan w:val="2"/>
          </w:tcPr>
          <w:p w14:paraId="269CC006" w14:textId="77777777" w:rsidR="00F1362A" w:rsidRPr="00097A86" w:rsidRDefault="00F1362A" w:rsidP="006D1F60">
            <w:pPr>
              <w:pStyle w:val="ENoteTableText"/>
              <w:tabs>
                <w:tab w:val="left" w:leader="dot" w:pos="2268"/>
              </w:tabs>
            </w:pPr>
            <w:r w:rsidRPr="00097A86">
              <w:t>s 5.4A</w:t>
            </w:r>
            <w:r w:rsidRPr="00097A86">
              <w:tab/>
            </w:r>
          </w:p>
        </w:tc>
        <w:tc>
          <w:tcPr>
            <w:tcW w:w="3573" w:type="pct"/>
            <w:gridSpan w:val="2"/>
          </w:tcPr>
          <w:p w14:paraId="667F7826" w14:textId="77777777" w:rsidR="00F1362A" w:rsidRPr="00097A86" w:rsidRDefault="00F1362A" w:rsidP="00D22D3F">
            <w:pPr>
              <w:pStyle w:val="ENoteTableText"/>
            </w:pPr>
            <w:r w:rsidRPr="00097A86">
              <w:t>ad 2012 No.</w:t>
            </w:r>
            <w:r>
              <w:t> </w:t>
            </w:r>
            <w:r w:rsidRPr="00097A86">
              <w:t>1</w:t>
            </w:r>
          </w:p>
        </w:tc>
      </w:tr>
      <w:tr w:rsidR="00F1362A" w:rsidRPr="00097A86" w14:paraId="5E158009" w14:textId="77777777" w:rsidTr="00C20CC2">
        <w:tblPrEx>
          <w:jc w:val="center"/>
        </w:tblPrEx>
        <w:trPr>
          <w:gridAfter w:val="1"/>
          <w:wAfter w:w="37" w:type="pct"/>
          <w:jc w:val="center"/>
        </w:trPr>
        <w:tc>
          <w:tcPr>
            <w:tcW w:w="1390" w:type="pct"/>
            <w:gridSpan w:val="2"/>
          </w:tcPr>
          <w:p w14:paraId="534D5347" w14:textId="77777777" w:rsidR="00F1362A" w:rsidRPr="00097A86" w:rsidRDefault="00F1362A" w:rsidP="006D1F60">
            <w:pPr>
              <w:pStyle w:val="ENoteTableText"/>
              <w:tabs>
                <w:tab w:val="left" w:leader="dot" w:pos="2268"/>
              </w:tabs>
            </w:pPr>
            <w:r w:rsidRPr="00097A86">
              <w:t>s 5.4B</w:t>
            </w:r>
            <w:r w:rsidRPr="00097A86">
              <w:tab/>
            </w:r>
          </w:p>
        </w:tc>
        <w:tc>
          <w:tcPr>
            <w:tcW w:w="3573" w:type="pct"/>
            <w:gridSpan w:val="2"/>
          </w:tcPr>
          <w:p w14:paraId="5880BE68" w14:textId="77777777" w:rsidR="00F1362A" w:rsidRPr="00097A86" w:rsidRDefault="00F1362A" w:rsidP="00D22D3F">
            <w:pPr>
              <w:pStyle w:val="ENoteTableText"/>
            </w:pPr>
            <w:r w:rsidRPr="00097A86">
              <w:t>ad 2012 No.</w:t>
            </w:r>
            <w:r>
              <w:t> </w:t>
            </w:r>
            <w:r w:rsidRPr="00097A86">
              <w:t>1</w:t>
            </w:r>
          </w:p>
        </w:tc>
      </w:tr>
      <w:tr w:rsidR="00F1362A" w:rsidRPr="00097A86" w14:paraId="20F94BE4" w14:textId="77777777" w:rsidTr="00C20CC2">
        <w:tblPrEx>
          <w:jc w:val="center"/>
        </w:tblPrEx>
        <w:trPr>
          <w:gridAfter w:val="1"/>
          <w:wAfter w:w="37" w:type="pct"/>
          <w:jc w:val="center"/>
        </w:trPr>
        <w:tc>
          <w:tcPr>
            <w:tcW w:w="1390" w:type="pct"/>
            <w:gridSpan w:val="2"/>
          </w:tcPr>
          <w:p w14:paraId="79DDB474" w14:textId="77777777" w:rsidR="00F1362A" w:rsidRPr="00097A86" w:rsidRDefault="00F1362A" w:rsidP="006D1F60">
            <w:pPr>
              <w:pStyle w:val="ENoteTableText"/>
              <w:tabs>
                <w:tab w:val="left" w:leader="dot" w:pos="2268"/>
              </w:tabs>
            </w:pPr>
          </w:p>
        </w:tc>
        <w:tc>
          <w:tcPr>
            <w:tcW w:w="3573" w:type="pct"/>
            <w:gridSpan w:val="2"/>
          </w:tcPr>
          <w:p w14:paraId="4960C884" w14:textId="77777777" w:rsidR="00F1362A" w:rsidRPr="00097A86" w:rsidRDefault="00F1362A" w:rsidP="00D22D3F">
            <w:pPr>
              <w:pStyle w:val="ENoteTableText"/>
            </w:pPr>
            <w:r w:rsidRPr="00097A86">
              <w:t>am 2015 No 1</w:t>
            </w:r>
          </w:p>
        </w:tc>
      </w:tr>
      <w:tr w:rsidR="00F1362A" w:rsidRPr="00097A86" w14:paraId="6F5C0A3D" w14:textId="77777777" w:rsidTr="00C20CC2">
        <w:tblPrEx>
          <w:jc w:val="center"/>
        </w:tblPrEx>
        <w:trPr>
          <w:gridAfter w:val="1"/>
          <w:wAfter w:w="37" w:type="pct"/>
          <w:jc w:val="center"/>
        </w:trPr>
        <w:tc>
          <w:tcPr>
            <w:tcW w:w="1390" w:type="pct"/>
            <w:gridSpan w:val="2"/>
          </w:tcPr>
          <w:p w14:paraId="16E13ECD" w14:textId="77777777" w:rsidR="00F1362A" w:rsidRPr="00097A86" w:rsidRDefault="00F1362A" w:rsidP="006D1F60">
            <w:pPr>
              <w:pStyle w:val="ENoteTableText"/>
              <w:tabs>
                <w:tab w:val="left" w:leader="dot" w:pos="2268"/>
              </w:tabs>
            </w:pPr>
            <w:r w:rsidRPr="00097A86">
              <w:t>s 5.4C</w:t>
            </w:r>
            <w:r w:rsidRPr="00097A86">
              <w:tab/>
            </w:r>
          </w:p>
        </w:tc>
        <w:tc>
          <w:tcPr>
            <w:tcW w:w="3573" w:type="pct"/>
            <w:gridSpan w:val="2"/>
          </w:tcPr>
          <w:p w14:paraId="5A32F133" w14:textId="77777777" w:rsidR="00F1362A" w:rsidRPr="00097A86" w:rsidRDefault="00F1362A" w:rsidP="00D22D3F">
            <w:pPr>
              <w:pStyle w:val="ENoteTableText"/>
            </w:pPr>
            <w:r w:rsidRPr="00097A86">
              <w:t>ad 2012 No.</w:t>
            </w:r>
            <w:r>
              <w:t> </w:t>
            </w:r>
            <w:r w:rsidRPr="00097A86">
              <w:t>1</w:t>
            </w:r>
          </w:p>
        </w:tc>
      </w:tr>
      <w:tr w:rsidR="00F1362A" w:rsidRPr="00097A86" w14:paraId="00DF1145" w14:textId="77777777" w:rsidTr="00C20CC2">
        <w:tblPrEx>
          <w:jc w:val="center"/>
        </w:tblPrEx>
        <w:trPr>
          <w:gridAfter w:val="1"/>
          <w:wAfter w:w="37" w:type="pct"/>
          <w:jc w:val="center"/>
        </w:trPr>
        <w:tc>
          <w:tcPr>
            <w:tcW w:w="1390" w:type="pct"/>
            <w:gridSpan w:val="2"/>
          </w:tcPr>
          <w:p w14:paraId="3901C8C3" w14:textId="77777777" w:rsidR="00F1362A" w:rsidRPr="00097A86" w:rsidRDefault="00F1362A" w:rsidP="006D1F60">
            <w:pPr>
              <w:pStyle w:val="ENoteTableText"/>
              <w:tabs>
                <w:tab w:val="left" w:leader="dot" w:pos="2268"/>
              </w:tabs>
            </w:pPr>
            <w:r w:rsidRPr="00097A86">
              <w:t>s 5.4D</w:t>
            </w:r>
            <w:r w:rsidRPr="00097A86">
              <w:tab/>
            </w:r>
          </w:p>
        </w:tc>
        <w:tc>
          <w:tcPr>
            <w:tcW w:w="3573" w:type="pct"/>
            <w:gridSpan w:val="2"/>
          </w:tcPr>
          <w:p w14:paraId="147FAB65" w14:textId="77777777" w:rsidR="00F1362A" w:rsidRPr="00097A86" w:rsidRDefault="00F1362A" w:rsidP="00D22D3F">
            <w:pPr>
              <w:pStyle w:val="ENoteTableText"/>
            </w:pPr>
            <w:r w:rsidRPr="00097A86">
              <w:t>ad 2012 No.</w:t>
            </w:r>
            <w:r>
              <w:t> </w:t>
            </w:r>
            <w:r w:rsidRPr="00097A86">
              <w:t>1</w:t>
            </w:r>
          </w:p>
        </w:tc>
      </w:tr>
      <w:tr w:rsidR="00F1362A" w:rsidRPr="00097A86" w14:paraId="754C24FA" w14:textId="77777777" w:rsidTr="00C20CC2">
        <w:tblPrEx>
          <w:jc w:val="center"/>
        </w:tblPrEx>
        <w:trPr>
          <w:gridAfter w:val="1"/>
          <w:wAfter w:w="37" w:type="pct"/>
          <w:jc w:val="center"/>
        </w:trPr>
        <w:tc>
          <w:tcPr>
            <w:tcW w:w="1390" w:type="pct"/>
            <w:gridSpan w:val="2"/>
          </w:tcPr>
          <w:p w14:paraId="08A633CD" w14:textId="77777777" w:rsidR="00F1362A" w:rsidRPr="00097A86" w:rsidRDefault="00F1362A" w:rsidP="006D1F60">
            <w:pPr>
              <w:pStyle w:val="ENoteTableText"/>
              <w:tabs>
                <w:tab w:val="left" w:leader="dot" w:pos="2268"/>
              </w:tabs>
            </w:pPr>
          </w:p>
        </w:tc>
        <w:tc>
          <w:tcPr>
            <w:tcW w:w="3573" w:type="pct"/>
            <w:gridSpan w:val="2"/>
          </w:tcPr>
          <w:p w14:paraId="6B1DE7A2" w14:textId="77777777" w:rsidR="00F1362A" w:rsidRPr="00097A86" w:rsidRDefault="00F1362A" w:rsidP="00D22D3F">
            <w:pPr>
              <w:pStyle w:val="ENoteTableText"/>
            </w:pPr>
            <w:r w:rsidRPr="00097A86">
              <w:t>am 2015 No 1</w:t>
            </w:r>
          </w:p>
        </w:tc>
      </w:tr>
      <w:tr w:rsidR="00F1362A" w:rsidRPr="00097A86" w14:paraId="3736F933" w14:textId="77777777" w:rsidTr="00C20CC2">
        <w:tblPrEx>
          <w:jc w:val="center"/>
        </w:tblPrEx>
        <w:trPr>
          <w:gridAfter w:val="1"/>
          <w:wAfter w:w="37" w:type="pct"/>
          <w:jc w:val="center"/>
        </w:trPr>
        <w:tc>
          <w:tcPr>
            <w:tcW w:w="1390" w:type="pct"/>
            <w:gridSpan w:val="2"/>
          </w:tcPr>
          <w:p w14:paraId="05337B71" w14:textId="77777777" w:rsidR="00F1362A" w:rsidRPr="00097A86" w:rsidRDefault="00F1362A" w:rsidP="006D1F60">
            <w:pPr>
              <w:pStyle w:val="ENoteTableText"/>
              <w:tabs>
                <w:tab w:val="left" w:leader="dot" w:pos="2268"/>
              </w:tabs>
            </w:pPr>
            <w:r w:rsidRPr="00097A86">
              <w:t>s 5.5</w:t>
            </w:r>
            <w:r w:rsidRPr="00097A86">
              <w:tab/>
            </w:r>
          </w:p>
        </w:tc>
        <w:tc>
          <w:tcPr>
            <w:tcW w:w="3573" w:type="pct"/>
            <w:gridSpan w:val="2"/>
          </w:tcPr>
          <w:p w14:paraId="231351D4" w14:textId="77777777" w:rsidR="00F1362A" w:rsidRPr="00097A86" w:rsidRDefault="00F1362A" w:rsidP="00D22D3F">
            <w:pPr>
              <w:pStyle w:val="ENoteTableText"/>
            </w:pPr>
            <w:r w:rsidRPr="00097A86">
              <w:t>am 2009 No.</w:t>
            </w:r>
            <w:r>
              <w:t> </w:t>
            </w:r>
            <w:r w:rsidRPr="00097A86">
              <w:t>1</w:t>
            </w:r>
          </w:p>
        </w:tc>
      </w:tr>
      <w:tr w:rsidR="00F1362A" w:rsidRPr="00097A86" w14:paraId="3FCA8C64" w14:textId="77777777" w:rsidTr="00C20CC2">
        <w:tblPrEx>
          <w:jc w:val="center"/>
        </w:tblPrEx>
        <w:trPr>
          <w:gridAfter w:val="1"/>
          <w:wAfter w:w="37" w:type="pct"/>
          <w:jc w:val="center"/>
        </w:trPr>
        <w:tc>
          <w:tcPr>
            <w:tcW w:w="1390" w:type="pct"/>
            <w:gridSpan w:val="2"/>
          </w:tcPr>
          <w:p w14:paraId="5302E26F" w14:textId="77777777" w:rsidR="00F1362A" w:rsidRPr="00097A86" w:rsidRDefault="00F1362A" w:rsidP="006D1F60">
            <w:pPr>
              <w:pStyle w:val="ENoteTableText"/>
              <w:tabs>
                <w:tab w:val="left" w:leader="dot" w:pos="2268"/>
              </w:tabs>
            </w:pPr>
            <w:r w:rsidRPr="00097A86">
              <w:t>s 5.8</w:t>
            </w:r>
            <w:r w:rsidRPr="00097A86">
              <w:tab/>
            </w:r>
          </w:p>
        </w:tc>
        <w:tc>
          <w:tcPr>
            <w:tcW w:w="3573" w:type="pct"/>
            <w:gridSpan w:val="2"/>
          </w:tcPr>
          <w:p w14:paraId="30B58C0D" w14:textId="77777777" w:rsidR="00F1362A" w:rsidRPr="00097A86" w:rsidRDefault="00F1362A" w:rsidP="00D22D3F">
            <w:pPr>
              <w:pStyle w:val="ENoteTableText"/>
            </w:pPr>
            <w:r w:rsidRPr="00097A86">
              <w:t>am 2014 No.</w:t>
            </w:r>
            <w:r>
              <w:t> </w:t>
            </w:r>
            <w:r w:rsidRPr="00097A86">
              <w:t>1</w:t>
            </w:r>
          </w:p>
        </w:tc>
      </w:tr>
      <w:tr w:rsidR="00F1362A" w:rsidRPr="00097A86" w14:paraId="3F6D3A2C" w14:textId="77777777" w:rsidTr="00C20CC2">
        <w:tblPrEx>
          <w:jc w:val="center"/>
        </w:tblPrEx>
        <w:trPr>
          <w:gridAfter w:val="1"/>
          <w:wAfter w:w="37" w:type="pct"/>
          <w:jc w:val="center"/>
        </w:trPr>
        <w:tc>
          <w:tcPr>
            <w:tcW w:w="1390" w:type="pct"/>
            <w:gridSpan w:val="2"/>
          </w:tcPr>
          <w:p w14:paraId="58789E9C" w14:textId="77777777" w:rsidR="00F1362A" w:rsidRPr="00097A86" w:rsidRDefault="00F1362A" w:rsidP="006D1F60">
            <w:pPr>
              <w:pStyle w:val="ENoteTableText"/>
              <w:tabs>
                <w:tab w:val="left" w:leader="dot" w:pos="2268"/>
              </w:tabs>
            </w:pPr>
            <w:r w:rsidRPr="00097A86">
              <w:lastRenderedPageBreak/>
              <w:t>s 5.9</w:t>
            </w:r>
            <w:r w:rsidRPr="00097A86">
              <w:tab/>
            </w:r>
          </w:p>
        </w:tc>
        <w:tc>
          <w:tcPr>
            <w:tcW w:w="3573" w:type="pct"/>
            <w:gridSpan w:val="2"/>
          </w:tcPr>
          <w:p w14:paraId="2669AF0D" w14:textId="77777777" w:rsidR="00F1362A" w:rsidRPr="00097A86" w:rsidRDefault="00F1362A" w:rsidP="00D22D3F">
            <w:pPr>
              <w:pStyle w:val="ENoteTableText"/>
            </w:pPr>
            <w:r w:rsidRPr="00097A86">
              <w:t>am 2009 No.</w:t>
            </w:r>
            <w:r>
              <w:t> </w:t>
            </w:r>
            <w:r w:rsidRPr="00097A86">
              <w:t>1; 2012 No.</w:t>
            </w:r>
            <w:r>
              <w:t> </w:t>
            </w:r>
            <w:r w:rsidRPr="00097A86">
              <w:t>1</w:t>
            </w:r>
          </w:p>
        </w:tc>
      </w:tr>
      <w:tr w:rsidR="00F1362A" w:rsidRPr="00097A86" w14:paraId="1BE8443C" w14:textId="77777777" w:rsidTr="00C20CC2">
        <w:tblPrEx>
          <w:jc w:val="center"/>
        </w:tblPrEx>
        <w:trPr>
          <w:gridAfter w:val="1"/>
          <w:wAfter w:w="37" w:type="pct"/>
          <w:jc w:val="center"/>
        </w:trPr>
        <w:tc>
          <w:tcPr>
            <w:tcW w:w="1390" w:type="pct"/>
            <w:gridSpan w:val="2"/>
          </w:tcPr>
          <w:p w14:paraId="5C5D8984" w14:textId="77777777" w:rsidR="00F1362A" w:rsidRPr="00097A86" w:rsidRDefault="00F1362A" w:rsidP="006D1F60">
            <w:pPr>
              <w:pStyle w:val="ENoteTableText"/>
              <w:tabs>
                <w:tab w:val="left" w:leader="dot" w:pos="2268"/>
              </w:tabs>
            </w:pPr>
          </w:p>
        </w:tc>
        <w:tc>
          <w:tcPr>
            <w:tcW w:w="3573" w:type="pct"/>
            <w:gridSpan w:val="2"/>
          </w:tcPr>
          <w:p w14:paraId="0B717D80" w14:textId="77777777" w:rsidR="00F1362A" w:rsidRPr="00097A86" w:rsidRDefault="00F1362A" w:rsidP="00D22D3F">
            <w:pPr>
              <w:pStyle w:val="ENoteTableText"/>
            </w:pPr>
            <w:r w:rsidRPr="00097A86">
              <w:t>rs 2013 No.</w:t>
            </w:r>
            <w:r>
              <w:t> </w:t>
            </w:r>
            <w:r w:rsidRPr="00097A86">
              <w:t>1</w:t>
            </w:r>
          </w:p>
        </w:tc>
      </w:tr>
      <w:tr w:rsidR="00F1362A" w:rsidRPr="00097A86" w14:paraId="3783D03C" w14:textId="77777777" w:rsidTr="00C20CC2">
        <w:tblPrEx>
          <w:jc w:val="center"/>
        </w:tblPrEx>
        <w:trPr>
          <w:gridAfter w:val="1"/>
          <w:wAfter w:w="37" w:type="pct"/>
          <w:jc w:val="center"/>
        </w:trPr>
        <w:tc>
          <w:tcPr>
            <w:tcW w:w="1390" w:type="pct"/>
            <w:gridSpan w:val="2"/>
          </w:tcPr>
          <w:p w14:paraId="388E7622" w14:textId="77777777" w:rsidR="00F1362A" w:rsidRPr="00097A86" w:rsidRDefault="00F1362A" w:rsidP="006D1F60">
            <w:pPr>
              <w:pStyle w:val="ENoteTableText"/>
              <w:tabs>
                <w:tab w:val="left" w:leader="dot" w:pos="2268"/>
              </w:tabs>
            </w:pPr>
          </w:p>
        </w:tc>
        <w:tc>
          <w:tcPr>
            <w:tcW w:w="3573" w:type="pct"/>
            <w:gridSpan w:val="2"/>
          </w:tcPr>
          <w:p w14:paraId="4C56C301" w14:textId="77777777" w:rsidR="00F1362A" w:rsidRPr="00097A86" w:rsidRDefault="00F1362A" w:rsidP="00D22D3F">
            <w:pPr>
              <w:pStyle w:val="ENoteTableText"/>
            </w:pPr>
            <w:r w:rsidRPr="00097A86">
              <w:t>am 2014 No.</w:t>
            </w:r>
            <w:r>
              <w:t> </w:t>
            </w:r>
            <w:r w:rsidRPr="00097A86">
              <w:t>1</w:t>
            </w:r>
          </w:p>
        </w:tc>
      </w:tr>
      <w:tr w:rsidR="00F1362A" w:rsidRPr="00097A86" w14:paraId="0903ECC3" w14:textId="77777777" w:rsidTr="00C20CC2">
        <w:tblPrEx>
          <w:jc w:val="center"/>
        </w:tblPrEx>
        <w:trPr>
          <w:gridAfter w:val="1"/>
          <w:wAfter w:w="37" w:type="pct"/>
          <w:jc w:val="center"/>
        </w:trPr>
        <w:tc>
          <w:tcPr>
            <w:tcW w:w="1390" w:type="pct"/>
            <w:gridSpan w:val="2"/>
          </w:tcPr>
          <w:p w14:paraId="56D86397" w14:textId="77777777" w:rsidR="00F1362A" w:rsidRPr="00097A86" w:rsidRDefault="00F1362A" w:rsidP="006D1F60">
            <w:pPr>
              <w:pStyle w:val="ENoteTableText"/>
              <w:tabs>
                <w:tab w:val="left" w:leader="dot" w:pos="2268"/>
              </w:tabs>
            </w:pPr>
            <w:r w:rsidRPr="00097A86">
              <w:t>s 5.10</w:t>
            </w:r>
            <w:r w:rsidRPr="00097A86">
              <w:tab/>
            </w:r>
          </w:p>
        </w:tc>
        <w:tc>
          <w:tcPr>
            <w:tcW w:w="3573" w:type="pct"/>
            <w:gridSpan w:val="2"/>
          </w:tcPr>
          <w:p w14:paraId="467170DF" w14:textId="77777777" w:rsidR="00F1362A" w:rsidRPr="00097A86" w:rsidRDefault="00F1362A" w:rsidP="00D22D3F">
            <w:pPr>
              <w:pStyle w:val="ENoteTableText"/>
            </w:pPr>
            <w:r w:rsidRPr="00097A86">
              <w:t>am 2009 No.</w:t>
            </w:r>
            <w:r>
              <w:t> </w:t>
            </w:r>
            <w:r w:rsidRPr="00097A86">
              <w:t>1; 2012 No.</w:t>
            </w:r>
            <w:r>
              <w:t> </w:t>
            </w:r>
            <w:r w:rsidRPr="00097A86">
              <w:t>1; 2013 No.</w:t>
            </w:r>
            <w:r>
              <w:t> </w:t>
            </w:r>
            <w:r w:rsidRPr="00097A86">
              <w:t>1; 2014 No.</w:t>
            </w:r>
            <w:r>
              <w:t> </w:t>
            </w:r>
            <w:r w:rsidRPr="00097A86">
              <w:t>1</w:t>
            </w:r>
          </w:p>
        </w:tc>
      </w:tr>
      <w:tr w:rsidR="00F1362A" w:rsidRPr="00097A86" w14:paraId="3E077E09" w14:textId="77777777" w:rsidTr="00C20CC2">
        <w:tblPrEx>
          <w:jc w:val="center"/>
        </w:tblPrEx>
        <w:trPr>
          <w:gridAfter w:val="1"/>
          <w:wAfter w:w="37" w:type="pct"/>
          <w:jc w:val="center"/>
        </w:trPr>
        <w:tc>
          <w:tcPr>
            <w:tcW w:w="1390" w:type="pct"/>
            <w:gridSpan w:val="2"/>
          </w:tcPr>
          <w:p w14:paraId="769EAED5" w14:textId="77777777" w:rsidR="00F1362A" w:rsidRPr="00097A86" w:rsidRDefault="00F1362A" w:rsidP="006D1F60">
            <w:pPr>
              <w:pStyle w:val="ENoteTableText"/>
              <w:tabs>
                <w:tab w:val="left" w:leader="dot" w:pos="2268"/>
              </w:tabs>
            </w:pPr>
            <w:r w:rsidRPr="00097A86">
              <w:t>s 5.10A</w:t>
            </w:r>
            <w:r w:rsidRPr="00097A86">
              <w:tab/>
            </w:r>
          </w:p>
        </w:tc>
        <w:tc>
          <w:tcPr>
            <w:tcW w:w="3573" w:type="pct"/>
            <w:gridSpan w:val="2"/>
          </w:tcPr>
          <w:p w14:paraId="40A611D9" w14:textId="77777777" w:rsidR="00F1362A" w:rsidRPr="00097A86" w:rsidRDefault="00F1362A" w:rsidP="00D22D3F">
            <w:pPr>
              <w:pStyle w:val="ENoteTableText"/>
            </w:pPr>
            <w:r w:rsidRPr="00097A86">
              <w:t>ad 2013 No.</w:t>
            </w:r>
            <w:r>
              <w:t> </w:t>
            </w:r>
            <w:r w:rsidRPr="00097A86">
              <w:t>1</w:t>
            </w:r>
          </w:p>
        </w:tc>
      </w:tr>
      <w:tr w:rsidR="00F1362A" w:rsidRPr="00097A86" w14:paraId="47F4510E" w14:textId="77777777" w:rsidTr="00C20CC2">
        <w:tblPrEx>
          <w:jc w:val="center"/>
        </w:tblPrEx>
        <w:trPr>
          <w:gridAfter w:val="1"/>
          <w:wAfter w:w="37" w:type="pct"/>
          <w:jc w:val="center"/>
        </w:trPr>
        <w:tc>
          <w:tcPr>
            <w:tcW w:w="1390" w:type="pct"/>
            <w:gridSpan w:val="2"/>
          </w:tcPr>
          <w:p w14:paraId="407AEEB2" w14:textId="77777777" w:rsidR="00F1362A" w:rsidRPr="00097A86" w:rsidRDefault="00F1362A" w:rsidP="006D1F60">
            <w:pPr>
              <w:pStyle w:val="ENoteTableText"/>
              <w:tabs>
                <w:tab w:val="left" w:leader="dot" w:pos="2268"/>
              </w:tabs>
            </w:pPr>
          </w:p>
        </w:tc>
        <w:tc>
          <w:tcPr>
            <w:tcW w:w="3573" w:type="pct"/>
            <w:gridSpan w:val="2"/>
          </w:tcPr>
          <w:p w14:paraId="4723EAD2" w14:textId="77777777" w:rsidR="00F1362A" w:rsidRPr="00097A86" w:rsidRDefault="00F1362A" w:rsidP="00D22D3F">
            <w:pPr>
              <w:pStyle w:val="ENoteTableText"/>
            </w:pPr>
            <w:r w:rsidRPr="00097A86">
              <w:t>am 2014 No.</w:t>
            </w:r>
            <w:r>
              <w:t> </w:t>
            </w:r>
            <w:r w:rsidRPr="00097A86">
              <w:t>1</w:t>
            </w:r>
          </w:p>
        </w:tc>
      </w:tr>
      <w:tr w:rsidR="00F1362A" w:rsidRPr="00097A86" w14:paraId="7BA6CFEE" w14:textId="77777777" w:rsidTr="00C20CC2">
        <w:tblPrEx>
          <w:jc w:val="center"/>
        </w:tblPrEx>
        <w:trPr>
          <w:gridAfter w:val="1"/>
          <w:wAfter w:w="37" w:type="pct"/>
          <w:jc w:val="center"/>
        </w:trPr>
        <w:tc>
          <w:tcPr>
            <w:tcW w:w="1390" w:type="pct"/>
            <w:gridSpan w:val="2"/>
          </w:tcPr>
          <w:p w14:paraId="02D66CF7" w14:textId="77777777" w:rsidR="00F1362A" w:rsidRPr="00097A86" w:rsidRDefault="00F1362A" w:rsidP="006D1F60">
            <w:pPr>
              <w:pStyle w:val="ENoteTableText"/>
              <w:tabs>
                <w:tab w:val="left" w:leader="dot" w:pos="2268"/>
              </w:tabs>
            </w:pPr>
            <w:r w:rsidRPr="00097A86">
              <w:t>s 5.11</w:t>
            </w:r>
            <w:r w:rsidRPr="00097A86">
              <w:tab/>
            </w:r>
          </w:p>
        </w:tc>
        <w:tc>
          <w:tcPr>
            <w:tcW w:w="3573" w:type="pct"/>
            <w:gridSpan w:val="2"/>
          </w:tcPr>
          <w:p w14:paraId="771F0244" w14:textId="77777777" w:rsidR="00F1362A" w:rsidRPr="00097A86" w:rsidRDefault="00F1362A" w:rsidP="00D22D3F">
            <w:pPr>
              <w:pStyle w:val="ENoteTableText"/>
            </w:pPr>
            <w:r w:rsidRPr="00097A86">
              <w:t>am 2009 No.</w:t>
            </w:r>
            <w:r>
              <w:t> </w:t>
            </w:r>
            <w:r w:rsidRPr="00097A86">
              <w:t>1; 2013 No.</w:t>
            </w:r>
            <w:r>
              <w:t> </w:t>
            </w:r>
            <w:r w:rsidRPr="00097A86">
              <w:t>1; 2014 No.</w:t>
            </w:r>
            <w:r>
              <w:t> </w:t>
            </w:r>
            <w:r w:rsidRPr="00097A86">
              <w:t>1; 2016 No 1</w:t>
            </w:r>
          </w:p>
        </w:tc>
      </w:tr>
      <w:tr w:rsidR="00F1362A" w:rsidRPr="00097A86" w14:paraId="40502571" w14:textId="77777777" w:rsidTr="00C20CC2">
        <w:tblPrEx>
          <w:jc w:val="center"/>
        </w:tblPrEx>
        <w:trPr>
          <w:gridAfter w:val="1"/>
          <w:wAfter w:w="37" w:type="pct"/>
          <w:jc w:val="center"/>
        </w:trPr>
        <w:tc>
          <w:tcPr>
            <w:tcW w:w="1390" w:type="pct"/>
            <w:gridSpan w:val="2"/>
          </w:tcPr>
          <w:p w14:paraId="4983DD83" w14:textId="77777777" w:rsidR="00F1362A" w:rsidRPr="00097A86" w:rsidRDefault="00F1362A" w:rsidP="006D1F60">
            <w:pPr>
              <w:pStyle w:val="ENoteTableText"/>
              <w:tabs>
                <w:tab w:val="left" w:leader="dot" w:pos="2268"/>
              </w:tabs>
            </w:pPr>
            <w:r w:rsidRPr="00097A86">
              <w:t>s 5.11A</w:t>
            </w:r>
            <w:r w:rsidRPr="00097A86">
              <w:tab/>
            </w:r>
          </w:p>
        </w:tc>
        <w:tc>
          <w:tcPr>
            <w:tcW w:w="3573" w:type="pct"/>
            <w:gridSpan w:val="2"/>
          </w:tcPr>
          <w:p w14:paraId="62D5D4C3" w14:textId="77777777" w:rsidR="00F1362A" w:rsidRPr="00097A86" w:rsidRDefault="00F1362A" w:rsidP="00D22D3F">
            <w:pPr>
              <w:pStyle w:val="ENoteTableText"/>
            </w:pPr>
            <w:r w:rsidRPr="00097A86">
              <w:t>ad 2009 No.</w:t>
            </w:r>
            <w:r>
              <w:t> </w:t>
            </w:r>
            <w:r w:rsidRPr="00097A86">
              <w:t>1</w:t>
            </w:r>
          </w:p>
        </w:tc>
      </w:tr>
      <w:tr w:rsidR="00F1362A" w:rsidRPr="00097A86" w14:paraId="0C9954F2" w14:textId="77777777" w:rsidTr="00C20CC2">
        <w:tblPrEx>
          <w:jc w:val="center"/>
        </w:tblPrEx>
        <w:trPr>
          <w:gridAfter w:val="1"/>
          <w:wAfter w:w="37" w:type="pct"/>
          <w:jc w:val="center"/>
        </w:trPr>
        <w:tc>
          <w:tcPr>
            <w:tcW w:w="1390" w:type="pct"/>
            <w:gridSpan w:val="2"/>
          </w:tcPr>
          <w:p w14:paraId="5DB92967" w14:textId="77777777" w:rsidR="00F1362A" w:rsidRPr="00097A86" w:rsidRDefault="00F1362A" w:rsidP="006D1F60">
            <w:pPr>
              <w:pStyle w:val="ENoteTableText"/>
              <w:tabs>
                <w:tab w:val="left" w:leader="dot" w:pos="2268"/>
              </w:tabs>
            </w:pPr>
          </w:p>
        </w:tc>
        <w:tc>
          <w:tcPr>
            <w:tcW w:w="3573" w:type="pct"/>
            <w:gridSpan w:val="2"/>
          </w:tcPr>
          <w:p w14:paraId="23764DF4" w14:textId="77777777" w:rsidR="00F1362A" w:rsidRPr="00097A86" w:rsidRDefault="00F1362A" w:rsidP="00D22D3F">
            <w:pPr>
              <w:pStyle w:val="ENoteTableText"/>
            </w:pPr>
            <w:r w:rsidRPr="00097A86">
              <w:t>am 2014 No.</w:t>
            </w:r>
            <w:r>
              <w:t> </w:t>
            </w:r>
            <w:r w:rsidRPr="00097A86">
              <w:t>1</w:t>
            </w:r>
          </w:p>
        </w:tc>
      </w:tr>
      <w:tr w:rsidR="00F1362A" w:rsidRPr="00097A86" w14:paraId="2D707DBE" w14:textId="77777777" w:rsidTr="00C20CC2">
        <w:tblPrEx>
          <w:jc w:val="center"/>
        </w:tblPrEx>
        <w:trPr>
          <w:gridAfter w:val="1"/>
          <w:wAfter w:w="37" w:type="pct"/>
          <w:jc w:val="center"/>
        </w:trPr>
        <w:tc>
          <w:tcPr>
            <w:tcW w:w="1390" w:type="pct"/>
            <w:gridSpan w:val="2"/>
          </w:tcPr>
          <w:p w14:paraId="715C9071" w14:textId="77777777" w:rsidR="00F1362A" w:rsidRPr="00097A86" w:rsidRDefault="00F1362A" w:rsidP="006D1F60">
            <w:pPr>
              <w:pStyle w:val="ENoteTableText"/>
              <w:tabs>
                <w:tab w:val="left" w:leader="dot" w:pos="2268"/>
              </w:tabs>
            </w:pPr>
            <w:r w:rsidRPr="00097A86">
              <w:t>s 5.12</w:t>
            </w:r>
            <w:r w:rsidRPr="00097A86">
              <w:tab/>
            </w:r>
          </w:p>
        </w:tc>
        <w:tc>
          <w:tcPr>
            <w:tcW w:w="3573" w:type="pct"/>
            <w:gridSpan w:val="2"/>
          </w:tcPr>
          <w:p w14:paraId="071E38AA" w14:textId="77777777" w:rsidR="00F1362A" w:rsidRPr="00097A86" w:rsidRDefault="00F1362A" w:rsidP="00D22D3F">
            <w:pPr>
              <w:pStyle w:val="ENoteTableText"/>
            </w:pPr>
            <w:r w:rsidRPr="00097A86">
              <w:t>am 2012 No.</w:t>
            </w:r>
            <w:r>
              <w:t> </w:t>
            </w:r>
            <w:r w:rsidRPr="00097A86">
              <w:t>1; 2013 No.</w:t>
            </w:r>
            <w:r>
              <w:t> </w:t>
            </w:r>
            <w:r w:rsidRPr="00097A86">
              <w:t>1</w:t>
            </w:r>
          </w:p>
        </w:tc>
      </w:tr>
      <w:tr w:rsidR="00F1362A" w:rsidRPr="00097A86" w14:paraId="781B617E" w14:textId="77777777" w:rsidTr="00C20CC2">
        <w:tblPrEx>
          <w:jc w:val="center"/>
        </w:tblPrEx>
        <w:trPr>
          <w:gridAfter w:val="1"/>
          <w:wAfter w:w="37" w:type="pct"/>
          <w:jc w:val="center"/>
        </w:trPr>
        <w:tc>
          <w:tcPr>
            <w:tcW w:w="1390" w:type="pct"/>
            <w:gridSpan w:val="2"/>
          </w:tcPr>
          <w:p w14:paraId="4F94AD67" w14:textId="77777777" w:rsidR="00F1362A" w:rsidRPr="00097A86" w:rsidRDefault="00F1362A" w:rsidP="006D1F60">
            <w:pPr>
              <w:pStyle w:val="ENoteTableText"/>
              <w:tabs>
                <w:tab w:val="left" w:leader="dot" w:pos="2268"/>
              </w:tabs>
            </w:pPr>
            <w:r w:rsidRPr="00097A86">
              <w:t>s 5.13</w:t>
            </w:r>
            <w:r w:rsidRPr="00097A86">
              <w:tab/>
            </w:r>
          </w:p>
        </w:tc>
        <w:tc>
          <w:tcPr>
            <w:tcW w:w="3573" w:type="pct"/>
            <w:gridSpan w:val="2"/>
          </w:tcPr>
          <w:p w14:paraId="15CD17EB" w14:textId="77777777" w:rsidR="00F1362A" w:rsidRPr="00097A86" w:rsidRDefault="00F1362A" w:rsidP="00D22D3F">
            <w:pPr>
              <w:pStyle w:val="ENoteTableText"/>
            </w:pPr>
            <w:r w:rsidRPr="00097A86">
              <w:t>am 2009 No.</w:t>
            </w:r>
            <w:r>
              <w:t> </w:t>
            </w:r>
            <w:r w:rsidRPr="00097A86">
              <w:t>1; 2012 No.</w:t>
            </w:r>
            <w:r>
              <w:t> </w:t>
            </w:r>
            <w:r w:rsidRPr="00097A86">
              <w:t>1; 2014 No.</w:t>
            </w:r>
            <w:r>
              <w:t> </w:t>
            </w:r>
            <w:r w:rsidRPr="00097A86">
              <w:t>1; 2015 No 1</w:t>
            </w:r>
          </w:p>
        </w:tc>
      </w:tr>
      <w:tr w:rsidR="00F1362A" w:rsidRPr="00097A86" w14:paraId="7C249B87" w14:textId="77777777" w:rsidTr="00C20CC2">
        <w:tblPrEx>
          <w:jc w:val="center"/>
        </w:tblPrEx>
        <w:trPr>
          <w:gridAfter w:val="1"/>
          <w:wAfter w:w="37" w:type="pct"/>
          <w:jc w:val="center"/>
        </w:trPr>
        <w:tc>
          <w:tcPr>
            <w:tcW w:w="1390" w:type="pct"/>
            <w:gridSpan w:val="2"/>
          </w:tcPr>
          <w:p w14:paraId="4D7817C8" w14:textId="77777777" w:rsidR="00F1362A" w:rsidRPr="00097A86" w:rsidRDefault="00F1362A" w:rsidP="006D1F60">
            <w:pPr>
              <w:pStyle w:val="ENoteTableText"/>
              <w:tabs>
                <w:tab w:val="left" w:leader="dot" w:pos="2268"/>
              </w:tabs>
            </w:pPr>
            <w:r w:rsidRPr="00097A86">
              <w:t>s 5.14</w:t>
            </w:r>
            <w:r w:rsidRPr="00097A86">
              <w:tab/>
            </w:r>
          </w:p>
        </w:tc>
        <w:tc>
          <w:tcPr>
            <w:tcW w:w="3573" w:type="pct"/>
            <w:gridSpan w:val="2"/>
          </w:tcPr>
          <w:p w14:paraId="13353AFC" w14:textId="77777777" w:rsidR="00F1362A" w:rsidRPr="00097A86" w:rsidRDefault="00F1362A" w:rsidP="00D22D3F">
            <w:pPr>
              <w:pStyle w:val="ENoteTableText"/>
            </w:pPr>
            <w:r w:rsidRPr="00097A86">
              <w:t>rs 2012 No.</w:t>
            </w:r>
            <w:r>
              <w:t> </w:t>
            </w:r>
            <w:r w:rsidRPr="00097A86">
              <w:t>1</w:t>
            </w:r>
          </w:p>
        </w:tc>
      </w:tr>
      <w:tr w:rsidR="00F1362A" w:rsidRPr="00097A86" w14:paraId="3486DAAC" w14:textId="77777777" w:rsidTr="00C20CC2">
        <w:tblPrEx>
          <w:jc w:val="center"/>
        </w:tblPrEx>
        <w:trPr>
          <w:gridAfter w:val="1"/>
          <w:wAfter w:w="37" w:type="pct"/>
          <w:jc w:val="center"/>
        </w:trPr>
        <w:tc>
          <w:tcPr>
            <w:tcW w:w="1390" w:type="pct"/>
            <w:gridSpan w:val="2"/>
          </w:tcPr>
          <w:p w14:paraId="236F7CE9" w14:textId="77777777" w:rsidR="00F1362A" w:rsidRPr="00097A86" w:rsidRDefault="00F1362A" w:rsidP="006D1F60">
            <w:pPr>
              <w:pStyle w:val="ENoteTableText"/>
              <w:tabs>
                <w:tab w:val="left" w:leader="dot" w:pos="2268"/>
              </w:tabs>
            </w:pPr>
          </w:p>
        </w:tc>
        <w:tc>
          <w:tcPr>
            <w:tcW w:w="3573" w:type="pct"/>
            <w:gridSpan w:val="2"/>
          </w:tcPr>
          <w:p w14:paraId="0717BBA8" w14:textId="77777777" w:rsidR="00F1362A" w:rsidRPr="00097A86" w:rsidRDefault="00F1362A" w:rsidP="00D22D3F">
            <w:pPr>
              <w:pStyle w:val="ENoteTableText"/>
            </w:pPr>
            <w:r w:rsidRPr="00097A86">
              <w:t>am 2013 No.</w:t>
            </w:r>
            <w:r>
              <w:t> </w:t>
            </w:r>
            <w:r w:rsidRPr="00097A86">
              <w:t>1</w:t>
            </w:r>
          </w:p>
        </w:tc>
      </w:tr>
      <w:tr w:rsidR="00F1362A" w:rsidRPr="00097A86" w14:paraId="3A7D875A" w14:textId="77777777" w:rsidTr="00C20CC2">
        <w:tblPrEx>
          <w:jc w:val="center"/>
        </w:tblPrEx>
        <w:trPr>
          <w:gridAfter w:val="1"/>
          <w:wAfter w:w="37" w:type="pct"/>
          <w:jc w:val="center"/>
        </w:trPr>
        <w:tc>
          <w:tcPr>
            <w:tcW w:w="1390" w:type="pct"/>
            <w:gridSpan w:val="2"/>
          </w:tcPr>
          <w:p w14:paraId="347FCCA1" w14:textId="77777777" w:rsidR="00F1362A" w:rsidRPr="00097A86" w:rsidRDefault="00F1362A" w:rsidP="006D1F60">
            <w:pPr>
              <w:pStyle w:val="ENoteTableText"/>
              <w:tabs>
                <w:tab w:val="left" w:leader="dot" w:pos="2268"/>
              </w:tabs>
            </w:pPr>
            <w:r w:rsidRPr="00097A86">
              <w:t>s 5.14A</w:t>
            </w:r>
            <w:r w:rsidRPr="00097A86">
              <w:tab/>
            </w:r>
          </w:p>
        </w:tc>
        <w:tc>
          <w:tcPr>
            <w:tcW w:w="3573" w:type="pct"/>
            <w:gridSpan w:val="2"/>
          </w:tcPr>
          <w:p w14:paraId="25DA15A8" w14:textId="77777777" w:rsidR="00F1362A" w:rsidRPr="00097A86" w:rsidRDefault="00F1362A" w:rsidP="00D22D3F">
            <w:pPr>
              <w:pStyle w:val="ENoteTableText"/>
            </w:pPr>
            <w:r w:rsidRPr="00097A86">
              <w:t>ad 2011 No.</w:t>
            </w:r>
            <w:r>
              <w:t> </w:t>
            </w:r>
            <w:r w:rsidRPr="00097A86">
              <w:t>1</w:t>
            </w:r>
          </w:p>
        </w:tc>
      </w:tr>
      <w:tr w:rsidR="00F1362A" w:rsidRPr="00097A86" w14:paraId="5F34C307" w14:textId="77777777" w:rsidTr="00C20CC2">
        <w:tblPrEx>
          <w:jc w:val="center"/>
        </w:tblPrEx>
        <w:trPr>
          <w:gridAfter w:val="1"/>
          <w:wAfter w:w="37" w:type="pct"/>
          <w:jc w:val="center"/>
        </w:trPr>
        <w:tc>
          <w:tcPr>
            <w:tcW w:w="1390" w:type="pct"/>
            <w:gridSpan w:val="2"/>
          </w:tcPr>
          <w:p w14:paraId="7CBE5FCF" w14:textId="77777777" w:rsidR="00F1362A" w:rsidRPr="00097A86" w:rsidRDefault="00F1362A" w:rsidP="006D1F60">
            <w:pPr>
              <w:pStyle w:val="ENoteTableText"/>
              <w:tabs>
                <w:tab w:val="left" w:leader="dot" w:pos="2268"/>
              </w:tabs>
            </w:pPr>
          </w:p>
        </w:tc>
        <w:tc>
          <w:tcPr>
            <w:tcW w:w="3573" w:type="pct"/>
            <w:gridSpan w:val="2"/>
          </w:tcPr>
          <w:p w14:paraId="2E6E796B" w14:textId="77777777" w:rsidR="00F1362A" w:rsidRPr="00097A86" w:rsidRDefault="00F1362A" w:rsidP="00D22D3F">
            <w:pPr>
              <w:pStyle w:val="ENoteTableText"/>
            </w:pPr>
            <w:r w:rsidRPr="00097A86">
              <w:t>am 2012 No.</w:t>
            </w:r>
            <w:r>
              <w:t> </w:t>
            </w:r>
            <w:r w:rsidRPr="00097A86">
              <w:t>1; 2013 No.</w:t>
            </w:r>
            <w:r>
              <w:t> </w:t>
            </w:r>
            <w:r w:rsidRPr="00097A86">
              <w:t>1</w:t>
            </w:r>
          </w:p>
        </w:tc>
      </w:tr>
      <w:tr w:rsidR="00F1362A" w:rsidRPr="00097A86" w14:paraId="3F772A31" w14:textId="77777777" w:rsidTr="00C20CC2">
        <w:tblPrEx>
          <w:jc w:val="center"/>
        </w:tblPrEx>
        <w:trPr>
          <w:gridAfter w:val="1"/>
          <w:wAfter w:w="37" w:type="pct"/>
          <w:jc w:val="center"/>
        </w:trPr>
        <w:tc>
          <w:tcPr>
            <w:tcW w:w="1390" w:type="pct"/>
            <w:gridSpan w:val="2"/>
          </w:tcPr>
          <w:p w14:paraId="062AD67D" w14:textId="77777777" w:rsidR="00F1362A" w:rsidRPr="00097A86" w:rsidRDefault="00F1362A" w:rsidP="006D1F60">
            <w:pPr>
              <w:pStyle w:val="ENoteTableText"/>
              <w:tabs>
                <w:tab w:val="left" w:leader="dot" w:pos="2268"/>
              </w:tabs>
            </w:pPr>
            <w:r w:rsidRPr="00097A86">
              <w:t>s 5.14B</w:t>
            </w:r>
            <w:r w:rsidRPr="00097A86">
              <w:tab/>
            </w:r>
          </w:p>
        </w:tc>
        <w:tc>
          <w:tcPr>
            <w:tcW w:w="3573" w:type="pct"/>
            <w:gridSpan w:val="2"/>
          </w:tcPr>
          <w:p w14:paraId="34731EF3" w14:textId="77777777" w:rsidR="00F1362A" w:rsidRPr="00097A86" w:rsidRDefault="00F1362A" w:rsidP="00D22D3F">
            <w:pPr>
              <w:pStyle w:val="ENoteTableText"/>
            </w:pPr>
            <w:r w:rsidRPr="00097A86">
              <w:t>ad 2012 No.</w:t>
            </w:r>
            <w:r>
              <w:t> </w:t>
            </w:r>
            <w:r w:rsidRPr="00097A86">
              <w:t>1</w:t>
            </w:r>
          </w:p>
        </w:tc>
      </w:tr>
      <w:tr w:rsidR="00F1362A" w:rsidRPr="00097A86" w14:paraId="4E6ECE63" w14:textId="77777777" w:rsidTr="00C20CC2">
        <w:tblPrEx>
          <w:jc w:val="center"/>
        </w:tblPrEx>
        <w:trPr>
          <w:gridAfter w:val="1"/>
          <w:wAfter w:w="37" w:type="pct"/>
          <w:jc w:val="center"/>
        </w:trPr>
        <w:tc>
          <w:tcPr>
            <w:tcW w:w="1390" w:type="pct"/>
            <w:gridSpan w:val="2"/>
          </w:tcPr>
          <w:p w14:paraId="599A7271" w14:textId="77777777" w:rsidR="00F1362A" w:rsidRPr="00097A86" w:rsidRDefault="00F1362A" w:rsidP="006D1F60">
            <w:pPr>
              <w:pStyle w:val="ENoteTableText"/>
              <w:tabs>
                <w:tab w:val="left" w:leader="dot" w:pos="2268"/>
              </w:tabs>
            </w:pPr>
            <w:r w:rsidRPr="00097A86">
              <w:t>s 5.14C</w:t>
            </w:r>
            <w:r w:rsidRPr="00097A86">
              <w:tab/>
            </w:r>
          </w:p>
        </w:tc>
        <w:tc>
          <w:tcPr>
            <w:tcW w:w="3573" w:type="pct"/>
            <w:gridSpan w:val="2"/>
          </w:tcPr>
          <w:p w14:paraId="15252E52" w14:textId="77777777" w:rsidR="00F1362A" w:rsidRPr="00097A86" w:rsidRDefault="00F1362A" w:rsidP="00D22D3F">
            <w:pPr>
              <w:pStyle w:val="ENoteTableText"/>
            </w:pPr>
            <w:r w:rsidRPr="00097A86">
              <w:t>ad 2012 No.</w:t>
            </w:r>
            <w:r>
              <w:t> </w:t>
            </w:r>
            <w:r w:rsidRPr="00097A86">
              <w:t>1</w:t>
            </w:r>
          </w:p>
        </w:tc>
      </w:tr>
      <w:tr w:rsidR="00F1362A" w:rsidRPr="00097A86" w14:paraId="75594554" w14:textId="77777777" w:rsidTr="00C20CC2">
        <w:tblPrEx>
          <w:jc w:val="center"/>
        </w:tblPrEx>
        <w:trPr>
          <w:gridAfter w:val="1"/>
          <w:wAfter w:w="37" w:type="pct"/>
          <w:jc w:val="center"/>
        </w:trPr>
        <w:tc>
          <w:tcPr>
            <w:tcW w:w="1390" w:type="pct"/>
            <w:gridSpan w:val="2"/>
          </w:tcPr>
          <w:p w14:paraId="0BF09A90" w14:textId="77777777" w:rsidR="00F1362A" w:rsidRPr="00097A86" w:rsidRDefault="00F1362A" w:rsidP="006D1F60">
            <w:pPr>
              <w:pStyle w:val="ENoteTableText"/>
              <w:tabs>
                <w:tab w:val="left" w:leader="dot" w:pos="2268"/>
              </w:tabs>
            </w:pPr>
            <w:r w:rsidRPr="00097A86">
              <w:t>s 5.14D</w:t>
            </w:r>
            <w:r w:rsidRPr="00097A86">
              <w:tab/>
            </w:r>
          </w:p>
        </w:tc>
        <w:tc>
          <w:tcPr>
            <w:tcW w:w="3573" w:type="pct"/>
            <w:gridSpan w:val="2"/>
          </w:tcPr>
          <w:p w14:paraId="28663DB0" w14:textId="77777777" w:rsidR="00F1362A" w:rsidRPr="00097A86" w:rsidRDefault="00F1362A" w:rsidP="00D22D3F">
            <w:pPr>
              <w:pStyle w:val="ENoteTableText"/>
            </w:pPr>
            <w:r w:rsidRPr="00097A86">
              <w:t>ad 2012 No.</w:t>
            </w:r>
            <w:r>
              <w:t> </w:t>
            </w:r>
            <w:r w:rsidRPr="00097A86">
              <w:t>1</w:t>
            </w:r>
          </w:p>
        </w:tc>
      </w:tr>
      <w:tr w:rsidR="00F1362A" w:rsidRPr="00097A86" w14:paraId="23F861BF" w14:textId="77777777" w:rsidTr="00C20CC2">
        <w:tblPrEx>
          <w:jc w:val="center"/>
        </w:tblPrEx>
        <w:trPr>
          <w:gridAfter w:val="1"/>
          <w:wAfter w:w="37" w:type="pct"/>
          <w:jc w:val="center"/>
        </w:trPr>
        <w:tc>
          <w:tcPr>
            <w:tcW w:w="1390" w:type="pct"/>
            <w:gridSpan w:val="2"/>
          </w:tcPr>
          <w:p w14:paraId="7CC590C9"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5.2.3</w:t>
            </w:r>
          </w:p>
        </w:tc>
        <w:tc>
          <w:tcPr>
            <w:tcW w:w="3573" w:type="pct"/>
            <w:gridSpan w:val="2"/>
          </w:tcPr>
          <w:p w14:paraId="4250772A" w14:textId="77777777" w:rsidR="00F1362A" w:rsidRPr="00097A86" w:rsidRDefault="00F1362A" w:rsidP="00D22D3F">
            <w:pPr>
              <w:pStyle w:val="ENoteTableText"/>
            </w:pPr>
          </w:p>
        </w:tc>
      </w:tr>
      <w:tr w:rsidR="00F1362A" w:rsidRPr="00097A86" w14:paraId="3E44888D" w14:textId="77777777" w:rsidTr="00C20CC2">
        <w:tblPrEx>
          <w:jc w:val="center"/>
        </w:tblPrEx>
        <w:trPr>
          <w:gridAfter w:val="1"/>
          <w:wAfter w:w="37" w:type="pct"/>
          <w:jc w:val="center"/>
        </w:trPr>
        <w:tc>
          <w:tcPr>
            <w:tcW w:w="1390" w:type="pct"/>
            <w:gridSpan w:val="2"/>
          </w:tcPr>
          <w:p w14:paraId="0ACAADEA"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5.2.3.1</w:t>
            </w:r>
          </w:p>
        </w:tc>
        <w:tc>
          <w:tcPr>
            <w:tcW w:w="3573" w:type="pct"/>
            <w:gridSpan w:val="2"/>
          </w:tcPr>
          <w:p w14:paraId="1C7E8F1A" w14:textId="77777777" w:rsidR="00F1362A" w:rsidRPr="00097A86" w:rsidRDefault="00F1362A" w:rsidP="00D22D3F">
            <w:pPr>
              <w:pStyle w:val="ENoteTableText"/>
            </w:pPr>
          </w:p>
        </w:tc>
      </w:tr>
      <w:tr w:rsidR="00F1362A" w:rsidRPr="00097A86" w14:paraId="69EE3E15" w14:textId="77777777" w:rsidTr="00C20CC2">
        <w:tblPrEx>
          <w:jc w:val="center"/>
        </w:tblPrEx>
        <w:trPr>
          <w:gridAfter w:val="1"/>
          <w:wAfter w:w="37" w:type="pct"/>
          <w:jc w:val="center"/>
        </w:trPr>
        <w:tc>
          <w:tcPr>
            <w:tcW w:w="1390" w:type="pct"/>
            <w:gridSpan w:val="2"/>
          </w:tcPr>
          <w:p w14:paraId="66375439" w14:textId="77777777" w:rsidR="00F1362A" w:rsidRPr="00097A86" w:rsidRDefault="00F1362A" w:rsidP="006D1F60">
            <w:pPr>
              <w:pStyle w:val="ENoteTableText"/>
              <w:tabs>
                <w:tab w:val="left" w:leader="dot" w:pos="2268"/>
              </w:tabs>
            </w:pPr>
            <w:r w:rsidRPr="00097A86">
              <w:lastRenderedPageBreak/>
              <w:t>s 5.15</w:t>
            </w:r>
            <w:r w:rsidRPr="00097A86">
              <w:tab/>
            </w:r>
          </w:p>
        </w:tc>
        <w:tc>
          <w:tcPr>
            <w:tcW w:w="3573" w:type="pct"/>
            <w:gridSpan w:val="2"/>
          </w:tcPr>
          <w:p w14:paraId="73A70817" w14:textId="77777777" w:rsidR="00F1362A" w:rsidRPr="00097A86" w:rsidRDefault="00F1362A" w:rsidP="00D22D3F">
            <w:pPr>
              <w:pStyle w:val="ENoteTableText"/>
            </w:pPr>
            <w:r w:rsidRPr="00097A86">
              <w:t>am 2009 No.</w:t>
            </w:r>
            <w:r>
              <w:t> </w:t>
            </w:r>
            <w:r w:rsidRPr="00097A86">
              <w:t>1</w:t>
            </w:r>
          </w:p>
        </w:tc>
      </w:tr>
      <w:tr w:rsidR="00F1362A" w:rsidRPr="00097A86" w14:paraId="7F711561" w14:textId="77777777" w:rsidTr="00C20CC2">
        <w:tblPrEx>
          <w:jc w:val="center"/>
        </w:tblPrEx>
        <w:trPr>
          <w:gridAfter w:val="1"/>
          <w:wAfter w:w="37" w:type="pct"/>
          <w:jc w:val="center"/>
        </w:trPr>
        <w:tc>
          <w:tcPr>
            <w:tcW w:w="1390" w:type="pct"/>
            <w:gridSpan w:val="2"/>
          </w:tcPr>
          <w:p w14:paraId="73D0A2D6" w14:textId="77777777" w:rsidR="00F1362A" w:rsidRPr="00097A86" w:rsidRDefault="00F1362A" w:rsidP="006D1F60">
            <w:pPr>
              <w:pStyle w:val="ENoteTableText"/>
              <w:tabs>
                <w:tab w:val="left" w:leader="dot" w:pos="2268"/>
              </w:tabs>
            </w:pPr>
          </w:p>
        </w:tc>
        <w:tc>
          <w:tcPr>
            <w:tcW w:w="3573" w:type="pct"/>
            <w:gridSpan w:val="2"/>
          </w:tcPr>
          <w:p w14:paraId="2603EB92" w14:textId="77777777" w:rsidR="00F1362A" w:rsidRPr="00097A86" w:rsidRDefault="00F1362A" w:rsidP="00D22D3F">
            <w:pPr>
              <w:pStyle w:val="ENoteTableText"/>
            </w:pPr>
            <w:r w:rsidRPr="00097A86">
              <w:t>rs 2012 No.</w:t>
            </w:r>
            <w:r>
              <w:t> </w:t>
            </w:r>
            <w:r w:rsidRPr="00097A86">
              <w:t>1</w:t>
            </w:r>
          </w:p>
        </w:tc>
      </w:tr>
      <w:tr w:rsidR="00F1362A" w:rsidRPr="00097A86" w14:paraId="4A307892" w14:textId="77777777" w:rsidTr="00C20CC2">
        <w:tblPrEx>
          <w:jc w:val="center"/>
        </w:tblPrEx>
        <w:trPr>
          <w:gridAfter w:val="1"/>
          <w:wAfter w:w="37" w:type="pct"/>
          <w:jc w:val="center"/>
        </w:trPr>
        <w:tc>
          <w:tcPr>
            <w:tcW w:w="1390" w:type="pct"/>
            <w:gridSpan w:val="2"/>
          </w:tcPr>
          <w:p w14:paraId="304E262C" w14:textId="77777777" w:rsidR="00F1362A" w:rsidRPr="00097A86" w:rsidRDefault="00F1362A" w:rsidP="006D1F60">
            <w:pPr>
              <w:pStyle w:val="ENoteTableText"/>
              <w:tabs>
                <w:tab w:val="left" w:leader="dot" w:pos="2268"/>
              </w:tabs>
            </w:pPr>
          </w:p>
        </w:tc>
        <w:tc>
          <w:tcPr>
            <w:tcW w:w="3573" w:type="pct"/>
            <w:gridSpan w:val="2"/>
          </w:tcPr>
          <w:p w14:paraId="411B2A3F" w14:textId="77777777" w:rsidR="00F1362A" w:rsidRPr="00097A86" w:rsidRDefault="00F1362A" w:rsidP="00D22D3F">
            <w:pPr>
              <w:pStyle w:val="ENoteTableText"/>
            </w:pPr>
            <w:r w:rsidRPr="00097A86">
              <w:t>am 2013 No.</w:t>
            </w:r>
            <w:r>
              <w:t> </w:t>
            </w:r>
            <w:r w:rsidRPr="00097A86">
              <w:t>1; 2015 No 1</w:t>
            </w:r>
          </w:p>
        </w:tc>
      </w:tr>
      <w:tr w:rsidR="00F1362A" w:rsidRPr="00097A86" w14:paraId="752F04B0" w14:textId="77777777" w:rsidTr="00C20CC2">
        <w:tblPrEx>
          <w:jc w:val="center"/>
        </w:tblPrEx>
        <w:trPr>
          <w:gridAfter w:val="1"/>
          <w:wAfter w:w="37" w:type="pct"/>
          <w:jc w:val="center"/>
        </w:trPr>
        <w:tc>
          <w:tcPr>
            <w:tcW w:w="1390" w:type="pct"/>
            <w:gridSpan w:val="2"/>
          </w:tcPr>
          <w:p w14:paraId="408E5008" w14:textId="77777777" w:rsidR="00F1362A" w:rsidRPr="00097A86" w:rsidRDefault="00F1362A" w:rsidP="006D1F60">
            <w:pPr>
              <w:pStyle w:val="ENoteTableText"/>
              <w:tabs>
                <w:tab w:val="left" w:leader="dot" w:pos="2268"/>
              </w:tabs>
            </w:pPr>
            <w:r w:rsidRPr="00097A86">
              <w:t>s 5.15A</w:t>
            </w:r>
            <w:r w:rsidRPr="00097A86">
              <w:tab/>
            </w:r>
          </w:p>
        </w:tc>
        <w:tc>
          <w:tcPr>
            <w:tcW w:w="3573" w:type="pct"/>
            <w:gridSpan w:val="2"/>
          </w:tcPr>
          <w:p w14:paraId="2EA11853" w14:textId="77777777" w:rsidR="00F1362A" w:rsidRPr="00097A86" w:rsidRDefault="00F1362A" w:rsidP="00D22D3F">
            <w:pPr>
              <w:pStyle w:val="ENoteTableText"/>
            </w:pPr>
            <w:r w:rsidRPr="00097A86">
              <w:t>ad 2012 No.</w:t>
            </w:r>
            <w:r>
              <w:t> </w:t>
            </w:r>
            <w:r w:rsidRPr="00097A86">
              <w:t>1</w:t>
            </w:r>
          </w:p>
        </w:tc>
      </w:tr>
      <w:tr w:rsidR="00F1362A" w:rsidRPr="00097A86" w14:paraId="5CC1BC9A" w14:textId="77777777" w:rsidTr="00C20CC2">
        <w:tblPrEx>
          <w:jc w:val="center"/>
        </w:tblPrEx>
        <w:trPr>
          <w:gridAfter w:val="1"/>
          <w:wAfter w:w="37" w:type="pct"/>
          <w:jc w:val="center"/>
        </w:trPr>
        <w:tc>
          <w:tcPr>
            <w:tcW w:w="1390" w:type="pct"/>
            <w:gridSpan w:val="2"/>
          </w:tcPr>
          <w:p w14:paraId="27D3BA4B" w14:textId="77777777" w:rsidR="00F1362A" w:rsidRPr="00097A86" w:rsidRDefault="00F1362A" w:rsidP="006D1F60">
            <w:pPr>
              <w:pStyle w:val="ENoteTableText"/>
              <w:tabs>
                <w:tab w:val="left" w:leader="dot" w:pos="2268"/>
              </w:tabs>
            </w:pPr>
          </w:p>
        </w:tc>
        <w:tc>
          <w:tcPr>
            <w:tcW w:w="3573" w:type="pct"/>
            <w:gridSpan w:val="2"/>
          </w:tcPr>
          <w:p w14:paraId="009E8785" w14:textId="77777777" w:rsidR="00F1362A" w:rsidRPr="00097A86" w:rsidRDefault="00F1362A" w:rsidP="00D22D3F">
            <w:pPr>
              <w:pStyle w:val="ENoteTableText"/>
            </w:pPr>
            <w:r w:rsidRPr="00097A86">
              <w:t>am 2013 No.</w:t>
            </w:r>
            <w:r>
              <w:t> </w:t>
            </w:r>
            <w:r w:rsidRPr="00097A86">
              <w:t>1; 2015 No 1</w:t>
            </w:r>
          </w:p>
        </w:tc>
      </w:tr>
      <w:tr w:rsidR="00F1362A" w:rsidRPr="00097A86" w14:paraId="1DE31A90" w14:textId="77777777" w:rsidTr="00C20CC2">
        <w:tblPrEx>
          <w:jc w:val="center"/>
        </w:tblPrEx>
        <w:trPr>
          <w:gridAfter w:val="1"/>
          <w:wAfter w:w="37" w:type="pct"/>
          <w:jc w:val="center"/>
        </w:trPr>
        <w:tc>
          <w:tcPr>
            <w:tcW w:w="1390" w:type="pct"/>
            <w:gridSpan w:val="2"/>
          </w:tcPr>
          <w:p w14:paraId="0F6D3E22" w14:textId="77777777" w:rsidR="00F1362A" w:rsidRPr="00097A86" w:rsidRDefault="00F1362A" w:rsidP="006D1F60">
            <w:pPr>
              <w:pStyle w:val="ENoteTableText"/>
              <w:tabs>
                <w:tab w:val="left" w:leader="dot" w:pos="2268"/>
              </w:tabs>
            </w:pPr>
            <w:r w:rsidRPr="00097A86">
              <w:t>s 5.15B</w:t>
            </w:r>
            <w:r w:rsidRPr="00097A86">
              <w:tab/>
            </w:r>
          </w:p>
        </w:tc>
        <w:tc>
          <w:tcPr>
            <w:tcW w:w="3573" w:type="pct"/>
            <w:gridSpan w:val="2"/>
          </w:tcPr>
          <w:p w14:paraId="6CF569A7" w14:textId="77777777" w:rsidR="00F1362A" w:rsidRPr="00097A86" w:rsidRDefault="00F1362A" w:rsidP="00D22D3F">
            <w:pPr>
              <w:pStyle w:val="ENoteTableText"/>
            </w:pPr>
            <w:r w:rsidRPr="00097A86">
              <w:t>ad 2012 No.</w:t>
            </w:r>
            <w:r>
              <w:t> </w:t>
            </w:r>
            <w:r w:rsidRPr="00097A86">
              <w:t>1</w:t>
            </w:r>
          </w:p>
        </w:tc>
      </w:tr>
      <w:tr w:rsidR="00F1362A" w:rsidRPr="00097A86" w14:paraId="08D3F01F" w14:textId="77777777" w:rsidTr="00C20CC2">
        <w:tblPrEx>
          <w:jc w:val="center"/>
        </w:tblPrEx>
        <w:trPr>
          <w:gridAfter w:val="1"/>
          <w:wAfter w:w="37" w:type="pct"/>
          <w:jc w:val="center"/>
        </w:trPr>
        <w:tc>
          <w:tcPr>
            <w:tcW w:w="1390" w:type="pct"/>
            <w:gridSpan w:val="2"/>
          </w:tcPr>
          <w:p w14:paraId="2C7ED98F" w14:textId="77777777" w:rsidR="00F1362A" w:rsidRPr="00097A86" w:rsidRDefault="00F1362A" w:rsidP="006D1F60">
            <w:pPr>
              <w:pStyle w:val="ENoteTableText"/>
              <w:tabs>
                <w:tab w:val="left" w:leader="dot" w:pos="2268"/>
              </w:tabs>
            </w:pPr>
          </w:p>
        </w:tc>
        <w:tc>
          <w:tcPr>
            <w:tcW w:w="3573" w:type="pct"/>
            <w:gridSpan w:val="2"/>
          </w:tcPr>
          <w:p w14:paraId="196D1539" w14:textId="77777777" w:rsidR="00F1362A" w:rsidRPr="00097A86" w:rsidRDefault="00F1362A" w:rsidP="00D22D3F">
            <w:pPr>
              <w:pStyle w:val="ENoteTableText"/>
            </w:pPr>
            <w:r w:rsidRPr="00097A86">
              <w:t>am 2013 No.</w:t>
            </w:r>
            <w:r>
              <w:t> </w:t>
            </w:r>
            <w:r w:rsidRPr="00097A86">
              <w:t>1</w:t>
            </w:r>
          </w:p>
        </w:tc>
      </w:tr>
      <w:tr w:rsidR="00F1362A" w:rsidRPr="00097A86" w14:paraId="19C91D59" w14:textId="77777777" w:rsidTr="00C20CC2">
        <w:tblPrEx>
          <w:jc w:val="center"/>
        </w:tblPrEx>
        <w:trPr>
          <w:gridAfter w:val="1"/>
          <w:wAfter w:w="37" w:type="pct"/>
          <w:jc w:val="center"/>
        </w:trPr>
        <w:tc>
          <w:tcPr>
            <w:tcW w:w="1390" w:type="pct"/>
            <w:gridSpan w:val="2"/>
          </w:tcPr>
          <w:p w14:paraId="45AF8285" w14:textId="77777777" w:rsidR="00F1362A" w:rsidRPr="00097A86" w:rsidRDefault="00F1362A" w:rsidP="006D1F60">
            <w:pPr>
              <w:pStyle w:val="ENoteTableText"/>
              <w:tabs>
                <w:tab w:val="left" w:leader="dot" w:pos="2268"/>
              </w:tabs>
            </w:pPr>
            <w:r w:rsidRPr="00097A86">
              <w:t>s 5.15C</w:t>
            </w:r>
            <w:r w:rsidRPr="00097A86">
              <w:tab/>
            </w:r>
          </w:p>
        </w:tc>
        <w:tc>
          <w:tcPr>
            <w:tcW w:w="3573" w:type="pct"/>
            <w:gridSpan w:val="2"/>
          </w:tcPr>
          <w:p w14:paraId="792EF710" w14:textId="77777777" w:rsidR="00F1362A" w:rsidRPr="00097A86" w:rsidRDefault="00F1362A" w:rsidP="00D22D3F">
            <w:pPr>
              <w:pStyle w:val="ENoteTableText"/>
            </w:pPr>
            <w:r w:rsidRPr="00097A86">
              <w:t>ad 2013 No.</w:t>
            </w:r>
            <w:r>
              <w:t> </w:t>
            </w:r>
            <w:r w:rsidRPr="00097A86">
              <w:t>1</w:t>
            </w:r>
          </w:p>
        </w:tc>
      </w:tr>
      <w:tr w:rsidR="00F1362A" w:rsidRPr="00097A86" w14:paraId="1A237A87" w14:textId="77777777" w:rsidTr="00C20CC2">
        <w:tblPrEx>
          <w:jc w:val="center"/>
        </w:tblPrEx>
        <w:trPr>
          <w:gridAfter w:val="1"/>
          <w:wAfter w:w="37" w:type="pct"/>
          <w:jc w:val="center"/>
        </w:trPr>
        <w:tc>
          <w:tcPr>
            <w:tcW w:w="1390" w:type="pct"/>
            <w:gridSpan w:val="2"/>
          </w:tcPr>
          <w:p w14:paraId="53778E9C" w14:textId="77777777" w:rsidR="00F1362A" w:rsidRPr="00097A86" w:rsidRDefault="00F1362A" w:rsidP="006D1F60">
            <w:pPr>
              <w:pStyle w:val="ENoteTableText"/>
              <w:tabs>
                <w:tab w:val="left" w:leader="dot" w:pos="2268"/>
              </w:tabs>
            </w:pPr>
            <w:r w:rsidRPr="00097A86">
              <w:rPr>
                <w:b/>
              </w:rPr>
              <w:t>Subdivision</w:t>
            </w:r>
            <w:r>
              <w:rPr>
                <w:b/>
              </w:rPr>
              <w:t> </w:t>
            </w:r>
            <w:r w:rsidRPr="00097A86">
              <w:rPr>
                <w:b/>
              </w:rPr>
              <w:t>5.2.3.2</w:t>
            </w:r>
          </w:p>
        </w:tc>
        <w:tc>
          <w:tcPr>
            <w:tcW w:w="3573" w:type="pct"/>
            <w:gridSpan w:val="2"/>
          </w:tcPr>
          <w:p w14:paraId="2CA6E81D" w14:textId="77777777" w:rsidR="00F1362A" w:rsidRPr="00097A86" w:rsidRDefault="00F1362A" w:rsidP="00D22D3F">
            <w:pPr>
              <w:pStyle w:val="ENoteTableText"/>
            </w:pPr>
          </w:p>
        </w:tc>
      </w:tr>
      <w:tr w:rsidR="00F1362A" w:rsidRPr="00097A86" w14:paraId="74323FE1" w14:textId="77777777" w:rsidTr="00C20CC2">
        <w:tblPrEx>
          <w:jc w:val="center"/>
        </w:tblPrEx>
        <w:trPr>
          <w:gridAfter w:val="1"/>
          <w:wAfter w:w="37" w:type="pct"/>
          <w:jc w:val="center"/>
        </w:trPr>
        <w:tc>
          <w:tcPr>
            <w:tcW w:w="1390" w:type="pct"/>
            <w:gridSpan w:val="2"/>
          </w:tcPr>
          <w:p w14:paraId="5E204649" w14:textId="77777777" w:rsidR="00F1362A" w:rsidRPr="00097A86" w:rsidRDefault="00F1362A" w:rsidP="007A5DE9">
            <w:pPr>
              <w:pStyle w:val="ENoteTableText"/>
              <w:tabs>
                <w:tab w:val="left" w:leader="dot" w:pos="2268"/>
              </w:tabs>
            </w:pPr>
            <w:r w:rsidRPr="00097A86">
              <w:t>Subdivision</w:t>
            </w:r>
            <w:r>
              <w:t> </w:t>
            </w:r>
            <w:r w:rsidRPr="00097A86">
              <w:t>5.2.3.2</w:t>
            </w:r>
            <w:r w:rsidRPr="00097A86">
              <w:tab/>
            </w:r>
          </w:p>
        </w:tc>
        <w:tc>
          <w:tcPr>
            <w:tcW w:w="3573" w:type="pct"/>
            <w:gridSpan w:val="2"/>
          </w:tcPr>
          <w:p w14:paraId="17355608" w14:textId="77777777" w:rsidR="00F1362A" w:rsidRPr="00097A86" w:rsidRDefault="00F1362A" w:rsidP="00D22D3F">
            <w:pPr>
              <w:pStyle w:val="ENoteTableText"/>
            </w:pPr>
            <w:r w:rsidRPr="00097A86">
              <w:t>rs 2009 No.</w:t>
            </w:r>
            <w:r>
              <w:t> </w:t>
            </w:r>
            <w:r w:rsidRPr="00097A86">
              <w:t>1</w:t>
            </w:r>
          </w:p>
        </w:tc>
      </w:tr>
      <w:tr w:rsidR="00F1362A" w:rsidRPr="00097A86" w14:paraId="16C45BCE" w14:textId="77777777" w:rsidTr="00C20CC2">
        <w:tblPrEx>
          <w:jc w:val="center"/>
        </w:tblPrEx>
        <w:trPr>
          <w:gridAfter w:val="1"/>
          <w:wAfter w:w="37" w:type="pct"/>
          <w:jc w:val="center"/>
        </w:trPr>
        <w:tc>
          <w:tcPr>
            <w:tcW w:w="1390" w:type="pct"/>
            <w:gridSpan w:val="2"/>
          </w:tcPr>
          <w:p w14:paraId="46C985D0" w14:textId="77777777" w:rsidR="00F1362A" w:rsidRPr="00097A86" w:rsidRDefault="00F1362A" w:rsidP="006D1F60">
            <w:pPr>
              <w:pStyle w:val="ENoteTableText"/>
              <w:tabs>
                <w:tab w:val="left" w:leader="dot" w:pos="2268"/>
              </w:tabs>
            </w:pPr>
            <w:r w:rsidRPr="00097A86">
              <w:t>s 5.16</w:t>
            </w:r>
            <w:r w:rsidRPr="00097A86">
              <w:tab/>
            </w:r>
          </w:p>
        </w:tc>
        <w:tc>
          <w:tcPr>
            <w:tcW w:w="3573" w:type="pct"/>
            <w:gridSpan w:val="2"/>
          </w:tcPr>
          <w:p w14:paraId="3C1F45C5" w14:textId="77777777" w:rsidR="00F1362A" w:rsidRPr="00097A86" w:rsidRDefault="00F1362A" w:rsidP="00D22D3F">
            <w:pPr>
              <w:pStyle w:val="ENoteTableText"/>
            </w:pPr>
            <w:r w:rsidRPr="00097A86">
              <w:t>rs 2009 No.</w:t>
            </w:r>
            <w:r>
              <w:t> </w:t>
            </w:r>
            <w:r w:rsidRPr="00097A86">
              <w:t>1</w:t>
            </w:r>
          </w:p>
        </w:tc>
      </w:tr>
      <w:tr w:rsidR="00F1362A" w:rsidRPr="00097A86" w14:paraId="3A9285DF" w14:textId="77777777" w:rsidTr="00C20CC2">
        <w:tblPrEx>
          <w:jc w:val="center"/>
        </w:tblPrEx>
        <w:trPr>
          <w:gridAfter w:val="1"/>
          <w:wAfter w:w="37" w:type="pct"/>
          <w:jc w:val="center"/>
        </w:trPr>
        <w:tc>
          <w:tcPr>
            <w:tcW w:w="1390" w:type="pct"/>
            <w:gridSpan w:val="2"/>
          </w:tcPr>
          <w:p w14:paraId="06029B06" w14:textId="77777777" w:rsidR="00F1362A" w:rsidRPr="00097A86" w:rsidRDefault="00F1362A" w:rsidP="006D1F60">
            <w:pPr>
              <w:pStyle w:val="ENoteTableText"/>
              <w:tabs>
                <w:tab w:val="left" w:leader="dot" w:pos="2268"/>
              </w:tabs>
            </w:pPr>
          </w:p>
        </w:tc>
        <w:tc>
          <w:tcPr>
            <w:tcW w:w="3573" w:type="pct"/>
            <w:gridSpan w:val="2"/>
          </w:tcPr>
          <w:p w14:paraId="2D01D699" w14:textId="77777777" w:rsidR="00F1362A" w:rsidRPr="00097A86" w:rsidRDefault="00F1362A" w:rsidP="00D22D3F">
            <w:pPr>
              <w:pStyle w:val="ENoteTableText"/>
            </w:pPr>
            <w:r w:rsidRPr="00097A86">
              <w:t>am 2012 No.</w:t>
            </w:r>
            <w:r>
              <w:t> </w:t>
            </w:r>
            <w:r w:rsidRPr="00097A86">
              <w:t>1</w:t>
            </w:r>
          </w:p>
        </w:tc>
      </w:tr>
      <w:tr w:rsidR="00F1362A" w:rsidRPr="00097A86" w14:paraId="0F1417EE" w14:textId="77777777" w:rsidTr="00C20CC2">
        <w:tblPrEx>
          <w:jc w:val="center"/>
        </w:tblPrEx>
        <w:trPr>
          <w:gridAfter w:val="1"/>
          <w:wAfter w:w="37" w:type="pct"/>
          <w:jc w:val="center"/>
        </w:trPr>
        <w:tc>
          <w:tcPr>
            <w:tcW w:w="1390" w:type="pct"/>
            <w:gridSpan w:val="2"/>
          </w:tcPr>
          <w:p w14:paraId="22269122" w14:textId="77777777" w:rsidR="00F1362A" w:rsidRPr="00097A86" w:rsidRDefault="00F1362A" w:rsidP="006D1F60">
            <w:pPr>
              <w:pStyle w:val="ENoteTableText"/>
              <w:tabs>
                <w:tab w:val="left" w:leader="dot" w:pos="2268"/>
              </w:tabs>
            </w:pPr>
            <w:r w:rsidRPr="00097A86">
              <w:t>s 5.17</w:t>
            </w:r>
            <w:r w:rsidRPr="00097A86">
              <w:tab/>
            </w:r>
          </w:p>
        </w:tc>
        <w:tc>
          <w:tcPr>
            <w:tcW w:w="3573" w:type="pct"/>
            <w:gridSpan w:val="2"/>
          </w:tcPr>
          <w:p w14:paraId="3C9A8604" w14:textId="77777777" w:rsidR="00F1362A" w:rsidRPr="00097A86" w:rsidRDefault="00F1362A" w:rsidP="00D22D3F">
            <w:pPr>
              <w:pStyle w:val="ENoteTableText"/>
            </w:pPr>
            <w:r w:rsidRPr="00097A86">
              <w:t>rs 2009 No.</w:t>
            </w:r>
            <w:r>
              <w:t> </w:t>
            </w:r>
            <w:r w:rsidRPr="00097A86">
              <w:t>1; 2012 No.</w:t>
            </w:r>
            <w:r>
              <w:t> </w:t>
            </w:r>
            <w:r w:rsidRPr="00097A86">
              <w:t>1</w:t>
            </w:r>
          </w:p>
        </w:tc>
      </w:tr>
      <w:tr w:rsidR="00F1362A" w:rsidRPr="00097A86" w14:paraId="342250B8" w14:textId="77777777" w:rsidTr="00C20CC2">
        <w:tblPrEx>
          <w:jc w:val="center"/>
        </w:tblPrEx>
        <w:trPr>
          <w:gridAfter w:val="1"/>
          <w:wAfter w:w="37" w:type="pct"/>
          <w:jc w:val="center"/>
        </w:trPr>
        <w:tc>
          <w:tcPr>
            <w:tcW w:w="1390" w:type="pct"/>
            <w:gridSpan w:val="2"/>
          </w:tcPr>
          <w:p w14:paraId="10E6BC16" w14:textId="77777777" w:rsidR="00F1362A" w:rsidRPr="00097A86" w:rsidRDefault="00F1362A" w:rsidP="006D1F60">
            <w:pPr>
              <w:pStyle w:val="ENoteTableText"/>
              <w:tabs>
                <w:tab w:val="left" w:leader="dot" w:pos="2268"/>
              </w:tabs>
            </w:pPr>
            <w:r w:rsidRPr="00097A86">
              <w:t>s 5.17AA</w:t>
            </w:r>
            <w:r w:rsidRPr="00097A86">
              <w:tab/>
            </w:r>
          </w:p>
        </w:tc>
        <w:tc>
          <w:tcPr>
            <w:tcW w:w="3573" w:type="pct"/>
            <w:gridSpan w:val="2"/>
          </w:tcPr>
          <w:p w14:paraId="7ECA5B6D" w14:textId="77777777" w:rsidR="00F1362A" w:rsidRPr="00097A86" w:rsidRDefault="00F1362A" w:rsidP="00D22D3F">
            <w:pPr>
              <w:pStyle w:val="ENoteTableText"/>
            </w:pPr>
            <w:r w:rsidRPr="00097A86">
              <w:t>ad 2012 No.</w:t>
            </w:r>
            <w:r>
              <w:t> </w:t>
            </w:r>
            <w:r w:rsidRPr="00097A86">
              <w:t>1</w:t>
            </w:r>
          </w:p>
        </w:tc>
      </w:tr>
      <w:tr w:rsidR="00F1362A" w:rsidRPr="00097A86" w14:paraId="64F2CF27" w14:textId="77777777" w:rsidTr="00C20CC2">
        <w:tblPrEx>
          <w:jc w:val="center"/>
        </w:tblPrEx>
        <w:trPr>
          <w:gridAfter w:val="1"/>
          <w:wAfter w:w="37" w:type="pct"/>
          <w:jc w:val="center"/>
        </w:trPr>
        <w:tc>
          <w:tcPr>
            <w:tcW w:w="1390" w:type="pct"/>
            <w:gridSpan w:val="2"/>
          </w:tcPr>
          <w:p w14:paraId="237F80E1" w14:textId="77777777" w:rsidR="00F1362A" w:rsidRPr="00097A86" w:rsidRDefault="00F1362A" w:rsidP="006D1F60">
            <w:pPr>
              <w:pStyle w:val="ENoteTableText"/>
              <w:tabs>
                <w:tab w:val="left" w:leader="dot" w:pos="2268"/>
              </w:tabs>
            </w:pPr>
          </w:p>
        </w:tc>
        <w:tc>
          <w:tcPr>
            <w:tcW w:w="3573" w:type="pct"/>
            <w:gridSpan w:val="2"/>
          </w:tcPr>
          <w:p w14:paraId="6D801000" w14:textId="77777777" w:rsidR="00F1362A" w:rsidRPr="00097A86" w:rsidRDefault="00F1362A" w:rsidP="00D22D3F">
            <w:pPr>
              <w:pStyle w:val="ENoteTableText"/>
            </w:pPr>
            <w:r w:rsidRPr="00097A86">
              <w:t>am 2015 No 1; 2016 No 1</w:t>
            </w:r>
          </w:p>
        </w:tc>
      </w:tr>
      <w:tr w:rsidR="00F1362A" w:rsidRPr="00097A86" w14:paraId="4C89F3AB" w14:textId="77777777" w:rsidTr="00C20CC2">
        <w:tblPrEx>
          <w:jc w:val="center"/>
        </w:tblPrEx>
        <w:trPr>
          <w:gridAfter w:val="1"/>
          <w:wAfter w:w="37" w:type="pct"/>
          <w:jc w:val="center"/>
        </w:trPr>
        <w:tc>
          <w:tcPr>
            <w:tcW w:w="1390" w:type="pct"/>
            <w:gridSpan w:val="2"/>
          </w:tcPr>
          <w:p w14:paraId="5201EE72" w14:textId="77777777" w:rsidR="00F1362A" w:rsidRPr="00097A86" w:rsidRDefault="00F1362A" w:rsidP="006D1F60">
            <w:pPr>
              <w:pStyle w:val="ENoteTableText"/>
              <w:tabs>
                <w:tab w:val="left" w:leader="dot" w:pos="2268"/>
              </w:tabs>
            </w:pPr>
            <w:r w:rsidRPr="00097A86">
              <w:t>s 5.17A</w:t>
            </w:r>
            <w:r w:rsidRPr="00097A86">
              <w:tab/>
            </w:r>
          </w:p>
        </w:tc>
        <w:tc>
          <w:tcPr>
            <w:tcW w:w="3573" w:type="pct"/>
            <w:gridSpan w:val="2"/>
          </w:tcPr>
          <w:p w14:paraId="2F257F1B" w14:textId="77777777" w:rsidR="00F1362A" w:rsidRPr="00097A86" w:rsidRDefault="00F1362A" w:rsidP="00D22D3F">
            <w:pPr>
              <w:pStyle w:val="ENoteTableText"/>
            </w:pPr>
            <w:r w:rsidRPr="00097A86">
              <w:t>ad 2009 No.</w:t>
            </w:r>
            <w:r>
              <w:t> </w:t>
            </w:r>
            <w:r w:rsidRPr="00097A86">
              <w:t>1</w:t>
            </w:r>
          </w:p>
        </w:tc>
      </w:tr>
      <w:tr w:rsidR="00F1362A" w:rsidRPr="00097A86" w14:paraId="78FB5E11" w14:textId="77777777" w:rsidTr="00C20CC2">
        <w:tblPrEx>
          <w:jc w:val="center"/>
        </w:tblPrEx>
        <w:trPr>
          <w:gridAfter w:val="1"/>
          <w:wAfter w:w="37" w:type="pct"/>
          <w:jc w:val="center"/>
        </w:trPr>
        <w:tc>
          <w:tcPr>
            <w:tcW w:w="1390" w:type="pct"/>
            <w:gridSpan w:val="2"/>
          </w:tcPr>
          <w:p w14:paraId="6355BE30" w14:textId="77777777" w:rsidR="00F1362A" w:rsidRPr="00097A86" w:rsidRDefault="00F1362A" w:rsidP="006D1F60">
            <w:pPr>
              <w:pStyle w:val="ENoteTableText"/>
              <w:tabs>
                <w:tab w:val="left" w:leader="dot" w:pos="2268"/>
              </w:tabs>
            </w:pPr>
          </w:p>
        </w:tc>
        <w:tc>
          <w:tcPr>
            <w:tcW w:w="3573" w:type="pct"/>
            <w:gridSpan w:val="2"/>
          </w:tcPr>
          <w:p w14:paraId="6B6E13D2" w14:textId="77777777" w:rsidR="00F1362A" w:rsidRPr="00097A86" w:rsidRDefault="00F1362A" w:rsidP="00D22D3F">
            <w:pPr>
              <w:pStyle w:val="ENoteTableText"/>
            </w:pPr>
            <w:r w:rsidRPr="00097A86">
              <w:t>rs 2012 No.</w:t>
            </w:r>
            <w:r>
              <w:t> </w:t>
            </w:r>
            <w:r w:rsidRPr="00097A86">
              <w:t>1</w:t>
            </w:r>
          </w:p>
        </w:tc>
      </w:tr>
      <w:tr w:rsidR="00F1362A" w:rsidRPr="00097A86" w14:paraId="73E37514" w14:textId="77777777" w:rsidTr="00C20CC2">
        <w:tblPrEx>
          <w:jc w:val="center"/>
        </w:tblPrEx>
        <w:trPr>
          <w:gridAfter w:val="1"/>
          <w:wAfter w:w="37" w:type="pct"/>
          <w:jc w:val="center"/>
        </w:trPr>
        <w:tc>
          <w:tcPr>
            <w:tcW w:w="1390" w:type="pct"/>
            <w:gridSpan w:val="2"/>
          </w:tcPr>
          <w:p w14:paraId="5E5498E7" w14:textId="77777777" w:rsidR="00F1362A" w:rsidRPr="00097A86" w:rsidRDefault="00F1362A" w:rsidP="006D1F60">
            <w:pPr>
              <w:pStyle w:val="ENoteTableText"/>
              <w:tabs>
                <w:tab w:val="left" w:leader="dot" w:pos="2268"/>
              </w:tabs>
            </w:pPr>
          </w:p>
        </w:tc>
        <w:tc>
          <w:tcPr>
            <w:tcW w:w="3573" w:type="pct"/>
            <w:gridSpan w:val="2"/>
          </w:tcPr>
          <w:p w14:paraId="6E7AB0F4" w14:textId="77777777" w:rsidR="00F1362A" w:rsidRPr="00097A86" w:rsidRDefault="00F1362A" w:rsidP="00D22D3F">
            <w:pPr>
              <w:pStyle w:val="ENoteTableText"/>
            </w:pPr>
            <w:r w:rsidRPr="00097A86">
              <w:t>am 2013 No.</w:t>
            </w:r>
            <w:r>
              <w:t> </w:t>
            </w:r>
            <w:r w:rsidRPr="00097A86">
              <w:t>1</w:t>
            </w:r>
          </w:p>
        </w:tc>
      </w:tr>
      <w:tr w:rsidR="00F1362A" w:rsidRPr="00097A86" w14:paraId="7F1203B5" w14:textId="77777777" w:rsidTr="00C20CC2">
        <w:tblPrEx>
          <w:jc w:val="center"/>
        </w:tblPrEx>
        <w:trPr>
          <w:gridAfter w:val="1"/>
          <w:wAfter w:w="37" w:type="pct"/>
          <w:jc w:val="center"/>
        </w:trPr>
        <w:tc>
          <w:tcPr>
            <w:tcW w:w="1390" w:type="pct"/>
            <w:gridSpan w:val="2"/>
          </w:tcPr>
          <w:p w14:paraId="780F6497" w14:textId="77777777" w:rsidR="00F1362A" w:rsidRPr="00097A86" w:rsidRDefault="00F1362A" w:rsidP="006D1F60">
            <w:pPr>
              <w:pStyle w:val="ENoteTableText"/>
              <w:tabs>
                <w:tab w:val="left" w:leader="dot" w:pos="2268"/>
              </w:tabs>
            </w:pPr>
            <w:r w:rsidRPr="00097A86">
              <w:t>s 5.17B</w:t>
            </w:r>
            <w:r w:rsidRPr="00097A86">
              <w:tab/>
            </w:r>
          </w:p>
        </w:tc>
        <w:tc>
          <w:tcPr>
            <w:tcW w:w="3573" w:type="pct"/>
            <w:gridSpan w:val="2"/>
          </w:tcPr>
          <w:p w14:paraId="0192FD74" w14:textId="77777777" w:rsidR="00F1362A" w:rsidRPr="00097A86" w:rsidRDefault="00F1362A" w:rsidP="00D22D3F">
            <w:pPr>
              <w:pStyle w:val="ENoteTableText"/>
            </w:pPr>
            <w:r w:rsidRPr="00097A86">
              <w:t>ad 2009 No.</w:t>
            </w:r>
            <w:r>
              <w:t> </w:t>
            </w:r>
            <w:r w:rsidRPr="00097A86">
              <w:t>1</w:t>
            </w:r>
          </w:p>
        </w:tc>
      </w:tr>
      <w:tr w:rsidR="00F1362A" w:rsidRPr="00097A86" w14:paraId="06AC9EA3" w14:textId="77777777" w:rsidTr="00C20CC2">
        <w:tblPrEx>
          <w:jc w:val="center"/>
        </w:tblPrEx>
        <w:trPr>
          <w:gridAfter w:val="1"/>
          <w:wAfter w:w="37" w:type="pct"/>
          <w:jc w:val="center"/>
        </w:trPr>
        <w:tc>
          <w:tcPr>
            <w:tcW w:w="1390" w:type="pct"/>
            <w:gridSpan w:val="2"/>
          </w:tcPr>
          <w:p w14:paraId="71253C46" w14:textId="77777777" w:rsidR="00F1362A" w:rsidRPr="00097A86" w:rsidRDefault="00F1362A" w:rsidP="006D1F60">
            <w:pPr>
              <w:pStyle w:val="ENoteTableText"/>
              <w:tabs>
                <w:tab w:val="left" w:leader="dot" w:pos="2268"/>
              </w:tabs>
            </w:pPr>
          </w:p>
        </w:tc>
        <w:tc>
          <w:tcPr>
            <w:tcW w:w="3573" w:type="pct"/>
            <w:gridSpan w:val="2"/>
          </w:tcPr>
          <w:p w14:paraId="3C864908" w14:textId="77777777" w:rsidR="00F1362A" w:rsidRPr="00097A86" w:rsidRDefault="00F1362A" w:rsidP="00D22D3F">
            <w:pPr>
              <w:pStyle w:val="ENoteTableText"/>
            </w:pPr>
            <w:r w:rsidRPr="00097A86">
              <w:t>am 2012 No.</w:t>
            </w:r>
            <w:r>
              <w:t> </w:t>
            </w:r>
            <w:r w:rsidRPr="00097A86">
              <w:t>1</w:t>
            </w:r>
          </w:p>
        </w:tc>
      </w:tr>
      <w:tr w:rsidR="00F1362A" w:rsidRPr="00097A86" w14:paraId="151C2F36" w14:textId="77777777" w:rsidTr="00C20CC2">
        <w:tblPrEx>
          <w:jc w:val="center"/>
        </w:tblPrEx>
        <w:trPr>
          <w:gridAfter w:val="1"/>
          <w:wAfter w:w="37" w:type="pct"/>
          <w:jc w:val="center"/>
        </w:trPr>
        <w:tc>
          <w:tcPr>
            <w:tcW w:w="1390" w:type="pct"/>
            <w:gridSpan w:val="2"/>
          </w:tcPr>
          <w:p w14:paraId="274E87D1" w14:textId="77777777" w:rsidR="00F1362A" w:rsidRPr="00097A86" w:rsidRDefault="00F1362A" w:rsidP="006D1F60">
            <w:pPr>
              <w:pStyle w:val="ENoteTableText"/>
              <w:tabs>
                <w:tab w:val="left" w:leader="dot" w:pos="2268"/>
              </w:tabs>
            </w:pPr>
            <w:r w:rsidRPr="00097A86">
              <w:t>s 5.17C</w:t>
            </w:r>
            <w:r w:rsidRPr="00097A86">
              <w:tab/>
            </w:r>
          </w:p>
        </w:tc>
        <w:tc>
          <w:tcPr>
            <w:tcW w:w="3573" w:type="pct"/>
            <w:gridSpan w:val="2"/>
          </w:tcPr>
          <w:p w14:paraId="0ABD2409" w14:textId="77777777" w:rsidR="00F1362A" w:rsidRPr="00097A86" w:rsidRDefault="00F1362A" w:rsidP="00D22D3F">
            <w:pPr>
              <w:pStyle w:val="ENoteTableText"/>
            </w:pPr>
            <w:r w:rsidRPr="00097A86">
              <w:t>ad 2009 No.</w:t>
            </w:r>
            <w:r>
              <w:t> </w:t>
            </w:r>
            <w:r w:rsidRPr="00097A86">
              <w:t>1</w:t>
            </w:r>
          </w:p>
        </w:tc>
      </w:tr>
      <w:tr w:rsidR="00F1362A" w:rsidRPr="00097A86" w14:paraId="27448E9E" w14:textId="77777777" w:rsidTr="00C20CC2">
        <w:tblPrEx>
          <w:jc w:val="center"/>
        </w:tblPrEx>
        <w:trPr>
          <w:gridAfter w:val="1"/>
          <w:wAfter w:w="37" w:type="pct"/>
          <w:jc w:val="center"/>
        </w:trPr>
        <w:tc>
          <w:tcPr>
            <w:tcW w:w="1390" w:type="pct"/>
            <w:gridSpan w:val="2"/>
          </w:tcPr>
          <w:p w14:paraId="754BD819" w14:textId="77777777" w:rsidR="00F1362A" w:rsidRPr="00097A86" w:rsidRDefault="00F1362A" w:rsidP="006D1F60">
            <w:pPr>
              <w:pStyle w:val="ENoteTableText"/>
              <w:tabs>
                <w:tab w:val="left" w:leader="dot" w:pos="2268"/>
              </w:tabs>
            </w:pPr>
            <w:r w:rsidRPr="00097A86">
              <w:lastRenderedPageBreak/>
              <w:t>s 5.17D</w:t>
            </w:r>
            <w:r w:rsidRPr="00097A86">
              <w:tab/>
            </w:r>
          </w:p>
        </w:tc>
        <w:tc>
          <w:tcPr>
            <w:tcW w:w="3573" w:type="pct"/>
            <w:gridSpan w:val="2"/>
          </w:tcPr>
          <w:p w14:paraId="79AE1ABC" w14:textId="77777777" w:rsidR="00F1362A" w:rsidRPr="00097A86" w:rsidRDefault="00F1362A" w:rsidP="00D22D3F">
            <w:pPr>
              <w:pStyle w:val="ENoteTableText"/>
            </w:pPr>
            <w:r w:rsidRPr="00097A86">
              <w:t>ad 2009 No.</w:t>
            </w:r>
            <w:r>
              <w:t> </w:t>
            </w:r>
            <w:r w:rsidRPr="00097A86">
              <w:t>1</w:t>
            </w:r>
          </w:p>
        </w:tc>
      </w:tr>
      <w:tr w:rsidR="00F1362A" w:rsidRPr="00097A86" w14:paraId="0CEC5302" w14:textId="77777777" w:rsidTr="00C20CC2">
        <w:tblPrEx>
          <w:jc w:val="center"/>
        </w:tblPrEx>
        <w:trPr>
          <w:gridAfter w:val="1"/>
          <w:wAfter w:w="37" w:type="pct"/>
          <w:jc w:val="center"/>
        </w:trPr>
        <w:tc>
          <w:tcPr>
            <w:tcW w:w="1390" w:type="pct"/>
            <w:gridSpan w:val="2"/>
          </w:tcPr>
          <w:p w14:paraId="0C2001AB" w14:textId="77777777" w:rsidR="00F1362A" w:rsidRPr="00097A86" w:rsidRDefault="00F1362A" w:rsidP="006D1F60">
            <w:pPr>
              <w:pStyle w:val="ENoteTableText"/>
              <w:tabs>
                <w:tab w:val="left" w:leader="dot" w:pos="2268"/>
              </w:tabs>
            </w:pPr>
          </w:p>
        </w:tc>
        <w:tc>
          <w:tcPr>
            <w:tcW w:w="3573" w:type="pct"/>
            <w:gridSpan w:val="2"/>
          </w:tcPr>
          <w:p w14:paraId="42ECAE6D" w14:textId="77777777" w:rsidR="00F1362A" w:rsidRPr="00097A86" w:rsidRDefault="00F1362A" w:rsidP="00D22D3F">
            <w:pPr>
              <w:pStyle w:val="ENoteTableText"/>
            </w:pPr>
            <w:r w:rsidRPr="00097A86">
              <w:t>am 2012 No.</w:t>
            </w:r>
            <w:r>
              <w:t> </w:t>
            </w:r>
            <w:r w:rsidRPr="00097A86">
              <w:t>1</w:t>
            </w:r>
          </w:p>
        </w:tc>
      </w:tr>
      <w:tr w:rsidR="00F1362A" w:rsidRPr="00097A86" w14:paraId="7605A4E7" w14:textId="77777777" w:rsidTr="00C20CC2">
        <w:tblPrEx>
          <w:jc w:val="center"/>
        </w:tblPrEx>
        <w:trPr>
          <w:gridAfter w:val="1"/>
          <w:wAfter w:w="37" w:type="pct"/>
          <w:jc w:val="center"/>
        </w:trPr>
        <w:tc>
          <w:tcPr>
            <w:tcW w:w="1390" w:type="pct"/>
            <w:gridSpan w:val="2"/>
          </w:tcPr>
          <w:p w14:paraId="61392B2C" w14:textId="77777777" w:rsidR="00F1362A" w:rsidRPr="00097A86" w:rsidRDefault="00F1362A" w:rsidP="006D1F60">
            <w:pPr>
              <w:pStyle w:val="ENoteTableText"/>
              <w:tabs>
                <w:tab w:val="left" w:leader="dot" w:pos="2268"/>
              </w:tabs>
            </w:pPr>
            <w:r w:rsidRPr="00097A86">
              <w:t>s 5.17E</w:t>
            </w:r>
            <w:r w:rsidRPr="00097A86">
              <w:tab/>
            </w:r>
          </w:p>
        </w:tc>
        <w:tc>
          <w:tcPr>
            <w:tcW w:w="3573" w:type="pct"/>
            <w:gridSpan w:val="2"/>
          </w:tcPr>
          <w:p w14:paraId="693A20B5" w14:textId="77777777" w:rsidR="00F1362A" w:rsidRPr="00097A86" w:rsidRDefault="00F1362A" w:rsidP="00D22D3F">
            <w:pPr>
              <w:pStyle w:val="ENoteTableText"/>
            </w:pPr>
            <w:r w:rsidRPr="00097A86">
              <w:t>ad 2009 No.</w:t>
            </w:r>
            <w:r>
              <w:t> </w:t>
            </w:r>
            <w:r w:rsidRPr="00097A86">
              <w:t>1</w:t>
            </w:r>
          </w:p>
        </w:tc>
      </w:tr>
      <w:tr w:rsidR="00F1362A" w:rsidRPr="00097A86" w14:paraId="2E962A0F" w14:textId="77777777" w:rsidTr="00C20CC2">
        <w:tblPrEx>
          <w:jc w:val="center"/>
        </w:tblPrEx>
        <w:trPr>
          <w:gridAfter w:val="1"/>
          <w:wAfter w:w="37" w:type="pct"/>
          <w:jc w:val="center"/>
        </w:trPr>
        <w:tc>
          <w:tcPr>
            <w:tcW w:w="1390" w:type="pct"/>
            <w:gridSpan w:val="2"/>
          </w:tcPr>
          <w:p w14:paraId="51943A5D" w14:textId="77777777" w:rsidR="00F1362A" w:rsidRPr="00097A86" w:rsidRDefault="00F1362A" w:rsidP="006D1F60">
            <w:pPr>
              <w:pStyle w:val="ENoteTableText"/>
              <w:tabs>
                <w:tab w:val="left" w:leader="dot" w:pos="2268"/>
              </w:tabs>
            </w:pPr>
            <w:r w:rsidRPr="00097A86">
              <w:t>s 5.17F</w:t>
            </w:r>
            <w:r w:rsidRPr="00097A86">
              <w:tab/>
            </w:r>
          </w:p>
        </w:tc>
        <w:tc>
          <w:tcPr>
            <w:tcW w:w="3573" w:type="pct"/>
            <w:gridSpan w:val="2"/>
          </w:tcPr>
          <w:p w14:paraId="3E8FD2C8" w14:textId="77777777" w:rsidR="00F1362A" w:rsidRPr="00097A86" w:rsidRDefault="00F1362A" w:rsidP="00D22D3F">
            <w:pPr>
              <w:pStyle w:val="ENoteTableText"/>
            </w:pPr>
            <w:r w:rsidRPr="00097A86">
              <w:t>ad 2009 No.</w:t>
            </w:r>
            <w:r>
              <w:t> </w:t>
            </w:r>
            <w:r w:rsidRPr="00097A86">
              <w:t>1</w:t>
            </w:r>
          </w:p>
        </w:tc>
      </w:tr>
      <w:tr w:rsidR="00F1362A" w:rsidRPr="00097A86" w14:paraId="4B00B6C8" w14:textId="77777777" w:rsidTr="00C20CC2">
        <w:tblPrEx>
          <w:jc w:val="center"/>
        </w:tblPrEx>
        <w:trPr>
          <w:gridAfter w:val="1"/>
          <w:wAfter w:w="37" w:type="pct"/>
          <w:jc w:val="center"/>
        </w:trPr>
        <w:tc>
          <w:tcPr>
            <w:tcW w:w="1390" w:type="pct"/>
            <w:gridSpan w:val="2"/>
          </w:tcPr>
          <w:p w14:paraId="51D84E66" w14:textId="77777777" w:rsidR="00F1362A" w:rsidRPr="00097A86" w:rsidRDefault="00F1362A" w:rsidP="006D1F60">
            <w:pPr>
              <w:pStyle w:val="ENoteTableText"/>
              <w:tabs>
                <w:tab w:val="left" w:leader="dot" w:pos="2268"/>
              </w:tabs>
            </w:pPr>
          </w:p>
        </w:tc>
        <w:tc>
          <w:tcPr>
            <w:tcW w:w="3573" w:type="pct"/>
            <w:gridSpan w:val="2"/>
          </w:tcPr>
          <w:p w14:paraId="72448DCC" w14:textId="77777777" w:rsidR="00F1362A" w:rsidRPr="00097A86" w:rsidRDefault="00F1362A" w:rsidP="00D22D3F">
            <w:pPr>
              <w:pStyle w:val="ENoteTableText"/>
            </w:pPr>
            <w:r w:rsidRPr="00097A86">
              <w:t>am 2012 No.</w:t>
            </w:r>
            <w:r>
              <w:t> </w:t>
            </w:r>
            <w:r w:rsidRPr="00097A86">
              <w:t>1</w:t>
            </w:r>
          </w:p>
        </w:tc>
      </w:tr>
      <w:tr w:rsidR="00F1362A" w:rsidRPr="00097A86" w14:paraId="2590467F" w14:textId="77777777" w:rsidTr="00C20CC2">
        <w:tblPrEx>
          <w:jc w:val="center"/>
        </w:tblPrEx>
        <w:trPr>
          <w:gridAfter w:val="1"/>
          <w:wAfter w:w="37" w:type="pct"/>
          <w:jc w:val="center"/>
        </w:trPr>
        <w:tc>
          <w:tcPr>
            <w:tcW w:w="1390" w:type="pct"/>
            <w:gridSpan w:val="2"/>
          </w:tcPr>
          <w:p w14:paraId="7570F13E" w14:textId="77777777" w:rsidR="00F1362A" w:rsidRPr="00097A86" w:rsidRDefault="00F1362A" w:rsidP="006D1F60">
            <w:pPr>
              <w:pStyle w:val="ENoteTableText"/>
              <w:tabs>
                <w:tab w:val="left" w:leader="dot" w:pos="2268"/>
              </w:tabs>
            </w:pPr>
            <w:r w:rsidRPr="00097A86">
              <w:t>s 5.17G</w:t>
            </w:r>
            <w:r w:rsidRPr="00097A86">
              <w:tab/>
            </w:r>
          </w:p>
        </w:tc>
        <w:tc>
          <w:tcPr>
            <w:tcW w:w="3573" w:type="pct"/>
            <w:gridSpan w:val="2"/>
          </w:tcPr>
          <w:p w14:paraId="08E3C885" w14:textId="77777777" w:rsidR="00F1362A" w:rsidRPr="00097A86" w:rsidRDefault="00F1362A" w:rsidP="00D22D3F">
            <w:pPr>
              <w:pStyle w:val="ENoteTableText"/>
            </w:pPr>
            <w:r w:rsidRPr="00097A86">
              <w:t>ad 2009 No.</w:t>
            </w:r>
            <w:r>
              <w:t> </w:t>
            </w:r>
            <w:r w:rsidRPr="00097A86">
              <w:t>1</w:t>
            </w:r>
          </w:p>
        </w:tc>
      </w:tr>
      <w:tr w:rsidR="00F1362A" w:rsidRPr="00097A86" w14:paraId="10D87BA5" w14:textId="77777777" w:rsidTr="00C20CC2">
        <w:tblPrEx>
          <w:jc w:val="center"/>
        </w:tblPrEx>
        <w:trPr>
          <w:gridAfter w:val="1"/>
          <w:wAfter w:w="37" w:type="pct"/>
          <w:jc w:val="center"/>
        </w:trPr>
        <w:tc>
          <w:tcPr>
            <w:tcW w:w="1390" w:type="pct"/>
            <w:gridSpan w:val="2"/>
          </w:tcPr>
          <w:p w14:paraId="2AED481C" w14:textId="77777777" w:rsidR="00F1362A" w:rsidRPr="00097A86" w:rsidRDefault="00F1362A" w:rsidP="006D1F60">
            <w:pPr>
              <w:pStyle w:val="ENoteTableText"/>
              <w:tabs>
                <w:tab w:val="left" w:leader="dot" w:pos="2268"/>
              </w:tabs>
            </w:pPr>
          </w:p>
        </w:tc>
        <w:tc>
          <w:tcPr>
            <w:tcW w:w="3573" w:type="pct"/>
            <w:gridSpan w:val="2"/>
          </w:tcPr>
          <w:p w14:paraId="6BF42912" w14:textId="77777777" w:rsidR="00F1362A" w:rsidRPr="00097A86" w:rsidRDefault="00F1362A" w:rsidP="00D22D3F">
            <w:pPr>
              <w:pStyle w:val="ENoteTableText"/>
            </w:pPr>
            <w:r w:rsidRPr="00097A86">
              <w:t>am 2012 No.</w:t>
            </w:r>
            <w:r>
              <w:t> </w:t>
            </w:r>
            <w:r w:rsidRPr="00097A86">
              <w:t>1</w:t>
            </w:r>
          </w:p>
        </w:tc>
      </w:tr>
      <w:tr w:rsidR="00F1362A" w:rsidRPr="00097A86" w14:paraId="05C52647" w14:textId="77777777" w:rsidTr="00C20CC2">
        <w:tblPrEx>
          <w:jc w:val="center"/>
        </w:tblPrEx>
        <w:trPr>
          <w:gridAfter w:val="1"/>
          <w:wAfter w:w="37" w:type="pct"/>
          <w:jc w:val="center"/>
        </w:trPr>
        <w:tc>
          <w:tcPr>
            <w:tcW w:w="1390" w:type="pct"/>
            <w:gridSpan w:val="2"/>
          </w:tcPr>
          <w:p w14:paraId="5C0C3631" w14:textId="77777777" w:rsidR="00F1362A" w:rsidRPr="00097A86" w:rsidRDefault="00F1362A" w:rsidP="006D1F60">
            <w:pPr>
              <w:pStyle w:val="ENoteTableText"/>
              <w:tabs>
                <w:tab w:val="left" w:leader="dot" w:pos="2268"/>
              </w:tabs>
            </w:pPr>
            <w:r w:rsidRPr="00097A86">
              <w:t>s 5.17H</w:t>
            </w:r>
            <w:r w:rsidRPr="00097A86">
              <w:tab/>
            </w:r>
          </w:p>
        </w:tc>
        <w:tc>
          <w:tcPr>
            <w:tcW w:w="3573" w:type="pct"/>
            <w:gridSpan w:val="2"/>
          </w:tcPr>
          <w:p w14:paraId="5B87DA0E" w14:textId="77777777" w:rsidR="00F1362A" w:rsidRPr="00097A86" w:rsidRDefault="00F1362A" w:rsidP="00D22D3F">
            <w:pPr>
              <w:pStyle w:val="ENoteTableText"/>
            </w:pPr>
            <w:r w:rsidRPr="00097A86">
              <w:t>ad 2009 No.</w:t>
            </w:r>
            <w:r>
              <w:t> </w:t>
            </w:r>
            <w:r w:rsidRPr="00097A86">
              <w:t>1</w:t>
            </w:r>
          </w:p>
        </w:tc>
      </w:tr>
      <w:tr w:rsidR="00F1362A" w:rsidRPr="00097A86" w14:paraId="3E94BFF4" w14:textId="77777777" w:rsidTr="00C20CC2">
        <w:tblPrEx>
          <w:jc w:val="center"/>
        </w:tblPrEx>
        <w:trPr>
          <w:gridAfter w:val="1"/>
          <w:wAfter w:w="37" w:type="pct"/>
          <w:jc w:val="center"/>
        </w:trPr>
        <w:tc>
          <w:tcPr>
            <w:tcW w:w="1390" w:type="pct"/>
            <w:gridSpan w:val="2"/>
          </w:tcPr>
          <w:p w14:paraId="775A2770" w14:textId="77777777" w:rsidR="00F1362A" w:rsidRPr="00097A86" w:rsidRDefault="00F1362A" w:rsidP="006D1F60">
            <w:pPr>
              <w:pStyle w:val="ENoteTableText"/>
              <w:tabs>
                <w:tab w:val="left" w:leader="dot" w:pos="2268"/>
              </w:tabs>
            </w:pPr>
            <w:r w:rsidRPr="00097A86">
              <w:t>s 5.17I</w:t>
            </w:r>
            <w:r w:rsidRPr="00097A86">
              <w:tab/>
            </w:r>
          </w:p>
        </w:tc>
        <w:tc>
          <w:tcPr>
            <w:tcW w:w="3573" w:type="pct"/>
            <w:gridSpan w:val="2"/>
          </w:tcPr>
          <w:p w14:paraId="58A7F5FD" w14:textId="77777777" w:rsidR="00F1362A" w:rsidRPr="00097A86" w:rsidRDefault="00F1362A" w:rsidP="00D22D3F">
            <w:pPr>
              <w:pStyle w:val="ENoteTableText"/>
            </w:pPr>
            <w:r w:rsidRPr="00097A86">
              <w:t>ad 2009 No.</w:t>
            </w:r>
            <w:r>
              <w:t> </w:t>
            </w:r>
            <w:r w:rsidRPr="00097A86">
              <w:t>1</w:t>
            </w:r>
          </w:p>
        </w:tc>
      </w:tr>
      <w:tr w:rsidR="00F1362A" w:rsidRPr="00097A86" w14:paraId="1FF70673" w14:textId="77777777" w:rsidTr="00C20CC2">
        <w:tblPrEx>
          <w:jc w:val="center"/>
        </w:tblPrEx>
        <w:trPr>
          <w:gridAfter w:val="1"/>
          <w:wAfter w:w="37" w:type="pct"/>
          <w:jc w:val="center"/>
        </w:trPr>
        <w:tc>
          <w:tcPr>
            <w:tcW w:w="1390" w:type="pct"/>
            <w:gridSpan w:val="2"/>
          </w:tcPr>
          <w:p w14:paraId="6B94D3B2" w14:textId="77777777" w:rsidR="00F1362A" w:rsidRPr="00097A86" w:rsidRDefault="00F1362A" w:rsidP="006D1F60">
            <w:pPr>
              <w:pStyle w:val="ENoteTableText"/>
              <w:tabs>
                <w:tab w:val="left" w:leader="dot" w:pos="2268"/>
              </w:tabs>
            </w:pPr>
            <w:r w:rsidRPr="00097A86">
              <w:t>s 5.17J</w:t>
            </w:r>
            <w:r w:rsidRPr="00097A86">
              <w:tab/>
            </w:r>
          </w:p>
        </w:tc>
        <w:tc>
          <w:tcPr>
            <w:tcW w:w="3573" w:type="pct"/>
            <w:gridSpan w:val="2"/>
          </w:tcPr>
          <w:p w14:paraId="478A4E9F" w14:textId="77777777" w:rsidR="00F1362A" w:rsidRPr="00097A86" w:rsidRDefault="00F1362A" w:rsidP="00D22D3F">
            <w:pPr>
              <w:pStyle w:val="ENoteTableText"/>
            </w:pPr>
            <w:r w:rsidRPr="00097A86">
              <w:t>ad 2009 No.</w:t>
            </w:r>
            <w:r>
              <w:t> </w:t>
            </w:r>
            <w:r w:rsidRPr="00097A86">
              <w:t>1</w:t>
            </w:r>
          </w:p>
        </w:tc>
      </w:tr>
      <w:tr w:rsidR="00F1362A" w:rsidRPr="00097A86" w14:paraId="1E128551" w14:textId="77777777" w:rsidTr="00C20CC2">
        <w:tblPrEx>
          <w:jc w:val="center"/>
        </w:tblPrEx>
        <w:trPr>
          <w:gridAfter w:val="1"/>
          <w:wAfter w:w="37" w:type="pct"/>
          <w:jc w:val="center"/>
        </w:trPr>
        <w:tc>
          <w:tcPr>
            <w:tcW w:w="1390" w:type="pct"/>
            <w:gridSpan w:val="2"/>
          </w:tcPr>
          <w:p w14:paraId="62BF37B3" w14:textId="77777777" w:rsidR="00F1362A" w:rsidRPr="00097A86" w:rsidRDefault="00F1362A" w:rsidP="006D1F60">
            <w:pPr>
              <w:pStyle w:val="ENoteTableText"/>
              <w:tabs>
                <w:tab w:val="left" w:leader="dot" w:pos="2268"/>
              </w:tabs>
            </w:pPr>
            <w:r w:rsidRPr="00097A86">
              <w:t>s 5.17K</w:t>
            </w:r>
            <w:r w:rsidRPr="00097A86">
              <w:tab/>
            </w:r>
          </w:p>
        </w:tc>
        <w:tc>
          <w:tcPr>
            <w:tcW w:w="3573" w:type="pct"/>
            <w:gridSpan w:val="2"/>
          </w:tcPr>
          <w:p w14:paraId="5CC8CAA2" w14:textId="77777777" w:rsidR="00F1362A" w:rsidRPr="00097A86" w:rsidRDefault="00F1362A" w:rsidP="00D22D3F">
            <w:pPr>
              <w:pStyle w:val="ENoteTableText"/>
            </w:pPr>
            <w:r w:rsidRPr="00097A86">
              <w:t>ad 2009 No.</w:t>
            </w:r>
            <w:r>
              <w:t> </w:t>
            </w:r>
            <w:r w:rsidRPr="00097A86">
              <w:t>1</w:t>
            </w:r>
          </w:p>
        </w:tc>
      </w:tr>
      <w:tr w:rsidR="00F1362A" w:rsidRPr="00097A86" w14:paraId="59F60827" w14:textId="77777777" w:rsidTr="00C20CC2">
        <w:tblPrEx>
          <w:jc w:val="center"/>
        </w:tblPrEx>
        <w:trPr>
          <w:gridAfter w:val="1"/>
          <w:wAfter w:w="37" w:type="pct"/>
          <w:jc w:val="center"/>
        </w:trPr>
        <w:tc>
          <w:tcPr>
            <w:tcW w:w="1390" w:type="pct"/>
            <w:gridSpan w:val="2"/>
          </w:tcPr>
          <w:p w14:paraId="47912D72" w14:textId="77777777" w:rsidR="00F1362A" w:rsidRPr="00097A86" w:rsidRDefault="00F1362A" w:rsidP="006D1F60">
            <w:pPr>
              <w:pStyle w:val="ENoteTableText"/>
              <w:tabs>
                <w:tab w:val="left" w:leader="dot" w:pos="2268"/>
              </w:tabs>
            </w:pPr>
            <w:r w:rsidRPr="00097A86">
              <w:t>s 5.17L</w:t>
            </w:r>
            <w:r w:rsidRPr="00097A86">
              <w:tab/>
            </w:r>
          </w:p>
        </w:tc>
        <w:tc>
          <w:tcPr>
            <w:tcW w:w="3573" w:type="pct"/>
            <w:gridSpan w:val="2"/>
          </w:tcPr>
          <w:p w14:paraId="27895106" w14:textId="77777777" w:rsidR="00F1362A" w:rsidRPr="00097A86" w:rsidRDefault="00F1362A" w:rsidP="00D22D3F">
            <w:pPr>
              <w:pStyle w:val="ENoteTableText"/>
            </w:pPr>
            <w:r w:rsidRPr="00097A86">
              <w:t>ad 2009 No.</w:t>
            </w:r>
            <w:r>
              <w:t> </w:t>
            </w:r>
            <w:r w:rsidRPr="00097A86">
              <w:t>1</w:t>
            </w:r>
          </w:p>
        </w:tc>
      </w:tr>
      <w:tr w:rsidR="00F1362A" w:rsidRPr="00097A86" w14:paraId="6B9CE0EF" w14:textId="77777777" w:rsidTr="00C20CC2">
        <w:tblPrEx>
          <w:jc w:val="center"/>
        </w:tblPrEx>
        <w:trPr>
          <w:gridAfter w:val="1"/>
          <w:wAfter w:w="37" w:type="pct"/>
          <w:jc w:val="center"/>
        </w:trPr>
        <w:tc>
          <w:tcPr>
            <w:tcW w:w="1390" w:type="pct"/>
            <w:gridSpan w:val="2"/>
          </w:tcPr>
          <w:p w14:paraId="4EA3AA1E" w14:textId="77777777" w:rsidR="00F1362A" w:rsidRPr="00097A86" w:rsidRDefault="00F1362A" w:rsidP="006D1F60">
            <w:pPr>
              <w:pStyle w:val="ENoteTableText"/>
              <w:tabs>
                <w:tab w:val="left" w:leader="dot" w:pos="2268"/>
              </w:tabs>
            </w:pPr>
          </w:p>
        </w:tc>
        <w:tc>
          <w:tcPr>
            <w:tcW w:w="3573" w:type="pct"/>
            <w:gridSpan w:val="2"/>
          </w:tcPr>
          <w:p w14:paraId="77C21497" w14:textId="77777777" w:rsidR="00F1362A" w:rsidRPr="00097A86" w:rsidRDefault="00F1362A" w:rsidP="00D22D3F">
            <w:pPr>
              <w:pStyle w:val="ENoteTableText"/>
            </w:pPr>
            <w:r w:rsidRPr="00097A86">
              <w:t>am 2011 No.</w:t>
            </w:r>
            <w:r>
              <w:t> </w:t>
            </w:r>
            <w:r w:rsidRPr="00097A86">
              <w:t>1</w:t>
            </w:r>
          </w:p>
        </w:tc>
      </w:tr>
      <w:tr w:rsidR="00F1362A" w:rsidRPr="00097A86" w14:paraId="4D2C11B0" w14:textId="77777777" w:rsidTr="00C20CC2">
        <w:tblPrEx>
          <w:jc w:val="center"/>
        </w:tblPrEx>
        <w:trPr>
          <w:gridAfter w:val="1"/>
          <w:wAfter w:w="37" w:type="pct"/>
          <w:jc w:val="center"/>
        </w:trPr>
        <w:tc>
          <w:tcPr>
            <w:tcW w:w="1390" w:type="pct"/>
            <w:gridSpan w:val="2"/>
          </w:tcPr>
          <w:p w14:paraId="7C6E293B" w14:textId="77777777" w:rsidR="00F1362A" w:rsidRPr="00097A86" w:rsidRDefault="00F1362A" w:rsidP="006D1F60">
            <w:pPr>
              <w:pStyle w:val="ENoteTableText"/>
              <w:tabs>
                <w:tab w:val="left" w:leader="dot" w:pos="2268"/>
              </w:tabs>
            </w:pPr>
          </w:p>
        </w:tc>
        <w:tc>
          <w:tcPr>
            <w:tcW w:w="3573" w:type="pct"/>
            <w:gridSpan w:val="2"/>
          </w:tcPr>
          <w:p w14:paraId="2930B8BE" w14:textId="77777777" w:rsidR="00F1362A" w:rsidRPr="00097A86" w:rsidRDefault="00F1362A" w:rsidP="00D22D3F">
            <w:pPr>
              <w:pStyle w:val="ENoteTableText"/>
            </w:pPr>
            <w:r w:rsidRPr="00097A86">
              <w:t>rs 2012 No.</w:t>
            </w:r>
            <w:r>
              <w:t> </w:t>
            </w:r>
            <w:r w:rsidRPr="00097A86">
              <w:t>1</w:t>
            </w:r>
          </w:p>
        </w:tc>
      </w:tr>
      <w:tr w:rsidR="00F1362A" w:rsidRPr="00097A86" w14:paraId="358475CA" w14:textId="77777777" w:rsidTr="00C20CC2">
        <w:tblPrEx>
          <w:jc w:val="center"/>
        </w:tblPrEx>
        <w:trPr>
          <w:gridAfter w:val="1"/>
          <w:wAfter w:w="37" w:type="pct"/>
          <w:jc w:val="center"/>
        </w:trPr>
        <w:tc>
          <w:tcPr>
            <w:tcW w:w="1390" w:type="pct"/>
            <w:gridSpan w:val="2"/>
          </w:tcPr>
          <w:p w14:paraId="2EAF5D69" w14:textId="77777777" w:rsidR="00F1362A" w:rsidRPr="00097A86" w:rsidRDefault="00F1362A" w:rsidP="006D1F60">
            <w:pPr>
              <w:pStyle w:val="ENoteTableText"/>
              <w:tabs>
                <w:tab w:val="left" w:leader="dot" w:pos="2268"/>
              </w:tabs>
            </w:pPr>
          </w:p>
        </w:tc>
        <w:tc>
          <w:tcPr>
            <w:tcW w:w="3573" w:type="pct"/>
            <w:gridSpan w:val="2"/>
          </w:tcPr>
          <w:p w14:paraId="189F6222" w14:textId="77777777" w:rsidR="00F1362A" w:rsidRPr="00097A86" w:rsidRDefault="00F1362A" w:rsidP="00D22D3F">
            <w:pPr>
              <w:pStyle w:val="ENoteTableText"/>
            </w:pPr>
            <w:r w:rsidRPr="00097A86">
              <w:t>am 2015 No 1; 2016 No 1</w:t>
            </w:r>
          </w:p>
        </w:tc>
      </w:tr>
      <w:tr w:rsidR="00F1362A" w:rsidRPr="00097A86" w14:paraId="6D8B93ED" w14:textId="77777777" w:rsidTr="00C20CC2">
        <w:tblPrEx>
          <w:jc w:val="center"/>
        </w:tblPrEx>
        <w:trPr>
          <w:gridAfter w:val="1"/>
          <w:wAfter w:w="37" w:type="pct"/>
          <w:jc w:val="center"/>
        </w:trPr>
        <w:tc>
          <w:tcPr>
            <w:tcW w:w="1390" w:type="pct"/>
            <w:gridSpan w:val="2"/>
          </w:tcPr>
          <w:p w14:paraId="35A78C24"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5.2.4</w:t>
            </w:r>
          </w:p>
        </w:tc>
        <w:tc>
          <w:tcPr>
            <w:tcW w:w="3573" w:type="pct"/>
            <w:gridSpan w:val="2"/>
          </w:tcPr>
          <w:p w14:paraId="77B81F09" w14:textId="77777777" w:rsidR="00F1362A" w:rsidRPr="00097A86" w:rsidRDefault="00F1362A" w:rsidP="00D22D3F">
            <w:pPr>
              <w:pStyle w:val="ENoteTableText"/>
            </w:pPr>
          </w:p>
        </w:tc>
      </w:tr>
      <w:tr w:rsidR="00F1362A" w:rsidRPr="00097A86" w14:paraId="262E649C" w14:textId="77777777" w:rsidTr="00C20CC2">
        <w:tblPrEx>
          <w:jc w:val="center"/>
        </w:tblPrEx>
        <w:trPr>
          <w:gridAfter w:val="1"/>
          <w:wAfter w:w="37" w:type="pct"/>
          <w:jc w:val="center"/>
        </w:trPr>
        <w:tc>
          <w:tcPr>
            <w:tcW w:w="1390" w:type="pct"/>
            <w:gridSpan w:val="2"/>
          </w:tcPr>
          <w:p w14:paraId="1EB6EE73" w14:textId="77777777" w:rsidR="00F1362A" w:rsidRPr="00097A86" w:rsidRDefault="00F1362A" w:rsidP="006D1F60">
            <w:pPr>
              <w:pStyle w:val="ENoteTableText"/>
              <w:tabs>
                <w:tab w:val="left" w:leader="dot" w:pos="2268"/>
              </w:tabs>
            </w:pPr>
            <w:r w:rsidRPr="00097A86">
              <w:t>s 5.18</w:t>
            </w:r>
            <w:r w:rsidRPr="00097A86">
              <w:tab/>
            </w:r>
          </w:p>
        </w:tc>
        <w:tc>
          <w:tcPr>
            <w:tcW w:w="3573" w:type="pct"/>
            <w:gridSpan w:val="2"/>
          </w:tcPr>
          <w:p w14:paraId="6AE67549" w14:textId="77777777" w:rsidR="00F1362A" w:rsidRPr="00097A86" w:rsidRDefault="00F1362A" w:rsidP="00D22D3F">
            <w:pPr>
              <w:pStyle w:val="ENoteTableText"/>
            </w:pPr>
            <w:r w:rsidRPr="00097A86">
              <w:t>am 2009 No.</w:t>
            </w:r>
            <w:r>
              <w:t> </w:t>
            </w:r>
            <w:r w:rsidRPr="00097A86">
              <w:t>1; 2013 No.</w:t>
            </w:r>
            <w:r>
              <w:t> </w:t>
            </w:r>
            <w:r w:rsidRPr="00097A86">
              <w:t>1</w:t>
            </w:r>
          </w:p>
        </w:tc>
      </w:tr>
      <w:tr w:rsidR="00F1362A" w:rsidRPr="00097A86" w14:paraId="043E28BC" w14:textId="77777777" w:rsidTr="00C20CC2">
        <w:tblPrEx>
          <w:jc w:val="center"/>
        </w:tblPrEx>
        <w:trPr>
          <w:gridAfter w:val="1"/>
          <w:wAfter w:w="37" w:type="pct"/>
          <w:jc w:val="center"/>
        </w:trPr>
        <w:tc>
          <w:tcPr>
            <w:tcW w:w="1390" w:type="pct"/>
            <w:gridSpan w:val="2"/>
          </w:tcPr>
          <w:p w14:paraId="5CD68E82"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5.2.5</w:t>
            </w:r>
          </w:p>
        </w:tc>
        <w:tc>
          <w:tcPr>
            <w:tcW w:w="3573" w:type="pct"/>
            <w:gridSpan w:val="2"/>
          </w:tcPr>
          <w:p w14:paraId="2E260943" w14:textId="77777777" w:rsidR="00F1362A" w:rsidRPr="00097A86" w:rsidRDefault="00F1362A" w:rsidP="00D22D3F">
            <w:pPr>
              <w:pStyle w:val="ENoteTableText"/>
            </w:pPr>
          </w:p>
        </w:tc>
      </w:tr>
      <w:tr w:rsidR="00F1362A" w:rsidRPr="00097A86" w14:paraId="00B01849" w14:textId="77777777" w:rsidTr="00C20CC2">
        <w:tblPrEx>
          <w:jc w:val="center"/>
        </w:tblPrEx>
        <w:trPr>
          <w:gridAfter w:val="1"/>
          <w:wAfter w:w="37" w:type="pct"/>
          <w:jc w:val="center"/>
        </w:trPr>
        <w:tc>
          <w:tcPr>
            <w:tcW w:w="1390" w:type="pct"/>
            <w:gridSpan w:val="2"/>
          </w:tcPr>
          <w:p w14:paraId="5FAD5C28" w14:textId="77777777" w:rsidR="00F1362A" w:rsidRPr="00097A86" w:rsidRDefault="00F1362A" w:rsidP="006D1F60">
            <w:pPr>
              <w:pStyle w:val="ENoteTableText"/>
              <w:tabs>
                <w:tab w:val="left" w:leader="dot" w:pos="2268"/>
              </w:tabs>
            </w:pPr>
            <w:r w:rsidRPr="00097A86">
              <w:t>s 5.19</w:t>
            </w:r>
            <w:r w:rsidRPr="00097A86">
              <w:tab/>
            </w:r>
          </w:p>
        </w:tc>
        <w:tc>
          <w:tcPr>
            <w:tcW w:w="3573" w:type="pct"/>
            <w:gridSpan w:val="2"/>
          </w:tcPr>
          <w:p w14:paraId="18B55CA6" w14:textId="77777777" w:rsidR="00F1362A" w:rsidRPr="00097A86" w:rsidRDefault="00F1362A" w:rsidP="00D22D3F">
            <w:pPr>
              <w:pStyle w:val="ENoteTableText"/>
            </w:pPr>
            <w:r w:rsidRPr="00097A86">
              <w:t>am 2012 No.</w:t>
            </w:r>
            <w:r>
              <w:t> </w:t>
            </w:r>
            <w:r w:rsidRPr="00097A86">
              <w:t>1</w:t>
            </w:r>
          </w:p>
        </w:tc>
      </w:tr>
      <w:tr w:rsidR="00F1362A" w:rsidRPr="00097A86" w14:paraId="41C3F85A" w14:textId="77777777" w:rsidTr="00C20CC2">
        <w:tblPrEx>
          <w:jc w:val="center"/>
        </w:tblPrEx>
        <w:trPr>
          <w:gridAfter w:val="1"/>
          <w:wAfter w:w="37" w:type="pct"/>
          <w:jc w:val="center"/>
        </w:trPr>
        <w:tc>
          <w:tcPr>
            <w:tcW w:w="1390" w:type="pct"/>
            <w:gridSpan w:val="2"/>
          </w:tcPr>
          <w:p w14:paraId="7EA06309" w14:textId="77777777" w:rsidR="00F1362A" w:rsidRPr="00097A86" w:rsidRDefault="00F1362A" w:rsidP="006D1F60">
            <w:pPr>
              <w:pStyle w:val="ENoteTableText"/>
              <w:tabs>
                <w:tab w:val="left" w:leader="dot" w:pos="2268"/>
              </w:tabs>
              <w:rPr>
                <w:b/>
              </w:rPr>
            </w:pPr>
            <w:r w:rsidRPr="00097A86">
              <w:rPr>
                <w:b/>
              </w:rPr>
              <w:t>Division</w:t>
            </w:r>
            <w:r>
              <w:rPr>
                <w:b/>
              </w:rPr>
              <w:t> </w:t>
            </w:r>
            <w:r w:rsidRPr="00097A86">
              <w:rPr>
                <w:b/>
              </w:rPr>
              <w:t>5.2.6</w:t>
            </w:r>
          </w:p>
        </w:tc>
        <w:tc>
          <w:tcPr>
            <w:tcW w:w="3573" w:type="pct"/>
            <w:gridSpan w:val="2"/>
          </w:tcPr>
          <w:p w14:paraId="6A044B27" w14:textId="77777777" w:rsidR="00F1362A" w:rsidRPr="00097A86" w:rsidRDefault="00F1362A" w:rsidP="00D22D3F">
            <w:pPr>
              <w:pStyle w:val="ENoteTableText"/>
            </w:pPr>
          </w:p>
        </w:tc>
      </w:tr>
      <w:tr w:rsidR="00F1362A" w:rsidRPr="00097A86" w14:paraId="33273483" w14:textId="77777777" w:rsidTr="00C20CC2">
        <w:tblPrEx>
          <w:jc w:val="center"/>
        </w:tblPrEx>
        <w:trPr>
          <w:gridAfter w:val="1"/>
          <w:wAfter w:w="37" w:type="pct"/>
          <w:jc w:val="center"/>
        </w:trPr>
        <w:tc>
          <w:tcPr>
            <w:tcW w:w="1390" w:type="pct"/>
            <w:gridSpan w:val="2"/>
          </w:tcPr>
          <w:p w14:paraId="161B5EBA" w14:textId="77777777" w:rsidR="00F1362A" w:rsidRPr="00097A86" w:rsidRDefault="00F1362A" w:rsidP="006D1F60">
            <w:pPr>
              <w:pStyle w:val="ENoteTableText"/>
              <w:tabs>
                <w:tab w:val="left" w:leader="dot" w:pos="2268"/>
              </w:tabs>
            </w:pPr>
            <w:r w:rsidRPr="00097A86">
              <w:lastRenderedPageBreak/>
              <w:t>s 5.22</w:t>
            </w:r>
            <w:r w:rsidRPr="00097A86">
              <w:tab/>
            </w:r>
          </w:p>
        </w:tc>
        <w:tc>
          <w:tcPr>
            <w:tcW w:w="3573" w:type="pct"/>
            <w:gridSpan w:val="2"/>
          </w:tcPr>
          <w:p w14:paraId="330DCABB" w14:textId="77777777" w:rsidR="00F1362A" w:rsidRPr="00097A86" w:rsidRDefault="00F1362A" w:rsidP="00D22D3F">
            <w:pPr>
              <w:pStyle w:val="ENoteTableText"/>
            </w:pPr>
            <w:r w:rsidRPr="00097A86">
              <w:t>rs 2013 No.</w:t>
            </w:r>
            <w:r>
              <w:t> </w:t>
            </w:r>
            <w:r w:rsidRPr="00097A86">
              <w:t>1</w:t>
            </w:r>
          </w:p>
        </w:tc>
      </w:tr>
      <w:tr w:rsidR="00F1362A" w:rsidRPr="00097A86" w14:paraId="37C2C095" w14:textId="77777777" w:rsidTr="00C20CC2">
        <w:tblPrEx>
          <w:jc w:val="center"/>
        </w:tblPrEx>
        <w:trPr>
          <w:gridAfter w:val="1"/>
          <w:wAfter w:w="37" w:type="pct"/>
          <w:jc w:val="center"/>
        </w:trPr>
        <w:tc>
          <w:tcPr>
            <w:tcW w:w="1390" w:type="pct"/>
            <w:gridSpan w:val="2"/>
          </w:tcPr>
          <w:p w14:paraId="0216517F" w14:textId="77777777" w:rsidR="00F1362A" w:rsidRPr="00097A86" w:rsidRDefault="00F1362A" w:rsidP="006D1F60">
            <w:pPr>
              <w:pStyle w:val="ENoteTableText"/>
              <w:tabs>
                <w:tab w:val="left" w:leader="dot" w:pos="2268"/>
              </w:tabs>
            </w:pPr>
          </w:p>
        </w:tc>
        <w:tc>
          <w:tcPr>
            <w:tcW w:w="3573" w:type="pct"/>
            <w:gridSpan w:val="2"/>
          </w:tcPr>
          <w:p w14:paraId="2D4128B0" w14:textId="77777777" w:rsidR="00F1362A" w:rsidRPr="00097A86" w:rsidRDefault="00F1362A" w:rsidP="00D22D3F">
            <w:pPr>
              <w:pStyle w:val="ENoteTableText"/>
            </w:pPr>
            <w:r w:rsidRPr="00097A86">
              <w:t>am 2015 No 1; 2015 No 2</w:t>
            </w:r>
          </w:p>
        </w:tc>
      </w:tr>
      <w:tr w:rsidR="00F1362A" w:rsidRPr="00097A86" w14:paraId="290F75AE" w14:textId="77777777" w:rsidTr="00C20CC2">
        <w:tblPrEx>
          <w:jc w:val="center"/>
        </w:tblPrEx>
        <w:trPr>
          <w:gridAfter w:val="1"/>
          <w:wAfter w:w="37" w:type="pct"/>
          <w:jc w:val="center"/>
        </w:trPr>
        <w:tc>
          <w:tcPr>
            <w:tcW w:w="1390" w:type="pct"/>
            <w:gridSpan w:val="2"/>
          </w:tcPr>
          <w:p w14:paraId="4562DA09" w14:textId="77777777" w:rsidR="00F1362A" w:rsidRPr="00097A86" w:rsidRDefault="00F1362A" w:rsidP="006D1F60">
            <w:pPr>
              <w:pStyle w:val="ENoteTableText"/>
              <w:tabs>
                <w:tab w:val="left" w:leader="dot" w:pos="2268"/>
              </w:tabs>
            </w:pPr>
            <w:r w:rsidRPr="00097A86">
              <w:t>s 5.22AA</w:t>
            </w:r>
            <w:r w:rsidRPr="00097A86">
              <w:tab/>
            </w:r>
          </w:p>
        </w:tc>
        <w:tc>
          <w:tcPr>
            <w:tcW w:w="3573" w:type="pct"/>
            <w:gridSpan w:val="2"/>
          </w:tcPr>
          <w:p w14:paraId="7C53772A" w14:textId="77777777" w:rsidR="00F1362A" w:rsidRPr="00097A86" w:rsidRDefault="00F1362A" w:rsidP="00D22D3F">
            <w:pPr>
              <w:pStyle w:val="ENoteTableText"/>
            </w:pPr>
            <w:r w:rsidRPr="00097A86">
              <w:t>ad 2013 No.</w:t>
            </w:r>
            <w:r>
              <w:t> </w:t>
            </w:r>
            <w:r w:rsidRPr="00097A86">
              <w:t>1</w:t>
            </w:r>
          </w:p>
        </w:tc>
      </w:tr>
      <w:tr w:rsidR="00F1362A" w:rsidRPr="00097A86" w14:paraId="2B494861" w14:textId="77777777" w:rsidTr="00C20CC2">
        <w:tblPrEx>
          <w:jc w:val="center"/>
        </w:tblPrEx>
        <w:trPr>
          <w:gridAfter w:val="1"/>
          <w:wAfter w:w="37" w:type="pct"/>
          <w:jc w:val="center"/>
        </w:trPr>
        <w:tc>
          <w:tcPr>
            <w:tcW w:w="1390" w:type="pct"/>
            <w:gridSpan w:val="2"/>
          </w:tcPr>
          <w:p w14:paraId="51224B95" w14:textId="77777777" w:rsidR="00F1362A" w:rsidRPr="00097A86" w:rsidRDefault="00F1362A" w:rsidP="006D1F60">
            <w:pPr>
              <w:pStyle w:val="ENoteTableText"/>
              <w:tabs>
                <w:tab w:val="left" w:leader="dot" w:pos="2268"/>
              </w:tabs>
            </w:pPr>
          </w:p>
        </w:tc>
        <w:tc>
          <w:tcPr>
            <w:tcW w:w="3573" w:type="pct"/>
            <w:gridSpan w:val="2"/>
          </w:tcPr>
          <w:p w14:paraId="2BBA75E3" w14:textId="77777777" w:rsidR="00F1362A" w:rsidRPr="00097A86" w:rsidRDefault="00F1362A" w:rsidP="00D22D3F">
            <w:pPr>
              <w:pStyle w:val="ENoteTableText"/>
            </w:pPr>
            <w:r w:rsidRPr="00097A86">
              <w:t>am 2015 No 2</w:t>
            </w:r>
          </w:p>
        </w:tc>
      </w:tr>
      <w:tr w:rsidR="00F1362A" w:rsidRPr="00097A86" w14:paraId="45232A14" w14:textId="77777777" w:rsidTr="00C20CC2">
        <w:tblPrEx>
          <w:jc w:val="center"/>
        </w:tblPrEx>
        <w:trPr>
          <w:gridAfter w:val="1"/>
          <w:wAfter w:w="37" w:type="pct"/>
          <w:jc w:val="center"/>
        </w:trPr>
        <w:tc>
          <w:tcPr>
            <w:tcW w:w="1390" w:type="pct"/>
            <w:gridSpan w:val="2"/>
          </w:tcPr>
          <w:p w14:paraId="356A6C95" w14:textId="77777777" w:rsidR="00F1362A" w:rsidRPr="00097A86" w:rsidRDefault="00F1362A" w:rsidP="007A5DE9">
            <w:pPr>
              <w:pStyle w:val="ENoteTableText"/>
              <w:tabs>
                <w:tab w:val="left" w:leader="dot" w:pos="2268"/>
              </w:tabs>
            </w:pPr>
            <w:r w:rsidRPr="00097A86">
              <w:t>Division</w:t>
            </w:r>
            <w:r>
              <w:t> </w:t>
            </w:r>
            <w:r w:rsidRPr="00097A86">
              <w:t>5.2.7</w:t>
            </w:r>
            <w:r w:rsidRPr="00097A86">
              <w:tab/>
            </w:r>
          </w:p>
        </w:tc>
        <w:tc>
          <w:tcPr>
            <w:tcW w:w="3573" w:type="pct"/>
            <w:gridSpan w:val="2"/>
          </w:tcPr>
          <w:p w14:paraId="4ED46493" w14:textId="77777777" w:rsidR="00F1362A" w:rsidRPr="00097A86" w:rsidRDefault="00F1362A" w:rsidP="00D22D3F">
            <w:pPr>
              <w:pStyle w:val="ENoteTableText"/>
            </w:pPr>
            <w:r w:rsidRPr="00097A86">
              <w:t>ad 2012 No.</w:t>
            </w:r>
            <w:r>
              <w:t> </w:t>
            </w:r>
            <w:r w:rsidRPr="00097A86">
              <w:t>1</w:t>
            </w:r>
          </w:p>
        </w:tc>
      </w:tr>
      <w:tr w:rsidR="00F1362A" w:rsidRPr="00097A86" w14:paraId="1025079A" w14:textId="77777777" w:rsidTr="00C20CC2">
        <w:tblPrEx>
          <w:jc w:val="center"/>
        </w:tblPrEx>
        <w:trPr>
          <w:gridAfter w:val="1"/>
          <w:wAfter w:w="37" w:type="pct"/>
          <w:jc w:val="center"/>
        </w:trPr>
        <w:tc>
          <w:tcPr>
            <w:tcW w:w="1390" w:type="pct"/>
            <w:gridSpan w:val="2"/>
          </w:tcPr>
          <w:p w14:paraId="71121076" w14:textId="77777777" w:rsidR="00F1362A" w:rsidRPr="00097A86" w:rsidRDefault="00F1362A" w:rsidP="007A5DE9">
            <w:pPr>
              <w:pStyle w:val="ENoteTableText"/>
              <w:tabs>
                <w:tab w:val="left" w:leader="dot" w:pos="2268"/>
              </w:tabs>
            </w:pPr>
          </w:p>
        </w:tc>
        <w:tc>
          <w:tcPr>
            <w:tcW w:w="3573" w:type="pct"/>
            <w:gridSpan w:val="2"/>
          </w:tcPr>
          <w:p w14:paraId="5D0E7ED8" w14:textId="77777777" w:rsidR="00F1362A" w:rsidRPr="00097A86" w:rsidRDefault="00F1362A" w:rsidP="00D22D3F">
            <w:pPr>
              <w:pStyle w:val="ENoteTableText"/>
            </w:pPr>
            <w:r w:rsidRPr="00097A86">
              <w:t>rep 2015 No 1</w:t>
            </w:r>
          </w:p>
        </w:tc>
      </w:tr>
      <w:tr w:rsidR="00F1362A" w:rsidRPr="00097A86" w14:paraId="75A7C45C" w14:textId="77777777" w:rsidTr="00C20CC2">
        <w:tblPrEx>
          <w:jc w:val="center"/>
        </w:tblPrEx>
        <w:trPr>
          <w:gridAfter w:val="1"/>
          <w:wAfter w:w="37" w:type="pct"/>
          <w:jc w:val="center"/>
        </w:trPr>
        <w:tc>
          <w:tcPr>
            <w:tcW w:w="1390" w:type="pct"/>
            <w:gridSpan w:val="2"/>
          </w:tcPr>
          <w:p w14:paraId="77A15E55" w14:textId="77777777" w:rsidR="00F1362A" w:rsidRPr="00097A86" w:rsidRDefault="00F1362A" w:rsidP="006D1F60">
            <w:pPr>
              <w:pStyle w:val="ENoteTableText"/>
              <w:tabs>
                <w:tab w:val="left" w:leader="dot" w:pos="2268"/>
              </w:tabs>
            </w:pPr>
            <w:r w:rsidRPr="00097A86">
              <w:t>s 5.22A</w:t>
            </w:r>
            <w:r w:rsidRPr="00097A86">
              <w:tab/>
            </w:r>
          </w:p>
        </w:tc>
        <w:tc>
          <w:tcPr>
            <w:tcW w:w="3573" w:type="pct"/>
            <w:gridSpan w:val="2"/>
          </w:tcPr>
          <w:p w14:paraId="04ACD659" w14:textId="77777777" w:rsidR="00F1362A" w:rsidRPr="00097A86" w:rsidRDefault="00F1362A" w:rsidP="00D22D3F">
            <w:pPr>
              <w:pStyle w:val="ENoteTableText"/>
            </w:pPr>
            <w:r w:rsidRPr="00097A86">
              <w:t>ad 2012 No.</w:t>
            </w:r>
            <w:r>
              <w:t> </w:t>
            </w:r>
            <w:r w:rsidRPr="00097A86">
              <w:t>1</w:t>
            </w:r>
          </w:p>
        </w:tc>
      </w:tr>
      <w:tr w:rsidR="00F1362A" w:rsidRPr="00097A86" w14:paraId="02747152" w14:textId="77777777" w:rsidTr="00C20CC2">
        <w:tblPrEx>
          <w:jc w:val="center"/>
        </w:tblPrEx>
        <w:trPr>
          <w:gridAfter w:val="1"/>
          <w:wAfter w:w="37" w:type="pct"/>
          <w:jc w:val="center"/>
        </w:trPr>
        <w:tc>
          <w:tcPr>
            <w:tcW w:w="1390" w:type="pct"/>
            <w:gridSpan w:val="2"/>
          </w:tcPr>
          <w:p w14:paraId="4024E7D2" w14:textId="77777777" w:rsidR="00F1362A" w:rsidRPr="00097A86" w:rsidRDefault="00F1362A" w:rsidP="00DF7928">
            <w:pPr>
              <w:pStyle w:val="ENoteTableText"/>
              <w:tabs>
                <w:tab w:val="left" w:leader="dot" w:pos="2268"/>
              </w:tabs>
            </w:pPr>
          </w:p>
        </w:tc>
        <w:tc>
          <w:tcPr>
            <w:tcW w:w="3573" w:type="pct"/>
            <w:gridSpan w:val="2"/>
          </w:tcPr>
          <w:p w14:paraId="62DE3A6E" w14:textId="77777777" w:rsidR="00F1362A" w:rsidRPr="00097A86" w:rsidRDefault="00F1362A" w:rsidP="00DF7928">
            <w:pPr>
              <w:pStyle w:val="ENoteTableText"/>
            </w:pPr>
            <w:r w:rsidRPr="00097A86">
              <w:t>rep 2015 No 1</w:t>
            </w:r>
          </w:p>
        </w:tc>
      </w:tr>
      <w:tr w:rsidR="00F1362A" w:rsidRPr="00097A86" w14:paraId="205E4B5C" w14:textId="77777777" w:rsidTr="00C20CC2">
        <w:tblPrEx>
          <w:jc w:val="center"/>
        </w:tblPrEx>
        <w:trPr>
          <w:gridAfter w:val="1"/>
          <w:wAfter w:w="37" w:type="pct"/>
          <w:jc w:val="center"/>
        </w:trPr>
        <w:tc>
          <w:tcPr>
            <w:tcW w:w="1390" w:type="pct"/>
            <w:gridSpan w:val="2"/>
          </w:tcPr>
          <w:p w14:paraId="482C04B8" w14:textId="77777777" w:rsidR="00F1362A" w:rsidRPr="00097A86" w:rsidRDefault="00F1362A" w:rsidP="006D1F60">
            <w:pPr>
              <w:pStyle w:val="ENoteTableText"/>
              <w:tabs>
                <w:tab w:val="left" w:leader="dot" w:pos="2268"/>
              </w:tabs>
            </w:pPr>
            <w:r w:rsidRPr="00097A86">
              <w:t>s 5.22B</w:t>
            </w:r>
            <w:r w:rsidRPr="00097A86">
              <w:tab/>
            </w:r>
          </w:p>
        </w:tc>
        <w:tc>
          <w:tcPr>
            <w:tcW w:w="3573" w:type="pct"/>
            <w:gridSpan w:val="2"/>
          </w:tcPr>
          <w:p w14:paraId="5BBDEDF2" w14:textId="77777777" w:rsidR="00F1362A" w:rsidRPr="00097A86" w:rsidRDefault="00F1362A" w:rsidP="00D22D3F">
            <w:pPr>
              <w:pStyle w:val="ENoteTableText"/>
            </w:pPr>
            <w:r w:rsidRPr="00097A86">
              <w:t>ad 2012 No.</w:t>
            </w:r>
            <w:r>
              <w:t> </w:t>
            </w:r>
            <w:r w:rsidRPr="00097A86">
              <w:t>1</w:t>
            </w:r>
          </w:p>
        </w:tc>
      </w:tr>
      <w:tr w:rsidR="00F1362A" w:rsidRPr="00097A86" w14:paraId="4AD83D21" w14:textId="77777777" w:rsidTr="00C20CC2">
        <w:tblPrEx>
          <w:jc w:val="center"/>
        </w:tblPrEx>
        <w:trPr>
          <w:gridAfter w:val="1"/>
          <w:wAfter w:w="37" w:type="pct"/>
          <w:jc w:val="center"/>
        </w:trPr>
        <w:tc>
          <w:tcPr>
            <w:tcW w:w="1390" w:type="pct"/>
            <w:gridSpan w:val="2"/>
          </w:tcPr>
          <w:p w14:paraId="5C7DD838" w14:textId="77777777" w:rsidR="00F1362A" w:rsidRPr="00097A86" w:rsidRDefault="00F1362A" w:rsidP="00DF7928">
            <w:pPr>
              <w:pStyle w:val="ENoteTableText"/>
              <w:tabs>
                <w:tab w:val="left" w:leader="dot" w:pos="2268"/>
              </w:tabs>
            </w:pPr>
          </w:p>
        </w:tc>
        <w:tc>
          <w:tcPr>
            <w:tcW w:w="3573" w:type="pct"/>
            <w:gridSpan w:val="2"/>
          </w:tcPr>
          <w:p w14:paraId="62DCC757" w14:textId="77777777" w:rsidR="00F1362A" w:rsidRPr="00097A86" w:rsidRDefault="00F1362A" w:rsidP="00DF7928">
            <w:pPr>
              <w:pStyle w:val="ENoteTableText"/>
            </w:pPr>
            <w:r w:rsidRPr="00097A86">
              <w:t>rep 2015 No 1</w:t>
            </w:r>
          </w:p>
        </w:tc>
      </w:tr>
      <w:tr w:rsidR="00F1362A" w:rsidRPr="00097A86" w14:paraId="57129B91" w14:textId="77777777" w:rsidTr="00C20CC2">
        <w:tblPrEx>
          <w:jc w:val="center"/>
        </w:tblPrEx>
        <w:trPr>
          <w:gridAfter w:val="1"/>
          <w:wAfter w:w="37" w:type="pct"/>
          <w:jc w:val="center"/>
        </w:trPr>
        <w:tc>
          <w:tcPr>
            <w:tcW w:w="1390" w:type="pct"/>
            <w:gridSpan w:val="2"/>
          </w:tcPr>
          <w:p w14:paraId="64AE03BC" w14:textId="77777777" w:rsidR="00F1362A" w:rsidRPr="00097A86" w:rsidRDefault="00F1362A" w:rsidP="006D1F60">
            <w:pPr>
              <w:pStyle w:val="ENoteTableText"/>
              <w:tabs>
                <w:tab w:val="left" w:leader="dot" w:pos="2268"/>
              </w:tabs>
            </w:pPr>
            <w:r w:rsidRPr="00097A86">
              <w:t>s 5.22C</w:t>
            </w:r>
            <w:r w:rsidRPr="00097A86">
              <w:tab/>
            </w:r>
          </w:p>
        </w:tc>
        <w:tc>
          <w:tcPr>
            <w:tcW w:w="3573" w:type="pct"/>
            <w:gridSpan w:val="2"/>
          </w:tcPr>
          <w:p w14:paraId="02D240F5" w14:textId="77777777" w:rsidR="00F1362A" w:rsidRPr="00097A86" w:rsidRDefault="00F1362A" w:rsidP="00D22D3F">
            <w:pPr>
              <w:pStyle w:val="ENoteTableText"/>
            </w:pPr>
            <w:r w:rsidRPr="00097A86">
              <w:t>ad 2012 No.</w:t>
            </w:r>
            <w:r>
              <w:t> </w:t>
            </w:r>
            <w:r w:rsidRPr="00097A86">
              <w:t>1</w:t>
            </w:r>
          </w:p>
        </w:tc>
      </w:tr>
      <w:tr w:rsidR="00F1362A" w:rsidRPr="00097A86" w14:paraId="593BC806" w14:textId="77777777" w:rsidTr="00C20CC2">
        <w:tblPrEx>
          <w:jc w:val="center"/>
        </w:tblPrEx>
        <w:trPr>
          <w:gridAfter w:val="1"/>
          <w:wAfter w:w="37" w:type="pct"/>
          <w:jc w:val="center"/>
        </w:trPr>
        <w:tc>
          <w:tcPr>
            <w:tcW w:w="1390" w:type="pct"/>
            <w:gridSpan w:val="2"/>
          </w:tcPr>
          <w:p w14:paraId="7FE6FC17" w14:textId="77777777" w:rsidR="00F1362A" w:rsidRPr="00097A86" w:rsidRDefault="00F1362A" w:rsidP="00DF7928">
            <w:pPr>
              <w:pStyle w:val="ENoteTableText"/>
              <w:tabs>
                <w:tab w:val="left" w:leader="dot" w:pos="2268"/>
              </w:tabs>
            </w:pPr>
          </w:p>
        </w:tc>
        <w:tc>
          <w:tcPr>
            <w:tcW w:w="3573" w:type="pct"/>
            <w:gridSpan w:val="2"/>
          </w:tcPr>
          <w:p w14:paraId="5B61FD35" w14:textId="77777777" w:rsidR="00F1362A" w:rsidRPr="00097A86" w:rsidRDefault="00F1362A" w:rsidP="00DF7928">
            <w:pPr>
              <w:pStyle w:val="ENoteTableText"/>
            </w:pPr>
            <w:r w:rsidRPr="00097A86">
              <w:t>rep 2015 No 1</w:t>
            </w:r>
          </w:p>
        </w:tc>
      </w:tr>
      <w:tr w:rsidR="00F1362A" w:rsidRPr="00097A86" w14:paraId="361DD601" w14:textId="77777777" w:rsidTr="00C20CC2">
        <w:tblPrEx>
          <w:jc w:val="center"/>
        </w:tblPrEx>
        <w:trPr>
          <w:gridAfter w:val="1"/>
          <w:wAfter w:w="37" w:type="pct"/>
          <w:jc w:val="center"/>
        </w:trPr>
        <w:tc>
          <w:tcPr>
            <w:tcW w:w="1390" w:type="pct"/>
            <w:gridSpan w:val="2"/>
          </w:tcPr>
          <w:p w14:paraId="65756BFD" w14:textId="77777777" w:rsidR="00F1362A" w:rsidRPr="00097A86" w:rsidRDefault="00F1362A" w:rsidP="006D1F60">
            <w:pPr>
              <w:pStyle w:val="ENoteTableText"/>
              <w:tabs>
                <w:tab w:val="left" w:leader="dot" w:pos="2268"/>
              </w:tabs>
            </w:pPr>
            <w:r w:rsidRPr="00097A86">
              <w:t>s 5.22D</w:t>
            </w:r>
            <w:r w:rsidRPr="00097A86">
              <w:tab/>
            </w:r>
          </w:p>
        </w:tc>
        <w:tc>
          <w:tcPr>
            <w:tcW w:w="3573" w:type="pct"/>
            <w:gridSpan w:val="2"/>
          </w:tcPr>
          <w:p w14:paraId="64BCB2A2" w14:textId="77777777" w:rsidR="00F1362A" w:rsidRPr="00097A86" w:rsidRDefault="00F1362A" w:rsidP="00D22D3F">
            <w:pPr>
              <w:pStyle w:val="ENoteTableText"/>
            </w:pPr>
            <w:r w:rsidRPr="00097A86">
              <w:t>ad 2012 No.</w:t>
            </w:r>
            <w:r>
              <w:t> </w:t>
            </w:r>
            <w:r w:rsidRPr="00097A86">
              <w:t>1</w:t>
            </w:r>
          </w:p>
        </w:tc>
      </w:tr>
      <w:tr w:rsidR="00F1362A" w:rsidRPr="00097A86" w14:paraId="7902C7AC" w14:textId="77777777" w:rsidTr="00C20CC2">
        <w:tblPrEx>
          <w:jc w:val="center"/>
        </w:tblPrEx>
        <w:trPr>
          <w:gridAfter w:val="1"/>
          <w:wAfter w:w="37" w:type="pct"/>
          <w:jc w:val="center"/>
        </w:trPr>
        <w:tc>
          <w:tcPr>
            <w:tcW w:w="1390" w:type="pct"/>
            <w:gridSpan w:val="2"/>
          </w:tcPr>
          <w:p w14:paraId="31A7C672" w14:textId="77777777" w:rsidR="00F1362A" w:rsidRPr="00097A86" w:rsidRDefault="00F1362A" w:rsidP="00DF7928">
            <w:pPr>
              <w:pStyle w:val="ENoteTableText"/>
              <w:tabs>
                <w:tab w:val="left" w:leader="dot" w:pos="2268"/>
              </w:tabs>
            </w:pPr>
          </w:p>
        </w:tc>
        <w:tc>
          <w:tcPr>
            <w:tcW w:w="3573" w:type="pct"/>
            <w:gridSpan w:val="2"/>
          </w:tcPr>
          <w:p w14:paraId="0C74D457" w14:textId="77777777" w:rsidR="00F1362A" w:rsidRPr="00097A86" w:rsidRDefault="00F1362A" w:rsidP="00DF7928">
            <w:pPr>
              <w:pStyle w:val="ENoteTableText"/>
            </w:pPr>
            <w:r w:rsidRPr="00097A86">
              <w:t>rep 2015 No 1</w:t>
            </w:r>
          </w:p>
        </w:tc>
      </w:tr>
      <w:tr w:rsidR="00F1362A" w:rsidRPr="00097A86" w14:paraId="1CA3BAAC" w14:textId="77777777" w:rsidTr="00C20CC2">
        <w:tblPrEx>
          <w:jc w:val="center"/>
        </w:tblPrEx>
        <w:trPr>
          <w:gridAfter w:val="1"/>
          <w:wAfter w:w="37" w:type="pct"/>
          <w:jc w:val="center"/>
        </w:trPr>
        <w:tc>
          <w:tcPr>
            <w:tcW w:w="1390" w:type="pct"/>
            <w:gridSpan w:val="2"/>
          </w:tcPr>
          <w:p w14:paraId="7AB308EB" w14:textId="77777777" w:rsidR="00F1362A" w:rsidRPr="00097A86" w:rsidRDefault="00F1362A" w:rsidP="006D1F60">
            <w:pPr>
              <w:pStyle w:val="ENoteTableText"/>
              <w:tabs>
                <w:tab w:val="left" w:leader="dot" w:pos="2268"/>
              </w:tabs>
            </w:pPr>
            <w:r w:rsidRPr="00097A86">
              <w:t>s 5.22E</w:t>
            </w:r>
            <w:r w:rsidRPr="00097A86">
              <w:tab/>
            </w:r>
          </w:p>
        </w:tc>
        <w:tc>
          <w:tcPr>
            <w:tcW w:w="3573" w:type="pct"/>
            <w:gridSpan w:val="2"/>
          </w:tcPr>
          <w:p w14:paraId="416A0DE4" w14:textId="77777777" w:rsidR="00F1362A" w:rsidRPr="00097A86" w:rsidRDefault="00F1362A" w:rsidP="00D22D3F">
            <w:pPr>
              <w:pStyle w:val="ENoteTableText"/>
            </w:pPr>
            <w:r w:rsidRPr="00097A86">
              <w:t>ad 2012 No.</w:t>
            </w:r>
            <w:r>
              <w:t> </w:t>
            </w:r>
            <w:r w:rsidRPr="00097A86">
              <w:t>1</w:t>
            </w:r>
          </w:p>
        </w:tc>
      </w:tr>
      <w:tr w:rsidR="00F1362A" w:rsidRPr="00097A86" w14:paraId="2591FFD5" w14:textId="77777777" w:rsidTr="00C20CC2">
        <w:tblPrEx>
          <w:jc w:val="center"/>
        </w:tblPrEx>
        <w:trPr>
          <w:gridAfter w:val="1"/>
          <w:wAfter w:w="37" w:type="pct"/>
          <w:jc w:val="center"/>
        </w:trPr>
        <w:tc>
          <w:tcPr>
            <w:tcW w:w="1390" w:type="pct"/>
            <w:gridSpan w:val="2"/>
          </w:tcPr>
          <w:p w14:paraId="503D1FF7" w14:textId="77777777" w:rsidR="00F1362A" w:rsidRPr="00097A86" w:rsidRDefault="00F1362A" w:rsidP="00DF7928">
            <w:pPr>
              <w:pStyle w:val="ENoteTableText"/>
              <w:tabs>
                <w:tab w:val="left" w:leader="dot" w:pos="2268"/>
              </w:tabs>
            </w:pPr>
          </w:p>
        </w:tc>
        <w:tc>
          <w:tcPr>
            <w:tcW w:w="3573" w:type="pct"/>
            <w:gridSpan w:val="2"/>
          </w:tcPr>
          <w:p w14:paraId="54002B82" w14:textId="77777777" w:rsidR="00F1362A" w:rsidRPr="00097A86" w:rsidRDefault="00F1362A" w:rsidP="00DF7928">
            <w:pPr>
              <w:pStyle w:val="ENoteTableText"/>
            </w:pPr>
            <w:r w:rsidRPr="00097A86">
              <w:t>rep 2015 No 1</w:t>
            </w:r>
          </w:p>
        </w:tc>
      </w:tr>
      <w:tr w:rsidR="00F1362A" w:rsidRPr="00097A86" w14:paraId="148477EB" w14:textId="77777777" w:rsidTr="00C20CC2">
        <w:tblPrEx>
          <w:jc w:val="center"/>
        </w:tblPrEx>
        <w:trPr>
          <w:gridAfter w:val="1"/>
          <w:wAfter w:w="37" w:type="pct"/>
          <w:jc w:val="center"/>
        </w:trPr>
        <w:tc>
          <w:tcPr>
            <w:tcW w:w="1390" w:type="pct"/>
            <w:gridSpan w:val="2"/>
          </w:tcPr>
          <w:p w14:paraId="6D104D8B" w14:textId="77777777" w:rsidR="00F1362A" w:rsidRPr="00097A86" w:rsidRDefault="00F1362A" w:rsidP="006D1F60">
            <w:pPr>
              <w:pStyle w:val="ENoteTableText"/>
              <w:tabs>
                <w:tab w:val="left" w:leader="dot" w:pos="2268"/>
              </w:tabs>
            </w:pPr>
            <w:r w:rsidRPr="00097A86">
              <w:t>s 5.22F</w:t>
            </w:r>
            <w:r w:rsidRPr="00097A86">
              <w:tab/>
            </w:r>
          </w:p>
        </w:tc>
        <w:tc>
          <w:tcPr>
            <w:tcW w:w="3573" w:type="pct"/>
            <w:gridSpan w:val="2"/>
          </w:tcPr>
          <w:p w14:paraId="257BAC0F" w14:textId="77777777" w:rsidR="00F1362A" w:rsidRPr="00097A86" w:rsidRDefault="00F1362A" w:rsidP="00D22D3F">
            <w:pPr>
              <w:pStyle w:val="ENoteTableText"/>
            </w:pPr>
            <w:r w:rsidRPr="00097A86">
              <w:t>ad 2012 No.</w:t>
            </w:r>
            <w:r>
              <w:t> </w:t>
            </w:r>
            <w:r w:rsidRPr="00097A86">
              <w:t>1</w:t>
            </w:r>
          </w:p>
        </w:tc>
      </w:tr>
      <w:tr w:rsidR="00F1362A" w:rsidRPr="00097A86" w14:paraId="48892690" w14:textId="77777777" w:rsidTr="00C20CC2">
        <w:tblPrEx>
          <w:jc w:val="center"/>
        </w:tblPrEx>
        <w:trPr>
          <w:gridAfter w:val="1"/>
          <w:wAfter w:w="37" w:type="pct"/>
          <w:jc w:val="center"/>
        </w:trPr>
        <w:tc>
          <w:tcPr>
            <w:tcW w:w="1390" w:type="pct"/>
            <w:gridSpan w:val="2"/>
          </w:tcPr>
          <w:p w14:paraId="38F93C40" w14:textId="77777777" w:rsidR="00F1362A" w:rsidRPr="00097A86" w:rsidRDefault="00F1362A" w:rsidP="00DF7928">
            <w:pPr>
              <w:pStyle w:val="ENoteTableText"/>
              <w:tabs>
                <w:tab w:val="left" w:leader="dot" w:pos="2268"/>
              </w:tabs>
            </w:pPr>
          </w:p>
        </w:tc>
        <w:tc>
          <w:tcPr>
            <w:tcW w:w="3573" w:type="pct"/>
            <w:gridSpan w:val="2"/>
          </w:tcPr>
          <w:p w14:paraId="4C8940D6" w14:textId="77777777" w:rsidR="00F1362A" w:rsidRPr="00097A86" w:rsidRDefault="00F1362A" w:rsidP="00DF7928">
            <w:pPr>
              <w:pStyle w:val="ENoteTableText"/>
            </w:pPr>
            <w:r w:rsidRPr="00097A86">
              <w:t>rep 2015 No 1</w:t>
            </w:r>
          </w:p>
        </w:tc>
      </w:tr>
      <w:tr w:rsidR="00F1362A" w:rsidRPr="00097A86" w14:paraId="75BD7FEC" w14:textId="77777777" w:rsidTr="00C20CC2">
        <w:tblPrEx>
          <w:jc w:val="center"/>
        </w:tblPrEx>
        <w:trPr>
          <w:gridAfter w:val="1"/>
          <w:wAfter w:w="37" w:type="pct"/>
          <w:jc w:val="center"/>
        </w:trPr>
        <w:tc>
          <w:tcPr>
            <w:tcW w:w="1390" w:type="pct"/>
            <w:gridSpan w:val="2"/>
          </w:tcPr>
          <w:p w14:paraId="50992D77" w14:textId="77777777" w:rsidR="00F1362A" w:rsidRPr="00097A86" w:rsidRDefault="00F1362A" w:rsidP="006D1F60">
            <w:pPr>
              <w:pStyle w:val="ENoteTableText"/>
              <w:tabs>
                <w:tab w:val="left" w:leader="dot" w:pos="2268"/>
              </w:tabs>
            </w:pPr>
            <w:r w:rsidRPr="00097A86">
              <w:t>s 5.22G</w:t>
            </w:r>
            <w:r w:rsidRPr="00097A86">
              <w:tab/>
            </w:r>
          </w:p>
        </w:tc>
        <w:tc>
          <w:tcPr>
            <w:tcW w:w="3573" w:type="pct"/>
            <w:gridSpan w:val="2"/>
          </w:tcPr>
          <w:p w14:paraId="1F720F31" w14:textId="77777777" w:rsidR="00F1362A" w:rsidRPr="00097A86" w:rsidRDefault="00F1362A" w:rsidP="00D22D3F">
            <w:pPr>
              <w:pStyle w:val="ENoteTableText"/>
            </w:pPr>
            <w:r w:rsidRPr="00097A86">
              <w:t>ad 2012 No.</w:t>
            </w:r>
            <w:r>
              <w:t> </w:t>
            </w:r>
            <w:r w:rsidRPr="00097A86">
              <w:t>1</w:t>
            </w:r>
          </w:p>
        </w:tc>
      </w:tr>
      <w:tr w:rsidR="00F1362A" w:rsidRPr="00097A86" w14:paraId="5E9C0F73" w14:textId="77777777" w:rsidTr="00C20CC2">
        <w:tblPrEx>
          <w:jc w:val="center"/>
        </w:tblPrEx>
        <w:trPr>
          <w:gridAfter w:val="1"/>
          <w:wAfter w:w="37" w:type="pct"/>
          <w:jc w:val="center"/>
        </w:trPr>
        <w:tc>
          <w:tcPr>
            <w:tcW w:w="1390" w:type="pct"/>
            <w:gridSpan w:val="2"/>
          </w:tcPr>
          <w:p w14:paraId="01E178A0" w14:textId="77777777" w:rsidR="00F1362A" w:rsidRPr="00097A86" w:rsidRDefault="00F1362A" w:rsidP="00DF7928">
            <w:pPr>
              <w:pStyle w:val="ENoteTableText"/>
              <w:tabs>
                <w:tab w:val="left" w:leader="dot" w:pos="2268"/>
              </w:tabs>
            </w:pPr>
          </w:p>
        </w:tc>
        <w:tc>
          <w:tcPr>
            <w:tcW w:w="3573" w:type="pct"/>
            <w:gridSpan w:val="2"/>
          </w:tcPr>
          <w:p w14:paraId="41DD3737" w14:textId="77777777" w:rsidR="00F1362A" w:rsidRPr="00097A86" w:rsidRDefault="00F1362A" w:rsidP="00DF7928">
            <w:pPr>
              <w:pStyle w:val="ENoteTableText"/>
            </w:pPr>
            <w:r w:rsidRPr="00097A86">
              <w:t>rep 2015 No 1</w:t>
            </w:r>
          </w:p>
        </w:tc>
      </w:tr>
      <w:tr w:rsidR="00F1362A" w:rsidRPr="00097A86" w14:paraId="230A8D03" w14:textId="77777777" w:rsidTr="00C20CC2">
        <w:tblPrEx>
          <w:jc w:val="center"/>
        </w:tblPrEx>
        <w:trPr>
          <w:gridAfter w:val="1"/>
          <w:wAfter w:w="37" w:type="pct"/>
          <w:jc w:val="center"/>
        </w:trPr>
        <w:tc>
          <w:tcPr>
            <w:tcW w:w="1390" w:type="pct"/>
            <w:gridSpan w:val="2"/>
          </w:tcPr>
          <w:p w14:paraId="240990C9" w14:textId="77777777" w:rsidR="00F1362A" w:rsidRPr="00097A86" w:rsidRDefault="00F1362A" w:rsidP="006D1F60">
            <w:pPr>
              <w:pStyle w:val="ENoteTableText"/>
              <w:tabs>
                <w:tab w:val="left" w:leader="dot" w:pos="2268"/>
              </w:tabs>
            </w:pPr>
            <w:r w:rsidRPr="00097A86">
              <w:t>s 5.22H</w:t>
            </w:r>
            <w:r w:rsidRPr="00097A86">
              <w:tab/>
            </w:r>
          </w:p>
        </w:tc>
        <w:tc>
          <w:tcPr>
            <w:tcW w:w="3573" w:type="pct"/>
            <w:gridSpan w:val="2"/>
          </w:tcPr>
          <w:p w14:paraId="1E0438FA" w14:textId="77777777" w:rsidR="00F1362A" w:rsidRPr="00097A86" w:rsidRDefault="00F1362A" w:rsidP="00D22D3F">
            <w:pPr>
              <w:pStyle w:val="ENoteTableText"/>
            </w:pPr>
            <w:r w:rsidRPr="00097A86">
              <w:t>ad 2012 No.</w:t>
            </w:r>
            <w:r>
              <w:t> </w:t>
            </w:r>
            <w:r w:rsidRPr="00097A86">
              <w:t>1</w:t>
            </w:r>
          </w:p>
        </w:tc>
      </w:tr>
      <w:tr w:rsidR="00F1362A" w:rsidRPr="00097A86" w14:paraId="0771F415" w14:textId="77777777" w:rsidTr="00C20CC2">
        <w:tblPrEx>
          <w:jc w:val="center"/>
        </w:tblPrEx>
        <w:trPr>
          <w:gridAfter w:val="1"/>
          <w:wAfter w:w="37" w:type="pct"/>
          <w:jc w:val="center"/>
        </w:trPr>
        <w:tc>
          <w:tcPr>
            <w:tcW w:w="1390" w:type="pct"/>
            <w:gridSpan w:val="2"/>
          </w:tcPr>
          <w:p w14:paraId="66D07CC9" w14:textId="77777777" w:rsidR="00F1362A" w:rsidRPr="00097A86" w:rsidRDefault="00F1362A" w:rsidP="00DF7928">
            <w:pPr>
              <w:pStyle w:val="ENoteTableText"/>
              <w:tabs>
                <w:tab w:val="left" w:leader="dot" w:pos="2268"/>
              </w:tabs>
            </w:pPr>
          </w:p>
        </w:tc>
        <w:tc>
          <w:tcPr>
            <w:tcW w:w="3573" w:type="pct"/>
            <w:gridSpan w:val="2"/>
          </w:tcPr>
          <w:p w14:paraId="67501CE9" w14:textId="77777777" w:rsidR="00F1362A" w:rsidRPr="00097A86" w:rsidRDefault="00F1362A" w:rsidP="00DF7928">
            <w:pPr>
              <w:pStyle w:val="ENoteTableText"/>
            </w:pPr>
            <w:r w:rsidRPr="00097A86">
              <w:t>rep 2015 No 1</w:t>
            </w:r>
          </w:p>
        </w:tc>
      </w:tr>
      <w:tr w:rsidR="00F1362A" w:rsidRPr="00097A86" w14:paraId="23CAD7C2" w14:textId="77777777" w:rsidTr="00C20CC2">
        <w:tblPrEx>
          <w:jc w:val="center"/>
        </w:tblPrEx>
        <w:trPr>
          <w:gridAfter w:val="1"/>
          <w:wAfter w:w="37" w:type="pct"/>
          <w:jc w:val="center"/>
        </w:trPr>
        <w:tc>
          <w:tcPr>
            <w:tcW w:w="1390" w:type="pct"/>
            <w:gridSpan w:val="2"/>
          </w:tcPr>
          <w:p w14:paraId="39AD9083" w14:textId="77777777" w:rsidR="00F1362A" w:rsidRPr="00097A86" w:rsidRDefault="00F1362A" w:rsidP="006D1F60">
            <w:pPr>
              <w:pStyle w:val="ENoteTableText"/>
              <w:tabs>
                <w:tab w:val="left" w:leader="dot" w:pos="2268"/>
              </w:tabs>
            </w:pPr>
            <w:r w:rsidRPr="00097A86">
              <w:lastRenderedPageBreak/>
              <w:t>s 5.22I</w:t>
            </w:r>
            <w:r w:rsidRPr="00097A86">
              <w:tab/>
            </w:r>
          </w:p>
        </w:tc>
        <w:tc>
          <w:tcPr>
            <w:tcW w:w="3573" w:type="pct"/>
            <w:gridSpan w:val="2"/>
          </w:tcPr>
          <w:p w14:paraId="528DC4FC" w14:textId="77777777" w:rsidR="00F1362A" w:rsidRPr="00097A86" w:rsidRDefault="00F1362A" w:rsidP="00D22D3F">
            <w:pPr>
              <w:pStyle w:val="ENoteTableText"/>
            </w:pPr>
            <w:r w:rsidRPr="00097A86">
              <w:t>ad 2012 No.</w:t>
            </w:r>
            <w:r>
              <w:t> </w:t>
            </w:r>
            <w:r w:rsidRPr="00097A86">
              <w:t>1</w:t>
            </w:r>
          </w:p>
        </w:tc>
      </w:tr>
      <w:tr w:rsidR="00F1362A" w:rsidRPr="00097A86" w14:paraId="4DA84BC5" w14:textId="77777777" w:rsidTr="00C20CC2">
        <w:tblPrEx>
          <w:jc w:val="center"/>
        </w:tblPrEx>
        <w:trPr>
          <w:gridAfter w:val="1"/>
          <w:wAfter w:w="37" w:type="pct"/>
          <w:jc w:val="center"/>
        </w:trPr>
        <w:tc>
          <w:tcPr>
            <w:tcW w:w="1390" w:type="pct"/>
            <w:gridSpan w:val="2"/>
          </w:tcPr>
          <w:p w14:paraId="37C3E9A5" w14:textId="77777777" w:rsidR="00F1362A" w:rsidRPr="00097A86" w:rsidRDefault="00F1362A" w:rsidP="00DF7928">
            <w:pPr>
              <w:pStyle w:val="ENoteTableText"/>
              <w:tabs>
                <w:tab w:val="left" w:leader="dot" w:pos="2268"/>
              </w:tabs>
            </w:pPr>
          </w:p>
        </w:tc>
        <w:tc>
          <w:tcPr>
            <w:tcW w:w="3573" w:type="pct"/>
            <w:gridSpan w:val="2"/>
          </w:tcPr>
          <w:p w14:paraId="71E7334F" w14:textId="77777777" w:rsidR="00F1362A" w:rsidRPr="00097A86" w:rsidRDefault="00F1362A" w:rsidP="00DF7928">
            <w:pPr>
              <w:pStyle w:val="ENoteTableText"/>
            </w:pPr>
            <w:r w:rsidRPr="00097A86">
              <w:t>rep 2015 No 1</w:t>
            </w:r>
          </w:p>
        </w:tc>
      </w:tr>
      <w:tr w:rsidR="00F1362A" w:rsidRPr="00097A86" w14:paraId="6D5B21EE" w14:textId="77777777" w:rsidTr="00C20CC2">
        <w:tblPrEx>
          <w:jc w:val="center"/>
        </w:tblPrEx>
        <w:trPr>
          <w:gridAfter w:val="1"/>
          <w:wAfter w:w="37" w:type="pct"/>
          <w:jc w:val="center"/>
        </w:trPr>
        <w:tc>
          <w:tcPr>
            <w:tcW w:w="1390" w:type="pct"/>
            <w:gridSpan w:val="2"/>
          </w:tcPr>
          <w:p w14:paraId="4C6F97F6" w14:textId="77777777" w:rsidR="00F1362A" w:rsidRPr="00097A86" w:rsidRDefault="00F1362A" w:rsidP="006D1F60">
            <w:pPr>
              <w:pStyle w:val="ENoteTableText"/>
              <w:tabs>
                <w:tab w:val="left" w:leader="dot" w:pos="2268"/>
              </w:tabs>
            </w:pPr>
            <w:r w:rsidRPr="00097A86">
              <w:t>s 5.22J</w:t>
            </w:r>
            <w:r w:rsidRPr="00097A86">
              <w:tab/>
            </w:r>
          </w:p>
        </w:tc>
        <w:tc>
          <w:tcPr>
            <w:tcW w:w="3573" w:type="pct"/>
            <w:gridSpan w:val="2"/>
          </w:tcPr>
          <w:p w14:paraId="70259893" w14:textId="77777777" w:rsidR="00F1362A" w:rsidRPr="00097A86" w:rsidRDefault="00F1362A" w:rsidP="00D22D3F">
            <w:pPr>
              <w:pStyle w:val="ENoteTableText"/>
            </w:pPr>
            <w:r w:rsidRPr="00097A86">
              <w:t>ad 2012 No.</w:t>
            </w:r>
            <w:r>
              <w:t> </w:t>
            </w:r>
            <w:r w:rsidRPr="00097A86">
              <w:t>1</w:t>
            </w:r>
          </w:p>
        </w:tc>
      </w:tr>
      <w:tr w:rsidR="00F1362A" w:rsidRPr="00097A86" w14:paraId="47A4CB18" w14:textId="77777777" w:rsidTr="00C20CC2">
        <w:tblPrEx>
          <w:jc w:val="center"/>
        </w:tblPrEx>
        <w:trPr>
          <w:gridAfter w:val="1"/>
          <w:wAfter w:w="37" w:type="pct"/>
          <w:jc w:val="center"/>
        </w:trPr>
        <w:tc>
          <w:tcPr>
            <w:tcW w:w="1390" w:type="pct"/>
            <w:gridSpan w:val="2"/>
          </w:tcPr>
          <w:p w14:paraId="5C31A244" w14:textId="77777777" w:rsidR="00F1362A" w:rsidRPr="00097A86" w:rsidRDefault="00F1362A" w:rsidP="00DF7928">
            <w:pPr>
              <w:pStyle w:val="ENoteTableText"/>
              <w:tabs>
                <w:tab w:val="left" w:leader="dot" w:pos="2268"/>
              </w:tabs>
            </w:pPr>
          </w:p>
        </w:tc>
        <w:tc>
          <w:tcPr>
            <w:tcW w:w="3573" w:type="pct"/>
            <w:gridSpan w:val="2"/>
          </w:tcPr>
          <w:p w14:paraId="772AFFD0" w14:textId="77777777" w:rsidR="00F1362A" w:rsidRPr="00097A86" w:rsidRDefault="00F1362A" w:rsidP="00DF7928">
            <w:pPr>
              <w:pStyle w:val="ENoteTableText"/>
            </w:pPr>
            <w:r w:rsidRPr="00097A86">
              <w:t>rep 2015 No 1</w:t>
            </w:r>
          </w:p>
        </w:tc>
      </w:tr>
      <w:tr w:rsidR="00F1362A" w:rsidRPr="00097A86" w14:paraId="546BDF46" w14:textId="77777777" w:rsidTr="00C20CC2">
        <w:tblPrEx>
          <w:jc w:val="center"/>
        </w:tblPrEx>
        <w:trPr>
          <w:gridAfter w:val="1"/>
          <w:wAfter w:w="37" w:type="pct"/>
          <w:jc w:val="center"/>
        </w:trPr>
        <w:tc>
          <w:tcPr>
            <w:tcW w:w="1390" w:type="pct"/>
            <w:gridSpan w:val="2"/>
          </w:tcPr>
          <w:p w14:paraId="18102D5D" w14:textId="77777777" w:rsidR="00F1362A" w:rsidRPr="00097A86" w:rsidRDefault="00F1362A" w:rsidP="006D1F60">
            <w:pPr>
              <w:pStyle w:val="ENoteTableText"/>
              <w:tabs>
                <w:tab w:val="left" w:leader="dot" w:pos="2268"/>
              </w:tabs>
            </w:pPr>
            <w:r w:rsidRPr="00097A86">
              <w:t>s 5.22K</w:t>
            </w:r>
            <w:r w:rsidRPr="00097A86">
              <w:tab/>
            </w:r>
          </w:p>
        </w:tc>
        <w:tc>
          <w:tcPr>
            <w:tcW w:w="3573" w:type="pct"/>
            <w:gridSpan w:val="2"/>
          </w:tcPr>
          <w:p w14:paraId="3FA913DD" w14:textId="77777777" w:rsidR="00F1362A" w:rsidRPr="00097A86" w:rsidRDefault="00F1362A" w:rsidP="00D22D3F">
            <w:pPr>
              <w:pStyle w:val="ENoteTableText"/>
            </w:pPr>
            <w:r w:rsidRPr="00097A86">
              <w:t>ad 2012 No.</w:t>
            </w:r>
            <w:r>
              <w:t> </w:t>
            </w:r>
            <w:r w:rsidRPr="00097A86">
              <w:t>1</w:t>
            </w:r>
          </w:p>
        </w:tc>
      </w:tr>
      <w:tr w:rsidR="00F1362A" w:rsidRPr="00097A86" w14:paraId="309237A2" w14:textId="77777777" w:rsidTr="00C20CC2">
        <w:tblPrEx>
          <w:jc w:val="center"/>
        </w:tblPrEx>
        <w:trPr>
          <w:gridAfter w:val="1"/>
          <w:wAfter w:w="37" w:type="pct"/>
          <w:jc w:val="center"/>
        </w:trPr>
        <w:tc>
          <w:tcPr>
            <w:tcW w:w="1390" w:type="pct"/>
            <w:gridSpan w:val="2"/>
          </w:tcPr>
          <w:p w14:paraId="4961600A" w14:textId="77777777" w:rsidR="00F1362A" w:rsidRPr="00097A86" w:rsidRDefault="00F1362A" w:rsidP="00DF7928">
            <w:pPr>
              <w:pStyle w:val="ENoteTableText"/>
              <w:tabs>
                <w:tab w:val="left" w:leader="dot" w:pos="2268"/>
              </w:tabs>
            </w:pPr>
          </w:p>
        </w:tc>
        <w:tc>
          <w:tcPr>
            <w:tcW w:w="3573" w:type="pct"/>
            <w:gridSpan w:val="2"/>
          </w:tcPr>
          <w:p w14:paraId="37AE30C8" w14:textId="77777777" w:rsidR="00F1362A" w:rsidRPr="00097A86" w:rsidRDefault="00F1362A" w:rsidP="00DF7928">
            <w:pPr>
              <w:pStyle w:val="ENoteTableText"/>
            </w:pPr>
            <w:r w:rsidRPr="00097A86">
              <w:t>rep 2015 No 1</w:t>
            </w:r>
          </w:p>
        </w:tc>
      </w:tr>
      <w:tr w:rsidR="00F1362A" w:rsidRPr="00097A86" w14:paraId="716F52AD" w14:textId="77777777" w:rsidTr="00C20CC2">
        <w:tblPrEx>
          <w:jc w:val="center"/>
        </w:tblPrEx>
        <w:trPr>
          <w:gridAfter w:val="1"/>
          <w:wAfter w:w="37" w:type="pct"/>
          <w:jc w:val="center"/>
        </w:trPr>
        <w:tc>
          <w:tcPr>
            <w:tcW w:w="1390" w:type="pct"/>
            <w:gridSpan w:val="2"/>
          </w:tcPr>
          <w:p w14:paraId="746D068F" w14:textId="77777777" w:rsidR="00F1362A" w:rsidRPr="00097A86" w:rsidRDefault="00F1362A" w:rsidP="006D1F60">
            <w:pPr>
              <w:pStyle w:val="ENoteTableText"/>
              <w:tabs>
                <w:tab w:val="left" w:leader="dot" w:pos="2268"/>
              </w:tabs>
            </w:pPr>
            <w:r w:rsidRPr="00097A86">
              <w:t>s 5.22L</w:t>
            </w:r>
            <w:r w:rsidRPr="00097A86">
              <w:tab/>
            </w:r>
          </w:p>
        </w:tc>
        <w:tc>
          <w:tcPr>
            <w:tcW w:w="3573" w:type="pct"/>
            <w:gridSpan w:val="2"/>
          </w:tcPr>
          <w:p w14:paraId="15A18B72" w14:textId="77777777" w:rsidR="00F1362A" w:rsidRPr="00097A86" w:rsidRDefault="00F1362A" w:rsidP="00D22D3F">
            <w:pPr>
              <w:pStyle w:val="ENoteTableText"/>
            </w:pPr>
            <w:r w:rsidRPr="00097A86">
              <w:t>ad 2012 No.</w:t>
            </w:r>
            <w:r>
              <w:t> </w:t>
            </w:r>
            <w:r w:rsidRPr="00097A86">
              <w:t>1</w:t>
            </w:r>
          </w:p>
        </w:tc>
      </w:tr>
      <w:tr w:rsidR="00F1362A" w:rsidRPr="00097A86" w14:paraId="49629FFE" w14:textId="77777777" w:rsidTr="00C20CC2">
        <w:tblPrEx>
          <w:jc w:val="center"/>
        </w:tblPrEx>
        <w:trPr>
          <w:gridAfter w:val="1"/>
          <w:wAfter w:w="37" w:type="pct"/>
          <w:jc w:val="center"/>
        </w:trPr>
        <w:tc>
          <w:tcPr>
            <w:tcW w:w="1390" w:type="pct"/>
            <w:gridSpan w:val="2"/>
          </w:tcPr>
          <w:p w14:paraId="56C3B4E0" w14:textId="77777777" w:rsidR="00F1362A" w:rsidRPr="00097A86" w:rsidRDefault="00F1362A" w:rsidP="00DF7928">
            <w:pPr>
              <w:pStyle w:val="ENoteTableText"/>
              <w:tabs>
                <w:tab w:val="left" w:leader="dot" w:pos="2268"/>
              </w:tabs>
            </w:pPr>
          </w:p>
        </w:tc>
        <w:tc>
          <w:tcPr>
            <w:tcW w:w="3573" w:type="pct"/>
            <w:gridSpan w:val="2"/>
          </w:tcPr>
          <w:p w14:paraId="2CFEE34C" w14:textId="77777777" w:rsidR="00F1362A" w:rsidRPr="00097A86" w:rsidRDefault="00F1362A" w:rsidP="00DF7928">
            <w:pPr>
              <w:pStyle w:val="ENoteTableText"/>
            </w:pPr>
            <w:r w:rsidRPr="00097A86">
              <w:t>rep 2015 No 1</w:t>
            </w:r>
          </w:p>
        </w:tc>
      </w:tr>
      <w:tr w:rsidR="00F1362A" w:rsidRPr="00097A86" w14:paraId="7C7C127D" w14:textId="77777777" w:rsidTr="00C20CC2">
        <w:tblPrEx>
          <w:jc w:val="center"/>
        </w:tblPrEx>
        <w:trPr>
          <w:gridAfter w:val="1"/>
          <w:wAfter w:w="37" w:type="pct"/>
          <w:jc w:val="center"/>
        </w:trPr>
        <w:tc>
          <w:tcPr>
            <w:tcW w:w="1390" w:type="pct"/>
            <w:gridSpan w:val="2"/>
          </w:tcPr>
          <w:p w14:paraId="67A0B4C1" w14:textId="77777777" w:rsidR="00F1362A" w:rsidRPr="00097A86" w:rsidRDefault="00F1362A" w:rsidP="005C5D38">
            <w:pPr>
              <w:pStyle w:val="ENoteTableText"/>
              <w:keepNext/>
              <w:tabs>
                <w:tab w:val="left" w:leader="dot" w:pos="2268"/>
              </w:tabs>
            </w:pPr>
            <w:r w:rsidRPr="00097A86">
              <w:rPr>
                <w:b/>
              </w:rPr>
              <w:t>Division</w:t>
            </w:r>
            <w:r>
              <w:rPr>
                <w:b/>
              </w:rPr>
              <w:t> </w:t>
            </w:r>
            <w:r w:rsidRPr="00097A86">
              <w:rPr>
                <w:b/>
              </w:rPr>
              <w:t>5.2.7</w:t>
            </w:r>
          </w:p>
        </w:tc>
        <w:tc>
          <w:tcPr>
            <w:tcW w:w="3573" w:type="pct"/>
            <w:gridSpan w:val="2"/>
          </w:tcPr>
          <w:p w14:paraId="1B433605" w14:textId="77777777" w:rsidR="00F1362A" w:rsidRPr="00097A86" w:rsidRDefault="00F1362A" w:rsidP="00DF7928">
            <w:pPr>
              <w:pStyle w:val="ENoteTableText"/>
            </w:pPr>
          </w:p>
        </w:tc>
      </w:tr>
      <w:tr w:rsidR="00F1362A" w:rsidRPr="00097A86" w14:paraId="2BB7ED0D" w14:textId="77777777" w:rsidTr="00C20CC2">
        <w:tblPrEx>
          <w:jc w:val="center"/>
        </w:tblPrEx>
        <w:trPr>
          <w:gridAfter w:val="1"/>
          <w:wAfter w:w="37" w:type="pct"/>
          <w:jc w:val="center"/>
        </w:trPr>
        <w:tc>
          <w:tcPr>
            <w:tcW w:w="1390" w:type="pct"/>
            <w:gridSpan w:val="2"/>
          </w:tcPr>
          <w:p w14:paraId="3EDE39D9" w14:textId="77777777" w:rsidR="00F1362A" w:rsidRPr="00097A86" w:rsidRDefault="00F1362A" w:rsidP="00DF7928">
            <w:pPr>
              <w:pStyle w:val="ENoteTableText"/>
              <w:tabs>
                <w:tab w:val="left" w:leader="dot" w:pos="2268"/>
              </w:tabs>
            </w:pPr>
            <w:r w:rsidRPr="00097A86">
              <w:t>Division</w:t>
            </w:r>
            <w:r>
              <w:t> </w:t>
            </w:r>
            <w:r w:rsidRPr="00097A86">
              <w:t>5.2.7</w:t>
            </w:r>
            <w:r w:rsidRPr="00097A86">
              <w:tab/>
            </w:r>
          </w:p>
        </w:tc>
        <w:tc>
          <w:tcPr>
            <w:tcW w:w="3573" w:type="pct"/>
            <w:gridSpan w:val="2"/>
          </w:tcPr>
          <w:p w14:paraId="6E5E1E29" w14:textId="77777777" w:rsidR="00F1362A" w:rsidRPr="00097A86" w:rsidRDefault="00F1362A" w:rsidP="00DF7928">
            <w:pPr>
              <w:pStyle w:val="ENoteTableText"/>
            </w:pPr>
            <w:r w:rsidRPr="00097A86">
              <w:t>ad 2016, No 1</w:t>
            </w:r>
          </w:p>
        </w:tc>
      </w:tr>
      <w:tr w:rsidR="00F1362A" w:rsidRPr="00097A86" w14:paraId="7D0F2D8F" w14:textId="77777777" w:rsidTr="00C20CC2">
        <w:tblPrEx>
          <w:jc w:val="center"/>
        </w:tblPrEx>
        <w:trPr>
          <w:gridAfter w:val="1"/>
          <w:wAfter w:w="37" w:type="pct"/>
          <w:jc w:val="center"/>
        </w:trPr>
        <w:tc>
          <w:tcPr>
            <w:tcW w:w="1390" w:type="pct"/>
            <w:gridSpan w:val="2"/>
          </w:tcPr>
          <w:p w14:paraId="4A0DE3C3" w14:textId="77777777" w:rsidR="00F1362A" w:rsidRPr="00097A86" w:rsidRDefault="00F1362A" w:rsidP="00DF7928">
            <w:pPr>
              <w:pStyle w:val="ENoteTableText"/>
              <w:tabs>
                <w:tab w:val="left" w:leader="dot" w:pos="2268"/>
              </w:tabs>
            </w:pPr>
            <w:r w:rsidRPr="00097A86">
              <w:t>s 5.22A</w:t>
            </w:r>
            <w:r w:rsidRPr="00097A86">
              <w:tab/>
            </w:r>
          </w:p>
        </w:tc>
        <w:tc>
          <w:tcPr>
            <w:tcW w:w="3573" w:type="pct"/>
            <w:gridSpan w:val="2"/>
          </w:tcPr>
          <w:p w14:paraId="11E79A17" w14:textId="77777777" w:rsidR="00F1362A" w:rsidRPr="00097A86" w:rsidRDefault="00F1362A" w:rsidP="00DF7928">
            <w:pPr>
              <w:pStyle w:val="ENoteTableText"/>
            </w:pPr>
            <w:r w:rsidRPr="00097A86">
              <w:t>ad 2016 No 1</w:t>
            </w:r>
          </w:p>
        </w:tc>
      </w:tr>
      <w:tr w:rsidR="00F1362A" w:rsidRPr="00097A86" w14:paraId="6F18F58F" w14:textId="77777777" w:rsidTr="00C20CC2">
        <w:tblPrEx>
          <w:jc w:val="center"/>
        </w:tblPrEx>
        <w:trPr>
          <w:gridAfter w:val="1"/>
          <w:wAfter w:w="37" w:type="pct"/>
          <w:jc w:val="center"/>
        </w:trPr>
        <w:tc>
          <w:tcPr>
            <w:tcW w:w="1390" w:type="pct"/>
            <w:gridSpan w:val="2"/>
          </w:tcPr>
          <w:p w14:paraId="4A53B28C" w14:textId="77777777" w:rsidR="00F1362A" w:rsidRPr="00097A86" w:rsidRDefault="00F1362A" w:rsidP="00CD4D3F">
            <w:pPr>
              <w:pStyle w:val="ENoteTableText"/>
              <w:tabs>
                <w:tab w:val="left" w:leader="dot" w:pos="2268"/>
              </w:tabs>
            </w:pPr>
            <w:r w:rsidRPr="00097A86">
              <w:t>s 5.22B</w:t>
            </w:r>
            <w:r w:rsidRPr="00097A86">
              <w:tab/>
            </w:r>
          </w:p>
        </w:tc>
        <w:tc>
          <w:tcPr>
            <w:tcW w:w="3573" w:type="pct"/>
            <w:gridSpan w:val="2"/>
          </w:tcPr>
          <w:p w14:paraId="07F57868" w14:textId="77777777" w:rsidR="00F1362A" w:rsidRPr="00097A86" w:rsidRDefault="00F1362A" w:rsidP="00DF7928">
            <w:pPr>
              <w:pStyle w:val="ENoteTableText"/>
            </w:pPr>
            <w:r w:rsidRPr="00097A86">
              <w:t>ad 2016 No 1</w:t>
            </w:r>
          </w:p>
        </w:tc>
      </w:tr>
      <w:tr w:rsidR="00F1362A" w:rsidRPr="00097A86" w14:paraId="30D6F8B6" w14:textId="77777777" w:rsidTr="00C20CC2">
        <w:tblPrEx>
          <w:jc w:val="center"/>
        </w:tblPrEx>
        <w:trPr>
          <w:gridAfter w:val="1"/>
          <w:wAfter w:w="37" w:type="pct"/>
          <w:jc w:val="center"/>
        </w:trPr>
        <w:tc>
          <w:tcPr>
            <w:tcW w:w="1390" w:type="pct"/>
            <w:gridSpan w:val="2"/>
          </w:tcPr>
          <w:p w14:paraId="2B916F9A" w14:textId="77777777" w:rsidR="00F1362A" w:rsidRPr="00097A86" w:rsidRDefault="00F1362A" w:rsidP="00CD4D3F">
            <w:pPr>
              <w:pStyle w:val="ENoteTableText"/>
              <w:tabs>
                <w:tab w:val="left" w:leader="dot" w:pos="2268"/>
              </w:tabs>
            </w:pPr>
            <w:r w:rsidRPr="00097A86">
              <w:t>s 5.22C</w:t>
            </w:r>
            <w:r w:rsidRPr="00097A86">
              <w:tab/>
            </w:r>
          </w:p>
        </w:tc>
        <w:tc>
          <w:tcPr>
            <w:tcW w:w="3573" w:type="pct"/>
            <w:gridSpan w:val="2"/>
          </w:tcPr>
          <w:p w14:paraId="05733C25" w14:textId="77777777" w:rsidR="00F1362A" w:rsidRPr="00097A86" w:rsidRDefault="00F1362A" w:rsidP="00EA2107">
            <w:pPr>
              <w:pStyle w:val="ENoteTableText"/>
              <w:tabs>
                <w:tab w:val="left" w:leader="dot" w:pos="2268"/>
              </w:tabs>
            </w:pPr>
            <w:r w:rsidRPr="00097A86">
              <w:t>ad 2016 No 1</w:t>
            </w:r>
          </w:p>
        </w:tc>
      </w:tr>
      <w:tr w:rsidR="00F1362A" w:rsidRPr="00097A86" w14:paraId="2D28E8EB" w14:textId="77777777" w:rsidTr="00C20CC2">
        <w:tblPrEx>
          <w:jc w:val="center"/>
        </w:tblPrEx>
        <w:trPr>
          <w:gridAfter w:val="1"/>
          <w:wAfter w:w="37" w:type="pct"/>
          <w:jc w:val="center"/>
        </w:trPr>
        <w:tc>
          <w:tcPr>
            <w:tcW w:w="1390" w:type="pct"/>
            <w:gridSpan w:val="2"/>
          </w:tcPr>
          <w:p w14:paraId="42102A78" w14:textId="77777777" w:rsidR="00F1362A" w:rsidRPr="00097A86" w:rsidRDefault="00F1362A" w:rsidP="00CD4D3F">
            <w:pPr>
              <w:pStyle w:val="ENoteTableText"/>
              <w:tabs>
                <w:tab w:val="left" w:leader="dot" w:pos="2268"/>
              </w:tabs>
            </w:pPr>
            <w:r w:rsidRPr="00097A86">
              <w:t>s 5.22D</w:t>
            </w:r>
            <w:r w:rsidRPr="00097A86">
              <w:tab/>
            </w:r>
          </w:p>
        </w:tc>
        <w:tc>
          <w:tcPr>
            <w:tcW w:w="3573" w:type="pct"/>
            <w:gridSpan w:val="2"/>
          </w:tcPr>
          <w:p w14:paraId="013A1AF5" w14:textId="77777777" w:rsidR="00F1362A" w:rsidRPr="00097A86" w:rsidRDefault="00F1362A" w:rsidP="00DF7928">
            <w:pPr>
              <w:pStyle w:val="ENoteTableText"/>
            </w:pPr>
            <w:r w:rsidRPr="00097A86">
              <w:t>ad 2016 No 1</w:t>
            </w:r>
          </w:p>
        </w:tc>
      </w:tr>
      <w:tr w:rsidR="00F1362A" w:rsidRPr="00097A86" w14:paraId="46CFDFCF" w14:textId="77777777" w:rsidTr="00C20CC2">
        <w:tblPrEx>
          <w:jc w:val="center"/>
        </w:tblPrEx>
        <w:trPr>
          <w:gridAfter w:val="1"/>
          <w:wAfter w:w="37" w:type="pct"/>
          <w:jc w:val="center"/>
        </w:trPr>
        <w:tc>
          <w:tcPr>
            <w:tcW w:w="1390" w:type="pct"/>
            <w:gridSpan w:val="2"/>
          </w:tcPr>
          <w:p w14:paraId="157C56E4" w14:textId="77777777" w:rsidR="00F1362A" w:rsidRPr="00097A86" w:rsidRDefault="00F1362A" w:rsidP="00CD4D3F">
            <w:pPr>
              <w:pStyle w:val="ENoteTableText"/>
              <w:tabs>
                <w:tab w:val="left" w:leader="dot" w:pos="2268"/>
              </w:tabs>
            </w:pPr>
            <w:r w:rsidRPr="00097A86">
              <w:t>s 5.22E</w:t>
            </w:r>
            <w:r w:rsidRPr="00097A86">
              <w:tab/>
            </w:r>
          </w:p>
        </w:tc>
        <w:tc>
          <w:tcPr>
            <w:tcW w:w="3573" w:type="pct"/>
            <w:gridSpan w:val="2"/>
          </w:tcPr>
          <w:p w14:paraId="5E1E2DCC" w14:textId="77777777" w:rsidR="00F1362A" w:rsidRPr="00097A86" w:rsidRDefault="00F1362A" w:rsidP="00DF7928">
            <w:pPr>
              <w:pStyle w:val="ENoteTableText"/>
            </w:pPr>
            <w:r w:rsidRPr="00097A86">
              <w:t>ad 2016 No 1</w:t>
            </w:r>
          </w:p>
        </w:tc>
      </w:tr>
      <w:tr w:rsidR="00F1362A" w:rsidRPr="00097A86" w14:paraId="699E0817" w14:textId="77777777" w:rsidTr="00C20CC2">
        <w:tblPrEx>
          <w:jc w:val="center"/>
        </w:tblPrEx>
        <w:trPr>
          <w:gridAfter w:val="1"/>
          <w:wAfter w:w="37" w:type="pct"/>
          <w:jc w:val="center"/>
        </w:trPr>
        <w:tc>
          <w:tcPr>
            <w:tcW w:w="1390" w:type="pct"/>
            <w:gridSpan w:val="2"/>
          </w:tcPr>
          <w:p w14:paraId="2FC9F18D" w14:textId="77777777" w:rsidR="00F1362A" w:rsidRPr="00097A86" w:rsidRDefault="00F1362A" w:rsidP="00CD4D3F">
            <w:pPr>
              <w:pStyle w:val="ENoteTableText"/>
              <w:tabs>
                <w:tab w:val="left" w:leader="dot" w:pos="2268"/>
              </w:tabs>
            </w:pPr>
            <w:r w:rsidRPr="00097A86">
              <w:t>s 5.22F</w:t>
            </w:r>
            <w:r w:rsidRPr="00097A86">
              <w:tab/>
            </w:r>
          </w:p>
        </w:tc>
        <w:tc>
          <w:tcPr>
            <w:tcW w:w="3573" w:type="pct"/>
            <w:gridSpan w:val="2"/>
          </w:tcPr>
          <w:p w14:paraId="71447088" w14:textId="77777777" w:rsidR="00F1362A" w:rsidRPr="00097A86" w:rsidRDefault="00F1362A" w:rsidP="00DF7928">
            <w:pPr>
              <w:pStyle w:val="ENoteTableText"/>
            </w:pPr>
            <w:r w:rsidRPr="00097A86">
              <w:t>ad 2016 No 1</w:t>
            </w:r>
          </w:p>
        </w:tc>
      </w:tr>
      <w:tr w:rsidR="00F1362A" w:rsidRPr="00097A86" w14:paraId="14BDAA0C" w14:textId="77777777" w:rsidTr="00C20CC2">
        <w:tblPrEx>
          <w:jc w:val="center"/>
        </w:tblPrEx>
        <w:trPr>
          <w:gridAfter w:val="1"/>
          <w:wAfter w:w="37" w:type="pct"/>
          <w:jc w:val="center"/>
        </w:trPr>
        <w:tc>
          <w:tcPr>
            <w:tcW w:w="1390" w:type="pct"/>
            <w:gridSpan w:val="2"/>
          </w:tcPr>
          <w:p w14:paraId="6EA94FC4" w14:textId="77777777" w:rsidR="00F1362A" w:rsidRPr="00097A86" w:rsidRDefault="00F1362A" w:rsidP="00CD4D3F">
            <w:pPr>
              <w:pStyle w:val="ENoteTableText"/>
              <w:tabs>
                <w:tab w:val="left" w:leader="dot" w:pos="2268"/>
              </w:tabs>
            </w:pPr>
            <w:r w:rsidRPr="00097A86">
              <w:t>s 5.22G</w:t>
            </w:r>
            <w:r w:rsidRPr="00097A86">
              <w:tab/>
            </w:r>
          </w:p>
        </w:tc>
        <w:tc>
          <w:tcPr>
            <w:tcW w:w="3573" w:type="pct"/>
            <w:gridSpan w:val="2"/>
          </w:tcPr>
          <w:p w14:paraId="7066043E" w14:textId="77777777" w:rsidR="00F1362A" w:rsidRPr="00097A86" w:rsidRDefault="00F1362A" w:rsidP="00DF7928">
            <w:pPr>
              <w:pStyle w:val="ENoteTableText"/>
            </w:pPr>
            <w:r w:rsidRPr="00097A86">
              <w:t>ad 2016 No 1</w:t>
            </w:r>
          </w:p>
        </w:tc>
      </w:tr>
      <w:tr w:rsidR="00F1362A" w:rsidRPr="00097A86" w14:paraId="46313729" w14:textId="77777777" w:rsidTr="00C20CC2">
        <w:tblPrEx>
          <w:jc w:val="center"/>
        </w:tblPrEx>
        <w:trPr>
          <w:gridAfter w:val="1"/>
          <w:wAfter w:w="37" w:type="pct"/>
          <w:jc w:val="center"/>
        </w:trPr>
        <w:tc>
          <w:tcPr>
            <w:tcW w:w="1390" w:type="pct"/>
            <w:gridSpan w:val="2"/>
          </w:tcPr>
          <w:p w14:paraId="4B315B03" w14:textId="77777777" w:rsidR="00F1362A" w:rsidRPr="00097A86" w:rsidRDefault="00F1362A" w:rsidP="00CD4D3F">
            <w:pPr>
              <w:pStyle w:val="ENoteTableText"/>
              <w:tabs>
                <w:tab w:val="left" w:leader="dot" w:pos="2268"/>
              </w:tabs>
            </w:pPr>
            <w:r w:rsidRPr="00097A86">
              <w:t>s 5.22H</w:t>
            </w:r>
            <w:r w:rsidRPr="00097A86">
              <w:tab/>
            </w:r>
          </w:p>
        </w:tc>
        <w:tc>
          <w:tcPr>
            <w:tcW w:w="3573" w:type="pct"/>
            <w:gridSpan w:val="2"/>
          </w:tcPr>
          <w:p w14:paraId="3F7D54F6" w14:textId="77777777" w:rsidR="00F1362A" w:rsidRPr="00097A86" w:rsidRDefault="00F1362A" w:rsidP="00DF7928">
            <w:pPr>
              <w:pStyle w:val="ENoteTableText"/>
            </w:pPr>
            <w:r w:rsidRPr="00097A86">
              <w:t>ad 2016 No 1</w:t>
            </w:r>
          </w:p>
        </w:tc>
      </w:tr>
      <w:tr w:rsidR="00F1362A" w:rsidRPr="00097A86" w14:paraId="41FAE0B0" w14:textId="77777777" w:rsidTr="00C20CC2">
        <w:tblPrEx>
          <w:jc w:val="center"/>
        </w:tblPrEx>
        <w:trPr>
          <w:gridAfter w:val="1"/>
          <w:wAfter w:w="37" w:type="pct"/>
          <w:jc w:val="center"/>
        </w:trPr>
        <w:tc>
          <w:tcPr>
            <w:tcW w:w="1390" w:type="pct"/>
            <w:gridSpan w:val="2"/>
          </w:tcPr>
          <w:p w14:paraId="691DF8E8" w14:textId="77777777" w:rsidR="00F1362A" w:rsidRPr="00097A86" w:rsidRDefault="00F1362A" w:rsidP="00CD4D3F">
            <w:pPr>
              <w:pStyle w:val="ENoteTableText"/>
              <w:tabs>
                <w:tab w:val="left" w:leader="dot" w:pos="2268"/>
              </w:tabs>
            </w:pPr>
            <w:r w:rsidRPr="00097A86">
              <w:lastRenderedPageBreak/>
              <w:t>s 5.22J</w:t>
            </w:r>
            <w:r w:rsidRPr="00097A86">
              <w:tab/>
            </w:r>
          </w:p>
        </w:tc>
        <w:tc>
          <w:tcPr>
            <w:tcW w:w="3573" w:type="pct"/>
            <w:gridSpan w:val="2"/>
          </w:tcPr>
          <w:p w14:paraId="3DE2D464" w14:textId="77777777" w:rsidR="00F1362A" w:rsidRPr="00097A86" w:rsidRDefault="00F1362A" w:rsidP="00DF7928">
            <w:pPr>
              <w:pStyle w:val="ENoteTableText"/>
            </w:pPr>
            <w:r w:rsidRPr="00097A86">
              <w:t>ad 2016 No 1</w:t>
            </w:r>
          </w:p>
        </w:tc>
      </w:tr>
      <w:tr w:rsidR="00F1362A" w:rsidRPr="00097A86" w14:paraId="0EE55816" w14:textId="77777777" w:rsidTr="00C20CC2">
        <w:tblPrEx>
          <w:jc w:val="center"/>
        </w:tblPrEx>
        <w:trPr>
          <w:gridAfter w:val="1"/>
          <w:wAfter w:w="37" w:type="pct"/>
          <w:jc w:val="center"/>
        </w:trPr>
        <w:tc>
          <w:tcPr>
            <w:tcW w:w="1390" w:type="pct"/>
            <w:gridSpan w:val="2"/>
          </w:tcPr>
          <w:p w14:paraId="508A8A0A" w14:textId="77777777" w:rsidR="00F1362A" w:rsidRPr="00097A86" w:rsidRDefault="00F1362A" w:rsidP="00CD4D3F">
            <w:pPr>
              <w:pStyle w:val="ENoteTableText"/>
              <w:tabs>
                <w:tab w:val="left" w:leader="dot" w:pos="2268"/>
              </w:tabs>
            </w:pPr>
            <w:r w:rsidRPr="00097A86">
              <w:t>s 5.22K</w:t>
            </w:r>
            <w:r w:rsidRPr="00097A86">
              <w:tab/>
            </w:r>
          </w:p>
        </w:tc>
        <w:tc>
          <w:tcPr>
            <w:tcW w:w="3573" w:type="pct"/>
            <w:gridSpan w:val="2"/>
          </w:tcPr>
          <w:p w14:paraId="6DDE941F" w14:textId="77777777" w:rsidR="00F1362A" w:rsidRPr="00097A86" w:rsidRDefault="00F1362A" w:rsidP="00DF7928">
            <w:pPr>
              <w:pStyle w:val="ENoteTableText"/>
            </w:pPr>
            <w:r w:rsidRPr="00097A86">
              <w:t>ad 2016 No 1</w:t>
            </w:r>
          </w:p>
        </w:tc>
      </w:tr>
      <w:tr w:rsidR="00F1362A" w:rsidRPr="00097A86" w14:paraId="4D3FFDC6" w14:textId="77777777" w:rsidTr="00C20CC2">
        <w:tblPrEx>
          <w:jc w:val="center"/>
        </w:tblPrEx>
        <w:trPr>
          <w:gridAfter w:val="1"/>
          <w:wAfter w:w="37" w:type="pct"/>
          <w:jc w:val="center"/>
        </w:trPr>
        <w:tc>
          <w:tcPr>
            <w:tcW w:w="1390" w:type="pct"/>
            <w:gridSpan w:val="2"/>
          </w:tcPr>
          <w:p w14:paraId="0F70E9FC" w14:textId="77777777" w:rsidR="00F1362A" w:rsidRPr="00097A86" w:rsidRDefault="00F1362A" w:rsidP="00CD4D3F">
            <w:pPr>
              <w:pStyle w:val="ENoteTableText"/>
              <w:tabs>
                <w:tab w:val="left" w:leader="dot" w:pos="2268"/>
              </w:tabs>
            </w:pPr>
            <w:r w:rsidRPr="00097A86">
              <w:t>s 5.22L</w:t>
            </w:r>
            <w:r w:rsidRPr="00097A86">
              <w:tab/>
            </w:r>
          </w:p>
        </w:tc>
        <w:tc>
          <w:tcPr>
            <w:tcW w:w="3573" w:type="pct"/>
            <w:gridSpan w:val="2"/>
          </w:tcPr>
          <w:p w14:paraId="79CD1F8B" w14:textId="77777777" w:rsidR="00F1362A" w:rsidRPr="00097A86" w:rsidRDefault="00F1362A" w:rsidP="00DF7928">
            <w:pPr>
              <w:pStyle w:val="ENoteTableText"/>
            </w:pPr>
            <w:r w:rsidRPr="00097A86">
              <w:t>ad 2016 No 1</w:t>
            </w:r>
          </w:p>
        </w:tc>
      </w:tr>
      <w:tr w:rsidR="00F1362A" w:rsidRPr="00097A86" w14:paraId="509C8DD4" w14:textId="77777777" w:rsidTr="00C20CC2">
        <w:tblPrEx>
          <w:jc w:val="center"/>
        </w:tblPrEx>
        <w:trPr>
          <w:gridAfter w:val="1"/>
          <w:wAfter w:w="37" w:type="pct"/>
          <w:jc w:val="center"/>
        </w:trPr>
        <w:tc>
          <w:tcPr>
            <w:tcW w:w="1390" w:type="pct"/>
            <w:gridSpan w:val="2"/>
          </w:tcPr>
          <w:p w14:paraId="2AF76C86" w14:textId="77777777" w:rsidR="00F1362A" w:rsidRPr="00097A86" w:rsidRDefault="00F1362A" w:rsidP="00CD4D3F">
            <w:pPr>
              <w:pStyle w:val="ENoteTableText"/>
              <w:tabs>
                <w:tab w:val="left" w:leader="dot" w:pos="2268"/>
              </w:tabs>
            </w:pPr>
            <w:r w:rsidRPr="00097A86">
              <w:t>s 5.22M</w:t>
            </w:r>
            <w:r w:rsidRPr="00097A86">
              <w:tab/>
            </w:r>
          </w:p>
        </w:tc>
        <w:tc>
          <w:tcPr>
            <w:tcW w:w="3573" w:type="pct"/>
            <w:gridSpan w:val="2"/>
          </w:tcPr>
          <w:p w14:paraId="710B111E" w14:textId="77777777" w:rsidR="00F1362A" w:rsidRPr="00097A86" w:rsidRDefault="00F1362A" w:rsidP="00DF7928">
            <w:pPr>
              <w:pStyle w:val="ENoteTableText"/>
            </w:pPr>
            <w:r w:rsidRPr="00097A86">
              <w:t>ad 2016 No 1</w:t>
            </w:r>
          </w:p>
        </w:tc>
      </w:tr>
      <w:tr w:rsidR="00F1362A" w:rsidRPr="00097A86" w14:paraId="1AF6C015" w14:textId="77777777" w:rsidTr="00C20CC2">
        <w:tblPrEx>
          <w:jc w:val="center"/>
        </w:tblPrEx>
        <w:trPr>
          <w:gridAfter w:val="1"/>
          <w:wAfter w:w="37" w:type="pct"/>
          <w:jc w:val="center"/>
        </w:trPr>
        <w:tc>
          <w:tcPr>
            <w:tcW w:w="1390" w:type="pct"/>
            <w:gridSpan w:val="2"/>
          </w:tcPr>
          <w:p w14:paraId="20F9E771" w14:textId="77777777" w:rsidR="00F1362A" w:rsidRPr="00097A86" w:rsidRDefault="00F1362A" w:rsidP="006D1F60">
            <w:pPr>
              <w:pStyle w:val="ENoteTableText"/>
              <w:tabs>
                <w:tab w:val="left" w:leader="dot" w:pos="2268"/>
              </w:tabs>
            </w:pPr>
            <w:r w:rsidRPr="00097A86">
              <w:rPr>
                <w:b/>
              </w:rPr>
              <w:t>Part</w:t>
            </w:r>
            <w:r>
              <w:rPr>
                <w:b/>
              </w:rPr>
              <w:t> </w:t>
            </w:r>
            <w:r w:rsidRPr="00097A86">
              <w:rPr>
                <w:b/>
              </w:rPr>
              <w:t>5.3</w:t>
            </w:r>
          </w:p>
        </w:tc>
        <w:tc>
          <w:tcPr>
            <w:tcW w:w="3573" w:type="pct"/>
            <w:gridSpan w:val="2"/>
          </w:tcPr>
          <w:p w14:paraId="2E30A355" w14:textId="77777777" w:rsidR="00F1362A" w:rsidRPr="00097A86" w:rsidRDefault="00F1362A" w:rsidP="00D22D3F">
            <w:pPr>
              <w:pStyle w:val="ENoteTableText"/>
            </w:pPr>
          </w:p>
        </w:tc>
      </w:tr>
      <w:tr w:rsidR="00F1362A" w:rsidRPr="00097A86" w14:paraId="041DFB4B" w14:textId="77777777" w:rsidTr="00C20CC2">
        <w:tblPrEx>
          <w:jc w:val="center"/>
        </w:tblPrEx>
        <w:trPr>
          <w:gridAfter w:val="1"/>
          <w:wAfter w:w="37" w:type="pct"/>
          <w:jc w:val="center"/>
        </w:trPr>
        <w:tc>
          <w:tcPr>
            <w:tcW w:w="1390" w:type="pct"/>
            <w:gridSpan w:val="2"/>
          </w:tcPr>
          <w:p w14:paraId="0733B50F" w14:textId="77777777" w:rsidR="00F1362A" w:rsidRPr="00097A86" w:rsidRDefault="00F1362A" w:rsidP="007A5DE9">
            <w:pPr>
              <w:pStyle w:val="ENoteTableText"/>
              <w:tabs>
                <w:tab w:val="left" w:leader="dot" w:pos="2268"/>
              </w:tabs>
            </w:pPr>
            <w:r w:rsidRPr="00097A86">
              <w:t>Part</w:t>
            </w:r>
            <w:r>
              <w:t> </w:t>
            </w:r>
            <w:r w:rsidRPr="00097A86">
              <w:t>5.3 heading</w:t>
            </w:r>
            <w:r w:rsidRPr="00097A86">
              <w:tab/>
            </w:r>
          </w:p>
        </w:tc>
        <w:tc>
          <w:tcPr>
            <w:tcW w:w="3573" w:type="pct"/>
            <w:gridSpan w:val="2"/>
          </w:tcPr>
          <w:p w14:paraId="65B5A23D" w14:textId="77777777" w:rsidR="00F1362A" w:rsidRPr="00097A86" w:rsidRDefault="00F1362A" w:rsidP="00D22D3F">
            <w:pPr>
              <w:pStyle w:val="ENoteTableText"/>
            </w:pPr>
            <w:r w:rsidRPr="00097A86">
              <w:t>rs 2009 No.</w:t>
            </w:r>
            <w:r>
              <w:t> </w:t>
            </w:r>
            <w:r w:rsidRPr="00097A86">
              <w:t>1</w:t>
            </w:r>
          </w:p>
        </w:tc>
      </w:tr>
      <w:tr w:rsidR="00F1362A" w:rsidRPr="00097A86" w14:paraId="54EA031A" w14:textId="77777777" w:rsidTr="00C20CC2">
        <w:tblPrEx>
          <w:jc w:val="center"/>
        </w:tblPrEx>
        <w:trPr>
          <w:gridAfter w:val="1"/>
          <w:wAfter w:w="37" w:type="pct"/>
          <w:jc w:val="center"/>
        </w:trPr>
        <w:tc>
          <w:tcPr>
            <w:tcW w:w="1390" w:type="pct"/>
            <w:gridSpan w:val="2"/>
          </w:tcPr>
          <w:p w14:paraId="0D3E2CC3"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5.3.1</w:t>
            </w:r>
          </w:p>
        </w:tc>
        <w:tc>
          <w:tcPr>
            <w:tcW w:w="3573" w:type="pct"/>
            <w:gridSpan w:val="2"/>
          </w:tcPr>
          <w:p w14:paraId="2547F761" w14:textId="77777777" w:rsidR="00F1362A" w:rsidRPr="00097A86" w:rsidRDefault="00F1362A" w:rsidP="00D22D3F">
            <w:pPr>
              <w:pStyle w:val="ENoteTableText"/>
            </w:pPr>
          </w:p>
        </w:tc>
      </w:tr>
      <w:tr w:rsidR="00F1362A" w:rsidRPr="00097A86" w14:paraId="7D6AA8FE" w14:textId="77777777" w:rsidTr="00C20CC2">
        <w:tblPrEx>
          <w:jc w:val="center"/>
        </w:tblPrEx>
        <w:trPr>
          <w:gridAfter w:val="1"/>
          <w:wAfter w:w="37" w:type="pct"/>
          <w:jc w:val="center"/>
        </w:trPr>
        <w:tc>
          <w:tcPr>
            <w:tcW w:w="1390" w:type="pct"/>
            <w:gridSpan w:val="2"/>
          </w:tcPr>
          <w:p w14:paraId="3085E57F" w14:textId="77777777" w:rsidR="00F1362A" w:rsidRPr="00097A86" w:rsidRDefault="00F1362A" w:rsidP="006D1F60">
            <w:pPr>
              <w:pStyle w:val="ENoteTableText"/>
              <w:tabs>
                <w:tab w:val="left" w:leader="dot" w:pos="2268"/>
              </w:tabs>
            </w:pPr>
            <w:r w:rsidRPr="00097A86">
              <w:t>s 5.23</w:t>
            </w:r>
            <w:r w:rsidRPr="00097A86">
              <w:tab/>
            </w:r>
          </w:p>
        </w:tc>
        <w:tc>
          <w:tcPr>
            <w:tcW w:w="3573" w:type="pct"/>
            <w:gridSpan w:val="2"/>
          </w:tcPr>
          <w:p w14:paraId="1BC205F1" w14:textId="77777777" w:rsidR="00F1362A" w:rsidRPr="00097A86" w:rsidRDefault="00F1362A" w:rsidP="00D22D3F">
            <w:pPr>
              <w:pStyle w:val="ENoteTableText"/>
            </w:pPr>
            <w:r w:rsidRPr="00097A86">
              <w:t>rs 2009 No.</w:t>
            </w:r>
            <w:r>
              <w:t> </w:t>
            </w:r>
            <w:r w:rsidRPr="00097A86">
              <w:t>1</w:t>
            </w:r>
          </w:p>
        </w:tc>
      </w:tr>
      <w:tr w:rsidR="00F1362A" w:rsidRPr="00097A86" w14:paraId="2A58E08B" w14:textId="77777777" w:rsidTr="00C20CC2">
        <w:tblPrEx>
          <w:jc w:val="center"/>
        </w:tblPrEx>
        <w:trPr>
          <w:gridAfter w:val="1"/>
          <w:wAfter w:w="37" w:type="pct"/>
          <w:jc w:val="center"/>
        </w:trPr>
        <w:tc>
          <w:tcPr>
            <w:tcW w:w="1390" w:type="pct"/>
            <w:gridSpan w:val="2"/>
          </w:tcPr>
          <w:p w14:paraId="7FE20C2F" w14:textId="77777777" w:rsidR="00F1362A" w:rsidRPr="00097A86" w:rsidRDefault="00F1362A" w:rsidP="006D1F60">
            <w:pPr>
              <w:pStyle w:val="ENoteTableText"/>
              <w:tabs>
                <w:tab w:val="left" w:leader="dot" w:pos="2268"/>
              </w:tabs>
            </w:pPr>
          </w:p>
        </w:tc>
        <w:tc>
          <w:tcPr>
            <w:tcW w:w="3573" w:type="pct"/>
            <w:gridSpan w:val="2"/>
          </w:tcPr>
          <w:p w14:paraId="1DFA6747" w14:textId="77777777" w:rsidR="00F1362A" w:rsidRPr="00097A86" w:rsidRDefault="00F1362A" w:rsidP="00D22D3F">
            <w:pPr>
              <w:pStyle w:val="ENoteTableText"/>
            </w:pPr>
            <w:r>
              <w:t>am F2018L00923</w:t>
            </w:r>
          </w:p>
        </w:tc>
      </w:tr>
      <w:tr w:rsidR="00F1362A" w:rsidRPr="00097A86" w14:paraId="10FC80DE" w14:textId="77777777" w:rsidTr="00C20CC2">
        <w:tblPrEx>
          <w:jc w:val="center"/>
        </w:tblPrEx>
        <w:trPr>
          <w:gridAfter w:val="1"/>
          <w:wAfter w:w="37" w:type="pct"/>
          <w:jc w:val="center"/>
        </w:trPr>
        <w:tc>
          <w:tcPr>
            <w:tcW w:w="1390" w:type="pct"/>
            <w:gridSpan w:val="2"/>
          </w:tcPr>
          <w:p w14:paraId="2EAAEE7E" w14:textId="77777777" w:rsidR="00F1362A" w:rsidRPr="00097A86" w:rsidRDefault="00F1362A" w:rsidP="006D1F60">
            <w:pPr>
              <w:pStyle w:val="ENoteTableText"/>
              <w:tabs>
                <w:tab w:val="left" w:leader="dot" w:pos="2268"/>
              </w:tabs>
            </w:pPr>
            <w:r w:rsidRPr="00097A86">
              <w:t>s 5.24</w:t>
            </w:r>
            <w:r w:rsidRPr="00097A86">
              <w:tab/>
            </w:r>
          </w:p>
        </w:tc>
        <w:tc>
          <w:tcPr>
            <w:tcW w:w="3573" w:type="pct"/>
            <w:gridSpan w:val="2"/>
          </w:tcPr>
          <w:p w14:paraId="6E8C21E0" w14:textId="77777777" w:rsidR="00F1362A" w:rsidRPr="00097A86" w:rsidRDefault="00F1362A" w:rsidP="00D22D3F">
            <w:pPr>
              <w:pStyle w:val="ENoteTableText"/>
            </w:pPr>
            <w:r w:rsidRPr="00097A86">
              <w:t>am 2009 No.</w:t>
            </w:r>
            <w:r>
              <w:t> </w:t>
            </w:r>
            <w:r w:rsidRPr="00097A86">
              <w:t>1</w:t>
            </w:r>
          </w:p>
        </w:tc>
      </w:tr>
      <w:tr w:rsidR="00F1362A" w:rsidRPr="00097A86" w14:paraId="12EE4F63" w14:textId="77777777" w:rsidTr="00C20CC2">
        <w:tblPrEx>
          <w:jc w:val="center"/>
        </w:tblPrEx>
        <w:trPr>
          <w:gridAfter w:val="1"/>
          <w:wAfter w:w="37" w:type="pct"/>
          <w:jc w:val="center"/>
        </w:trPr>
        <w:tc>
          <w:tcPr>
            <w:tcW w:w="1390" w:type="pct"/>
            <w:gridSpan w:val="2"/>
          </w:tcPr>
          <w:p w14:paraId="41E88D1B"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5.3.2</w:t>
            </w:r>
          </w:p>
        </w:tc>
        <w:tc>
          <w:tcPr>
            <w:tcW w:w="3573" w:type="pct"/>
            <w:gridSpan w:val="2"/>
          </w:tcPr>
          <w:p w14:paraId="117A1117" w14:textId="77777777" w:rsidR="00F1362A" w:rsidRPr="00097A86" w:rsidRDefault="00F1362A" w:rsidP="00D22D3F">
            <w:pPr>
              <w:pStyle w:val="ENoteTableText"/>
            </w:pPr>
          </w:p>
        </w:tc>
      </w:tr>
      <w:tr w:rsidR="00F1362A" w:rsidRPr="00097A86" w14:paraId="0F63D870" w14:textId="77777777" w:rsidTr="00C20CC2">
        <w:tblPrEx>
          <w:jc w:val="center"/>
        </w:tblPrEx>
        <w:trPr>
          <w:gridAfter w:val="1"/>
          <w:wAfter w:w="37" w:type="pct"/>
          <w:jc w:val="center"/>
        </w:trPr>
        <w:tc>
          <w:tcPr>
            <w:tcW w:w="1390" w:type="pct"/>
            <w:gridSpan w:val="2"/>
          </w:tcPr>
          <w:p w14:paraId="5B684D00" w14:textId="77777777" w:rsidR="00F1362A" w:rsidRPr="00097A86" w:rsidRDefault="00F1362A" w:rsidP="006D1F60">
            <w:pPr>
              <w:pStyle w:val="ENoteTableText"/>
              <w:tabs>
                <w:tab w:val="left" w:leader="dot" w:pos="2268"/>
              </w:tabs>
            </w:pPr>
            <w:r w:rsidRPr="00097A86">
              <w:t>s 5.25</w:t>
            </w:r>
            <w:r w:rsidRPr="00097A86">
              <w:tab/>
            </w:r>
          </w:p>
        </w:tc>
        <w:tc>
          <w:tcPr>
            <w:tcW w:w="3573" w:type="pct"/>
            <w:gridSpan w:val="2"/>
          </w:tcPr>
          <w:p w14:paraId="4B5ED024" w14:textId="77777777" w:rsidR="00F1362A" w:rsidRPr="00097A86" w:rsidRDefault="00F1362A" w:rsidP="00D22D3F">
            <w:pPr>
              <w:pStyle w:val="ENoteTableText"/>
            </w:pPr>
            <w:r w:rsidRPr="00097A86">
              <w:t>am 2009 No.</w:t>
            </w:r>
            <w:r>
              <w:t> </w:t>
            </w:r>
            <w:r w:rsidRPr="00097A86">
              <w:t>1; 2010 No.</w:t>
            </w:r>
            <w:r>
              <w:t> </w:t>
            </w:r>
            <w:r w:rsidRPr="00097A86">
              <w:t>1; 2011 No.</w:t>
            </w:r>
            <w:r>
              <w:t> </w:t>
            </w:r>
            <w:r w:rsidRPr="00097A86">
              <w:t>1; 2015 No 1</w:t>
            </w:r>
          </w:p>
        </w:tc>
      </w:tr>
      <w:tr w:rsidR="00F1362A" w:rsidRPr="00097A86" w14:paraId="4F54A7F1" w14:textId="77777777" w:rsidTr="00C20CC2">
        <w:tblPrEx>
          <w:jc w:val="center"/>
        </w:tblPrEx>
        <w:trPr>
          <w:gridAfter w:val="1"/>
          <w:wAfter w:w="37" w:type="pct"/>
          <w:jc w:val="center"/>
        </w:trPr>
        <w:tc>
          <w:tcPr>
            <w:tcW w:w="1390" w:type="pct"/>
            <w:gridSpan w:val="2"/>
          </w:tcPr>
          <w:p w14:paraId="0472EE9F"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5.3.3</w:t>
            </w:r>
          </w:p>
        </w:tc>
        <w:tc>
          <w:tcPr>
            <w:tcW w:w="3573" w:type="pct"/>
            <w:gridSpan w:val="2"/>
          </w:tcPr>
          <w:p w14:paraId="48390A80" w14:textId="77777777" w:rsidR="00F1362A" w:rsidRPr="00097A86" w:rsidRDefault="00F1362A" w:rsidP="00D22D3F">
            <w:pPr>
              <w:pStyle w:val="ENoteTableText"/>
            </w:pPr>
          </w:p>
        </w:tc>
      </w:tr>
      <w:tr w:rsidR="00F1362A" w:rsidRPr="00097A86" w14:paraId="181380E3" w14:textId="77777777" w:rsidTr="00C20CC2">
        <w:tblPrEx>
          <w:jc w:val="center"/>
        </w:tblPrEx>
        <w:trPr>
          <w:gridAfter w:val="1"/>
          <w:wAfter w:w="37" w:type="pct"/>
          <w:jc w:val="center"/>
        </w:trPr>
        <w:tc>
          <w:tcPr>
            <w:tcW w:w="1390" w:type="pct"/>
            <w:gridSpan w:val="2"/>
          </w:tcPr>
          <w:p w14:paraId="7DBBA16A" w14:textId="77777777" w:rsidR="00F1362A" w:rsidRPr="00097A86" w:rsidRDefault="00F1362A" w:rsidP="006D1F60">
            <w:pPr>
              <w:pStyle w:val="ENoteTableText"/>
              <w:tabs>
                <w:tab w:val="left" w:leader="dot" w:pos="2268"/>
              </w:tabs>
            </w:pPr>
            <w:r w:rsidRPr="00097A86">
              <w:t>s 5.26</w:t>
            </w:r>
            <w:r w:rsidRPr="00097A86">
              <w:tab/>
            </w:r>
          </w:p>
        </w:tc>
        <w:tc>
          <w:tcPr>
            <w:tcW w:w="3573" w:type="pct"/>
            <w:gridSpan w:val="2"/>
          </w:tcPr>
          <w:p w14:paraId="222C49AF" w14:textId="77777777" w:rsidR="00F1362A" w:rsidRPr="00097A86" w:rsidRDefault="00F1362A" w:rsidP="00D22D3F">
            <w:pPr>
              <w:pStyle w:val="ENoteTableText"/>
            </w:pPr>
            <w:r w:rsidRPr="00097A86">
              <w:t>am 2009 No.</w:t>
            </w:r>
            <w:r>
              <w:t> </w:t>
            </w:r>
            <w:r w:rsidRPr="00097A86">
              <w:t>1</w:t>
            </w:r>
          </w:p>
        </w:tc>
      </w:tr>
      <w:tr w:rsidR="00F1362A" w:rsidRPr="00097A86" w14:paraId="2965A601" w14:textId="77777777" w:rsidTr="00C20CC2">
        <w:tblPrEx>
          <w:jc w:val="center"/>
        </w:tblPrEx>
        <w:trPr>
          <w:gridAfter w:val="1"/>
          <w:wAfter w:w="37" w:type="pct"/>
          <w:jc w:val="center"/>
        </w:trPr>
        <w:tc>
          <w:tcPr>
            <w:tcW w:w="1390" w:type="pct"/>
            <w:gridSpan w:val="2"/>
          </w:tcPr>
          <w:p w14:paraId="3F4454CA" w14:textId="77777777" w:rsidR="00F1362A" w:rsidRPr="00097A86" w:rsidRDefault="00F1362A" w:rsidP="006D1F60">
            <w:pPr>
              <w:pStyle w:val="ENoteTableText"/>
              <w:tabs>
                <w:tab w:val="left" w:leader="dot" w:pos="2268"/>
              </w:tabs>
            </w:pPr>
          </w:p>
        </w:tc>
        <w:tc>
          <w:tcPr>
            <w:tcW w:w="3573" w:type="pct"/>
            <w:gridSpan w:val="2"/>
          </w:tcPr>
          <w:p w14:paraId="3B75986F" w14:textId="77777777" w:rsidR="00F1362A" w:rsidRPr="00097A86" w:rsidRDefault="00F1362A" w:rsidP="00D22D3F">
            <w:pPr>
              <w:pStyle w:val="ENoteTableText"/>
            </w:pPr>
            <w:r w:rsidRPr="00097A86">
              <w:t>rs 2014 No.</w:t>
            </w:r>
            <w:r>
              <w:t> </w:t>
            </w:r>
            <w:r w:rsidRPr="00097A86">
              <w:t>1</w:t>
            </w:r>
          </w:p>
        </w:tc>
      </w:tr>
      <w:tr w:rsidR="00F1362A" w:rsidRPr="00097A86" w14:paraId="21315A1A" w14:textId="77777777" w:rsidTr="00C20CC2">
        <w:tblPrEx>
          <w:jc w:val="center"/>
        </w:tblPrEx>
        <w:trPr>
          <w:gridAfter w:val="1"/>
          <w:wAfter w:w="37" w:type="pct"/>
          <w:jc w:val="center"/>
        </w:trPr>
        <w:tc>
          <w:tcPr>
            <w:tcW w:w="1390" w:type="pct"/>
            <w:gridSpan w:val="2"/>
          </w:tcPr>
          <w:p w14:paraId="3B9E395F" w14:textId="77777777" w:rsidR="00F1362A" w:rsidRPr="00097A86" w:rsidRDefault="00F1362A" w:rsidP="006D1F60">
            <w:pPr>
              <w:pStyle w:val="ENoteTableText"/>
              <w:tabs>
                <w:tab w:val="left" w:leader="dot" w:pos="2268"/>
              </w:tabs>
            </w:pPr>
          </w:p>
        </w:tc>
        <w:tc>
          <w:tcPr>
            <w:tcW w:w="3573" w:type="pct"/>
            <w:gridSpan w:val="2"/>
          </w:tcPr>
          <w:p w14:paraId="400BD684" w14:textId="77777777" w:rsidR="00F1362A" w:rsidRPr="00097A86" w:rsidRDefault="00F1362A" w:rsidP="00D22D3F">
            <w:pPr>
              <w:pStyle w:val="ENoteTableText"/>
            </w:pPr>
            <w:r w:rsidRPr="00097A86">
              <w:t>am 2015 No 1</w:t>
            </w:r>
          </w:p>
        </w:tc>
      </w:tr>
      <w:tr w:rsidR="00F1362A" w:rsidRPr="00097A86" w14:paraId="0CA3E33C" w14:textId="77777777" w:rsidTr="00C20CC2">
        <w:tblPrEx>
          <w:jc w:val="center"/>
        </w:tblPrEx>
        <w:trPr>
          <w:gridAfter w:val="1"/>
          <w:wAfter w:w="37" w:type="pct"/>
          <w:jc w:val="center"/>
        </w:trPr>
        <w:tc>
          <w:tcPr>
            <w:tcW w:w="1390" w:type="pct"/>
            <w:gridSpan w:val="2"/>
          </w:tcPr>
          <w:p w14:paraId="7D5A4A3E" w14:textId="77777777" w:rsidR="00F1362A" w:rsidRPr="00097A86" w:rsidRDefault="00F1362A" w:rsidP="00C06368">
            <w:pPr>
              <w:pStyle w:val="ENoteTableText"/>
              <w:tabs>
                <w:tab w:val="left" w:leader="dot" w:pos="2268"/>
              </w:tabs>
            </w:pPr>
            <w:r w:rsidRPr="00097A86">
              <w:t>s 5.26A</w:t>
            </w:r>
            <w:r w:rsidRPr="00097A86">
              <w:tab/>
            </w:r>
          </w:p>
        </w:tc>
        <w:tc>
          <w:tcPr>
            <w:tcW w:w="3573" w:type="pct"/>
            <w:gridSpan w:val="2"/>
          </w:tcPr>
          <w:p w14:paraId="0BDF3293" w14:textId="77777777" w:rsidR="00F1362A" w:rsidRPr="00097A86" w:rsidRDefault="00F1362A" w:rsidP="00D22D3F">
            <w:pPr>
              <w:pStyle w:val="ENoteTableText"/>
            </w:pPr>
            <w:r w:rsidRPr="00097A86">
              <w:t>ad 2014 No.</w:t>
            </w:r>
            <w:r>
              <w:t> </w:t>
            </w:r>
            <w:r w:rsidRPr="00097A86">
              <w:t>1</w:t>
            </w:r>
          </w:p>
        </w:tc>
      </w:tr>
      <w:tr w:rsidR="00F1362A" w:rsidRPr="00097A86" w14:paraId="0914978A" w14:textId="77777777" w:rsidTr="00C20CC2">
        <w:tblPrEx>
          <w:jc w:val="center"/>
        </w:tblPrEx>
        <w:trPr>
          <w:gridAfter w:val="1"/>
          <w:wAfter w:w="37" w:type="pct"/>
          <w:jc w:val="center"/>
        </w:trPr>
        <w:tc>
          <w:tcPr>
            <w:tcW w:w="1390" w:type="pct"/>
            <w:gridSpan w:val="2"/>
          </w:tcPr>
          <w:p w14:paraId="06512042"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5.3.5</w:t>
            </w:r>
          </w:p>
        </w:tc>
        <w:tc>
          <w:tcPr>
            <w:tcW w:w="3573" w:type="pct"/>
            <w:gridSpan w:val="2"/>
          </w:tcPr>
          <w:p w14:paraId="714F44F0" w14:textId="77777777" w:rsidR="00F1362A" w:rsidRPr="00097A86" w:rsidRDefault="00F1362A" w:rsidP="00D22D3F">
            <w:pPr>
              <w:pStyle w:val="ENoteTableText"/>
            </w:pPr>
          </w:p>
        </w:tc>
      </w:tr>
      <w:tr w:rsidR="00F1362A" w:rsidRPr="00097A86" w14:paraId="0F7482C1" w14:textId="77777777" w:rsidTr="00C20CC2">
        <w:tblPrEx>
          <w:jc w:val="center"/>
        </w:tblPrEx>
        <w:trPr>
          <w:gridAfter w:val="1"/>
          <w:wAfter w:w="37" w:type="pct"/>
          <w:jc w:val="center"/>
        </w:trPr>
        <w:tc>
          <w:tcPr>
            <w:tcW w:w="1390" w:type="pct"/>
            <w:gridSpan w:val="2"/>
          </w:tcPr>
          <w:p w14:paraId="76062F6B" w14:textId="77777777" w:rsidR="00F1362A" w:rsidRPr="00097A86" w:rsidRDefault="00F1362A" w:rsidP="006D1F60">
            <w:pPr>
              <w:pStyle w:val="ENoteTableText"/>
              <w:tabs>
                <w:tab w:val="left" w:leader="dot" w:pos="2268"/>
              </w:tabs>
            </w:pPr>
            <w:r w:rsidRPr="00097A86">
              <w:t>s 5.31</w:t>
            </w:r>
            <w:r w:rsidRPr="00097A86">
              <w:tab/>
            </w:r>
          </w:p>
        </w:tc>
        <w:tc>
          <w:tcPr>
            <w:tcW w:w="3573" w:type="pct"/>
            <w:gridSpan w:val="2"/>
          </w:tcPr>
          <w:p w14:paraId="6656151A" w14:textId="77777777" w:rsidR="00F1362A" w:rsidRPr="00097A86" w:rsidRDefault="00F1362A" w:rsidP="00D22D3F">
            <w:pPr>
              <w:pStyle w:val="ENoteTableText"/>
            </w:pPr>
            <w:r w:rsidRPr="00097A86">
              <w:t>rs 2011 No.</w:t>
            </w:r>
            <w:r>
              <w:t> </w:t>
            </w:r>
            <w:r w:rsidRPr="00097A86">
              <w:t>1</w:t>
            </w:r>
          </w:p>
        </w:tc>
      </w:tr>
      <w:tr w:rsidR="00F1362A" w:rsidRPr="00097A86" w14:paraId="43F7424C" w14:textId="77777777" w:rsidTr="00C20CC2">
        <w:tblPrEx>
          <w:jc w:val="center"/>
        </w:tblPrEx>
        <w:trPr>
          <w:gridAfter w:val="1"/>
          <w:wAfter w:w="37" w:type="pct"/>
          <w:jc w:val="center"/>
        </w:trPr>
        <w:tc>
          <w:tcPr>
            <w:tcW w:w="1390" w:type="pct"/>
            <w:gridSpan w:val="2"/>
          </w:tcPr>
          <w:p w14:paraId="03C8E6B5" w14:textId="77777777" w:rsidR="00F1362A" w:rsidRPr="00097A86" w:rsidRDefault="00F1362A" w:rsidP="006D1F60">
            <w:pPr>
              <w:pStyle w:val="ENoteTableText"/>
              <w:tabs>
                <w:tab w:val="left" w:leader="dot" w:pos="2268"/>
              </w:tabs>
            </w:pPr>
          </w:p>
        </w:tc>
        <w:tc>
          <w:tcPr>
            <w:tcW w:w="3573" w:type="pct"/>
            <w:gridSpan w:val="2"/>
          </w:tcPr>
          <w:p w14:paraId="4D4750E5" w14:textId="77777777" w:rsidR="00F1362A" w:rsidRPr="00097A86" w:rsidRDefault="00F1362A" w:rsidP="00D22D3F">
            <w:pPr>
              <w:pStyle w:val="ENoteTableText"/>
            </w:pPr>
            <w:r w:rsidRPr="00097A86">
              <w:t>am 2012 No.</w:t>
            </w:r>
            <w:r>
              <w:t> </w:t>
            </w:r>
            <w:r w:rsidRPr="00097A86">
              <w:t>1; 2015 No 1</w:t>
            </w:r>
          </w:p>
        </w:tc>
      </w:tr>
      <w:tr w:rsidR="00F1362A" w:rsidRPr="00097A86" w14:paraId="17A20694" w14:textId="77777777" w:rsidTr="00C20CC2">
        <w:tblPrEx>
          <w:jc w:val="center"/>
        </w:tblPrEx>
        <w:trPr>
          <w:gridAfter w:val="1"/>
          <w:wAfter w:w="37" w:type="pct"/>
          <w:jc w:val="center"/>
        </w:trPr>
        <w:tc>
          <w:tcPr>
            <w:tcW w:w="1390" w:type="pct"/>
            <w:gridSpan w:val="2"/>
          </w:tcPr>
          <w:p w14:paraId="7FB74708"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5.3.6</w:t>
            </w:r>
          </w:p>
        </w:tc>
        <w:tc>
          <w:tcPr>
            <w:tcW w:w="3573" w:type="pct"/>
            <w:gridSpan w:val="2"/>
          </w:tcPr>
          <w:p w14:paraId="352CED8D" w14:textId="77777777" w:rsidR="00F1362A" w:rsidRPr="00097A86" w:rsidRDefault="00F1362A" w:rsidP="00D22D3F">
            <w:pPr>
              <w:pStyle w:val="ENoteTableText"/>
            </w:pPr>
          </w:p>
        </w:tc>
      </w:tr>
      <w:tr w:rsidR="00F1362A" w:rsidRPr="00097A86" w14:paraId="638BBB6A" w14:textId="77777777" w:rsidTr="00C20CC2">
        <w:tblPrEx>
          <w:jc w:val="center"/>
        </w:tblPrEx>
        <w:trPr>
          <w:gridAfter w:val="1"/>
          <w:wAfter w:w="37" w:type="pct"/>
          <w:jc w:val="center"/>
        </w:trPr>
        <w:tc>
          <w:tcPr>
            <w:tcW w:w="1390" w:type="pct"/>
            <w:gridSpan w:val="2"/>
          </w:tcPr>
          <w:p w14:paraId="3DE312C3" w14:textId="77777777" w:rsidR="00F1362A" w:rsidRPr="00097A86" w:rsidRDefault="00F1362A" w:rsidP="006D1F60">
            <w:pPr>
              <w:pStyle w:val="ENoteTableText"/>
              <w:tabs>
                <w:tab w:val="left" w:leader="dot" w:pos="2268"/>
              </w:tabs>
            </w:pPr>
            <w:r w:rsidRPr="00097A86">
              <w:lastRenderedPageBreak/>
              <w:t>s 5.32</w:t>
            </w:r>
            <w:r w:rsidRPr="00097A86">
              <w:tab/>
            </w:r>
          </w:p>
        </w:tc>
        <w:tc>
          <w:tcPr>
            <w:tcW w:w="3573" w:type="pct"/>
            <w:gridSpan w:val="2"/>
          </w:tcPr>
          <w:p w14:paraId="4B53A91E" w14:textId="77777777" w:rsidR="00F1362A" w:rsidRPr="00097A86" w:rsidRDefault="00F1362A" w:rsidP="00D22D3F">
            <w:pPr>
              <w:pStyle w:val="ENoteTableText"/>
            </w:pPr>
            <w:r w:rsidRPr="00097A86">
              <w:t>am 2012 No.</w:t>
            </w:r>
            <w:r>
              <w:t> </w:t>
            </w:r>
            <w:r w:rsidRPr="00097A86">
              <w:t>1</w:t>
            </w:r>
          </w:p>
        </w:tc>
      </w:tr>
      <w:tr w:rsidR="00F1362A" w:rsidRPr="00097A86" w14:paraId="4CACE202" w14:textId="77777777" w:rsidTr="00C20CC2">
        <w:tblPrEx>
          <w:jc w:val="center"/>
        </w:tblPrEx>
        <w:trPr>
          <w:gridAfter w:val="1"/>
          <w:wAfter w:w="37" w:type="pct"/>
          <w:jc w:val="center"/>
        </w:trPr>
        <w:tc>
          <w:tcPr>
            <w:tcW w:w="1390" w:type="pct"/>
            <w:gridSpan w:val="2"/>
          </w:tcPr>
          <w:p w14:paraId="02A1B158"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5.3.8</w:t>
            </w:r>
          </w:p>
        </w:tc>
        <w:tc>
          <w:tcPr>
            <w:tcW w:w="3573" w:type="pct"/>
            <w:gridSpan w:val="2"/>
          </w:tcPr>
          <w:p w14:paraId="101D3CA9" w14:textId="77777777" w:rsidR="00F1362A" w:rsidRPr="00097A86" w:rsidRDefault="00F1362A" w:rsidP="00D22D3F">
            <w:pPr>
              <w:pStyle w:val="ENoteTableText"/>
            </w:pPr>
          </w:p>
        </w:tc>
      </w:tr>
      <w:tr w:rsidR="00F1362A" w:rsidRPr="00097A86" w14:paraId="74C0D758" w14:textId="77777777" w:rsidTr="00C20CC2">
        <w:tblPrEx>
          <w:jc w:val="center"/>
        </w:tblPrEx>
        <w:trPr>
          <w:gridAfter w:val="1"/>
          <w:wAfter w:w="37" w:type="pct"/>
          <w:jc w:val="center"/>
        </w:trPr>
        <w:tc>
          <w:tcPr>
            <w:tcW w:w="1390" w:type="pct"/>
            <w:gridSpan w:val="2"/>
          </w:tcPr>
          <w:p w14:paraId="1F674391" w14:textId="77777777" w:rsidR="00F1362A" w:rsidRPr="00097A86" w:rsidRDefault="00F1362A" w:rsidP="006D1F60">
            <w:pPr>
              <w:pStyle w:val="ENoteTableText"/>
              <w:tabs>
                <w:tab w:val="left" w:leader="dot" w:pos="2268"/>
              </w:tabs>
            </w:pPr>
            <w:r w:rsidRPr="00097A86">
              <w:t>s 5.37</w:t>
            </w:r>
            <w:r w:rsidRPr="00097A86">
              <w:tab/>
            </w:r>
          </w:p>
        </w:tc>
        <w:tc>
          <w:tcPr>
            <w:tcW w:w="3573" w:type="pct"/>
            <w:gridSpan w:val="2"/>
          </w:tcPr>
          <w:p w14:paraId="5797C72C" w14:textId="77777777" w:rsidR="00F1362A" w:rsidRPr="00097A86" w:rsidRDefault="00F1362A" w:rsidP="00D22D3F">
            <w:pPr>
              <w:pStyle w:val="ENoteTableText"/>
            </w:pPr>
            <w:r w:rsidRPr="00097A86">
              <w:t>am 2012 No.</w:t>
            </w:r>
            <w:r>
              <w:t> </w:t>
            </w:r>
            <w:r w:rsidRPr="00097A86">
              <w:t>1</w:t>
            </w:r>
          </w:p>
        </w:tc>
      </w:tr>
      <w:tr w:rsidR="00F1362A" w:rsidRPr="00097A86" w14:paraId="46E5AB80" w14:textId="77777777" w:rsidTr="00C20CC2">
        <w:tblPrEx>
          <w:jc w:val="center"/>
        </w:tblPrEx>
        <w:trPr>
          <w:gridAfter w:val="1"/>
          <w:wAfter w:w="37" w:type="pct"/>
          <w:jc w:val="center"/>
        </w:trPr>
        <w:tc>
          <w:tcPr>
            <w:tcW w:w="1390" w:type="pct"/>
            <w:gridSpan w:val="2"/>
          </w:tcPr>
          <w:p w14:paraId="25124E8B" w14:textId="77777777" w:rsidR="00F1362A" w:rsidRPr="00097A86" w:rsidRDefault="00F1362A" w:rsidP="006D1F60">
            <w:pPr>
              <w:pStyle w:val="ENoteTableText"/>
              <w:tabs>
                <w:tab w:val="left" w:leader="dot" w:pos="2268"/>
              </w:tabs>
            </w:pPr>
            <w:r w:rsidRPr="00097A86">
              <w:rPr>
                <w:b/>
              </w:rPr>
              <w:t>Part</w:t>
            </w:r>
            <w:r>
              <w:rPr>
                <w:b/>
              </w:rPr>
              <w:t> </w:t>
            </w:r>
            <w:r w:rsidRPr="00097A86">
              <w:rPr>
                <w:b/>
              </w:rPr>
              <w:t>5.4</w:t>
            </w:r>
          </w:p>
        </w:tc>
        <w:tc>
          <w:tcPr>
            <w:tcW w:w="3573" w:type="pct"/>
            <w:gridSpan w:val="2"/>
          </w:tcPr>
          <w:p w14:paraId="4A5C02D6" w14:textId="77777777" w:rsidR="00F1362A" w:rsidRPr="00097A86" w:rsidRDefault="00F1362A" w:rsidP="00D22D3F">
            <w:pPr>
              <w:pStyle w:val="ENoteTableText"/>
            </w:pPr>
          </w:p>
        </w:tc>
      </w:tr>
      <w:tr w:rsidR="00F1362A" w:rsidRPr="00097A86" w14:paraId="1C619F88" w14:textId="77777777" w:rsidTr="00C20CC2">
        <w:tblPrEx>
          <w:jc w:val="center"/>
        </w:tblPrEx>
        <w:trPr>
          <w:gridAfter w:val="1"/>
          <w:wAfter w:w="37" w:type="pct"/>
          <w:jc w:val="center"/>
        </w:trPr>
        <w:tc>
          <w:tcPr>
            <w:tcW w:w="1390" w:type="pct"/>
            <w:gridSpan w:val="2"/>
          </w:tcPr>
          <w:p w14:paraId="73F12C95" w14:textId="77777777" w:rsidR="00F1362A" w:rsidRPr="00097A86" w:rsidRDefault="00F1362A" w:rsidP="007A5DE9">
            <w:pPr>
              <w:pStyle w:val="ENoteTableText"/>
              <w:tabs>
                <w:tab w:val="left" w:leader="dot" w:pos="2268"/>
              </w:tabs>
            </w:pPr>
            <w:r w:rsidRPr="00097A86">
              <w:t>Part</w:t>
            </w:r>
            <w:r>
              <w:t> </w:t>
            </w:r>
            <w:r w:rsidRPr="00097A86">
              <w:t>5.4 heading</w:t>
            </w:r>
            <w:r w:rsidRPr="00097A86">
              <w:tab/>
            </w:r>
          </w:p>
        </w:tc>
        <w:tc>
          <w:tcPr>
            <w:tcW w:w="3573" w:type="pct"/>
            <w:gridSpan w:val="2"/>
          </w:tcPr>
          <w:p w14:paraId="06483D3A" w14:textId="77777777" w:rsidR="00F1362A" w:rsidRPr="00097A86" w:rsidRDefault="00F1362A" w:rsidP="00D22D3F">
            <w:pPr>
              <w:pStyle w:val="ENoteTableText"/>
            </w:pPr>
            <w:r w:rsidRPr="00097A86">
              <w:t>rs 2009 No.</w:t>
            </w:r>
            <w:r>
              <w:t> </w:t>
            </w:r>
            <w:r w:rsidRPr="00097A86">
              <w:t>1</w:t>
            </w:r>
          </w:p>
        </w:tc>
      </w:tr>
      <w:tr w:rsidR="00F1362A" w:rsidRPr="00097A86" w14:paraId="6C998FFF" w14:textId="77777777" w:rsidTr="00C20CC2">
        <w:tblPrEx>
          <w:jc w:val="center"/>
        </w:tblPrEx>
        <w:trPr>
          <w:gridAfter w:val="1"/>
          <w:wAfter w:w="37" w:type="pct"/>
          <w:jc w:val="center"/>
        </w:trPr>
        <w:tc>
          <w:tcPr>
            <w:tcW w:w="1390" w:type="pct"/>
            <w:gridSpan w:val="2"/>
          </w:tcPr>
          <w:p w14:paraId="6831E67E"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5.4.1</w:t>
            </w:r>
          </w:p>
        </w:tc>
        <w:tc>
          <w:tcPr>
            <w:tcW w:w="3573" w:type="pct"/>
            <w:gridSpan w:val="2"/>
          </w:tcPr>
          <w:p w14:paraId="5D64518E" w14:textId="77777777" w:rsidR="00F1362A" w:rsidRPr="00097A86" w:rsidRDefault="00F1362A" w:rsidP="00D22D3F">
            <w:pPr>
              <w:pStyle w:val="ENoteTableText"/>
            </w:pPr>
          </w:p>
        </w:tc>
      </w:tr>
      <w:tr w:rsidR="00F1362A" w:rsidRPr="00097A86" w14:paraId="318E9FDC" w14:textId="77777777" w:rsidTr="00C20CC2">
        <w:tblPrEx>
          <w:jc w:val="center"/>
        </w:tblPrEx>
        <w:trPr>
          <w:gridAfter w:val="1"/>
          <w:wAfter w:w="37" w:type="pct"/>
          <w:jc w:val="center"/>
        </w:trPr>
        <w:tc>
          <w:tcPr>
            <w:tcW w:w="1390" w:type="pct"/>
            <w:gridSpan w:val="2"/>
          </w:tcPr>
          <w:p w14:paraId="5A361A8D" w14:textId="77777777" w:rsidR="00F1362A" w:rsidRPr="00097A86" w:rsidRDefault="00F1362A" w:rsidP="006D1F60">
            <w:pPr>
              <w:pStyle w:val="ENoteTableText"/>
              <w:tabs>
                <w:tab w:val="left" w:leader="dot" w:pos="2268"/>
              </w:tabs>
            </w:pPr>
            <w:r w:rsidRPr="00097A86">
              <w:t>s 5.40</w:t>
            </w:r>
            <w:r w:rsidRPr="00097A86">
              <w:tab/>
            </w:r>
          </w:p>
        </w:tc>
        <w:tc>
          <w:tcPr>
            <w:tcW w:w="3573" w:type="pct"/>
            <w:gridSpan w:val="2"/>
          </w:tcPr>
          <w:p w14:paraId="68A5893C" w14:textId="77777777" w:rsidR="00F1362A" w:rsidRPr="00097A86" w:rsidRDefault="00F1362A" w:rsidP="00D22D3F">
            <w:pPr>
              <w:pStyle w:val="ENoteTableText"/>
            </w:pPr>
            <w:r w:rsidRPr="00097A86">
              <w:t>rs 2009 No.</w:t>
            </w:r>
            <w:r>
              <w:t> </w:t>
            </w:r>
            <w:r w:rsidRPr="00097A86">
              <w:t>1</w:t>
            </w:r>
          </w:p>
        </w:tc>
      </w:tr>
      <w:tr w:rsidR="00F1362A" w:rsidRPr="00097A86" w14:paraId="04801B82" w14:textId="77777777" w:rsidTr="00C20CC2">
        <w:tblPrEx>
          <w:jc w:val="center"/>
        </w:tblPrEx>
        <w:trPr>
          <w:gridAfter w:val="1"/>
          <w:wAfter w:w="37" w:type="pct"/>
          <w:jc w:val="center"/>
        </w:trPr>
        <w:tc>
          <w:tcPr>
            <w:tcW w:w="1390" w:type="pct"/>
            <w:gridSpan w:val="2"/>
          </w:tcPr>
          <w:p w14:paraId="47978553" w14:textId="77777777" w:rsidR="00F1362A" w:rsidRPr="00097A86" w:rsidRDefault="00F1362A" w:rsidP="006D1F60">
            <w:pPr>
              <w:pStyle w:val="ENoteTableText"/>
              <w:tabs>
                <w:tab w:val="left" w:leader="dot" w:pos="2268"/>
              </w:tabs>
            </w:pPr>
          </w:p>
        </w:tc>
        <w:tc>
          <w:tcPr>
            <w:tcW w:w="3573" w:type="pct"/>
            <w:gridSpan w:val="2"/>
          </w:tcPr>
          <w:p w14:paraId="1AE2A928" w14:textId="77777777" w:rsidR="00F1362A" w:rsidRPr="00097A86" w:rsidRDefault="00F1362A" w:rsidP="00D22D3F">
            <w:pPr>
              <w:pStyle w:val="ENoteTableText"/>
            </w:pPr>
            <w:r w:rsidRPr="00097A86">
              <w:t>am 2011 No.</w:t>
            </w:r>
            <w:r>
              <w:t> </w:t>
            </w:r>
            <w:r w:rsidRPr="00097A86">
              <w:t>1; 2013 No.</w:t>
            </w:r>
            <w:r>
              <w:t> </w:t>
            </w:r>
            <w:r w:rsidRPr="00097A86">
              <w:t>1; 2014 No.</w:t>
            </w:r>
            <w:r>
              <w:t> </w:t>
            </w:r>
            <w:r w:rsidRPr="00097A86">
              <w:t>1</w:t>
            </w:r>
          </w:p>
        </w:tc>
      </w:tr>
      <w:tr w:rsidR="00F1362A" w:rsidRPr="00097A86" w14:paraId="53300ACE" w14:textId="77777777" w:rsidTr="00C20CC2">
        <w:tblPrEx>
          <w:jc w:val="center"/>
        </w:tblPrEx>
        <w:trPr>
          <w:gridAfter w:val="1"/>
          <w:wAfter w:w="37" w:type="pct"/>
          <w:jc w:val="center"/>
        </w:trPr>
        <w:tc>
          <w:tcPr>
            <w:tcW w:w="1390" w:type="pct"/>
            <w:gridSpan w:val="2"/>
          </w:tcPr>
          <w:p w14:paraId="41ABF1A4" w14:textId="77777777" w:rsidR="00F1362A" w:rsidRPr="00097A86" w:rsidRDefault="00F1362A" w:rsidP="006D1F60">
            <w:pPr>
              <w:pStyle w:val="ENoteTableText"/>
              <w:tabs>
                <w:tab w:val="left" w:leader="dot" w:pos="2268"/>
              </w:tabs>
            </w:pPr>
            <w:r w:rsidRPr="00097A86">
              <w:t>s 5.41</w:t>
            </w:r>
            <w:r w:rsidRPr="00097A86">
              <w:tab/>
            </w:r>
          </w:p>
        </w:tc>
        <w:tc>
          <w:tcPr>
            <w:tcW w:w="3573" w:type="pct"/>
            <w:gridSpan w:val="2"/>
          </w:tcPr>
          <w:p w14:paraId="7C61E8E1" w14:textId="77777777" w:rsidR="00F1362A" w:rsidRPr="00097A86" w:rsidRDefault="00F1362A" w:rsidP="00D22D3F">
            <w:pPr>
              <w:pStyle w:val="ENoteTableText"/>
            </w:pPr>
            <w:r w:rsidRPr="00097A86">
              <w:t>am 2009 No.</w:t>
            </w:r>
            <w:r>
              <w:t> </w:t>
            </w:r>
            <w:r w:rsidRPr="00097A86">
              <w:t>1</w:t>
            </w:r>
          </w:p>
        </w:tc>
      </w:tr>
      <w:tr w:rsidR="00F1362A" w:rsidRPr="00097A86" w14:paraId="13EDF0DC" w14:textId="77777777" w:rsidTr="00C20CC2">
        <w:tblPrEx>
          <w:jc w:val="center"/>
        </w:tblPrEx>
        <w:trPr>
          <w:gridAfter w:val="1"/>
          <w:wAfter w:w="37" w:type="pct"/>
          <w:jc w:val="center"/>
        </w:trPr>
        <w:tc>
          <w:tcPr>
            <w:tcW w:w="1390" w:type="pct"/>
            <w:gridSpan w:val="2"/>
          </w:tcPr>
          <w:p w14:paraId="751B5F78" w14:textId="77777777" w:rsidR="00F1362A" w:rsidRPr="00097A86" w:rsidRDefault="00F1362A" w:rsidP="005C5D38">
            <w:pPr>
              <w:pStyle w:val="ENoteTableText"/>
              <w:keepNext/>
              <w:tabs>
                <w:tab w:val="left" w:leader="dot" w:pos="2268"/>
              </w:tabs>
            </w:pPr>
            <w:r w:rsidRPr="00097A86">
              <w:rPr>
                <w:b/>
              </w:rPr>
              <w:t>Division</w:t>
            </w:r>
            <w:r>
              <w:rPr>
                <w:b/>
              </w:rPr>
              <w:t> </w:t>
            </w:r>
            <w:r w:rsidRPr="00097A86">
              <w:rPr>
                <w:b/>
              </w:rPr>
              <w:t>5.4.2</w:t>
            </w:r>
          </w:p>
        </w:tc>
        <w:tc>
          <w:tcPr>
            <w:tcW w:w="3573" w:type="pct"/>
            <w:gridSpan w:val="2"/>
          </w:tcPr>
          <w:p w14:paraId="362A683E" w14:textId="77777777" w:rsidR="00F1362A" w:rsidRPr="00097A86" w:rsidRDefault="00F1362A" w:rsidP="00D22D3F">
            <w:pPr>
              <w:pStyle w:val="ENoteTableText"/>
            </w:pPr>
          </w:p>
        </w:tc>
      </w:tr>
      <w:tr w:rsidR="00F1362A" w:rsidRPr="00097A86" w14:paraId="0D054D96" w14:textId="77777777" w:rsidTr="00C20CC2">
        <w:tblPrEx>
          <w:jc w:val="center"/>
        </w:tblPrEx>
        <w:trPr>
          <w:gridAfter w:val="1"/>
          <w:wAfter w:w="37" w:type="pct"/>
          <w:jc w:val="center"/>
        </w:trPr>
        <w:tc>
          <w:tcPr>
            <w:tcW w:w="1390" w:type="pct"/>
            <w:gridSpan w:val="2"/>
          </w:tcPr>
          <w:p w14:paraId="2A3DF5B3" w14:textId="77777777" w:rsidR="00F1362A" w:rsidRPr="00097A86" w:rsidRDefault="00F1362A" w:rsidP="006D1F60">
            <w:pPr>
              <w:pStyle w:val="ENoteTableText"/>
              <w:tabs>
                <w:tab w:val="left" w:leader="dot" w:pos="2268"/>
              </w:tabs>
            </w:pPr>
            <w:r w:rsidRPr="00097A86">
              <w:t>s 5.42</w:t>
            </w:r>
            <w:r w:rsidRPr="00097A86">
              <w:tab/>
            </w:r>
          </w:p>
        </w:tc>
        <w:tc>
          <w:tcPr>
            <w:tcW w:w="3573" w:type="pct"/>
            <w:gridSpan w:val="2"/>
          </w:tcPr>
          <w:p w14:paraId="26079C56" w14:textId="77777777" w:rsidR="00F1362A" w:rsidRPr="00097A86" w:rsidRDefault="00F1362A" w:rsidP="00D22D3F">
            <w:pPr>
              <w:pStyle w:val="ENoteTableText"/>
            </w:pPr>
            <w:r w:rsidRPr="00097A86">
              <w:t>am 2009 No.</w:t>
            </w:r>
            <w:r>
              <w:t> </w:t>
            </w:r>
            <w:r w:rsidRPr="00097A86">
              <w:t>1; 2011 No.</w:t>
            </w:r>
            <w:r>
              <w:t> </w:t>
            </w:r>
            <w:r w:rsidRPr="00097A86">
              <w:t>1; 2013 No.</w:t>
            </w:r>
            <w:r>
              <w:t> </w:t>
            </w:r>
            <w:r w:rsidRPr="00097A86">
              <w:t>1; 2014 No.</w:t>
            </w:r>
            <w:r>
              <w:t> </w:t>
            </w:r>
            <w:r w:rsidRPr="00097A86">
              <w:t>1; 2015 No 1</w:t>
            </w:r>
          </w:p>
        </w:tc>
      </w:tr>
      <w:tr w:rsidR="00F1362A" w:rsidRPr="00097A86" w14:paraId="2F48B699" w14:textId="77777777" w:rsidTr="00C20CC2">
        <w:tblPrEx>
          <w:jc w:val="center"/>
        </w:tblPrEx>
        <w:trPr>
          <w:gridAfter w:val="1"/>
          <w:wAfter w:w="37" w:type="pct"/>
          <w:jc w:val="center"/>
        </w:trPr>
        <w:tc>
          <w:tcPr>
            <w:tcW w:w="1390" w:type="pct"/>
            <w:gridSpan w:val="2"/>
          </w:tcPr>
          <w:p w14:paraId="1F7E2BC4"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5.4.3</w:t>
            </w:r>
          </w:p>
        </w:tc>
        <w:tc>
          <w:tcPr>
            <w:tcW w:w="3573" w:type="pct"/>
            <w:gridSpan w:val="2"/>
          </w:tcPr>
          <w:p w14:paraId="4661C17D" w14:textId="77777777" w:rsidR="00F1362A" w:rsidRPr="00097A86" w:rsidRDefault="00F1362A" w:rsidP="00D22D3F">
            <w:pPr>
              <w:pStyle w:val="ENoteTableText"/>
            </w:pPr>
          </w:p>
        </w:tc>
      </w:tr>
      <w:tr w:rsidR="00F1362A" w:rsidRPr="00097A86" w14:paraId="37E4E29D" w14:textId="77777777" w:rsidTr="00C20CC2">
        <w:tblPrEx>
          <w:jc w:val="center"/>
        </w:tblPrEx>
        <w:trPr>
          <w:gridAfter w:val="1"/>
          <w:wAfter w:w="37" w:type="pct"/>
          <w:jc w:val="center"/>
        </w:trPr>
        <w:tc>
          <w:tcPr>
            <w:tcW w:w="1390" w:type="pct"/>
            <w:gridSpan w:val="2"/>
          </w:tcPr>
          <w:p w14:paraId="1391CB6D" w14:textId="77777777" w:rsidR="00F1362A" w:rsidRPr="00097A86" w:rsidRDefault="00F1362A" w:rsidP="006D1F60">
            <w:pPr>
              <w:pStyle w:val="ENoteTableText"/>
              <w:tabs>
                <w:tab w:val="left" w:leader="dot" w:pos="2268"/>
              </w:tabs>
            </w:pPr>
            <w:r w:rsidRPr="00097A86">
              <w:t>s 5.43</w:t>
            </w:r>
            <w:r w:rsidRPr="00097A86">
              <w:tab/>
            </w:r>
          </w:p>
        </w:tc>
        <w:tc>
          <w:tcPr>
            <w:tcW w:w="3573" w:type="pct"/>
            <w:gridSpan w:val="2"/>
          </w:tcPr>
          <w:p w14:paraId="5B35BEC8" w14:textId="77777777" w:rsidR="00F1362A" w:rsidRPr="00097A86" w:rsidRDefault="00F1362A" w:rsidP="00D22D3F">
            <w:pPr>
              <w:pStyle w:val="ENoteTableText"/>
            </w:pPr>
            <w:r w:rsidRPr="00097A86">
              <w:t>am 2009 No.</w:t>
            </w:r>
            <w:r>
              <w:t> </w:t>
            </w:r>
            <w:r w:rsidRPr="00097A86">
              <w:t>1; 2010 No.</w:t>
            </w:r>
            <w:r>
              <w:t> </w:t>
            </w:r>
            <w:r w:rsidRPr="00097A86">
              <w:t>1; 2014 No.</w:t>
            </w:r>
            <w:r>
              <w:t> </w:t>
            </w:r>
            <w:r w:rsidRPr="00097A86">
              <w:t>1</w:t>
            </w:r>
          </w:p>
        </w:tc>
      </w:tr>
      <w:tr w:rsidR="00F1362A" w:rsidRPr="00097A86" w14:paraId="58B3F974" w14:textId="77777777" w:rsidTr="00C20CC2">
        <w:tblPrEx>
          <w:jc w:val="center"/>
        </w:tblPrEx>
        <w:trPr>
          <w:gridAfter w:val="1"/>
          <w:wAfter w:w="37" w:type="pct"/>
          <w:jc w:val="center"/>
        </w:trPr>
        <w:tc>
          <w:tcPr>
            <w:tcW w:w="1390" w:type="pct"/>
            <w:gridSpan w:val="2"/>
          </w:tcPr>
          <w:p w14:paraId="62D66059" w14:textId="77777777" w:rsidR="00F1362A" w:rsidRPr="00097A86" w:rsidRDefault="00F1362A" w:rsidP="006D1F60">
            <w:pPr>
              <w:pStyle w:val="ENoteTableText"/>
              <w:tabs>
                <w:tab w:val="left" w:leader="dot" w:pos="2268"/>
              </w:tabs>
            </w:pPr>
            <w:r w:rsidRPr="00097A86">
              <w:rPr>
                <w:b/>
              </w:rPr>
              <w:t>Division</w:t>
            </w:r>
            <w:r>
              <w:rPr>
                <w:b/>
              </w:rPr>
              <w:t> </w:t>
            </w:r>
            <w:r w:rsidRPr="00097A86">
              <w:rPr>
                <w:b/>
              </w:rPr>
              <w:t>5.4.5</w:t>
            </w:r>
          </w:p>
        </w:tc>
        <w:tc>
          <w:tcPr>
            <w:tcW w:w="3573" w:type="pct"/>
            <w:gridSpan w:val="2"/>
          </w:tcPr>
          <w:p w14:paraId="553B22D4" w14:textId="77777777" w:rsidR="00F1362A" w:rsidRPr="00097A86" w:rsidRDefault="00F1362A" w:rsidP="00D22D3F">
            <w:pPr>
              <w:pStyle w:val="ENoteTableText"/>
            </w:pPr>
          </w:p>
        </w:tc>
      </w:tr>
      <w:tr w:rsidR="00F1362A" w:rsidRPr="00097A86" w14:paraId="26FFB180" w14:textId="77777777" w:rsidTr="00C20CC2">
        <w:tblPrEx>
          <w:jc w:val="center"/>
        </w:tblPrEx>
        <w:trPr>
          <w:gridAfter w:val="1"/>
          <w:wAfter w:w="37" w:type="pct"/>
          <w:jc w:val="center"/>
        </w:trPr>
        <w:tc>
          <w:tcPr>
            <w:tcW w:w="1390" w:type="pct"/>
            <w:gridSpan w:val="2"/>
          </w:tcPr>
          <w:p w14:paraId="0B75BA33" w14:textId="77777777" w:rsidR="00F1362A" w:rsidRPr="00097A86" w:rsidRDefault="00F1362A" w:rsidP="006D1F60">
            <w:pPr>
              <w:pStyle w:val="ENoteTableText"/>
              <w:tabs>
                <w:tab w:val="left" w:leader="dot" w:pos="2268"/>
              </w:tabs>
            </w:pPr>
            <w:r w:rsidRPr="00097A86">
              <w:t>s 5.48</w:t>
            </w:r>
            <w:r w:rsidRPr="00097A86">
              <w:tab/>
            </w:r>
          </w:p>
        </w:tc>
        <w:tc>
          <w:tcPr>
            <w:tcW w:w="3573" w:type="pct"/>
            <w:gridSpan w:val="2"/>
          </w:tcPr>
          <w:p w14:paraId="3E74EEF3" w14:textId="77777777" w:rsidR="00F1362A" w:rsidRPr="00097A86" w:rsidRDefault="00F1362A" w:rsidP="00D22D3F">
            <w:pPr>
              <w:pStyle w:val="ENoteTableText"/>
            </w:pPr>
            <w:r w:rsidRPr="00097A86">
              <w:t>am 2012 No.</w:t>
            </w:r>
            <w:r>
              <w:t> </w:t>
            </w:r>
            <w:r w:rsidRPr="00097A86">
              <w:t>1</w:t>
            </w:r>
          </w:p>
        </w:tc>
      </w:tr>
      <w:tr w:rsidR="00F1362A" w:rsidRPr="00097A86" w14:paraId="360546DE" w14:textId="77777777" w:rsidTr="00C20CC2">
        <w:tblPrEx>
          <w:jc w:val="center"/>
        </w:tblPrEx>
        <w:trPr>
          <w:gridAfter w:val="1"/>
          <w:wAfter w:w="37" w:type="pct"/>
          <w:jc w:val="center"/>
        </w:trPr>
        <w:tc>
          <w:tcPr>
            <w:tcW w:w="1390" w:type="pct"/>
            <w:gridSpan w:val="2"/>
          </w:tcPr>
          <w:p w14:paraId="3A495172" w14:textId="77777777" w:rsidR="00F1362A" w:rsidRPr="00097A86" w:rsidRDefault="00F1362A" w:rsidP="006D1F60">
            <w:pPr>
              <w:pStyle w:val="ENoteTableText"/>
              <w:tabs>
                <w:tab w:val="left" w:leader="dot" w:pos="2268"/>
              </w:tabs>
            </w:pPr>
            <w:r w:rsidRPr="00097A86">
              <w:rPr>
                <w:b/>
              </w:rPr>
              <w:t>Part</w:t>
            </w:r>
            <w:r>
              <w:rPr>
                <w:b/>
              </w:rPr>
              <w:t> </w:t>
            </w:r>
            <w:r w:rsidRPr="00097A86">
              <w:rPr>
                <w:b/>
              </w:rPr>
              <w:t>5.5</w:t>
            </w:r>
          </w:p>
        </w:tc>
        <w:tc>
          <w:tcPr>
            <w:tcW w:w="3573" w:type="pct"/>
            <w:gridSpan w:val="2"/>
          </w:tcPr>
          <w:p w14:paraId="29C64301" w14:textId="77777777" w:rsidR="00F1362A" w:rsidRPr="00097A86" w:rsidRDefault="00F1362A" w:rsidP="00D22D3F">
            <w:pPr>
              <w:pStyle w:val="ENoteTableText"/>
            </w:pPr>
          </w:p>
        </w:tc>
      </w:tr>
      <w:tr w:rsidR="00F1362A" w:rsidRPr="00097A86" w14:paraId="1148436A" w14:textId="77777777" w:rsidTr="00C20CC2">
        <w:tblPrEx>
          <w:jc w:val="center"/>
        </w:tblPrEx>
        <w:trPr>
          <w:gridAfter w:val="1"/>
          <w:wAfter w:w="37" w:type="pct"/>
          <w:jc w:val="center"/>
        </w:trPr>
        <w:tc>
          <w:tcPr>
            <w:tcW w:w="1390" w:type="pct"/>
            <w:gridSpan w:val="2"/>
          </w:tcPr>
          <w:p w14:paraId="037C93C2" w14:textId="77777777" w:rsidR="00F1362A" w:rsidRPr="00097A86" w:rsidRDefault="00F1362A" w:rsidP="007A5DE9">
            <w:pPr>
              <w:pStyle w:val="ENoteTableText"/>
              <w:tabs>
                <w:tab w:val="left" w:leader="dot" w:pos="2268"/>
              </w:tabs>
            </w:pPr>
            <w:r w:rsidRPr="00097A86">
              <w:t>Part</w:t>
            </w:r>
            <w:r>
              <w:t> </w:t>
            </w:r>
            <w:r w:rsidRPr="00097A86">
              <w:t>5.5 heading</w:t>
            </w:r>
            <w:r w:rsidRPr="00097A86">
              <w:tab/>
            </w:r>
          </w:p>
        </w:tc>
        <w:tc>
          <w:tcPr>
            <w:tcW w:w="3573" w:type="pct"/>
            <w:gridSpan w:val="2"/>
          </w:tcPr>
          <w:p w14:paraId="5D3D3C89" w14:textId="77777777" w:rsidR="00F1362A" w:rsidRPr="00097A86" w:rsidRDefault="00F1362A" w:rsidP="00D22D3F">
            <w:pPr>
              <w:pStyle w:val="ENoteTableText"/>
            </w:pPr>
            <w:r w:rsidRPr="00097A86">
              <w:t>rs 2009 No.</w:t>
            </w:r>
            <w:r>
              <w:t> </w:t>
            </w:r>
            <w:r w:rsidRPr="00097A86">
              <w:t>1</w:t>
            </w:r>
          </w:p>
        </w:tc>
      </w:tr>
      <w:tr w:rsidR="00F1362A" w:rsidRPr="00097A86" w14:paraId="378B2AA7" w14:textId="77777777" w:rsidTr="00C20CC2">
        <w:tblPrEx>
          <w:jc w:val="center"/>
        </w:tblPrEx>
        <w:trPr>
          <w:gridAfter w:val="1"/>
          <w:wAfter w:w="37" w:type="pct"/>
          <w:jc w:val="center"/>
        </w:trPr>
        <w:tc>
          <w:tcPr>
            <w:tcW w:w="1390" w:type="pct"/>
            <w:gridSpan w:val="2"/>
          </w:tcPr>
          <w:p w14:paraId="1C4F05B6" w14:textId="77777777" w:rsidR="00F1362A" w:rsidRPr="00097A86" w:rsidRDefault="00F1362A" w:rsidP="006D1F60">
            <w:pPr>
              <w:pStyle w:val="ENoteTableText"/>
              <w:tabs>
                <w:tab w:val="left" w:leader="dot" w:pos="2268"/>
              </w:tabs>
            </w:pPr>
            <w:r w:rsidRPr="00097A86">
              <w:t>s 5.51</w:t>
            </w:r>
            <w:r w:rsidRPr="00097A86">
              <w:tab/>
            </w:r>
          </w:p>
        </w:tc>
        <w:tc>
          <w:tcPr>
            <w:tcW w:w="3573" w:type="pct"/>
            <w:gridSpan w:val="2"/>
          </w:tcPr>
          <w:p w14:paraId="1E9AE68B" w14:textId="77777777" w:rsidR="00F1362A" w:rsidRPr="00097A86" w:rsidRDefault="00F1362A" w:rsidP="00D22D3F">
            <w:pPr>
              <w:pStyle w:val="ENoteTableText"/>
            </w:pPr>
            <w:r w:rsidRPr="00097A86">
              <w:t>am 2009 No.</w:t>
            </w:r>
            <w:r>
              <w:t> </w:t>
            </w:r>
            <w:r w:rsidRPr="00097A86">
              <w:t>1; 2014 No.</w:t>
            </w:r>
            <w:r>
              <w:t> </w:t>
            </w:r>
            <w:r w:rsidRPr="00097A86">
              <w:t>1</w:t>
            </w:r>
          </w:p>
        </w:tc>
      </w:tr>
      <w:tr w:rsidR="00F1362A" w:rsidRPr="00097A86" w14:paraId="6B90A980" w14:textId="77777777" w:rsidTr="00C20CC2">
        <w:tblPrEx>
          <w:jc w:val="center"/>
        </w:tblPrEx>
        <w:trPr>
          <w:gridAfter w:val="1"/>
          <w:wAfter w:w="37" w:type="pct"/>
          <w:jc w:val="center"/>
        </w:trPr>
        <w:tc>
          <w:tcPr>
            <w:tcW w:w="1390" w:type="pct"/>
            <w:gridSpan w:val="2"/>
          </w:tcPr>
          <w:p w14:paraId="70F01F6F" w14:textId="77777777" w:rsidR="00F1362A" w:rsidRPr="00097A86" w:rsidRDefault="00F1362A" w:rsidP="006D1F60">
            <w:pPr>
              <w:pStyle w:val="ENoteTableText"/>
              <w:tabs>
                <w:tab w:val="left" w:leader="dot" w:pos="2268"/>
              </w:tabs>
            </w:pPr>
            <w:r w:rsidRPr="00097A86">
              <w:t>s 5.52</w:t>
            </w:r>
            <w:r w:rsidRPr="00097A86">
              <w:tab/>
            </w:r>
          </w:p>
        </w:tc>
        <w:tc>
          <w:tcPr>
            <w:tcW w:w="3573" w:type="pct"/>
            <w:gridSpan w:val="2"/>
          </w:tcPr>
          <w:p w14:paraId="46F2CC33" w14:textId="77777777" w:rsidR="00F1362A" w:rsidRPr="00097A86" w:rsidRDefault="00F1362A" w:rsidP="00D22D3F">
            <w:pPr>
              <w:pStyle w:val="ENoteTableText"/>
            </w:pPr>
            <w:r w:rsidRPr="00097A86">
              <w:t>am 2010 No.</w:t>
            </w:r>
            <w:r>
              <w:t> </w:t>
            </w:r>
            <w:r w:rsidRPr="00097A86">
              <w:t>1; 2011 No.</w:t>
            </w:r>
            <w:r>
              <w:t> </w:t>
            </w:r>
            <w:r w:rsidRPr="00097A86">
              <w:t>1</w:t>
            </w:r>
          </w:p>
        </w:tc>
      </w:tr>
      <w:tr w:rsidR="00F1362A" w:rsidRPr="00097A86" w14:paraId="264AF866" w14:textId="77777777" w:rsidTr="00C20CC2">
        <w:tblPrEx>
          <w:jc w:val="center"/>
        </w:tblPrEx>
        <w:trPr>
          <w:gridAfter w:val="1"/>
          <w:wAfter w:w="37" w:type="pct"/>
          <w:jc w:val="center"/>
        </w:trPr>
        <w:tc>
          <w:tcPr>
            <w:tcW w:w="1390" w:type="pct"/>
            <w:gridSpan w:val="2"/>
          </w:tcPr>
          <w:p w14:paraId="27C37FB3" w14:textId="77777777" w:rsidR="00F1362A" w:rsidRPr="00097A86" w:rsidRDefault="00F1362A" w:rsidP="006D1F60">
            <w:pPr>
              <w:pStyle w:val="ENoteTableText"/>
              <w:tabs>
                <w:tab w:val="left" w:leader="dot" w:pos="2268"/>
              </w:tabs>
            </w:pPr>
            <w:r w:rsidRPr="00097A86">
              <w:t>s 5.53</w:t>
            </w:r>
            <w:r w:rsidRPr="00097A86">
              <w:tab/>
            </w:r>
          </w:p>
        </w:tc>
        <w:tc>
          <w:tcPr>
            <w:tcW w:w="3573" w:type="pct"/>
            <w:gridSpan w:val="2"/>
          </w:tcPr>
          <w:p w14:paraId="1206B498" w14:textId="77777777" w:rsidR="00F1362A" w:rsidRPr="00097A86" w:rsidRDefault="00F1362A" w:rsidP="00D22D3F">
            <w:pPr>
              <w:pStyle w:val="ENoteTableText"/>
            </w:pPr>
            <w:r w:rsidRPr="00097A86">
              <w:t>am 2009 No.</w:t>
            </w:r>
            <w:r>
              <w:t> </w:t>
            </w:r>
            <w:r w:rsidRPr="00097A86">
              <w:t>1</w:t>
            </w:r>
          </w:p>
        </w:tc>
      </w:tr>
      <w:tr w:rsidR="00F1362A" w:rsidRPr="00097A86" w14:paraId="63941AA0" w14:textId="77777777" w:rsidTr="00C20CC2">
        <w:tblPrEx>
          <w:jc w:val="center"/>
        </w:tblPrEx>
        <w:trPr>
          <w:gridAfter w:val="1"/>
          <w:wAfter w:w="37" w:type="pct"/>
          <w:jc w:val="center"/>
        </w:trPr>
        <w:tc>
          <w:tcPr>
            <w:tcW w:w="1390" w:type="pct"/>
            <w:gridSpan w:val="2"/>
          </w:tcPr>
          <w:p w14:paraId="252817FB" w14:textId="77777777" w:rsidR="00F1362A" w:rsidRPr="00097A86" w:rsidRDefault="00F1362A" w:rsidP="006D1F60">
            <w:pPr>
              <w:pStyle w:val="ENoteTableText"/>
              <w:tabs>
                <w:tab w:val="left" w:leader="dot" w:pos="2268"/>
              </w:tabs>
            </w:pPr>
            <w:r w:rsidRPr="00097A86">
              <w:rPr>
                <w:b/>
              </w:rPr>
              <w:lastRenderedPageBreak/>
              <w:t>Chapter</w:t>
            </w:r>
            <w:r>
              <w:rPr>
                <w:b/>
              </w:rPr>
              <w:t> </w:t>
            </w:r>
            <w:r w:rsidRPr="00097A86">
              <w:rPr>
                <w:b/>
              </w:rPr>
              <w:t>6</w:t>
            </w:r>
          </w:p>
        </w:tc>
        <w:tc>
          <w:tcPr>
            <w:tcW w:w="3573" w:type="pct"/>
            <w:gridSpan w:val="2"/>
          </w:tcPr>
          <w:p w14:paraId="0E2CB122" w14:textId="77777777" w:rsidR="00F1362A" w:rsidRPr="00097A86" w:rsidRDefault="00F1362A" w:rsidP="00D22D3F">
            <w:pPr>
              <w:pStyle w:val="ENoteTableText"/>
            </w:pPr>
          </w:p>
        </w:tc>
      </w:tr>
      <w:tr w:rsidR="00F1362A" w:rsidRPr="00097A86" w14:paraId="315ADC9C" w14:textId="77777777" w:rsidTr="00C20CC2">
        <w:tblPrEx>
          <w:jc w:val="center"/>
        </w:tblPrEx>
        <w:trPr>
          <w:gridAfter w:val="1"/>
          <w:wAfter w:w="37" w:type="pct"/>
          <w:jc w:val="center"/>
        </w:trPr>
        <w:tc>
          <w:tcPr>
            <w:tcW w:w="1390" w:type="pct"/>
            <w:gridSpan w:val="2"/>
          </w:tcPr>
          <w:p w14:paraId="43CE4B95" w14:textId="77777777" w:rsidR="00F1362A" w:rsidRPr="00097A86" w:rsidRDefault="00F1362A" w:rsidP="006D1F60">
            <w:pPr>
              <w:pStyle w:val="ENoteTableText"/>
              <w:tabs>
                <w:tab w:val="left" w:leader="dot" w:pos="2268"/>
              </w:tabs>
            </w:pPr>
            <w:r w:rsidRPr="00097A86">
              <w:rPr>
                <w:b/>
              </w:rPr>
              <w:t>Part</w:t>
            </w:r>
            <w:r>
              <w:rPr>
                <w:b/>
              </w:rPr>
              <w:t> </w:t>
            </w:r>
            <w:r w:rsidRPr="00097A86">
              <w:rPr>
                <w:b/>
              </w:rPr>
              <w:t>6.1</w:t>
            </w:r>
          </w:p>
        </w:tc>
        <w:tc>
          <w:tcPr>
            <w:tcW w:w="3573" w:type="pct"/>
            <w:gridSpan w:val="2"/>
          </w:tcPr>
          <w:p w14:paraId="5C367CB4" w14:textId="77777777" w:rsidR="00F1362A" w:rsidRPr="00097A86" w:rsidRDefault="00F1362A" w:rsidP="00D22D3F">
            <w:pPr>
              <w:pStyle w:val="ENoteTableText"/>
            </w:pPr>
          </w:p>
        </w:tc>
      </w:tr>
      <w:tr w:rsidR="00F1362A" w:rsidRPr="00097A86" w14:paraId="198BB8A9" w14:textId="77777777" w:rsidTr="00C20CC2">
        <w:tblPrEx>
          <w:jc w:val="center"/>
        </w:tblPrEx>
        <w:trPr>
          <w:gridAfter w:val="1"/>
          <w:wAfter w:w="37" w:type="pct"/>
          <w:jc w:val="center"/>
        </w:trPr>
        <w:tc>
          <w:tcPr>
            <w:tcW w:w="1390" w:type="pct"/>
            <w:gridSpan w:val="2"/>
          </w:tcPr>
          <w:p w14:paraId="05CE10A3" w14:textId="77777777" w:rsidR="00F1362A" w:rsidRPr="00097A86" w:rsidRDefault="00F1362A" w:rsidP="007A5DE9">
            <w:pPr>
              <w:pStyle w:val="ENoteTableText"/>
              <w:tabs>
                <w:tab w:val="left" w:leader="dot" w:pos="2268"/>
              </w:tabs>
            </w:pPr>
            <w:r w:rsidRPr="00097A86">
              <w:t>s 6.1</w:t>
            </w:r>
            <w:r w:rsidRPr="00097A86">
              <w:tab/>
            </w:r>
          </w:p>
        </w:tc>
        <w:tc>
          <w:tcPr>
            <w:tcW w:w="3573" w:type="pct"/>
            <w:gridSpan w:val="2"/>
          </w:tcPr>
          <w:p w14:paraId="4D60E706" w14:textId="77777777" w:rsidR="00F1362A" w:rsidRPr="00097A86" w:rsidRDefault="00F1362A" w:rsidP="007A5DE9">
            <w:pPr>
              <w:pStyle w:val="ENoteTableText"/>
            </w:pPr>
            <w:r w:rsidRPr="00097A86">
              <w:t>am 2013 No 1</w:t>
            </w:r>
          </w:p>
        </w:tc>
      </w:tr>
      <w:tr w:rsidR="00F1362A" w:rsidRPr="00097A86" w14:paraId="7CE37F99" w14:textId="77777777" w:rsidTr="00C20CC2">
        <w:tblPrEx>
          <w:jc w:val="center"/>
        </w:tblPrEx>
        <w:trPr>
          <w:gridAfter w:val="1"/>
          <w:wAfter w:w="37" w:type="pct"/>
          <w:jc w:val="center"/>
        </w:trPr>
        <w:tc>
          <w:tcPr>
            <w:tcW w:w="1390" w:type="pct"/>
            <w:gridSpan w:val="2"/>
          </w:tcPr>
          <w:p w14:paraId="2037D8F4" w14:textId="77777777" w:rsidR="00F1362A" w:rsidRPr="00097A86" w:rsidRDefault="00F1362A" w:rsidP="006D1F60">
            <w:pPr>
              <w:pStyle w:val="ENoteTableText"/>
              <w:tabs>
                <w:tab w:val="left" w:leader="dot" w:pos="2268"/>
              </w:tabs>
            </w:pPr>
            <w:r w:rsidRPr="00097A86">
              <w:t>s 6.2</w:t>
            </w:r>
            <w:r w:rsidRPr="00097A86">
              <w:tab/>
            </w:r>
          </w:p>
        </w:tc>
        <w:tc>
          <w:tcPr>
            <w:tcW w:w="3573" w:type="pct"/>
            <w:gridSpan w:val="2"/>
          </w:tcPr>
          <w:p w14:paraId="198ACCE7" w14:textId="77777777" w:rsidR="00F1362A" w:rsidRPr="00097A86" w:rsidRDefault="00F1362A" w:rsidP="00D22D3F">
            <w:pPr>
              <w:pStyle w:val="ENoteTableText"/>
            </w:pPr>
            <w:r w:rsidRPr="00097A86">
              <w:t>am 2009 No.</w:t>
            </w:r>
            <w:r>
              <w:t> </w:t>
            </w:r>
            <w:r w:rsidRPr="00097A86">
              <w:t>1; 2010 No.</w:t>
            </w:r>
            <w:r>
              <w:t> </w:t>
            </w:r>
            <w:r w:rsidRPr="00097A86">
              <w:t>1; 2014 No.</w:t>
            </w:r>
            <w:r>
              <w:t> </w:t>
            </w:r>
            <w:r w:rsidRPr="00097A86">
              <w:t>1; F2017L00829</w:t>
            </w:r>
          </w:p>
        </w:tc>
      </w:tr>
      <w:tr w:rsidR="00F1362A" w:rsidRPr="00097A86" w14:paraId="7BC747B6" w14:textId="77777777" w:rsidTr="00C20CC2">
        <w:tblPrEx>
          <w:jc w:val="center"/>
        </w:tblPrEx>
        <w:trPr>
          <w:gridAfter w:val="1"/>
          <w:wAfter w:w="37" w:type="pct"/>
          <w:jc w:val="center"/>
        </w:trPr>
        <w:tc>
          <w:tcPr>
            <w:tcW w:w="1390" w:type="pct"/>
            <w:gridSpan w:val="2"/>
          </w:tcPr>
          <w:p w14:paraId="3EA30DF0" w14:textId="77777777" w:rsidR="00F1362A" w:rsidRPr="00097A86" w:rsidRDefault="00F1362A" w:rsidP="006D1F60">
            <w:pPr>
              <w:pStyle w:val="ENoteTableText"/>
              <w:tabs>
                <w:tab w:val="left" w:leader="dot" w:pos="2268"/>
              </w:tabs>
            </w:pPr>
            <w:r w:rsidRPr="00097A86">
              <w:t>s 6.3</w:t>
            </w:r>
            <w:r w:rsidRPr="00097A86">
              <w:tab/>
            </w:r>
          </w:p>
        </w:tc>
        <w:tc>
          <w:tcPr>
            <w:tcW w:w="3573" w:type="pct"/>
            <w:gridSpan w:val="2"/>
          </w:tcPr>
          <w:p w14:paraId="105A85AF" w14:textId="77777777" w:rsidR="00F1362A" w:rsidRPr="00097A86" w:rsidRDefault="00F1362A" w:rsidP="00D22D3F">
            <w:pPr>
              <w:pStyle w:val="ENoteTableText"/>
            </w:pPr>
            <w:r w:rsidRPr="00097A86">
              <w:t>am F2017L00829</w:t>
            </w:r>
          </w:p>
        </w:tc>
      </w:tr>
      <w:tr w:rsidR="00F1362A" w:rsidRPr="00097A86" w14:paraId="53B9E3E1" w14:textId="77777777" w:rsidTr="00C20CC2">
        <w:tblPrEx>
          <w:jc w:val="center"/>
        </w:tblPrEx>
        <w:trPr>
          <w:gridAfter w:val="1"/>
          <w:wAfter w:w="37" w:type="pct"/>
          <w:jc w:val="center"/>
        </w:trPr>
        <w:tc>
          <w:tcPr>
            <w:tcW w:w="1390" w:type="pct"/>
            <w:gridSpan w:val="2"/>
          </w:tcPr>
          <w:p w14:paraId="271719B7" w14:textId="77777777" w:rsidR="00F1362A" w:rsidRPr="00097A86" w:rsidRDefault="00F1362A" w:rsidP="00412F36">
            <w:pPr>
              <w:pStyle w:val="ENoteTableText"/>
              <w:keepNext/>
              <w:tabs>
                <w:tab w:val="left" w:leader="dot" w:pos="2268"/>
              </w:tabs>
            </w:pPr>
            <w:r w:rsidRPr="00097A86">
              <w:rPr>
                <w:b/>
              </w:rPr>
              <w:t>Part</w:t>
            </w:r>
            <w:r>
              <w:rPr>
                <w:b/>
              </w:rPr>
              <w:t> </w:t>
            </w:r>
            <w:r w:rsidRPr="00097A86">
              <w:rPr>
                <w:b/>
              </w:rPr>
              <w:t>6.2</w:t>
            </w:r>
          </w:p>
        </w:tc>
        <w:tc>
          <w:tcPr>
            <w:tcW w:w="3573" w:type="pct"/>
            <w:gridSpan w:val="2"/>
          </w:tcPr>
          <w:p w14:paraId="3C423A0D" w14:textId="77777777" w:rsidR="00F1362A" w:rsidRPr="00097A86" w:rsidRDefault="00F1362A" w:rsidP="00412F36">
            <w:pPr>
              <w:pStyle w:val="ENoteTableText"/>
              <w:keepNext/>
            </w:pPr>
          </w:p>
        </w:tc>
      </w:tr>
      <w:tr w:rsidR="00F1362A" w:rsidRPr="00097A86" w14:paraId="498952CF" w14:textId="77777777" w:rsidTr="00C20CC2">
        <w:tblPrEx>
          <w:jc w:val="center"/>
        </w:tblPrEx>
        <w:trPr>
          <w:gridAfter w:val="1"/>
          <w:wAfter w:w="37" w:type="pct"/>
          <w:jc w:val="center"/>
        </w:trPr>
        <w:tc>
          <w:tcPr>
            <w:tcW w:w="1390" w:type="pct"/>
            <w:gridSpan w:val="2"/>
          </w:tcPr>
          <w:p w14:paraId="1D6822CE" w14:textId="77777777" w:rsidR="00F1362A" w:rsidRPr="00097A86" w:rsidRDefault="00F1362A" w:rsidP="006D1F60">
            <w:pPr>
              <w:pStyle w:val="ENoteTableText"/>
              <w:tabs>
                <w:tab w:val="left" w:leader="dot" w:pos="2268"/>
              </w:tabs>
            </w:pPr>
            <w:r w:rsidRPr="00097A86">
              <w:t>s 6.4</w:t>
            </w:r>
            <w:r w:rsidRPr="00097A86">
              <w:tab/>
            </w:r>
          </w:p>
        </w:tc>
        <w:tc>
          <w:tcPr>
            <w:tcW w:w="3573" w:type="pct"/>
            <w:gridSpan w:val="2"/>
          </w:tcPr>
          <w:p w14:paraId="3F0BFA2C" w14:textId="77777777" w:rsidR="00F1362A" w:rsidRPr="00097A86" w:rsidRDefault="00F1362A" w:rsidP="007A5DE9">
            <w:pPr>
              <w:pStyle w:val="ENoteTableText"/>
            </w:pPr>
            <w:r w:rsidRPr="00097A86">
              <w:t>am 2014 No.</w:t>
            </w:r>
            <w:r>
              <w:t> </w:t>
            </w:r>
            <w:r w:rsidRPr="00097A86">
              <w:t>1; 2016 No 1</w:t>
            </w:r>
          </w:p>
        </w:tc>
      </w:tr>
      <w:tr w:rsidR="00F1362A" w:rsidRPr="00097A86" w14:paraId="61600F46" w14:textId="77777777" w:rsidTr="00C20CC2">
        <w:tblPrEx>
          <w:jc w:val="center"/>
        </w:tblPrEx>
        <w:trPr>
          <w:gridAfter w:val="1"/>
          <w:wAfter w:w="37" w:type="pct"/>
          <w:jc w:val="center"/>
        </w:trPr>
        <w:tc>
          <w:tcPr>
            <w:tcW w:w="1390" w:type="pct"/>
            <w:gridSpan w:val="2"/>
          </w:tcPr>
          <w:p w14:paraId="343AAD76" w14:textId="77777777" w:rsidR="00F1362A" w:rsidRPr="00097A86" w:rsidRDefault="00F1362A" w:rsidP="006D1F60">
            <w:pPr>
              <w:pStyle w:val="ENoteTableText"/>
              <w:tabs>
                <w:tab w:val="left" w:leader="dot" w:pos="2268"/>
              </w:tabs>
            </w:pPr>
            <w:r w:rsidRPr="00097A86">
              <w:t>s 6.5</w:t>
            </w:r>
            <w:r w:rsidRPr="00097A86">
              <w:tab/>
            </w:r>
          </w:p>
        </w:tc>
        <w:tc>
          <w:tcPr>
            <w:tcW w:w="3573" w:type="pct"/>
            <w:gridSpan w:val="2"/>
          </w:tcPr>
          <w:p w14:paraId="4A1D4EAD" w14:textId="77777777" w:rsidR="00F1362A" w:rsidRPr="00097A86" w:rsidRDefault="00F1362A" w:rsidP="00D22D3F">
            <w:pPr>
              <w:pStyle w:val="ENoteTableText"/>
            </w:pPr>
            <w:r w:rsidRPr="00097A86">
              <w:t>am 2009 No.</w:t>
            </w:r>
            <w:r>
              <w:t> </w:t>
            </w:r>
            <w:r w:rsidRPr="00097A86">
              <w:t>1; 2013 No.</w:t>
            </w:r>
            <w:r>
              <w:t> </w:t>
            </w:r>
            <w:r w:rsidRPr="00097A86">
              <w:t>1; F2017L00829</w:t>
            </w:r>
          </w:p>
        </w:tc>
      </w:tr>
      <w:tr w:rsidR="00F1362A" w:rsidRPr="00097A86" w14:paraId="6A2B36BD" w14:textId="77777777" w:rsidTr="00C20CC2">
        <w:tblPrEx>
          <w:jc w:val="center"/>
        </w:tblPrEx>
        <w:trPr>
          <w:gridAfter w:val="1"/>
          <w:wAfter w:w="37" w:type="pct"/>
          <w:jc w:val="center"/>
        </w:trPr>
        <w:tc>
          <w:tcPr>
            <w:tcW w:w="1390" w:type="pct"/>
            <w:gridSpan w:val="2"/>
          </w:tcPr>
          <w:p w14:paraId="3D36D4C2" w14:textId="77777777" w:rsidR="00F1362A" w:rsidRPr="00097A86" w:rsidRDefault="00F1362A" w:rsidP="006D1F60">
            <w:pPr>
              <w:pStyle w:val="ENoteTableText"/>
              <w:tabs>
                <w:tab w:val="left" w:leader="dot" w:pos="2268"/>
              </w:tabs>
            </w:pPr>
            <w:r w:rsidRPr="00097A86">
              <w:rPr>
                <w:b/>
              </w:rPr>
              <w:t>Chapter</w:t>
            </w:r>
            <w:r>
              <w:rPr>
                <w:b/>
              </w:rPr>
              <w:t> </w:t>
            </w:r>
            <w:r w:rsidRPr="00097A86">
              <w:rPr>
                <w:b/>
              </w:rPr>
              <w:t>7</w:t>
            </w:r>
          </w:p>
        </w:tc>
        <w:tc>
          <w:tcPr>
            <w:tcW w:w="3573" w:type="pct"/>
            <w:gridSpan w:val="2"/>
          </w:tcPr>
          <w:p w14:paraId="7B8CF8A1" w14:textId="77777777" w:rsidR="00F1362A" w:rsidRPr="00097A86" w:rsidRDefault="00F1362A" w:rsidP="00D22D3F">
            <w:pPr>
              <w:pStyle w:val="ENoteTableText"/>
            </w:pPr>
          </w:p>
        </w:tc>
      </w:tr>
      <w:tr w:rsidR="00F1362A" w:rsidRPr="00097A86" w14:paraId="4BB8E3AD" w14:textId="77777777" w:rsidTr="00C20CC2">
        <w:tblPrEx>
          <w:jc w:val="center"/>
        </w:tblPrEx>
        <w:trPr>
          <w:gridAfter w:val="1"/>
          <w:wAfter w:w="37" w:type="pct"/>
          <w:jc w:val="center"/>
        </w:trPr>
        <w:tc>
          <w:tcPr>
            <w:tcW w:w="1390" w:type="pct"/>
            <w:gridSpan w:val="2"/>
          </w:tcPr>
          <w:p w14:paraId="16DFF36A" w14:textId="77777777" w:rsidR="00F1362A" w:rsidRPr="00097A86" w:rsidRDefault="00F1362A" w:rsidP="006D1F60">
            <w:pPr>
              <w:pStyle w:val="ENoteTableText"/>
              <w:tabs>
                <w:tab w:val="left" w:leader="dot" w:pos="2268"/>
              </w:tabs>
            </w:pPr>
            <w:r w:rsidRPr="00097A86">
              <w:t>s 7.1</w:t>
            </w:r>
            <w:r w:rsidRPr="00097A86">
              <w:tab/>
            </w:r>
          </w:p>
        </w:tc>
        <w:tc>
          <w:tcPr>
            <w:tcW w:w="3573" w:type="pct"/>
            <w:gridSpan w:val="2"/>
          </w:tcPr>
          <w:p w14:paraId="2889DB90" w14:textId="77777777" w:rsidR="00F1362A" w:rsidRPr="00097A86" w:rsidRDefault="00F1362A">
            <w:pPr>
              <w:pStyle w:val="ENoteTableText"/>
              <w:rPr>
                <w:rFonts w:eastAsiaTheme="minorHAnsi" w:cstheme="minorBidi"/>
              </w:rPr>
            </w:pPr>
            <w:r w:rsidRPr="00097A86">
              <w:t>am 2009 No.</w:t>
            </w:r>
            <w:r>
              <w:t> </w:t>
            </w:r>
            <w:r w:rsidRPr="00097A86">
              <w:t>1</w:t>
            </w:r>
          </w:p>
        </w:tc>
      </w:tr>
      <w:tr w:rsidR="00F1362A" w:rsidRPr="00097A86" w14:paraId="705B206B" w14:textId="77777777" w:rsidTr="00C20CC2">
        <w:tblPrEx>
          <w:jc w:val="center"/>
        </w:tblPrEx>
        <w:trPr>
          <w:gridAfter w:val="1"/>
          <w:wAfter w:w="37" w:type="pct"/>
          <w:jc w:val="center"/>
        </w:trPr>
        <w:tc>
          <w:tcPr>
            <w:tcW w:w="1390" w:type="pct"/>
            <w:gridSpan w:val="2"/>
          </w:tcPr>
          <w:p w14:paraId="0F033ED0" w14:textId="77777777" w:rsidR="00F1362A" w:rsidRPr="00097A86" w:rsidRDefault="00F1362A" w:rsidP="009C4218">
            <w:pPr>
              <w:pStyle w:val="ENoteTableText"/>
              <w:tabs>
                <w:tab w:val="left" w:leader="dot" w:pos="2268"/>
              </w:tabs>
            </w:pPr>
          </w:p>
        </w:tc>
        <w:tc>
          <w:tcPr>
            <w:tcW w:w="3573" w:type="pct"/>
            <w:gridSpan w:val="2"/>
          </w:tcPr>
          <w:p w14:paraId="0A8D78AC" w14:textId="77777777" w:rsidR="00F1362A" w:rsidRPr="00097A86" w:rsidRDefault="00F1362A">
            <w:pPr>
              <w:pStyle w:val="ENoteTableText"/>
              <w:rPr>
                <w:rFonts w:eastAsiaTheme="minorHAnsi" w:cstheme="minorBidi"/>
              </w:rPr>
            </w:pPr>
            <w:r w:rsidRPr="00097A86">
              <w:t>rs 2013 No.</w:t>
            </w:r>
            <w:r>
              <w:t> </w:t>
            </w:r>
            <w:r w:rsidRPr="00097A86">
              <w:t>1</w:t>
            </w:r>
          </w:p>
        </w:tc>
      </w:tr>
      <w:tr w:rsidR="00F1362A" w:rsidRPr="00097A86" w14:paraId="004A1C7D" w14:textId="77777777" w:rsidTr="00C20CC2">
        <w:tblPrEx>
          <w:jc w:val="center"/>
        </w:tblPrEx>
        <w:trPr>
          <w:gridAfter w:val="1"/>
          <w:wAfter w:w="37" w:type="pct"/>
          <w:jc w:val="center"/>
        </w:trPr>
        <w:tc>
          <w:tcPr>
            <w:tcW w:w="1390" w:type="pct"/>
            <w:gridSpan w:val="2"/>
          </w:tcPr>
          <w:p w14:paraId="72F7A314" w14:textId="77777777" w:rsidR="00F1362A" w:rsidRPr="00097A86" w:rsidRDefault="00F1362A" w:rsidP="009C4218">
            <w:pPr>
              <w:pStyle w:val="ENoteTableText"/>
              <w:tabs>
                <w:tab w:val="left" w:leader="dot" w:pos="2268"/>
              </w:tabs>
            </w:pPr>
          </w:p>
        </w:tc>
        <w:tc>
          <w:tcPr>
            <w:tcW w:w="3573" w:type="pct"/>
            <w:gridSpan w:val="2"/>
          </w:tcPr>
          <w:p w14:paraId="213819FF" w14:textId="77777777" w:rsidR="00F1362A" w:rsidRPr="00097A86" w:rsidRDefault="00F1362A">
            <w:pPr>
              <w:pStyle w:val="ENoteTableText"/>
            </w:pPr>
            <w:r w:rsidRPr="00097A86">
              <w:t>am F2017L00829</w:t>
            </w:r>
          </w:p>
        </w:tc>
      </w:tr>
      <w:tr w:rsidR="00F1362A" w:rsidRPr="00097A86" w14:paraId="54AFBD09" w14:textId="77777777" w:rsidTr="00C20CC2">
        <w:tblPrEx>
          <w:jc w:val="center"/>
        </w:tblPrEx>
        <w:trPr>
          <w:gridAfter w:val="1"/>
          <w:wAfter w:w="37" w:type="pct"/>
          <w:jc w:val="center"/>
        </w:trPr>
        <w:tc>
          <w:tcPr>
            <w:tcW w:w="1390" w:type="pct"/>
            <w:gridSpan w:val="2"/>
          </w:tcPr>
          <w:p w14:paraId="36339A83" w14:textId="77777777" w:rsidR="00F1362A" w:rsidRPr="00097A86" w:rsidRDefault="00F1362A" w:rsidP="001145AF">
            <w:pPr>
              <w:pStyle w:val="ENoteTableText"/>
              <w:tabs>
                <w:tab w:val="left" w:leader="dot" w:pos="2268"/>
              </w:tabs>
            </w:pPr>
            <w:r w:rsidRPr="00097A86">
              <w:t>s 7.2</w:t>
            </w:r>
            <w:r w:rsidRPr="00097A86">
              <w:tab/>
            </w:r>
          </w:p>
        </w:tc>
        <w:tc>
          <w:tcPr>
            <w:tcW w:w="3573" w:type="pct"/>
            <w:gridSpan w:val="2"/>
          </w:tcPr>
          <w:p w14:paraId="74BB68C8" w14:textId="77777777" w:rsidR="00F1362A" w:rsidRPr="00097A86" w:rsidRDefault="00F1362A" w:rsidP="001145AF">
            <w:pPr>
              <w:pStyle w:val="ENoteTableText"/>
            </w:pPr>
            <w:r w:rsidRPr="00097A86">
              <w:t>am 2009 No 1; 2015 No 2; F2017L00829</w:t>
            </w:r>
          </w:p>
        </w:tc>
      </w:tr>
      <w:tr w:rsidR="00F1362A" w:rsidRPr="00097A86" w14:paraId="6967E5B4" w14:textId="77777777" w:rsidTr="00C20CC2">
        <w:tblPrEx>
          <w:jc w:val="center"/>
        </w:tblPrEx>
        <w:trPr>
          <w:gridAfter w:val="1"/>
          <w:wAfter w:w="37" w:type="pct"/>
          <w:jc w:val="center"/>
        </w:trPr>
        <w:tc>
          <w:tcPr>
            <w:tcW w:w="1390" w:type="pct"/>
            <w:gridSpan w:val="2"/>
          </w:tcPr>
          <w:p w14:paraId="74F3F030" w14:textId="77777777" w:rsidR="00F1362A" w:rsidRPr="00097A86" w:rsidRDefault="00F1362A" w:rsidP="006D1F60">
            <w:pPr>
              <w:pStyle w:val="ENoteTableText"/>
              <w:tabs>
                <w:tab w:val="left" w:leader="dot" w:pos="2268"/>
              </w:tabs>
            </w:pPr>
            <w:r w:rsidRPr="00097A86">
              <w:t>s 7.3</w:t>
            </w:r>
            <w:r w:rsidRPr="00097A86">
              <w:tab/>
            </w:r>
          </w:p>
        </w:tc>
        <w:tc>
          <w:tcPr>
            <w:tcW w:w="3573" w:type="pct"/>
            <w:gridSpan w:val="2"/>
          </w:tcPr>
          <w:p w14:paraId="4D524D2F" w14:textId="77777777" w:rsidR="00F1362A" w:rsidRPr="00097A86" w:rsidRDefault="00F1362A" w:rsidP="00D22D3F">
            <w:pPr>
              <w:pStyle w:val="ENoteTableText"/>
            </w:pPr>
            <w:r w:rsidRPr="00097A86">
              <w:t>ad 2009 No.</w:t>
            </w:r>
            <w:r>
              <w:t> </w:t>
            </w:r>
            <w:r w:rsidRPr="00097A86">
              <w:t>1</w:t>
            </w:r>
          </w:p>
        </w:tc>
      </w:tr>
      <w:tr w:rsidR="00F1362A" w:rsidRPr="00097A86" w14:paraId="4171F642" w14:textId="77777777" w:rsidTr="00C20CC2">
        <w:tblPrEx>
          <w:jc w:val="center"/>
        </w:tblPrEx>
        <w:trPr>
          <w:gridAfter w:val="1"/>
          <w:wAfter w:w="37" w:type="pct"/>
          <w:jc w:val="center"/>
        </w:trPr>
        <w:tc>
          <w:tcPr>
            <w:tcW w:w="1390" w:type="pct"/>
            <w:gridSpan w:val="2"/>
          </w:tcPr>
          <w:p w14:paraId="51E41E3B" w14:textId="77777777" w:rsidR="00F1362A" w:rsidRPr="00097A86" w:rsidRDefault="00F1362A" w:rsidP="006D1F60">
            <w:pPr>
              <w:pStyle w:val="ENoteTableText"/>
              <w:tabs>
                <w:tab w:val="left" w:leader="dot" w:pos="2268"/>
              </w:tabs>
            </w:pPr>
          </w:p>
        </w:tc>
        <w:tc>
          <w:tcPr>
            <w:tcW w:w="3573" w:type="pct"/>
            <w:gridSpan w:val="2"/>
          </w:tcPr>
          <w:p w14:paraId="3768903B" w14:textId="77777777" w:rsidR="00F1362A" w:rsidRPr="00097A86" w:rsidRDefault="00F1362A" w:rsidP="00D22D3F">
            <w:pPr>
              <w:pStyle w:val="ENoteTableText"/>
            </w:pPr>
            <w:r w:rsidRPr="00097A86">
              <w:t>am F2017L00829</w:t>
            </w:r>
          </w:p>
        </w:tc>
      </w:tr>
      <w:tr w:rsidR="00F1362A" w:rsidRPr="00097A86" w14:paraId="1E45E42A" w14:textId="77777777" w:rsidTr="00C20CC2">
        <w:tblPrEx>
          <w:jc w:val="center"/>
        </w:tblPrEx>
        <w:trPr>
          <w:gridAfter w:val="1"/>
          <w:wAfter w:w="37" w:type="pct"/>
          <w:jc w:val="center"/>
        </w:trPr>
        <w:tc>
          <w:tcPr>
            <w:tcW w:w="1390" w:type="pct"/>
            <w:gridSpan w:val="2"/>
          </w:tcPr>
          <w:p w14:paraId="4C011F1D" w14:textId="77777777" w:rsidR="00F1362A" w:rsidRPr="00097A86" w:rsidRDefault="00F1362A" w:rsidP="006D1F60">
            <w:pPr>
              <w:pStyle w:val="ENoteTableText"/>
              <w:tabs>
                <w:tab w:val="left" w:leader="dot" w:pos="2268"/>
              </w:tabs>
            </w:pPr>
            <w:r w:rsidRPr="00097A86">
              <w:rPr>
                <w:b/>
              </w:rPr>
              <w:t>Chapter</w:t>
            </w:r>
            <w:r>
              <w:rPr>
                <w:b/>
              </w:rPr>
              <w:t> </w:t>
            </w:r>
            <w:r w:rsidRPr="00097A86">
              <w:rPr>
                <w:b/>
              </w:rPr>
              <w:t>8</w:t>
            </w:r>
          </w:p>
        </w:tc>
        <w:tc>
          <w:tcPr>
            <w:tcW w:w="3573" w:type="pct"/>
            <w:gridSpan w:val="2"/>
          </w:tcPr>
          <w:p w14:paraId="62136CE8" w14:textId="77777777" w:rsidR="00F1362A" w:rsidRPr="00097A86" w:rsidRDefault="00F1362A" w:rsidP="00D22D3F">
            <w:pPr>
              <w:pStyle w:val="ENoteTableText"/>
            </w:pPr>
          </w:p>
        </w:tc>
      </w:tr>
      <w:tr w:rsidR="00F1362A" w:rsidRPr="00097A86" w14:paraId="7571B173" w14:textId="77777777" w:rsidTr="00C20CC2">
        <w:tblPrEx>
          <w:jc w:val="center"/>
        </w:tblPrEx>
        <w:trPr>
          <w:gridAfter w:val="1"/>
          <w:wAfter w:w="37" w:type="pct"/>
          <w:jc w:val="center"/>
        </w:trPr>
        <w:tc>
          <w:tcPr>
            <w:tcW w:w="1390" w:type="pct"/>
            <w:gridSpan w:val="2"/>
          </w:tcPr>
          <w:p w14:paraId="7A4ED79A" w14:textId="77777777" w:rsidR="00F1362A" w:rsidRPr="00097A86" w:rsidRDefault="00F1362A" w:rsidP="006D1F60">
            <w:pPr>
              <w:pStyle w:val="ENoteTableText"/>
              <w:tabs>
                <w:tab w:val="left" w:leader="dot" w:pos="2268"/>
              </w:tabs>
            </w:pPr>
            <w:r w:rsidRPr="00097A86">
              <w:t>Chapter</w:t>
            </w:r>
            <w:r>
              <w:t> </w:t>
            </w:r>
            <w:r w:rsidRPr="00097A86">
              <w:t>8</w:t>
            </w:r>
            <w:r w:rsidRPr="00097A86">
              <w:tab/>
            </w:r>
          </w:p>
        </w:tc>
        <w:tc>
          <w:tcPr>
            <w:tcW w:w="3573" w:type="pct"/>
            <w:gridSpan w:val="2"/>
          </w:tcPr>
          <w:p w14:paraId="3DB21F90" w14:textId="77777777" w:rsidR="00F1362A" w:rsidRPr="00097A86" w:rsidRDefault="00F1362A" w:rsidP="00D22D3F">
            <w:pPr>
              <w:pStyle w:val="ENoteTableText"/>
            </w:pPr>
            <w:r w:rsidRPr="00097A86">
              <w:t>rs 2009 No.</w:t>
            </w:r>
            <w:r>
              <w:t> </w:t>
            </w:r>
            <w:r w:rsidRPr="00097A86">
              <w:t>1</w:t>
            </w:r>
          </w:p>
        </w:tc>
      </w:tr>
      <w:tr w:rsidR="00F1362A" w:rsidRPr="00097A86" w14:paraId="582829EA" w14:textId="77777777" w:rsidTr="00C20CC2">
        <w:tblPrEx>
          <w:jc w:val="center"/>
        </w:tblPrEx>
        <w:trPr>
          <w:gridAfter w:val="1"/>
          <w:wAfter w:w="37" w:type="pct"/>
          <w:jc w:val="center"/>
        </w:trPr>
        <w:tc>
          <w:tcPr>
            <w:tcW w:w="1390" w:type="pct"/>
            <w:gridSpan w:val="2"/>
          </w:tcPr>
          <w:p w14:paraId="25B17653" w14:textId="77777777" w:rsidR="00F1362A" w:rsidRPr="00097A86" w:rsidRDefault="00F1362A" w:rsidP="006D1F60">
            <w:pPr>
              <w:pStyle w:val="ENoteTableText"/>
              <w:tabs>
                <w:tab w:val="left" w:leader="dot" w:pos="2268"/>
              </w:tabs>
            </w:pPr>
            <w:r w:rsidRPr="00097A86">
              <w:rPr>
                <w:b/>
              </w:rPr>
              <w:t>Part</w:t>
            </w:r>
            <w:r>
              <w:rPr>
                <w:b/>
              </w:rPr>
              <w:t> </w:t>
            </w:r>
            <w:r w:rsidRPr="00097A86">
              <w:rPr>
                <w:b/>
              </w:rPr>
              <w:t>8.1</w:t>
            </w:r>
          </w:p>
        </w:tc>
        <w:tc>
          <w:tcPr>
            <w:tcW w:w="3573" w:type="pct"/>
            <w:gridSpan w:val="2"/>
          </w:tcPr>
          <w:p w14:paraId="24151736" w14:textId="77777777" w:rsidR="00F1362A" w:rsidRPr="00097A86" w:rsidRDefault="00F1362A" w:rsidP="00D22D3F">
            <w:pPr>
              <w:pStyle w:val="ENoteTableText"/>
            </w:pPr>
          </w:p>
        </w:tc>
      </w:tr>
      <w:tr w:rsidR="00F1362A" w:rsidRPr="00097A86" w14:paraId="1AB4B46A" w14:textId="77777777" w:rsidTr="00C20CC2">
        <w:tblPrEx>
          <w:jc w:val="center"/>
        </w:tblPrEx>
        <w:trPr>
          <w:gridAfter w:val="1"/>
          <w:wAfter w:w="37" w:type="pct"/>
          <w:jc w:val="center"/>
        </w:trPr>
        <w:tc>
          <w:tcPr>
            <w:tcW w:w="1390" w:type="pct"/>
            <w:gridSpan w:val="2"/>
          </w:tcPr>
          <w:p w14:paraId="17DCD1CC" w14:textId="77777777" w:rsidR="00F1362A" w:rsidRPr="00097A86" w:rsidRDefault="00F1362A" w:rsidP="006D1F60">
            <w:pPr>
              <w:pStyle w:val="ENoteTableText"/>
              <w:tabs>
                <w:tab w:val="left" w:leader="dot" w:pos="2268"/>
              </w:tabs>
            </w:pPr>
            <w:r w:rsidRPr="00097A86">
              <w:t>s 8.1</w:t>
            </w:r>
            <w:r w:rsidRPr="00097A86">
              <w:tab/>
            </w:r>
          </w:p>
        </w:tc>
        <w:tc>
          <w:tcPr>
            <w:tcW w:w="3573" w:type="pct"/>
            <w:gridSpan w:val="2"/>
          </w:tcPr>
          <w:p w14:paraId="0D694625" w14:textId="77777777" w:rsidR="00F1362A" w:rsidRPr="00097A86" w:rsidRDefault="00F1362A" w:rsidP="00D22D3F">
            <w:pPr>
              <w:pStyle w:val="ENoteTableText"/>
            </w:pPr>
            <w:r w:rsidRPr="00097A86">
              <w:t>rs 2009 No.</w:t>
            </w:r>
            <w:r>
              <w:t> </w:t>
            </w:r>
            <w:r w:rsidRPr="00097A86">
              <w:t>1</w:t>
            </w:r>
          </w:p>
        </w:tc>
      </w:tr>
      <w:tr w:rsidR="00F1362A" w:rsidRPr="00097A86" w14:paraId="564C8877" w14:textId="77777777" w:rsidTr="00C20CC2">
        <w:tblPrEx>
          <w:jc w:val="center"/>
        </w:tblPrEx>
        <w:trPr>
          <w:gridAfter w:val="1"/>
          <w:wAfter w:w="37" w:type="pct"/>
          <w:jc w:val="center"/>
        </w:trPr>
        <w:tc>
          <w:tcPr>
            <w:tcW w:w="1390" w:type="pct"/>
            <w:gridSpan w:val="2"/>
          </w:tcPr>
          <w:p w14:paraId="2179F81D" w14:textId="77777777" w:rsidR="00F1362A" w:rsidRPr="00097A86" w:rsidRDefault="00F1362A" w:rsidP="006D1F60">
            <w:pPr>
              <w:pStyle w:val="ENoteTableText"/>
              <w:tabs>
                <w:tab w:val="left" w:leader="dot" w:pos="2268"/>
              </w:tabs>
            </w:pPr>
          </w:p>
        </w:tc>
        <w:tc>
          <w:tcPr>
            <w:tcW w:w="3573" w:type="pct"/>
            <w:gridSpan w:val="2"/>
          </w:tcPr>
          <w:p w14:paraId="5F302D73" w14:textId="77777777" w:rsidR="00F1362A" w:rsidRPr="00097A86" w:rsidRDefault="00F1362A" w:rsidP="00D22D3F">
            <w:pPr>
              <w:pStyle w:val="ENoteTableText"/>
            </w:pPr>
            <w:r w:rsidRPr="00097A86">
              <w:t>am 2016 No 1</w:t>
            </w:r>
          </w:p>
        </w:tc>
      </w:tr>
      <w:tr w:rsidR="00F1362A" w:rsidRPr="00097A86" w14:paraId="4228EAA4" w14:textId="77777777" w:rsidTr="00C20CC2">
        <w:tblPrEx>
          <w:jc w:val="center"/>
        </w:tblPrEx>
        <w:trPr>
          <w:gridAfter w:val="1"/>
          <w:wAfter w:w="37" w:type="pct"/>
          <w:jc w:val="center"/>
        </w:trPr>
        <w:tc>
          <w:tcPr>
            <w:tcW w:w="1390" w:type="pct"/>
            <w:gridSpan w:val="2"/>
          </w:tcPr>
          <w:p w14:paraId="511C2874" w14:textId="77777777" w:rsidR="00F1362A" w:rsidRPr="00097A86" w:rsidRDefault="00F1362A" w:rsidP="006D1F60">
            <w:pPr>
              <w:pStyle w:val="ENoteTableText"/>
              <w:tabs>
                <w:tab w:val="left" w:leader="dot" w:pos="2268"/>
              </w:tabs>
            </w:pPr>
            <w:r w:rsidRPr="00097A86">
              <w:rPr>
                <w:b/>
              </w:rPr>
              <w:t>Part</w:t>
            </w:r>
            <w:r>
              <w:rPr>
                <w:b/>
              </w:rPr>
              <w:t> </w:t>
            </w:r>
            <w:r w:rsidRPr="00097A86">
              <w:rPr>
                <w:b/>
              </w:rPr>
              <w:t>8.2</w:t>
            </w:r>
          </w:p>
        </w:tc>
        <w:tc>
          <w:tcPr>
            <w:tcW w:w="3573" w:type="pct"/>
            <w:gridSpan w:val="2"/>
          </w:tcPr>
          <w:p w14:paraId="4048C135" w14:textId="77777777" w:rsidR="00F1362A" w:rsidRPr="00097A86" w:rsidRDefault="00F1362A" w:rsidP="00D22D3F">
            <w:pPr>
              <w:pStyle w:val="ENoteTableText"/>
            </w:pPr>
          </w:p>
        </w:tc>
      </w:tr>
      <w:tr w:rsidR="00F1362A" w:rsidRPr="00097A86" w14:paraId="72372AF6" w14:textId="77777777" w:rsidTr="00C20CC2">
        <w:tblPrEx>
          <w:jc w:val="center"/>
        </w:tblPrEx>
        <w:trPr>
          <w:gridAfter w:val="1"/>
          <w:wAfter w:w="37" w:type="pct"/>
          <w:jc w:val="center"/>
        </w:trPr>
        <w:tc>
          <w:tcPr>
            <w:tcW w:w="1390" w:type="pct"/>
            <w:gridSpan w:val="2"/>
          </w:tcPr>
          <w:p w14:paraId="36BE6DFF" w14:textId="77777777" w:rsidR="00F1362A" w:rsidRPr="00097A86" w:rsidRDefault="00F1362A" w:rsidP="006D1F60">
            <w:pPr>
              <w:pStyle w:val="ENoteTableText"/>
              <w:tabs>
                <w:tab w:val="left" w:leader="dot" w:pos="2268"/>
              </w:tabs>
            </w:pPr>
            <w:r w:rsidRPr="00097A86">
              <w:t>s 8.2</w:t>
            </w:r>
            <w:r w:rsidRPr="00097A86">
              <w:tab/>
            </w:r>
          </w:p>
        </w:tc>
        <w:tc>
          <w:tcPr>
            <w:tcW w:w="3573" w:type="pct"/>
            <w:gridSpan w:val="2"/>
          </w:tcPr>
          <w:p w14:paraId="428E9000" w14:textId="77777777" w:rsidR="00F1362A" w:rsidRPr="00097A86" w:rsidRDefault="00F1362A" w:rsidP="00D22D3F">
            <w:pPr>
              <w:pStyle w:val="ENoteTableText"/>
            </w:pPr>
            <w:r w:rsidRPr="00097A86">
              <w:t>rs 2009 No.</w:t>
            </w:r>
            <w:r>
              <w:t> </w:t>
            </w:r>
            <w:r w:rsidRPr="00097A86">
              <w:t>1</w:t>
            </w:r>
          </w:p>
        </w:tc>
      </w:tr>
      <w:tr w:rsidR="00F1362A" w:rsidRPr="00097A86" w14:paraId="6BA197B6" w14:textId="77777777" w:rsidTr="00C20CC2">
        <w:tblPrEx>
          <w:jc w:val="center"/>
        </w:tblPrEx>
        <w:trPr>
          <w:gridAfter w:val="1"/>
          <w:wAfter w:w="37" w:type="pct"/>
          <w:jc w:val="center"/>
        </w:trPr>
        <w:tc>
          <w:tcPr>
            <w:tcW w:w="1390" w:type="pct"/>
            <w:gridSpan w:val="2"/>
          </w:tcPr>
          <w:p w14:paraId="49780CD6" w14:textId="77777777" w:rsidR="00F1362A" w:rsidRPr="00097A86" w:rsidRDefault="00F1362A" w:rsidP="006D1F60">
            <w:pPr>
              <w:pStyle w:val="ENoteTableText"/>
              <w:tabs>
                <w:tab w:val="left" w:leader="dot" w:pos="2268"/>
              </w:tabs>
            </w:pPr>
            <w:r w:rsidRPr="00097A86">
              <w:lastRenderedPageBreak/>
              <w:t>s 8.3</w:t>
            </w:r>
            <w:r w:rsidRPr="00097A86">
              <w:tab/>
            </w:r>
          </w:p>
        </w:tc>
        <w:tc>
          <w:tcPr>
            <w:tcW w:w="3573" w:type="pct"/>
            <w:gridSpan w:val="2"/>
          </w:tcPr>
          <w:p w14:paraId="1D91561F" w14:textId="77777777" w:rsidR="00F1362A" w:rsidRPr="00097A86" w:rsidRDefault="00F1362A" w:rsidP="00D22D3F">
            <w:pPr>
              <w:pStyle w:val="ENoteTableText"/>
            </w:pPr>
            <w:r w:rsidRPr="00097A86">
              <w:t>rs 2009 No.</w:t>
            </w:r>
            <w:r>
              <w:t> </w:t>
            </w:r>
            <w:r w:rsidRPr="00097A86">
              <w:t>1</w:t>
            </w:r>
          </w:p>
        </w:tc>
      </w:tr>
      <w:tr w:rsidR="00F1362A" w:rsidRPr="00097A86" w14:paraId="72C2C7CC" w14:textId="77777777" w:rsidTr="00C20CC2">
        <w:tblPrEx>
          <w:jc w:val="center"/>
        </w:tblPrEx>
        <w:trPr>
          <w:gridAfter w:val="1"/>
          <w:wAfter w:w="37" w:type="pct"/>
          <w:jc w:val="center"/>
        </w:trPr>
        <w:tc>
          <w:tcPr>
            <w:tcW w:w="1390" w:type="pct"/>
            <w:gridSpan w:val="2"/>
          </w:tcPr>
          <w:p w14:paraId="314600A7" w14:textId="77777777" w:rsidR="00F1362A" w:rsidRPr="00097A86" w:rsidRDefault="00F1362A" w:rsidP="006D1F60">
            <w:pPr>
              <w:pStyle w:val="ENoteTableText"/>
              <w:tabs>
                <w:tab w:val="left" w:leader="dot" w:pos="2268"/>
              </w:tabs>
            </w:pPr>
          </w:p>
        </w:tc>
        <w:tc>
          <w:tcPr>
            <w:tcW w:w="3573" w:type="pct"/>
            <w:gridSpan w:val="2"/>
          </w:tcPr>
          <w:p w14:paraId="6593D0EC" w14:textId="77777777" w:rsidR="00F1362A" w:rsidRPr="00097A86" w:rsidRDefault="00F1362A" w:rsidP="00D22D3F">
            <w:pPr>
              <w:pStyle w:val="ENoteTableText"/>
            </w:pPr>
            <w:r w:rsidRPr="00097A86">
              <w:t>am 2016 No 1</w:t>
            </w:r>
          </w:p>
        </w:tc>
      </w:tr>
      <w:tr w:rsidR="00F1362A" w:rsidRPr="00097A86" w14:paraId="2BF6C9F4" w14:textId="77777777" w:rsidTr="00C20CC2">
        <w:tblPrEx>
          <w:jc w:val="center"/>
        </w:tblPrEx>
        <w:trPr>
          <w:gridAfter w:val="1"/>
          <w:wAfter w:w="37" w:type="pct"/>
          <w:jc w:val="center"/>
        </w:trPr>
        <w:tc>
          <w:tcPr>
            <w:tcW w:w="1390" w:type="pct"/>
            <w:gridSpan w:val="2"/>
          </w:tcPr>
          <w:p w14:paraId="3577C3B0" w14:textId="77777777" w:rsidR="00F1362A" w:rsidRPr="00097A86" w:rsidRDefault="00F1362A" w:rsidP="006D1F60">
            <w:pPr>
              <w:pStyle w:val="ENoteTableText"/>
              <w:tabs>
                <w:tab w:val="left" w:leader="dot" w:pos="2268"/>
              </w:tabs>
            </w:pPr>
            <w:r w:rsidRPr="00097A86">
              <w:rPr>
                <w:b/>
              </w:rPr>
              <w:t>Part</w:t>
            </w:r>
            <w:r>
              <w:rPr>
                <w:b/>
              </w:rPr>
              <w:t> </w:t>
            </w:r>
            <w:r w:rsidRPr="00097A86">
              <w:rPr>
                <w:b/>
              </w:rPr>
              <w:t>8.3</w:t>
            </w:r>
          </w:p>
        </w:tc>
        <w:tc>
          <w:tcPr>
            <w:tcW w:w="3573" w:type="pct"/>
            <w:gridSpan w:val="2"/>
          </w:tcPr>
          <w:p w14:paraId="4E9B040A" w14:textId="77777777" w:rsidR="00F1362A" w:rsidRPr="00097A86" w:rsidRDefault="00F1362A" w:rsidP="00D22D3F">
            <w:pPr>
              <w:pStyle w:val="ENoteTableText"/>
            </w:pPr>
          </w:p>
        </w:tc>
      </w:tr>
      <w:tr w:rsidR="00F1362A" w:rsidRPr="00097A86" w14:paraId="6E3E0D6E" w14:textId="77777777" w:rsidTr="00C20CC2">
        <w:tblPrEx>
          <w:jc w:val="center"/>
        </w:tblPrEx>
        <w:trPr>
          <w:gridAfter w:val="1"/>
          <w:wAfter w:w="37" w:type="pct"/>
          <w:jc w:val="center"/>
        </w:trPr>
        <w:tc>
          <w:tcPr>
            <w:tcW w:w="1390" w:type="pct"/>
            <w:gridSpan w:val="2"/>
          </w:tcPr>
          <w:p w14:paraId="35AE52B5" w14:textId="77777777" w:rsidR="00F1362A" w:rsidRPr="00097A86" w:rsidRDefault="00F1362A" w:rsidP="006D1F60">
            <w:pPr>
              <w:pStyle w:val="ENoteTableText"/>
              <w:tabs>
                <w:tab w:val="left" w:leader="dot" w:pos="2268"/>
              </w:tabs>
            </w:pPr>
            <w:r w:rsidRPr="00097A86">
              <w:t>s 8.4</w:t>
            </w:r>
            <w:r w:rsidRPr="00097A86">
              <w:tab/>
            </w:r>
          </w:p>
        </w:tc>
        <w:tc>
          <w:tcPr>
            <w:tcW w:w="3573" w:type="pct"/>
            <w:gridSpan w:val="2"/>
          </w:tcPr>
          <w:p w14:paraId="7BA7C503" w14:textId="77777777" w:rsidR="00F1362A" w:rsidRPr="00097A86" w:rsidRDefault="00F1362A" w:rsidP="00D22D3F">
            <w:pPr>
              <w:pStyle w:val="ENoteTableText"/>
            </w:pPr>
            <w:r w:rsidRPr="00097A86">
              <w:t>rs 2009 No.</w:t>
            </w:r>
            <w:r>
              <w:t> </w:t>
            </w:r>
            <w:r w:rsidRPr="00097A86">
              <w:t>1</w:t>
            </w:r>
          </w:p>
        </w:tc>
      </w:tr>
      <w:tr w:rsidR="00F1362A" w:rsidRPr="00097A86" w14:paraId="7F366B8F" w14:textId="77777777" w:rsidTr="00C20CC2">
        <w:tblPrEx>
          <w:jc w:val="center"/>
        </w:tblPrEx>
        <w:trPr>
          <w:gridAfter w:val="1"/>
          <w:wAfter w:w="37" w:type="pct"/>
          <w:jc w:val="center"/>
        </w:trPr>
        <w:tc>
          <w:tcPr>
            <w:tcW w:w="1390" w:type="pct"/>
            <w:gridSpan w:val="2"/>
          </w:tcPr>
          <w:p w14:paraId="5D963337" w14:textId="77777777" w:rsidR="00F1362A" w:rsidRPr="00097A86" w:rsidRDefault="00F1362A" w:rsidP="006D1F60">
            <w:pPr>
              <w:pStyle w:val="ENoteTableText"/>
              <w:tabs>
                <w:tab w:val="left" w:leader="dot" w:pos="2268"/>
              </w:tabs>
            </w:pPr>
          </w:p>
        </w:tc>
        <w:tc>
          <w:tcPr>
            <w:tcW w:w="3573" w:type="pct"/>
            <w:gridSpan w:val="2"/>
          </w:tcPr>
          <w:p w14:paraId="6637A15D" w14:textId="77777777" w:rsidR="00F1362A" w:rsidRPr="00097A86" w:rsidRDefault="00F1362A" w:rsidP="00D22D3F">
            <w:pPr>
              <w:pStyle w:val="ENoteTableText"/>
            </w:pPr>
            <w:r w:rsidRPr="00097A86">
              <w:t>am 2016 No 1</w:t>
            </w:r>
          </w:p>
        </w:tc>
      </w:tr>
      <w:tr w:rsidR="00F1362A" w:rsidRPr="00097A86" w14:paraId="4942F08F" w14:textId="77777777" w:rsidTr="00C20CC2">
        <w:tblPrEx>
          <w:jc w:val="center"/>
        </w:tblPrEx>
        <w:trPr>
          <w:gridAfter w:val="1"/>
          <w:wAfter w:w="37" w:type="pct"/>
          <w:jc w:val="center"/>
        </w:trPr>
        <w:tc>
          <w:tcPr>
            <w:tcW w:w="1390" w:type="pct"/>
            <w:gridSpan w:val="2"/>
          </w:tcPr>
          <w:p w14:paraId="65C95A0A" w14:textId="77777777" w:rsidR="00F1362A" w:rsidRPr="00097A86" w:rsidRDefault="00F1362A" w:rsidP="006D1F60">
            <w:pPr>
              <w:pStyle w:val="ENoteTableText"/>
              <w:tabs>
                <w:tab w:val="left" w:leader="dot" w:pos="2268"/>
              </w:tabs>
            </w:pPr>
            <w:r w:rsidRPr="00097A86">
              <w:t>s 8.5</w:t>
            </w:r>
            <w:r w:rsidRPr="00097A86">
              <w:tab/>
            </w:r>
          </w:p>
        </w:tc>
        <w:tc>
          <w:tcPr>
            <w:tcW w:w="3573" w:type="pct"/>
            <w:gridSpan w:val="2"/>
          </w:tcPr>
          <w:p w14:paraId="78900CAB" w14:textId="77777777" w:rsidR="00F1362A" w:rsidRPr="00097A86" w:rsidRDefault="00F1362A" w:rsidP="00D22D3F">
            <w:pPr>
              <w:pStyle w:val="ENoteTableText"/>
            </w:pPr>
            <w:r w:rsidRPr="00097A86">
              <w:t>rs 2009 No.</w:t>
            </w:r>
            <w:r>
              <w:t> </w:t>
            </w:r>
            <w:r w:rsidRPr="00097A86">
              <w:t>1</w:t>
            </w:r>
          </w:p>
        </w:tc>
      </w:tr>
      <w:tr w:rsidR="00F1362A" w:rsidRPr="00097A86" w14:paraId="4CC5A52B" w14:textId="77777777" w:rsidTr="00C20CC2">
        <w:tblPrEx>
          <w:jc w:val="center"/>
        </w:tblPrEx>
        <w:trPr>
          <w:gridAfter w:val="1"/>
          <w:wAfter w:w="37" w:type="pct"/>
          <w:jc w:val="center"/>
        </w:trPr>
        <w:tc>
          <w:tcPr>
            <w:tcW w:w="1390" w:type="pct"/>
            <w:gridSpan w:val="2"/>
          </w:tcPr>
          <w:p w14:paraId="28138248" w14:textId="77777777" w:rsidR="00F1362A" w:rsidRPr="00097A86" w:rsidRDefault="00F1362A" w:rsidP="006D1F60">
            <w:pPr>
              <w:pStyle w:val="ENoteTableText"/>
              <w:tabs>
                <w:tab w:val="left" w:leader="dot" w:pos="2268"/>
              </w:tabs>
            </w:pPr>
          </w:p>
        </w:tc>
        <w:tc>
          <w:tcPr>
            <w:tcW w:w="3573" w:type="pct"/>
            <w:gridSpan w:val="2"/>
          </w:tcPr>
          <w:p w14:paraId="0F79BFF4" w14:textId="77777777" w:rsidR="00F1362A" w:rsidRPr="00097A86" w:rsidRDefault="00F1362A" w:rsidP="00D22D3F">
            <w:pPr>
              <w:pStyle w:val="ENoteTableText"/>
            </w:pPr>
            <w:r w:rsidRPr="00097A86">
              <w:t>am 2016 No 1</w:t>
            </w:r>
          </w:p>
        </w:tc>
      </w:tr>
      <w:tr w:rsidR="00F1362A" w:rsidRPr="00097A86" w14:paraId="1092C9EB" w14:textId="77777777" w:rsidTr="00C20CC2">
        <w:tblPrEx>
          <w:jc w:val="center"/>
        </w:tblPrEx>
        <w:trPr>
          <w:gridAfter w:val="1"/>
          <w:wAfter w:w="37" w:type="pct"/>
          <w:jc w:val="center"/>
        </w:trPr>
        <w:tc>
          <w:tcPr>
            <w:tcW w:w="1390" w:type="pct"/>
            <w:gridSpan w:val="2"/>
          </w:tcPr>
          <w:p w14:paraId="555E3EEF" w14:textId="77777777" w:rsidR="00F1362A" w:rsidRPr="00097A86" w:rsidRDefault="00F1362A" w:rsidP="006D1F60">
            <w:pPr>
              <w:pStyle w:val="ENoteTableText"/>
              <w:tabs>
                <w:tab w:val="left" w:leader="dot" w:pos="2268"/>
              </w:tabs>
            </w:pPr>
            <w:r w:rsidRPr="00097A86">
              <w:t>s 8.6</w:t>
            </w:r>
            <w:r w:rsidRPr="00097A86">
              <w:tab/>
            </w:r>
          </w:p>
        </w:tc>
        <w:tc>
          <w:tcPr>
            <w:tcW w:w="3573" w:type="pct"/>
            <w:gridSpan w:val="2"/>
          </w:tcPr>
          <w:p w14:paraId="1BA12846" w14:textId="77777777" w:rsidR="00F1362A" w:rsidRPr="00097A86" w:rsidRDefault="00F1362A" w:rsidP="00D22D3F">
            <w:pPr>
              <w:pStyle w:val="ENoteTableText"/>
            </w:pPr>
            <w:r w:rsidRPr="00097A86">
              <w:t>rs 2009 No.</w:t>
            </w:r>
            <w:r>
              <w:t> </w:t>
            </w:r>
            <w:r w:rsidRPr="00097A86">
              <w:t>1</w:t>
            </w:r>
          </w:p>
        </w:tc>
      </w:tr>
      <w:tr w:rsidR="00F1362A" w:rsidRPr="00097A86" w14:paraId="7D633628" w14:textId="77777777" w:rsidTr="00C20CC2">
        <w:tblPrEx>
          <w:jc w:val="center"/>
        </w:tblPrEx>
        <w:trPr>
          <w:gridAfter w:val="1"/>
          <w:wAfter w:w="37" w:type="pct"/>
          <w:jc w:val="center"/>
        </w:trPr>
        <w:tc>
          <w:tcPr>
            <w:tcW w:w="1390" w:type="pct"/>
            <w:gridSpan w:val="2"/>
          </w:tcPr>
          <w:p w14:paraId="6A58F098" w14:textId="77777777" w:rsidR="00F1362A" w:rsidRPr="00097A86" w:rsidRDefault="00F1362A" w:rsidP="006D1F60">
            <w:pPr>
              <w:pStyle w:val="ENoteTableText"/>
              <w:tabs>
                <w:tab w:val="left" w:leader="dot" w:pos="2268"/>
              </w:tabs>
            </w:pPr>
          </w:p>
        </w:tc>
        <w:tc>
          <w:tcPr>
            <w:tcW w:w="3573" w:type="pct"/>
            <w:gridSpan w:val="2"/>
          </w:tcPr>
          <w:p w14:paraId="7112E835" w14:textId="77777777" w:rsidR="00F1362A" w:rsidRPr="00097A86" w:rsidRDefault="00F1362A" w:rsidP="00D22D3F">
            <w:pPr>
              <w:pStyle w:val="ENoteTableText"/>
            </w:pPr>
            <w:r w:rsidRPr="00097A86">
              <w:t>am 2010 No.</w:t>
            </w:r>
            <w:r>
              <w:t> </w:t>
            </w:r>
            <w:r w:rsidRPr="00097A86">
              <w:t>1; 2011 No.</w:t>
            </w:r>
            <w:r>
              <w:t> </w:t>
            </w:r>
            <w:r w:rsidRPr="00097A86">
              <w:t>1; 2013 No.</w:t>
            </w:r>
            <w:r>
              <w:t> </w:t>
            </w:r>
            <w:r w:rsidRPr="00097A86">
              <w:t>1</w:t>
            </w:r>
          </w:p>
        </w:tc>
      </w:tr>
      <w:tr w:rsidR="00F1362A" w:rsidRPr="00097A86" w14:paraId="029B43BB" w14:textId="77777777" w:rsidTr="00C20CC2">
        <w:tblPrEx>
          <w:jc w:val="center"/>
        </w:tblPrEx>
        <w:trPr>
          <w:gridAfter w:val="1"/>
          <w:wAfter w:w="37" w:type="pct"/>
          <w:jc w:val="center"/>
        </w:trPr>
        <w:tc>
          <w:tcPr>
            <w:tcW w:w="1390" w:type="pct"/>
            <w:gridSpan w:val="2"/>
          </w:tcPr>
          <w:p w14:paraId="622194F0" w14:textId="77777777" w:rsidR="00F1362A" w:rsidRPr="00097A86" w:rsidRDefault="00F1362A" w:rsidP="006D1F60">
            <w:pPr>
              <w:pStyle w:val="ENoteTableText"/>
              <w:tabs>
                <w:tab w:val="left" w:leader="dot" w:pos="2268"/>
              </w:tabs>
            </w:pPr>
            <w:r w:rsidRPr="00097A86">
              <w:t>s 8.7</w:t>
            </w:r>
            <w:r w:rsidRPr="00097A86">
              <w:tab/>
            </w:r>
          </w:p>
        </w:tc>
        <w:tc>
          <w:tcPr>
            <w:tcW w:w="3573" w:type="pct"/>
            <w:gridSpan w:val="2"/>
          </w:tcPr>
          <w:p w14:paraId="3D5BB77E" w14:textId="77777777" w:rsidR="00F1362A" w:rsidRPr="00097A86" w:rsidRDefault="00F1362A" w:rsidP="00D22D3F">
            <w:pPr>
              <w:pStyle w:val="ENoteTableText"/>
            </w:pPr>
            <w:r w:rsidRPr="00097A86">
              <w:t>rs 2009 No.</w:t>
            </w:r>
            <w:r>
              <w:t> </w:t>
            </w:r>
            <w:r w:rsidRPr="00097A86">
              <w:t>1</w:t>
            </w:r>
          </w:p>
        </w:tc>
      </w:tr>
      <w:tr w:rsidR="00F1362A" w:rsidRPr="00097A86" w14:paraId="4671DF27" w14:textId="77777777" w:rsidTr="00C20CC2">
        <w:tblPrEx>
          <w:jc w:val="center"/>
        </w:tblPrEx>
        <w:trPr>
          <w:gridAfter w:val="1"/>
          <w:wAfter w:w="37" w:type="pct"/>
          <w:jc w:val="center"/>
        </w:trPr>
        <w:tc>
          <w:tcPr>
            <w:tcW w:w="1390" w:type="pct"/>
            <w:gridSpan w:val="2"/>
          </w:tcPr>
          <w:p w14:paraId="19820014" w14:textId="77777777" w:rsidR="00F1362A" w:rsidRPr="00097A86" w:rsidRDefault="00F1362A" w:rsidP="006D1F60">
            <w:pPr>
              <w:pStyle w:val="ENoteTableText"/>
              <w:tabs>
                <w:tab w:val="left" w:leader="dot" w:pos="2268"/>
              </w:tabs>
            </w:pPr>
          </w:p>
        </w:tc>
        <w:tc>
          <w:tcPr>
            <w:tcW w:w="3573" w:type="pct"/>
            <w:gridSpan w:val="2"/>
          </w:tcPr>
          <w:p w14:paraId="2B49BA03" w14:textId="77777777" w:rsidR="00F1362A" w:rsidRPr="00097A86" w:rsidRDefault="00F1362A" w:rsidP="00D22D3F">
            <w:pPr>
              <w:pStyle w:val="ENoteTableText"/>
            </w:pPr>
            <w:r w:rsidRPr="00097A86">
              <w:t>am 2010 No.</w:t>
            </w:r>
            <w:r>
              <w:t> </w:t>
            </w:r>
            <w:r w:rsidRPr="00097A86">
              <w:t>1; 2011 No.</w:t>
            </w:r>
            <w:r>
              <w:t> </w:t>
            </w:r>
            <w:r w:rsidRPr="00097A86">
              <w:t>1</w:t>
            </w:r>
          </w:p>
        </w:tc>
      </w:tr>
      <w:tr w:rsidR="00F1362A" w:rsidRPr="00097A86" w14:paraId="1C9F76DC" w14:textId="77777777" w:rsidTr="00C20CC2">
        <w:tblPrEx>
          <w:jc w:val="center"/>
        </w:tblPrEx>
        <w:trPr>
          <w:gridAfter w:val="1"/>
          <w:wAfter w:w="37" w:type="pct"/>
          <w:jc w:val="center"/>
        </w:trPr>
        <w:tc>
          <w:tcPr>
            <w:tcW w:w="1390" w:type="pct"/>
            <w:gridSpan w:val="2"/>
          </w:tcPr>
          <w:p w14:paraId="198AC1BF" w14:textId="77777777" w:rsidR="00F1362A" w:rsidRPr="00097A86" w:rsidRDefault="00F1362A" w:rsidP="006D1F60">
            <w:pPr>
              <w:pStyle w:val="ENoteTableText"/>
              <w:tabs>
                <w:tab w:val="left" w:leader="dot" w:pos="2268"/>
              </w:tabs>
            </w:pPr>
            <w:r w:rsidRPr="00097A86">
              <w:t>s 8.8</w:t>
            </w:r>
            <w:r w:rsidRPr="00097A86">
              <w:tab/>
            </w:r>
          </w:p>
        </w:tc>
        <w:tc>
          <w:tcPr>
            <w:tcW w:w="3573" w:type="pct"/>
            <w:gridSpan w:val="2"/>
          </w:tcPr>
          <w:p w14:paraId="7B378969" w14:textId="77777777" w:rsidR="00F1362A" w:rsidRPr="00097A86" w:rsidRDefault="00F1362A" w:rsidP="00D22D3F">
            <w:pPr>
              <w:pStyle w:val="ENoteTableText"/>
            </w:pPr>
            <w:r w:rsidRPr="00097A86">
              <w:t>rs 2009 No.</w:t>
            </w:r>
            <w:r>
              <w:t> </w:t>
            </w:r>
            <w:r w:rsidRPr="00097A86">
              <w:t>1</w:t>
            </w:r>
          </w:p>
        </w:tc>
      </w:tr>
      <w:tr w:rsidR="00F1362A" w:rsidRPr="00097A86" w14:paraId="6B3DD7D7" w14:textId="77777777" w:rsidTr="00C20CC2">
        <w:tblPrEx>
          <w:jc w:val="center"/>
        </w:tblPrEx>
        <w:trPr>
          <w:gridAfter w:val="1"/>
          <w:wAfter w:w="37" w:type="pct"/>
          <w:jc w:val="center"/>
        </w:trPr>
        <w:tc>
          <w:tcPr>
            <w:tcW w:w="1390" w:type="pct"/>
            <w:gridSpan w:val="2"/>
          </w:tcPr>
          <w:p w14:paraId="2C9F9730" w14:textId="77777777" w:rsidR="00F1362A" w:rsidRPr="00097A86" w:rsidRDefault="00F1362A" w:rsidP="006D1F60">
            <w:pPr>
              <w:pStyle w:val="ENoteTableText"/>
              <w:tabs>
                <w:tab w:val="left" w:leader="dot" w:pos="2268"/>
              </w:tabs>
            </w:pPr>
          </w:p>
        </w:tc>
        <w:tc>
          <w:tcPr>
            <w:tcW w:w="3573" w:type="pct"/>
            <w:gridSpan w:val="2"/>
          </w:tcPr>
          <w:p w14:paraId="0177C7EF" w14:textId="77777777" w:rsidR="00F1362A" w:rsidRPr="00097A86" w:rsidRDefault="00F1362A" w:rsidP="00D22D3F">
            <w:pPr>
              <w:pStyle w:val="ENoteTableText"/>
            </w:pPr>
            <w:r w:rsidRPr="00097A86">
              <w:t>am 2011 No.</w:t>
            </w:r>
            <w:r>
              <w:t> </w:t>
            </w:r>
            <w:r w:rsidRPr="00097A86">
              <w:t>1</w:t>
            </w:r>
          </w:p>
        </w:tc>
      </w:tr>
      <w:tr w:rsidR="00F1362A" w:rsidRPr="00097A86" w14:paraId="2A83D34E" w14:textId="77777777" w:rsidTr="00C20CC2">
        <w:tblPrEx>
          <w:jc w:val="center"/>
        </w:tblPrEx>
        <w:trPr>
          <w:gridAfter w:val="1"/>
          <w:wAfter w:w="37" w:type="pct"/>
          <w:jc w:val="center"/>
        </w:trPr>
        <w:tc>
          <w:tcPr>
            <w:tcW w:w="1390" w:type="pct"/>
            <w:gridSpan w:val="2"/>
          </w:tcPr>
          <w:p w14:paraId="3E8E3FE7" w14:textId="77777777" w:rsidR="00F1362A" w:rsidRPr="00097A86" w:rsidRDefault="00F1362A" w:rsidP="006D1F60">
            <w:pPr>
              <w:pStyle w:val="ENoteTableText"/>
              <w:tabs>
                <w:tab w:val="left" w:leader="dot" w:pos="2268"/>
              </w:tabs>
            </w:pPr>
            <w:r w:rsidRPr="00097A86">
              <w:t>s 8.9</w:t>
            </w:r>
            <w:r w:rsidRPr="00097A86">
              <w:tab/>
            </w:r>
          </w:p>
        </w:tc>
        <w:tc>
          <w:tcPr>
            <w:tcW w:w="3573" w:type="pct"/>
            <w:gridSpan w:val="2"/>
          </w:tcPr>
          <w:p w14:paraId="72365C67" w14:textId="77777777" w:rsidR="00F1362A" w:rsidRPr="00097A86" w:rsidRDefault="00F1362A" w:rsidP="00D22D3F">
            <w:pPr>
              <w:pStyle w:val="ENoteTableText"/>
            </w:pPr>
            <w:r w:rsidRPr="00097A86">
              <w:t>rs 2009 No.</w:t>
            </w:r>
            <w:r>
              <w:t> </w:t>
            </w:r>
            <w:r w:rsidRPr="00097A86">
              <w:t>1</w:t>
            </w:r>
          </w:p>
        </w:tc>
      </w:tr>
      <w:tr w:rsidR="00F1362A" w:rsidRPr="00097A86" w14:paraId="384AF733" w14:textId="77777777" w:rsidTr="00C20CC2">
        <w:tblPrEx>
          <w:jc w:val="center"/>
        </w:tblPrEx>
        <w:trPr>
          <w:gridAfter w:val="1"/>
          <w:wAfter w:w="37" w:type="pct"/>
          <w:jc w:val="center"/>
        </w:trPr>
        <w:tc>
          <w:tcPr>
            <w:tcW w:w="1390" w:type="pct"/>
            <w:gridSpan w:val="2"/>
          </w:tcPr>
          <w:p w14:paraId="1E4E22CB" w14:textId="77777777" w:rsidR="00F1362A" w:rsidRPr="00097A86" w:rsidRDefault="00F1362A" w:rsidP="006D1F60">
            <w:pPr>
              <w:pStyle w:val="ENoteTableText"/>
              <w:tabs>
                <w:tab w:val="left" w:leader="dot" w:pos="2268"/>
              </w:tabs>
            </w:pPr>
          </w:p>
        </w:tc>
        <w:tc>
          <w:tcPr>
            <w:tcW w:w="3573" w:type="pct"/>
            <w:gridSpan w:val="2"/>
          </w:tcPr>
          <w:p w14:paraId="369975DA" w14:textId="77777777" w:rsidR="00F1362A" w:rsidRPr="00097A86" w:rsidRDefault="00F1362A" w:rsidP="00D22D3F">
            <w:pPr>
              <w:pStyle w:val="ENoteTableText"/>
            </w:pPr>
            <w:r w:rsidRPr="00097A86">
              <w:t>am 2011 No.</w:t>
            </w:r>
            <w:r>
              <w:t> </w:t>
            </w:r>
            <w:r w:rsidRPr="00097A86">
              <w:t>1</w:t>
            </w:r>
          </w:p>
        </w:tc>
      </w:tr>
      <w:tr w:rsidR="00F1362A" w:rsidRPr="00097A86" w14:paraId="64C059A0" w14:textId="77777777" w:rsidTr="00C20CC2">
        <w:tblPrEx>
          <w:jc w:val="center"/>
        </w:tblPrEx>
        <w:trPr>
          <w:gridAfter w:val="1"/>
          <w:wAfter w:w="37" w:type="pct"/>
          <w:jc w:val="center"/>
        </w:trPr>
        <w:tc>
          <w:tcPr>
            <w:tcW w:w="1390" w:type="pct"/>
            <w:gridSpan w:val="2"/>
          </w:tcPr>
          <w:p w14:paraId="2EFA328D" w14:textId="77777777" w:rsidR="00F1362A" w:rsidRPr="00097A86" w:rsidRDefault="00F1362A" w:rsidP="006D1F60">
            <w:pPr>
              <w:pStyle w:val="ENoteTableText"/>
              <w:tabs>
                <w:tab w:val="left" w:leader="dot" w:pos="2268"/>
              </w:tabs>
            </w:pPr>
            <w:r w:rsidRPr="00097A86">
              <w:t>s 8.10</w:t>
            </w:r>
            <w:r w:rsidRPr="00097A86">
              <w:tab/>
            </w:r>
          </w:p>
        </w:tc>
        <w:tc>
          <w:tcPr>
            <w:tcW w:w="3573" w:type="pct"/>
            <w:gridSpan w:val="2"/>
          </w:tcPr>
          <w:p w14:paraId="4F720897" w14:textId="77777777" w:rsidR="00F1362A" w:rsidRPr="00097A86" w:rsidRDefault="00F1362A" w:rsidP="00D22D3F">
            <w:pPr>
              <w:pStyle w:val="ENoteTableText"/>
            </w:pPr>
            <w:r w:rsidRPr="00097A86">
              <w:t>ad 2009 No.</w:t>
            </w:r>
            <w:r>
              <w:t> </w:t>
            </w:r>
            <w:r w:rsidRPr="00097A86">
              <w:t>1</w:t>
            </w:r>
          </w:p>
        </w:tc>
      </w:tr>
      <w:tr w:rsidR="00F1362A" w:rsidRPr="00097A86" w14:paraId="3CAE508B" w14:textId="77777777" w:rsidTr="00C20CC2">
        <w:tblPrEx>
          <w:jc w:val="center"/>
        </w:tblPrEx>
        <w:trPr>
          <w:gridAfter w:val="1"/>
          <w:wAfter w:w="37" w:type="pct"/>
          <w:jc w:val="center"/>
        </w:trPr>
        <w:tc>
          <w:tcPr>
            <w:tcW w:w="1390" w:type="pct"/>
            <w:gridSpan w:val="2"/>
          </w:tcPr>
          <w:p w14:paraId="423B47FC" w14:textId="77777777" w:rsidR="00F1362A" w:rsidRPr="00097A86" w:rsidRDefault="00F1362A" w:rsidP="006D1F60">
            <w:pPr>
              <w:pStyle w:val="ENoteTableText"/>
              <w:tabs>
                <w:tab w:val="left" w:leader="dot" w:pos="2268"/>
              </w:tabs>
            </w:pPr>
            <w:r w:rsidRPr="00097A86">
              <w:t>s 8.11</w:t>
            </w:r>
            <w:r w:rsidRPr="00097A86">
              <w:tab/>
            </w:r>
          </w:p>
        </w:tc>
        <w:tc>
          <w:tcPr>
            <w:tcW w:w="3573" w:type="pct"/>
            <w:gridSpan w:val="2"/>
          </w:tcPr>
          <w:p w14:paraId="774567DC" w14:textId="77777777" w:rsidR="00F1362A" w:rsidRPr="00097A86" w:rsidRDefault="00F1362A" w:rsidP="00D22D3F">
            <w:pPr>
              <w:pStyle w:val="ENoteTableText"/>
            </w:pPr>
            <w:r w:rsidRPr="00097A86">
              <w:t>ad 2009 No.</w:t>
            </w:r>
            <w:r>
              <w:t> </w:t>
            </w:r>
            <w:r w:rsidRPr="00097A86">
              <w:t>1</w:t>
            </w:r>
          </w:p>
        </w:tc>
      </w:tr>
      <w:tr w:rsidR="00F1362A" w:rsidRPr="00097A86" w14:paraId="32BEE2D5" w14:textId="77777777" w:rsidTr="00C20CC2">
        <w:tblPrEx>
          <w:jc w:val="center"/>
        </w:tblPrEx>
        <w:trPr>
          <w:gridAfter w:val="1"/>
          <w:wAfter w:w="37" w:type="pct"/>
          <w:jc w:val="center"/>
        </w:trPr>
        <w:tc>
          <w:tcPr>
            <w:tcW w:w="1390" w:type="pct"/>
            <w:gridSpan w:val="2"/>
          </w:tcPr>
          <w:p w14:paraId="0654B473" w14:textId="77777777" w:rsidR="00F1362A" w:rsidRPr="00097A86" w:rsidRDefault="00F1362A" w:rsidP="006D1F60">
            <w:pPr>
              <w:pStyle w:val="ENoteTableText"/>
              <w:tabs>
                <w:tab w:val="left" w:leader="dot" w:pos="2268"/>
              </w:tabs>
            </w:pPr>
          </w:p>
        </w:tc>
        <w:tc>
          <w:tcPr>
            <w:tcW w:w="3573" w:type="pct"/>
            <w:gridSpan w:val="2"/>
          </w:tcPr>
          <w:p w14:paraId="7A9B4BFB" w14:textId="77777777" w:rsidR="00F1362A" w:rsidRPr="00097A86" w:rsidRDefault="00F1362A" w:rsidP="00D22D3F">
            <w:pPr>
              <w:pStyle w:val="ENoteTableText"/>
            </w:pPr>
            <w:r w:rsidRPr="00097A86">
              <w:t>am 2016 No 1</w:t>
            </w:r>
          </w:p>
        </w:tc>
      </w:tr>
      <w:tr w:rsidR="00F1362A" w:rsidRPr="00097A86" w14:paraId="43973CDD" w14:textId="77777777" w:rsidTr="00C20CC2">
        <w:tblPrEx>
          <w:jc w:val="center"/>
        </w:tblPrEx>
        <w:trPr>
          <w:gridAfter w:val="1"/>
          <w:wAfter w:w="37" w:type="pct"/>
          <w:jc w:val="center"/>
        </w:trPr>
        <w:tc>
          <w:tcPr>
            <w:tcW w:w="1390" w:type="pct"/>
            <w:gridSpan w:val="2"/>
          </w:tcPr>
          <w:p w14:paraId="6010C897" w14:textId="77777777" w:rsidR="00F1362A" w:rsidRPr="00097A86" w:rsidRDefault="00F1362A" w:rsidP="006D1F60">
            <w:pPr>
              <w:pStyle w:val="ENoteTableText"/>
              <w:tabs>
                <w:tab w:val="left" w:leader="dot" w:pos="2268"/>
              </w:tabs>
            </w:pPr>
            <w:r w:rsidRPr="00097A86">
              <w:t>s 8.12</w:t>
            </w:r>
            <w:r w:rsidRPr="00097A86">
              <w:tab/>
            </w:r>
          </w:p>
        </w:tc>
        <w:tc>
          <w:tcPr>
            <w:tcW w:w="3573" w:type="pct"/>
            <w:gridSpan w:val="2"/>
          </w:tcPr>
          <w:p w14:paraId="7EEC2012" w14:textId="77777777" w:rsidR="00F1362A" w:rsidRPr="00097A86" w:rsidRDefault="00F1362A" w:rsidP="00D22D3F">
            <w:pPr>
              <w:pStyle w:val="ENoteTableText"/>
            </w:pPr>
            <w:r w:rsidRPr="00097A86">
              <w:t>ad 2009 No.</w:t>
            </w:r>
            <w:r>
              <w:t> </w:t>
            </w:r>
            <w:r w:rsidRPr="00097A86">
              <w:t>1</w:t>
            </w:r>
          </w:p>
        </w:tc>
      </w:tr>
      <w:tr w:rsidR="00F1362A" w:rsidRPr="00097A86" w14:paraId="269B37FF" w14:textId="77777777" w:rsidTr="00C20CC2">
        <w:tblPrEx>
          <w:jc w:val="center"/>
        </w:tblPrEx>
        <w:trPr>
          <w:gridAfter w:val="1"/>
          <w:wAfter w:w="37" w:type="pct"/>
          <w:jc w:val="center"/>
        </w:trPr>
        <w:tc>
          <w:tcPr>
            <w:tcW w:w="1390" w:type="pct"/>
            <w:gridSpan w:val="2"/>
          </w:tcPr>
          <w:p w14:paraId="1C06BA89" w14:textId="77777777" w:rsidR="00F1362A" w:rsidRPr="00097A86" w:rsidRDefault="00F1362A" w:rsidP="006D1F60">
            <w:pPr>
              <w:pStyle w:val="ENoteTableText"/>
              <w:tabs>
                <w:tab w:val="left" w:leader="dot" w:pos="2268"/>
              </w:tabs>
            </w:pPr>
          </w:p>
        </w:tc>
        <w:tc>
          <w:tcPr>
            <w:tcW w:w="3573" w:type="pct"/>
            <w:gridSpan w:val="2"/>
          </w:tcPr>
          <w:p w14:paraId="492EE1DA" w14:textId="77777777" w:rsidR="00F1362A" w:rsidRPr="00097A86" w:rsidRDefault="00F1362A" w:rsidP="00D22D3F">
            <w:pPr>
              <w:pStyle w:val="ENoteTableText"/>
            </w:pPr>
            <w:r w:rsidRPr="00097A86">
              <w:t>am 2010 No.</w:t>
            </w:r>
            <w:r>
              <w:t> </w:t>
            </w:r>
            <w:r w:rsidRPr="00097A86">
              <w:t>1</w:t>
            </w:r>
          </w:p>
        </w:tc>
      </w:tr>
      <w:tr w:rsidR="00F1362A" w:rsidRPr="00097A86" w14:paraId="0245929C" w14:textId="77777777" w:rsidTr="00C20CC2">
        <w:tblPrEx>
          <w:jc w:val="center"/>
        </w:tblPrEx>
        <w:trPr>
          <w:gridAfter w:val="1"/>
          <w:wAfter w:w="37" w:type="pct"/>
          <w:jc w:val="center"/>
        </w:trPr>
        <w:tc>
          <w:tcPr>
            <w:tcW w:w="1390" w:type="pct"/>
            <w:gridSpan w:val="2"/>
          </w:tcPr>
          <w:p w14:paraId="2BBFF646" w14:textId="77777777" w:rsidR="00F1362A" w:rsidRPr="00097A86" w:rsidRDefault="00F1362A" w:rsidP="006D1F60">
            <w:pPr>
              <w:pStyle w:val="ENoteTableText"/>
              <w:tabs>
                <w:tab w:val="left" w:leader="dot" w:pos="2268"/>
              </w:tabs>
            </w:pPr>
          </w:p>
        </w:tc>
        <w:tc>
          <w:tcPr>
            <w:tcW w:w="3573" w:type="pct"/>
            <w:gridSpan w:val="2"/>
          </w:tcPr>
          <w:p w14:paraId="7E579D97" w14:textId="77777777" w:rsidR="00F1362A" w:rsidRPr="00097A86" w:rsidRDefault="00F1362A" w:rsidP="00D22D3F">
            <w:pPr>
              <w:pStyle w:val="ENoteTableText"/>
            </w:pPr>
            <w:r w:rsidRPr="00097A86">
              <w:t>rep 2016 No 1</w:t>
            </w:r>
          </w:p>
        </w:tc>
      </w:tr>
      <w:tr w:rsidR="00F1362A" w:rsidRPr="00097A86" w14:paraId="01012137" w14:textId="77777777" w:rsidTr="00C20CC2">
        <w:tblPrEx>
          <w:jc w:val="center"/>
        </w:tblPrEx>
        <w:trPr>
          <w:gridAfter w:val="1"/>
          <w:wAfter w:w="37" w:type="pct"/>
          <w:jc w:val="center"/>
        </w:trPr>
        <w:tc>
          <w:tcPr>
            <w:tcW w:w="1390" w:type="pct"/>
            <w:gridSpan w:val="2"/>
          </w:tcPr>
          <w:p w14:paraId="42161BC0" w14:textId="77777777" w:rsidR="00F1362A" w:rsidRPr="00097A86" w:rsidRDefault="00F1362A" w:rsidP="006D1F60">
            <w:pPr>
              <w:pStyle w:val="ENoteTableText"/>
              <w:tabs>
                <w:tab w:val="left" w:leader="dot" w:pos="2268"/>
              </w:tabs>
            </w:pPr>
            <w:r w:rsidRPr="00097A86">
              <w:lastRenderedPageBreak/>
              <w:t>s 8.13</w:t>
            </w:r>
            <w:r w:rsidRPr="00097A86">
              <w:tab/>
            </w:r>
          </w:p>
        </w:tc>
        <w:tc>
          <w:tcPr>
            <w:tcW w:w="3573" w:type="pct"/>
            <w:gridSpan w:val="2"/>
          </w:tcPr>
          <w:p w14:paraId="65336D9E" w14:textId="77777777" w:rsidR="00F1362A" w:rsidRPr="00097A86" w:rsidRDefault="00F1362A" w:rsidP="00D22D3F">
            <w:pPr>
              <w:pStyle w:val="ENoteTableText"/>
            </w:pPr>
            <w:r w:rsidRPr="00097A86">
              <w:t>ad 2009 No.</w:t>
            </w:r>
            <w:r>
              <w:t> </w:t>
            </w:r>
            <w:r w:rsidRPr="00097A86">
              <w:t>1</w:t>
            </w:r>
          </w:p>
        </w:tc>
      </w:tr>
      <w:tr w:rsidR="00F1362A" w:rsidRPr="00097A86" w14:paraId="5589A2EE" w14:textId="77777777" w:rsidTr="00C20CC2">
        <w:tblPrEx>
          <w:jc w:val="center"/>
        </w:tblPrEx>
        <w:trPr>
          <w:gridAfter w:val="1"/>
          <w:wAfter w:w="37" w:type="pct"/>
          <w:jc w:val="center"/>
        </w:trPr>
        <w:tc>
          <w:tcPr>
            <w:tcW w:w="1390" w:type="pct"/>
            <w:gridSpan w:val="2"/>
          </w:tcPr>
          <w:p w14:paraId="2363F427" w14:textId="77777777" w:rsidR="00F1362A" w:rsidRPr="00097A86" w:rsidRDefault="00F1362A" w:rsidP="006D1F60">
            <w:pPr>
              <w:pStyle w:val="ENoteTableText"/>
              <w:tabs>
                <w:tab w:val="left" w:leader="dot" w:pos="2268"/>
              </w:tabs>
            </w:pPr>
          </w:p>
        </w:tc>
        <w:tc>
          <w:tcPr>
            <w:tcW w:w="3573" w:type="pct"/>
            <w:gridSpan w:val="2"/>
          </w:tcPr>
          <w:p w14:paraId="4C9A4659" w14:textId="77777777" w:rsidR="00F1362A" w:rsidRPr="00097A86" w:rsidRDefault="00F1362A" w:rsidP="00D22D3F">
            <w:pPr>
              <w:pStyle w:val="ENoteTableText"/>
            </w:pPr>
            <w:r w:rsidRPr="00097A86">
              <w:t>am 2010 No.</w:t>
            </w:r>
            <w:r>
              <w:t> </w:t>
            </w:r>
            <w:r w:rsidRPr="00097A86">
              <w:t>1</w:t>
            </w:r>
          </w:p>
        </w:tc>
      </w:tr>
      <w:tr w:rsidR="00F1362A" w:rsidRPr="00097A86" w14:paraId="3C44CC48" w14:textId="77777777" w:rsidTr="00C20CC2">
        <w:tblPrEx>
          <w:jc w:val="center"/>
        </w:tblPrEx>
        <w:trPr>
          <w:gridAfter w:val="1"/>
          <w:wAfter w:w="37" w:type="pct"/>
          <w:jc w:val="center"/>
        </w:trPr>
        <w:tc>
          <w:tcPr>
            <w:tcW w:w="1390" w:type="pct"/>
            <w:gridSpan w:val="2"/>
          </w:tcPr>
          <w:p w14:paraId="1C3C577C" w14:textId="77777777" w:rsidR="00F1362A" w:rsidRPr="00097A86" w:rsidRDefault="00F1362A" w:rsidP="006D1F60">
            <w:pPr>
              <w:pStyle w:val="ENoteTableText"/>
              <w:tabs>
                <w:tab w:val="left" w:leader="dot" w:pos="2268"/>
              </w:tabs>
            </w:pPr>
          </w:p>
        </w:tc>
        <w:tc>
          <w:tcPr>
            <w:tcW w:w="3573" w:type="pct"/>
            <w:gridSpan w:val="2"/>
          </w:tcPr>
          <w:p w14:paraId="51F4ED6A" w14:textId="77777777" w:rsidR="00F1362A" w:rsidRPr="00097A86" w:rsidRDefault="00F1362A" w:rsidP="00D22D3F">
            <w:pPr>
              <w:pStyle w:val="ENoteTableText"/>
            </w:pPr>
            <w:r w:rsidRPr="00097A86">
              <w:t>rep 2016 No 1</w:t>
            </w:r>
          </w:p>
        </w:tc>
      </w:tr>
      <w:tr w:rsidR="00F1362A" w:rsidRPr="00097A86" w14:paraId="3F7C05CE" w14:textId="77777777" w:rsidTr="00C20CC2">
        <w:tblPrEx>
          <w:jc w:val="center"/>
        </w:tblPrEx>
        <w:trPr>
          <w:gridAfter w:val="1"/>
          <w:wAfter w:w="37" w:type="pct"/>
          <w:jc w:val="center"/>
        </w:trPr>
        <w:tc>
          <w:tcPr>
            <w:tcW w:w="1390" w:type="pct"/>
            <w:gridSpan w:val="2"/>
          </w:tcPr>
          <w:p w14:paraId="365DB8A7" w14:textId="77777777" w:rsidR="00F1362A" w:rsidRPr="00097A86" w:rsidRDefault="00F1362A" w:rsidP="006D1F60">
            <w:pPr>
              <w:pStyle w:val="ENoteTableText"/>
              <w:tabs>
                <w:tab w:val="left" w:leader="dot" w:pos="2268"/>
              </w:tabs>
            </w:pPr>
            <w:r w:rsidRPr="00097A86">
              <w:rPr>
                <w:b/>
              </w:rPr>
              <w:t>Part</w:t>
            </w:r>
            <w:r>
              <w:rPr>
                <w:b/>
              </w:rPr>
              <w:t> </w:t>
            </w:r>
            <w:r w:rsidRPr="00097A86">
              <w:rPr>
                <w:b/>
              </w:rPr>
              <w:t>8.4</w:t>
            </w:r>
          </w:p>
        </w:tc>
        <w:tc>
          <w:tcPr>
            <w:tcW w:w="3573" w:type="pct"/>
            <w:gridSpan w:val="2"/>
          </w:tcPr>
          <w:p w14:paraId="4481B7FC" w14:textId="77777777" w:rsidR="00F1362A" w:rsidRPr="00097A86" w:rsidRDefault="00F1362A" w:rsidP="00D22D3F">
            <w:pPr>
              <w:pStyle w:val="ENoteTableText"/>
            </w:pPr>
          </w:p>
        </w:tc>
      </w:tr>
      <w:tr w:rsidR="00F1362A" w:rsidRPr="00097A86" w14:paraId="12525B40" w14:textId="77777777" w:rsidTr="00C20CC2">
        <w:tblPrEx>
          <w:jc w:val="center"/>
        </w:tblPrEx>
        <w:trPr>
          <w:gridAfter w:val="1"/>
          <w:wAfter w:w="37" w:type="pct"/>
          <w:jc w:val="center"/>
        </w:trPr>
        <w:tc>
          <w:tcPr>
            <w:tcW w:w="1390" w:type="pct"/>
            <w:gridSpan w:val="2"/>
          </w:tcPr>
          <w:p w14:paraId="13F77FB6" w14:textId="77777777" w:rsidR="00F1362A" w:rsidRPr="00097A86" w:rsidRDefault="00F1362A" w:rsidP="006D1F60">
            <w:pPr>
              <w:pStyle w:val="ENoteTableText"/>
              <w:tabs>
                <w:tab w:val="left" w:leader="dot" w:pos="2268"/>
              </w:tabs>
            </w:pPr>
            <w:r w:rsidRPr="00097A86">
              <w:t>s 8.14</w:t>
            </w:r>
            <w:r w:rsidRPr="00097A86">
              <w:tab/>
            </w:r>
          </w:p>
        </w:tc>
        <w:tc>
          <w:tcPr>
            <w:tcW w:w="3573" w:type="pct"/>
            <w:gridSpan w:val="2"/>
          </w:tcPr>
          <w:p w14:paraId="18EB34B9" w14:textId="77777777" w:rsidR="00F1362A" w:rsidRPr="00097A86" w:rsidRDefault="00F1362A" w:rsidP="00D22D3F">
            <w:pPr>
              <w:pStyle w:val="ENoteTableText"/>
            </w:pPr>
            <w:r w:rsidRPr="00097A86">
              <w:t>ad 2009 No.</w:t>
            </w:r>
            <w:r>
              <w:t> </w:t>
            </w:r>
            <w:r w:rsidRPr="00097A86">
              <w:t>1</w:t>
            </w:r>
          </w:p>
        </w:tc>
      </w:tr>
      <w:tr w:rsidR="00F1362A" w:rsidRPr="00097A86" w14:paraId="0616B3C3" w14:textId="77777777" w:rsidTr="00C20CC2">
        <w:tblPrEx>
          <w:jc w:val="center"/>
        </w:tblPrEx>
        <w:trPr>
          <w:gridAfter w:val="1"/>
          <w:wAfter w:w="37" w:type="pct"/>
          <w:jc w:val="center"/>
        </w:trPr>
        <w:tc>
          <w:tcPr>
            <w:tcW w:w="1390" w:type="pct"/>
            <w:gridSpan w:val="2"/>
          </w:tcPr>
          <w:p w14:paraId="7C836902" w14:textId="77777777" w:rsidR="00F1362A" w:rsidRPr="00097A86" w:rsidRDefault="00F1362A" w:rsidP="006D1F60">
            <w:pPr>
              <w:pStyle w:val="ENoteTableText"/>
              <w:tabs>
                <w:tab w:val="left" w:leader="dot" w:pos="2268"/>
              </w:tabs>
            </w:pPr>
          </w:p>
        </w:tc>
        <w:tc>
          <w:tcPr>
            <w:tcW w:w="3573" w:type="pct"/>
            <w:gridSpan w:val="2"/>
          </w:tcPr>
          <w:p w14:paraId="58606BDC" w14:textId="77777777" w:rsidR="00F1362A" w:rsidRPr="00097A86" w:rsidRDefault="00F1362A" w:rsidP="00D22D3F">
            <w:pPr>
              <w:pStyle w:val="ENoteTableText"/>
            </w:pPr>
            <w:r w:rsidRPr="00097A86">
              <w:t>am 2016 No 1</w:t>
            </w:r>
          </w:p>
        </w:tc>
      </w:tr>
      <w:tr w:rsidR="00F1362A" w:rsidRPr="00097A86" w14:paraId="075C8F86" w14:textId="77777777" w:rsidTr="00C20CC2">
        <w:tblPrEx>
          <w:jc w:val="center"/>
        </w:tblPrEx>
        <w:trPr>
          <w:gridAfter w:val="1"/>
          <w:wAfter w:w="37" w:type="pct"/>
          <w:jc w:val="center"/>
        </w:trPr>
        <w:tc>
          <w:tcPr>
            <w:tcW w:w="1390" w:type="pct"/>
            <w:gridSpan w:val="2"/>
          </w:tcPr>
          <w:p w14:paraId="2FFAF557" w14:textId="77777777" w:rsidR="00F1362A" w:rsidRPr="00097A86" w:rsidRDefault="00F1362A" w:rsidP="006D1F60">
            <w:pPr>
              <w:pStyle w:val="ENoteTableText"/>
              <w:tabs>
                <w:tab w:val="left" w:leader="dot" w:pos="2268"/>
              </w:tabs>
            </w:pPr>
            <w:r w:rsidRPr="00097A86">
              <w:t>s 8.15</w:t>
            </w:r>
            <w:r w:rsidRPr="00097A86">
              <w:tab/>
            </w:r>
          </w:p>
        </w:tc>
        <w:tc>
          <w:tcPr>
            <w:tcW w:w="3573" w:type="pct"/>
            <w:gridSpan w:val="2"/>
          </w:tcPr>
          <w:p w14:paraId="49A2D89B" w14:textId="77777777" w:rsidR="00F1362A" w:rsidRPr="00097A86" w:rsidRDefault="00F1362A" w:rsidP="00D22D3F">
            <w:pPr>
              <w:pStyle w:val="ENoteTableText"/>
            </w:pPr>
            <w:r w:rsidRPr="00097A86">
              <w:t>ad 2009 No.</w:t>
            </w:r>
            <w:r>
              <w:t> </w:t>
            </w:r>
            <w:r w:rsidRPr="00097A86">
              <w:t>1</w:t>
            </w:r>
          </w:p>
        </w:tc>
      </w:tr>
      <w:tr w:rsidR="00F1362A" w:rsidRPr="00097A86" w14:paraId="2835C178" w14:textId="77777777" w:rsidTr="00C20CC2">
        <w:tblPrEx>
          <w:jc w:val="center"/>
        </w:tblPrEx>
        <w:trPr>
          <w:gridAfter w:val="1"/>
          <w:wAfter w:w="37" w:type="pct"/>
          <w:jc w:val="center"/>
        </w:trPr>
        <w:tc>
          <w:tcPr>
            <w:tcW w:w="1390" w:type="pct"/>
            <w:gridSpan w:val="2"/>
          </w:tcPr>
          <w:p w14:paraId="04FAB9A9" w14:textId="77777777" w:rsidR="00F1362A" w:rsidRPr="00097A86" w:rsidRDefault="00F1362A" w:rsidP="006D1F60">
            <w:pPr>
              <w:pStyle w:val="ENoteTableText"/>
              <w:tabs>
                <w:tab w:val="left" w:leader="dot" w:pos="2268"/>
              </w:tabs>
            </w:pPr>
          </w:p>
        </w:tc>
        <w:tc>
          <w:tcPr>
            <w:tcW w:w="3573" w:type="pct"/>
            <w:gridSpan w:val="2"/>
          </w:tcPr>
          <w:p w14:paraId="21B141CB" w14:textId="77777777" w:rsidR="00F1362A" w:rsidRPr="00097A86" w:rsidRDefault="00F1362A" w:rsidP="00D22D3F">
            <w:pPr>
              <w:pStyle w:val="ENoteTableText"/>
            </w:pPr>
            <w:r w:rsidRPr="00097A86">
              <w:t>am 2012 No.</w:t>
            </w:r>
            <w:r>
              <w:t> </w:t>
            </w:r>
            <w:r w:rsidRPr="00097A86">
              <w:t>1</w:t>
            </w:r>
          </w:p>
        </w:tc>
      </w:tr>
      <w:tr w:rsidR="00F1362A" w:rsidRPr="00097A86" w14:paraId="501F5EE8" w14:textId="77777777" w:rsidTr="00C20CC2">
        <w:tblPrEx>
          <w:jc w:val="center"/>
        </w:tblPrEx>
        <w:trPr>
          <w:gridAfter w:val="1"/>
          <w:wAfter w:w="37" w:type="pct"/>
          <w:jc w:val="center"/>
        </w:trPr>
        <w:tc>
          <w:tcPr>
            <w:tcW w:w="1390" w:type="pct"/>
            <w:gridSpan w:val="2"/>
          </w:tcPr>
          <w:p w14:paraId="314BDF54" w14:textId="77777777" w:rsidR="00F1362A" w:rsidRPr="00097A86" w:rsidRDefault="00F1362A" w:rsidP="006D1F60">
            <w:pPr>
              <w:pStyle w:val="ENoteTableText"/>
              <w:tabs>
                <w:tab w:val="left" w:leader="dot" w:pos="2268"/>
              </w:tabs>
              <w:rPr>
                <w:b/>
              </w:rPr>
            </w:pPr>
            <w:r w:rsidRPr="00097A86">
              <w:rPr>
                <w:b/>
              </w:rPr>
              <w:t>Chapter</w:t>
            </w:r>
            <w:r>
              <w:rPr>
                <w:b/>
              </w:rPr>
              <w:t> </w:t>
            </w:r>
            <w:r w:rsidRPr="00097A86">
              <w:rPr>
                <w:b/>
              </w:rPr>
              <w:t>9</w:t>
            </w:r>
          </w:p>
        </w:tc>
        <w:tc>
          <w:tcPr>
            <w:tcW w:w="3573" w:type="pct"/>
            <w:gridSpan w:val="2"/>
          </w:tcPr>
          <w:p w14:paraId="46C35EF9" w14:textId="77777777" w:rsidR="00F1362A" w:rsidRPr="00097A86" w:rsidRDefault="00F1362A" w:rsidP="00D22D3F">
            <w:pPr>
              <w:pStyle w:val="ENoteTableText"/>
            </w:pPr>
          </w:p>
        </w:tc>
      </w:tr>
      <w:tr w:rsidR="00F1362A" w:rsidRPr="00097A86" w14:paraId="1F4A44A0" w14:textId="77777777" w:rsidTr="00C20CC2">
        <w:tblPrEx>
          <w:jc w:val="center"/>
        </w:tblPrEx>
        <w:trPr>
          <w:gridAfter w:val="1"/>
          <w:wAfter w:w="37" w:type="pct"/>
          <w:jc w:val="center"/>
        </w:trPr>
        <w:tc>
          <w:tcPr>
            <w:tcW w:w="1390" w:type="pct"/>
            <w:gridSpan w:val="2"/>
          </w:tcPr>
          <w:p w14:paraId="5E88CC10" w14:textId="77777777" w:rsidR="00F1362A" w:rsidRPr="00097A86" w:rsidRDefault="00F1362A" w:rsidP="006D1F60">
            <w:pPr>
              <w:pStyle w:val="ENoteTableText"/>
              <w:tabs>
                <w:tab w:val="left" w:leader="dot" w:pos="2268"/>
              </w:tabs>
            </w:pPr>
            <w:r w:rsidRPr="00097A86">
              <w:t>Chapter</w:t>
            </w:r>
            <w:r>
              <w:t> </w:t>
            </w:r>
            <w:r w:rsidRPr="00097A86">
              <w:t>9</w:t>
            </w:r>
            <w:r w:rsidRPr="00097A86">
              <w:tab/>
            </w:r>
          </w:p>
        </w:tc>
        <w:tc>
          <w:tcPr>
            <w:tcW w:w="3573" w:type="pct"/>
            <w:gridSpan w:val="2"/>
          </w:tcPr>
          <w:p w14:paraId="41095D3A" w14:textId="77777777" w:rsidR="00F1362A" w:rsidRPr="00097A86" w:rsidRDefault="00F1362A" w:rsidP="00180841">
            <w:pPr>
              <w:pStyle w:val="ENoteTableText"/>
            </w:pPr>
            <w:r w:rsidRPr="00097A86">
              <w:t>ad 2014 No 1</w:t>
            </w:r>
          </w:p>
        </w:tc>
      </w:tr>
      <w:tr w:rsidR="00F1362A" w:rsidRPr="00097A86" w14:paraId="7869FDDC" w14:textId="77777777" w:rsidTr="00C20CC2">
        <w:tblPrEx>
          <w:jc w:val="center"/>
        </w:tblPrEx>
        <w:trPr>
          <w:gridAfter w:val="1"/>
          <w:wAfter w:w="37" w:type="pct"/>
          <w:jc w:val="center"/>
        </w:trPr>
        <w:tc>
          <w:tcPr>
            <w:tcW w:w="1390" w:type="pct"/>
            <w:gridSpan w:val="2"/>
          </w:tcPr>
          <w:p w14:paraId="7F377DB2" w14:textId="77777777" w:rsidR="00F1362A" w:rsidRPr="00097A86" w:rsidRDefault="00F1362A" w:rsidP="006D1F60">
            <w:pPr>
              <w:pStyle w:val="ENoteTableText"/>
              <w:tabs>
                <w:tab w:val="left" w:leader="dot" w:pos="2268"/>
              </w:tabs>
            </w:pPr>
          </w:p>
        </w:tc>
        <w:tc>
          <w:tcPr>
            <w:tcW w:w="3573" w:type="pct"/>
            <w:gridSpan w:val="2"/>
          </w:tcPr>
          <w:p w14:paraId="0EDE1220" w14:textId="77777777" w:rsidR="00F1362A" w:rsidRPr="00097A86" w:rsidRDefault="00F1362A" w:rsidP="00180841">
            <w:pPr>
              <w:pStyle w:val="ENoteTableText"/>
            </w:pPr>
            <w:r w:rsidRPr="00097A86">
              <w:t>rs 2016 No 1</w:t>
            </w:r>
          </w:p>
        </w:tc>
      </w:tr>
      <w:tr w:rsidR="00F1362A" w:rsidRPr="00097A86" w14:paraId="5112BAB1" w14:textId="77777777" w:rsidTr="00C20CC2">
        <w:tblPrEx>
          <w:jc w:val="center"/>
        </w:tblPrEx>
        <w:trPr>
          <w:gridAfter w:val="1"/>
          <w:wAfter w:w="37" w:type="pct"/>
          <w:jc w:val="center"/>
        </w:trPr>
        <w:tc>
          <w:tcPr>
            <w:tcW w:w="1390" w:type="pct"/>
            <w:gridSpan w:val="2"/>
          </w:tcPr>
          <w:p w14:paraId="153CCF85" w14:textId="77777777" w:rsidR="00F1362A" w:rsidRPr="00097A86" w:rsidRDefault="00F1362A" w:rsidP="006D1F60">
            <w:pPr>
              <w:pStyle w:val="ENoteTableText"/>
              <w:tabs>
                <w:tab w:val="left" w:leader="dot" w:pos="2268"/>
              </w:tabs>
            </w:pPr>
          </w:p>
        </w:tc>
        <w:tc>
          <w:tcPr>
            <w:tcW w:w="3573" w:type="pct"/>
            <w:gridSpan w:val="2"/>
          </w:tcPr>
          <w:p w14:paraId="58F1D8B0" w14:textId="77777777" w:rsidR="00F1362A" w:rsidRPr="00097A86" w:rsidRDefault="00F1362A" w:rsidP="00180841">
            <w:pPr>
              <w:pStyle w:val="ENoteTableText"/>
            </w:pPr>
            <w:r w:rsidRPr="00097A86">
              <w:t>am 2015 No 2</w:t>
            </w:r>
          </w:p>
        </w:tc>
      </w:tr>
      <w:tr w:rsidR="00F1362A" w:rsidRPr="00097A86" w14:paraId="69EC749D" w14:textId="77777777" w:rsidTr="00C20CC2">
        <w:tblPrEx>
          <w:jc w:val="center"/>
        </w:tblPrEx>
        <w:trPr>
          <w:gridAfter w:val="1"/>
          <w:wAfter w:w="37" w:type="pct"/>
          <w:jc w:val="center"/>
        </w:trPr>
        <w:tc>
          <w:tcPr>
            <w:tcW w:w="1390" w:type="pct"/>
            <w:gridSpan w:val="2"/>
          </w:tcPr>
          <w:p w14:paraId="56910193" w14:textId="77777777" w:rsidR="00F1362A" w:rsidRPr="00097A86" w:rsidRDefault="00F1362A" w:rsidP="006D1F60">
            <w:pPr>
              <w:pStyle w:val="ENoteTableText"/>
              <w:tabs>
                <w:tab w:val="left" w:leader="dot" w:pos="2268"/>
              </w:tabs>
            </w:pPr>
            <w:r w:rsidRPr="00097A86">
              <w:t>s 9.1</w:t>
            </w:r>
            <w:r w:rsidRPr="00097A86">
              <w:tab/>
            </w:r>
          </w:p>
        </w:tc>
        <w:tc>
          <w:tcPr>
            <w:tcW w:w="3573" w:type="pct"/>
            <w:gridSpan w:val="2"/>
          </w:tcPr>
          <w:p w14:paraId="13F6461D" w14:textId="77777777" w:rsidR="00F1362A" w:rsidRPr="00097A86" w:rsidRDefault="00F1362A" w:rsidP="00180841">
            <w:pPr>
              <w:pStyle w:val="ENoteTableText"/>
            </w:pPr>
            <w:r w:rsidRPr="00097A86">
              <w:t>ad 2014 No 1</w:t>
            </w:r>
          </w:p>
        </w:tc>
      </w:tr>
      <w:tr w:rsidR="00F1362A" w:rsidRPr="00097A86" w14:paraId="6E20670F" w14:textId="77777777" w:rsidTr="00C20CC2">
        <w:tblPrEx>
          <w:jc w:val="center"/>
        </w:tblPrEx>
        <w:trPr>
          <w:gridAfter w:val="1"/>
          <w:wAfter w:w="37" w:type="pct"/>
          <w:jc w:val="center"/>
        </w:trPr>
        <w:tc>
          <w:tcPr>
            <w:tcW w:w="1390" w:type="pct"/>
            <w:gridSpan w:val="2"/>
          </w:tcPr>
          <w:p w14:paraId="2F42A013" w14:textId="77777777" w:rsidR="00F1362A" w:rsidRPr="00097A86" w:rsidRDefault="00F1362A" w:rsidP="006D1F60">
            <w:pPr>
              <w:pStyle w:val="ENoteTableText"/>
              <w:tabs>
                <w:tab w:val="left" w:leader="dot" w:pos="2268"/>
              </w:tabs>
            </w:pPr>
          </w:p>
        </w:tc>
        <w:tc>
          <w:tcPr>
            <w:tcW w:w="3573" w:type="pct"/>
            <w:gridSpan w:val="2"/>
          </w:tcPr>
          <w:p w14:paraId="2A03C81A" w14:textId="77777777" w:rsidR="00F1362A" w:rsidRPr="00097A86" w:rsidRDefault="00F1362A" w:rsidP="00CF03DC">
            <w:pPr>
              <w:pStyle w:val="ENoteTableText"/>
            </w:pPr>
            <w:r w:rsidRPr="00097A86">
              <w:t>rep 1 Nov 2014 (s 9.1(2))</w:t>
            </w:r>
          </w:p>
        </w:tc>
      </w:tr>
      <w:tr w:rsidR="00F1362A" w:rsidRPr="00097A86" w14:paraId="50C9375D" w14:textId="77777777" w:rsidTr="00C20CC2">
        <w:tblPrEx>
          <w:jc w:val="center"/>
        </w:tblPrEx>
        <w:trPr>
          <w:gridAfter w:val="1"/>
          <w:wAfter w:w="37" w:type="pct"/>
          <w:jc w:val="center"/>
        </w:trPr>
        <w:tc>
          <w:tcPr>
            <w:tcW w:w="1390" w:type="pct"/>
            <w:gridSpan w:val="2"/>
          </w:tcPr>
          <w:p w14:paraId="6C1E8D94" w14:textId="77777777" w:rsidR="00F1362A" w:rsidRPr="00097A86" w:rsidRDefault="00F1362A" w:rsidP="006D1F60">
            <w:pPr>
              <w:pStyle w:val="ENoteTableText"/>
              <w:tabs>
                <w:tab w:val="left" w:leader="dot" w:pos="2268"/>
              </w:tabs>
            </w:pPr>
          </w:p>
        </w:tc>
        <w:tc>
          <w:tcPr>
            <w:tcW w:w="3573" w:type="pct"/>
            <w:gridSpan w:val="2"/>
          </w:tcPr>
          <w:p w14:paraId="6B2A4C97" w14:textId="77777777" w:rsidR="00F1362A" w:rsidRPr="00097A86" w:rsidRDefault="00F1362A" w:rsidP="00180841">
            <w:pPr>
              <w:pStyle w:val="ENoteTableText"/>
            </w:pPr>
            <w:r w:rsidRPr="00097A86">
              <w:t>ad 2016 No 1</w:t>
            </w:r>
          </w:p>
        </w:tc>
      </w:tr>
      <w:tr w:rsidR="00F1362A" w:rsidRPr="00097A86" w14:paraId="1CCABF60" w14:textId="77777777" w:rsidTr="00C20CC2">
        <w:tblPrEx>
          <w:jc w:val="center"/>
        </w:tblPrEx>
        <w:trPr>
          <w:gridAfter w:val="1"/>
          <w:wAfter w:w="37" w:type="pct"/>
          <w:jc w:val="center"/>
        </w:trPr>
        <w:tc>
          <w:tcPr>
            <w:tcW w:w="1390" w:type="pct"/>
            <w:gridSpan w:val="2"/>
          </w:tcPr>
          <w:p w14:paraId="525DC406" w14:textId="77777777" w:rsidR="00F1362A" w:rsidRPr="00097A86" w:rsidRDefault="00F1362A" w:rsidP="006D1F60">
            <w:pPr>
              <w:pStyle w:val="ENoteTableText"/>
              <w:tabs>
                <w:tab w:val="left" w:leader="dot" w:pos="2268"/>
              </w:tabs>
            </w:pPr>
          </w:p>
        </w:tc>
        <w:tc>
          <w:tcPr>
            <w:tcW w:w="3573" w:type="pct"/>
            <w:gridSpan w:val="2"/>
          </w:tcPr>
          <w:p w14:paraId="723600D4" w14:textId="77777777" w:rsidR="00F1362A" w:rsidRPr="00097A86" w:rsidRDefault="00F1362A" w:rsidP="00180841">
            <w:pPr>
              <w:pStyle w:val="ENoteTableText"/>
            </w:pPr>
            <w:r w:rsidRPr="00097A86">
              <w:t>rep 1 Nov 2016 (s 9.1(2))</w:t>
            </w:r>
          </w:p>
        </w:tc>
      </w:tr>
      <w:tr w:rsidR="00F1362A" w:rsidRPr="00097A86" w14:paraId="6A64CFC4" w14:textId="77777777" w:rsidTr="00C20CC2">
        <w:tblPrEx>
          <w:jc w:val="center"/>
        </w:tblPrEx>
        <w:trPr>
          <w:gridAfter w:val="1"/>
          <w:wAfter w:w="37" w:type="pct"/>
          <w:jc w:val="center"/>
        </w:trPr>
        <w:tc>
          <w:tcPr>
            <w:tcW w:w="1390" w:type="pct"/>
            <w:gridSpan w:val="2"/>
          </w:tcPr>
          <w:p w14:paraId="291C912E" w14:textId="77777777" w:rsidR="00F1362A" w:rsidRPr="00097A86" w:rsidRDefault="00F1362A" w:rsidP="006D1F60">
            <w:pPr>
              <w:pStyle w:val="ENoteTableText"/>
              <w:tabs>
                <w:tab w:val="left" w:leader="dot" w:pos="2268"/>
              </w:tabs>
            </w:pPr>
            <w:r w:rsidRPr="00097A86">
              <w:t>s 9.2</w:t>
            </w:r>
            <w:r w:rsidRPr="00097A86">
              <w:tab/>
            </w:r>
          </w:p>
        </w:tc>
        <w:tc>
          <w:tcPr>
            <w:tcW w:w="3573" w:type="pct"/>
            <w:gridSpan w:val="2"/>
          </w:tcPr>
          <w:p w14:paraId="47FA5A3E" w14:textId="77777777" w:rsidR="00F1362A" w:rsidRPr="00097A86" w:rsidRDefault="00F1362A" w:rsidP="00D22D3F">
            <w:pPr>
              <w:pStyle w:val="ENoteTableText"/>
            </w:pPr>
            <w:r w:rsidRPr="00097A86">
              <w:t>ad 2014 No 1</w:t>
            </w:r>
          </w:p>
        </w:tc>
      </w:tr>
      <w:tr w:rsidR="00F1362A" w:rsidRPr="00097A86" w14:paraId="1A098193" w14:textId="77777777" w:rsidTr="00C20CC2">
        <w:tblPrEx>
          <w:jc w:val="center"/>
        </w:tblPrEx>
        <w:trPr>
          <w:gridAfter w:val="1"/>
          <w:wAfter w:w="37" w:type="pct"/>
          <w:jc w:val="center"/>
        </w:trPr>
        <w:tc>
          <w:tcPr>
            <w:tcW w:w="1390" w:type="pct"/>
            <w:gridSpan w:val="2"/>
          </w:tcPr>
          <w:p w14:paraId="38838AD7" w14:textId="77777777" w:rsidR="00F1362A" w:rsidRPr="00097A86" w:rsidRDefault="00F1362A" w:rsidP="006D1F60">
            <w:pPr>
              <w:pStyle w:val="ENoteTableText"/>
              <w:tabs>
                <w:tab w:val="left" w:leader="dot" w:pos="2268"/>
              </w:tabs>
            </w:pPr>
          </w:p>
        </w:tc>
        <w:tc>
          <w:tcPr>
            <w:tcW w:w="3573" w:type="pct"/>
            <w:gridSpan w:val="2"/>
          </w:tcPr>
          <w:p w14:paraId="29721E84" w14:textId="77777777" w:rsidR="00F1362A" w:rsidRPr="00097A86" w:rsidRDefault="00F1362A" w:rsidP="00CD4D3F">
            <w:pPr>
              <w:pStyle w:val="ENoteTableText"/>
            </w:pPr>
            <w:r w:rsidRPr="00097A86">
              <w:t>rep 2016 No 1</w:t>
            </w:r>
          </w:p>
        </w:tc>
      </w:tr>
      <w:tr w:rsidR="00F1362A" w:rsidRPr="00097A86" w14:paraId="290679E3" w14:textId="77777777" w:rsidTr="00C20CC2">
        <w:tblPrEx>
          <w:jc w:val="center"/>
        </w:tblPrEx>
        <w:trPr>
          <w:gridAfter w:val="1"/>
          <w:wAfter w:w="37" w:type="pct"/>
          <w:jc w:val="center"/>
        </w:trPr>
        <w:tc>
          <w:tcPr>
            <w:tcW w:w="1390" w:type="pct"/>
            <w:gridSpan w:val="2"/>
          </w:tcPr>
          <w:p w14:paraId="79BCB326" w14:textId="77777777" w:rsidR="00F1362A" w:rsidRPr="00097A86" w:rsidRDefault="00F1362A" w:rsidP="006D1F60">
            <w:pPr>
              <w:pStyle w:val="ENoteTableText"/>
              <w:tabs>
                <w:tab w:val="left" w:leader="dot" w:pos="2268"/>
              </w:tabs>
            </w:pPr>
            <w:r w:rsidRPr="00097A86">
              <w:t>s 9.3</w:t>
            </w:r>
            <w:r w:rsidRPr="00097A86">
              <w:tab/>
            </w:r>
          </w:p>
        </w:tc>
        <w:tc>
          <w:tcPr>
            <w:tcW w:w="3573" w:type="pct"/>
            <w:gridSpan w:val="2"/>
          </w:tcPr>
          <w:p w14:paraId="5731B556" w14:textId="77777777" w:rsidR="00F1362A" w:rsidRPr="00097A86" w:rsidRDefault="00F1362A" w:rsidP="00D22D3F">
            <w:pPr>
              <w:pStyle w:val="ENoteTableText"/>
            </w:pPr>
            <w:r w:rsidRPr="00097A86">
              <w:t>ad 2015 No 2</w:t>
            </w:r>
          </w:p>
        </w:tc>
      </w:tr>
      <w:tr w:rsidR="00F1362A" w:rsidRPr="00097A86" w14:paraId="646B8EBA" w14:textId="77777777" w:rsidTr="00C20CC2">
        <w:tblPrEx>
          <w:jc w:val="center"/>
        </w:tblPrEx>
        <w:trPr>
          <w:gridAfter w:val="1"/>
          <w:wAfter w:w="37" w:type="pct"/>
          <w:jc w:val="center"/>
        </w:trPr>
        <w:tc>
          <w:tcPr>
            <w:tcW w:w="1390" w:type="pct"/>
            <w:gridSpan w:val="2"/>
          </w:tcPr>
          <w:p w14:paraId="787EC48A" w14:textId="77777777" w:rsidR="00F1362A" w:rsidRPr="00097A86" w:rsidRDefault="00F1362A" w:rsidP="006D1F60">
            <w:pPr>
              <w:pStyle w:val="ENoteTableText"/>
              <w:tabs>
                <w:tab w:val="left" w:leader="dot" w:pos="2268"/>
              </w:tabs>
            </w:pPr>
          </w:p>
        </w:tc>
        <w:tc>
          <w:tcPr>
            <w:tcW w:w="3573" w:type="pct"/>
            <w:gridSpan w:val="2"/>
          </w:tcPr>
          <w:p w14:paraId="3246E27C" w14:textId="77777777" w:rsidR="00F1362A" w:rsidRPr="00097A86" w:rsidRDefault="00F1362A" w:rsidP="00D22D3F">
            <w:pPr>
              <w:pStyle w:val="ENoteTableText"/>
            </w:pPr>
            <w:r w:rsidRPr="00097A86">
              <w:t>rep 1 Nov 2015 (s 9.3(2))</w:t>
            </w:r>
          </w:p>
        </w:tc>
      </w:tr>
      <w:tr w:rsidR="00F1362A" w:rsidRPr="00097A86" w14:paraId="4791AFD9" w14:textId="77777777" w:rsidTr="00C20CC2">
        <w:tblPrEx>
          <w:jc w:val="center"/>
        </w:tblPrEx>
        <w:trPr>
          <w:gridAfter w:val="1"/>
          <w:wAfter w:w="37" w:type="pct"/>
          <w:jc w:val="center"/>
        </w:trPr>
        <w:tc>
          <w:tcPr>
            <w:tcW w:w="1390" w:type="pct"/>
            <w:gridSpan w:val="2"/>
          </w:tcPr>
          <w:p w14:paraId="0D4F740D" w14:textId="77777777" w:rsidR="00F1362A" w:rsidRPr="00097A86" w:rsidRDefault="00F1362A" w:rsidP="006D1F60">
            <w:pPr>
              <w:pStyle w:val="ENoteTableText"/>
              <w:tabs>
                <w:tab w:val="left" w:leader="dot" w:pos="2268"/>
              </w:tabs>
            </w:pPr>
            <w:r w:rsidRPr="00097A86">
              <w:t>s 9.4</w:t>
            </w:r>
            <w:r w:rsidRPr="00097A86">
              <w:tab/>
            </w:r>
          </w:p>
        </w:tc>
        <w:tc>
          <w:tcPr>
            <w:tcW w:w="3573" w:type="pct"/>
            <w:gridSpan w:val="2"/>
          </w:tcPr>
          <w:p w14:paraId="3C23E194" w14:textId="77777777" w:rsidR="00F1362A" w:rsidRPr="00097A86" w:rsidRDefault="00F1362A" w:rsidP="00D22D3F">
            <w:pPr>
              <w:pStyle w:val="ENoteTableText"/>
            </w:pPr>
            <w:r w:rsidRPr="00097A86">
              <w:t>ad 2015 No 2</w:t>
            </w:r>
          </w:p>
        </w:tc>
      </w:tr>
      <w:tr w:rsidR="00F1362A" w:rsidRPr="00097A86" w14:paraId="5BCD6276" w14:textId="77777777" w:rsidTr="00C20CC2">
        <w:tblPrEx>
          <w:jc w:val="center"/>
        </w:tblPrEx>
        <w:trPr>
          <w:gridAfter w:val="1"/>
          <w:wAfter w:w="37" w:type="pct"/>
          <w:jc w:val="center"/>
        </w:trPr>
        <w:tc>
          <w:tcPr>
            <w:tcW w:w="1390" w:type="pct"/>
            <w:gridSpan w:val="2"/>
          </w:tcPr>
          <w:p w14:paraId="3B1403CE" w14:textId="77777777" w:rsidR="00F1362A" w:rsidRPr="00097A86" w:rsidRDefault="00F1362A" w:rsidP="006D1F60">
            <w:pPr>
              <w:pStyle w:val="ENoteTableText"/>
              <w:tabs>
                <w:tab w:val="left" w:leader="dot" w:pos="2268"/>
              </w:tabs>
            </w:pPr>
          </w:p>
        </w:tc>
        <w:tc>
          <w:tcPr>
            <w:tcW w:w="3573" w:type="pct"/>
            <w:gridSpan w:val="2"/>
          </w:tcPr>
          <w:p w14:paraId="09E2C5DD" w14:textId="77777777" w:rsidR="00F1362A" w:rsidRPr="00097A86" w:rsidRDefault="00F1362A" w:rsidP="00CD4D3F">
            <w:pPr>
              <w:pStyle w:val="ENoteTableText"/>
            </w:pPr>
            <w:r w:rsidRPr="00097A86">
              <w:t>rep 1 Nov 2015 (s 9.4(2))</w:t>
            </w:r>
          </w:p>
        </w:tc>
      </w:tr>
      <w:tr w:rsidR="00F1362A" w:rsidRPr="00097A86" w14:paraId="13E040AD" w14:textId="77777777" w:rsidTr="00C20CC2">
        <w:tblPrEx>
          <w:jc w:val="center"/>
        </w:tblPrEx>
        <w:trPr>
          <w:gridAfter w:val="1"/>
          <w:wAfter w:w="37" w:type="pct"/>
          <w:jc w:val="center"/>
        </w:trPr>
        <w:tc>
          <w:tcPr>
            <w:tcW w:w="1390" w:type="pct"/>
            <w:gridSpan w:val="2"/>
          </w:tcPr>
          <w:p w14:paraId="71472507" w14:textId="77777777" w:rsidR="00F1362A" w:rsidRPr="00097A86" w:rsidRDefault="00F1362A" w:rsidP="006D1F60">
            <w:pPr>
              <w:pStyle w:val="ENoteTableText"/>
              <w:tabs>
                <w:tab w:val="left" w:leader="dot" w:pos="2268"/>
              </w:tabs>
            </w:pPr>
            <w:r w:rsidRPr="00097A86">
              <w:t>s 9.5</w:t>
            </w:r>
            <w:r w:rsidRPr="00097A86">
              <w:tab/>
            </w:r>
          </w:p>
        </w:tc>
        <w:tc>
          <w:tcPr>
            <w:tcW w:w="3573" w:type="pct"/>
            <w:gridSpan w:val="2"/>
          </w:tcPr>
          <w:p w14:paraId="5164676A" w14:textId="77777777" w:rsidR="00F1362A" w:rsidRPr="00097A86" w:rsidRDefault="00F1362A" w:rsidP="00D22D3F">
            <w:pPr>
              <w:pStyle w:val="ENoteTableText"/>
            </w:pPr>
            <w:r w:rsidRPr="00097A86">
              <w:t>ad 2015 No 2</w:t>
            </w:r>
          </w:p>
        </w:tc>
      </w:tr>
      <w:tr w:rsidR="00F1362A" w:rsidRPr="00097A86" w14:paraId="4D686CDF" w14:textId="77777777" w:rsidTr="00C20CC2">
        <w:tblPrEx>
          <w:jc w:val="center"/>
        </w:tblPrEx>
        <w:trPr>
          <w:gridAfter w:val="1"/>
          <w:wAfter w:w="37" w:type="pct"/>
          <w:jc w:val="center"/>
        </w:trPr>
        <w:tc>
          <w:tcPr>
            <w:tcW w:w="1390" w:type="pct"/>
            <w:gridSpan w:val="2"/>
          </w:tcPr>
          <w:p w14:paraId="1D1DE74B" w14:textId="77777777" w:rsidR="00F1362A" w:rsidRPr="00097A86" w:rsidRDefault="00F1362A" w:rsidP="006D1F60">
            <w:pPr>
              <w:pStyle w:val="ENoteTableText"/>
              <w:tabs>
                <w:tab w:val="left" w:leader="dot" w:pos="2268"/>
              </w:tabs>
            </w:pPr>
          </w:p>
        </w:tc>
        <w:tc>
          <w:tcPr>
            <w:tcW w:w="3573" w:type="pct"/>
            <w:gridSpan w:val="2"/>
          </w:tcPr>
          <w:p w14:paraId="1F3EF5CD" w14:textId="77777777" w:rsidR="00F1362A" w:rsidRPr="00097A86" w:rsidRDefault="00F1362A" w:rsidP="00D22D3F">
            <w:pPr>
              <w:pStyle w:val="ENoteTableText"/>
            </w:pPr>
            <w:r w:rsidRPr="00097A86">
              <w:t>rep 1 Nov 2016 (s 9.5(2))</w:t>
            </w:r>
          </w:p>
        </w:tc>
      </w:tr>
      <w:tr w:rsidR="00F1362A" w:rsidRPr="00097A86" w14:paraId="1B51E425" w14:textId="77777777" w:rsidTr="00C20CC2">
        <w:tblPrEx>
          <w:jc w:val="center"/>
        </w:tblPrEx>
        <w:trPr>
          <w:gridAfter w:val="1"/>
          <w:wAfter w:w="37" w:type="pct"/>
          <w:jc w:val="center"/>
        </w:trPr>
        <w:tc>
          <w:tcPr>
            <w:tcW w:w="1390" w:type="pct"/>
            <w:gridSpan w:val="2"/>
          </w:tcPr>
          <w:p w14:paraId="3A259814" w14:textId="77777777" w:rsidR="00F1362A" w:rsidRPr="00097A86" w:rsidRDefault="00F1362A" w:rsidP="006D1F60">
            <w:pPr>
              <w:pStyle w:val="ENoteTableText"/>
              <w:tabs>
                <w:tab w:val="left" w:leader="dot" w:pos="2268"/>
              </w:tabs>
            </w:pPr>
            <w:r w:rsidRPr="00097A86">
              <w:lastRenderedPageBreak/>
              <w:t>s 9.10</w:t>
            </w:r>
            <w:r w:rsidRPr="00097A86">
              <w:tab/>
            </w:r>
          </w:p>
        </w:tc>
        <w:tc>
          <w:tcPr>
            <w:tcW w:w="3573" w:type="pct"/>
            <w:gridSpan w:val="2"/>
          </w:tcPr>
          <w:p w14:paraId="4F4814C7" w14:textId="77777777" w:rsidR="00F1362A" w:rsidRPr="00097A86" w:rsidRDefault="00F1362A" w:rsidP="00D22D3F">
            <w:pPr>
              <w:pStyle w:val="ENoteTableText"/>
            </w:pPr>
            <w:r w:rsidRPr="00097A86">
              <w:t>ad F2017L00829</w:t>
            </w:r>
          </w:p>
        </w:tc>
      </w:tr>
      <w:tr w:rsidR="00F1362A" w:rsidRPr="00097A86" w14:paraId="56B55BD2" w14:textId="77777777" w:rsidTr="00C20CC2">
        <w:tblPrEx>
          <w:jc w:val="center"/>
        </w:tblPrEx>
        <w:trPr>
          <w:gridAfter w:val="1"/>
          <w:wAfter w:w="37" w:type="pct"/>
          <w:jc w:val="center"/>
        </w:trPr>
        <w:tc>
          <w:tcPr>
            <w:tcW w:w="1390" w:type="pct"/>
            <w:gridSpan w:val="2"/>
          </w:tcPr>
          <w:p w14:paraId="2FAA2EB8" w14:textId="77777777" w:rsidR="00F1362A" w:rsidRPr="00097A86" w:rsidRDefault="00F1362A" w:rsidP="006D1F60">
            <w:pPr>
              <w:pStyle w:val="ENoteTableText"/>
              <w:tabs>
                <w:tab w:val="left" w:leader="dot" w:pos="2268"/>
              </w:tabs>
            </w:pPr>
            <w:r>
              <w:t>s 9.11</w:t>
            </w:r>
            <w:r>
              <w:tab/>
            </w:r>
          </w:p>
        </w:tc>
        <w:tc>
          <w:tcPr>
            <w:tcW w:w="3573" w:type="pct"/>
            <w:gridSpan w:val="2"/>
          </w:tcPr>
          <w:p w14:paraId="2ECF0310" w14:textId="77777777" w:rsidR="00F1362A" w:rsidRPr="00097A86" w:rsidRDefault="00F1362A" w:rsidP="00D22D3F">
            <w:pPr>
              <w:pStyle w:val="ENoteTableText"/>
            </w:pPr>
            <w:r>
              <w:t>ad F2018L00923</w:t>
            </w:r>
          </w:p>
        </w:tc>
      </w:tr>
      <w:tr w:rsidR="00514268" w:rsidRPr="00097A86" w14:paraId="56A102DA" w14:textId="77777777" w:rsidTr="00C20CC2">
        <w:tblPrEx>
          <w:jc w:val="center"/>
        </w:tblPrEx>
        <w:trPr>
          <w:gridAfter w:val="1"/>
          <w:wAfter w:w="37" w:type="pct"/>
          <w:jc w:val="center"/>
        </w:trPr>
        <w:tc>
          <w:tcPr>
            <w:tcW w:w="1390" w:type="pct"/>
            <w:gridSpan w:val="2"/>
          </w:tcPr>
          <w:p w14:paraId="06906D6C" w14:textId="77777777" w:rsidR="00514268" w:rsidRDefault="00514268" w:rsidP="006D1F60">
            <w:pPr>
              <w:pStyle w:val="ENoteTableText"/>
              <w:tabs>
                <w:tab w:val="left" w:leader="dot" w:pos="2268"/>
              </w:tabs>
            </w:pPr>
            <w:r>
              <w:t>s 9.12</w:t>
            </w:r>
            <w:r>
              <w:tab/>
            </w:r>
          </w:p>
        </w:tc>
        <w:tc>
          <w:tcPr>
            <w:tcW w:w="3573" w:type="pct"/>
            <w:gridSpan w:val="2"/>
          </w:tcPr>
          <w:p w14:paraId="6DC26B73" w14:textId="77777777" w:rsidR="00514268" w:rsidRDefault="00514268" w:rsidP="00D22D3F">
            <w:pPr>
              <w:pStyle w:val="ENoteTableText"/>
            </w:pPr>
            <w:r>
              <w:t xml:space="preserve">ad </w:t>
            </w:r>
            <w:r w:rsidRPr="00514268">
              <w:t>F2019L00938</w:t>
            </w:r>
          </w:p>
        </w:tc>
      </w:tr>
      <w:tr w:rsidR="00F1362A" w:rsidRPr="00097A86" w14:paraId="2D91631B" w14:textId="77777777" w:rsidTr="00C20CC2">
        <w:tblPrEx>
          <w:jc w:val="center"/>
        </w:tblPrEx>
        <w:trPr>
          <w:gridAfter w:val="1"/>
          <w:wAfter w:w="37" w:type="pct"/>
          <w:jc w:val="center"/>
        </w:trPr>
        <w:tc>
          <w:tcPr>
            <w:tcW w:w="1390" w:type="pct"/>
            <w:gridSpan w:val="2"/>
          </w:tcPr>
          <w:p w14:paraId="79F74A92" w14:textId="77777777" w:rsidR="00F1362A" w:rsidRPr="00097A86" w:rsidRDefault="00F1362A" w:rsidP="006D1F60">
            <w:pPr>
              <w:pStyle w:val="ENoteTableText"/>
              <w:tabs>
                <w:tab w:val="left" w:leader="dot" w:pos="2268"/>
              </w:tabs>
            </w:pPr>
            <w:r w:rsidRPr="00097A86">
              <w:rPr>
                <w:b/>
              </w:rPr>
              <w:t>Schedule</w:t>
            </w:r>
            <w:r>
              <w:rPr>
                <w:b/>
              </w:rPr>
              <w:t> </w:t>
            </w:r>
            <w:r w:rsidRPr="00097A86">
              <w:rPr>
                <w:b/>
              </w:rPr>
              <w:t>1</w:t>
            </w:r>
          </w:p>
        </w:tc>
        <w:tc>
          <w:tcPr>
            <w:tcW w:w="3573" w:type="pct"/>
            <w:gridSpan w:val="2"/>
          </w:tcPr>
          <w:p w14:paraId="1EF4BA07" w14:textId="77777777" w:rsidR="00F1362A" w:rsidRPr="00097A86" w:rsidRDefault="00F1362A" w:rsidP="00D22D3F">
            <w:pPr>
              <w:pStyle w:val="ENoteTableText"/>
            </w:pPr>
          </w:p>
        </w:tc>
      </w:tr>
      <w:tr w:rsidR="00F1362A" w:rsidRPr="00097A86" w14:paraId="082E2BEF" w14:textId="77777777" w:rsidTr="00C20CC2">
        <w:tblPrEx>
          <w:jc w:val="center"/>
        </w:tblPrEx>
        <w:trPr>
          <w:gridAfter w:val="1"/>
          <w:wAfter w:w="37" w:type="pct"/>
          <w:jc w:val="center"/>
        </w:trPr>
        <w:tc>
          <w:tcPr>
            <w:tcW w:w="1390" w:type="pct"/>
            <w:gridSpan w:val="2"/>
          </w:tcPr>
          <w:p w14:paraId="3D93BE01" w14:textId="77777777" w:rsidR="00F1362A" w:rsidRPr="00097A86" w:rsidRDefault="00F1362A" w:rsidP="006D1F60">
            <w:pPr>
              <w:pStyle w:val="ENoteTableText"/>
              <w:tabs>
                <w:tab w:val="left" w:leader="dot" w:pos="2268"/>
              </w:tabs>
            </w:pPr>
            <w:r w:rsidRPr="00097A86">
              <w:t>Schedule</w:t>
            </w:r>
            <w:r>
              <w:t> </w:t>
            </w:r>
            <w:r w:rsidRPr="00097A86">
              <w:t>1</w:t>
            </w:r>
            <w:r w:rsidRPr="00097A86">
              <w:tab/>
            </w:r>
          </w:p>
        </w:tc>
        <w:tc>
          <w:tcPr>
            <w:tcW w:w="3573" w:type="pct"/>
            <w:gridSpan w:val="2"/>
          </w:tcPr>
          <w:p w14:paraId="67ECF2DE" w14:textId="77777777" w:rsidR="00F1362A" w:rsidRPr="00097A86" w:rsidRDefault="00F1362A" w:rsidP="00D22D3F">
            <w:pPr>
              <w:pStyle w:val="ENoteTableText"/>
            </w:pPr>
            <w:r w:rsidRPr="00097A86">
              <w:t>am 2009 No.</w:t>
            </w:r>
            <w:r>
              <w:t> </w:t>
            </w:r>
            <w:r w:rsidRPr="00097A86">
              <w:t>1; 2010 No.</w:t>
            </w:r>
            <w:r>
              <w:t> </w:t>
            </w:r>
            <w:r w:rsidRPr="00097A86">
              <w:t>1; 2011 No.</w:t>
            </w:r>
            <w:r>
              <w:t> </w:t>
            </w:r>
            <w:r w:rsidRPr="00097A86">
              <w:t>1; 2012 No.</w:t>
            </w:r>
            <w:r>
              <w:t> </w:t>
            </w:r>
            <w:r w:rsidRPr="00097A86">
              <w:t>1; 2013 No.</w:t>
            </w:r>
            <w:r>
              <w:t> </w:t>
            </w:r>
            <w:r w:rsidRPr="00097A86">
              <w:t>1; 2014 No.</w:t>
            </w:r>
            <w:r>
              <w:t> </w:t>
            </w:r>
            <w:r w:rsidRPr="00097A86">
              <w:t>1; 2015 No 1; 2015 No 2; 2016 No 1; F2017L00829</w:t>
            </w:r>
            <w:r>
              <w:t>; F2018L00923</w:t>
            </w:r>
            <w:r w:rsidR="00514268">
              <w:t xml:space="preserve">; </w:t>
            </w:r>
            <w:r w:rsidR="00514268" w:rsidRPr="00514268">
              <w:t>F2019L00938</w:t>
            </w:r>
          </w:p>
        </w:tc>
      </w:tr>
      <w:tr w:rsidR="00F1362A" w:rsidRPr="00097A86" w14:paraId="68BC3E19" w14:textId="77777777" w:rsidTr="00C20CC2">
        <w:tblPrEx>
          <w:jc w:val="center"/>
        </w:tblPrEx>
        <w:trPr>
          <w:gridAfter w:val="1"/>
          <w:wAfter w:w="37" w:type="pct"/>
          <w:jc w:val="center"/>
        </w:trPr>
        <w:tc>
          <w:tcPr>
            <w:tcW w:w="1390" w:type="pct"/>
            <w:gridSpan w:val="2"/>
          </w:tcPr>
          <w:p w14:paraId="6E5817E9" w14:textId="77777777" w:rsidR="00F1362A" w:rsidRPr="00097A86" w:rsidRDefault="00F1362A" w:rsidP="006D1F60">
            <w:pPr>
              <w:pStyle w:val="ENoteTableText"/>
              <w:tabs>
                <w:tab w:val="left" w:leader="dot" w:pos="2268"/>
              </w:tabs>
            </w:pPr>
            <w:r w:rsidRPr="00097A86">
              <w:rPr>
                <w:b/>
              </w:rPr>
              <w:t>Schedule</w:t>
            </w:r>
            <w:r>
              <w:rPr>
                <w:b/>
              </w:rPr>
              <w:t> </w:t>
            </w:r>
            <w:r w:rsidRPr="00097A86">
              <w:rPr>
                <w:b/>
              </w:rPr>
              <w:t>2</w:t>
            </w:r>
          </w:p>
        </w:tc>
        <w:tc>
          <w:tcPr>
            <w:tcW w:w="3573" w:type="pct"/>
            <w:gridSpan w:val="2"/>
          </w:tcPr>
          <w:p w14:paraId="449A264D" w14:textId="77777777" w:rsidR="00F1362A" w:rsidRPr="00097A86" w:rsidRDefault="00F1362A" w:rsidP="00D22D3F">
            <w:pPr>
              <w:pStyle w:val="ENoteTableText"/>
            </w:pPr>
          </w:p>
        </w:tc>
      </w:tr>
      <w:tr w:rsidR="00F1362A" w:rsidRPr="00097A86" w14:paraId="541815EA" w14:textId="77777777" w:rsidTr="00C20CC2">
        <w:tblPrEx>
          <w:jc w:val="center"/>
        </w:tblPrEx>
        <w:trPr>
          <w:gridAfter w:val="1"/>
          <w:wAfter w:w="37" w:type="pct"/>
          <w:jc w:val="center"/>
        </w:trPr>
        <w:tc>
          <w:tcPr>
            <w:tcW w:w="1390" w:type="pct"/>
            <w:gridSpan w:val="2"/>
          </w:tcPr>
          <w:p w14:paraId="18A73507" w14:textId="77777777" w:rsidR="00F1362A" w:rsidRPr="00097A86" w:rsidRDefault="00F1362A" w:rsidP="006D1F60">
            <w:pPr>
              <w:pStyle w:val="ENoteTableText"/>
              <w:tabs>
                <w:tab w:val="left" w:leader="dot" w:pos="2268"/>
              </w:tabs>
            </w:pPr>
            <w:r w:rsidRPr="00097A86">
              <w:t>Schedule</w:t>
            </w:r>
            <w:r>
              <w:t> </w:t>
            </w:r>
            <w:r w:rsidRPr="00097A86">
              <w:t>2</w:t>
            </w:r>
            <w:r w:rsidRPr="00097A86">
              <w:tab/>
            </w:r>
          </w:p>
        </w:tc>
        <w:tc>
          <w:tcPr>
            <w:tcW w:w="3573" w:type="pct"/>
            <w:gridSpan w:val="2"/>
          </w:tcPr>
          <w:p w14:paraId="61AA0F41" w14:textId="77777777" w:rsidR="00F1362A" w:rsidRPr="00097A86" w:rsidRDefault="00F1362A" w:rsidP="00D22D3F">
            <w:pPr>
              <w:pStyle w:val="ENoteTableText"/>
            </w:pPr>
            <w:r w:rsidRPr="00097A86">
              <w:t>am 2011 No.</w:t>
            </w:r>
            <w:r>
              <w:t> </w:t>
            </w:r>
            <w:r w:rsidRPr="00097A86">
              <w:t>1; 2013 No.</w:t>
            </w:r>
            <w:r>
              <w:t> </w:t>
            </w:r>
            <w:r w:rsidRPr="00097A86">
              <w:t>1</w:t>
            </w:r>
          </w:p>
        </w:tc>
      </w:tr>
      <w:tr w:rsidR="00F1362A" w:rsidRPr="00097A86" w14:paraId="4907FEE4" w14:textId="77777777" w:rsidTr="00C20CC2">
        <w:tblPrEx>
          <w:jc w:val="center"/>
        </w:tblPrEx>
        <w:trPr>
          <w:gridAfter w:val="1"/>
          <w:wAfter w:w="37" w:type="pct"/>
          <w:jc w:val="center"/>
        </w:trPr>
        <w:tc>
          <w:tcPr>
            <w:tcW w:w="1390" w:type="pct"/>
            <w:gridSpan w:val="2"/>
          </w:tcPr>
          <w:p w14:paraId="3B0DA207" w14:textId="77777777" w:rsidR="00F1362A" w:rsidRPr="00097A86" w:rsidRDefault="00F1362A" w:rsidP="00CB27E2">
            <w:pPr>
              <w:pStyle w:val="ENoteTableText"/>
              <w:keepNext/>
              <w:keepLines/>
              <w:tabs>
                <w:tab w:val="left" w:leader="dot" w:pos="2268"/>
              </w:tabs>
            </w:pPr>
            <w:r w:rsidRPr="00097A86">
              <w:rPr>
                <w:b/>
              </w:rPr>
              <w:t>Schedule</w:t>
            </w:r>
            <w:r>
              <w:rPr>
                <w:b/>
              </w:rPr>
              <w:t> </w:t>
            </w:r>
            <w:r w:rsidRPr="00097A86">
              <w:rPr>
                <w:b/>
              </w:rPr>
              <w:t>3</w:t>
            </w:r>
          </w:p>
        </w:tc>
        <w:tc>
          <w:tcPr>
            <w:tcW w:w="3573" w:type="pct"/>
            <w:gridSpan w:val="2"/>
          </w:tcPr>
          <w:p w14:paraId="150DAF3A" w14:textId="77777777" w:rsidR="00F1362A" w:rsidRPr="00097A86" w:rsidRDefault="00F1362A" w:rsidP="00CB27E2">
            <w:pPr>
              <w:pStyle w:val="ENoteTableText"/>
              <w:keepNext/>
              <w:keepLines/>
            </w:pPr>
          </w:p>
        </w:tc>
      </w:tr>
      <w:tr w:rsidR="00F1362A" w:rsidRPr="00097A86" w14:paraId="58552534" w14:textId="77777777" w:rsidTr="00C20CC2">
        <w:tblPrEx>
          <w:jc w:val="center"/>
        </w:tblPrEx>
        <w:trPr>
          <w:gridAfter w:val="1"/>
          <w:wAfter w:w="37" w:type="pct"/>
          <w:jc w:val="center"/>
        </w:trPr>
        <w:tc>
          <w:tcPr>
            <w:tcW w:w="1390" w:type="pct"/>
            <w:gridSpan w:val="2"/>
          </w:tcPr>
          <w:p w14:paraId="52CA3ADB" w14:textId="77777777" w:rsidR="00F1362A" w:rsidRPr="00097A86" w:rsidRDefault="00F1362A" w:rsidP="006D1F60">
            <w:pPr>
              <w:pStyle w:val="ENoteTableText"/>
              <w:tabs>
                <w:tab w:val="left" w:leader="dot" w:pos="2268"/>
              </w:tabs>
            </w:pPr>
            <w:r w:rsidRPr="00097A86">
              <w:t>Schedule</w:t>
            </w:r>
            <w:r>
              <w:t> </w:t>
            </w:r>
            <w:r w:rsidRPr="00097A86">
              <w:t>3 heading</w:t>
            </w:r>
            <w:r w:rsidRPr="00097A86">
              <w:tab/>
            </w:r>
          </w:p>
        </w:tc>
        <w:tc>
          <w:tcPr>
            <w:tcW w:w="3573" w:type="pct"/>
            <w:gridSpan w:val="2"/>
          </w:tcPr>
          <w:p w14:paraId="3340CF15" w14:textId="77777777" w:rsidR="00F1362A" w:rsidRPr="00097A86" w:rsidRDefault="00F1362A" w:rsidP="00D22D3F">
            <w:pPr>
              <w:pStyle w:val="ENoteTableText"/>
            </w:pPr>
            <w:r w:rsidRPr="00097A86">
              <w:t>rs 2010 No.</w:t>
            </w:r>
            <w:r>
              <w:t> </w:t>
            </w:r>
            <w:r w:rsidRPr="00097A86">
              <w:t>1</w:t>
            </w:r>
          </w:p>
        </w:tc>
      </w:tr>
      <w:tr w:rsidR="00F1362A" w:rsidRPr="00097A86" w14:paraId="1069840F" w14:textId="77777777" w:rsidTr="00C20CC2">
        <w:tblPrEx>
          <w:jc w:val="center"/>
        </w:tblPrEx>
        <w:trPr>
          <w:gridAfter w:val="1"/>
          <w:wAfter w:w="37" w:type="pct"/>
          <w:jc w:val="center"/>
        </w:trPr>
        <w:tc>
          <w:tcPr>
            <w:tcW w:w="1390" w:type="pct"/>
            <w:gridSpan w:val="2"/>
            <w:tcBorders>
              <w:bottom w:val="single" w:sz="12" w:space="0" w:color="auto"/>
            </w:tcBorders>
          </w:tcPr>
          <w:p w14:paraId="55812E28" w14:textId="77777777" w:rsidR="00F1362A" w:rsidRPr="00097A86" w:rsidRDefault="00F1362A" w:rsidP="006D1F60">
            <w:pPr>
              <w:pStyle w:val="ENoteTableText"/>
              <w:tabs>
                <w:tab w:val="left" w:leader="dot" w:pos="2268"/>
              </w:tabs>
            </w:pPr>
            <w:r w:rsidRPr="00097A86">
              <w:t>Schedule</w:t>
            </w:r>
            <w:r>
              <w:t> </w:t>
            </w:r>
            <w:r w:rsidRPr="00097A86">
              <w:t>3</w:t>
            </w:r>
            <w:r w:rsidRPr="00097A86">
              <w:tab/>
            </w:r>
          </w:p>
        </w:tc>
        <w:tc>
          <w:tcPr>
            <w:tcW w:w="3573" w:type="pct"/>
            <w:gridSpan w:val="2"/>
            <w:tcBorders>
              <w:bottom w:val="single" w:sz="12" w:space="0" w:color="auto"/>
            </w:tcBorders>
          </w:tcPr>
          <w:p w14:paraId="57D48E72" w14:textId="77777777" w:rsidR="00F1362A" w:rsidRPr="00097A86" w:rsidRDefault="00F1362A" w:rsidP="00D22D3F">
            <w:pPr>
              <w:pStyle w:val="ENoteTableText"/>
            </w:pPr>
            <w:r w:rsidRPr="00097A86">
              <w:t>am 2009 No.</w:t>
            </w:r>
            <w:r>
              <w:t> </w:t>
            </w:r>
            <w:r w:rsidRPr="00097A86">
              <w:t>1; 2010 No.</w:t>
            </w:r>
            <w:r>
              <w:t> </w:t>
            </w:r>
            <w:r w:rsidRPr="00097A86">
              <w:t>1; 2011 No.</w:t>
            </w:r>
            <w:r>
              <w:t> </w:t>
            </w:r>
            <w:r w:rsidRPr="00097A86">
              <w:t>1; 2012 No.</w:t>
            </w:r>
            <w:r>
              <w:t> </w:t>
            </w:r>
            <w:r w:rsidRPr="00097A86">
              <w:t>1; 2013 No.</w:t>
            </w:r>
            <w:r>
              <w:t> </w:t>
            </w:r>
            <w:r w:rsidRPr="00097A86">
              <w:t>1; 2015 No 1</w:t>
            </w:r>
          </w:p>
        </w:tc>
      </w:tr>
    </w:tbl>
    <w:p w14:paraId="3AFBE25B" w14:textId="77777777" w:rsidR="00D22D3F" w:rsidRPr="00097A86" w:rsidRDefault="00D22D3F" w:rsidP="00D4338A"/>
    <w:p w14:paraId="6C278BA8" w14:textId="77777777" w:rsidR="00C21069" w:rsidRPr="00097A86" w:rsidRDefault="00C21069" w:rsidP="002316F8">
      <w:pPr>
        <w:spacing w:line="240" w:lineRule="atLeast"/>
        <w:rPr>
          <w:rFonts w:cs="Times New Roman"/>
          <w:sz w:val="24"/>
          <w:szCs w:val="24"/>
        </w:rPr>
        <w:sectPr w:rsidR="00C21069" w:rsidRPr="00097A86" w:rsidSect="0033380F">
          <w:headerReference w:type="even" r:id="rId296"/>
          <w:headerReference w:type="default" r:id="rId297"/>
          <w:footerReference w:type="even" r:id="rId298"/>
          <w:footerReference w:type="default" r:id="rId299"/>
          <w:headerReference w:type="first" r:id="rId300"/>
          <w:footerReference w:type="first" r:id="rId301"/>
          <w:type w:val="continuous"/>
          <w:pgSz w:w="11907" w:h="16839" w:code="9"/>
          <w:pgMar w:top="2325" w:right="1797" w:bottom="1440" w:left="1797" w:header="720" w:footer="709" w:gutter="0"/>
          <w:cols w:space="708"/>
          <w:docGrid w:linePitch="360"/>
        </w:sectPr>
      </w:pPr>
    </w:p>
    <w:p w14:paraId="44259AA0" w14:textId="77777777" w:rsidR="00D22D3F" w:rsidRPr="00097A86" w:rsidRDefault="00D22D3F" w:rsidP="002316F8">
      <w:pPr>
        <w:spacing w:line="240" w:lineRule="atLeast"/>
        <w:rPr>
          <w:rFonts w:cs="Times New Roman"/>
          <w:sz w:val="24"/>
          <w:szCs w:val="24"/>
        </w:rPr>
      </w:pPr>
    </w:p>
    <w:sectPr w:rsidR="00D22D3F" w:rsidRPr="00097A86" w:rsidSect="0033380F">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C2E8" w14:textId="77777777" w:rsidR="00497E3C" w:rsidRDefault="00497E3C">
      <w:r>
        <w:separator/>
      </w:r>
    </w:p>
  </w:endnote>
  <w:endnote w:type="continuationSeparator" w:id="0">
    <w:p w14:paraId="6D517268" w14:textId="77777777" w:rsidR="00497E3C" w:rsidRDefault="0049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embedRegular r:id="rId1" w:subsetted="1" w:fontKey="{24200221-5CAA-4360-AA1C-CCFE187738BE}"/>
    <w:embedItalic r:id="rId2" w:subsetted="1" w:fontKey="{E2F49BF6-0D1D-4B9A-9D26-476B18D1BC08}"/>
  </w:font>
  <w:font w:name="Times New Roman Bold">
    <w:panose1 w:val="020208030705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embedRegular r:id="rId3" w:fontKey="{8915E98F-841F-4D8B-BCBB-6B30E6FAA1B6}"/>
  </w:font>
  <w:font w:name="TimesNewRoman,BoldItalic">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auto"/>
    <w:notTrueType/>
    <w:pitch w:val="default"/>
    <w:sig w:usb0="00000003" w:usb1="08070000" w:usb2="00000010" w:usb3="00000000" w:csb0="0002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C9B7" w14:textId="77777777" w:rsidR="00497E3C" w:rsidRDefault="00497E3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87DE"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27"/>
      <w:gridCol w:w="5063"/>
      <w:gridCol w:w="281"/>
      <w:gridCol w:w="1410"/>
    </w:tblGrid>
    <w:tr w:rsidR="00497E3C" w:rsidRPr="007B3B51" w14:paraId="295CA23B" w14:textId="77777777" w:rsidTr="00C20CC2">
      <w:tc>
        <w:tcPr>
          <w:tcW w:w="681" w:type="pct"/>
        </w:tcPr>
        <w:p w14:paraId="74F71195" w14:textId="77777777" w:rsidR="00497E3C" w:rsidRPr="007B3B51" w:rsidRDefault="00497E3C" w:rsidP="00FE12E7">
          <w:pPr>
            <w:rPr>
              <w:i/>
              <w:sz w:val="16"/>
              <w:szCs w:val="16"/>
            </w:rPr>
          </w:pPr>
        </w:p>
      </w:tc>
      <w:tc>
        <w:tcPr>
          <w:tcW w:w="3471" w:type="pct"/>
          <w:gridSpan w:val="3"/>
        </w:tcPr>
        <w:p w14:paraId="456A7B56"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210A75F9" w14:textId="77777777" w:rsidR="00497E3C" w:rsidRPr="007B3B51" w:rsidRDefault="00497E3C" w:rsidP="00FE1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333</w:t>
          </w:r>
          <w:r w:rsidRPr="007B3B51">
            <w:rPr>
              <w:i/>
              <w:sz w:val="16"/>
              <w:szCs w:val="16"/>
            </w:rPr>
            <w:fldChar w:fldCharType="end"/>
          </w:r>
        </w:p>
      </w:tc>
    </w:tr>
    <w:tr w:rsidR="00497E3C" w:rsidRPr="00130F37" w14:paraId="3B61F019" w14:textId="77777777" w:rsidTr="00497E3C">
      <w:tc>
        <w:tcPr>
          <w:tcW w:w="938" w:type="pct"/>
          <w:gridSpan w:val="2"/>
        </w:tcPr>
        <w:p w14:paraId="61C883EE" w14:textId="677D94BF"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3045" w:type="pct"/>
        </w:tcPr>
        <w:p w14:paraId="647A1AC6" w14:textId="77777777" w:rsidR="00497E3C" w:rsidRPr="00130F37" w:rsidRDefault="00497E3C" w:rsidP="007C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3B620B8D" w14:textId="77777777" w:rsidR="00497E3C" w:rsidRPr="00130F37" w:rsidRDefault="00497E3C" w:rsidP="007C4BDE">
          <w:pPr>
            <w:spacing w:before="120"/>
            <w:jc w:val="right"/>
            <w:rPr>
              <w:sz w:val="16"/>
              <w:szCs w:val="16"/>
            </w:rPr>
          </w:pPr>
        </w:p>
      </w:tc>
    </w:tr>
  </w:tbl>
  <w:p w14:paraId="3744BAAF" w14:textId="77777777" w:rsidR="00497E3C" w:rsidRPr="002A6ADD" w:rsidRDefault="00497E3C" w:rsidP="002A6AD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7343" w14:textId="77777777" w:rsidR="00497E3C" w:rsidRPr="00E33C1C" w:rsidRDefault="00497E3C" w:rsidP="00974FE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97E3C" w14:paraId="12EDB343" w14:textId="77777777" w:rsidTr="00C20CC2">
      <w:tc>
        <w:tcPr>
          <w:tcW w:w="817" w:type="pct"/>
          <w:tcBorders>
            <w:top w:val="nil"/>
            <w:left w:val="nil"/>
            <w:bottom w:val="nil"/>
            <w:right w:val="nil"/>
          </w:tcBorders>
        </w:tcPr>
        <w:p w14:paraId="4C199F44" w14:textId="77777777" w:rsidR="00497E3C" w:rsidRDefault="00497E3C" w:rsidP="00D4338A">
          <w:pPr>
            <w:spacing w:line="0" w:lineRule="atLeast"/>
            <w:rPr>
              <w:sz w:val="18"/>
            </w:rPr>
          </w:pPr>
        </w:p>
      </w:tc>
      <w:tc>
        <w:tcPr>
          <w:tcW w:w="3765" w:type="pct"/>
          <w:tcBorders>
            <w:top w:val="nil"/>
            <w:left w:val="nil"/>
            <w:bottom w:val="nil"/>
            <w:right w:val="nil"/>
          </w:tcBorders>
        </w:tcPr>
        <w:p w14:paraId="0DFFC9F3" w14:textId="77777777" w:rsidR="00497E3C" w:rsidRDefault="00497E3C" w:rsidP="00D433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Greenhouse and Energy Reporting (Measurement) Determination 2008</w:t>
          </w:r>
          <w:r w:rsidRPr="007A1328">
            <w:rPr>
              <w:i/>
              <w:sz w:val="18"/>
            </w:rPr>
            <w:fldChar w:fldCharType="end"/>
          </w:r>
        </w:p>
      </w:tc>
      <w:tc>
        <w:tcPr>
          <w:tcW w:w="418" w:type="pct"/>
          <w:tcBorders>
            <w:top w:val="nil"/>
            <w:left w:val="nil"/>
            <w:bottom w:val="nil"/>
            <w:right w:val="nil"/>
          </w:tcBorders>
        </w:tcPr>
        <w:p w14:paraId="28F32561" w14:textId="77777777" w:rsidR="00497E3C" w:rsidRDefault="00497E3C" w:rsidP="00D433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344</w:t>
          </w:r>
          <w:r w:rsidRPr="00ED79B6">
            <w:rPr>
              <w:i/>
              <w:sz w:val="18"/>
            </w:rPr>
            <w:fldChar w:fldCharType="end"/>
          </w:r>
        </w:p>
      </w:tc>
    </w:tr>
  </w:tbl>
  <w:p w14:paraId="4402CD95" w14:textId="77777777" w:rsidR="00497E3C" w:rsidRPr="00ED79B6" w:rsidRDefault="00497E3C" w:rsidP="00974FE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ECE1"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27"/>
      <w:gridCol w:w="5063"/>
      <w:gridCol w:w="281"/>
      <w:gridCol w:w="1410"/>
    </w:tblGrid>
    <w:tr w:rsidR="00497E3C" w:rsidRPr="007B3B51" w14:paraId="0158EB7D" w14:textId="77777777" w:rsidTr="00C20CC2">
      <w:tc>
        <w:tcPr>
          <w:tcW w:w="681" w:type="pct"/>
        </w:tcPr>
        <w:p w14:paraId="0C066602" w14:textId="77777777" w:rsidR="00497E3C" w:rsidRPr="007B3B51" w:rsidRDefault="00497E3C" w:rsidP="00FE1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372</w:t>
          </w:r>
          <w:r w:rsidRPr="007B3B51">
            <w:rPr>
              <w:i/>
              <w:sz w:val="16"/>
              <w:szCs w:val="16"/>
            </w:rPr>
            <w:fldChar w:fldCharType="end"/>
          </w:r>
        </w:p>
      </w:tc>
      <w:tc>
        <w:tcPr>
          <w:tcW w:w="3471" w:type="pct"/>
          <w:gridSpan w:val="3"/>
        </w:tcPr>
        <w:p w14:paraId="6C840E5A"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2127724E" w14:textId="77777777" w:rsidR="00497E3C" w:rsidRPr="007B3B51" w:rsidRDefault="00497E3C" w:rsidP="00FE12E7">
          <w:pPr>
            <w:jc w:val="right"/>
            <w:rPr>
              <w:sz w:val="16"/>
              <w:szCs w:val="16"/>
            </w:rPr>
          </w:pPr>
        </w:p>
      </w:tc>
    </w:tr>
    <w:tr w:rsidR="00497E3C" w:rsidRPr="0055472E" w14:paraId="5927F7D8" w14:textId="77777777" w:rsidTr="00497E3C">
      <w:tc>
        <w:tcPr>
          <w:tcW w:w="938" w:type="pct"/>
          <w:gridSpan w:val="2"/>
        </w:tcPr>
        <w:p w14:paraId="4B4EC305" w14:textId="3A9E7980"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3045" w:type="pct"/>
        </w:tcPr>
        <w:p w14:paraId="279C81E4" w14:textId="77777777" w:rsidR="00497E3C" w:rsidRPr="00130F37" w:rsidRDefault="00497E3C" w:rsidP="007C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3A2FDC6C" w14:textId="77777777" w:rsidR="00497E3C" w:rsidRPr="00130F37" w:rsidRDefault="00497E3C" w:rsidP="007C4BDE">
          <w:pPr>
            <w:spacing w:before="120"/>
            <w:jc w:val="right"/>
            <w:rPr>
              <w:sz w:val="16"/>
              <w:szCs w:val="16"/>
            </w:rPr>
          </w:pPr>
        </w:p>
      </w:tc>
    </w:tr>
  </w:tbl>
  <w:p w14:paraId="6D5C06C9" w14:textId="77777777" w:rsidR="00497E3C" w:rsidRPr="002A6ADD" w:rsidRDefault="00497E3C" w:rsidP="002A6AD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74A0"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569"/>
      <w:gridCol w:w="4921"/>
      <w:gridCol w:w="281"/>
      <w:gridCol w:w="1410"/>
    </w:tblGrid>
    <w:tr w:rsidR="00497E3C" w:rsidRPr="007B3B51" w14:paraId="7D2A2222" w14:textId="77777777" w:rsidTr="00C20CC2">
      <w:tc>
        <w:tcPr>
          <w:tcW w:w="681" w:type="pct"/>
        </w:tcPr>
        <w:p w14:paraId="66B2E8AD" w14:textId="77777777" w:rsidR="00497E3C" w:rsidRPr="007B3B51" w:rsidRDefault="00497E3C" w:rsidP="00FE12E7">
          <w:pPr>
            <w:rPr>
              <w:i/>
              <w:sz w:val="16"/>
              <w:szCs w:val="16"/>
            </w:rPr>
          </w:pPr>
        </w:p>
      </w:tc>
      <w:tc>
        <w:tcPr>
          <w:tcW w:w="3471" w:type="pct"/>
          <w:gridSpan w:val="3"/>
        </w:tcPr>
        <w:p w14:paraId="78952AC8"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0D97371E" w14:textId="77777777" w:rsidR="00497E3C" w:rsidRPr="007B3B51" w:rsidRDefault="00497E3C" w:rsidP="00FE1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371</w:t>
          </w:r>
          <w:r w:rsidRPr="007B3B51">
            <w:rPr>
              <w:i/>
              <w:sz w:val="16"/>
              <w:szCs w:val="16"/>
            </w:rPr>
            <w:fldChar w:fldCharType="end"/>
          </w:r>
        </w:p>
      </w:tc>
    </w:tr>
    <w:tr w:rsidR="00497E3C" w:rsidRPr="00130F37" w14:paraId="41C6C8B9" w14:textId="77777777" w:rsidTr="00497E3C">
      <w:tc>
        <w:tcPr>
          <w:tcW w:w="1023" w:type="pct"/>
          <w:gridSpan w:val="2"/>
        </w:tcPr>
        <w:p w14:paraId="546C60F2" w14:textId="08EC3D9C"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2960" w:type="pct"/>
        </w:tcPr>
        <w:p w14:paraId="5CD001A6" w14:textId="77777777" w:rsidR="00497E3C" w:rsidRPr="00130F37" w:rsidRDefault="00497E3C" w:rsidP="002C4E8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32DC2010" w14:textId="77777777" w:rsidR="00497E3C" w:rsidRPr="00130F37" w:rsidRDefault="00497E3C" w:rsidP="002C4E85">
          <w:pPr>
            <w:spacing w:before="120"/>
            <w:jc w:val="right"/>
            <w:rPr>
              <w:sz w:val="16"/>
              <w:szCs w:val="16"/>
            </w:rPr>
          </w:pPr>
        </w:p>
      </w:tc>
    </w:tr>
  </w:tbl>
  <w:p w14:paraId="020F42EB" w14:textId="77777777" w:rsidR="00497E3C" w:rsidRPr="002A6ADD" w:rsidRDefault="00497E3C" w:rsidP="002A6A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258A"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7E3C" w:rsidRPr="007B3B51" w14:paraId="5F598405" w14:textId="77777777" w:rsidTr="00C20CC2">
      <w:tc>
        <w:tcPr>
          <w:tcW w:w="681" w:type="pct"/>
        </w:tcPr>
        <w:p w14:paraId="135CDCBA" w14:textId="77777777" w:rsidR="00497E3C" w:rsidRPr="007B3B51" w:rsidRDefault="00497E3C" w:rsidP="00FE12E7">
          <w:pPr>
            <w:rPr>
              <w:i/>
              <w:sz w:val="16"/>
              <w:szCs w:val="16"/>
            </w:rPr>
          </w:pPr>
        </w:p>
      </w:tc>
      <w:tc>
        <w:tcPr>
          <w:tcW w:w="3471" w:type="pct"/>
          <w:gridSpan w:val="3"/>
        </w:tcPr>
        <w:p w14:paraId="6C8C8AE2"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Greenhouse and Energy Reporting (Measurement) Determination 2008</w:t>
          </w:r>
          <w:r w:rsidRPr="007B3B51">
            <w:rPr>
              <w:i/>
              <w:sz w:val="16"/>
              <w:szCs w:val="16"/>
            </w:rPr>
            <w:fldChar w:fldCharType="end"/>
          </w:r>
        </w:p>
      </w:tc>
      <w:tc>
        <w:tcPr>
          <w:tcW w:w="848" w:type="pct"/>
        </w:tcPr>
        <w:p w14:paraId="66B8EC98" w14:textId="77777777" w:rsidR="00497E3C" w:rsidRPr="007B3B51" w:rsidRDefault="00497E3C" w:rsidP="00FE1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344</w:t>
          </w:r>
          <w:r w:rsidRPr="007B3B51">
            <w:rPr>
              <w:i/>
              <w:sz w:val="16"/>
              <w:szCs w:val="16"/>
            </w:rPr>
            <w:fldChar w:fldCharType="end"/>
          </w:r>
        </w:p>
      </w:tc>
    </w:tr>
    <w:tr w:rsidR="00497E3C" w:rsidRPr="00130F37" w14:paraId="74CFC8D2" w14:textId="77777777" w:rsidTr="00C20CC2">
      <w:tc>
        <w:tcPr>
          <w:tcW w:w="848" w:type="pct"/>
          <w:gridSpan w:val="2"/>
        </w:tcPr>
        <w:p w14:paraId="082A96E0" w14:textId="77777777" w:rsidR="00497E3C" w:rsidRPr="00130F37" w:rsidRDefault="00497E3C" w:rsidP="00FE12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135" w:type="pct"/>
        </w:tcPr>
        <w:p w14:paraId="64EAC7CB" w14:textId="77777777" w:rsidR="00497E3C" w:rsidRPr="00130F37" w:rsidRDefault="00497E3C" w:rsidP="00FE12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1DFFAE56" w14:textId="77777777" w:rsidR="00497E3C" w:rsidRPr="00130F37" w:rsidRDefault="00497E3C" w:rsidP="00FE12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5/7/18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5/7/18</w:t>
          </w:r>
          <w:r w:rsidRPr="00130F37">
            <w:rPr>
              <w:sz w:val="16"/>
              <w:szCs w:val="16"/>
            </w:rPr>
            <w:fldChar w:fldCharType="end"/>
          </w:r>
        </w:p>
      </w:tc>
    </w:tr>
  </w:tbl>
  <w:p w14:paraId="6258073D" w14:textId="77777777" w:rsidR="00497E3C" w:rsidRPr="002A6ADD" w:rsidRDefault="00497E3C" w:rsidP="002A6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100C" w14:textId="77777777" w:rsidR="00497E3C" w:rsidRDefault="00497E3C" w:rsidP="001948E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4966" w14:textId="77777777" w:rsidR="00497E3C" w:rsidRPr="00ED79B6" w:rsidRDefault="00497E3C" w:rsidP="001948E5">
    <w:pPr>
      <w:pStyle w:val="Footer"/>
      <w:tabs>
        <w:tab w:val="clear" w:pos="4153"/>
        <w:tab w:val="clear" w:pos="8306"/>
        <w:tab w:val="center" w:pos="4150"/>
        <w:tab w:val="right" w:pos="8307"/>
      </w:tabs>
      <w:spacing w:before="120"/>
    </w:pPr>
    <w:r w:rsidRPr="00CB7761">
      <w:t xml:space="preserve">Prepared by the </w:t>
    </w:r>
    <w:r>
      <w:t>Department of the Environment and Energy</w:t>
    </w:r>
    <w:r w:rsidRPr="00CB7761">
      <w:t>,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49D8"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994"/>
      <w:gridCol w:w="4496"/>
      <w:gridCol w:w="281"/>
      <w:gridCol w:w="1410"/>
    </w:tblGrid>
    <w:tr w:rsidR="00497E3C" w:rsidRPr="007B3B51" w14:paraId="3E8E1F8B" w14:textId="77777777" w:rsidTr="00C20CC2">
      <w:tc>
        <w:tcPr>
          <w:tcW w:w="681" w:type="pct"/>
        </w:tcPr>
        <w:p w14:paraId="643D9764" w14:textId="77777777" w:rsidR="00497E3C" w:rsidRPr="007B3B51" w:rsidRDefault="00497E3C" w:rsidP="00FE1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xvi</w:t>
          </w:r>
          <w:r w:rsidRPr="007B3B51">
            <w:rPr>
              <w:i/>
              <w:sz w:val="16"/>
              <w:szCs w:val="16"/>
            </w:rPr>
            <w:fldChar w:fldCharType="end"/>
          </w:r>
        </w:p>
      </w:tc>
      <w:tc>
        <w:tcPr>
          <w:tcW w:w="3471" w:type="pct"/>
          <w:gridSpan w:val="3"/>
        </w:tcPr>
        <w:p w14:paraId="29E5D2D0"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70D53639" w14:textId="77777777" w:rsidR="00497E3C" w:rsidRPr="007B3B51" w:rsidRDefault="00497E3C" w:rsidP="00FE12E7">
          <w:pPr>
            <w:jc w:val="right"/>
            <w:rPr>
              <w:sz w:val="16"/>
              <w:szCs w:val="16"/>
            </w:rPr>
          </w:pPr>
        </w:p>
      </w:tc>
    </w:tr>
    <w:tr w:rsidR="00497E3C" w:rsidRPr="0055472E" w14:paraId="188EAAF2" w14:textId="77777777" w:rsidTr="00497E3C">
      <w:tc>
        <w:tcPr>
          <w:tcW w:w="1279" w:type="pct"/>
          <w:gridSpan w:val="2"/>
        </w:tcPr>
        <w:p w14:paraId="6D5CF4A1" w14:textId="04940F4B"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2704" w:type="pct"/>
        </w:tcPr>
        <w:p w14:paraId="2221BC3A" w14:textId="77777777" w:rsidR="00497E3C" w:rsidRPr="00130F37" w:rsidRDefault="00497E3C" w:rsidP="002C4E8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033EBABE" w14:textId="77777777" w:rsidR="00497E3C" w:rsidRPr="00130F37" w:rsidRDefault="00497E3C" w:rsidP="002C4E85">
          <w:pPr>
            <w:spacing w:before="120"/>
            <w:jc w:val="right"/>
            <w:rPr>
              <w:sz w:val="16"/>
              <w:szCs w:val="16"/>
            </w:rPr>
          </w:pPr>
        </w:p>
      </w:tc>
    </w:tr>
  </w:tbl>
  <w:p w14:paraId="3440C7EE" w14:textId="77777777" w:rsidR="00497E3C" w:rsidRPr="002A6ADD" w:rsidRDefault="00497E3C" w:rsidP="002A6A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A779"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94"/>
      <w:gridCol w:w="4996"/>
      <w:gridCol w:w="281"/>
      <w:gridCol w:w="1410"/>
    </w:tblGrid>
    <w:tr w:rsidR="00497E3C" w:rsidRPr="007B3B51" w14:paraId="645CA724" w14:textId="77777777" w:rsidTr="00C20CC2">
      <w:tc>
        <w:tcPr>
          <w:tcW w:w="681" w:type="pct"/>
        </w:tcPr>
        <w:p w14:paraId="27F8BE53" w14:textId="77777777" w:rsidR="00497E3C" w:rsidRPr="007B3B51" w:rsidRDefault="00497E3C" w:rsidP="00FE12E7">
          <w:pPr>
            <w:rPr>
              <w:i/>
              <w:sz w:val="16"/>
              <w:szCs w:val="16"/>
            </w:rPr>
          </w:pPr>
        </w:p>
      </w:tc>
      <w:tc>
        <w:tcPr>
          <w:tcW w:w="3471" w:type="pct"/>
          <w:gridSpan w:val="3"/>
        </w:tcPr>
        <w:p w14:paraId="0CAA4940"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7BC8E095" w14:textId="77777777" w:rsidR="00497E3C" w:rsidRPr="007B3B51" w:rsidRDefault="00497E3C" w:rsidP="00FE1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xvii</w:t>
          </w:r>
          <w:r w:rsidRPr="007B3B51">
            <w:rPr>
              <w:i/>
              <w:sz w:val="16"/>
              <w:szCs w:val="16"/>
            </w:rPr>
            <w:fldChar w:fldCharType="end"/>
          </w:r>
        </w:p>
      </w:tc>
    </w:tr>
    <w:tr w:rsidR="00497E3C" w:rsidRPr="00130F37" w14:paraId="7E69FA6C" w14:textId="77777777" w:rsidTr="007D29B8">
      <w:tc>
        <w:tcPr>
          <w:tcW w:w="978" w:type="pct"/>
          <w:gridSpan w:val="2"/>
        </w:tcPr>
        <w:p w14:paraId="51850963" w14:textId="743DA875"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3005" w:type="pct"/>
        </w:tcPr>
        <w:p w14:paraId="77C5F7B9" w14:textId="77777777" w:rsidR="00497E3C" w:rsidRPr="00130F37" w:rsidRDefault="00497E3C" w:rsidP="002C4E8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00BD6F78" w14:textId="77777777" w:rsidR="00497E3C" w:rsidRPr="00130F37" w:rsidRDefault="00497E3C" w:rsidP="00FE12E7">
          <w:pPr>
            <w:spacing w:before="120"/>
            <w:jc w:val="right"/>
            <w:rPr>
              <w:sz w:val="16"/>
              <w:szCs w:val="16"/>
            </w:rPr>
          </w:pPr>
        </w:p>
      </w:tc>
    </w:tr>
  </w:tbl>
  <w:p w14:paraId="42B90B67" w14:textId="77777777" w:rsidR="00497E3C" w:rsidRPr="002A6ADD" w:rsidRDefault="00497E3C" w:rsidP="002A6A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295B"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27"/>
      <w:gridCol w:w="5063"/>
      <w:gridCol w:w="281"/>
      <w:gridCol w:w="1410"/>
    </w:tblGrid>
    <w:tr w:rsidR="00497E3C" w:rsidRPr="007B3B51" w14:paraId="668EE87B" w14:textId="77777777" w:rsidTr="00C20CC2">
      <w:tc>
        <w:tcPr>
          <w:tcW w:w="681" w:type="pct"/>
        </w:tcPr>
        <w:p w14:paraId="34FB516A" w14:textId="77777777" w:rsidR="00497E3C" w:rsidRPr="007B3B51" w:rsidRDefault="00497E3C" w:rsidP="00FE1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312</w:t>
          </w:r>
          <w:r w:rsidRPr="007B3B51">
            <w:rPr>
              <w:i/>
              <w:sz w:val="16"/>
              <w:szCs w:val="16"/>
            </w:rPr>
            <w:fldChar w:fldCharType="end"/>
          </w:r>
        </w:p>
      </w:tc>
      <w:tc>
        <w:tcPr>
          <w:tcW w:w="3471" w:type="pct"/>
          <w:gridSpan w:val="3"/>
        </w:tcPr>
        <w:p w14:paraId="286F22AE"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4A923883" w14:textId="77777777" w:rsidR="00497E3C" w:rsidRPr="007B3B51" w:rsidRDefault="00497E3C" w:rsidP="00FE12E7">
          <w:pPr>
            <w:jc w:val="right"/>
            <w:rPr>
              <w:sz w:val="16"/>
              <w:szCs w:val="16"/>
            </w:rPr>
          </w:pPr>
        </w:p>
      </w:tc>
    </w:tr>
    <w:tr w:rsidR="00497E3C" w:rsidRPr="0055472E" w14:paraId="0D4C9432" w14:textId="77777777" w:rsidTr="00497E3C">
      <w:tc>
        <w:tcPr>
          <w:tcW w:w="938" w:type="pct"/>
          <w:gridSpan w:val="2"/>
        </w:tcPr>
        <w:p w14:paraId="1379B04C" w14:textId="50BCE062"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3045" w:type="pct"/>
        </w:tcPr>
        <w:p w14:paraId="3E6CFF85" w14:textId="77777777" w:rsidR="00497E3C" w:rsidRPr="00130F37" w:rsidRDefault="00497E3C" w:rsidP="002C4E8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769355B9" w14:textId="77777777" w:rsidR="00497E3C" w:rsidRPr="00130F37" w:rsidRDefault="00497E3C" w:rsidP="002C4E85">
          <w:pPr>
            <w:spacing w:before="120"/>
            <w:jc w:val="right"/>
            <w:rPr>
              <w:sz w:val="16"/>
              <w:szCs w:val="16"/>
            </w:rPr>
          </w:pPr>
        </w:p>
      </w:tc>
    </w:tr>
  </w:tbl>
  <w:p w14:paraId="4DDDEA8D" w14:textId="77777777" w:rsidR="00497E3C" w:rsidRPr="002A6ADD" w:rsidRDefault="00497E3C" w:rsidP="002A6A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46D3"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94"/>
      <w:gridCol w:w="4996"/>
      <w:gridCol w:w="281"/>
      <w:gridCol w:w="1410"/>
    </w:tblGrid>
    <w:tr w:rsidR="00497E3C" w:rsidRPr="007B3B51" w14:paraId="444A39E7" w14:textId="77777777" w:rsidTr="00C20CC2">
      <w:tc>
        <w:tcPr>
          <w:tcW w:w="681" w:type="pct"/>
        </w:tcPr>
        <w:p w14:paraId="0178C9CC" w14:textId="77777777" w:rsidR="00497E3C" w:rsidRPr="007B3B51" w:rsidRDefault="00497E3C" w:rsidP="00FE12E7">
          <w:pPr>
            <w:rPr>
              <w:i/>
              <w:sz w:val="16"/>
              <w:szCs w:val="16"/>
            </w:rPr>
          </w:pPr>
        </w:p>
      </w:tc>
      <w:tc>
        <w:tcPr>
          <w:tcW w:w="3471" w:type="pct"/>
          <w:gridSpan w:val="3"/>
        </w:tcPr>
        <w:p w14:paraId="11E252FB"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32961FAF" w14:textId="77777777" w:rsidR="00497E3C" w:rsidRPr="007B3B51" w:rsidRDefault="00497E3C" w:rsidP="00FE1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311</w:t>
          </w:r>
          <w:r w:rsidRPr="007B3B51">
            <w:rPr>
              <w:i/>
              <w:sz w:val="16"/>
              <w:szCs w:val="16"/>
            </w:rPr>
            <w:fldChar w:fldCharType="end"/>
          </w:r>
        </w:p>
      </w:tc>
    </w:tr>
    <w:tr w:rsidR="00497E3C" w:rsidRPr="00130F37" w14:paraId="2AD63077" w14:textId="77777777" w:rsidTr="007D29B8">
      <w:tc>
        <w:tcPr>
          <w:tcW w:w="978" w:type="pct"/>
          <w:gridSpan w:val="2"/>
        </w:tcPr>
        <w:p w14:paraId="6E9C3363" w14:textId="3FD51693"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3005" w:type="pct"/>
        </w:tcPr>
        <w:p w14:paraId="796C44AA" w14:textId="77777777" w:rsidR="00497E3C" w:rsidRPr="00130F37" w:rsidRDefault="00497E3C" w:rsidP="002C4E8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49931695" w14:textId="77777777" w:rsidR="00497E3C" w:rsidRPr="00130F37" w:rsidRDefault="00497E3C" w:rsidP="002C4E85">
          <w:pPr>
            <w:spacing w:before="120"/>
            <w:jc w:val="right"/>
            <w:rPr>
              <w:sz w:val="16"/>
              <w:szCs w:val="16"/>
            </w:rPr>
          </w:pPr>
        </w:p>
      </w:tc>
    </w:tr>
  </w:tbl>
  <w:p w14:paraId="760E1301" w14:textId="77777777" w:rsidR="00497E3C" w:rsidRPr="002A6ADD" w:rsidRDefault="00497E3C" w:rsidP="002A6AD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E1E1" w14:textId="77777777" w:rsidR="00497E3C" w:rsidRPr="00E33C1C" w:rsidRDefault="00497E3C" w:rsidP="00974FE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97E3C" w14:paraId="3B0DB973" w14:textId="77777777" w:rsidTr="00C20CC2">
      <w:tc>
        <w:tcPr>
          <w:tcW w:w="817" w:type="pct"/>
          <w:tcBorders>
            <w:top w:val="nil"/>
            <w:left w:val="nil"/>
            <w:bottom w:val="nil"/>
            <w:right w:val="nil"/>
          </w:tcBorders>
        </w:tcPr>
        <w:p w14:paraId="32782CF0" w14:textId="77777777" w:rsidR="00497E3C" w:rsidRDefault="00497E3C" w:rsidP="00D4338A">
          <w:pPr>
            <w:spacing w:line="0" w:lineRule="atLeast"/>
            <w:rPr>
              <w:sz w:val="18"/>
            </w:rPr>
          </w:pPr>
        </w:p>
      </w:tc>
      <w:tc>
        <w:tcPr>
          <w:tcW w:w="3765" w:type="pct"/>
          <w:tcBorders>
            <w:top w:val="nil"/>
            <w:left w:val="nil"/>
            <w:bottom w:val="nil"/>
            <w:right w:val="nil"/>
          </w:tcBorders>
        </w:tcPr>
        <w:p w14:paraId="4760AF81" w14:textId="77777777" w:rsidR="00497E3C" w:rsidRDefault="00497E3C" w:rsidP="00D433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National Greenhouse and Energy Reporting (Measurement) Determination 2008</w:t>
          </w:r>
          <w:r w:rsidRPr="007A1328">
            <w:rPr>
              <w:i/>
              <w:sz w:val="18"/>
            </w:rPr>
            <w:fldChar w:fldCharType="end"/>
          </w:r>
        </w:p>
      </w:tc>
      <w:tc>
        <w:tcPr>
          <w:tcW w:w="418" w:type="pct"/>
          <w:tcBorders>
            <w:top w:val="nil"/>
            <w:left w:val="nil"/>
            <w:bottom w:val="nil"/>
            <w:right w:val="nil"/>
          </w:tcBorders>
        </w:tcPr>
        <w:p w14:paraId="6339CA2B" w14:textId="77777777" w:rsidR="00497E3C" w:rsidRDefault="00497E3C" w:rsidP="00D433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344</w:t>
          </w:r>
          <w:r w:rsidRPr="00ED79B6">
            <w:rPr>
              <w:i/>
              <w:sz w:val="18"/>
            </w:rPr>
            <w:fldChar w:fldCharType="end"/>
          </w:r>
        </w:p>
      </w:tc>
    </w:tr>
  </w:tbl>
  <w:p w14:paraId="189044DA" w14:textId="77777777" w:rsidR="00497E3C" w:rsidRPr="00ED79B6" w:rsidRDefault="00497E3C" w:rsidP="00974FE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09DF" w14:textId="77777777" w:rsidR="00497E3C" w:rsidRPr="007B3B51" w:rsidRDefault="00497E3C" w:rsidP="00FE12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712"/>
      <w:gridCol w:w="4778"/>
      <w:gridCol w:w="281"/>
      <w:gridCol w:w="1410"/>
    </w:tblGrid>
    <w:tr w:rsidR="00497E3C" w:rsidRPr="007B3B51" w14:paraId="07C99123" w14:textId="77777777" w:rsidTr="00C20CC2">
      <w:tc>
        <w:tcPr>
          <w:tcW w:w="681" w:type="pct"/>
        </w:tcPr>
        <w:p w14:paraId="1DE29159" w14:textId="77777777" w:rsidR="00497E3C" w:rsidRPr="007B3B51" w:rsidRDefault="00497E3C" w:rsidP="00FE1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0131">
            <w:rPr>
              <w:i/>
              <w:noProof/>
              <w:sz w:val="16"/>
              <w:szCs w:val="16"/>
            </w:rPr>
            <w:t>332</w:t>
          </w:r>
          <w:r w:rsidRPr="007B3B51">
            <w:rPr>
              <w:i/>
              <w:sz w:val="16"/>
              <w:szCs w:val="16"/>
            </w:rPr>
            <w:fldChar w:fldCharType="end"/>
          </w:r>
        </w:p>
      </w:tc>
      <w:tc>
        <w:tcPr>
          <w:tcW w:w="3471" w:type="pct"/>
          <w:gridSpan w:val="3"/>
        </w:tcPr>
        <w:p w14:paraId="17EEB4F0" w14:textId="77777777" w:rsidR="00497E3C" w:rsidRPr="007B3B51" w:rsidRDefault="00497E3C" w:rsidP="00FE1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131">
            <w:rPr>
              <w:i/>
              <w:noProof/>
              <w:sz w:val="16"/>
              <w:szCs w:val="16"/>
            </w:rPr>
            <w:t>National Greenhouse and Energy Reporting (Measurement) Determination 2008</w:t>
          </w:r>
          <w:r w:rsidRPr="007B3B51">
            <w:rPr>
              <w:i/>
              <w:sz w:val="16"/>
              <w:szCs w:val="16"/>
            </w:rPr>
            <w:fldChar w:fldCharType="end"/>
          </w:r>
        </w:p>
      </w:tc>
      <w:tc>
        <w:tcPr>
          <w:tcW w:w="848" w:type="pct"/>
        </w:tcPr>
        <w:p w14:paraId="3BA0181B" w14:textId="77777777" w:rsidR="00497E3C" w:rsidRPr="007B3B51" w:rsidRDefault="00497E3C" w:rsidP="00FE12E7">
          <w:pPr>
            <w:jc w:val="right"/>
            <w:rPr>
              <w:sz w:val="16"/>
              <w:szCs w:val="16"/>
            </w:rPr>
          </w:pPr>
        </w:p>
      </w:tc>
    </w:tr>
    <w:tr w:rsidR="00497E3C" w:rsidRPr="0055472E" w14:paraId="5F2F4E99" w14:textId="77777777" w:rsidTr="00497E3C">
      <w:tc>
        <w:tcPr>
          <w:tcW w:w="1109" w:type="pct"/>
          <w:gridSpan w:val="2"/>
        </w:tcPr>
        <w:p w14:paraId="5AD1B093" w14:textId="47607082" w:rsidR="00497E3C" w:rsidRPr="00130F37" w:rsidRDefault="00497E3C" w:rsidP="00497E3C">
          <w:pPr>
            <w:spacing w:before="120"/>
            <w:rPr>
              <w:sz w:val="16"/>
              <w:szCs w:val="16"/>
            </w:rPr>
          </w:pPr>
          <w:r w:rsidRPr="00130F37">
            <w:rPr>
              <w:sz w:val="16"/>
              <w:szCs w:val="16"/>
            </w:rPr>
            <w:t xml:space="preserve">Compilation No. </w:t>
          </w:r>
          <w:r>
            <w:rPr>
              <w:sz w:val="16"/>
              <w:szCs w:val="16"/>
            </w:rPr>
            <w:t>11</w:t>
          </w:r>
        </w:p>
      </w:tc>
      <w:tc>
        <w:tcPr>
          <w:tcW w:w="2874" w:type="pct"/>
        </w:tcPr>
        <w:p w14:paraId="396FCE78" w14:textId="77777777" w:rsidR="00497E3C" w:rsidRPr="00130F37" w:rsidRDefault="00497E3C" w:rsidP="007C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1/7/18</w:t>
          </w:r>
          <w:r w:rsidRPr="00130F37">
            <w:rPr>
              <w:sz w:val="16"/>
              <w:szCs w:val="16"/>
            </w:rPr>
            <w:fldChar w:fldCharType="end"/>
          </w:r>
        </w:p>
      </w:tc>
      <w:tc>
        <w:tcPr>
          <w:tcW w:w="1017" w:type="pct"/>
          <w:gridSpan w:val="2"/>
        </w:tcPr>
        <w:p w14:paraId="1150ADFC" w14:textId="77777777" w:rsidR="00497E3C" w:rsidRPr="00130F37" w:rsidRDefault="00497E3C" w:rsidP="007C4BDE">
          <w:pPr>
            <w:spacing w:before="120"/>
            <w:jc w:val="right"/>
            <w:rPr>
              <w:sz w:val="16"/>
              <w:szCs w:val="16"/>
            </w:rPr>
          </w:pPr>
        </w:p>
      </w:tc>
    </w:tr>
  </w:tbl>
  <w:p w14:paraId="34E72A4F" w14:textId="77777777" w:rsidR="00497E3C" w:rsidRPr="002A6ADD" w:rsidRDefault="00497E3C" w:rsidP="002A6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BAE1" w14:textId="77777777" w:rsidR="00497E3C" w:rsidRDefault="00497E3C">
      <w:r>
        <w:separator/>
      </w:r>
    </w:p>
  </w:footnote>
  <w:footnote w:type="continuationSeparator" w:id="0">
    <w:p w14:paraId="4CAF1198" w14:textId="77777777" w:rsidR="00497E3C" w:rsidRDefault="0049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8B2D" w14:textId="77777777" w:rsidR="00497E3C" w:rsidRDefault="00497E3C" w:rsidP="001948E5">
    <w:pPr>
      <w:pStyle w:val="Header"/>
      <w:pBdr>
        <w:bottom w:val="single" w:sz="6" w:space="1" w:color="auto"/>
      </w:pBdr>
    </w:pPr>
  </w:p>
  <w:p w14:paraId="62871191" w14:textId="77777777" w:rsidR="00497E3C" w:rsidRDefault="00497E3C" w:rsidP="001948E5">
    <w:pPr>
      <w:pStyle w:val="Header"/>
      <w:pBdr>
        <w:bottom w:val="single" w:sz="6" w:space="1" w:color="auto"/>
      </w:pBdr>
    </w:pPr>
  </w:p>
  <w:p w14:paraId="72B9C7CE" w14:textId="77777777" w:rsidR="00497E3C" w:rsidRPr="001E77D2" w:rsidRDefault="00497E3C" w:rsidP="001948E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EF59" w14:textId="77777777" w:rsidR="00497E3C" w:rsidRPr="000B0625" w:rsidRDefault="00497E3C">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F70131">
      <w:rPr>
        <w:b/>
        <w:noProof/>
        <w:sz w:val="20"/>
      </w:rPr>
      <w:t>Schedule 3</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F70131">
      <w:rPr>
        <w:noProof/>
        <w:sz w:val="20"/>
      </w:rPr>
      <w:t>Carbon content factors</w:t>
    </w:r>
    <w:r w:rsidRPr="000B0625">
      <w:rPr>
        <w:sz w:val="20"/>
      </w:rPr>
      <w:fldChar w:fldCharType="end"/>
    </w:r>
  </w:p>
  <w:p w14:paraId="75900112" w14:textId="77777777" w:rsidR="00497E3C" w:rsidRPr="000B0625" w:rsidRDefault="00497E3C">
    <w:pPr>
      <w:pBdr>
        <w:bottom w:val="single" w:sz="6" w:space="1" w:color="auto"/>
      </w:pBdr>
      <w:rPr>
        <w:sz w:val="20"/>
      </w:rPr>
    </w:pPr>
    <w:r w:rsidRPr="000B0625">
      <w:rPr>
        <w:b/>
        <w:sz w:val="20"/>
      </w:rPr>
      <w:fldChar w:fldCharType="begin"/>
    </w:r>
    <w:r w:rsidRPr="000B0625">
      <w:rPr>
        <w:b/>
        <w:sz w:val="20"/>
      </w:rPr>
      <w:instrText xml:space="preserve"> STYLEREF CharPartNo </w:instrText>
    </w:r>
    <w:r w:rsidR="00F70131">
      <w:rPr>
        <w:b/>
        <w:sz w:val="20"/>
      </w:rPr>
      <w:fldChar w:fldCharType="separate"/>
    </w:r>
    <w:r w:rsidR="00F70131">
      <w:rPr>
        <w:b/>
        <w:noProof/>
        <w:sz w:val="20"/>
      </w:rPr>
      <w:t>Part 4</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00F70131">
      <w:rPr>
        <w:sz w:val="20"/>
      </w:rPr>
      <w:fldChar w:fldCharType="separate"/>
    </w:r>
    <w:r w:rsidR="00F70131">
      <w:rPr>
        <w:noProof/>
        <w:sz w:val="20"/>
      </w:rPr>
      <w:t>Petrochemical feedstocks and products</w:t>
    </w:r>
    <w:r w:rsidRPr="000B0625">
      <w:rPr>
        <w:sz w:val="20"/>
      </w:rPr>
      <w:fldChar w:fldCharType="end"/>
    </w:r>
  </w:p>
  <w:p w14:paraId="30860447" w14:textId="77777777" w:rsidR="00497E3C" w:rsidRDefault="00497E3C">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A585" w14:textId="77777777" w:rsidR="00497E3C" w:rsidRPr="000B0625" w:rsidRDefault="00497E3C">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F70131">
      <w:rPr>
        <w:noProof/>
        <w:sz w:val="20"/>
      </w:rPr>
      <w:t>Carbon content factors</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F70131">
      <w:rPr>
        <w:b/>
        <w:noProof/>
        <w:sz w:val="20"/>
      </w:rPr>
      <w:t>Schedule 3</w:t>
    </w:r>
    <w:r w:rsidRPr="000B0625">
      <w:rPr>
        <w:b/>
        <w:sz w:val="20"/>
      </w:rPr>
      <w:fldChar w:fldCharType="end"/>
    </w:r>
  </w:p>
  <w:p w14:paraId="4AA2DF12" w14:textId="77777777" w:rsidR="00497E3C" w:rsidRPr="000B0625" w:rsidRDefault="00497E3C">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00F70131">
      <w:rPr>
        <w:sz w:val="20"/>
      </w:rPr>
      <w:fldChar w:fldCharType="separate"/>
    </w:r>
    <w:r w:rsidR="00F70131">
      <w:rPr>
        <w:noProof/>
        <w:sz w:val="20"/>
      </w:rPr>
      <w:t>Carbonates</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00F70131">
      <w:rPr>
        <w:b/>
        <w:sz w:val="20"/>
      </w:rPr>
      <w:fldChar w:fldCharType="separate"/>
    </w:r>
    <w:r w:rsidR="00F70131">
      <w:rPr>
        <w:b/>
        <w:noProof/>
        <w:sz w:val="20"/>
      </w:rPr>
      <w:t>Part 5</w:t>
    </w:r>
    <w:r w:rsidRPr="000B0625">
      <w:rPr>
        <w:b/>
        <w:sz w:val="20"/>
      </w:rPr>
      <w:fldChar w:fldCharType="end"/>
    </w:r>
  </w:p>
  <w:p w14:paraId="655483D6" w14:textId="77777777" w:rsidR="00497E3C" w:rsidRPr="000B0625" w:rsidRDefault="00497E3C">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F2F2" w14:textId="77777777" w:rsidR="00497E3C" w:rsidRDefault="00497E3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C72F" w14:textId="77777777" w:rsidR="00497E3C" w:rsidRPr="00C4473E" w:rsidRDefault="00497E3C" w:rsidP="00D4338A">
    <w:pPr>
      <w:rPr>
        <w:sz w:val="26"/>
        <w:szCs w:val="26"/>
      </w:rPr>
    </w:pPr>
  </w:p>
  <w:p w14:paraId="5A220368" w14:textId="77777777" w:rsidR="00497E3C" w:rsidRPr="00965EE7" w:rsidRDefault="00497E3C" w:rsidP="00D4338A">
    <w:pPr>
      <w:rPr>
        <w:b/>
        <w:sz w:val="20"/>
      </w:rPr>
    </w:pPr>
    <w:r w:rsidRPr="00965EE7">
      <w:rPr>
        <w:b/>
        <w:sz w:val="20"/>
      </w:rPr>
      <w:t>Endnotes</w:t>
    </w:r>
  </w:p>
  <w:p w14:paraId="65E9827F" w14:textId="77777777" w:rsidR="00497E3C" w:rsidRPr="007A1328" w:rsidRDefault="00497E3C" w:rsidP="00D4338A">
    <w:pPr>
      <w:rPr>
        <w:sz w:val="20"/>
      </w:rPr>
    </w:pPr>
  </w:p>
  <w:p w14:paraId="4A403A8C" w14:textId="77777777" w:rsidR="00497E3C" w:rsidRPr="007A1328" w:rsidRDefault="00497E3C" w:rsidP="00D4338A">
    <w:pPr>
      <w:rPr>
        <w:b/>
        <w:sz w:val="24"/>
      </w:rPr>
    </w:pPr>
  </w:p>
  <w:p w14:paraId="1D12E2BB" w14:textId="77777777" w:rsidR="00497E3C" w:rsidRPr="00C4473E" w:rsidRDefault="00497E3C" w:rsidP="00D4338A">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70131">
      <w:rPr>
        <w:noProof/>
        <w:szCs w:val="22"/>
      </w:rPr>
      <w:t>Endnote 4—Amendment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A36" w14:textId="77777777" w:rsidR="00497E3C" w:rsidRPr="00C4473E" w:rsidRDefault="00497E3C" w:rsidP="00D4338A">
    <w:pPr>
      <w:jc w:val="right"/>
      <w:rPr>
        <w:sz w:val="26"/>
        <w:szCs w:val="26"/>
      </w:rPr>
    </w:pPr>
  </w:p>
  <w:p w14:paraId="0683FA5A" w14:textId="77777777" w:rsidR="00497E3C" w:rsidRPr="00965EE7" w:rsidRDefault="00497E3C" w:rsidP="00D4338A">
    <w:pPr>
      <w:jc w:val="right"/>
      <w:rPr>
        <w:b/>
        <w:sz w:val="20"/>
      </w:rPr>
    </w:pPr>
    <w:r w:rsidRPr="00965EE7">
      <w:rPr>
        <w:b/>
        <w:sz w:val="20"/>
      </w:rPr>
      <w:t>Endnotes</w:t>
    </w:r>
  </w:p>
  <w:p w14:paraId="10281548" w14:textId="77777777" w:rsidR="00497E3C" w:rsidRPr="007A1328" w:rsidRDefault="00497E3C" w:rsidP="00D4338A">
    <w:pPr>
      <w:jc w:val="right"/>
      <w:rPr>
        <w:sz w:val="20"/>
      </w:rPr>
    </w:pPr>
  </w:p>
  <w:p w14:paraId="6CC522AD" w14:textId="77777777" w:rsidR="00497E3C" w:rsidRPr="007A1328" w:rsidRDefault="00497E3C" w:rsidP="00D4338A">
    <w:pPr>
      <w:jc w:val="right"/>
      <w:rPr>
        <w:b/>
        <w:sz w:val="24"/>
      </w:rPr>
    </w:pPr>
  </w:p>
  <w:p w14:paraId="61D0378A" w14:textId="77777777" w:rsidR="00497E3C" w:rsidRPr="00C4473E" w:rsidRDefault="00497E3C" w:rsidP="00D4338A">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70131">
      <w:rPr>
        <w:noProof/>
        <w:szCs w:val="22"/>
      </w:rPr>
      <w:t>Endnote 4—Amendment history</w:t>
    </w:r>
    <w:r w:rsidRPr="00C4473E">
      <w:rPr>
        <w:szCs w:val="22"/>
      </w:rPr>
      <w:fldChar w:fldCharType="end"/>
    </w:r>
  </w:p>
  <w:p w14:paraId="0BEF8A2B" w14:textId="77777777" w:rsidR="00497E3C" w:rsidRDefault="00497E3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33D2" w14:textId="77777777" w:rsidR="00497E3C" w:rsidRDefault="00497E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B07B" w14:textId="77777777" w:rsidR="00497E3C" w:rsidRDefault="00497E3C" w:rsidP="001948E5">
    <w:pPr>
      <w:pStyle w:val="Header"/>
      <w:pBdr>
        <w:bottom w:val="single" w:sz="4" w:space="1" w:color="auto"/>
      </w:pBdr>
    </w:pPr>
  </w:p>
  <w:p w14:paraId="77D933F3" w14:textId="77777777" w:rsidR="00497E3C" w:rsidRDefault="00497E3C" w:rsidP="001948E5">
    <w:pPr>
      <w:pStyle w:val="Header"/>
      <w:pBdr>
        <w:bottom w:val="single" w:sz="4" w:space="1" w:color="auto"/>
      </w:pBdr>
    </w:pPr>
  </w:p>
  <w:p w14:paraId="62AAE63D" w14:textId="77777777" w:rsidR="00497E3C" w:rsidRPr="001E77D2" w:rsidRDefault="00497E3C" w:rsidP="001948E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A2E3" w14:textId="77777777" w:rsidR="00497E3C" w:rsidRPr="005F1388" w:rsidRDefault="00497E3C" w:rsidP="001948E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7CFF" w14:textId="77777777" w:rsidR="00497E3C" w:rsidRPr="00ED79B6" w:rsidRDefault="00497E3C" w:rsidP="00DF7285">
    <w:pPr>
      <w:pBdr>
        <w:bottom w:val="single" w:sz="12" w:space="1" w:color="auto"/>
      </w:pBdr>
      <w:spacing w:before="1000" w:line="240" w:lineRule="auto"/>
      <w:jc w:val="right"/>
    </w:pPr>
  </w:p>
  <w:p w14:paraId="34FA0B78" w14:textId="77777777" w:rsidR="00497E3C" w:rsidRPr="003420B5" w:rsidRDefault="00497E3C" w:rsidP="00DF728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157B" w14:textId="77777777" w:rsidR="00497E3C" w:rsidRPr="00ED79B6" w:rsidRDefault="00497E3C" w:rsidP="008D341D">
    <w:pPr>
      <w:pBdr>
        <w:bottom w:val="single" w:sz="6" w:space="1" w:color="auto"/>
      </w:pBdr>
      <w:spacing w:before="1000" w:line="240" w:lineRule="auto"/>
    </w:pPr>
  </w:p>
  <w:p w14:paraId="0931FC1C" w14:textId="77777777" w:rsidR="00497E3C" w:rsidRPr="003420B5" w:rsidRDefault="00497E3C" w:rsidP="00DF72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60D5A" w14:textId="77777777" w:rsidR="00497E3C" w:rsidRPr="00ED79B6" w:rsidRDefault="00497E3C" w:rsidP="004D110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AE70" w14:textId="77777777" w:rsidR="00497E3C" w:rsidRDefault="00497E3C" w:rsidP="00D4338A">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F70131">
      <w:rPr>
        <w:b/>
        <w:noProof/>
        <w:sz w:val="20"/>
      </w:rPr>
      <w:t>Chapter 8</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70131">
      <w:rPr>
        <w:noProof/>
        <w:sz w:val="20"/>
      </w:rPr>
      <w:t>Assessment of uncertainty</w:t>
    </w:r>
    <w:r>
      <w:rPr>
        <w:sz w:val="20"/>
      </w:rPr>
      <w:fldChar w:fldCharType="end"/>
    </w:r>
  </w:p>
  <w:p w14:paraId="03B2DB14" w14:textId="77777777" w:rsidR="00497E3C" w:rsidRDefault="00497E3C" w:rsidP="00D4338A">
    <w:pPr>
      <w:rPr>
        <w:sz w:val="20"/>
      </w:rPr>
    </w:pPr>
    <w:r w:rsidRPr="007A1328">
      <w:rPr>
        <w:b/>
        <w:sz w:val="20"/>
      </w:rPr>
      <w:fldChar w:fldCharType="begin"/>
    </w:r>
    <w:r w:rsidRPr="007A1328">
      <w:rPr>
        <w:b/>
        <w:sz w:val="20"/>
      </w:rPr>
      <w:instrText xml:space="preserve"> STYLEREF CharPartNo </w:instrText>
    </w:r>
    <w:r w:rsidR="00F70131">
      <w:rPr>
        <w:b/>
        <w:sz w:val="20"/>
      </w:rPr>
      <w:fldChar w:fldCharType="separate"/>
    </w:r>
    <w:r w:rsidR="00F70131">
      <w:rPr>
        <w:b/>
        <w:noProof/>
        <w:sz w:val="20"/>
      </w:rPr>
      <w:t>Part 8.4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70131">
      <w:rPr>
        <w:sz w:val="20"/>
      </w:rPr>
      <w:fldChar w:fldCharType="separate"/>
    </w:r>
    <w:r w:rsidR="00F70131">
      <w:rPr>
        <w:noProof/>
        <w:sz w:val="20"/>
      </w:rPr>
      <w:t>How to assess uncertainty levels when using method 2, 3 or 4</w:t>
    </w:r>
    <w:r>
      <w:rPr>
        <w:sz w:val="20"/>
      </w:rPr>
      <w:fldChar w:fldCharType="end"/>
    </w:r>
  </w:p>
  <w:p w14:paraId="7F8B4050" w14:textId="77777777" w:rsidR="00497E3C" w:rsidRPr="007A1328" w:rsidRDefault="00497E3C" w:rsidP="00D4338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C2F4A28" w14:textId="77777777" w:rsidR="00497E3C" w:rsidRPr="007A1328" w:rsidRDefault="00497E3C" w:rsidP="00D4338A">
    <w:pPr>
      <w:rPr>
        <w:b/>
        <w:sz w:val="24"/>
      </w:rPr>
    </w:pPr>
  </w:p>
  <w:p w14:paraId="5D3C9534" w14:textId="77777777" w:rsidR="00497E3C" w:rsidRPr="007A1328" w:rsidRDefault="00497E3C" w:rsidP="00D433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0131">
      <w:rPr>
        <w:noProof/>
        <w:sz w:val="24"/>
      </w:rPr>
      <w:t>8.14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DAB2" w14:textId="77777777" w:rsidR="00497E3C" w:rsidRPr="007A1328" w:rsidRDefault="00497E3C" w:rsidP="00D4338A">
    <w:pPr>
      <w:jc w:val="right"/>
      <w:rPr>
        <w:sz w:val="20"/>
      </w:rPr>
    </w:pPr>
    <w:r w:rsidRPr="007A1328">
      <w:rPr>
        <w:sz w:val="20"/>
      </w:rPr>
      <w:fldChar w:fldCharType="begin"/>
    </w:r>
    <w:r w:rsidRPr="007A1328">
      <w:rPr>
        <w:sz w:val="20"/>
      </w:rPr>
      <w:instrText xml:space="preserve"> STYLEREF CharChapText </w:instrText>
    </w:r>
    <w:r w:rsidR="00F70131">
      <w:rPr>
        <w:sz w:val="20"/>
      </w:rPr>
      <w:fldChar w:fldCharType="separate"/>
    </w:r>
    <w:r w:rsidR="00F70131">
      <w:rPr>
        <w:noProof/>
        <w:sz w:val="20"/>
      </w:rPr>
      <w:t>Assessment of uncertainty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F70131">
      <w:rPr>
        <w:b/>
        <w:sz w:val="20"/>
      </w:rPr>
      <w:fldChar w:fldCharType="separate"/>
    </w:r>
    <w:r w:rsidR="00F70131">
      <w:rPr>
        <w:b/>
        <w:noProof/>
        <w:sz w:val="20"/>
      </w:rPr>
      <w:t>Chapter 8</w:t>
    </w:r>
    <w:r>
      <w:rPr>
        <w:b/>
        <w:sz w:val="20"/>
      </w:rPr>
      <w:fldChar w:fldCharType="end"/>
    </w:r>
  </w:p>
  <w:p w14:paraId="4668B2F5" w14:textId="77777777" w:rsidR="00497E3C" w:rsidRPr="007A1328" w:rsidRDefault="00497E3C" w:rsidP="00D4338A">
    <w:pPr>
      <w:jc w:val="right"/>
      <w:rPr>
        <w:sz w:val="20"/>
      </w:rPr>
    </w:pPr>
    <w:r w:rsidRPr="007A1328">
      <w:rPr>
        <w:sz w:val="20"/>
      </w:rPr>
      <w:fldChar w:fldCharType="begin"/>
    </w:r>
    <w:r w:rsidRPr="007A1328">
      <w:rPr>
        <w:sz w:val="20"/>
      </w:rPr>
      <w:instrText xml:space="preserve"> STYLEREF CharPartText </w:instrText>
    </w:r>
    <w:r w:rsidR="00F70131">
      <w:rPr>
        <w:sz w:val="20"/>
      </w:rPr>
      <w:fldChar w:fldCharType="separate"/>
    </w:r>
    <w:r w:rsidR="00F70131">
      <w:rPr>
        <w:noProof/>
        <w:sz w:val="20"/>
      </w:rPr>
      <w:t>How to assess uncertainty when using method 1</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70131">
      <w:rPr>
        <w:b/>
        <w:sz w:val="20"/>
      </w:rPr>
      <w:fldChar w:fldCharType="separate"/>
    </w:r>
    <w:r w:rsidR="00F70131">
      <w:rPr>
        <w:b/>
        <w:noProof/>
        <w:sz w:val="20"/>
      </w:rPr>
      <w:t>Part 8.3</w:t>
    </w:r>
    <w:r>
      <w:rPr>
        <w:b/>
        <w:sz w:val="20"/>
      </w:rPr>
      <w:fldChar w:fldCharType="end"/>
    </w:r>
  </w:p>
  <w:p w14:paraId="39A6481B" w14:textId="77777777" w:rsidR="00497E3C" w:rsidRPr="007A1328" w:rsidRDefault="00497E3C" w:rsidP="00D4338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B290B40" w14:textId="77777777" w:rsidR="00497E3C" w:rsidRPr="007A1328" w:rsidRDefault="00497E3C" w:rsidP="00D4338A">
    <w:pPr>
      <w:jc w:val="right"/>
      <w:rPr>
        <w:b/>
        <w:sz w:val="24"/>
      </w:rPr>
    </w:pPr>
  </w:p>
  <w:p w14:paraId="30A16F1E" w14:textId="77777777" w:rsidR="00497E3C" w:rsidRPr="007A1328" w:rsidRDefault="00497E3C" w:rsidP="00D433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0131">
      <w:rPr>
        <w:noProof/>
        <w:sz w:val="24"/>
      </w:rPr>
      <w:t>8.11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A3B0" w14:textId="77777777" w:rsidR="00497E3C" w:rsidRPr="007A1328" w:rsidRDefault="00497E3C" w:rsidP="00D43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2E36FE"/>
    <w:multiLevelType w:val="multilevel"/>
    <w:tmpl w:val="C9F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166928"/>
    <w:multiLevelType w:val="hybridMultilevel"/>
    <w:tmpl w:val="EBFCD1A8"/>
    <w:lvl w:ilvl="0" w:tplc="0C8EF44E">
      <w:start w:val="1"/>
      <w:numFmt w:val="lowerLetter"/>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5" w15:restartNumberingAfterBreak="0">
    <w:nsid w:val="13F25C16"/>
    <w:multiLevelType w:val="hybridMultilevel"/>
    <w:tmpl w:val="134471E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15016A82"/>
    <w:multiLevelType w:val="hybridMultilevel"/>
    <w:tmpl w:val="9348D11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17955449"/>
    <w:multiLevelType w:val="hybridMultilevel"/>
    <w:tmpl w:val="5BF659AE"/>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8" w15:restartNumberingAfterBreak="0">
    <w:nsid w:val="18327664"/>
    <w:multiLevelType w:val="multilevel"/>
    <w:tmpl w:val="E0C2274A"/>
    <w:name w:val="AGSCorp"/>
    <w:lvl w:ilvl="0">
      <w:start w:val="1"/>
      <w:numFmt w:val="decimal"/>
      <w:lvlText w:val="%1."/>
      <w:lvlJc w:val="left"/>
      <w:pPr>
        <w:tabs>
          <w:tab w:val="num" w:pos="709"/>
        </w:tabs>
        <w:ind w:left="709" w:hanging="709"/>
      </w:pPr>
      <w:rPr>
        <w:b w:val="0"/>
        <w:i w:val="0"/>
        <w:sz w:val="20"/>
      </w:rPr>
    </w:lvl>
    <w:lvl w:ilvl="1">
      <w:start w:val="1"/>
      <w:numFmt w:val="decimal"/>
      <w:lvlText w:val="%1.%2."/>
      <w:lvlJc w:val="left"/>
      <w:pPr>
        <w:tabs>
          <w:tab w:val="num" w:pos="1429"/>
        </w:tabs>
        <w:ind w:left="1429" w:hanging="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lowerRoman"/>
      <w:lvlText w:val="%7."/>
      <w:lvlJc w:val="right"/>
      <w:pPr>
        <w:tabs>
          <w:tab w:val="num" w:pos="1636"/>
        </w:tabs>
        <w:ind w:left="1636" w:hanging="360"/>
      </w:pPr>
      <w:rPr>
        <w:b w:val="0"/>
        <w:i w:val="0"/>
        <w:sz w:val="20"/>
      </w:rPr>
    </w:lvl>
    <w:lvl w:ilvl="7">
      <w:start w:val="1"/>
      <w:numFmt w:val="lowerRoman"/>
      <w:lvlText w:val="%8."/>
      <w:lvlJc w:val="right"/>
      <w:pPr>
        <w:tabs>
          <w:tab w:val="num" w:pos="2061"/>
        </w:tabs>
        <w:ind w:left="2061" w:hanging="360"/>
      </w:pPr>
      <w:rPr>
        <w:b w:val="0"/>
        <w:i w:val="0"/>
        <w:sz w:val="20"/>
      </w:rPr>
    </w:lvl>
    <w:lvl w:ilvl="8">
      <w:start w:val="1"/>
      <w:numFmt w:val="lowerLetter"/>
      <w:lvlText w:val="(%9)"/>
      <w:lvlJc w:val="left"/>
      <w:pPr>
        <w:tabs>
          <w:tab w:val="num" w:pos="2551"/>
        </w:tabs>
        <w:ind w:left="2551" w:hanging="425"/>
      </w:pPr>
      <w:rPr>
        <w:rFonts w:ascii="Arial" w:eastAsia="Times New Roman" w:hAnsi="Arial" w:cs="Times New Roman"/>
        <w:b w:val="0"/>
        <w:i w:val="0"/>
      </w:rPr>
    </w:lvl>
  </w:abstractNum>
  <w:abstractNum w:abstractNumId="19" w15:restartNumberingAfterBreak="0">
    <w:nsid w:val="1BB93F5C"/>
    <w:multiLevelType w:val="hybridMultilevel"/>
    <w:tmpl w:val="C23892F4"/>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20" w15:restartNumberingAfterBreak="0">
    <w:nsid w:val="1D853D6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D975289"/>
    <w:multiLevelType w:val="hybridMultilevel"/>
    <w:tmpl w:val="04C6965E"/>
    <w:lvl w:ilvl="0" w:tplc="137A707A">
      <w:start w:val="1"/>
      <w:numFmt w:val="lowerLetter"/>
      <w:lvlText w:val="(%1)"/>
      <w:lvlJc w:val="left"/>
      <w:pPr>
        <w:tabs>
          <w:tab w:val="num" w:pos="1444"/>
        </w:tabs>
        <w:ind w:left="1444" w:hanging="480"/>
      </w:pPr>
      <w:rPr>
        <w:b/>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22" w15:restartNumberingAfterBreak="0">
    <w:nsid w:val="1EAE3941"/>
    <w:multiLevelType w:val="hybridMultilevel"/>
    <w:tmpl w:val="63147EB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5B1B49"/>
    <w:multiLevelType w:val="multilevel"/>
    <w:tmpl w:val="55B093F8"/>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5" w15:restartNumberingAfterBreak="0">
    <w:nsid w:val="2A565CB8"/>
    <w:multiLevelType w:val="hybridMultilevel"/>
    <w:tmpl w:val="8D7EBC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2AD84B51"/>
    <w:multiLevelType w:val="hybridMultilevel"/>
    <w:tmpl w:val="FAA072C8"/>
    <w:lvl w:ilvl="0" w:tplc="BA60804A">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39220639"/>
    <w:multiLevelType w:val="hybridMultilevel"/>
    <w:tmpl w:val="57E41DA0"/>
    <w:lvl w:ilvl="0" w:tplc="F53C8BD8">
      <w:start w:val="1"/>
      <w:numFmt w:val="lowerLetter"/>
      <w:lvlText w:val="(%1)"/>
      <w:lvlJc w:val="left"/>
      <w:pPr>
        <w:tabs>
          <w:tab w:val="num" w:pos="1425"/>
        </w:tabs>
        <w:ind w:left="1425" w:hanging="49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8" w15:restartNumberingAfterBreak="0">
    <w:nsid w:val="39483B92"/>
    <w:multiLevelType w:val="hybridMultilevel"/>
    <w:tmpl w:val="C3449F30"/>
    <w:lvl w:ilvl="0" w:tplc="5B7AB244">
      <w:start w:val="1"/>
      <w:numFmt w:val="lowerLetter"/>
      <w:lvlText w:val="(%1)"/>
      <w:lvlJc w:val="left"/>
      <w:pPr>
        <w:tabs>
          <w:tab w:val="num" w:pos="1444"/>
        </w:tabs>
        <w:ind w:left="1444" w:hanging="480"/>
      </w:pPr>
      <w:rPr>
        <w:rFonts w:ascii="Times New Roman" w:eastAsia="Times New Roman" w:hAnsi="Times New Roman" w:cs="Times New Roman"/>
        <w:b/>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29" w15:restartNumberingAfterBreak="0">
    <w:nsid w:val="39B807B0"/>
    <w:multiLevelType w:val="hybridMultilevel"/>
    <w:tmpl w:val="3FF03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E5921C0"/>
    <w:multiLevelType w:val="hybridMultilevel"/>
    <w:tmpl w:val="F61E9F92"/>
    <w:lvl w:ilvl="0" w:tplc="FFFFFFFF">
      <w:start w:val="1"/>
      <w:numFmt w:val="bullet"/>
      <w:lvlText w:val=""/>
      <w:legacy w:legacy="1" w:legacySpace="0" w:legacyIndent="360"/>
      <w:lvlJc w:val="left"/>
      <w:pPr>
        <w:ind w:left="67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5C2D30"/>
    <w:multiLevelType w:val="multilevel"/>
    <w:tmpl w:val="751E8FA6"/>
    <w:lvl w:ilvl="0">
      <w:start w:val="1"/>
      <w:numFmt w:val="bullet"/>
      <w:lvlText w:val=""/>
      <w:lvlJc w:val="left"/>
      <w:pPr>
        <w:tabs>
          <w:tab w:val="num" w:pos="2160"/>
        </w:tabs>
        <w:ind w:left="2160" w:hanging="360"/>
      </w:pPr>
      <w:rPr>
        <w:rFonts w:ascii="Symbol" w:hAnsi="Symbol" w:hint="default"/>
        <w:b w:val="0"/>
        <w:i w:val="0"/>
        <w:sz w:val="20"/>
      </w:rPr>
    </w:lvl>
    <w:lvl w:ilvl="1">
      <w:start w:val="1"/>
      <w:numFmt w:val="decimal"/>
      <w:lvlText w:val="%1.%2."/>
      <w:lvlJc w:val="left"/>
      <w:pPr>
        <w:tabs>
          <w:tab w:val="num" w:pos="3229"/>
        </w:tabs>
        <w:ind w:left="3229" w:hanging="709"/>
      </w:pPr>
      <w:rPr>
        <w:b w:val="0"/>
        <w:sz w:val="20"/>
      </w:rPr>
    </w:lvl>
    <w:lvl w:ilvl="2">
      <w:start w:val="1"/>
      <w:numFmt w:val="decimal"/>
      <w:lvlText w:val="%1.%2.%3."/>
      <w:lvlJc w:val="left"/>
      <w:pPr>
        <w:tabs>
          <w:tab w:val="num" w:pos="2509"/>
        </w:tabs>
        <w:ind w:left="2509" w:hanging="709"/>
      </w:pPr>
      <w:rPr>
        <w:sz w:val="20"/>
      </w:rPr>
    </w:lvl>
    <w:lvl w:ilvl="3">
      <w:start w:val="1"/>
      <w:numFmt w:val="lowerLetter"/>
      <w:lvlText w:val="%4."/>
      <w:lvlJc w:val="left"/>
      <w:pPr>
        <w:tabs>
          <w:tab w:val="num" w:pos="2225"/>
        </w:tabs>
        <w:ind w:left="2225" w:hanging="425"/>
      </w:pPr>
    </w:lvl>
    <w:lvl w:ilvl="4">
      <w:start w:val="1"/>
      <w:numFmt w:val="bullet"/>
      <w:lvlText w:val="–"/>
      <w:lvlJc w:val="left"/>
      <w:pPr>
        <w:tabs>
          <w:tab w:val="num" w:pos="2650"/>
        </w:tabs>
        <w:ind w:left="2650" w:hanging="425"/>
      </w:pPr>
      <w:rPr>
        <w:b w:val="0"/>
        <w:i w:val="0"/>
      </w:rPr>
    </w:lvl>
    <w:lvl w:ilvl="5">
      <w:start w:val="1"/>
      <w:numFmt w:val="bullet"/>
      <w:lvlText w:val="–"/>
      <w:lvlJc w:val="left"/>
      <w:pPr>
        <w:tabs>
          <w:tab w:val="num" w:pos="3076"/>
        </w:tabs>
        <w:ind w:left="3076" w:hanging="426"/>
      </w:pPr>
      <w:rPr>
        <w:b w:val="0"/>
        <w:i w:val="0"/>
      </w:rPr>
    </w:lvl>
    <w:lvl w:ilvl="6">
      <w:start w:val="1"/>
      <w:numFmt w:val="lowerRoman"/>
      <w:lvlText w:val="%7."/>
      <w:lvlJc w:val="right"/>
      <w:pPr>
        <w:tabs>
          <w:tab w:val="num" w:pos="3436"/>
        </w:tabs>
        <w:ind w:left="3436" w:hanging="360"/>
      </w:pPr>
      <w:rPr>
        <w:b w:val="0"/>
        <w:i w:val="0"/>
        <w:sz w:val="20"/>
      </w:rPr>
    </w:lvl>
    <w:lvl w:ilvl="7">
      <w:start w:val="1"/>
      <w:numFmt w:val="lowerRoman"/>
      <w:lvlText w:val="%8."/>
      <w:lvlJc w:val="right"/>
      <w:pPr>
        <w:tabs>
          <w:tab w:val="num" w:pos="3861"/>
        </w:tabs>
        <w:ind w:left="3861" w:hanging="360"/>
      </w:pPr>
      <w:rPr>
        <w:b w:val="0"/>
        <w:i w:val="0"/>
        <w:sz w:val="20"/>
      </w:rPr>
    </w:lvl>
    <w:lvl w:ilvl="8">
      <w:start w:val="1"/>
      <w:numFmt w:val="lowerLetter"/>
      <w:lvlText w:val="(%9)"/>
      <w:lvlJc w:val="left"/>
      <w:pPr>
        <w:tabs>
          <w:tab w:val="num" w:pos="4351"/>
        </w:tabs>
        <w:ind w:left="4351" w:hanging="425"/>
      </w:pPr>
      <w:rPr>
        <w:rFonts w:ascii="Arial" w:eastAsia="Times New Roman" w:hAnsi="Arial" w:cs="Times New Roman"/>
        <w:b w:val="0"/>
        <w:i w:val="0"/>
      </w:rPr>
    </w:lvl>
  </w:abstractNum>
  <w:abstractNum w:abstractNumId="34" w15:restartNumberingAfterBreak="0">
    <w:nsid w:val="4A4454E7"/>
    <w:multiLevelType w:val="hybridMultilevel"/>
    <w:tmpl w:val="D188EB7A"/>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B50865"/>
    <w:multiLevelType w:val="hybridMultilevel"/>
    <w:tmpl w:val="7D660F1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57470B17"/>
    <w:multiLevelType w:val="multilevel"/>
    <w:tmpl w:val="2B0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E5370A9"/>
    <w:multiLevelType w:val="hybridMultilevel"/>
    <w:tmpl w:val="94EA5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620BFC"/>
    <w:multiLevelType w:val="hybridMultilevel"/>
    <w:tmpl w:val="0CE2A8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7C77E2B"/>
    <w:multiLevelType w:val="hybridMultilevel"/>
    <w:tmpl w:val="B0A06928"/>
    <w:lvl w:ilvl="0" w:tplc="7930AA10">
      <w:start w:val="1"/>
      <w:numFmt w:val="decimal"/>
      <w:lvlText w:val="(%1)"/>
      <w:lvlJc w:val="left"/>
      <w:pPr>
        <w:tabs>
          <w:tab w:val="num" w:pos="960"/>
        </w:tabs>
        <w:ind w:left="960" w:hanging="45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2" w15:restartNumberingAfterBreak="0">
    <w:nsid w:val="6AF50DD1"/>
    <w:multiLevelType w:val="hybridMultilevel"/>
    <w:tmpl w:val="5BDA43C4"/>
    <w:lvl w:ilvl="0" w:tplc="00010409">
      <w:start w:val="1"/>
      <w:numFmt w:val="bullet"/>
      <w:lvlText w:val=""/>
      <w:lvlJc w:val="left"/>
      <w:pPr>
        <w:tabs>
          <w:tab w:val="num" w:pos="1324"/>
        </w:tabs>
        <w:ind w:left="1324" w:hanging="360"/>
      </w:pPr>
      <w:rPr>
        <w:rFonts w:ascii="Symbol" w:hAnsi="Symbol" w:hint="default"/>
      </w:rPr>
    </w:lvl>
    <w:lvl w:ilvl="1" w:tplc="00030409" w:tentative="1">
      <w:start w:val="1"/>
      <w:numFmt w:val="bullet"/>
      <w:lvlText w:val="o"/>
      <w:lvlJc w:val="left"/>
      <w:pPr>
        <w:tabs>
          <w:tab w:val="num" w:pos="2044"/>
        </w:tabs>
        <w:ind w:left="2044" w:hanging="360"/>
      </w:pPr>
      <w:rPr>
        <w:rFonts w:ascii="Courier New" w:hAnsi="Courier New" w:hint="default"/>
      </w:rPr>
    </w:lvl>
    <w:lvl w:ilvl="2" w:tplc="00050409" w:tentative="1">
      <w:start w:val="1"/>
      <w:numFmt w:val="bullet"/>
      <w:lvlText w:val=""/>
      <w:lvlJc w:val="left"/>
      <w:pPr>
        <w:tabs>
          <w:tab w:val="num" w:pos="2764"/>
        </w:tabs>
        <w:ind w:left="2764" w:hanging="360"/>
      </w:pPr>
      <w:rPr>
        <w:rFonts w:ascii="Wingdings" w:hAnsi="Wingdings" w:hint="default"/>
      </w:rPr>
    </w:lvl>
    <w:lvl w:ilvl="3" w:tplc="00010409" w:tentative="1">
      <w:start w:val="1"/>
      <w:numFmt w:val="bullet"/>
      <w:lvlText w:val=""/>
      <w:lvlJc w:val="left"/>
      <w:pPr>
        <w:tabs>
          <w:tab w:val="num" w:pos="3484"/>
        </w:tabs>
        <w:ind w:left="3484" w:hanging="360"/>
      </w:pPr>
      <w:rPr>
        <w:rFonts w:ascii="Symbol" w:hAnsi="Symbol" w:hint="default"/>
      </w:rPr>
    </w:lvl>
    <w:lvl w:ilvl="4" w:tplc="00030409" w:tentative="1">
      <w:start w:val="1"/>
      <w:numFmt w:val="bullet"/>
      <w:lvlText w:val="o"/>
      <w:lvlJc w:val="left"/>
      <w:pPr>
        <w:tabs>
          <w:tab w:val="num" w:pos="4204"/>
        </w:tabs>
        <w:ind w:left="4204" w:hanging="360"/>
      </w:pPr>
      <w:rPr>
        <w:rFonts w:ascii="Courier New" w:hAnsi="Courier New" w:hint="default"/>
      </w:rPr>
    </w:lvl>
    <w:lvl w:ilvl="5" w:tplc="00050409" w:tentative="1">
      <w:start w:val="1"/>
      <w:numFmt w:val="bullet"/>
      <w:lvlText w:val=""/>
      <w:lvlJc w:val="left"/>
      <w:pPr>
        <w:tabs>
          <w:tab w:val="num" w:pos="4924"/>
        </w:tabs>
        <w:ind w:left="4924" w:hanging="360"/>
      </w:pPr>
      <w:rPr>
        <w:rFonts w:ascii="Wingdings" w:hAnsi="Wingdings" w:hint="default"/>
      </w:rPr>
    </w:lvl>
    <w:lvl w:ilvl="6" w:tplc="00010409" w:tentative="1">
      <w:start w:val="1"/>
      <w:numFmt w:val="bullet"/>
      <w:lvlText w:val=""/>
      <w:lvlJc w:val="left"/>
      <w:pPr>
        <w:tabs>
          <w:tab w:val="num" w:pos="5644"/>
        </w:tabs>
        <w:ind w:left="5644" w:hanging="360"/>
      </w:pPr>
      <w:rPr>
        <w:rFonts w:ascii="Symbol" w:hAnsi="Symbol" w:hint="default"/>
      </w:rPr>
    </w:lvl>
    <w:lvl w:ilvl="7" w:tplc="00030409" w:tentative="1">
      <w:start w:val="1"/>
      <w:numFmt w:val="bullet"/>
      <w:lvlText w:val="o"/>
      <w:lvlJc w:val="left"/>
      <w:pPr>
        <w:tabs>
          <w:tab w:val="num" w:pos="6364"/>
        </w:tabs>
        <w:ind w:left="6364" w:hanging="360"/>
      </w:pPr>
      <w:rPr>
        <w:rFonts w:ascii="Courier New" w:hAnsi="Courier New" w:hint="default"/>
      </w:rPr>
    </w:lvl>
    <w:lvl w:ilvl="8" w:tplc="00050409" w:tentative="1">
      <w:start w:val="1"/>
      <w:numFmt w:val="bullet"/>
      <w:lvlText w:val=""/>
      <w:lvlJc w:val="left"/>
      <w:pPr>
        <w:tabs>
          <w:tab w:val="num" w:pos="7084"/>
        </w:tabs>
        <w:ind w:left="7084" w:hanging="360"/>
      </w:pPr>
      <w:rPr>
        <w:rFonts w:ascii="Wingdings" w:hAnsi="Wingdings" w:hint="default"/>
      </w:rPr>
    </w:lvl>
  </w:abstractNum>
  <w:abstractNum w:abstractNumId="43" w15:restartNumberingAfterBreak="0">
    <w:nsid w:val="6CDB593F"/>
    <w:multiLevelType w:val="hybridMultilevel"/>
    <w:tmpl w:val="0B74E1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75615F41"/>
    <w:multiLevelType w:val="hybridMultilevel"/>
    <w:tmpl w:val="2CFAE60A"/>
    <w:lvl w:ilvl="0" w:tplc="0C090001">
      <w:start w:val="1"/>
      <w:numFmt w:val="bullet"/>
      <w:lvlText w:val=""/>
      <w:lvlJc w:val="left"/>
      <w:pPr>
        <w:tabs>
          <w:tab w:val="num" w:pos="1324"/>
        </w:tabs>
        <w:ind w:left="1324" w:hanging="360"/>
      </w:pPr>
      <w:rPr>
        <w:rFonts w:ascii="Symbol" w:hAnsi="Symbol" w:hint="default"/>
      </w:rPr>
    </w:lvl>
    <w:lvl w:ilvl="1" w:tplc="0C090003" w:tentative="1">
      <w:start w:val="1"/>
      <w:numFmt w:val="bullet"/>
      <w:lvlText w:val="o"/>
      <w:lvlJc w:val="left"/>
      <w:pPr>
        <w:tabs>
          <w:tab w:val="num" w:pos="2044"/>
        </w:tabs>
        <w:ind w:left="2044" w:hanging="360"/>
      </w:pPr>
      <w:rPr>
        <w:rFonts w:ascii="Courier New" w:hAnsi="Courier New" w:cs="Courier New" w:hint="default"/>
      </w:rPr>
    </w:lvl>
    <w:lvl w:ilvl="2" w:tplc="0C090005" w:tentative="1">
      <w:start w:val="1"/>
      <w:numFmt w:val="bullet"/>
      <w:lvlText w:val=""/>
      <w:lvlJc w:val="left"/>
      <w:pPr>
        <w:tabs>
          <w:tab w:val="num" w:pos="2764"/>
        </w:tabs>
        <w:ind w:left="2764" w:hanging="360"/>
      </w:pPr>
      <w:rPr>
        <w:rFonts w:ascii="Wingdings" w:hAnsi="Wingdings" w:hint="default"/>
      </w:rPr>
    </w:lvl>
    <w:lvl w:ilvl="3" w:tplc="0C090001" w:tentative="1">
      <w:start w:val="1"/>
      <w:numFmt w:val="bullet"/>
      <w:lvlText w:val=""/>
      <w:lvlJc w:val="left"/>
      <w:pPr>
        <w:tabs>
          <w:tab w:val="num" w:pos="3484"/>
        </w:tabs>
        <w:ind w:left="3484" w:hanging="360"/>
      </w:pPr>
      <w:rPr>
        <w:rFonts w:ascii="Symbol" w:hAnsi="Symbol" w:hint="default"/>
      </w:rPr>
    </w:lvl>
    <w:lvl w:ilvl="4" w:tplc="0C090003" w:tentative="1">
      <w:start w:val="1"/>
      <w:numFmt w:val="bullet"/>
      <w:lvlText w:val="o"/>
      <w:lvlJc w:val="left"/>
      <w:pPr>
        <w:tabs>
          <w:tab w:val="num" w:pos="4204"/>
        </w:tabs>
        <w:ind w:left="4204" w:hanging="360"/>
      </w:pPr>
      <w:rPr>
        <w:rFonts w:ascii="Courier New" w:hAnsi="Courier New" w:cs="Courier New" w:hint="default"/>
      </w:rPr>
    </w:lvl>
    <w:lvl w:ilvl="5" w:tplc="0C090005" w:tentative="1">
      <w:start w:val="1"/>
      <w:numFmt w:val="bullet"/>
      <w:lvlText w:val=""/>
      <w:lvlJc w:val="left"/>
      <w:pPr>
        <w:tabs>
          <w:tab w:val="num" w:pos="4924"/>
        </w:tabs>
        <w:ind w:left="4924" w:hanging="360"/>
      </w:pPr>
      <w:rPr>
        <w:rFonts w:ascii="Wingdings" w:hAnsi="Wingdings" w:hint="default"/>
      </w:rPr>
    </w:lvl>
    <w:lvl w:ilvl="6" w:tplc="0C090001" w:tentative="1">
      <w:start w:val="1"/>
      <w:numFmt w:val="bullet"/>
      <w:lvlText w:val=""/>
      <w:lvlJc w:val="left"/>
      <w:pPr>
        <w:tabs>
          <w:tab w:val="num" w:pos="5644"/>
        </w:tabs>
        <w:ind w:left="5644" w:hanging="360"/>
      </w:pPr>
      <w:rPr>
        <w:rFonts w:ascii="Symbol" w:hAnsi="Symbol" w:hint="default"/>
      </w:rPr>
    </w:lvl>
    <w:lvl w:ilvl="7" w:tplc="0C090003" w:tentative="1">
      <w:start w:val="1"/>
      <w:numFmt w:val="bullet"/>
      <w:lvlText w:val="o"/>
      <w:lvlJc w:val="left"/>
      <w:pPr>
        <w:tabs>
          <w:tab w:val="num" w:pos="6364"/>
        </w:tabs>
        <w:ind w:left="6364" w:hanging="360"/>
      </w:pPr>
      <w:rPr>
        <w:rFonts w:ascii="Courier New" w:hAnsi="Courier New" w:cs="Courier New" w:hint="default"/>
      </w:rPr>
    </w:lvl>
    <w:lvl w:ilvl="8" w:tplc="0C090005" w:tentative="1">
      <w:start w:val="1"/>
      <w:numFmt w:val="bullet"/>
      <w:lvlText w:val=""/>
      <w:lvlJc w:val="left"/>
      <w:pPr>
        <w:tabs>
          <w:tab w:val="num" w:pos="7084"/>
        </w:tabs>
        <w:ind w:left="7084" w:hanging="360"/>
      </w:pPr>
      <w:rPr>
        <w:rFonts w:ascii="Wingdings" w:hAnsi="Wingdings" w:hint="default"/>
      </w:rPr>
    </w:lvl>
  </w:abstractNum>
  <w:abstractNum w:abstractNumId="45" w15:restartNumberingAfterBreak="0">
    <w:nsid w:val="78F0529C"/>
    <w:multiLevelType w:val="multilevel"/>
    <w:tmpl w:val="57E41DA0"/>
    <w:lvl w:ilvl="0">
      <w:start w:val="1"/>
      <w:numFmt w:val="lowerLetter"/>
      <w:lvlText w:val="(%1)"/>
      <w:lvlJc w:val="left"/>
      <w:pPr>
        <w:tabs>
          <w:tab w:val="num" w:pos="1425"/>
        </w:tabs>
        <w:ind w:left="1425" w:hanging="495"/>
      </w:pPr>
      <w:rPr>
        <w:rFonts w:hint="default"/>
      </w:r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46" w15:restartNumberingAfterBreak="0">
    <w:nsid w:val="7A531AE3"/>
    <w:multiLevelType w:val="hybridMultilevel"/>
    <w:tmpl w:val="81C6E710"/>
    <w:lvl w:ilvl="0" w:tplc="5F968074">
      <w:start w:val="2"/>
      <w:numFmt w:val="decimal"/>
      <w:lvlText w:val="(%1)"/>
      <w:lvlJc w:val="left"/>
      <w:pPr>
        <w:tabs>
          <w:tab w:val="num" w:pos="960"/>
        </w:tabs>
        <w:ind w:left="960" w:hanging="456"/>
      </w:pPr>
      <w:rPr>
        <w:rFonts w:hint="default"/>
      </w:rPr>
    </w:lvl>
    <w:lvl w:ilvl="1" w:tplc="0C090019" w:tentative="1">
      <w:start w:val="1"/>
      <w:numFmt w:val="lowerLetter"/>
      <w:lvlText w:val="%2."/>
      <w:lvlJc w:val="left"/>
      <w:pPr>
        <w:tabs>
          <w:tab w:val="num" w:pos="1584"/>
        </w:tabs>
        <w:ind w:left="1584" w:hanging="360"/>
      </w:pPr>
    </w:lvl>
    <w:lvl w:ilvl="2" w:tplc="0C09001B" w:tentative="1">
      <w:start w:val="1"/>
      <w:numFmt w:val="lowerRoman"/>
      <w:lvlText w:val="%3."/>
      <w:lvlJc w:val="right"/>
      <w:pPr>
        <w:tabs>
          <w:tab w:val="num" w:pos="2304"/>
        </w:tabs>
        <w:ind w:left="2304" w:hanging="180"/>
      </w:pPr>
    </w:lvl>
    <w:lvl w:ilvl="3" w:tplc="0C09000F" w:tentative="1">
      <w:start w:val="1"/>
      <w:numFmt w:val="decimal"/>
      <w:lvlText w:val="%4."/>
      <w:lvlJc w:val="left"/>
      <w:pPr>
        <w:tabs>
          <w:tab w:val="num" w:pos="3024"/>
        </w:tabs>
        <w:ind w:left="3024" w:hanging="360"/>
      </w:pPr>
    </w:lvl>
    <w:lvl w:ilvl="4" w:tplc="0C090019" w:tentative="1">
      <w:start w:val="1"/>
      <w:numFmt w:val="lowerLetter"/>
      <w:lvlText w:val="%5."/>
      <w:lvlJc w:val="left"/>
      <w:pPr>
        <w:tabs>
          <w:tab w:val="num" w:pos="3744"/>
        </w:tabs>
        <w:ind w:left="3744" w:hanging="360"/>
      </w:pPr>
    </w:lvl>
    <w:lvl w:ilvl="5" w:tplc="0C09001B" w:tentative="1">
      <w:start w:val="1"/>
      <w:numFmt w:val="lowerRoman"/>
      <w:lvlText w:val="%6."/>
      <w:lvlJc w:val="right"/>
      <w:pPr>
        <w:tabs>
          <w:tab w:val="num" w:pos="4464"/>
        </w:tabs>
        <w:ind w:left="4464" w:hanging="180"/>
      </w:pPr>
    </w:lvl>
    <w:lvl w:ilvl="6" w:tplc="0C09000F" w:tentative="1">
      <w:start w:val="1"/>
      <w:numFmt w:val="decimal"/>
      <w:lvlText w:val="%7."/>
      <w:lvlJc w:val="left"/>
      <w:pPr>
        <w:tabs>
          <w:tab w:val="num" w:pos="5184"/>
        </w:tabs>
        <w:ind w:left="5184" w:hanging="360"/>
      </w:pPr>
    </w:lvl>
    <w:lvl w:ilvl="7" w:tplc="0C090019" w:tentative="1">
      <w:start w:val="1"/>
      <w:numFmt w:val="lowerLetter"/>
      <w:lvlText w:val="%8."/>
      <w:lvlJc w:val="left"/>
      <w:pPr>
        <w:tabs>
          <w:tab w:val="num" w:pos="5904"/>
        </w:tabs>
        <w:ind w:left="5904" w:hanging="360"/>
      </w:pPr>
    </w:lvl>
    <w:lvl w:ilvl="8" w:tplc="0C09001B" w:tentative="1">
      <w:start w:val="1"/>
      <w:numFmt w:val="lowerRoman"/>
      <w:lvlText w:val="%9."/>
      <w:lvlJc w:val="right"/>
      <w:pPr>
        <w:tabs>
          <w:tab w:val="num" w:pos="6624"/>
        </w:tabs>
        <w:ind w:left="6624" w:hanging="180"/>
      </w:pPr>
    </w:lvl>
  </w:abstractNum>
  <w:abstractNum w:abstractNumId="47" w15:restartNumberingAfterBreak="0">
    <w:nsid w:val="7A734E9D"/>
    <w:multiLevelType w:val="hybridMultilevel"/>
    <w:tmpl w:val="974008AA"/>
    <w:lvl w:ilvl="0" w:tplc="0D0282A0">
      <w:start w:val="1"/>
      <w:numFmt w:val="lowerLetter"/>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48" w15:restartNumberingAfterBreak="0">
    <w:nsid w:val="7EFF46BC"/>
    <w:multiLevelType w:val="hybridMultilevel"/>
    <w:tmpl w:val="A2CE68CE"/>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num w:numId="1">
    <w:abstractNumId w:val="11"/>
  </w:num>
  <w:num w:numId="2">
    <w:abstractNumId w:val="23"/>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42"/>
  </w:num>
  <w:num w:numId="16">
    <w:abstractNumId w:val="18"/>
  </w:num>
  <w:num w:numId="17">
    <w:abstractNumId w:val="10"/>
    <w:lvlOverride w:ilvl="0">
      <w:lvl w:ilvl="0">
        <w:start w:val="1"/>
        <w:numFmt w:val="bullet"/>
        <w:lvlText w:val=""/>
        <w:legacy w:legacy="1" w:legacySpace="0" w:legacyIndent="360"/>
        <w:lvlJc w:val="left"/>
        <w:pPr>
          <w:ind w:left="677" w:hanging="360"/>
        </w:pPr>
        <w:rPr>
          <w:rFonts w:ascii="Symbol" w:hAnsi="Symbol" w:hint="default"/>
        </w:rPr>
      </w:lvl>
    </w:lvlOverride>
  </w:num>
  <w:num w:numId="18">
    <w:abstractNumId w:val="12"/>
  </w:num>
  <w:num w:numId="19">
    <w:abstractNumId w:val="17"/>
  </w:num>
  <w:num w:numId="20">
    <w:abstractNumId w:val="48"/>
  </w:num>
  <w:num w:numId="21">
    <w:abstractNumId w:val="24"/>
  </w:num>
  <w:num w:numId="22">
    <w:abstractNumId w:val="19"/>
  </w:num>
  <w:num w:numId="23">
    <w:abstractNumId w:val="32"/>
  </w:num>
  <w:num w:numId="24">
    <w:abstractNumId w:val="29"/>
  </w:num>
  <w:num w:numId="25">
    <w:abstractNumId w:val="36"/>
  </w:num>
  <w:num w:numId="26">
    <w:abstractNumId w:val="47"/>
  </w:num>
  <w:num w:numId="27">
    <w:abstractNumId w:val="14"/>
  </w:num>
  <w:num w:numId="28">
    <w:abstractNumId w:val="21"/>
  </w:num>
  <w:num w:numId="29">
    <w:abstractNumId w:val="28"/>
  </w:num>
  <w:num w:numId="30">
    <w:abstractNumId w:val="41"/>
  </w:num>
  <w:num w:numId="31">
    <w:abstractNumId w:val="26"/>
  </w:num>
  <w:num w:numId="32">
    <w:abstractNumId w:val="34"/>
  </w:num>
  <w:num w:numId="33">
    <w:abstractNumId w:val="33"/>
  </w:num>
  <w:num w:numId="34">
    <w:abstractNumId w:val="27"/>
  </w:num>
  <w:num w:numId="35">
    <w:abstractNumId w:val="22"/>
  </w:num>
  <w:num w:numId="36">
    <w:abstractNumId w:val="46"/>
  </w:num>
  <w:num w:numId="37">
    <w:abstractNumId w:val="44"/>
  </w:num>
  <w:num w:numId="38">
    <w:abstractNumId w:val="45"/>
  </w:num>
  <w:num w:numId="39">
    <w:abstractNumId w:val="38"/>
  </w:num>
  <w:num w:numId="40">
    <w:abstractNumId w:val="30"/>
  </w:num>
  <w:num w:numId="41">
    <w:abstractNumId w:val="13"/>
  </w:num>
  <w:num w:numId="42">
    <w:abstractNumId w:val="35"/>
  </w:num>
  <w:num w:numId="43">
    <w:abstractNumId w:val="25"/>
  </w:num>
  <w:num w:numId="44">
    <w:abstractNumId w:val="43"/>
  </w:num>
  <w:num w:numId="45">
    <w:abstractNumId w:val="15"/>
  </w:num>
  <w:num w:numId="46">
    <w:abstractNumId w:val="40"/>
  </w:num>
  <w:num w:numId="47">
    <w:abstractNumId w:val="16"/>
  </w:num>
  <w:num w:numId="48">
    <w:abstractNumId w:val="39"/>
  </w:num>
  <w:num w:numId="49">
    <w:abstractNumId w:val="3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0"/>
    <w:rsid w:val="00000682"/>
    <w:rsid w:val="00002C89"/>
    <w:rsid w:val="00002D24"/>
    <w:rsid w:val="000056EE"/>
    <w:rsid w:val="0001126E"/>
    <w:rsid w:val="00011852"/>
    <w:rsid w:val="00012461"/>
    <w:rsid w:val="000129B6"/>
    <w:rsid w:val="00012F74"/>
    <w:rsid w:val="00013E3A"/>
    <w:rsid w:val="00014323"/>
    <w:rsid w:val="00016014"/>
    <w:rsid w:val="00016BCF"/>
    <w:rsid w:val="00020026"/>
    <w:rsid w:val="00021676"/>
    <w:rsid w:val="000240B8"/>
    <w:rsid w:val="00024697"/>
    <w:rsid w:val="0002504E"/>
    <w:rsid w:val="0002724C"/>
    <w:rsid w:val="00027EB9"/>
    <w:rsid w:val="00032756"/>
    <w:rsid w:val="00033FEF"/>
    <w:rsid w:val="00034812"/>
    <w:rsid w:val="0003498B"/>
    <w:rsid w:val="000350AB"/>
    <w:rsid w:val="00040E41"/>
    <w:rsid w:val="00044B27"/>
    <w:rsid w:val="00045A83"/>
    <w:rsid w:val="00046E76"/>
    <w:rsid w:val="0005056D"/>
    <w:rsid w:val="00050E3C"/>
    <w:rsid w:val="00052E6D"/>
    <w:rsid w:val="00055093"/>
    <w:rsid w:val="0005680C"/>
    <w:rsid w:val="000607CD"/>
    <w:rsid w:val="00063F2C"/>
    <w:rsid w:val="000667BF"/>
    <w:rsid w:val="00070A26"/>
    <w:rsid w:val="00077143"/>
    <w:rsid w:val="00077C39"/>
    <w:rsid w:val="0008070F"/>
    <w:rsid w:val="00081605"/>
    <w:rsid w:val="000818BF"/>
    <w:rsid w:val="000821BA"/>
    <w:rsid w:val="0008229B"/>
    <w:rsid w:val="00083C65"/>
    <w:rsid w:val="00086213"/>
    <w:rsid w:val="00090B02"/>
    <w:rsid w:val="0009477F"/>
    <w:rsid w:val="00097A86"/>
    <w:rsid w:val="000A2EE1"/>
    <w:rsid w:val="000A435E"/>
    <w:rsid w:val="000A5803"/>
    <w:rsid w:val="000A6C83"/>
    <w:rsid w:val="000A705B"/>
    <w:rsid w:val="000A7AF2"/>
    <w:rsid w:val="000B11F9"/>
    <w:rsid w:val="000B1577"/>
    <w:rsid w:val="000B15AD"/>
    <w:rsid w:val="000B18FC"/>
    <w:rsid w:val="000B276C"/>
    <w:rsid w:val="000B52F3"/>
    <w:rsid w:val="000C0E9A"/>
    <w:rsid w:val="000C10C3"/>
    <w:rsid w:val="000C1A72"/>
    <w:rsid w:val="000C248B"/>
    <w:rsid w:val="000C4318"/>
    <w:rsid w:val="000C5CFB"/>
    <w:rsid w:val="000C688C"/>
    <w:rsid w:val="000D14EC"/>
    <w:rsid w:val="000D1AFB"/>
    <w:rsid w:val="000D3B70"/>
    <w:rsid w:val="000D3E1D"/>
    <w:rsid w:val="000D522D"/>
    <w:rsid w:val="000D7E86"/>
    <w:rsid w:val="000E12DC"/>
    <w:rsid w:val="000E16F3"/>
    <w:rsid w:val="000E1CBC"/>
    <w:rsid w:val="000E58FE"/>
    <w:rsid w:val="000E5E9F"/>
    <w:rsid w:val="000E6727"/>
    <w:rsid w:val="000E7C42"/>
    <w:rsid w:val="000E7FC9"/>
    <w:rsid w:val="000F1534"/>
    <w:rsid w:val="000F26BA"/>
    <w:rsid w:val="000F2EC0"/>
    <w:rsid w:val="000F35BE"/>
    <w:rsid w:val="000F5846"/>
    <w:rsid w:val="000F5C9B"/>
    <w:rsid w:val="001018A6"/>
    <w:rsid w:val="001022C3"/>
    <w:rsid w:val="00102651"/>
    <w:rsid w:val="00102C77"/>
    <w:rsid w:val="00103B1D"/>
    <w:rsid w:val="00106923"/>
    <w:rsid w:val="00111EA0"/>
    <w:rsid w:val="00114286"/>
    <w:rsid w:val="001145AF"/>
    <w:rsid w:val="00114AB0"/>
    <w:rsid w:val="00117051"/>
    <w:rsid w:val="00122D5C"/>
    <w:rsid w:val="001241C9"/>
    <w:rsid w:val="001269FA"/>
    <w:rsid w:val="00126FFB"/>
    <w:rsid w:val="00127D4D"/>
    <w:rsid w:val="00127E2D"/>
    <w:rsid w:val="001312CF"/>
    <w:rsid w:val="00131853"/>
    <w:rsid w:val="001328A1"/>
    <w:rsid w:val="001329E3"/>
    <w:rsid w:val="00133D00"/>
    <w:rsid w:val="001345E0"/>
    <w:rsid w:val="00137445"/>
    <w:rsid w:val="001374AF"/>
    <w:rsid w:val="00137559"/>
    <w:rsid w:val="00137655"/>
    <w:rsid w:val="001410A9"/>
    <w:rsid w:val="001415D1"/>
    <w:rsid w:val="00141B4E"/>
    <w:rsid w:val="00142CB2"/>
    <w:rsid w:val="00143F02"/>
    <w:rsid w:val="00144554"/>
    <w:rsid w:val="00145C33"/>
    <w:rsid w:val="0014660D"/>
    <w:rsid w:val="0014677F"/>
    <w:rsid w:val="00146E98"/>
    <w:rsid w:val="00147077"/>
    <w:rsid w:val="0015004C"/>
    <w:rsid w:val="001506B4"/>
    <w:rsid w:val="00150F5C"/>
    <w:rsid w:val="00151A3B"/>
    <w:rsid w:val="0015232D"/>
    <w:rsid w:val="00152888"/>
    <w:rsid w:val="00152FF4"/>
    <w:rsid w:val="00160DB0"/>
    <w:rsid w:val="00161D5B"/>
    <w:rsid w:val="00163EF1"/>
    <w:rsid w:val="001644D5"/>
    <w:rsid w:val="00164FA4"/>
    <w:rsid w:val="00165EF5"/>
    <w:rsid w:val="00166237"/>
    <w:rsid w:val="0017099C"/>
    <w:rsid w:val="00170B15"/>
    <w:rsid w:val="0017253A"/>
    <w:rsid w:val="001731F3"/>
    <w:rsid w:val="00180841"/>
    <w:rsid w:val="00181DEF"/>
    <w:rsid w:val="00182AE3"/>
    <w:rsid w:val="00183AC8"/>
    <w:rsid w:val="00185346"/>
    <w:rsid w:val="00187B15"/>
    <w:rsid w:val="00190752"/>
    <w:rsid w:val="0019199A"/>
    <w:rsid w:val="00193E1C"/>
    <w:rsid w:val="001948E5"/>
    <w:rsid w:val="00194B2E"/>
    <w:rsid w:val="00195395"/>
    <w:rsid w:val="001953CB"/>
    <w:rsid w:val="00195BFA"/>
    <w:rsid w:val="001968CB"/>
    <w:rsid w:val="001A0DCF"/>
    <w:rsid w:val="001A3443"/>
    <w:rsid w:val="001A5F47"/>
    <w:rsid w:val="001A69BA"/>
    <w:rsid w:val="001A72AF"/>
    <w:rsid w:val="001B2225"/>
    <w:rsid w:val="001B2358"/>
    <w:rsid w:val="001B3906"/>
    <w:rsid w:val="001B3AED"/>
    <w:rsid w:val="001B438D"/>
    <w:rsid w:val="001B4AE0"/>
    <w:rsid w:val="001B503D"/>
    <w:rsid w:val="001B680B"/>
    <w:rsid w:val="001B7538"/>
    <w:rsid w:val="001C002A"/>
    <w:rsid w:val="001C2A1C"/>
    <w:rsid w:val="001C3B8F"/>
    <w:rsid w:val="001C6F6D"/>
    <w:rsid w:val="001D09D3"/>
    <w:rsid w:val="001D12BE"/>
    <w:rsid w:val="001D1716"/>
    <w:rsid w:val="001D1FAA"/>
    <w:rsid w:val="001D217A"/>
    <w:rsid w:val="001D49E7"/>
    <w:rsid w:val="001D7176"/>
    <w:rsid w:val="001D7480"/>
    <w:rsid w:val="001E2D34"/>
    <w:rsid w:val="001E370E"/>
    <w:rsid w:val="001E3EAB"/>
    <w:rsid w:val="001E55D9"/>
    <w:rsid w:val="001E6454"/>
    <w:rsid w:val="001E6827"/>
    <w:rsid w:val="001F01B1"/>
    <w:rsid w:val="001F167C"/>
    <w:rsid w:val="001F1AFC"/>
    <w:rsid w:val="001F29A5"/>
    <w:rsid w:val="001F3D4C"/>
    <w:rsid w:val="001F4E93"/>
    <w:rsid w:val="001F516C"/>
    <w:rsid w:val="001F5D56"/>
    <w:rsid w:val="001F6277"/>
    <w:rsid w:val="001F7A8B"/>
    <w:rsid w:val="002019B4"/>
    <w:rsid w:val="00202C5C"/>
    <w:rsid w:val="00204409"/>
    <w:rsid w:val="00204DA0"/>
    <w:rsid w:val="00206E30"/>
    <w:rsid w:val="002108D2"/>
    <w:rsid w:val="00211F14"/>
    <w:rsid w:val="002125DA"/>
    <w:rsid w:val="00213748"/>
    <w:rsid w:val="00213BD3"/>
    <w:rsid w:val="00213EC8"/>
    <w:rsid w:val="0021465E"/>
    <w:rsid w:val="0021479B"/>
    <w:rsid w:val="00217C64"/>
    <w:rsid w:val="00220435"/>
    <w:rsid w:val="0022069F"/>
    <w:rsid w:val="002209E8"/>
    <w:rsid w:val="00220EDA"/>
    <w:rsid w:val="002218D5"/>
    <w:rsid w:val="00221EF0"/>
    <w:rsid w:val="00222DA1"/>
    <w:rsid w:val="0022369F"/>
    <w:rsid w:val="00223A7F"/>
    <w:rsid w:val="0022404E"/>
    <w:rsid w:val="00224DA4"/>
    <w:rsid w:val="00225D2A"/>
    <w:rsid w:val="002316F8"/>
    <w:rsid w:val="002344A8"/>
    <w:rsid w:val="00234FDE"/>
    <w:rsid w:val="00237079"/>
    <w:rsid w:val="0023717F"/>
    <w:rsid w:val="0024253C"/>
    <w:rsid w:val="0024511D"/>
    <w:rsid w:val="0024540D"/>
    <w:rsid w:val="00246205"/>
    <w:rsid w:val="00251437"/>
    <w:rsid w:val="00251716"/>
    <w:rsid w:val="00252F14"/>
    <w:rsid w:val="00253675"/>
    <w:rsid w:val="002537A9"/>
    <w:rsid w:val="00254B2F"/>
    <w:rsid w:val="00256425"/>
    <w:rsid w:val="0026149F"/>
    <w:rsid w:val="00263CA6"/>
    <w:rsid w:val="0026415B"/>
    <w:rsid w:val="00264C32"/>
    <w:rsid w:val="0027113F"/>
    <w:rsid w:val="00272216"/>
    <w:rsid w:val="00272544"/>
    <w:rsid w:val="00276277"/>
    <w:rsid w:val="002802F3"/>
    <w:rsid w:val="002803FD"/>
    <w:rsid w:val="002827A0"/>
    <w:rsid w:val="00284183"/>
    <w:rsid w:val="00284445"/>
    <w:rsid w:val="00284A2C"/>
    <w:rsid w:val="00284C90"/>
    <w:rsid w:val="00287624"/>
    <w:rsid w:val="00287898"/>
    <w:rsid w:val="0029241B"/>
    <w:rsid w:val="002929D1"/>
    <w:rsid w:val="002929F2"/>
    <w:rsid w:val="0029351E"/>
    <w:rsid w:val="002936FF"/>
    <w:rsid w:val="002969BE"/>
    <w:rsid w:val="00296E69"/>
    <w:rsid w:val="00297C11"/>
    <w:rsid w:val="002A0075"/>
    <w:rsid w:val="002A2804"/>
    <w:rsid w:val="002A37A7"/>
    <w:rsid w:val="002A42EF"/>
    <w:rsid w:val="002A4C8B"/>
    <w:rsid w:val="002A4D1D"/>
    <w:rsid w:val="002A4FFC"/>
    <w:rsid w:val="002A57A4"/>
    <w:rsid w:val="002A5BB9"/>
    <w:rsid w:val="002A6ADD"/>
    <w:rsid w:val="002A7991"/>
    <w:rsid w:val="002A7D66"/>
    <w:rsid w:val="002B0FB1"/>
    <w:rsid w:val="002B1D60"/>
    <w:rsid w:val="002B38E6"/>
    <w:rsid w:val="002B4431"/>
    <w:rsid w:val="002B4E14"/>
    <w:rsid w:val="002B4E8E"/>
    <w:rsid w:val="002C2971"/>
    <w:rsid w:val="002C2B76"/>
    <w:rsid w:val="002C2F88"/>
    <w:rsid w:val="002C34B3"/>
    <w:rsid w:val="002C4E85"/>
    <w:rsid w:val="002C7A17"/>
    <w:rsid w:val="002C7FB7"/>
    <w:rsid w:val="002D24DD"/>
    <w:rsid w:val="002D379A"/>
    <w:rsid w:val="002D3EED"/>
    <w:rsid w:val="002D68AE"/>
    <w:rsid w:val="002E0347"/>
    <w:rsid w:val="002E0C9A"/>
    <w:rsid w:val="002E0D16"/>
    <w:rsid w:val="002E295F"/>
    <w:rsid w:val="002E39CE"/>
    <w:rsid w:val="002E4FEB"/>
    <w:rsid w:val="002E65C3"/>
    <w:rsid w:val="002F4CA0"/>
    <w:rsid w:val="002F4E73"/>
    <w:rsid w:val="002F52B2"/>
    <w:rsid w:val="00300889"/>
    <w:rsid w:val="00302455"/>
    <w:rsid w:val="00304974"/>
    <w:rsid w:val="0030627F"/>
    <w:rsid w:val="00310592"/>
    <w:rsid w:val="00311AFC"/>
    <w:rsid w:val="003128C8"/>
    <w:rsid w:val="00314087"/>
    <w:rsid w:val="00315DB7"/>
    <w:rsid w:val="00316BBF"/>
    <w:rsid w:val="00321EB3"/>
    <w:rsid w:val="00321F91"/>
    <w:rsid w:val="00323A8E"/>
    <w:rsid w:val="00325D16"/>
    <w:rsid w:val="003263DD"/>
    <w:rsid w:val="00326718"/>
    <w:rsid w:val="00331F4F"/>
    <w:rsid w:val="00331F91"/>
    <w:rsid w:val="003327E3"/>
    <w:rsid w:val="0033380F"/>
    <w:rsid w:val="00333836"/>
    <w:rsid w:val="00334648"/>
    <w:rsid w:val="00335DD6"/>
    <w:rsid w:val="00337302"/>
    <w:rsid w:val="00340E06"/>
    <w:rsid w:val="003415D6"/>
    <w:rsid w:val="00342DD9"/>
    <w:rsid w:val="00345CB2"/>
    <w:rsid w:val="00346BC6"/>
    <w:rsid w:val="00347278"/>
    <w:rsid w:val="003474A4"/>
    <w:rsid w:val="00347ABE"/>
    <w:rsid w:val="003513DF"/>
    <w:rsid w:val="0035176B"/>
    <w:rsid w:val="00352893"/>
    <w:rsid w:val="00353254"/>
    <w:rsid w:val="00353400"/>
    <w:rsid w:val="003535E0"/>
    <w:rsid w:val="00353B78"/>
    <w:rsid w:val="00354F8D"/>
    <w:rsid w:val="00355B1A"/>
    <w:rsid w:val="003570F6"/>
    <w:rsid w:val="003577A4"/>
    <w:rsid w:val="00360F57"/>
    <w:rsid w:val="003614D8"/>
    <w:rsid w:val="00362243"/>
    <w:rsid w:val="0036454D"/>
    <w:rsid w:val="00366209"/>
    <w:rsid w:val="00367165"/>
    <w:rsid w:val="0036754F"/>
    <w:rsid w:val="00371729"/>
    <w:rsid w:val="003741E8"/>
    <w:rsid w:val="003754F3"/>
    <w:rsid w:val="00377EA9"/>
    <w:rsid w:val="00380903"/>
    <w:rsid w:val="003815AE"/>
    <w:rsid w:val="0038236C"/>
    <w:rsid w:val="00382EAF"/>
    <w:rsid w:val="003834DC"/>
    <w:rsid w:val="00383571"/>
    <w:rsid w:val="0038366A"/>
    <w:rsid w:val="00383D0E"/>
    <w:rsid w:val="00384027"/>
    <w:rsid w:val="003843EC"/>
    <w:rsid w:val="003857D2"/>
    <w:rsid w:val="00386319"/>
    <w:rsid w:val="00387507"/>
    <w:rsid w:val="003908AE"/>
    <w:rsid w:val="00392ADC"/>
    <w:rsid w:val="00392D79"/>
    <w:rsid w:val="00395E42"/>
    <w:rsid w:val="00396732"/>
    <w:rsid w:val="00396D38"/>
    <w:rsid w:val="003A2BF9"/>
    <w:rsid w:val="003A3291"/>
    <w:rsid w:val="003B197F"/>
    <w:rsid w:val="003B25C5"/>
    <w:rsid w:val="003B2C74"/>
    <w:rsid w:val="003B382A"/>
    <w:rsid w:val="003B550C"/>
    <w:rsid w:val="003B6487"/>
    <w:rsid w:val="003B7B79"/>
    <w:rsid w:val="003B7BF1"/>
    <w:rsid w:val="003C3C69"/>
    <w:rsid w:val="003C667A"/>
    <w:rsid w:val="003C700C"/>
    <w:rsid w:val="003C75E1"/>
    <w:rsid w:val="003C7D9A"/>
    <w:rsid w:val="003D20DD"/>
    <w:rsid w:val="003D3D56"/>
    <w:rsid w:val="003D4EFE"/>
    <w:rsid w:val="003D5DBD"/>
    <w:rsid w:val="003D679E"/>
    <w:rsid w:val="003D7125"/>
    <w:rsid w:val="003E0248"/>
    <w:rsid w:val="003E047C"/>
    <w:rsid w:val="003E0C9A"/>
    <w:rsid w:val="003E0D64"/>
    <w:rsid w:val="003E177F"/>
    <w:rsid w:val="003E2936"/>
    <w:rsid w:val="003E374F"/>
    <w:rsid w:val="003E5367"/>
    <w:rsid w:val="003E55FA"/>
    <w:rsid w:val="003E71A3"/>
    <w:rsid w:val="003F0D4E"/>
    <w:rsid w:val="003F2B6A"/>
    <w:rsid w:val="003F2B73"/>
    <w:rsid w:val="003F43C5"/>
    <w:rsid w:val="003F6899"/>
    <w:rsid w:val="003F7D65"/>
    <w:rsid w:val="00400FD8"/>
    <w:rsid w:val="00403548"/>
    <w:rsid w:val="00403CA6"/>
    <w:rsid w:val="0040535B"/>
    <w:rsid w:val="00405625"/>
    <w:rsid w:val="00406362"/>
    <w:rsid w:val="004065F9"/>
    <w:rsid w:val="00406D2F"/>
    <w:rsid w:val="004109FF"/>
    <w:rsid w:val="00410D8B"/>
    <w:rsid w:val="00411471"/>
    <w:rsid w:val="00411C6B"/>
    <w:rsid w:val="00412F36"/>
    <w:rsid w:val="004148A7"/>
    <w:rsid w:val="004162D6"/>
    <w:rsid w:val="004174C2"/>
    <w:rsid w:val="00420A7B"/>
    <w:rsid w:val="00423A43"/>
    <w:rsid w:val="00425D8C"/>
    <w:rsid w:val="0042653A"/>
    <w:rsid w:val="0043019E"/>
    <w:rsid w:val="0043600E"/>
    <w:rsid w:val="0043633A"/>
    <w:rsid w:val="004408EB"/>
    <w:rsid w:val="00440BE1"/>
    <w:rsid w:val="0044210C"/>
    <w:rsid w:val="0044282A"/>
    <w:rsid w:val="00443A0E"/>
    <w:rsid w:val="00446E98"/>
    <w:rsid w:val="00447669"/>
    <w:rsid w:val="00450EA8"/>
    <w:rsid w:val="0045137E"/>
    <w:rsid w:val="004536BB"/>
    <w:rsid w:val="00454D0B"/>
    <w:rsid w:val="004607FF"/>
    <w:rsid w:val="00462705"/>
    <w:rsid w:val="00462777"/>
    <w:rsid w:val="0046288B"/>
    <w:rsid w:val="0046344B"/>
    <w:rsid w:val="00465C0B"/>
    <w:rsid w:val="004670ED"/>
    <w:rsid w:val="00471C7B"/>
    <w:rsid w:val="0047221D"/>
    <w:rsid w:val="00473443"/>
    <w:rsid w:val="004735B5"/>
    <w:rsid w:val="00473D46"/>
    <w:rsid w:val="00474ADC"/>
    <w:rsid w:val="00482B0A"/>
    <w:rsid w:val="00483246"/>
    <w:rsid w:val="0048409F"/>
    <w:rsid w:val="00484DBA"/>
    <w:rsid w:val="004853CC"/>
    <w:rsid w:val="00485AB7"/>
    <w:rsid w:val="00487822"/>
    <w:rsid w:val="004900EF"/>
    <w:rsid w:val="00493264"/>
    <w:rsid w:val="00494880"/>
    <w:rsid w:val="00495852"/>
    <w:rsid w:val="00495930"/>
    <w:rsid w:val="004979AE"/>
    <w:rsid w:val="00497E3C"/>
    <w:rsid w:val="004A1191"/>
    <w:rsid w:val="004A1BE5"/>
    <w:rsid w:val="004A28F1"/>
    <w:rsid w:val="004A4722"/>
    <w:rsid w:val="004B0A3D"/>
    <w:rsid w:val="004B176E"/>
    <w:rsid w:val="004B275E"/>
    <w:rsid w:val="004B364C"/>
    <w:rsid w:val="004B445B"/>
    <w:rsid w:val="004C0B86"/>
    <w:rsid w:val="004C0E42"/>
    <w:rsid w:val="004C2099"/>
    <w:rsid w:val="004C53FA"/>
    <w:rsid w:val="004C76CE"/>
    <w:rsid w:val="004D0524"/>
    <w:rsid w:val="004D1103"/>
    <w:rsid w:val="004D2CCB"/>
    <w:rsid w:val="004D53D3"/>
    <w:rsid w:val="004D7964"/>
    <w:rsid w:val="004E01BE"/>
    <w:rsid w:val="004E0FE4"/>
    <w:rsid w:val="004E22F1"/>
    <w:rsid w:val="004E60C0"/>
    <w:rsid w:val="004F0F3E"/>
    <w:rsid w:val="004F391C"/>
    <w:rsid w:val="004F3A0D"/>
    <w:rsid w:val="004F4139"/>
    <w:rsid w:val="004F4E12"/>
    <w:rsid w:val="004F6457"/>
    <w:rsid w:val="0050017F"/>
    <w:rsid w:val="00502585"/>
    <w:rsid w:val="00503133"/>
    <w:rsid w:val="005047C9"/>
    <w:rsid w:val="00505817"/>
    <w:rsid w:val="005064C0"/>
    <w:rsid w:val="005077F7"/>
    <w:rsid w:val="00514268"/>
    <w:rsid w:val="005168F5"/>
    <w:rsid w:val="00516A57"/>
    <w:rsid w:val="00516ABB"/>
    <w:rsid w:val="00516D27"/>
    <w:rsid w:val="00516F09"/>
    <w:rsid w:val="005202B9"/>
    <w:rsid w:val="005227FD"/>
    <w:rsid w:val="005228C1"/>
    <w:rsid w:val="00522941"/>
    <w:rsid w:val="005240A6"/>
    <w:rsid w:val="005264EE"/>
    <w:rsid w:val="00526A68"/>
    <w:rsid w:val="00526F6E"/>
    <w:rsid w:val="00530A4B"/>
    <w:rsid w:val="00533AB5"/>
    <w:rsid w:val="00534322"/>
    <w:rsid w:val="005379BD"/>
    <w:rsid w:val="00540BA5"/>
    <w:rsid w:val="0054402F"/>
    <w:rsid w:val="005450F2"/>
    <w:rsid w:val="00545F31"/>
    <w:rsid w:val="00551FD3"/>
    <w:rsid w:val="00552309"/>
    <w:rsid w:val="005535BE"/>
    <w:rsid w:val="00554D27"/>
    <w:rsid w:val="005573AD"/>
    <w:rsid w:val="00557E5E"/>
    <w:rsid w:val="00560308"/>
    <w:rsid w:val="00560A7C"/>
    <w:rsid w:val="00562F8A"/>
    <w:rsid w:val="0056327A"/>
    <w:rsid w:val="0056341C"/>
    <w:rsid w:val="00564001"/>
    <w:rsid w:val="00564A57"/>
    <w:rsid w:val="00565BAB"/>
    <w:rsid w:val="00566803"/>
    <w:rsid w:val="00566B9A"/>
    <w:rsid w:val="00570C51"/>
    <w:rsid w:val="00571776"/>
    <w:rsid w:val="005733EC"/>
    <w:rsid w:val="00574426"/>
    <w:rsid w:val="00575668"/>
    <w:rsid w:val="00575D6E"/>
    <w:rsid w:val="00576BAE"/>
    <w:rsid w:val="005807D7"/>
    <w:rsid w:val="00580E7C"/>
    <w:rsid w:val="00581BB2"/>
    <w:rsid w:val="00581FFC"/>
    <w:rsid w:val="00584A71"/>
    <w:rsid w:val="00584C67"/>
    <w:rsid w:val="0058671F"/>
    <w:rsid w:val="00590B66"/>
    <w:rsid w:val="00590D6A"/>
    <w:rsid w:val="00591627"/>
    <w:rsid w:val="0059187A"/>
    <w:rsid w:val="00592121"/>
    <w:rsid w:val="00592A1A"/>
    <w:rsid w:val="00592B4B"/>
    <w:rsid w:val="005931CE"/>
    <w:rsid w:val="00593553"/>
    <w:rsid w:val="0059362A"/>
    <w:rsid w:val="00593C89"/>
    <w:rsid w:val="005944CF"/>
    <w:rsid w:val="0059515D"/>
    <w:rsid w:val="00596122"/>
    <w:rsid w:val="00596F0D"/>
    <w:rsid w:val="005971A1"/>
    <w:rsid w:val="005A0F53"/>
    <w:rsid w:val="005A1961"/>
    <w:rsid w:val="005A1E07"/>
    <w:rsid w:val="005A2A56"/>
    <w:rsid w:val="005A45DD"/>
    <w:rsid w:val="005A5E62"/>
    <w:rsid w:val="005A6477"/>
    <w:rsid w:val="005A6D0C"/>
    <w:rsid w:val="005A6DC3"/>
    <w:rsid w:val="005A7CC0"/>
    <w:rsid w:val="005A7D9F"/>
    <w:rsid w:val="005B08CC"/>
    <w:rsid w:val="005B4E54"/>
    <w:rsid w:val="005B6D02"/>
    <w:rsid w:val="005C00F6"/>
    <w:rsid w:val="005C0882"/>
    <w:rsid w:val="005C1D51"/>
    <w:rsid w:val="005C3322"/>
    <w:rsid w:val="005C3646"/>
    <w:rsid w:val="005C3E39"/>
    <w:rsid w:val="005C4580"/>
    <w:rsid w:val="005C5D38"/>
    <w:rsid w:val="005D11E0"/>
    <w:rsid w:val="005D1E04"/>
    <w:rsid w:val="005D220F"/>
    <w:rsid w:val="005D2294"/>
    <w:rsid w:val="005D30B5"/>
    <w:rsid w:val="005D3415"/>
    <w:rsid w:val="005D3685"/>
    <w:rsid w:val="005D53F7"/>
    <w:rsid w:val="005D59D5"/>
    <w:rsid w:val="005D5B8D"/>
    <w:rsid w:val="005D6F22"/>
    <w:rsid w:val="005D71B3"/>
    <w:rsid w:val="005D7FE4"/>
    <w:rsid w:val="005E0545"/>
    <w:rsid w:val="005E463D"/>
    <w:rsid w:val="005E5309"/>
    <w:rsid w:val="005E5708"/>
    <w:rsid w:val="005E7CBC"/>
    <w:rsid w:val="005F0786"/>
    <w:rsid w:val="005F09A3"/>
    <w:rsid w:val="005F3060"/>
    <w:rsid w:val="005F5365"/>
    <w:rsid w:val="005F6E3A"/>
    <w:rsid w:val="005F7D4B"/>
    <w:rsid w:val="0060020A"/>
    <w:rsid w:val="00600586"/>
    <w:rsid w:val="00610B7C"/>
    <w:rsid w:val="006118DB"/>
    <w:rsid w:val="00613295"/>
    <w:rsid w:val="006133D2"/>
    <w:rsid w:val="006136E1"/>
    <w:rsid w:val="0061472F"/>
    <w:rsid w:val="006165B3"/>
    <w:rsid w:val="00616C5D"/>
    <w:rsid w:val="00617061"/>
    <w:rsid w:val="00617697"/>
    <w:rsid w:val="00617E57"/>
    <w:rsid w:val="006235BC"/>
    <w:rsid w:val="00623919"/>
    <w:rsid w:val="00623B23"/>
    <w:rsid w:val="00624598"/>
    <w:rsid w:val="0062619F"/>
    <w:rsid w:val="00633BDF"/>
    <w:rsid w:val="0063473C"/>
    <w:rsid w:val="00636345"/>
    <w:rsid w:val="0064092F"/>
    <w:rsid w:val="00644B8D"/>
    <w:rsid w:val="0064617F"/>
    <w:rsid w:val="00646541"/>
    <w:rsid w:val="00650156"/>
    <w:rsid w:val="006503AC"/>
    <w:rsid w:val="006514C5"/>
    <w:rsid w:val="0065218C"/>
    <w:rsid w:val="006534DB"/>
    <w:rsid w:val="00657047"/>
    <w:rsid w:val="00657278"/>
    <w:rsid w:val="00657E43"/>
    <w:rsid w:val="00660074"/>
    <w:rsid w:val="006633F2"/>
    <w:rsid w:val="006636CB"/>
    <w:rsid w:val="00665466"/>
    <w:rsid w:val="006702FF"/>
    <w:rsid w:val="00670C1F"/>
    <w:rsid w:val="00672003"/>
    <w:rsid w:val="00672A5E"/>
    <w:rsid w:val="00675B2E"/>
    <w:rsid w:val="00677339"/>
    <w:rsid w:val="0067735B"/>
    <w:rsid w:val="00681A6A"/>
    <w:rsid w:val="0068292D"/>
    <w:rsid w:val="00682FA9"/>
    <w:rsid w:val="00683F3B"/>
    <w:rsid w:val="00686231"/>
    <w:rsid w:val="0069143D"/>
    <w:rsid w:val="006925EC"/>
    <w:rsid w:val="00693D62"/>
    <w:rsid w:val="006956B8"/>
    <w:rsid w:val="00695B6A"/>
    <w:rsid w:val="006A037B"/>
    <w:rsid w:val="006A1675"/>
    <w:rsid w:val="006A1AD8"/>
    <w:rsid w:val="006A3155"/>
    <w:rsid w:val="006A3969"/>
    <w:rsid w:val="006A63EC"/>
    <w:rsid w:val="006A6B38"/>
    <w:rsid w:val="006B0AA7"/>
    <w:rsid w:val="006B0F3E"/>
    <w:rsid w:val="006B1353"/>
    <w:rsid w:val="006B21D8"/>
    <w:rsid w:val="006B28EE"/>
    <w:rsid w:val="006C1D96"/>
    <w:rsid w:val="006C2F02"/>
    <w:rsid w:val="006C3373"/>
    <w:rsid w:val="006C42CE"/>
    <w:rsid w:val="006C4BED"/>
    <w:rsid w:val="006C5314"/>
    <w:rsid w:val="006C53D2"/>
    <w:rsid w:val="006D1971"/>
    <w:rsid w:val="006D1F60"/>
    <w:rsid w:val="006D2A43"/>
    <w:rsid w:val="006D3A52"/>
    <w:rsid w:val="006D41A0"/>
    <w:rsid w:val="006D4B7F"/>
    <w:rsid w:val="006D6872"/>
    <w:rsid w:val="006D6E0A"/>
    <w:rsid w:val="006D7133"/>
    <w:rsid w:val="006E06EA"/>
    <w:rsid w:val="006E1EEB"/>
    <w:rsid w:val="006E4FD4"/>
    <w:rsid w:val="006E69DC"/>
    <w:rsid w:val="006E7A8F"/>
    <w:rsid w:val="006F0AA1"/>
    <w:rsid w:val="006F3964"/>
    <w:rsid w:val="00702712"/>
    <w:rsid w:val="007037DD"/>
    <w:rsid w:val="00703A28"/>
    <w:rsid w:val="00703AF0"/>
    <w:rsid w:val="00703B38"/>
    <w:rsid w:val="007056D9"/>
    <w:rsid w:val="00705FFE"/>
    <w:rsid w:val="00707445"/>
    <w:rsid w:val="00707A3E"/>
    <w:rsid w:val="00710066"/>
    <w:rsid w:val="00710DC7"/>
    <w:rsid w:val="0071203C"/>
    <w:rsid w:val="00714F3D"/>
    <w:rsid w:val="00715AF6"/>
    <w:rsid w:val="00717563"/>
    <w:rsid w:val="0072411C"/>
    <w:rsid w:val="0073135F"/>
    <w:rsid w:val="00731949"/>
    <w:rsid w:val="00732771"/>
    <w:rsid w:val="007327B2"/>
    <w:rsid w:val="00735B24"/>
    <w:rsid w:val="00736D94"/>
    <w:rsid w:val="007419DD"/>
    <w:rsid w:val="007425C4"/>
    <w:rsid w:val="00742BE4"/>
    <w:rsid w:val="0074340A"/>
    <w:rsid w:val="00743AD7"/>
    <w:rsid w:val="00747DC2"/>
    <w:rsid w:val="00750969"/>
    <w:rsid w:val="00750B63"/>
    <w:rsid w:val="00750C09"/>
    <w:rsid w:val="00750F54"/>
    <w:rsid w:val="0075150D"/>
    <w:rsid w:val="00751596"/>
    <w:rsid w:val="00755FAE"/>
    <w:rsid w:val="0075789A"/>
    <w:rsid w:val="00761759"/>
    <w:rsid w:val="007629D3"/>
    <w:rsid w:val="00764EE0"/>
    <w:rsid w:val="00767D8E"/>
    <w:rsid w:val="00771B1D"/>
    <w:rsid w:val="00774109"/>
    <w:rsid w:val="00775495"/>
    <w:rsid w:val="007761BE"/>
    <w:rsid w:val="00781B94"/>
    <w:rsid w:val="00781F4F"/>
    <w:rsid w:val="00782B35"/>
    <w:rsid w:val="007872E1"/>
    <w:rsid w:val="00787D5F"/>
    <w:rsid w:val="00793E13"/>
    <w:rsid w:val="0079692C"/>
    <w:rsid w:val="007A1349"/>
    <w:rsid w:val="007A3567"/>
    <w:rsid w:val="007A4C6D"/>
    <w:rsid w:val="007A54C0"/>
    <w:rsid w:val="007A56B8"/>
    <w:rsid w:val="007A5DE9"/>
    <w:rsid w:val="007B1866"/>
    <w:rsid w:val="007B23C9"/>
    <w:rsid w:val="007B4F8F"/>
    <w:rsid w:val="007B5B70"/>
    <w:rsid w:val="007B6560"/>
    <w:rsid w:val="007B7041"/>
    <w:rsid w:val="007B7CA1"/>
    <w:rsid w:val="007C01C9"/>
    <w:rsid w:val="007C0378"/>
    <w:rsid w:val="007C1E23"/>
    <w:rsid w:val="007C229C"/>
    <w:rsid w:val="007C27DF"/>
    <w:rsid w:val="007C2E4E"/>
    <w:rsid w:val="007C468B"/>
    <w:rsid w:val="007C4BDE"/>
    <w:rsid w:val="007D2042"/>
    <w:rsid w:val="007D29B8"/>
    <w:rsid w:val="007D3311"/>
    <w:rsid w:val="007D66A9"/>
    <w:rsid w:val="007E21C3"/>
    <w:rsid w:val="007E2AB6"/>
    <w:rsid w:val="007E3BCC"/>
    <w:rsid w:val="007E486E"/>
    <w:rsid w:val="007E4DC1"/>
    <w:rsid w:val="007E4E7F"/>
    <w:rsid w:val="007E6140"/>
    <w:rsid w:val="007E63CD"/>
    <w:rsid w:val="007F021B"/>
    <w:rsid w:val="007F06ED"/>
    <w:rsid w:val="007F1479"/>
    <w:rsid w:val="007F2355"/>
    <w:rsid w:val="007F3913"/>
    <w:rsid w:val="007F3B7E"/>
    <w:rsid w:val="007F4D8A"/>
    <w:rsid w:val="00800240"/>
    <w:rsid w:val="008005F0"/>
    <w:rsid w:val="00802693"/>
    <w:rsid w:val="00802C50"/>
    <w:rsid w:val="0080309D"/>
    <w:rsid w:val="00804233"/>
    <w:rsid w:val="00806B35"/>
    <w:rsid w:val="00807287"/>
    <w:rsid w:val="008104E7"/>
    <w:rsid w:val="0081146B"/>
    <w:rsid w:val="00811B81"/>
    <w:rsid w:val="0081282D"/>
    <w:rsid w:val="00812DF4"/>
    <w:rsid w:val="00814CA8"/>
    <w:rsid w:val="0081564C"/>
    <w:rsid w:val="00816C50"/>
    <w:rsid w:val="008200F1"/>
    <w:rsid w:val="00820E6A"/>
    <w:rsid w:val="00820EB8"/>
    <w:rsid w:val="0082181E"/>
    <w:rsid w:val="00821F9F"/>
    <w:rsid w:val="00823B8C"/>
    <w:rsid w:val="008251F2"/>
    <w:rsid w:val="00827C9C"/>
    <w:rsid w:val="008308E2"/>
    <w:rsid w:val="00833587"/>
    <w:rsid w:val="00833F72"/>
    <w:rsid w:val="00835BA9"/>
    <w:rsid w:val="0083730F"/>
    <w:rsid w:val="00837AA3"/>
    <w:rsid w:val="008405BD"/>
    <w:rsid w:val="00841426"/>
    <w:rsid w:val="008438BB"/>
    <w:rsid w:val="00843EC9"/>
    <w:rsid w:val="00846999"/>
    <w:rsid w:val="00846F1B"/>
    <w:rsid w:val="008472F9"/>
    <w:rsid w:val="008508D5"/>
    <w:rsid w:val="00851BB2"/>
    <w:rsid w:val="00855B7C"/>
    <w:rsid w:val="00855E0E"/>
    <w:rsid w:val="008561A1"/>
    <w:rsid w:val="00856AC8"/>
    <w:rsid w:val="00856DBB"/>
    <w:rsid w:val="00857C58"/>
    <w:rsid w:val="008609A7"/>
    <w:rsid w:val="008621D6"/>
    <w:rsid w:val="0086261E"/>
    <w:rsid w:val="008627B6"/>
    <w:rsid w:val="008641F7"/>
    <w:rsid w:val="00864399"/>
    <w:rsid w:val="008653B5"/>
    <w:rsid w:val="00867040"/>
    <w:rsid w:val="0086722E"/>
    <w:rsid w:val="00867836"/>
    <w:rsid w:val="00867CCD"/>
    <w:rsid w:val="00870970"/>
    <w:rsid w:val="00870B97"/>
    <w:rsid w:val="008730B9"/>
    <w:rsid w:val="00887C65"/>
    <w:rsid w:val="00890A16"/>
    <w:rsid w:val="008911C0"/>
    <w:rsid w:val="00891412"/>
    <w:rsid w:val="00893179"/>
    <w:rsid w:val="008949D1"/>
    <w:rsid w:val="0089765E"/>
    <w:rsid w:val="008A0372"/>
    <w:rsid w:val="008A0D3A"/>
    <w:rsid w:val="008A1354"/>
    <w:rsid w:val="008A14FE"/>
    <w:rsid w:val="008A3026"/>
    <w:rsid w:val="008A3243"/>
    <w:rsid w:val="008A3463"/>
    <w:rsid w:val="008A483B"/>
    <w:rsid w:val="008A5870"/>
    <w:rsid w:val="008A7057"/>
    <w:rsid w:val="008A729A"/>
    <w:rsid w:val="008B09BB"/>
    <w:rsid w:val="008B3C78"/>
    <w:rsid w:val="008B618A"/>
    <w:rsid w:val="008C643A"/>
    <w:rsid w:val="008D101C"/>
    <w:rsid w:val="008D145E"/>
    <w:rsid w:val="008D341D"/>
    <w:rsid w:val="008D3D15"/>
    <w:rsid w:val="008D3DBC"/>
    <w:rsid w:val="008D5822"/>
    <w:rsid w:val="008D5B11"/>
    <w:rsid w:val="008D68C0"/>
    <w:rsid w:val="008D6A9A"/>
    <w:rsid w:val="008D7E7B"/>
    <w:rsid w:val="008E02E5"/>
    <w:rsid w:val="008E3156"/>
    <w:rsid w:val="008E4F63"/>
    <w:rsid w:val="008E5537"/>
    <w:rsid w:val="008E5F4D"/>
    <w:rsid w:val="008E6771"/>
    <w:rsid w:val="008E6D30"/>
    <w:rsid w:val="008E74ED"/>
    <w:rsid w:val="008E798A"/>
    <w:rsid w:val="008E7AD1"/>
    <w:rsid w:val="008F0052"/>
    <w:rsid w:val="008F16F2"/>
    <w:rsid w:val="008F5A20"/>
    <w:rsid w:val="008F5E98"/>
    <w:rsid w:val="008F5EC2"/>
    <w:rsid w:val="008F6EF8"/>
    <w:rsid w:val="008F779C"/>
    <w:rsid w:val="008F7B6E"/>
    <w:rsid w:val="0090056C"/>
    <w:rsid w:val="00901363"/>
    <w:rsid w:val="009019D8"/>
    <w:rsid w:val="0090313D"/>
    <w:rsid w:val="0090487F"/>
    <w:rsid w:val="009067CA"/>
    <w:rsid w:val="009070F5"/>
    <w:rsid w:val="00911D06"/>
    <w:rsid w:val="00912D25"/>
    <w:rsid w:val="00914CC9"/>
    <w:rsid w:val="00915B19"/>
    <w:rsid w:val="00915E1E"/>
    <w:rsid w:val="00916485"/>
    <w:rsid w:val="00922922"/>
    <w:rsid w:val="00923E4F"/>
    <w:rsid w:val="00925217"/>
    <w:rsid w:val="00925F30"/>
    <w:rsid w:val="00926860"/>
    <w:rsid w:val="00927B4F"/>
    <w:rsid w:val="0093033C"/>
    <w:rsid w:val="0093083A"/>
    <w:rsid w:val="00931406"/>
    <w:rsid w:val="0093253D"/>
    <w:rsid w:val="009329F9"/>
    <w:rsid w:val="00933F69"/>
    <w:rsid w:val="009356C5"/>
    <w:rsid w:val="0093674A"/>
    <w:rsid w:val="009369D1"/>
    <w:rsid w:val="00937BE6"/>
    <w:rsid w:val="00940A70"/>
    <w:rsid w:val="0094577E"/>
    <w:rsid w:val="0094655E"/>
    <w:rsid w:val="00947A5E"/>
    <w:rsid w:val="00947AA3"/>
    <w:rsid w:val="009505F0"/>
    <w:rsid w:val="00950E41"/>
    <w:rsid w:val="0095206B"/>
    <w:rsid w:val="009553F5"/>
    <w:rsid w:val="00961771"/>
    <w:rsid w:val="00962521"/>
    <w:rsid w:val="009625BC"/>
    <w:rsid w:val="009665DC"/>
    <w:rsid w:val="0096686E"/>
    <w:rsid w:val="0096767F"/>
    <w:rsid w:val="00972BF2"/>
    <w:rsid w:val="0097307E"/>
    <w:rsid w:val="00973313"/>
    <w:rsid w:val="00974FEC"/>
    <w:rsid w:val="00976AEA"/>
    <w:rsid w:val="00977116"/>
    <w:rsid w:val="00977594"/>
    <w:rsid w:val="009776A1"/>
    <w:rsid w:val="00977CCC"/>
    <w:rsid w:val="00982162"/>
    <w:rsid w:val="00982FFF"/>
    <w:rsid w:val="009830DC"/>
    <w:rsid w:val="0098516C"/>
    <w:rsid w:val="009857DF"/>
    <w:rsid w:val="00986949"/>
    <w:rsid w:val="00990CAC"/>
    <w:rsid w:val="009924B1"/>
    <w:rsid w:val="00992710"/>
    <w:rsid w:val="00992BEF"/>
    <w:rsid w:val="00995B1D"/>
    <w:rsid w:val="00997E17"/>
    <w:rsid w:val="009A02AD"/>
    <w:rsid w:val="009A0C57"/>
    <w:rsid w:val="009A0DED"/>
    <w:rsid w:val="009A43F4"/>
    <w:rsid w:val="009A46A7"/>
    <w:rsid w:val="009A4CB3"/>
    <w:rsid w:val="009A595E"/>
    <w:rsid w:val="009B0632"/>
    <w:rsid w:val="009B2A85"/>
    <w:rsid w:val="009B5795"/>
    <w:rsid w:val="009B68AD"/>
    <w:rsid w:val="009C0DE1"/>
    <w:rsid w:val="009C12D5"/>
    <w:rsid w:val="009C14BD"/>
    <w:rsid w:val="009C1C01"/>
    <w:rsid w:val="009C27D7"/>
    <w:rsid w:val="009C4218"/>
    <w:rsid w:val="009C6741"/>
    <w:rsid w:val="009C71BA"/>
    <w:rsid w:val="009C7B2F"/>
    <w:rsid w:val="009C7D16"/>
    <w:rsid w:val="009D13E9"/>
    <w:rsid w:val="009D17D3"/>
    <w:rsid w:val="009D1D56"/>
    <w:rsid w:val="009D45B1"/>
    <w:rsid w:val="009D4691"/>
    <w:rsid w:val="009E1F90"/>
    <w:rsid w:val="009E3171"/>
    <w:rsid w:val="009E367A"/>
    <w:rsid w:val="009E59E5"/>
    <w:rsid w:val="009E7CE2"/>
    <w:rsid w:val="009F1F3D"/>
    <w:rsid w:val="009F2EAC"/>
    <w:rsid w:val="009F301A"/>
    <w:rsid w:val="009F3FBB"/>
    <w:rsid w:val="009F47BC"/>
    <w:rsid w:val="009F4AF0"/>
    <w:rsid w:val="009F61F2"/>
    <w:rsid w:val="00A00812"/>
    <w:rsid w:val="00A035AC"/>
    <w:rsid w:val="00A072B0"/>
    <w:rsid w:val="00A074DD"/>
    <w:rsid w:val="00A1281A"/>
    <w:rsid w:val="00A14907"/>
    <w:rsid w:val="00A14D3B"/>
    <w:rsid w:val="00A15D57"/>
    <w:rsid w:val="00A16EC8"/>
    <w:rsid w:val="00A208AB"/>
    <w:rsid w:val="00A21271"/>
    <w:rsid w:val="00A232BF"/>
    <w:rsid w:val="00A24430"/>
    <w:rsid w:val="00A24F5F"/>
    <w:rsid w:val="00A305C2"/>
    <w:rsid w:val="00A309FA"/>
    <w:rsid w:val="00A31BE9"/>
    <w:rsid w:val="00A35107"/>
    <w:rsid w:val="00A35563"/>
    <w:rsid w:val="00A35953"/>
    <w:rsid w:val="00A369AC"/>
    <w:rsid w:val="00A403C9"/>
    <w:rsid w:val="00A40923"/>
    <w:rsid w:val="00A409D2"/>
    <w:rsid w:val="00A41949"/>
    <w:rsid w:val="00A4527B"/>
    <w:rsid w:val="00A453B8"/>
    <w:rsid w:val="00A45D09"/>
    <w:rsid w:val="00A509B4"/>
    <w:rsid w:val="00A514BB"/>
    <w:rsid w:val="00A535DC"/>
    <w:rsid w:val="00A54B90"/>
    <w:rsid w:val="00A5538E"/>
    <w:rsid w:val="00A55455"/>
    <w:rsid w:val="00A55FF1"/>
    <w:rsid w:val="00A613F5"/>
    <w:rsid w:val="00A64592"/>
    <w:rsid w:val="00A64F24"/>
    <w:rsid w:val="00A65928"/>
    <w:rsid w:val="00A71F2D"/>
    <w:rsid w:val="00A722E0"/>
    <w:rsid w:val="00A7238F"/>
    <w:rsid w:val="00A72A46"/>
    <w:rsid w:val="00A72B12"/>
    <w:rsid w:val="00A742C6"/>
    <w:rsid w:val="00A759C3"/>
    <w:rsid w:val="00A77607"/>
    <w:rsid w:val="00A77BE1"/>
    <w:rsid w:val="00A77D76"/>
    <w:rsid w:val="00A80E92"/>
    <w:rsid w:val="00A81222"/>
    <w:rsid w:val="00A8249C"/>
    <w:rsid w:val="00A82D4B"/>
    <w:rsid w:val="00A82E4B"/>
    <w:rsid w:val="00A837F2"/>
    <w:rsid w:val="00A83896"/>
    <w:rsid w:val="00A84193"/>
    <w:rsid w:val="00A85562"/>
    <w:rsid w:val="00A85589"/>
    <w:rsid w:val="00A867B2"/>
    <w:rsid w:val="00A87051"/>
    <w:rsid w:val="00A930F3"/>
    <w:rsid w:val="00A93472"/>
    <w:rsid w:val="00A93484"/>
    <w:rsid w:val="00A9385F"/>
    <w:rsid w:val="00A93D2F"/>
    <w:rsid w:val="00A94B86"/>
    <w:rsid w:val="00A960A7"/>
    <w:rsid w:val="00A96E5F"/>
    <w:rsid w:val="00AA2505"/>
    <w:rsid w:val="00AA2C0E"/>
    <w:rsid w:val="00AA30DF"/>
    <w:rsid w:val="00AA31CC"/>
    <w:rsid w:val="00AA3413"/>
    <w:rsid w:val="00AA4200"/>
    <w:rsid w:val="00AA5E6B"/>
    <w:rsid w:val="00AB0552"/>
    <w:rsid w:val="00AB342F"/>
    <w:rsid w:val="00AB4183"/>
    <w:rsid w:val="00AB58D5"/>
    <w:rsid w:val="00AB776D"/>
    <w:rsid w:val="00AB7F6C"/>
    <w:rsid w:val="00AC0276"/>
    <w:rsid w:val="00AC1DDE"/>
    <w:rsid w:val="00AC2591"/>
    <w:rsid w:val="00AC5100"/>
    <w:rsid w:val="00AC64A0"/>
    <w:rsid w:val="00AC7BE6"/>
    <w:rsid w:val="00AD076D"/>
    <w:rsid w:val="00AD1B4B"/>
    <w:rsid w:val="00AD2ED2"/>
    <w:rsid w:val="00AD33B0"/>
    <w:rsid w:val="00AD3815"/>
    <w:rsid w:val="00AD4C82"/>
    <w:rsid w:val="00AD4D2B"/>
    <w:rsid w:val="00AD548A"/>
    <w:rsid w:val="00AD6F63"/>
    <w:rsid w:val="00AD7F8B"/>
    <w:rsid w:val="00AE0D87"/>
    <w:rsid w:val="00AE1BF4"/>
    <w:rsid w:val="00AE3DE9"/>
    <w:rsid w:val="00AF00D1"/>
    <w:rsid w:val="00AF17B1"/>
    <w:rsid w:val="00AF1DC3"/>
    <w:rsid w:val="00AF2273"/>
    <w:rsid w:val="00AF3D51"/>
    <w:rsid w:val="00AF722B"/>
    <w:rsid w:val="00AF7280"/>
    <w:rsid w:val="00AF7BC6"/>
    <w:rsid w:val="00B0173D"/>
    <w:rsid w:val="00B02301"/>
    <w:rsid w:val="00B026B0"/>
    <w:rsid w:val="00B06605"/>
    <w:rsid w:val="00B06737"/>
    <w:rsid w:val="00B1057C"/>
    <w:rsid w:val="00B10B97"/>
    <w:rsid w:val="00B10F36"/>
    <w:rsid w:val="00B10FA2"/>
    <w:rsid w:val="00B117D1"/>
    <w:rsid w:val="00B11FF4"/>
    <w:rsid w:val="00B16A2E"/>
    <w:rsid w:val="00B171B3"/>
    <w:rsid w:val="00B17ACA"/>
    <w:rsid w:val="00B2006F"/>
    <w:rsid w:val="00B20F33"/>
    <w:rsid w:val="00B217D2"/>
    <w:rsid w:val="00B2311B"/>
    <w:rsid w:val="00B2582D"/>
    <w:rsid w:val="00B25A7B"/>
    <w:rsid w:val="00B25EE5"/>
    <w:rsid w:val="00B26DEE"/>
    <w:rsid w:val="00B27130"/>
    <w:rsid w:val="00B278A7"/>
    <w:rsid w:val="00B304D4"/>
    <w:rsid w:val="00B3137C"/>
    <w:rsid w:val="00B318FD"/>
    <w:rsid w:val="00B331B2"/>
    <w:rsid w:val="00B35837"/>
    <w:rsid w:val="00B35EED"/>
    <w:rsid w:val="00B41008"/>
    <w:rsid w:val="00B41515"/>
    <w:rsid w:val="00B41A08"/>
    <w:rsid w:val="00B41F69"/>
    <w:rsid w:val="00B4372D"/>
    <w:rsid w:val="00B440EB"/>
    <w:rsid w:val="00B44179"/>
    <w:rsid w:val="00B46102"/>
    <w:rsid w:val="00B46E63"/>
    <w:rsid w:val="00B50B2D"/>
    <w:rsid w:val="00B51709"/>
    <w:rsid w:val="00B52DD1"/>
    <w:rsid w:val="00B53655"/>
    <w:rsid w:val="00B54919"/>
    <w:rsid w:val="00B563C2"/>
    <w:rsid w:val="00B564FE"/>
    <w:rsid w:val="00B6046B"/>
    <w:rsid w:val="00B615C5"/>
    <w:rsid w:val="00B61BD7"/>
    <w:rsid w:val="00B623BA"/>
    <w:rsid w:val="00B62E28"/>
    <w:rsid w:val="00B64D46"/>
    <w:rsid w:val="00B65355"/>
    <w:rsid w:val="00B65B18"/>
    <w:rsid w:val="00B678DF"/>
    <w:rsid w:val="00B7226E"/>
    <w:rsid w:val="00B73ED2"/>
    <w:rsid w:val="00B748BB"/>
    <w:rsid w:val="00B74AE5"/>
    <w:rsid w:val="00B750D1"/>
    <w:rsid w:val="00B759DA"/>
    <w:rsid w:val="00B770D9"/>
    <w:rsid w:val="00B77D0B"/>
    <w:rsid w:val="00B8004D"/>
    <w:rsid w:val="00B814A2"/>
    <w:rsid w:val="00B824D1"/>
    <w:rsid w:val="00B82B9D"/>
    <w:rsid w:val="00B82EAA"/>
    <w:rsid w:val="00B851AB"/>
    <w:rsid w:val="00B93121"/>
    <w:rsid w:val="00B9523B"/>
    <w:rsid w:val="00B96225"/>
    <w:rsid w:val="00B96490"/>
    <w:rsid w:val="00B9785F"/>
    <w:rsid w:val="00BA13B0"/>
    <w:rsid w:val="00BA19FE"/>
    <w:rsid w:val="00BA2141"/>
    <w:rsid w:val="00BA29E7"/>
    <w:rsid w:val="00BA46A3"/>
    <w:rsid w:val="00BA5A4E"/>
    <w:rsid w:val="00BA60F8"/>
    <w:rsid w:val="00BA61EE"/>
    <w:rsid w:val="00BB002F"/>
    <w:rsid w:val="00BB0358"/>
    <w:rsid w:val="00BB0427"/>
    <w:rsid w:val="00BB2396"/>
    <w:rsid w:val="00BB5CE5"/>
    <w:rsid w:val="00BB726D"/>
    <w:rsid w:val="00BC053C"/>
    <w:rsid w:val="00BC07EC"/>
    <w:rsid w:val="00BC0F13"/>
    <w:rsid w:val="00BC1EF4"/>
    <w:rsid w:val="00BC28BD"/>
    <w:rsid w:val="00BC5E29"/>
    <w:rsid w:val="00BC7839"/>
    <w:rsid w:val="00BD0EC5"/>
    <w:rsid w:val="00BD10F1"/>
    <w:rsid w:val="00BD2507"/>
    <w:rsid w:val="00BD2512"/>
    <w:rsid w:val="00BD353A"/>
    <w:rsid w:val="00BD4ED9"/>
    <w:rsid w:val="00BD56AE"/>
    <w:rsid w:val="00BD6675"/>
    <w:rsid w:val="00BE02E0"/>
    <w:rsid w:val="00BE1D16"/>
    <w:rsid w:val="00BE20A2"/>
    <w:rsid w:val="00BE2947"/>
    <w:rsid w:val="00BE55D6"/>
    <w:rsid w:val="00BE6504"/>
    <w:rsid w:val="00BE7200"/>
    <w:rsid w:val="00BF152D"/>
    <w:rsid w:val="00BF16AB"/>
    <w:rsid w:val="00BF19C7"/>
    <w:rsid w:val="00BF25FA"/>
    <w:rsid w:val="00BF3355"/>
    <w:rsid w:val="00BF365C"/>
    <w:rsid w:val="00BF4A6E"/>
    <w:rsid w:val="00BF4FA8"/>
    <w:rsid w:val="00BF7E18"/>
    <w:rsid w:val="00C01D61"/>
    <w:rsid w:val="00C02059"/>
    <w:rsid w:val="00C02CBC"/>
    <w:rsid w:val="00C02DBF"/>
    <w:rsid w:val="00C03332"/>
    <w:rsid w:val="00C05B13"/>
    <w:rsid w:val="00C05B52"/>
    <w:rsid w:val="00C06368"/>
    <w:rsid w:val="00C06C59"/>
    <w:rsid w:val="00C10A57"/>
    <w:rsid w:val="00C10E04"/>
    <w:rsid w:val="00C119BC"/>
    <w:rsid w:val="00C13490"/>
    <w:rsid w:val="00C143E8"/>
    <w:rsid w:val="00C144DF"/>
    <w:rsid w:val="00C14753"/>
    <w:rsid w:val="00C15633"/>
    <w:rsid w:val="00C15961"/>
    <w:rsid w:val="00C16C54"/>
    <w:rsid w:val="00C16EF6"/>
    <w:rsid w:val="00C20CC2"/>
    <w:rsid w:val="00C21069"/>
    <w:rsid w:val="00C25519"/>
    <w:rsid w:val="00C25C8C"/>
    <w:rsid w:val="00C260E2"/>
    <w:rsid w:val="00C26931"/>
    <w:rsid w:val="00C27627"/>
    <w:rsid w:val="00C30A6A"/>
    <w:rsid w:val="00C30BA1"/>
    <w:rsid w:val="00C354E3"/>
    <w:rsid w:val="00C3597F"/>
    <w:rsid w:val="00C410F3"/>
    <w:rsid w:val="00C4455B"/>
    <w:rsid w:val="00C45630"/>
    <w:rsid w:val="00C4697F"/>
    <w:rsid w:val="00C46CD8"/>
    <w:rsid w:val="00C50D63"/>
    <w:rsid w:val="00C51F63"/>
    <w:rsid w:val="00C520B1"/>
    <w:rsid w:val="00C52588"/>
    <w:rsid w:val="00C5317D"/>
    <w:rsid w:val="00C62CF6"/>
    <w:rsid w:val="00C63448"/>
    <w:rsid w:val="00C63C77"/>
    <w:rsid w:val="00C63F35"/>
    <w:rsid w:val="00C64A00"/>
    <w:rsid w:val="00C64E4F"/>
    <w:rsid w:val="00C65CD2"/>
    <w:rsid w:val="00C6675F"/>
    <w:rsid w:val="00C67FFE"/>
    <w:rsid w:val="00C7037E"/>
    <w:rsid w:val="00C71260"/>
    <w:rsid w:val="00C71889"/>
    <w:rsid w:val="00C71A74"/>
    <w:rsid w:val="00C7214E"/>
    <w:rsid w:val="00C73541"/>
    <w:rsid w:val="00C741AF"/>
    <w:rsid w:val="00C75346"/>
    <w:rsid w:val="00C7535C"/>
    <w:rsid w:val="00C75C03"/>
    <w:rsid w:val="00C7648E"/>
    <w:rsid w:val="00C76C41"/>
    <w:rsid w:val="00C8022B"/>
    <w:rsid w:val="00C809FB"/>
    <w:rsid w:val="00C80BB0"/>
    <w:rsid w:val="00C8165C"/>
    <w:rsid w:val="00C82D38"/>
    <w:rsid w:val="00C849ED"/>
    <w:rsid w:val="00C85D0E"/>
    <w:rsid w:val="00C86D30"/>
    <w:rsid w:val="00C8733E"/>
    <w:rsid w:val="00C87D92"/>
    <w:rsid w:val="00C90886"/>
    <w:rsid w:val="00C91101"/>
    <w:rsid w:val="00C91F6A"/>
    <w:rsid w:val="00C92281"/>
    <w:rsid w:val="00C9472B"/>
    <w:rsid w:val="00C94745"/>
    <w:rsid w:val="00C952F7"/>
    <w:rsid w:val="00C95A4E"/>
    <w:rsid w:val="00C97166"/>
    <w:rsid w:val="00C97696"/>
    <w:rsid w:val="00CA00DE"/>
    <w:rsid w:val="00CA05F5"/>
    <w:rsid w:val="00CA0EF5"/>
    <w:rsid w:val="00CA25B9"/>
    <w:rsid w:val="00CA3411"/>
    <w:rsid w:val="00CA39BA"/>
    <w:rsid w:val="00CA60B3"/>
    <w:rsid w:val="00CA6110"/>
    <w:rsid w:val="00CA7591"/>
    <w:rsid w:val="00CA768F"/>
    <w:rsid w:val="00CB02F8"/>
    <w:rsid w:val="00CB27E2"/>
    <w:rsid w:val="00CB2A03"/>
    <w:rsid w:val="00CB44DD"/>
    <w:rsid w:val="00CB5EDC"/>
    <w:rsid w:val="00CB6EDA"/>
    <w:rsid w:val="00CB70D2"/>
    <w:rsid w:val="00CB7958"/>
    <w:rsid w:val="00CC03EF"/>
    <w:rsid w:val="00CC16AB"/>
    <w:rsid w:val="00CC2E35"/>
    <w:rsid w:val="00CC4EF4"/>
    <w:rsid w:val="00CC5AA5"/>
    <w:rsid w:val="00CC7753"/>
    <w:rsid w:val="00CD00D5"/>
    <w:rsid w:val="00CD1035"/>
    <w:rsid w:val="00CD4D3F"/>
    <w:rsid w:val="00CD6A46"/>
    <w:rsid w:val="00CE0DD1"/>
    <w:rsid w:val="00CE2B43"/>
    <w:rsid w:val="00CE34EF"/>
    <w:rsid w:val="00CE7158"/>
    <w:rsid w:val="00CE7384"/>
    <w:rsid w:val="00CF03DC"/>
    <w:rsid w:val="00CF308B"/>
    <w:rsid w:val="00CF3E96"/>
    <w:rsid w:val="00CF6077"/>
    <w:rsid w:val="00CF6B79"/>
    <w:rsid w:val="00CF7042"/>
    <w:rsid w:val="00CF72CD"/>
    <w:rsid w:val="00D001BB"/>
    <w:rsid w:val="00D00741"/>
    <w:rsid w:val="00D01C77"/>
    <w:rsid w:val="00D01DCF"/>
    <w:rsid w:val="00D02CCC"/>
    <w:rsid w:val="00D064C9"/>
    <w:rsid w:val="00D10555"/>
    <w:rsid w:val="00D105DF"/>
    <w:rsid w:val="00D108FD"/>
    <w:rsid w:val="00D15477"/>
    <w:rsid w:val="00D159B4"/>
    <w:rsid w:val="00D165E2"/>
    <w:rsid w:val="00D17239"/>
    <w:rsid w:val="00D17749"/>
    <w:rsid w:val="00D21B2F"/>
    <w:rsid w:val="00D22684"/>
    <w:rsid w:val="00D22D3F"/>
    <w:rsid w:val="00D23F89"/>
    <w:rsid w:val="00D23FF4"/>
    <w:rsid w:val="00D26389"/>
    <w:rsid w:val="00D26660"/>
    <w:rsid w:val="00D305D7"/>
    <w:rsid w:val="00D34426"/>
    <w:rsid w:val="00D405C2"/>
    <w:rsid w:val="00D40C91"/>
    <w:rsid w:val="00D42FA4"/>
    <w:rsid w:val="00D4338A"/>
    <w:rsid w:val="00D4341A"/>
    <w:rsid w:val="00D4486E"/>
    <w:rsid w:val="00D449AE"/>
    <w:rsid w:val="00D45A8D"/>
    <w:rsid w:val="00D5208E"/>
    <w:rsid w:val="00D53085"/>
    <w:rsid w:val="00D5536B"/>
    <w:rsid w:val="00D558BA"/>
    <w:rsid w:val="00D55BBF"/>
    <w:rsid w:val="00D5643B"/>
    <w:rsid w:val="00D569A1"/>
    <w:rsid w:val="00D601F5"/>
    <w:rsid w:val="00D60E39"/>
    <w:rsid w:val="00D62BA7"/>
    <w:rsid w:val="00D62C81"/>
    <w:rsid w:val="00D6308B"/>
    <w:rsid w:val="00D632AF"/>
    <w:rsid w:val="00D6592F"/>
    <w:rsid w:val="00D66AC0"/>
    <w:rsid w:val="00D67296"/>
    <w:rsid w:val="00D73D70"/>
    <w:rsid w:val="00D74BAF"/>
    <w:rsid w:val="00D75BF9"/>
    <w:rsid w:val="00D76414"/>
    <w:rsid w:val="00D771D4"/>
    <w:rsid w:val="00D779B3"/>
    <w:rsid w:val="00D80813"/>
    <w:rsid w:val="00D815D3"/>
    <w:rsid w:val="00D83DD8"/>
    <w:rsid w:val="00D83DF4"/>
    <w:rsid w:val="00D86301"/>
    <w:rsid w:val="00D8659E"/>
    <w:rsid w:val="00D90552"/>
    <w:rsid w:val="00D92479"/>
    <w:rsid w:val="00D9415C"/>
    <w:rsid w:val="00D94296"/>
    <w:rsid w:val="00D957B3"/>
    <w:rsid w:val="00D96401"/>
    <w:rsid w:val="00D96FAA"/>
    <w:rsid w:val="00DA0F93"/>
    <w:rsid w:val="00DA24D4"/>
    <w:rsid w:val="00DA25EE"/>
    <w:rsid w:val="00DA58B9"/>
    <w:rsid w:val="00DB3C97"/>
    <w:rsid w:val="00DB68F0"/>
    <w:rsid w:val="00DB78AA"/>
    <w:rsid w:val="00DC1060"/>
    <w:rsid w:val="00DC1628"/>
    <w:rsid w:val="00DC248C"/>
    <w:rsid w:val="00DC413A"/>
    <w:rsid w:val="00DC442A"/>
    <w:rsid w:val="00DC5D6A"/>
    <w:rsid w:val="00DD02A6"/>
    <w:rsid w:val="00DD0812"/>
    <w:rsid w:val="00DD3616"/>
    <w:rsid w:val="00DD6A8D"/>
    <w:rsid w:val="00DD7F49"/>
    <w:rsid w:val="00DE0A50"/>
    <w:rsid w:val="00DE4D4D"/>
    <w:rsid w:val="00DE5E20"/>
    <w:rsid w:val="00DE6EE1"/>
    <w:rsid w:val="00DE7F9E"/>
    <w:rsid w:val="00DF0748"/>
    <w:rsid w:val="00DF0978"/>
    <w:rsid w:val="00DF39AD"/>
    <w:rsid w:val="00DF4EB3"/>
    <w:rsid w:val="00DF5093"/>
    <w:rsid w:val="00DF6059"/>
    <w:rsid w:val="00DF7285"/>
    <w:rsid w:val="00DF7928"/>
    <w:rsid w:val="00DF7E7C"/>
    <w:rsid w:val="00E01F26"/>
    <w:rsid w:val="00E02248"/>
    <w:rsid w:val="00E0273C"/>
    <w:rsid w:val="00E07150"/>
    <w:rsid w:val="00E07E9E"/>
    <w:rsid w:val="00E12A04"/>
    <w:rsid w:val="00E13B9F"/>
    <w:rsid w:val="00E16108"/>
    <w:rsid w:val="00E218C1"/>
    <w:rsid w:val="00E23653"/>
    <w:rsid w:val="00E25177"/>
    <w:rsid w:val="00E254EA"/>
    <w:rsid w:val="00E313E4"/>
    <w:rsid w:val="00E323A3"/>
    <w:rsid w:val="00E328D2"/>
    <w:rsid w:val="00E328DC"/>
    <w:rsid w:val="00E3290E"/>
    <w:rsid w:val="00E32F75"/>
    <w:rsid w:val="00E33458"/>
    <w:rsid w:val="00E34120"/>
    <w:rsid w:val="00E34F92"/>
    <w:rsid w:val="00E371BB"/>
    <w:rsid w:val="00E44705"/>
    <w:rsid w:val="00E472D4"/>
    <w:rsid w:val="00E47CAE"/>
    <w:rsid w:val="00E5012B"/>
    <w:rsid w:val="00E508CD"/>
    <w:rsid w:val="00E56B25"/>
    <w:rsid w:val="00E60A3C"/>
    <w:rsid w:val="00E62C34"/>
    <w:rsid w:val="00E64E1C"/>
    <w:rsid w:val="00E64FCB"/>
    <w:rsid w:val="00E654E4"/>
    <w:rsid w:val="00E6582D"/>
    <w:rsid w:val="00E67512"/>
    <w:rsid w:val="00E67ACD"/>
    <w:rsid w:val="00E72BAE"/>
    <w:rsid w:val="00E73004"/>
    <w:rsid w:val="00E75750"/>
    <w:rsid w:val="00E759B1"/>
    <w:rsid w:val="00E76D51"/>
    <w:rsid w:val="00E77440"/>
    <w:rsid w:val="00E77B52"/>
    <w:rsid w:val="00E77EFF"/>
    <w:rsid w:val="00E82EBB"/>
    <w:rsid w:val="00E83226"/>
    <w:rsid w:val="00E8446A"/>
    <w:rsid w:val="00E860D9"/>
    <w:rsid w:val="00E866D3"/>
    <w:rsid w:val="00E87BE2"/>
    <w:rsid w:val="00E91DEA"/>
    <w:rsid w:val="00E92EA3"/>
    <w:rsid w:val="00E92EB6"/>
    <w:rsid w:val="00E94062"/>
    <w:rsid w:val="00E94856"/>
    <w:rsid w:val="00E96D8A"/>
    <w:rsid w:val="00E97018"/>
    <w:rsid w:val="00E97784"/>
    <w:rsid w:val="00EA084A"/>
    <w:rsid w:val="00EA132F"/>
    <w:rsid w:val="00EA2107"/>
    <w:rsid w:val="00EA3E08"/>
    <w:rsid w:val="00EA45EE"/>
    <w:rsid w:val="00EA521A"/>
    <w:rsid w:val="00EA560E"/>
    <w:rsid w:val="00EB160C"/>
    <w:rsid w:val="00EB4EA0"/>
    <w:rsid w:val="00EB4FD2"/>
    <w:rsid w:val="00EB701F"/>
    <w:rsid w:val="00EC0035"/>
    <w:rsid w:val="00EC008C"/>
    <w:rsid w:val="00EC147B"/>
    <w:rsid w:val="00EC1A87"/>
    <w:rsid w:val="00EC22A3"/>
    <w:rsid w:val="00EC6006"/>
    <w:rsid w:val="00EC6668"/>
    <w:rsid w:val="00EC6938"/>
    <w:rsid w:val="00EC6AEF"/>
    <w:rsid w:val="00EC75EA"/>
    <w:rsid w:val="00ED07E0"/>
    <w:rsid w:val="00ED09BF"/>
    <w:rsid w:val="00ED1549"/>
    <w:rsid w:val="00ED2990"/>
    <w:rsid w:val="00ED2DC0"/>
    <w:rsid w:val="00ED332A"/>
    <w:rsid w:val="00ED4791"/>
    <w:rsid w:val="00ED4A94"/>
    <w:rsid w:val="00EE1E18"/>
    <w:rsid w:val="00EE3A1F"/>
    <w:rsid w:val="00EE5F98"/>
    <w:rsid w:val="00EE7D3C"/>
    <w:rsid w:val="00EF0039"/>
    <w:rsid w:val="00EF245A"/>
    <w:rsid w:val="00EF4628"/>
    <w:rsid w:val="00EF5046"/>
    <w:rsid w:val="00EF5822"/>
    <w:rsid w:val="00F00E99"/>
    <w:rsid w:val="00F0117C"/>
    <w:rsid w:val="00F030DB"/>
    <w:rsid w:val="00F053C4"/>
    <w:rsid w:val="00F05BCE"/>
    <w:rsid w:val="00F06CCB"/>
    <w:rsid w:val="00F07033"/>
    <w:rsid w:val="00F11D16"/>
    <w:rsid w:val="00F12371"/>
    <w:rsid w:val="00F1362A"/>
    <w:rsid w:val="00F15471"/>
    <w:rsid w:val="00F155F7"/>
    <w:rsid w:val="00F20356"/>
    <w:rsid w:val="00F204F6"/>
    <w:rsid w:val="00F20BE9"/>
    <w:rsid w:val="00F226FB"/>
    <w:rsid w:val="00F227CC"/>
    <w:rsid w:val="00F22C53"/>
    <w:rsid w:val="00F24263"/>
    <w:rsid w:val="00F24DBB"/>
    <w:rsid w:val="00F253A0"/>
    <w:rsid w:val="00F25838"/>
    <w:rsid w:val="00F31BCC"/>
    <w:rsid w:val="00F322D3"/>
    <w:rsid w:val="00F325AA"/>
    <w:rsid w:val="00F3721D"/>
    <w:rsid w:val="00F43A84"/>
    <w:rsid w:val="00F43FC0"/>
    <w:rsid w:val="00F44E43"/>
    <w:rsid w:val="00F46C7F"/>
    <w:rsid w:val="00F47B90"/>
    <w:rsid w:val="00F529D9"/>
    <w:rsid w:val="00F532FC"/>
    <w:rsid w:val="00F53D77"/>
    <w:rsid w:val="00F60B62"/>
    <w:rsid w:val="00F60D0E"/>
    <w:rsid w:val="00F619D8"/>
    <w:rsid w:val="00F63A26"/>
    <w:rsid w:val="00F63A79"/>
    <w:rsid w:val="00F63B8C"/>
    <w:rsid w:val="00F70131"/>
    <w:rsid w:val="00F70231"/>
    <w:rsid w:val="00F72143"/>
    <w:rsid w:val="00F72662"/>
    <w:rsid w:val="00F729F8"/>
    <w:rsid w:val="00F72AD4"/>
    <w:rsid w:val="00F72B7A"/>
    <w:rsid w:val="00F74980"/>
    <w:rsid w:val="00F74A89"/>
    <w:rsid w:val="00F75D50"/>
    <w:rsid w:val="00F7617F"/>
    <w:rsid w:val="00F772E8"/>
    <w:rsid w:val="00F83E23"/>
    <w:rsid w:val="00F840DF"/>
    <w:rsid w:val="00F86AD1"/>
    <w:rsid w:val="00F901BD"/>
    <w:rsid w:val="00F901FD"/>
    <w:rsid w:val="00F919C3"/>
    <w:rsid w:val="00F91C9A"/>
    <w:rsid w:val="00F94A8D"/>
    <w:rsid w:val="00F96348"/>
    <w:rsid w:val="00FA05BF"/>
    <w:rsid w:val="00FA1073"/>
    <w:rsid w:val="00FA108D"/>
    <w:rsid w:val="00FA3259"/>
    <w:rsid w:val="00FA4D38"/>
    <w:rsid w:val="00FA5CB6"/>
    <w:rsid w:val="00FA721D"/>
    <w:rsid w:val="00FA7494"/>
    <w:rsid w:val="00FB1158"/>
    <w:rsid w:val="00FB1DAC"/>
    <w:rsid w:val="00FB2248"/>
    <w:rsid w:val="00FB2A3E"/>
    <w:rsid w:val="00FB515C"/>
    <w:rsid w:val="00FB5F9C"/>
    <w:rsid w:val="00FB68C5"/>
    <w:rsid w:val="00FB6BF3"/>
    <w:rsid w:val="00FB6F13"/>
    <w:rsid w:val="00FB7093"/>
    <w:rsid w:val="00FC1CF1"/>
    <w:rsid w:val="00FC3EE1"/>
    <w:rsid w:val="00FC45BD"/>
    <w:rsid w:val="00FC664E"/>
    <w:rsid w:val="00FD00EE"/>
    <w:rsid w:val="00FD212A"/>
    <w:rsid w:val="00FD3423"/>
    <w:rsid w:val="00FD3B49"/>
    <w:rsid w:val="00FD4B3A"/>
    <w:rsid w:val="00FD7F1D"/>
    <w:rsid w:val="00FE01BE"/>
    <w:rsid w:val="00FE04B5"/>
    <w:rsid w:val="00FE12E7"/>
    <w:rsid w:val="00FE33F0"/>
    <w:rsid w:val="00FE3FC6"/>
    <w:rsid w:val="00FE57A9"/>
    <w:rsid w:val="00FE6EEA"/>
    <w:rsid w:val="00FE7847"/>
    <w:rsid w:val="00FF0520"/>
    <w:rsid w:val="00FF20B9"/>
    <w:rsid w:val="00FF20D1"/>
    <w:rsid w:val="00FF316E"/>
    <w:rsid w:val="00FF3DC6"/>
    <w:rsid w:val="00FF4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6FBE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617F"/>
    <w:pPr>
      <w:spacing w:line="260" w:lineRule="atLeast"/>
    </w:pPr>
    <w:rPr>
      <w:rFonts w:eastAsiaTheme="minorHAnsi" w:cstheme="minorBidi"/>
      <w:sz w:val="22"/>
    </w:rPr>
  </w:style>
  <w:style w:type="paragraph" w:styleId="Heading1">
    <w:name w:val="heading 1"/>
    <w:basedOn w:val="Normal"/>
    <w:next w:val="Normal"/>
    <w:link w:val="Heading1Char"/>
    <w:uiPriority w:val="9"/>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A483B"/>
    <w:pPr>
      <w:keepNext/>
      <w:spacing w:before="240" w:after="60"/>
      <w:outlineLvl w:val="3"/>
    </w:pPr>
    <w:rPr>
      <w:b/>
      <w:bCs/>
      <w:sz w:val="28"/>
      <w:szCs w:val="28"/>
    </w:rPr>
  </w:style>
  <w:style w:type="paragraph" w:styleId="Heading5">
    <w:name w:val="heading 5"/>
    <w:basedOn w:val="Normal"/>
    <w:next w:val="Normal"/>
    <w:link w:val="Heading5Char"/>
    <w:uiPriority w:val="9"/>
    <w:qFormat/>
    <w:rsid w:val="008A483B"/>
    <w:pPr>
      <w:spacing w:before="240" w:after="60"/>
      <w:outlineLvl w:val="4"/>
    </w:pPr>
    <w:rPr>
      <w:b/>
      <w:bCs/>
      <w:i/>
      <w:iCs/>
      <w:sz w:val="26"/>
      <w:szCs w:val="26"/>
    </w:rPr>
  </w:style>
  <w:style w:type="paragraph" w:styleId="Heading6">
    <w:name w:val="heading 6"/>
    <w:basedOn w:val="Normal"/>
    <w:next w:val="Normal"/>
    <w:link w:val="Heading6Char"/>
    <w:qFormat/>
    <w:rsid w:val="008A483B"/>
    <w:pPr>
      <w:spacing w:before="240" w:after="60"/>
      <w:outlineLvl w:val="5"/>
    </w:pPr>
    <w:rPr>
      <w:b/>
      <w:bCs/>
      <w:szCs w:val="22"/>
    </w:rPr>
  </w:style>
  <w:style w:type="paragraph" w:styleId="Heading7">
    <w:name w:val="heading 7"/>
    <w:basedOn w:val="Normal"/>
    <w:next w:val="Normal"/>
    <w:link w:val="Heading7Char"/>
    <w:uiPriority w:val="9"/>
    <w:qFormat/>
    <w:rsid w:val="008A483B"/>
    <w:pPr>
      <w:spacing w:before="240" w:after="60"/>
      <w:outlineLvl w:val="6"/>
    </w:pPr>
  </w:style>
  <w:style w:type="paragraph" w:styleId="Heading8">
    <w:name w:val="heading 8"/>
    <w:basedOn w:val="Normal"/>
    <w:next w:val="Normal"/>
    <w:link w:val="Heading8Char"/>
    <w:uiPriority w:val="9"/>
    <w:qFormat/>
    <w:rsid w:val="008A483B"/>
    <w:pPr>
      <w:spacing w:before="240" w:after="60"/>
      <w:outlineLvl w:val="7"/>
    </w:pPr>
    <w:rPr>
      <w:i/>
      <w:iCs/>
    </w:rPr>
  </w:style>
  <w:style w:type="paragraph" w:styleId="Heading9">
    <w:name w:val="heading 9"/>
    <w:basedOn w:val="Normal"/>
    <w:next w:val="Normal"/>
    <w:link w:val="Heading9Char"/>
    <w:uiPriority w:val="9"/>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F7617F"/>
  </w:style>
  <w:style w:type="character" w:customStyle="1" w:styleId="CharSubPartNoCASA">
    <w:name w:val="CharSubPartNo(CASA)"/>
    <w:basedOn w:val="OPCCharBase"/>
    <w:uiPriority w:val="1"/>
    <w:rsid w:val="00F7617F"/>
  </w:style>
  <w:style w:type="paragraph" w:styleId="Footer">
    <w:name w:val="footer"/>
    <w:link w:val="FooterChar"/>
    <w:rsid w:val="00F7617F"/>
    <w:pPr>
      <w:tabs>
        <w:tab w:val="center" w:pos="4153"/>
        <w:tab w:val="right" w:pos="8306"/>
      </w:tabs>
    </w:pPr>
    <w:rPr>
      <w:sz w:val="22"/>
      <w:szCs w:val="24"/>
      <w:lang w:eastAsia="en-AU"/>
    </w:rPr>
  </w:style>
  <w:style w:type="paragraph" w:customStyle="1" w:styleId="ENoteTTIndentHeadingSub">
    <w:name w:val="ENoteTTIndentHeadingSub"/>
    <w:aliases w:val="enTTHis"/>
    <w:basedOn w:val="OPCParaBase"/>
    <w:rsid w:val="00F7617F"/>
    <w:pPr>
      <w:keepNext/>
      <w:spacing w:before="60" w:line="240" w:lineRule="atLeast"/>
      <w:ind w:left="340"/>
    </w:pPr>
    <w:rPr>
      <w:b/>
      <w:sz w:val="16"/>
    </w:rPr>
  </w:style>
  <w:style w:type="paragraph" w:customStyle="1" w:styleId="ENoteTTiSub">
    <w:name w:val="ENoteTTiSub"/>
    <w:aliases w:val="enttis"/>
    <w:basedOn w:val="OPCParaBase"/>
    <w:rsid w:val="00F7617F"/>
    <w:pPr>
      <w:keepNext/>
      <w:spacing w:before="60" w:line="240" w:lineRule="atLeast"/>
      <w:ind w:left="340"/>
    </w:pPr>
    <w:rPr>
      <w:sz w:val="16"/>
    </w:rPr>
  </w:style>
  <w:style w:type="paragraph" w:customStyle="1" w:styleId="SubDivisionMigration">
    <w:name w:val="SubDivisionMigration"/>
    <w:aliases w:val="sdm"/>
    <w:basedOn w:val="OPCParaBase"/>
    <w:rsid w:val="00F7617F"/>
    <w:pPr>
      <w:keepNext/>
      <w:keepLines/>
      <w:spacing w:before="220" w:line="240" w:lineRule="auto"/>
      <w:ind w:left="1134" w:hanging="1134"/>
    </w:pPr>
    <w:rPr>
      <w:b/>
      <w:sz w:val="26"/>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DivisionMigration">
    <w:name w:val="DivisionMigration"/>
    <w:aliases w:val="dm"/>
    <w:basedOn w:val="OPCParaBase"/>
    <w:next w:val="SubDivisionMigration"/>
    <w:rsid w:val="00F7617F"/>
    <w:pPr>
      <w:keepNext/>
      <w:keepLines/>
      <w:spacing w:before="240" w:line="240" w:lineRule="auto"/>
      <w:ind w:left="1134" w:hanging="1134"/>
    </w:pPr>
    <w:rPr>
      <w:b/>
      <w:sz w:val="28"/>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link w:val="BodyTextFirstIndentChar"/>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F7617F"/>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F7617F"/>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uiPriority w:val="99"/>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617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7617F"/>
  </w:style>
  <w:style w:type="character" w:customStyle="1" w:styleId="CharAmSchText">
    <w:name w:val="CharAmSchText"/>
    <w:basedOn w:val="OPCCharBase"/>
    <w:uiPriority w:val="1"/>
    <w:qFormat/>
    <w:rsid w:val="00F7617F"/>
  </w:style>
  <w:style w:type="character" w:customStyle="1" w:styleId="CharChapNo">
    <w:name w:val="CharChapNo"/>
    <w:basedOn w:val="OPCCharBase"/>
    <w:qFormat/>
    <w:rsid w:val="00F7617F"/>
  </w:style>
  <w:style w:type="character" w:customStyle="1" w:styleId="CharChapText">
    <w:name w:val="CharChapText"/>
    <w:basedOn w:val="OPCCharBase"/>
    <w:qFormat/>
    <w:rsid w:val="00F7617F"/>
  </w:style>
  <w:style w:type="character" w:customStyle="1" w:styleId="CharDivNo">
    <w:name w:val="CharDivNo"/>
    <w:basedOn w:val="OPCCharBase"/>
    <w:uiPriority w:val="1"/>
    <w:qFormat/>
    <w:rsid w:val="00F7617F"/>
  </w:style>
  <w:style w:type="character" w:customStyle="1" w:styleId="CharDivText">
    <w:name w:val="CharDivText"/>
    <w:basedOn w:val="OPCCharBase"/>
    <w:uiPriority w:val="1"/>
    <w:qFormat/>
    <w:rsid w:val="00F7617F"/>
  </w:style>
  <w:style w:type="character" w:customStyle="1" w:styleId="CharPartNo">
    <w:name w:val="CharPartNo"/>
    <w:basedOn w:val="OPCCharBase"/>
    <w:qFormat/>
    <w:rsid w:val="00F7617F"/>
  </w:style>
  <w:style w:type="character" w:customStyle="1" w:styleId="CharPartText">
    <w:name w:val="CharPartText"/>
    <w:basedOn w:val="OPCCharBase"/>
    <w:qFormat/>
    <w:rsid w:val="00F7617F"/>
  </w:style>
  <w:style w:type="character" w:customStyle="1" w:styleId="OPCCharBase">
    <w:name w:val="OPCCharBase"/>
    <w:uiPriority w:val="1"/>
    <w:qFormat/>
    <w:rsid w:val="00F7617F"/>
  </w:style>
  <w:style w:type="paragraph" w:customStyle="1" w:styleId="OPCParaBase">
    <w:name w:val="OPCParaBase"/>
    <w:qFormat/>
    <w:rsid w:val="00F7617F"/>
    <w:pPr>
      <w:spacing w:line="260" w:lineRule="atLeast"/>
    </w:pPr>
    <w:rPr>
      <w:sz w:val="22"/>
      <w:lang w:eastAsia="en-AU"/>
    </w:rPr>
  </w:style>
  <w:style w:type="character" w:customStyle="1" w:styleId="CharSectno">
    <w:name w:val="CharSectno"/>
    <w:basedOn w:val="OPCCharBase"/>
    <w:qFormat/>
    <w:rsid w:val="00F7617F"/>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F7617F"/>
    <w:pPr>
      <w:spacing w:line="240" w:lineRule="auto"/>
      <w:ind w:left="1134"/>
    </w:pPr>
    <w:rPr>
      <w:sz w:val="20"/>
    </w:rPr>
  </w:style>
  <w:style w:type="paragraph" w:customStyle="1" w:styleId="ShortT">
    <w:name w:val="ShortT"/>
    <w:basedOn w:val="OPCParaBase"/>
    <w:next w:val="Normal"/>
    <w:qFormat/>
    <w:rsid w:val="00F7617F"/>
    <w:pPr>
      <w:spacing w:line="240" w:lineRule="auto"/>
    </w:pPr>
    <w:rPr>
      <w:b/>
      <w:sz w:val="40"/>
    </w:rPr>
  </w:style>
  <w:style w:type="paragraph" w:customStyle="1" w:styleId="Penalty">
    <w:name w:val="Penalty"/>
    <w:basedOn w:val="OPCParaBase"/>
    <w:rsid w:val="00F7617F"/>
    <w:pPr>
      <w:tabs>
        <w:tab w:val="left" w:pos="2977"/>
      </w:tabs>
      <w:spacing w:before="180" w:line="240" w:lineRule="auto"/>
      <w:ind w:left="1985" w:hanging="851"/>
    </w:pPr>
  </w:style>
  <w:style w:type="paragraph" w:styleId="TOC1">
    <w:name w:val="toc 1"/>
    <w:basedOn w:val="OPCParaBase"/>
    <w:next w:val="Normal"/>
    <w:uiPriority w:val="39"/>
    <w:unhideWhenUsed/>
    <w:rsid w:val="00F7617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617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7617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7617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7617F"/>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F7617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7617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7617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7617F"/>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7617F"/>
    <w:pPr>
      <w:spacing w:line="240" w:lineRule="auto"/>
    </w:pPr>
    <w:rPr>
      <w:sz w:val="20"/>
    </w:rPr>
  </w:style>
  <w:style w:type="paragraph" w:customStyle="1" w:styleId="ActHead1">
    <w:name w:val="ActHead 1"/>
    <w:aliases w:val="c"/>
    <w:basedOn w:val="OPCParaBase"/>
    <w:next w:val="Normal"/>
    <w:qFormat/>
    <w:rsid w:val="00F7617F"/>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F7617F"/>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n_Main"/>
    <w:basedOn w:val="OPCParaBase"/>
    <w:link w:val="notetextChar"/>
    <w:qFormat/>
    <w:rsid w:val="00F7617F"/>
    <w:pPr>
      <w:spacing w:before="122" w:line="240" w:lineRule="auto"/>
      <w:ind w:left="1985" w:hanging="851"/>
    </w:pPr>
    <w:rPr>
      <w:sz w:val="18"/>
    </w:rPr>
  </w:style>
  <w:style w:type="character" w:customStyle="1" w:styleId="charSubscript">
    <w:name w:val="charSubscript"/>
    <w:rsid w:val="003F0D4E"/>
    <w:rPr>
      <w:color w:val="auto"/>
      <w:sz w:val="20"/>
      <w:vertAlign w:val="subscript"/>
    </w:rPr>
  </w:style>
  <w:style w:type="character" w:customStyle="1" w:styleId="charSuperscript">
    <w:name w:val="charSuperscript"/>
    <w:basedOn w:val="DefaultParagraphFont"/>
    <w:rsid w:val="003F0D4E"/>
    <w:rPr>
      <w:vertAlign w:val="superscript"/>
    </w:rPr>
  </w:style>
  <w:style w:type="character" w:customStyle="1" w:styleId="charsubscript0">
    <w:name w:val="charsubscript"/>
    <w:basedOn w:val="DefaultParagraphFont"/>
    <w:rsid w:val="00FF3DC6"/>
    <w:rPr>
      <w:color w:val="auto"/>
      <w:vertAlign w:val="subscript"/>
    </w:rPr>
  </w:style>
  <w:style w:type="paragraph" w:customStyle="1" w:styleId="ActHead2">
    <w:name w:val="ActHead 2"/>
    <w:aliases w:val="p,h2_Part"/>
    <w:basedOn w:val="OPCParaBase"/>
    <w:next w:val="ActHead3"/>
    <w:qFormat/>
    <w:rsid w:val="00F7617F"/>
    <w:pPr>
      <w:keepNext/>
      <w:keepLines/>
      <w:spacing w:before="280" w:line="240" w:lineRule="auto"/>
      <w:ind w:left="1134" w:hanging="1134"/>
      <w:outlineLvl w:val="1"/>
    </w:pPr>
    <w:rPr>
      <w:b/>
      <w:kern w:val="28"/>
      <w:sz w:val="32"/>
    </w:rPr>
  </w:style>
  <w:style w:type="character" w:customStyle="1" w:styleId="HeaderChar">
    <w:name w:val="Header Char"/>
    <w:basedOn w:val="DefaultParagraphFont"/>
    <w:link w:val="Header"/>
    <w:rsid w:val="00F7617F"/>
    <w:rPr>
      <w:sz w:val="16"/>
      <w:lang w:eastAsia="en-AU"/>
    </w:rPr>
  </w:style>
  <w:style w:type="paragraph" w:customStyle="1" w:styleId="ActHead3">
    <w:name w:val="ActHead 3"/>
    <w:aliases w:val="d"/>
    <w:basedOn w:val="OPCParaBase"/>
    <w:next w:val="ActHead4"/>
    <w:qFormat/>
    <w:rsid w:val="00F761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617F"/>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qFormat/>
    <w:rsid w:val="00F761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61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61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61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61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7617F"/>
  </w:style>
  <w:style w:type="paragraph" w:customStyle="1" w:styleId="Blocks">
    <w:name w:val="Blocks"/>
    <w:aliases w:val="bb"/>
    <w:basedOn w:val="OPCParaBase"/>
    <w:qFormat/>
    <w:rsid w:val="00F7617F"/>
    <w:pPr>
      <w:spacing w:line="240" w:lineRule="auto"/>
    </w:pPr>
    <w:rPr>
      <w:sz w:val="24"/>
    </w:rPr>
  </w:style>
  <w:style w:type="paragraph" w:customStyle="1" w:styleId="BoxText">
    <w:name w:val="BoxText"/>
    <w:aliases w:val="bt"/>
    <w:basedOn w:val="OPCParaBase"/>
    <w:qFormat/>
    <w:rsid w:val="00F761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617F"/>
    <w:rPr>
      <w:b/>
    </w:rPr>
  </w:style>
  <w:style w:type="paragraph" w:customStyle="1" w:styleId="BoxHeadItalic">
    <w:name w:val="BoxHeadItalic"/>
    <w:aliases w:val="bhi"/>
    <w:basedOn w:val="BoxText"/>
    <w:next w:val="BoxStep"/>
    <w:qFormat/>
    <w:rsid w:val="00F7617F"/>
    <w:rPr>
      <w:i/>
    </w:rPr>
  </w:style>
  <w:style w:type="paragraph" w:customStyle="1" w:styleId="BoxList">
    <w:name w:val="BoxList"/>
    <w:aliases w:val="bl"/>
    <w:basedOn w:val="BoxText"/>
    <w:qFormat/>
    <w:rsid w:val="00F7617F"/>
    <w:pPr>
      <w:ind w:left="1559" w:hanging="425"/>
    </w:pPr>
  </w:style>
  <w:style w:type="paragraph" w:customStyle="1" w:styleId="BoxNote">
    <w:name w:val="BoxNote"/>
    <w:aliases w:val="bn"/>
    <w:basedOn w:val="BoxText"/>
    <w:qFormat/>
    <w:rsid w:val="00F7617F"/>
    <w:pPr>
      <w:tabs>
        <w:tab w:val="left" w:pos="1985"/>
      </w:tabs>
      <w:spacing w:before="122" w:line="198" w:lineRule="exact"/>
      <w:ind w:left="2948" w:hanging="1814"/>
    </w:pPr>
    <w:rPr>
      <w:sz w:val="18"/>
    </w:rPr>
  </w:style>
  <w:style w:type="paragraph" w:customStyle="1" w:styleId="BoxPara">
    <w:name w:val="BoxPara"/>
    <w:aliases w:val="bp"/>
    <w:basedOn w:val="BoxText"/>
    <w:qFormat/>
    <w:rsid w:val="00F7617F"/>
    <w:pPr>
      <w:tabs>
        <w:tab w:val="right" w:pos="2268"/>
      </w:tabs>
      <w:ind w:left="2552" w:hanging="1418"/>
    </w:pPr>
  </w:style>
  <w:style w:type="paragraph" w:customStyle="1" w:styleId="BoxStep">
    <w:name w:val="BoxStep"/>
    <w:aliases w:val="bs"/>
    <w:basedOn w:val="BoxText"/>
    <w:qFormat/>
    <w:rsid w:val="00F7617F"/>
    <w:pPr>
      <w:ind w:left="1985" w:hanging="851"/>
    </w:pPr>
  </w:style>
  <w:style w:type="character" w:customStyle="1" w:styleId="CharAmPartNo">
    <w:name w:val="CharAmPartNo"/>
    <w:basedOn w:val="OPCCharBase"/>
    <w:uiPriority w:val="1"/>
    <w:qFormat/>
    <w:rsid w:val="00F7617F"/>
  </w:style>
  <w:style w:type="character" w:customStyle="1" w:styleId="CharAmPartText">
    <w:name w:val="CharAmPartText"/>
    <w:basedOn w:val="OPCCharBase"/>
    <w:uiPriority w:val="1"/>
    <w:qFormat/>
    <w:rsid w:val="00F7617F"/>
  </w:style>
  <w:style w:type="character" w:customStyle="1" w:styleId="CharBoldItalic">
    <w:name w:val="CharBoldItalic"/>
    <w:basedOn w:val="OPCCharBase"/>
    <w:uiPriority w:val="1"/>
    <w:qFormat/>
    <w:rsid w:val="00F7617F"/>
    <w:rPr>
      <w:b/>
      <w:i/>
    </w:rPr>
  </w:style>
  <w:style w:type="character" w:customStyle="1" w:styleId="CharItalic">
    <w:name w:val="CharItalic"/>
    <w:basedOn w:val="OPCCharBase"/>
    <w:uiPriority w:val="1"/>
    <w:qFormat/>
    <w:rsid w:val="00F7617F"/>
    <w:rPr>
      <w:i/>
    </w:rPr>
  </w:style>
  <w:style w:type="character" w:customStyle="1" w:styleId="CharSubdNo">
    <w:name w:val="CharSubdNo"/>
    <w:basedOn w:val="OPCCharBase"/>
    <w:uiPriority w:val="1"/>
    <w:qFormat/>
    <w:rsid w:val="00F7617F"/>
  </w:style>
  <w:style w:type="character" w:customStyle="1" w:styleId="CharSubdText">
    <w:name w:val="CharSubdText"/>
    <w:basedOn w:val="OPCCharBase"/>
    <w:uiPriority w:val="1"/>
    <w:qFormat/>
    <w:rsid w:val="00F7617F"/>
  </w:style>
  <w:style w:type="paragraph" w:customStyle="1" w:styleId="CTA--">
    <w:name w:val="CTA --"/>
    <w:basedOn w:val="OPCParaBase"/>
    <w:next w:val="Normal"/>
    <w:rsid w:val="00F7617F"/>
    <w:pPr>
      <w:spacing w:before="60" w:line="240" w:lineRule="atLeast"/>
      <w:ind w:left="142" w:hanging="142"/>
    </w:pPr>
    <w:rPr>
      <w:sz w:val="20"/>
    </w:rPr>
  </w:style>
  <w:style w:type="paragraph" w:customStyle="1" w:styleId="CTA-">
    <w:name w:val="CTA -"/>
    <w:basedOn w:val="OPCParaBase"/>
    <w:rsid w:val="00F7617F"/>
    <w:pPr>
      <w:spacing w:before="60" w:line="240" w:lineRule="atLeast"/>
      <w:ind w:left="85" w:hanging="85"/>
    </w:pPr>
    <w:rPr>
      <w:sz w:val="20"/>
    </w:rPr>
  </w:style>
  <w:style w:type="paragraph" w:customStyle="1" w:styleId="CTA---">
    <w:name w:val="CTA ---"/>
    <w:basedOn w:val="OPCParaBase"/>
    <w:next w:val="Normal"/>
    <w:rsid w:val="00F7617F"/>
    <w:pPr>
      <w:spacing w:before="60" w:line="240" w:lineRule="atLeast"/>
      <w:ind w:left="198" w:hanging="198"/>
    </w:pPr>
    <w:rPr>
      <w:sz w:val="20"/>
    </w:rPr>
  </w:style>
  <w:style w:type="paragraph" w:customStyle="1" w:styleId="CTA----">
    <w:name w:val="CTA ----"/>
    <w:basedOn w:val="OPCParaBase"/>
    <w:next w:val="Normal"/>
    <w:rsid w:val="00F7617F"/>
    <w:pPr>
      <w:spacing w:before="60" w:line="240" w:lineRule="atLeast"/>
      <w:ind w:left="255" w:hanging="255"/>
    </w:pPr>
    <w:rPr>
      <w:sz w:val="20"/>
    </w:rPr>
  </w:style>
  <w:style w:type="paragraph" w:customStyle="1" w:styleId="CTA1a">
    <w:name w:val="CTA 1(a)"/>
    <w:basedOn w:val="OPCParaBase"/>
    <w:rsid w:val="00F7617F"/>
    <w:pPr>
      <w:tabs>
        <w:tab w:val="right" w:pos="414"/>
      </w:tabs>
      <w:spacing w:before="40" w:line="240" w:lineRule="atLeast"/>
      <w:ind w:left="675" w:hanging="675"/>
    </w:pPr>
    <w:rPr>
      <w:sz w:val="20"/>
    </w:rPr>
  </w:style>
  <w:style w:type="paragraph" w:customStyle="1" w:styleId="CTA1ai">
    <w:name w:val="CTA 1(a)(i)"/>
    <w:basedOn w:val="OPCParaBase"/>
    <w:rsid w:val="00F7617F"/>
    <w:pPr>
      <w:tabs>
        <w:tab w:val="right" w:pos="1004"/>
      </w:tabs>
      <w:spacing w:before="40" w:line="240" w:lineRule="atLeast"/>
      <w:ind w:left="1253" w:hanging="1253"/>
    </w:pPr>
    <w:rPr>
      <w:sz w:val="20"/>
    </w:rPr>
  </w:style>
  <w:style w:type="paragraph" w:customStyle="1" w:styleId="CTA2a">
    <w:name w:val="CTA 2(a)"/>
    <w:basedOn w:val="OPCParaBase"/>
    <w:rsid w:val="00F7617F"/>
    <w:pPr>
      <w:tabs>
        <w:tab w:val="right" w:pos="482"/>
      </w:tabs>
      <w:spacing w:before="40" w:line="240" w:lineRule="atLeast"/>
      <w:ind w:left="748" w:hanging="748"/>
    </w:pPr>
    <w:rPr>
      <w:sz w:val="20"/>
    </w:rPr>
  </w:style>
  <w:style w:type="paragraph" w:customStyle="1" w:styleId="CTA2ai">
    <w:name w:val="CTA 2(a)(i)"/>
    <w:basedOn w:val="OPCParaBase"/>
    <w:rsid w:val="00F7617F"/>
    <w:pPr>
      <w:tabs>
        <w:tab w:val="right" w:pos="1089"/>
      </w:tabs>
      <w:spacing w:before="40" w:line="240" w:lineRule="atLeast"/>
      <w:ind w:left="1327" w:hanging="1327"/>
    </w:pPr>
    <w:rPr>
      <w:sz w:val="20"/>
    </w:rPr>
  </w:style>
  <w:style w:type="paragraph" w:customStyle="1" w:styleId="CTA3a">
    <w:name w:val="CTA 3(a)"/>
    <w:basedOn w:val="OPCParaBase"/>
    <w:rsid w:val="00F7617F"/>
    <w:pPr>
      <w:tabs>
        <w:tab w:val="right" w:pos="556"/>
      </w:tabs>
      <w:spacing w:before="40" w:line="240" w:lineRule="atLeast"/>
      <w:ind w:left="805" w:hanging="805"/>
    </w:pPr>
    <w:rPr>
      <w:sz w:val="20"/>
    </w:rPr>
  </w:style>
  <w:style w:type="paragraph" w:customStyle="1" w:styleId="CTA3ai">
    <w:name w:val="CTA 3(a)(i)"/>
    <w:basedOn w:val="OPCParaBase"/>
    <w:rsid w:val="00F7617F"/>
    <w:pPr>
      <w:tabs>
        <w:tab w:val="right" w:pos="1140"/>
      </w:tabs>
      <w:spacing w:before="40" w:line="240" w:lineRule="atLeast"/>
      <w:ind w:left="1361" w:hanging="1361"/>
    </w:pPr>
    <w:rPr>
      <w:sz w:val="20"/>
    </w:rPr>
  </w:style>
  <w:style w:type="paragraph" w:customStyle="1" w:styleId="CTA4a">
    <w:name w:val="CTA 4(a)"/>
    <w:basedOn w:val="OPCParaBase"/>
    <w:rsid w:val="00F7617F"/>
    <w:pPr>
      <w:tabs>
        <w:tab w:val="right" w:pos="624"/>
      </w:tabs>
      <w:spacing w:before="40" w:line="240" w:lineRule="atLeast"/>
      <w:ind w:left="873" w:hanging="873"/>
    </w:pPr>
    <w:rPr>
      <w:sz w:val="20"/>
    </w:rPr>
  </w:style>
  <w:style w:type="paragraph" w:customStyle="1" w:styleId="CTA4ai">
    <w:name w:val="CTA 4(a)(i)"/>
    <w:basedOn w:val="OPCParaBase"/>
    <w:rsid w:val="00F7617F"/>
    <w:pPr>
      <w:tabs>
        <w:tab w:val="right" w:pos="1213"/>
      </w:tabs>
      <w:spacing w:before="40" w:line="240" w:lineRule="atLeast"/>
      <w:ind w:left="1452" w:hanging="1452"/>
    </w:pPr>
    <w:rPr>
      <w:sz w:val="20"/>
    </w:rPr>
  </w:style>
  <w:style w:type="paragraph" w:customStyle="1" w:styleId="CTACAPS">
    <w:name w:val="CTA CAPS"/>
    <w:basedOn w:val="OPCParaBase"/>
    <w:rsid w:val="00F7617F"/>
    <w:pPr>
      <w:spacing w:before="60" w:line="240" w:lineRule="atLeast"/>
    </w:pPr>
    <w:rPr>
      <w:sz w:val="20"/>
    </w:rPr>
  </w:style>
  <w:style w:type="paragraph" w:customStyle="1" w:styleId="CTAright">
    <w:name w:val="CTA right"/>
    <w:basedOn w:val="OPCParaBase"/>
    <w:rsid w:val="00F7617F"/>
    <w:pPr>
      <w:spacing w:before="60" w:line="240" w:lineRule="auto"/>
      <w:jc w:val="right"/>
    </w:pPr>
    <w:rPr>
      <w:sz w:val="20"/>
    </w:rPr>
  </w:style>
  <w:style w:type="paragraph" w:customStyle="1" w:styleId="subsection">
    <w:name w:val="subsection"/>
    <w:aliases w:val="ss,t_Main,Subsection"/>
    <w:basedOn w:val="OPCParaBase"/>
    <w:link w:val="subsectionChar"/>
    <w:qFormat/>
    <w:rsid w:val="00F7617F"/>
    <w:pPr>
      <w:tabs>
        <w:tab w:val="right" w:pos="1021"/>
      </w:tabs>
      <w:spacing w:before="180" w:line="240" w:lineRule="auto"/>
      <w:ind w:left="1134" w:hanging="1134"/>
    </w:pPr>
  </w:style>
  <w:style w:type="paragraph" w:customStyle="1" w:styleId="Definition">
    <w:name w:val="Definition"/>
    <w:aliases w:val="dd,t_Defn"/>
    <w:basedOn w:val="OPCParaBase"/>
    <w:rsid w:val="00F7617F"/>
    <w:pPr>
      <w:spacing w:before="180" w:line="240" w:lineRule="auto"/>
      <w:ind w:left="1134"/>
    </w:pPr>
  </w:style>
  <w:style w:type="paragraph" w:customStyle="1" w:styleId="EndNotespara">
    <w:name w:val="EndNotes(para)"/>
    <w:aliases w:val="eta"/>
    <w:basedOn w:val="OPCParaBase"/>
    <w:next w:val="EndNotessubpara"/>
    <w:rsid w:val="00F761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61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61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617F"/>
    <w:pPr>
      <w:tabs>
        <w:tab w:val="right" w:pos="1412"/>
      </w:tabs>
      <w:spacing w:before="60" w:line="240" w:lineRule="auto"/>
      <w:ind w:left="1525" w:hanging="1525"/>
    </w:pPr>
    <w:rPr>
      <w:sz w:val="20"/>
    </w:rPr>
  </w:style>
  <w:style w:type="paragraph" w:customStyle="1" w:styleId="House">
    <w:name w:val="House"/>
    <w:basedOn w:val="OPCParaBase"/>
    <w:rsid w:val="00F7617F"/>
    <w:pPr>
      <w:spacing w:line="240" w:lineRule="auto"/>
    </w:pPr>
    <w:rPr>
      <w:sz w:val="28"/>
    </w:rPr>
  </w:style>
  <w:style w:type="paragraph" w:customStyle="1" w:styleId="Item">
    <w:name w:val="Item"/>
    <w:aliases w:val="i"/>
    <w:basedOn w:val="OPCParaBase"/>
    <w:next w:val="ItemHead"/>
    <w:rsid w:val="00F7617F"/>
    <w:pPr>
      <w:keepLines/>
      <w:spacing w:before="80" w:line="240" w:lineRule="auto"/>
      <w:ind w:left="709"/>
    </w:pPr>
  </w:style>
  <w:style w:type="paragraph" w:customStyle="1" w:styleId="ItemHead">
    <w:name w:val="ItemHead"/>
    <w:aliases w:val="ih"/>
    <w:basedOn w:val="OPCParaBase"/>
    <w:next w:val="Item"/>
    <w:rsid w:val="00F761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7617F"/>
    <w:pPr>
      <w:spacing w:line="240" w:lineRule="auto"/>
    </w:pPr>
    <w:rPr>
      <w:b/>
      <w:sz w:val="32"/>
    </w:rPr>
  </w:style>
  <w:style w:type="paragraph" w:customStyle="1" w:styleId="notedraft">
    <w:name w:val="note(draft)"/>
    <w:aliases w:val="nd"/>
    <w:basedOn w:val="OPCParaBase"/>
    <w:rsid w:val="00F7617F"/>
    <w:pPr>
      <w:spacing w:before="240" w:line="240" w:lineRule="auto"/>
      <w:ind w:left="284" w:hanging="284"/>
    </w:pPr>
    <w:rPr>
      <w:i/>
      <w:sz w:val="24"/>
    </w:rPr>
  </w:style>
  <w:style w:type="paragraph" w:customStyle="1" w:styleId="notemargin">
    <w:name w:val="note(margin)"/>
    <w:aliases w:val="nm"/>
    <w:basedOn w:val="OPCParaBase"/>
    <w:rsid w:val="00F7617F"/>
    <w:pPr>
      <w:tabs>
        <w:tab w:val="left" w:pos="709"/>
      </w:tabs>
      <w:spacing w:before="122" w:line="198" w:lineRule="exact"/>
      <w:ind w:left="709" w:hanging="709"/>
    </w:pPr>
    <w:rPr>
      <w:sz w:val="18"/>
    </w:rPr>
  </w:style>
  <w:style w:type="paragraph" w:customStyle="1" w:styleId="noteToPara">
    <w:name w:val="noteToPara"/>
    <w:aliases w:val="ntp"/>
    <w:basedOn w:val="OPCParaBase"/>
    <w:rsid w:val="00F7617F"/>
    <w:pPr>
      <w:spacing w:before="122" w:line="198" w:lineRule="exact"/>
      <w:ind w:left="2353" w:hanging="709"/>
    </w:pPr>
    <w:rPr>
      <w:sz w:val="18"/>
    </w:rPr>
  </w:style>
  <w:style w:type="paragraph" w:customStyle="1" w:styleId="noteParlAmend">
    <w:name w:val="note(ParlAmend)"/>
    <w:aliases w:val="npp"/>
    <w:basedOn w:val="OPCParaBase"/>
    <w:next w:val="ParlAmend"/>
    <w:rsid w:val="00F7617F"/>
    <w:pPr>
      <w:spacing w:line="240" w:lineRule="auto"/>
      <w:jc w:val="right"/>
    </w:pPr>
    <w:rPr>
      <w:rFonts w:ascii="Arial" w:hAnsi="Arial"/>
      <w:b/>
      <w:i/>
    </w:rPr>
  </w:style>
  <w:style w:type="paragraph" w:customStyle="1" w:styleId="Page1">
    <w:name w:val="Page1"/>
    <w:basedOn w:val="OPCParaBase"/>
    <w:rsid w:val="00F7617F"/>
    <w:pPr>
      <w:spacing w:before="5600" w:line="240" w:lineRule="auto"/>
    </w:pPr>
    <w:rPr>
      <w:b/>
      <w:sz w:val="32"/>
    </w:rPr>
  </w:style>
  <w:style w:type="paragraph" w:customStyle="1" w:styleId="paragraphsub">
    <w:name w:val="paragraph(sub)"/>
    <w:aliases w:val="aa,t_Subpara"/>
    <w:basedOn w:val="OPCParaBase"/>
    <w:rsid w:val="00F7617F"/>
    <w:pPr>
      <w:tabs>
        <w:tab w:val="right" w:pos="1985"/>
      </w:tabs>
      <w:spacing w:before="40" w:line="240" w:lineRule="auto"/>
      <w:ind w:left="2098" w:hanging="2098"/>
    </w:pPr>
  </w:style>
  <w:style w:type="paragraph" w:customStyle="1" w:styleId="paragraphsub-sub">
    <w:name w:val="paragraph(sub-sub)"/>
    <w:aliases w:val="aaa"/>
    <w:basedOn w:val="OPCParaBase"/>
    <w:rsid w:val="00F7617F"/>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F7617F"/>
    <w:pPr>
      <w:tabs>
        <w:tab w:val="right" w:pos="1531"/>
      </w:tabs>
      <w:spacing w:before="40" w:line="240" w:lineRule="auto"/>
      <w:ind w:left="1644" w:hanging="1644"/>
    </w:pPr>
  </w:style>
  <w:style w:type="paragraph" w:customStyle="1" w:styleId="ParlAmend">
    <w:name w:val="ParlAmend"/>
    <w:aliases w:val="pp"/>
    <w:basedOn w:val="OPCParaBase"/>
    <w:rsid w:val="00F7617F"/>
    <w:pPr>
      <w:spacing w:before="240" w:line="240" w:lineRule="atLeast"/>
      <w:ind w:hanging="567"/>
    </w:pPr>
    <w:rPr>
      <w:sz w:val="24"/>
    </w:rPr>
  </w:style>
  <w:style w:type="paragraph" w:customStyle="1" w:styleId="Portfolio">
    <w:name w:val="Portfolio"/>
    <w:basedOn w:val="OPCParaBase"/>
    <w:rsid w:val="00F7617F"/>
    <w:pPr>
      <w:spacing w:line="240" w:lineRule="auto"/>
    </w:pPr>
    <w:rPr>
      <w:i/>
      <w:sz w:val="20"/>
    </w:rPr>
  </w:style>
  <w:style w:type="paragraph" w:customStyle="1" w:styleId="Preamble">
    <w:name w:val="Preamble"/>
    <w:basedOn w:val="OPCParaBase"/>
    <w:next w:val="Normal"/>
    <w:rsid w:val="00F761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7617F"/>
    <w:pPr>
      <w:spacing w:line="240" w:lineRule="auto"/>
    </w:pPr>
    <w:rPr>
      <w:i/>
      <w:sz w:val="20"/>
    </w:rPr>
  </w:style>
  <w:style w:type="paragraph" w:customStyle="1" w:styleId="Session">
    <w:name w:val="Session"/>
    <w:basedOn w:val="OPCParaBase"/>
    <w:rsid w:val="00F7617F"/>
    <w:pPr>
      <w:spacing w:line="240" w:lineRule="auto"/>
    </w:pPr>
    <w:rPr>
      <w:sz w:val="28"/>
    </w:rPr>
  </w:style>
  <w:style w:type="paragraph" w:customStyle="1" w:styleId="Sponsor">
    <w:name w:val="Sponsor"/>
    <w:basedOn w:val="OPCParaBase"/>
    <w:rsid w:val="00F7617F"/>
    <w:pPr>
      <w:spacing w:line="240" w:lineRule="auto"/>
    </w:pPr>
    <w:rPr>
      <w:i/>
    </w:rPr>
  </w:style>
  <w:style w:type="paragraph" w:customStyle="1" w:styleId="Subitem">
    <w:name w:val="Subitem"/>
    <w:aliases w:val="iss"/>
    <w:basedOn w:val="OPCParaBase"/>
    <w:rsid w:val="00F7617F"/>
    <w:pPr>
      <w:spacing w:before="180" w:line="240" w:lineRule="auto"/>
      <w:ind w:left="709" w:hanging="709"/>
    </w:pPr>
  </w:style>
  <w:style w:type="paragraph" w:customStyle="1" w:styleId="SubitemHead">
    <w:name w:val="SubitemHead"/>
    <w:aliases w:val="issh"/>
    <w:basedOn w:val="OPCParaBase"/>
    <w:rsid w:val="00F761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617F"/>
    <w:pPr>
      <w:spacing w:before="40" w:line="240" w:lineRule="auto"/>
      <w:ind w:left="1134"/>
    </w:pPr>
  </w:style>
  <w:style w:type="paragraph" w:customStyle="1" w:styleId="SubsectionHead">
    <w:name w:val="SubsectionHead"/>
    <w:aliases w:val="ssh"/>
    <w:basedOn w:val="OPCParaBase"/>
    <w:next w:val="subsection"/>
    <w:rsid w:val="00F7617F"/>
    <w:pPr>
      <w:keepNext/>
      <w:keepLines/>
      <w:spacing w:before="240" w:line="240" w:lineRule="auto"/>
      <w:ind w:left="1134"/>
    </w:pPr>
    <w:rPr>
      <w:i/>
    </w:rPr>
  </w:style>
  <w:style w:type="paragraph" w:customStyle="1" w:styleId="Tablea">
    <w:name w:val="Table(a)"/>
    <w:aliases w:val="ta"/>
    <w:basedOn w:val="OPCParaBase"/>
    <w:rsid w:val="00F7617F"/>
    <w:pPr>
      <w:spacing w:before="60" w:line="240" w:lineRule="auto"/>
      <w:ind w:left="284" w:hanging="284"/>
    </w:pPr>
    <w:rPr>
      <w:sz w:val="20"/>
    </w:rPr>
  </w:style>
  <w:style w:type="paragraph" w:customStyle="1" w:styleId="TableAA">
    <w:name w:val="Table(AA)"/>
    <w:aliases w:val="taaa"/>
    <w:basedOn w:val="OPCParaBase"/>
    <w:rsid w:val="00F761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761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7617F"/>
    <w:pPr>
      <w:spacing w:before="60" w:line="240" w:lineRule="atLeast"/>
    </w:pPr>
    <w:rPr>
      <w:sz w:val="20"/>
    </w:rPr>
  </w:style>
  <w:style w:type="paragraph" w:customStyle="1" w:styleId="TLPBoxTextnote">
    <w:name w:val="TLPBoxText(note"/>
    <w:aliases w:val="right)"/>
    <w:basedOn w:val="OPCParaBase"/>
    <w:rsid w:val="00F761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617F"/>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617F"/>
    <w:pPr>
      <w:spacing w:before="122" w:line="198" w:lineRule="exact"/>
      <w:ind w:left="1985" w:hanging="851"/>
      <w:jc w:val="right"/>
    </w:pPr>
    <w:rPr>
      <w:sz w:val="18"/>
    </w:rPr>
  </w:style>
  <w:style w:type="paragraph" w:customStyle="1" w:styleId="TLPTableBullet">
    <w:name w:val="TLPTableBullet"/>
    <w:aliases w:val="ttb"/>
    <w:basedOn w:val="OPCParaBase"/>
    <w:rsid w:val="00F7617F"/>
    <w:pPr>
      <w:spacing w:line="240" w:lineRule="exact"/>
      <w:ind w:left="284" w:hanging="284"/>
    </w:pPr>
    <w:rPr>
      <w:sz w:val="20"/>
    </w:rPr>
  </w:style>
  <w:style w:type="paragraph" w:customStyle="1" w:styleId="TofSectsGroupHeading">
    <w:name w:val="TofSects(GroupHeading)"/>
    <w:basedOn w:val="OPCParaBase"/>
    <w:next w:val="TofSectsSection"/>
    <w:rsid w:val="00F7617F"/>
    <w:pPr>
      <w:keepLines/>
      <w:spacing w:before="240" w:after="120" w:line="240" w:lineRule="auto"/>
      <w:ind w:left="794"/>
    </w:pPr>
    <w:rPr>
      <w:b/>
      <w:kern w:val="28"/>
      <w:sz w:val="20"/>
    </w:rPr>
  </w:style>
  <w:style w:type="paragraph" w:customStyle="1" w:styleId="TofSectsHeading">
    <w:name w:val="TofSects(Heading)"/>
    <w:basedOn w:val="OPCParaBase"/>
    <w:rsid w:val="00F7617F"/>
    <w:pPr>
      <w:spacing w:before="240" w:after="120" w:line="240" w:lineRule="auto"/>
    </w:pPr>
    <w:rPr>
      <w:b/>
      <w:sz w:val="24"/>
    </w:rPr>
  </w:style>
  <w:style w:type="paragraph" w:customStyle="1" w:styleId="TofSectsSection">
    <w:name w:val="TofSects(Section)"/>
    <w:basedOn w:val="OPCParaBase"/>
    <w:rsid w:val="00F7617F"/>
    <w:pPr>
      <w:keepLines/>
      <w:spacing w:before="40" w:line="240" w:lineRule="auto"/>
      <w:ind w:left="1588" w:hanging="794"/>
    </w:pPr>
    <w:rPr>
      <w:kern w:val="28"/>
      <w:sz w:val="18"/>
    </w:rPr>
  </w:style>
  <w:style w:type="paragraph" w:customStyle="1" w:styleId="TofSectsSubdiv">
    <w:name w:val="TofSects(Subdiv)"/>
    <w:basedOn w:val="OPCParaBase"/>
    <w:rsid w:val="00F7617F"/>
    <w:pPr>
      <w:keepLines/>
      <w:spacing w:before="80" w:line="240" w:lineRule="auto"/>
      <w:ind w:left="1588" w:hanging="794"/>
    </w:pPr>
    <w:rPr>
      <w:kern w:val="28"/>
    </w:rPr>
  </w:style>
  <w:style w:type="paragraph" w:customStyle="1" w:styleId="WRStyle">
    <w:name w:val="WR Style"/>
    <w:aliases w:val="WR"/>
    <w:basedOn w:val="OPCParaBase"/>
    <w:rsid w:val="00F7617F"/>
    <w:pPr>
      <w:spacing w:before="240" w:line="240" w:lineRule="auto"/>
      <w:ind w:left="284" w:hanging="284"/>
    </w:pPr>
    <w:rPr>
      <w:b/>
      <w:i/>
      <w:kern w:val="28"/>
      <w:sz w:val="24"/>
    </w:rPr>
  </w:style>
  <w:style w:type="paragraph" w:customStyle="1" w:styleId="notepara">
    <w:name w:val="note(para)"/>
    <w:aliases w:val="na"/>
    <w:basedOn w:val="OPCParaBase"/>
    <w:rsid w:val="00F7617F"/>
    <w:pPr>
      <w:spacing w:before="40" w:line="198" w:lineRule="exact"/>
      <w:ind w:left="2354" w:hanging="369"/>
    </w:pPr>
    <w:rPr>
      <w:sz w:val="18"/>
    </w:rPr>
  </w:style>
  <w:style w:type="character" w:customStyle="1" w:styleId="FooterChar">
    <w:name w:val="Footer Char"/>
    <w:basedOn w:val="DefaultParagraphFont"/>
    <w:link w:val="Footer"/>
    <w:rsid w:val="00F7617F"/>
    <w:rPr>
      <w:sz w:val="22"/>
      <w:szCs w:val="24"/>
      <w:lang w:eastAsia="en-AU"/>
    </w:rPr>
  </w:style>
  <w:style w:type="table" w:customStyle="1" w:styleId="CFlag">
    <w:name w:val="CFlag"/>
    <w:basedOn w:val="TableNormal"/>
    <w:uiPriority w:val="99"/>
    <w:rsid w:val="00F7617F"/>
    <w:rPr>
      <w:lang w:eastAsia="en-AU"/>
    </w:rPr>
    <w:tblPr/>
  </w:style>
  <w:style w:type="character" w:customStyle="1" w:styleId="BalloonTextChar">
    <w:name w:val="Balloon Text Char"/>
    <w:basedOn w:val="DefaultParagraphFont"/>
    <w:link w:val="BalloonText"/>
    <w:uiPriority w:val="99"/>
    <w:rsid w:val="00F7617F"/>
    <w:rPr>
      <w:rFonts w:ascii="Tahoma" w:eastAsiaTheme="minorHAnsi" w:hAnsi="Tahoma" w:cs="Tahoma"/>
      <w:sz w:val="16"/>
      <w:szCs w:val="16"/>
    </w:rPr>
  </w:style>
  <w:style w:type="paragraph" w:customStyle="1" w:styleId="InstNo">
    <w:name w:val="InstNo"/>
    <w:basedOn w:val="OPCParaBase"/>
    <w:next w:val="Normal"/>
    <w:rsid w:val="00F7617F"/>
    <w:rPr>
      <w:b/>
      <w:sz w:val="28"/>
      <w:szCs w:val="32"/>
    </w:rPr>
  </w:style>
  <w:style w:type="paragraph" w:customStyle="1" w:styleId="LegislationMadeUnder">
    <w:name w:val="LegislationMadeUnder"/>
    <w:basedOn w:val="OPCParaBase"/>
    <w:next w:val="Normal"/>
    <w:rsid w:val="00F7617F"/>
    <w:rPr>
      <w:i/>
      <w:sz w:val="32"/>
      <w:szCs w:val="32"/>
    </w:rPr>
  </w:style>
  <w:style w:type="paragraph" w:customStyle="1" w:styleId="ActHead10">
    <w:name w:val="ActHead 10"/>
    <w:aliases w:val="sp"/>
    <w:basedOn w:val="OPCParaBase"/>
    <w:next w:val="ActHead3"/>
    <w:rsid w:val="00F7617F"/>
    <w:pPr>
      <w:keepNext/>
      <w:spacing w:before="280" w:line="240" w:lineRule="auto"/>
      <w:outlineLvl w:val="1"/>
    </w:pPr>
    <w:rPr>
      <w:b/>
      <w:sz w:val="32"/>
      <w:szCs w:val="30"/>
    </w:rPr>
  </w:style>
  <w:style w:type="paragraph" w:customStyle="1" w:styleId="SignCoverPageEnd">
    <w:name w:val="SignCoverPageEnd"/>
    <w:basedOn w:val="OPCParaBase"/>
    <w:next w:val="Normal"/>
    <w:rsid w:val="00F761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617F"/>
    <w:pPr>
      <w:pBdr>
        <w:top w:val="single" w:sz="4" w:space="1" w:color="auto"/>
      </w:pBdr>
      <w:spacing w:before="360"/>
      <w:ind w:right="397"/>
      <w:jc w:val="both"/>
    </w:pPr>
  </w:style>
  <w:style w:type="paragraph" w:customStyle="1" w:styleId="NotesHeading1">
    <w:name w:val="NotesHeading 1"/>
    <w:basedOn w:val="OPCParaBase"/>
    <w:next w:val="Normal"/>
    <w:rsid w:val="00F7617F"/>
    <w:pPr>
      <w:outlineLvl w:val="0"/>
    </w:pPr>
    <w:rPr>
      <w:b/>
      <w:sz w:val="28"/>
      <w:szCs w:val="28"/>
    </w:rPr>
  </w:style>
  <w:style w:type="paragraph" w:customStyle="1" w:styleId="NotesHeading2">
    <w:name w:val="NotesHeading 2"/>
    <w:basedOn w:val="OPCParaBase"/>
    <w:next w:val="Normal"/>
    <w:rsid w:val="00F7617F"/>
    <w:rPr>
      <w:b/>
      <w:sz w:val="28"/>
      <w:szCs w:val="28"/>
    </w:rPr>
  </w:style>
  <w:style w:type="paragraph" w:customStyle="1" w:styleId="CompiledActNo">
    <w:name w:val="CompiledActNo"/>
    <w:basedOn w:val="OPCParaBase"/>
    <w:next w:val="Normal"/>
    <w:rsid w:val="00F7617F"/>
    <w:rPr>
      <w:b/>
      <w:sz w:val="24"/>
      <w:szCs w:val="24"/>
    </w:rPr>
  </w:style>
  <w:style w:type="paragraph" w:customStyle="1" w:styleId="ENotesText">
    <w:name w:val="ENotesText"/>
    <w:aliases w:val="Ent"/>
    <w:basedOn w:val="OPCParaBase"/>
    <w:next w:val="Normal"/>
    <w:rsid w:val="00F7617F"/>
    <w:pPr>
      <w:spacing w:before="120"/>
    </w:pPr>
  </w:style>
  <w:style w:type="paragraph" w:customStyle="1" w:styleId="CompiledMadeUnder">
    <w:name w:val="CompiledMadeUnder"/>
    <w:basedOn w:val="OPCParaBase"/>
    <w:next w:val="Normal"/>
    <w:rsid w:val="00F7617F"/>
    <w:rPr>
      <w:i/>
      <w:sz w:val="24"/>
      <w:szCs w:val="24"/>
    </w:rPr>
  </w:style>
  <w:style w:type="paragraph" w:customStyle="1" w:styleId="Paragraphsub-sub-sub">
    <w:name w:val="Paragraph(sub-sub-sub)"/>
    <w:aliases w:val="aaaa"/>
    <w:basedOn w:val="OPCParaBase"/>
    <w:rsid w:val="00F7617F"/>
    <w:pPr>
      <w:tabs>
        <w:tab w:val="right" w:pos="3402"/>
      </w:tabs>
      <w:spacing w:before="40" w:line="240" w:lineRule="auto"/>
      <w:ind w:left="3402" w:hanging="3402"/>
    </w:pPr>
  </w:style>
  <w:style w:type="paragraph" w:customStyle="1" w:styleId="TableTextEndNotes">
    <w:name w:val="TableTextEndNotes"/>
    <w:aliases w:val="Tten"/>
    <w:basedOn w:val="Normal"/>
    <w:rsid w:val="00F7617F"/>
    <w:pPr>
      <w:spacing w:before="60" w:line="240" w:lineRule="auto"/>
    </w:pPr>
    <w:rPr>
      <w:rFonts w:cs="Arial"/>
      <w:sz w:val="20"/>
      <w:szCs w:val="22"/>
    </w:rPr>
  </w:style>
  <w:style w:type="paragraph" w:customStyle="1" w:styleId="TableHeading">
    <w:name w:val="TableHeading"/>
    <w:aliases w:val="th"/>
    <w:basedOn w:val="OPCParaBase"/>
    <w:next w:val="Tabletext"/>
    <w:rsid w:val="00F7617F"/>
    <w:pPr>
      <w:keepNext/>
      <w:spacing w:before="60" w:line="240" w:lineRule="atLeast"/>
    </w:pPr>
    <w:rPr>
      <w:b/>
      <w:sz w:val="20"/>
    </w:rPr>
  </w:style>
  <w:style w:type="paragraph" w:customStyle="1" w:styleId="NoteToSubpara">
    <w:name w:val="NoteToSubpara"/>
    <w:aliases w:val="nts"/>
    <w:basedOn w:val="OPCParaBase"/>
    <w:rsid w:val="00F7617F"/>
    <w:pPr>
      <w:spacing w:before="40" w:line="198" w:lineRule="exact"/>
      <w:ind w:left="2835" w:hanging="709"/>
    </w:pPr>
    <w:rPr>
      <w:sz w:val="18"/>
    </w:rPr>
  </w:style>
  <w:style w:type="paragraph" w:customStyle="1" w:styleId="ENoteTableHeading">
    <w:name w:val="ENoteTableHeading"/>
    <w:aliases w:val="enth"/>
    <w:basedOn w:val="OPCParaBase"/>
    <w:rsid w:val="00F7617F"/>
    <w:pPr>
      <w:keepNext/>
      <w:spacing w:before="60" w:line="240" w:lineRule="atLeast"/>
    </w:pPr>
    <w:rPr>
      <w:rFonts w:ascii="Arial" w:hAnsi="Arial"/>
      <w:b/>
      <w:sz w:val="16"/>
    </w:rPr>
  </w:style>
  <w:style w:type="paragraph" w:customStyle="1" w:styleId="ENoteTableText">
    <w:name w:val="ENoteTableText"/>
    <w:aliases w:val="entt"/>
    <w:basedOn w:val="OPCParaBase"/>
    <w:rsid w:val="00F7617F"/>
    <w:pPr>
      <w:spacing w:before="60" w:line="240" w:lineRule="atLeast"/>
    </w:pPr>
    <w:rPr>
      <w:sz w:val="16"/>
    </w:rPr>
  </w:style>
  <w:style w:type="paragraph" w:customStyle="1" w:styleId="ENoteTTi">
    <w:name w:val="ENoteTTi"/>
    <w:aliases w:val="entti"/>
    <w:basedOn w:val="OPCParaBase"/>
    <w:rsid w:val="00F7617F"/>
    <w:pPr>
      <w:keepNext/>
      <w:spacing w:before="60" w:line="240" w:lineRule="atLeast"/>
      <w:ind w:left="170"/>
    </w:pPr>
    <w:rPr>
      <w:sz w:val="16"/>
    </w:rPr>
  </w:style>
  <w:style w:type="paragraph" w:customStyle="1" w:styleId="ENoteTTIndentHeading">
    <w:name w:val="ENoteTTIndentHeading"/>
    <w:aliases w:val="enTTHi"/>
    <w:basedOn w:val="OPCParaBase"/>
    <w:rsid w:val="00F7617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7617F"/>
    <w:pPr>
      <w:spacing w:before="120"/>
      <w:outlineLvl w:val="1"/>
    </w:pPr>
    <w:rPr>
      <w:b/>
      <w:sz w:val="28"/>
      <w:szCs w:val="28"/>
    </w:rPr>
  </w:style>
  <w:style w:type="paragraph" w:customStyle="1" w:styleId="ENotesHeading2">
    <w:name w:val="ENotesHeading 2"/>
    <w:aliases w:val="Enh2"/>
    <w:basedOn w:val="OPCParaBase"/>
    <w:next w:val="Normal"/>
    <w:rsid w:val="00F7617F"/>
    <w:pPr>
      <w:spacing w:before="120" w:after="120"/>
      <w:outlineLvl w:val="2"/>
    </w:pPr>
    <w:rPr>
      <w:b/>
      <w:sz w:val="24"/>
      <w:szCs w:val="28"/>
    </w:rPr>
  </w:style>
  <w:style w:type="paragraph" w:customStyle="1" w:styleId="MadeunderText">
    <w:name w:val="MadeunderText"/>
    <w:basedOn w:val="OPCParaBase"/>
    <w:next w:val="CompiledMadeUnder"/>
    <w:rsid w:val="00F7617F"/>
    <w:pPr>
      <w:spacing w:before="240"/>
    </w:pPr>
    <w:rPr>
      <w:sz w:val="24"/>
      <w:szCs w:val="24"/>
    </w:rPr>
  </w:style>
  <w:style w:type="paragraph" w:customStyle="1" w:styleId="ENotesHeading3">
    <w:name w:val="ENotesHeading 3"/>
    <w:aliases w:val="Enh3"/>
    <w:basedOn w:val="OPCParaBase"/>
    <w:next w:val="Normal"/>
    <w:rsid w:val="00F7617F"/>
    <w:pPr>
      <w:keepNext/>
      <w:spacing w:before="120" w:line="240" w:lineRule="auto"/>
      <w:outlineLvl w:val="4"/>
    </w:pPr>
    <w:rPr>
      <w:b/>
      <w:szCs w:val="24"/>
    </w:rPr>
  </w:style>
  <w:style w:type="paragraph" w:customStyle="1" w:styleId="SubPartCASA">
    <w:name w:val="SubPart(CASA)"/>
    <w:aliases w:val="csp"/>
    <w:basedOn w:val="OPCParaBase"/>
    <w:next w:val="ActHead3"/>
    <w:rsid w:val="00F7617F"/>
    <w:pPr>
      <w:keepNext/>
      <w:keepLines/>
      <w:spacing w:before="280"/>
      <w:outlineLvl w:val="1"/>
    </w:pPr>
    <w:rPr>
      <w:b/>
      <w:kern w:val="28"/>
      <w:sz w:val="32"/>
    </w:rPr>
  </w:style>
  <w:style w:type="character" w:customStyle="1" w:styleId="Heading1Char">
    <w:name w:val="Heading 1 Char"/>
    <w:basedOn w:val="DefaultParagraphFont"/>
    <w:link w:val="Heading1"/>
    <w:uiPriority w:val="9"/>
    <w:rsid w:val="002A2804"/>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2A2804"/>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uiPriority w:val="9"/>
    <w:rsid w:val="002A2804"/>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2A2804"/>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2A2804"/>
    <w:rPr>
      <w:rFonts w:eastAsiaTheme="minorHAnsi" w:cstheme="minorBidi"/>
      <w:b/>
      <w:bCs/>
      <w:i/>
      <w:iCs/>
      <w:sz w:val="26"/>
      <w:szCs w:val="26"/>
      <w:lang w:eastAsia="en-US"/>
    </w:rPr>
  </w:style>
  <w:style w:type="character" w:customStyle="1" w:styleId="Heading6Char">
    <w:name w:val="Heading 6 Char"/>
    <w:basedOn w:val="DefaultParagraphFont"/>
    <w:link w:val="Heading6"/>
    <w:rsid w:val="002A2804"/>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2A2804"/>
    <w:rPr>
      <w:rFonts w:eastAsiaTheme="minorHAnsi" w:cstheme="minorBidi"/>
      <w:sz w:val="22"/>
      <w:lang w:eastAsia="en-US"/>
    </w:rPr>
  </w:style>
  <w:style w:type="character" w:customStyle="1" w:styleId="Heading8Char">
    <w:name w:val="Heading 8 Char"/>
    <w:basedOn w:val="DefaultParagraphFont"/>
    <w:link w:val="Heading8"/>
    <w:uiPriority w:val="9"/>
    <w:rsid w:val="002A2804"/>
    <w:rPr>
      <w:rFonts w:eastAsiaTheme="minorHAnsi" w:cstheme="minorBidi"/>
      <w:i/>
      <w:iCs/>
      <w:sz w:val="22"/>
      <w:lang w:eastAsia="en-US"/>
    </w:rPr>
  </w:style>
  <w:style w:type="character" w:customStyle="1" w:styleId="Heading9Char">
    <w:name w:val="Heading 9 Char"/>
    <w:basedOn w:val="DefaultParagraphFont"/>
    <w:link w:val="Heading9"/>
    <w:uiPriority w:val="9"/>
    <w:rsid w:val="002A2804"/>
    <w:rPr>
      <w:rFonts w:ascii="Arial" w:eastAsiaTheme="minorHAnsi" w:hAnsi="Arial" w:cs="Arial"/>
      <w:sz w:val="22"/>
      <w:szCs w:val="22"/>
      <w:lang w:eastAsia="en-US"/>
    </w:rPr>
  </w:style>
  <w:style w:type="paragraph" w:customStyle="1" w:styleId="TableP1a">
    <w:name w:val="TableP1(a)"/>
    <w:basedOn w:val="Normal"/>
    <w:rsid w:val="00272216"/>
    <w:pPr>
      <w:tabs>
        <w:tab w:val="right" w:pos="408"/>
      </w:tabs>
      <w:spacing w:after="60" w:line="240" w:lineRule="exact"/>
      <w:ind w:left="533" w:hanging="533"/>
    </w:pPr>
    <w:rPr>
      <w:rFonts w:eastAsia="Times New Roman" w:cs="Times New Roman"/>
      <w:szCs w:val="24"/>
    </w:rPr>
  </w:style>
  <w:style w:type="paragraph" w:customStyle="1" w:styleId="TableText0">
    <w:name w:val="TableText"/>
    <w:basedOn w:val="Normal"/>
    <w:rsid w:val="00272216"/>
    <w:pPr>
      <w:spacing w:before="60" w:after="60" w:line="240" w:lineRule="exact"/>
    </w:pPr>
    <w:rPr>
      <w:rFonts w:eastAsia="Times New Roman" w:cs="Times New Roman"/>
      <w:szCs w:val="24"/>
    </w:rPr>
  </w:style>
  <w:style w:type="character" w:customStyle="1" w:styleId="Subscript">
    <w:name w:val="Subscript"/>
    <w:rsid w:val="00926860"/>
    <w:rPr>
      <w:color w:val="auto"/>
      <w:sz w:val="20"/>
      <w:vertAlign w:val="subscript"/>
    </w:rPr>
  </w:style>
  <w:style w:type="paragraph" w:customStyle="1" w:styleId="definition0">
    <w:name w:val="definition"/>
    <w:basedOn w:val="Normal"/>
    <w:rsid w:val="006118DB"/>
    <w:pPr>
      <w:spacing w:before="80" w:line="260" w:lineRule="exact"/>
      <w:ind w:left="964"/>
      <w:jc w:val="both"/>
    </w:pPr>
    <w:rPr>
      <w:rFonts w:eastAsia="Times New Roman" w:cs="Times New Roman"/>
      <w:sz w:val="24"/>
      <w:szCs w:val="24"/>
    </w:rPr>
  </w:style>
  <w:style w:type="paragraph" w:customStyle="1" w:styleId="ZRcN">
    <w:name w:val="ZRcN"/>
    <w:basedOn w:val="Normal"/>
    <w:rsid w:val="006118DB"/>
    <w:pPr>
      <w:keepNext/>
      <w:spacing w:before="60" w:line="260" w:lineRule="exact"/>
      <w:ind w:left="964"/>
      <w:jc w:val="both"/>
    </w:pPr>
    <w:rPr>
      <w:rFonts w:eastAsia="Times New Roman" w:cs="Times New Roman"/>
      <w:sz w:val="24"/>
      <w:szCs w:val="24"/>
    </w:rPr>
  </w:style>
  <w:style w:type="character" w:customStyle="1" w:styleId="subsectionChar">
    <w:name w:val="subsection Char"/>
    <w:aliases w:val="ss Char"/>
    <w:basedOn w:val="DefaultParagraphFont"/>
    <w:link w:val="subsection"/>
    <w:locked/>
    <w:rsid w:val="00925F30"/>
    <w:rPr>
      <w:sz w:val="22"/>
      <w:lang w:eastAsia="en-AU"/>
    </w:rPr>
  </w:style>
  <w:style w:type="paragraph" w:customStyle="1" w:styleId="FreeForm">
    <w:name w:val="FreeForm"/>
    <w:rsid w:val="00F7617F"/>
    <w:rPr>
      <w:rFonts w:ascii="Arial" w:eastAsiaTheme="minorHAnsi" w:hAnsi="Arial" w:cstheme="minorBidi"/>
      <w:sz w:val="22"/>
    </w:rPr>
  </w:style>
  <w:style w:type="paragraph" w:customStyle="1" w:styleId="SOText">
    <w:name w:val="SO Text"/>
    <w:aliases w:val="sot"/>
    <w:link w:val="SOTextChar"/>
    <w:rsid w:val="00F761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F7617F"/>
    <w:rPr>
      <w:rFonts w:eastAsiaTheme="minorHAnsi" w:cstheme="minorBidi"/>
      <w:sz w:val="22"/>
    </w:rPr>
  </w:style>
  <w:style w:type="paragraph" w:customStyle="1" w:styleId="SOTextNote">
    <w:name w:val="SO TextNote"/>
    <w:aliases w:val="sont"/>
    <w:basedOn w:val="SOText"/>
    <w:qFormat/>
    <w:rsid w:val="00F7617F"/>
    <w:pPr>
      <w:spacing w:before="122" w:line="198" w:lineRule="exact"/>
      <w:ind w:left="1843" w:hanging="709"/>
    </w:pPr>
    <w:rPr>
      <w:sz w:val="18"/>
    </w:rPr>
  </w:style>
  <w:style w:type="paragraph" w:customStyle="1" w:styleId="SOPara">
    <w:name w:val="SO Para"/>
    <w:aliases w:val="soa"/>
    <w:basedOn w:val="SOText"/>
    <w:link w:val="SOParaChar"/>
    <w:qFormat/>
    <w:rsid w:val="00F7617F"/>
    <w:pPr>
      <w:tabs>
        <w:tab w:val="right" w:pos="1786"/>
      </w:tabs>
      <w:spacing w:before="40"/>
      <w:ind w:left="2070" w:hanging="936"/>
    </w:pPr>
  </w:style>
  <w:style w:type="character" w:customStyle="1" w:styleId="SOParaChar">
    <w:name w:val="SO Para Char"/>
    <w:aliases w:val="soa Char"/>
    <w:basedOn w:val="DefaultParagraphFont"/>
    <w:link w:val="SOPara"/>
    <w:rsid w:val="00F7617F"/>
    <w:rPr>
      <w:rFonts w:eastAsiaTheme="minorHAnsi" w:cstheme="minorBidi"/>
      <w:sz w:val="22"/>
    </w:rPr>
  </w:style>
  <w:style w:type="paragraph" w:customStyle="1" w:styleId="FileName">
    <w:name w:val="FileName"/>
    <w:basedOn w:val="Normal"/>
    <w:rsid w:val="00F7617F"/>
  </w:style>
  <w:style w:type="paragraph" w:customStyle="1" w:styleId="SOHeadBold">
    <w:name w:val="SO HeadBold"/>
    <w:aliases w:val="sohb"/>
    <w:basedOn w:val="SOText"/>
    <w:next w:val="SOText"/>
    <w:link w:val="SOHeadBoldChar"/>
    <w:qFormat/>
    <w:rsid w:val="00F7617F"/>
    <w:rPr>
      <w:b/>
    </w:rPr>
  </w:style>
  <w:style w:type="character" w:customStyle="1" w:styleId="SOHeadBoldChar">
    <w:name w:val="SO HeadBold Char"/>
    <w:aliases w:val="sohb Char"/>
    <w:basedOn w:val="DefaultParagraphFont"/>
    <w:link w:val="SOHeadBold"/>
    <w:rsid w:val="00F7617F"/>
    <w:rPr>
      <w:rFonts w:eastAsiaTheme="minorHAnsi" w:cstheme="minorBidi"/>
      <w:b/>
      <w:sz w:val="22"/>
    </w:rPr>
  </w:style>
  <w:style w:type="paragraph" w:customStyle="1" w:styleId="SOHeadItalic">
    <w:name w:val="SO HeadItalic"/>
    <w:aliases w:val="sohi"/>
    <w:basedOn w:val="SOText"/>
    <w:next w:val="SOText"/>
    <w:link w:val="SOHeadItalicChar"/>
    <w:qFormat/>
    <w:rsid w:val="00F7617F"/>
    <w:rPr>
      <w:i/>
    </w:rPr>
  </w:style>
  <w:style w:type="character" w:customStyle="1" w:styleId="SOHeadItalicChar">
    <w:name w:val="SO HeadItalic Char"/>
    <w:aliases w:val="sohi Char"/>
    <w:basedOn w:val="DefaultParagraphFont"/>
    <w:link w:val="SOHeadItalic"/>
    <w:rsid w:val="00F7617F"/>
    <w:rPr>
      <w:rFonts w:eastAsiaTheme="minorHAnsi" w:cstheme="minorBidi"/>
      <w:i/>
      <w:sz w:val="22"/>
    </w:rPr>
  </w:style>
  <w:style w:type="paragraph" w:customStyle="1" w:styleId="SOBullet">
    <w:name w:val="SO Bullet"/>
    <w:aliases w:val="sotb"/>
    <w:basedOn w:val="SOText"/>
    <w:link w:val="SOBulletChar"/>
    <w:qFormat/>
    <w:rsid w:val="00F7617F"/>
    <w:pPr>
      <w:ind w:left="1559" w:hanging="425"/>
    </w:pPr>
  </w:style>
  <w:style w:type="character" w:customStyle="1" w:styleId="SOBulletChar">
    <w:name w:val="SO Bullet Char"/>
    <w:aliases w:val="sotb Char"/>
    <w:basedOn w:val="DefaultParagraphFont"/>
    <w:link w:val="SOBullet"/>
    <w:rsid w:val="00F7617F"/>
    <w:rPr>
      <w:rFonts w:eastAsiaTheme="minorHAnsi" w:cstheme="minorBidi"/>
      <w:sz w:val="22"/>
    </w:rPr>
  </w:style>
  <w:style w:type="paragraph" w:customStyle="1" w:styleId="SOBulletNote">
    <w:name w:val="SO BulletNote"/>
    <w:aliases w:val="sonb"/>
    <w:basedOn w:val="SOTextNote"/>
    <w:link w:val="SOBulletNoteChar"/>
    <w:qFormat/>
    <w:rsid w:val="00F7617F"/>
    <w:pPr>
      <w:tabs>
        <w:tab w:val="left" w:pos="1560"/>
      </w:tabs>
      <w:ind w:left="2268" w:hanging="1134"/>
    </w:pPr>
  </w:style>
  <w:style w:type="character" w:customStyle="1" w:styleId="SOBulletNoteChar">
    <w:name w:val="SO BulletNote Char"/>
    <w:aliases w:val="sonb Char"/>
    <w:basedOn w:val="DefaultParagraphFont"/>
    <w:link w:val="SOBulletNote"/>
    <w:rsid w:val="00F7617F"/>
    <w:rPr>
      <w:rFonts w:eastAsiaTheme="minorHAnsi" w:cstheme="minorBidi"/>
      <w:sz w:val="18"/>
    </w:rPr>
  </w:style>
  <w:style w:type="character" w:customStyle="1" w:styleId="BodyTextFirstIndentChar">
    <w:name w:val="Body Text First Indent Char"/>
    <w:basedOn w:val="DefaultParagraphFont"/>
    <w:link w:val="BodyTextFirstIndent"/>
    <w:rsid w:val="00473D46"/>
    <w:rPr>
      <w:rFonts w:eastAsiaTheme="minorHAnsi" w:cstheme="minorBidi"/>
      <w:sz w:val="22"/>
    </w:rPr>
  </w:style>
  <w:style w:type="character" w:customStyle="1" w:styleId="notetextChar">
    <w:name w:val="note(text) Char"/>
    <w:aliases w:val="n Char"/>
    <w:basedOn w:val="DefaultParagraphFont"/>
    <w:link w:val="notetext"/>
    <w:rsid w:val="00702712"/>
    <w:rPr>
      <w:sz w:val="18"/>
      <w:lang w:eastAsia="en-AU"/>
    </w:rPr>
  </w:style>
  <w:style w:type="character" w:customStyle="1" w:styleId="paragraphChar">
    <w:name w:val="paragraph Char"/>
    <w:aliases w:val="a Char"/>
    <w:basedOn w:val="DefaultParagraphFont"/>
    <w:link w:val="paragraph"/>
    <w:locked/>
    <w:rsid w:val="008251F2"/>
    <w:rPr>
      <w:sz w:val="22"/>
      <w:lang w:eastAsia="en-AU"/>
    </w:rPr>
  </w:style>
  <w:style w:type="paragraph" w:customStyle="1" w:styleId="EnStatement">
    <w:name w:val="EnStatement"/>
    <w:basedOn w:val="Normal"/>
    <w:rsid w:val="00F7617F"/>
    <w:pPr>
      <w:numPr>
        <w:numId w:val="49"/>
      </w:numPr>
    </w:pPr>
    <w:rPr>
      <w:rFonts w:eastAsia="Times New Roman" w:cs="Times New Roman"/>
      <w:lang w:eastAsia="en-AU"/>
    </w:rPr>
  </w:style>
  <w:style w:type="paragraph" w:customStyle="1" w:styleId="EnStatementHeading">
    <w:name w:val="EnStatementHeading"/>
    <w:basedOn w:val="Normal"/>
    <w:rsid w:val="00F7617F"/>
    <w:rPr>
      <w:rFonts w:eastAsia="Times New Roman" w:cs="Times New Roman"/>
      <w:b/>
      <w:lang w:eastAsia="en-AU"/>
    </w:rPr>
  </w:style>
  <w:style w:type="paragraph" w:styleId="Revision">
    <w:name w:val="Revision"/>
    <w:hidden/>
    <w:uiPriority w:val="99"/>
    <w:semiHidden/>
    <w:rsid w:val="00E64FCB"/>
    <w:rPr>
      <w:rFonts w:eastAsiaTheme="minorHAnsi" w:cstheme="minorBidi"/>
      <w:sz w:val="22"/>
    </w:rPr>
  </w:style>
  <w:style w:type="paragraph" w:customStyle="1" w:styleId="Transitional">
    <w:name w:val="Transitional"/>
    <w:aliases w:val="tr"/>
    <w:basedOn w:val="Normal"/>
    <w:next w:val="Normal"/>
    <w:rsid w:val="00F7617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01201">
      <w:bodyDiv w:val="1"/>
      <w:marLeft w:val="0"/>
      <w:marRight w:val="0"/>
      <w:marTop w:val="0"/>
      <w:marBottom w:val="0"/>
      <w:divBdr>
        <w:top w:val="none" w:sz="0" w:space="0" w:color="auto"/>
        <w:left w:val="none" w:sz="0" w:space="0" w:color="auto"/>
        <w:bottom w:val="none" w:sz="0" w:space="0" w:color="auto"/>
        <w:right w:val="none" w:sz="0" w:space="0" w:color="auto"/>
      </w:divBdr>
    </w:div>
    <w:div w:id="128747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2.bin"/><Relationship Id="rId299" Type="http://schemas.openxmlformats.org/officeDocument/2006/relationships/footer" Target="footer13.xml"/><Relationship Id="rId303" Type="http://schemas.openxmlformats.org/officeDocument/2006/relationships/theme" Target="theme/theme1.xml"/><Relationship Id="rId21" Type="http://schemas.openxmlformats.org/officeDocument/2006/relationships/header" Target="header4.xml"/><Relationship Id="rId42" Type="http://schemas.openxmlformats.org/officeDocument/2006/relationships/image" Target="media/image18.wmf"/><Relationship Id="rId63" Type="http://schemas.openxmlformats.org/officeDocument/2006/relationships/oleObject" Target="embeddings/oleObject2.bin"/><Relationship Id="rId84" Type="http://schemas.openxmlformats.org/officeDocument/2006/relationships/image" Target="media/image58.wmf"/><Relationship Id="rId138" Type="http://schemas.openxmlformats.org/officeDocument/2006/relationships/oleObject" Target="embeddings/oleObject17.bin"/><Relationship Id="rId159" Type="http://schemas.openxmlformats.org/officeDocument/2006/relationships/oleObject" Target="embeddings/oleObject19.bin"/><Relationship Id="rId170" Type="http://schemas.openxmlformats.org/officeDocument/2006/relationships/image" Target="media/image128.wmf"/><Relationship Id="rId191" Type="http://schemas.openxmlformats.org/officeDocument/2006/relationships/image" Target="media/image147.wmf"/><Relationship Id="rId205" Type="http://schemas.openxmlformats.org/officeDocument/2006/relationships/image" Target="media/image156.wmf"/><Relationship Id="rId226" Type="http://schemas.openxmlformats.org/officeDocument/2006/relationships/image" Target="media/image169.wmf"/><Relationship Id="rId247" Type="http://schemas.openxmlformats.org/officeDocument/2006/relationships/oleObject" Target="embeddings/oleObject41.bin"/><Relationship Id="rId107" Type="http://schemas.openxmlformats.org/officeDocument/2006/relationships/image" Target="media/image75.wmf"/><Relationship Id="rId268" Type="http://schemas.openxmlformats.org/officeDocument/2006/relationships/image" Target="media/image197.wmf"/><Relationship Id="rId289" Type="http://schemas.openxmlformats.org/officeDocument/2006/relationships/footer" Target="footer8.xml"/><Relationship Id="rId11" Type="http://schemas.openxmlformats.org/officeDocument/2006/relationships/footnotes" Target="footnotes.xml"/><Relationship Id="rId32" Type="http://schemas.openxmlformats.org/officeDocument/2006/relationships/image" Target="media/image8.wmf"/><Relationship Id="rId53" Type="http://schemas.openxmlformats.org/officeDocument/2006/relationships/image" Target="media/image29.wmf"/><Relationship Id="rId74" Type="http://schemas.openxmlformats.org/officeDocument/2006/relationships/image" Target="media/image49.wmf"/><Relationship Id="rId128" Type="http://schemas.openxmlformats.org/officeDocument/2006/relationships/image" Target="media/image89.wmf"/><Relationship Id="rId149" Type="http://schemas.openxmlformats.org/officeDocument/2006/relationships/image" Target="media/image108.wmf"/><Relationship Id="rId5" Type="http://schemas.openxmlformats.org/officeDocument/2006/relationships/customXml" Target="../customXml/item5.xml"/><Relationship Id="rId95" Type="http://schemas.openxmlformats.org/officeDocument/2006/relationships/image" Target="media/image66.wmf"/><Relationship Id="rId160" Type="http://schemas.openxmlformats.org/officeDocument/2006/relationships/image" Target="media/image118.wmf"/><Relationship Id="rId181" Type="http://schemas.openxmlformats.org/officeDocument/2006/relationships/image" Target="media/image139.wmf"/><Relationship Id="rId216" Type="http://schemas.openxmlformats.org/officeDocument/2006/relationships/image" Target="media/image164.wmf"/><Relationship Id="rId237" Type="http://schemas.openxmlformats.org/officeDocument/2006/relationships/image" Target="media/image175.wmf"/><Relationship Id="rId258" Type="http://schemas.openxmlformats.org/officeDocument/2006/relationships/image" Target="media/image189.wmf"/><Relationship Id="rId279" Type="http://schemas.openxmlformats.org/officeDocument/2006/relationships/image" Target="media/image206.wmf"/><Relationship Id="rId22" Type="http://schemas.openxmlformats.org/officeDocument/2006/relationships/header" Target="header5.xml"/><Relationship Id="rId43" Type="http://schemas.openxmlformats.org/officeDocument/2006/relationships/image" Target="media/image19.wmf"/><Relationship Id="rId64" Type="http://schemas.openxmlformats.org/officeDocument/2006/relationships/image" Target="media/image39.wmf"/><Relationship Id="rId118" Type="http://schemas.openxmlformats.org/officeDocument/2006/relationships/image" Target="media/image83.wmf"/><Relationship Id="rId139" Type="http://schemas.openxmlformats.org/officeDocument/2006/relationships/image" Target="media/image99.wmf"/><Relationship Id="rId290" Type="http://schemas.openxmlformats.org/officeDocument/2006/relationships/header" Target="header10.xml"/><Relationship Id="rId85" Type="http://schemas.openxmlformats.org/officeDocument/2006/relationships/oleObject" Target="embeddings/oleObject4.bin"/><Relationship Id="rId150" Type="http://schemas.openxmlformats.org/officeDocument/2006/relationships/image" Target="media/image109.wmf"/><Relationship Id="rId171" Type="http://schemas.openxmlformats.org/officeDocument/2006/relationships/image" Target="media/image129.wmf"/><Relationship Id="rId192" Type="http://schemas.openxmlformats.org/officeDocument/2006/relationships/image" Target="media/image148.wmf"/><Relationship Id="rId206" Type="http://schemas.openxmlformats.org/officeDocument/2006/relationships/image" Target="media/image157.wmf"/><Relationship Id="rId227" Type="http://schemas.openxmlformats.org/officeDocument/2006/relationships/oleObject" Target="embeddings/oleObject35.bin"/><Relationship Id="rId248" Type="http://schemas.openxmlformats.org/officeDocument/2006/relationships/image" Target="media/image184.wmf"/><Relationship Id="rId269" Type="http://schemas.openxmlformats.org/officeDocument/2006/relationships/image" Target="media/image198.wmf"/><Relationship Id="rId12" Type="http://schemas.openxmlformats.org/officeDocument/2006/relationships/endnotes" Target="endnotes.xml"/><Relationship Id="rId33" Type="http://schemas.openxmlformats.org/officeDocument/2006/relationships/image" Target="media/image9.wmf"/><Relationship Id="rId108" Type="http://schemas.openxmlformats.org/officeDocument/2006/relationships/oleObject" Target="embeddings/oleObject10.bin"/><Relationship Id="rId129" Type="http://schemas.openxmlformats.org/officeDocument/2006/relationships/image" Target="media/image90.wmf"/><Relationship Id="rId280" Type="http://schemas.openxmlformats.org/officeDocument/2006/relationships/oleObject" Target="embeddings/oleObject51.bin"/><Relationship Id="rId54" Type="http://schemas.openxmlformats.org/officeDocument/2006/relationships/image" Target="media/image30.wmf"/><Relationship Id="rId75" Type="http://schemas.openxmlformats.org/officeDocument/2006/relationships/image" Target="media/image50.wmf"/><Relationship Id="rId96" Type="http://schemas.openxmlformats.org/officeDocument/2006/relationships/image" Target="media/image67.wmf"/><Relationship Id="rId140" Type="http://schemas.openxmlformats.org/officeDocument/2006/relationships/oleObject" Target="embeddings/oleObject18.bin"/><Relationship Id="rId161" Type="http://schemas.openxmlformats.org/officeDocument/2006/relationships/image" Target="media/image119.wmf"/><Relationship Id="rId182" Type="http://schemas.openxmlformats.org/officeDocument/2006/relationships/image" Target="media/image140.wmf"/><Relationship Id="rId217" Type="http://schemas.openxmlformats.org/officeDocument/2006/relationships/oleObject" Target="embeddings/oleObject30.bin"/><Relationship Id="rId6" Type="http://schemas.openxmlformats.org/officeDocument/2006/relationships/customXml" Target="../customXml/item6.xml"/><Relationship Id="rId238" Type="http://schemas.openxmlformats.org/officeDocument/2006/relationships/image" Target="media/image176.wmf"/><Relationship Id="rId259" Type="http://schemas.openxmlformats.org/officeDocument/2006/relationships/oleObject" Target="embeddings/oleObject47.bin"/><Relationship Id="rId23" Type="http://schemas.openxmlformats.org/officeDocument/2006/relationships/footer" Target="footer4.xml"/><Relationship Id="rId119" Type="http://schemas.openxmlformats.org/officeDocument/2006/relationships/oleObject" Target="embeddings/oleObject13.bin"/><Relationship Id="rId270" Type="http://schemas.openxmlformats.org/officeDocument/2006/relationships/oleObject" Target="embeddings/oleObject49.bin"/><Relationship Id="rId291" Type="http://schemas.openxmlformats.org/officeDocument/2006/relationships/header" Target="header11.xml"/><Relationship Id="rId44" Type="http://schemas.openxmlformats.org/officeDocument/2006/relationships/image" Target="media/image20.wmf"/><Relationship Id="rId65" Type="http://schemas.openxmlformats.org/officeDocument/2006/relationships/image" Target="media/image40.wmf"/><Relationship Id="rId86" Type="http://schemas.openxmlformats.org/officeDocument/2006/relationships/image" Target="media/image59.wmf"/><Relationship Id="rId130" Type="http://schemas.openxmlformats.org/officeDocument/2006/relationships/image" Target="media/image91.wmf"/><Relationship Id="rId151" Type="http://schemas.openxmlformats.org/officeDocument/2006/relationships/image" Target="media/image110.wmf"/><Relationship Id="rId172" Type="http://schemas.openxmlformats.org/officeDocument/2006/relationships/image" Target="media/image130.wmf"/><Relationship Id="rId193" Type="http://schemas.openxmlformats.org/officeDocument/2006/relationships/image" Target="media/image149.wmf"/><Relationship Id="rId207" Type="http://schemas.openxmlformats.org/officeDocument/2006/relationships/image" Target="media/image158.wmf"/><Relationship Id="rId228" Type="http://schemas.openxmlformats.org/officeDocument/2006/relationships/image" Target="media/image170.wmf"/><Relationship Id="rId249" Type="http://schemas.openxmlformats.org/officeDocument/2006/relationships/oleObject" Target="embeddings/oleObject42.bin"/><Relationship Id="rId13" Type="http://schemas.openxmlformats.org/officeDocument/2006/relationships/image" Target="media/image1.wmf"/><Relationship Id="rId109" Type="http://schemas.openxmlformats.org/officeDocument/2006/relationships/image" Target="media/image76.wmf"/><Relationship Id="rId260" Type="http://schemas.openxmlformats.org/officeDocument/2006/relationships/image" Target="media/image190.wmf"/><Relationship Id="rId281" Type="http://schemas.openxmlformats.org/officeDocument/2006/relationships/image" Target="media/image207.wmf"/><Relationship Id="rId34" Type="http://schemas.openxmlformats.org/officeDocument/2006/relationships/image" Target="media/image10.wmf"/><Relationship Id="rId55" Type="http://schemas.openxmlformats.org/officeDocument/2006/relationships/image" Target="media/image31.wmf"/><Relationship Id="rId76" Type="http://schemas.openxmlformats.org/officeDocument/2006/relationships/image" Target="media/image51.wmf"/><Relationship Id="rId97" Type="http://schemas.openxmlformats.org/officeDocument/2006/relationships/image" Target="media/image68.wmf"/><Relationship Id="rId120" Type="http://schemas.openxmlformats.org/officeDocument/2006/relationships/image" Target="media/image84.wmf"/><Relationship Id="rId141" Type="http://schemas.openxmlformats.org/officeDocument/2006/relationships/image" Target="media/image100.wmf"/><Relationship Id="rId7" Type="http://schemas.openxmlformats.org/officeDocument/2006/relationships/numbering" Target="numbering.xml"/><Relationship Id="rId162" Type="http://schemas.openxmlformats.org/officeDocument/2006/relationships/image" Target="media/image120.wmf"/><Relationship Id="rId183" Type="http://schemas.openxmlformats.org/officeDocument/2006/relationships/image" Target="media/image141.wmf"/><Relationship Id="rId218" Type="http://schemas.openxmlformats.org/officeDocument/2006/relationships/image" Target="media/image165.wmf"/><Relationship Id="rId239" Type="http://schemas.openxmlformats.org/officeDocument/2006/relationships/image" Target="media/image177.wmf"/><Relationship Id="rId2" Type="http://schemas.openxmlformats.org/officeDocument/2006/relationships/customXml" Target="../customXml/item2.xml"/><Relationship Id="rId29" Type="http://schemas.openxmlformats.org/officeDocument/2006/relationships/image" Target="media/image5.wmf"/><Relationship Id="rId250" Type="http://schemas.openxmlformats.org/officeDocument/2006/relationships/image" Target="media/image185.wmf"/><Relationship Id="rId255" Type="http://schemas.openxmlformats.org/officeDocument/2006/relationships/oleObject" Target="embeddings/oleObject45.bin"/><Relationship Id="rId271" Type="http://schemas.openxmlformats.org/officeDocument/2006/relationships/image" Target="media/image199.wmf"/><Relationship Id="rId276" Type="http://schemas.openxmlformats.org/officeDocument/2006/relationships/image" Target="media/image204.wmf"/><Relationship Id="rId292" Type="http://schemas.openxmlformats.org/officeDocument/2006/relationships/footer" Target="footer9.xml"/><Relationship Id="rId297" Type="http://schemas.openxmlformats.org/officeDocument/2006/relationships/header" Target="header14.xml"/><Relationship Id="rId24" Type="http://schemas.openxmlformats.org/officeDocument/2006/relationships/footer" Target="footer5.xml"/><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image" Target="media/image41.wmf"/><Relationship Id="rId87" Type="http://schemas.openxmlformats.org/officeDocument/2006/relationships/oleObject" Target="embeddings/oleObject5.bin"/><Relationship Id="rId110" Type="http://schemas.openxmlformats.org/officeDocument/2006/relationships/image" Target="media/image77.wmf"/><Relationship Id="rId115" Type="http://schemas.openxmlformats.org/officeDocument/2006/relationships/image" Target="media/image82.wmf"/><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6.wmf"/><Relationship Id="rId178" Type="http://schemas.openxmlformats.org/officeDocument/2006/relationships/image" Target="media/image136.wmf"/><Relationship Id="rId301" Type="http://schemas.openxmlformats.org/officeDocument/2006/relationships/footer" Target="footer14.xml"/><Relationship Id="rId61" Type="http://schemas.openxmlformats.org/officeDocument/2006/relationships/image" Target="media/image37.wmf"/><Relationship Id="rId82" Type="http://schemas.openxmlformats.org/officeDocument/2006/relationships/image" Target="media/image56.wmf"/><Relationship Id="rId152" Type="http://schemas.openxmlformats.org/officeDocument/2006/relationships/image" Target="media/image111.wmf"/><Relationship Id="rId173" Type="http://schemas.openxmlformats.org/officeDocument/2006/relationships/image" Target="media/image131.wmf"/><Relationship Id="rId194" Type="http://schemas.openxmlformats.org/officeDocument/2006/relationships/oleObject" Target="embeddings/oleObject22.bin"/><Relationship Id="rId199" Type="http://schemas.openxmlformats.org/officeDocument/2006/relationships/image" Target="media/image152.wmf"/><Relationship Id="rId203" Type="http://schemas.openxmlformats.org/officeDocument/2006/relationships/image" Target="media/image154.wmf"/><Relationship Id="rId208" Type="http://schemas.openxmlformats.org/officeDocument/2006/relationships/image" Target="media/image159.wmf"/><Relationship Id="rId229" Type="http://schemas.openxmlformats.org/officeDocument/2006/relationships/oleObject" Target="embeddings/oleObject36.bin"/><Relationship Id="rId19" Type="http://schemas.openxmlformats.org/officeDocument/2006/relationships/header" Target="header3.xml"/><Relationship Id="rId224" Type="http://schemas.openxmlformats.org/officeDocument/2006/relationships/image" Target="media/image168.wmf"/><Relationship Id="rId240" Type="http://schemas.openxmlformats.org/officeDocument/2006/relationships/image" Target="media/image178.wmf"/><Relationship Id="rId245" Type="http://schemas.openxmlformats.org/officeDocument/2006/relationships/oleObject" Target="embeddings/oleObject40.bin"/><Relationship Id="rId261" Type="http://schemas.openxmlformats.org/officeDocument/2006/relationships/oleObject" Target="embeddings/oleObject48.bin"/><Relationship Id="rId266" Type="http://schemas.openxmlformats.org/officeDocument/2006/relationships/image" Target="media/image195.wmf"/><Relationship Id="rId287" Type="http://schemas.openxmlformats.org/officeDocument/2006/relationships/footer" Target="footer7.xml"/><Relationship Id="rId14"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image" Target="media/image11.wmf"/><Relationship Id="rId56" Type="http://schemas.openxmlformats.org/officeDocument/2006/relationships/image" Target="media/image32.wmf"/><Relationship Id="rId77" Type="http://schemas.openxmlformats.org/officeDocument/2006/relationships/image" Target="media/image52.wmf"/><Relationship Id="rId100" Type="http://schemas.openxmlformats.org/officeDocument/2006/relationships/image" Target="media/image71.wmf"/><Relationship Id="rId105" Type="http://schemas.openxmlformats.org/officeDocument/2006/relationships/oleObject" Target="embeddings/oleObject8.bin"/><Relationship Id="rId126" Type="http://schemas.openxmlformats.org/officeDocument/2006/relationships/image" Target="media/image87.wmf"/><Relationship Id="rId147" Type="http://schemas.openxmlformats.org/officeDocument/2006/relationships/image" Target="media/image106.wmf"/><Relationship Id="rId168" Type="http://schemas.openxmlformats.org/officeDocument/2006/relationships/image" Target="media/image126.wmf"/><Relationship Id="rId282" Type="http://schemas.openxmlformats.org/officeDocument/2006/relationships/image" Target="media/image208.wmf"/><Relationship Id="rId8" Type="http://schemas.openxmlformats.org/officeDocument/2006/relationships/styles" Target="styles.xml"/><Relationship Id="rId51" Type="http://schemas.openxmlformats.org/officeDocument/2006/relationships/image" Target="media/image27.wmf"/><Relationship Id="rId72" Type="http://schemas.openxmlformats.org/officeDocument/2006/relationships/image" Target="media/image47.wmf"/><Relationship Id="rId93" Type="http://schemas.openxmlformats.org/officeDocument/2006/relationships/image" Target="media/image64.wmf"/><Relationship Id="rId98" Type="http://schemas.openxmlformats.org/officeDocument/2006/relationships/image" Target="media/image69.wmf"/><Relationship Id="rId121" Type="http://schemas.openxmlformats.org/officeDocument/2006/relationships/oleObject" Target="embeddings/oleObject14.bin"/><Relationship Id="rId142" Type="http://schemas.openxmlformats.org/officeDocument/2006/relationships/image" Target="media/image101.wmf"/><Relationship Id="rId163" Type="http://schemas.openxmlformats.org/officeDocument/2006/relationships/image" Target="media/image121.wmf"/><Relationship Id="rId184" Type="http://schemas.openxmlformats.org/officeDocument/2006/relationships/image" Target="media/image142.wmf"/><Relationship Id="rId189" Type="http://schemas.openxmlformats.org/officeDocument/2006/relationships/image" Target="media/image145.wmf"/><Relationship Id="rId219" Type="http://schemas.openxmlformats.org/officeDocument/2006/relationships/oleObject" Target="embeddings/oleObject31.bin"/><Relationship Id="rId3" Type="http://schemas.openxmlformats.org/officeDocument/2006/relationships/customXml" Target="../customXml/item3.xml"/><Relationship Id="rId214" Type="http://schemas.openxmlformats.org/officeDocument/2006/relationships/image" Target="media/image163.wmf"/><Relationship Id="rId230" Type="http://schemas.openxmlformats.org/officeDocument/2006/relationships/image" Target="media/image171.wmf"/><Relationship Id="rId235" Type="http://schemas.openxmlformats.org/officeDocument/2006/relationships/oleObject" Target="embeddings/oleObject39.bin"/><Relationship Id="rId251" Type="http://schemas.openxmlformats.org/officeDocument/2006/relationships/oleObject" Target="embeddings/oleObject43.bin"/><Relationship Id="rId256" Type="http://schemas.openxmlformats.org/officeDocument/2006/relationships/image" Target="media/image188.wmf"/><Relationship Id="rId277" Type="http://schemas.openxmlformats.org/officeDocument/2006/relationships/image" Target="media/image205.wmf"/><Relationship Id="rId298" Type="http://schemas.openxmlformats.org/officeDocument/2006/relationships/footer" Target="footer12.xml"/><Relationship Id="rId25" Type="http://schemas.openxmlformats.org/officeDocument/2006/relationships/header" Target="header6.xml"/><Relationship Id="rId46" Type="http://schemas.openxmlformats.org/officeDocument/2006/relationships/image" Target="media/image22.wmf"/><Relationship Id="rId67" Type="http://schemas.openxmlformats.org/officeDocument/2006/relationships/image" Target="media/image42.wmf"/><Relationship Id="rId116" Type="http://schemas.openxmlformats.org/officeDocument/2006/relationships/oleObject" Target="embeddings/oleObject11.bin"/><Relationship Id="rId137" Type="http://schemas.openxmlformats.org/officeDocument/2006/relationships/image" Target="media/image98.wmf"/><Relationship Id="rId158" Type="http://schemas.openxmlformats.org/officeDocument/2006/relationships/image" Target="media/image117.wmf"/><Relationship Id="rId272" Type="http://schemas.openxmlformats.org/officeDocument/2006/relationships/image" Target="media/image200.wmf"/><Relationship Id="rId293" Type="http://schemas.openxmlformats.org/officeDocument/2006/relationships/footer" Target="footer10.xml"/><Relationship Id="rId302"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image" Target="media/image17.wmf"/><Relationship Id="rId62" Type="http://schemas.openxmlformats.org/officeDocument/2006/relationships/image" Target="media/image38.wmf"/><Relationship Id="rId83" Type="http://schemas.openxmlformats.org/officeDocument/2006/relationships/image" Target="media/image57.wmf"/><Relationship Id="rId88" Type="http://schemas.openxmlformats.org/officeDocument/2006/relationships/image" Target="media/image60.wmf"/><Relationship Id="rId111" Type="http://schemas.openxmlformats.org/officeDocument/2006/relationships/image" Target="media/image78.wmf"/><Relationship Id="rId132" Type="http://schemas.openxmlformats.org/officeDocument/2006/relationships/image" Target="media/image93.wmf"/><Relationship Id="rId153" Type="http://schemas.openxmlformats.org/officeDocument/2006/relationships/image" Target="media/image112.wmf"/><Relationship Id="rId174" Type="http://schemas.openxmlformats.org/officeDocument/2006/relationships/image" Target="media/image132.wmf"/><Relationship Id="rId179" Type="http://schemas.openxmlformats.org/officeDocument/2006/relationships/image" Target="media/image137.wmf"/><Relationship Id="rId195" Type="http://schemas.openxmlformats.org/officeDocument/2006/relationships/image" Target="media/image150.wmf"/><Relationship Id="rId209" Type="http://schemas.openxmlformats.org/officeDocument/2006/relationships/image" Target="media/image160.wmf"/><Relationship Id="rId190" Type="http://schemas.openxmlformats.org/officeDocument/2006/relationships/image" Target="media/image146.wmf"/><Relationship Id="rId204" Type="http://schemas.openxmlformats.org/officeDocument/2006/relationships/image" Target="media/image155.wmf"/><Relationship Id="rId220" Type="http://schemas.openxmlformats.org/officeDocument/2006/relationships/image" Target="media/image166.wmf"/><Relationship Id="rId225" Type="http://schemas.openxmlformats.org/officeDocument/2006/relationships/oleObject" Target="embeddings/oleObject34.bin"/><Relationship Id="rId241" Type="http://schemas.openxmlformats.org/officeDocument/2006/relationships/image" Target="media/image179.wmf"/><Relationship Id="rId246" Type="http://schemas.openxmlformats.org/officeDocument/2006/relationships/image" Target="media/image183.wmf"/><Relationship Id="rId267" Type="http://schemas.openxmlformats.org/officeDocument/2006/relationships/image" Target="media/image196.wmf"/><Relationship Id="rId288" Type="http://schemas.openxmlformats.org/officeDocument/2006/relationships/header" Target="header9.xml"/><Relationship Id="rId15" Type="http://schemas.openxmlformats.org/officeDocument/2006/relationships/header" Target="header1.xml"/><Relationship Id="rId36" Type="http://schemas.openxmlformats.org/officeDocument/2006/relationships/image" Target="media/image12.wmf"/><Relationship Id="rId57" Type="http://schemas.openxmlformats.org/officeDocument/2006/relationships/image" Target="media/image33.wmf"/><Relationship Id="rId106" Type="http://schemas.openxmlformats.org/officeDocument/2006/relationships/oleObject" Target="embeddings/oleObject9.bin"/><Relationship Id="rId127" Type="http://schemas.openxmlformats.org/officeDocument/2006/relationships/image" Target="media/image88.wmf"/><Relationship Id="rId262" Type="http://schemas.openxmlformats.org/officeDocument/2006/relationships/image" Target="media/image191.wmf"/><Relationship Id="rId283" Type="http://schemas.openxmlformats.org/officeDocument/2006/relationships/image" Target="media/image209.wmf"/><Relationship Id="rId10" Type="http://schemas.openxmlformats.org/officeDocument/2006/relationships/webSettings" Target="webSettings.xml"/><Relationship Id="rId31" Type="http://schemas.openxmlformats.org/officeDocument/2006/relationships/image" Target="media/image7.wmf"/><Relationship Id="rId52" Type="http://schemas.openxmlformats.org/officeDocument/2006/relationships/image" Target="media/image28.wmf"/><Relationship Id="rId73" Type="http://schemas.openxmlformats.org/officeDocument/2006/relationships/image" Target="media/image48.wmf"/><Relationship Id="rId78" Type="http://schemas.openxmlformats.org/officeDocument/2006/relationships/image" Target="media/image53.wmf"/><Relationship Id="rId94" Type="http://schemas.openxmlformats.org/officeDocument/2006/relationships/image" Target="media/image65.wmf"/><Relationship Id="rId99" Type="http://schemas.openxmlformats.org/officeDocument/2006/relationships/image" Target="media/image70.wmf"/><Relationship Id="rId101" Type="http://schemas.openxmlformats.org/officeDocument/2006/relationships/image" Target="media/image72.wmf"/><Relationship Id="rId122" Type="http://schemas.openxmlformats.org/officeDocument/2006/relationships/image" Target="media/image85.wmf"/><Relationship Id="rId143" Type="http://schemas.openxmlformats.org/officeDocument/2006/relationships/image" Target="media/image102.wmf"/><Relationship Id="rId148" Type="http://schemas.openxmlformats.org/officeDocument/2006/relationships/image" Target="media/image107.wmf"/><Relationship Id="rId164" Type="http://schemas.openxmlformats.org/officeDocument/2006/relationships/image" Target="media/image122.wmf"/><Relationship Id="rId169" Type="http://schemas.openxmlformats.org/officeDocument/2006/relationships/image" Target="media/image127.wmf"/><Relationship Id="rId185" Type="http://schemas.openxmlformats.org/officeDocument/2006/relationships/oleObject" Target="embeddings/oleObject20.bin"/><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image" Target="media/image138.wmf"/><Relationship Id="rId210" Type="http://schemas.openxmlformats.org/officeDocument/2006/relationships/image" Target="media/image161.wmf"/><Relationship Id="rId215" Type="http://schemas.openxmlformats.org/officeDocument/2006/relationships/oleObject" Target="embeddings/oleObject29.bin"/><Relationship Id="rId236" Type="http://schemas.openxmlformats.org/officeDocument/2006/relationships/image" Target="media/image174.wmf"/><Relationship Id="rId257" Type="http://schemas.openxmlformats.org/officeDocument/2006/relationships/oleObject" Target="embeddings/oleObject46.bin"/><Relationship Id="rId278" Type="http://schemas.openxmlformats.org/officeDocument/2006/relationships/oleObject" Target="embeddings/oleObject50.bin"/><Relationship Id="rId26" Type="http://schemas.openxmlformats.org/officeDocument/2006/relationships/image" Target="media/image2.wmf"/><Relationship Id="rId231" Type="http://schemas.openxmlformats.org/officeDocument/2006/relationships/oleObject" Target="embeddings/oleObject37.bin"/><Relationship Id="rId252" Type="http://schemas.openxmlformats.org/officeDocument/2006/relationships/image" Target="media/image186.wmf"/><Relationship Id="rId273" Type="http://schemas.openxmlformats.org/officeDocument/2006/relationships/image" Target="media/image201.wmf"/><Relationship Id="rId294" Type="http://schemas.openxmlformats.org/officeDocument/2006/relationships/header" Target="header12.xml"/><Relationship Id="rId47" Type="http://schemas.openxmlformats.org/officeDocument/2006/relationships/image" Target="media/image23.wmf"/><Relationship Id="rId68" Type="http://schemas.openxmlformats.org/officeDocument/2006/relationships/image" Target="media/image43.wmf"/><Relationship Id="rId89" Type="http://schemas.openxmlformats.org/officeDocument/2006/relationships/oleObject" Target="embeddings/oleObject6.bin"/><Relationship Id="rId112" Type="http://schemas.openxmlformats.org/officeDocument/2006/relationships/image" Target="media/image79.wmf"/><Relationship Id="rId133" Type="http://schemas.openxmlformats.org/officeDocument/2006/relationships/image" Target="media/image94.wmf"/><Relationship Id="rId154" Type="http://schemas.openxmlformats.org/officeDocument/2006/relationships/image" Target="media/image113.wmf"/><Relationship Id="rId175" Type="http://schemas.openxmlformats.org/officeDocument/2006/relationships/image" Target="media/image133.wmf"/><Relationship Id="rId196" Type="http://schemas.openxmlformats.org/officeDocument/2006/relationships/oleObject" Target="embeddings/oleObject23.bin"/><Relationship Id="rId200" Type="http://schemas.openxmlformats.org/officeDocument/2006/relationships/oleObject" Target="embeddings/oleObject25.bin"/><Relationship Id="rId16" Type="http://schemas.openxmlformats.org/officeDocument/2006/relationships/header" Target="header2.xml"/><Relationship Id="rId221" Type="http://schemas.openxmlformats.org/officeDocument/2006/relationships/oleObject" Target="embeddings/oleObject32.bin"/><Relationship Id="rId242" Type="http://schemas.openxmlformats.org/officeDocument/2006/relationships/image" Target="media/image180.wmf"/><Relationship Id="rId263" Type="http://schemas.openxmlformats.org/officeDocument/2006/relationships/image" Target="media/image192.wmf"/><Relationship Id="rId284" Type="http://schemas.openxmlformats.org/officeDocument/2006/relationships/header" Target="header7.xml"/><Relationship Id="rId37" Type="http://schemas.openxmlformats.org/officeDocument/2006/relationships/image" Target="media/image13.wmf"/><Relationship Id="rId58" Type="http://schemas.openxmlformats.org/officeDocument/2006/relationships/image" Target="media/image34.wmf"/><Relationship Id="rId79" Type="http://schemas.openxmlformats.org/officeDocument/2006/relationships/image" Target="media/image54.wmf"/><Relationship Id="rId102" Type="http://schemas.openxmlformats.org/officeDocument/2006/relationships/oleObject" Target="embeddings/oleObject7.bin"/><Relationship Id="rId123" Type="http://schemas.openxmlformats.org/officeDocument/2006/relationships/oleObject" Target="embeddings/oleObject15.bin"/><Relationship Id="rId144" Type="http://schemas.openxmlformats.org/officeDocument/2006/relationships/image" Target="media/image103.wmf"/><Relationship Id="rId90" Type="http://schemas.openxmlformats.org/officeDocument/2006/relationships/image" Target="media/image61.wmf"/><Relationship Id="rId165" Type="http://schemas.openxmlformats.org/officeDocument/2006/relationships/image" Target="media/image123.wmf"/><Relationship Id="rId186" Type="http://schemas.openxmlformats.org/officeDocument/2006/relationships/image" Target="media/image143.wmf"/><Relationship Id="rId211" Type="http://schemas.openxmlformats.org/officeDocument/2006/relationships/oleObject" Target="embeddings/oleObject27.bin"/><Relationship Id="rId232" Type="http://schemas.openxmlformats.org/officeDocument/2006/relationships/image" Target="media/image172.wmf"/><Relationship Id="rId253" Type="http://schemas.openxmlformats.org/officeDocument/2006/relationships/oleObject" Target="embeddings/oleObject44.bin"/><Relationship Id="rId274" Type="http://schemas.openxmlformats.org/officeDocument/2006/relationships/image" Target="media/image202.wmf"/><Relationship Id="rId295" Type="http://schemas.openxmlformats.org/officeDocument/2006/relationships/footer" Target="footer11.xml"/><Relationship Id="rId27" Type="http://schemas.openxmlformats.org/officeDocument/2006/relationships/image" Target="media/image3.wmf"/><Relationship Id="rId48" Type="http://schemas.openxmlformats.org/officeDocument/2006/relationships/image" Target="media/image24.wmf"/><Relationship Id="rId69" Type="http://schemas.openxmlformats.org/officeDocument/2006/relationships/image" Target="media/image44.wmf"/><Relationship Id="rId113" Type="http://schemas.openxmlformats.org/officeDocument/2006/relationships/image" Target="media/image80.wmf"/><Relationship Id="rId134" Type="http://schemas.openxmlformats.org/officeDocument/2006/relationships/image" Target="media/image95.wmf"/><Relationship Id="rId80" Type="http://schemas.openxmlformats.org/officeDocument/2006/relationships/oleObject" Target="embeddings/oleObject3.bin"/><Relationship Id="rId155" Type="http://schemas.openxmlformats.org/officeDocument/2006/relationships/image" Target="media/image114.wmf"/><Relationship Id="rId176" Type="http://schemas.openxmlformats.org/officeDocument/2006/relationships/image" Target="media/image134.wmf"/><Relationship Id="rId197" Type="http://schemas.openxmlformats.org/officeDocument/2006/relationships/image" Target="media/image151.wmf"/><Relationship Id="rId201" Type="http://schemas.openxmlformats.org/officeDocument/2006/relationships/image" Target="media/image153.wmf"/><Relationship Id="rId222" Type="http://schemas.openxmlformats.org/officeDocument/2006/relationships/image" Target="media/image167.wmf"/><Relationship Id="rId243" Type="http://schemas.openxmlformats.org/officeDocument/2006/relationships/image" Target="media/image181.wmf"/><Relationship Id="rId264" Type="http://schemas.openxmlformats.org/officeDocument/2006/relationships/image" Target="media/image193.wmf"/><Relationship Id="rId285" Type="http://schemas.openxmlformats.org/officeDocument/2006/relationships/header" Target="header8.xml"/><Relationship Id="rId17" Type="http://schemas.openxmlformats.org/officeDocument/2006/relationships/footer" Target="footer1.xml"/><Relationship Id="rId38" Type="http://schemas.openxmlformats.org/officeDocument/2006/relationships/image" Target="media/image14.wmf"/><Relationship Id="rId59" Type="http://schemas.openxmlformats.org/officeDocument/2006/relationships/image" Target="media/image35.wmf"/><Relationship Id="rId103" Type="http://schemas.openxmlformats.org/officeDocument/2006/relationships/image" Target="media/image73.wmf"/><Relationship Id="rId124" Type="http://schemas.openxmlformats.org/officeDocument/2006/relationships/image" Target="media/image86.wmf"/><Relationship Id="rId70" Type="http://schemas.openxmlformats.org/officeDocument/2006/relationships/image" Target="media/image45.wmf"/><Relationship Id="rId91" Type="http://schemas.openxmlformats.org/officeDocument/2006/relationships/image" Target="media/image62.wmf"/><Relationship Id="rId145" Type="http://schemas.openxmlformats.org/officeDocument/2006/relationships/image" Target="media/image104.wmf"/><Relationship Id="rId166" Type="http://schemas.openxmlformats.org/officeDocument/2006/relationships/image" Target="media/image124.wmf"/><Relationship Id="rId187" Type="http://schemas.openxmlformats.org/officeDocument/2006/relationships/image" Target="media/image144.wmf"/><Relationship Id="rId1" Type="http://schemas.openxmlformats.org/officeDocument/2006/relationships/customXml" Target="../customXml/item1.xml"/><Relationship Id="rId212" Type="http://schemas.openxmlformats.org/officeDocument/2006/relationships/image" Target="media/image162.wmf"/><Relationship Id="rId233" Type="http://schemas.openxmlformats.org/officeDocument/2006/relationships/oleObject" Target="embeddings/oleObject38.bin"/><Relationship Id="rId254" Type="http://schemas.openxmlformats.org/officeDocument/2006/relationships/image" Target="media/image187.wmf"/><Relationship Id="rId28" Type="http://schemas.openxmlformats.org/officeDocument/2006/relationships/image" Target="media/image4.wmf"/><Relationship Id="rId49" Type="http://schemas.openxmlformats.org/officeDocument/2006/relationships/image" Target="media/image25.wmf"/><Relationship Id="rId114" Type="http://schemas.openxmlformats.org/officeDocument/2006/relationships/image" Target="media/image81.wmf"/><Relationship Id="rId275" Type="http://schemas.openxmlformats.org/officeDocument/2006/relationships/image" Target="media/image203.wmf"/><Relationship Id="rId296" Type="http://schemas.openxmlformats.org/officeDocument/2006/relationships/header" Target="header13.xml"/><Relationship Id="rId300" Type="http://schemas.openxmlformats.org/officeDocument/2006/relationships/header" Target="header15.xml"/><Relationship Id="rId60" Type="http://schemas.openxmlformats.org/officeDocument/2006/relationships/image" Target="media/image36.wmf"/><Relationship Id="rId81" Type="http://schemas.openxmlformats.org/officeDocument/2006/relationships/image" Target="media/image55.wmf"/><Relationship Id="rId135" Type="http://schemas.openxmlformats.org/officeDocument/2006/relationships/image" Target="media/image96.wmf"/><Relationship Id="rId156" Type="http://schemas.openxmlformats.org/officeDocument/2006/relationships/image" Target="media/image115.wmf"/><Relationship Id="rId177" Type="http://schemas.openxmlformats.org/officeDocument/2006/relationships/image" Target="media/image135.wmf"/><Relationship Id="rId198" Type="http://schemas.openxmlformats.org/officeDocument/2006/relationships/oleObject" Target="embeddings/oleObject24.bin"/><Relationship Id="rId202" Type="http://schemas.openxmlformats.org/officeDocument/2006/relationships/oleObject" Target="embeddings/oleObject26.bin"/><Relationship Id="rId223" Type="http://schemas.openxmlformats.org/officeDocument/2006/relationships/oleObject" Target="embeddings/oleObject33.bin"/><Relationship Id="rId244" Type="http://schemas.openxmlformats.org/officeDocument/2006/relationships/image" Target="media/image182.wmf"/><Relationship Id="rId18" Type="http://schemas.openxmlformats.org/officeDocument/2006/relationships/footer" Target="footer2.xml"/><Relationship Id="rId39" Type="http://schemas.openxmlformats.org/officeDocument/2006/relationships/image" Target="media/image15.wmf"/><Relationship Id="rId265" Type="http://schemas.openxmlformats.org/officeDocument/2006/relationships/image" Target="media/image194.wmf"/><Relationship Id="rId286" Type="http://schemas.openxmlformats.org/officeDocument/2006/relationships/footer" Target="footer6.xml"/><Relationship Id="rId50" Type="http://schemas.openxmlformats.org/officeDocument/2006/relationships/image" Target="media/image26.wmf"/><Relationship Id="rId104" Type="http://schemas.openxmlformats.org/officeDocument/2006/relationships/image" Target="media/image74.wmf"/><Relationship Id="rId125" Type="http://schemas.openxmlformats.org/officeDocument/2006/relationships/oleObject" Target="embeddings/oleObject16.bin"/><Relationship Id="rId146" Type="http://schemas.openxmlformats.org/officeDocument/2006/relationships/image" Target="media/image105.wmf"/><Relationship Id="rId167" Type="http://schemas.openxmlformats.org/officeDocument/2006/relationships/image" Target="media/image125.wmf"/><Relationship Id="rId188" Type="http://schemas.openxmlformats.org/officeDocument/2006/relationships/oleObject" Target="embeddings/oleObject21.bin"/><Relationship Id="rId71" Type="http://schemas.openxmlformats.org/officeDocument/2006/relationships/image" Target="media/image46.wmf"/><Relationship Id="rId92" Type="http://schemas.openxmlformats.org/officeDocument/2006/relationships/image" Target="media/image63.wmf"/><Relationship Id="rId213" Type="http://schemas.openxmlformats.org/officeDocument/2006/relationships/oleObject" Target="embeddings/oleObject28.bin"/><Relationship Id="rId234" Type="http://schemas.openxmlformats.org/officeDocument/2006/relationships/image" Target="media/image173.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67ef9e28-a3e3-4a70-9fbf-1d005cf41800" xsi:nil="true"/>
    <RecordNumber xmlns="67ef9e28-a3e3-4a70-9fbf-1d005cf41800">002929884</RecordNumber>
    <Approval xmlns="67ef9e28-a3e3-4a70-9fbf-1d005cf41800" xsi:nil="true"/>
    <IconOverlay xmlns="http://schemas.microsoft.com/sharepoint/v4" xsi:nil="true"/>
    <Function xmlns="67ef9e28-a3e3-4a70-9fbf-1d005cf41800"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Document" ma:contentTypeID="0x01010087565255C15F3C45A1D38A70E3B156F6008B489F5F870B6946954597F36DA2DF9A" ma:contentTypeVersion="5" ma:contentTypeDescription="SPIRE Document" ma:contentTypeScope="" ma:versionID="8564e40333928c5bb43f3775f35609ba">
  <xsd:schema xmlns:xsd="http://www.w3.org/2001/XMLSchema" xmlns:xs="http://www.w3.org/2001/XMLSchema" xmlns:p="http://schemas.microsoft.com/office/2006/metadata/properties" xmlns:ns2="67ef9e28-a3e3-4a70-9fbf-1d005cf41800" xmlns:ns3="http://schemas.microsoft.com/sharepoint/v4" targetNamespace="http://schemas.microsoft.com/office/2006/metadata/properties" ma:root="true" ma:fieldsID="b1d8c83d4b499cb0f5854348e3601068" ns2:_="" ns3:_="">
    <xsd:import namespace="67ef9e28-a3e3-4a70-9fbf-1d005cf41800"/>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9e28-a3e3-4a70-9fbf-1d005cf41800"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3CDC-1EF3-4D1D-95DD-DE570AC04498}">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sharepoint/v4"/>
    <ds:schemaRef ds:uri="http://schemas.microsoft.com/office/infopath/2007/PartnerControls"/>
    <ds:schemaRef ds:uri="http://schemas.openxmlformats.org/package/2006/metadata/core-properties"/>
    <ds:schemaRef ds:uri="67ef9e28-a3e3-4a70-9fbf-1d005cf41800"/>
    <ds:schemaRef ds:uri="http://purl.org/dc/dcmitype/"/>
  </ds:schemaRefs>
</ds:datastoreItem>
</file>

<file path=customXml/itemProps2.xml><?xml version="1.0" encoding="utf-8"?>
<ds:datastoreItem xmlns:ds="http://schemas.openxmlformats.org/officeDocument/2006/customXml" ds:itemID="{9939860C-F3EA-4FDE-A7F5-593F03B82BCB}">
  <ds:schemaRefs>
    <ds:schemaRef ds:uri="http://schemas.microsoft.com/sharepoint/events"/>
  </ds:schemaRefs>
</ds:datastoreItem>
</file>

<file path=customXml/itemProps3.xml><?xml version="1.0" encoding="utf-8"?>
<ds:datastoreItem xmlns:ds="http://schemas.openxmlformats.org/officeDocument/2006/customXml" ds:itemID="{B3ECA5DD-CCF3-4DD3-9FD7-2748FE4E9C74}">
  <ds:schemaRefs>
    <ds:schemaRef ds:uri="http://schemas.microsoft.com/office/2006/metadata/customXsn"/>
  </ds:schemaRefs>
</ds:datastoreItem>
</file>

<file path=customXml/itemProps4.xml><?xml version="1.0" encoding="utf-8"?>
<ds:datastoreItem xmlns:ds="http://schemas.openxmlformats.org/officeDocument/2006/customXml" ds:itemID="{66A06682-F93C-46B4-81B3-C8608B70E4F7}">
  <ds:schemaRefs>
    <ds:schemaRef ds:uri="http://schemas.microsoft.com/sharepoint/v3/contenttype/forms"/>
  </ds:schemaRefs>
</ds:datastoreItem>
</file>

<file path=customXml/itemProps5.xml><?xml version="1.0" encoding="utf-8"?>
<ds:datastoreItem xmlns:ds="http://schemas.openxmlformats.org/officeDocument/2006/customXml" ds:itemID="{3524C813-3738-47B2-BD27-51B84989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9e28-a3e3-4a70-9fbf-1d005cf418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221FE3-26D5-4F0A-BBAF-F7E50949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392</Pages>
  <Words>98865</Words>
  <Characters>514788</Characters>
  <Application>Microsoft Office Word</Application>
  <DocSecurity>0</DocSecurity>
  <PresentationFormat/>
  <Lines>4289</Lines>
  <Paragraphs>1224</Paragraphs>
  <ScaleCrop>false</ScaleCrop>
  <HeadingPairs>
    <vt:vector size="2" baseType="variant">
      <vt:variant>
        <vt:lpstr>Title</vt:lpstr>
      </vt:variant>
      <vt:variant>
        <vt:i4>1</vt:i4>
      </vt:variant>
    </vt:vector>
  </HeadingPairs>
  <TitlesOfParts>
    <vt:vector size="1" baseType="lpstr">
      <vt:lpstr>Draft - NGER Measurement Determination Compilation - 8 July 2019</vt:lpstr>
    </vt:vector>
  </TitlesOfParts>
  <Manager/>
  <Company/>
  <LinksUpToDate>false</LinksUpToDate>
  <CharactersWithSpaces>612429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NGER Measurement Determination Compilation - 8 July 2019</dc:title>
  <dc:subject/>
  <dc:creator/>
  <cp:keywords/>
  <dc:description/>
  <cp:lastModifiedBy/>
  <cp:revision>1</cp:revision>
  <cp:lastPrinted>2013-08-19T06:13:00Z</cp:lastPrinted>
  <dcterms:created xsi:type="dcterms:W3CDTF">2019-07-08T00:10:00Z</dcterms:created>
  <dcterms:modified xsi:type="dcterms:W3CDTF">2019-07-15T05:46:00Z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National Greenhouse and Energy Reporting (Measurement) Determination 2008</vt:lpwstr>
  </property>
  <property fmtid="{D5CDD505-2E9C-101B-9397-08002B2CF9AE}" pid="5" name="Compilation">
    <vt:lpwstr>Yes</vt:lpwstr>
  </property>
  <property fmtid="{D5CDD505-2E9C-101B-9397-08002B2CF9AE}" pid="6" name="Type">
    <vt:lpwstr>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10</vt:lpwstr>
  </property>
  <property fmtid="{D5CDD505-2E9C-101B-9397-08002B2CF9AE}" pid="19" name="StartDate">
    <vt:filetime>2018-06-30T14:00:00Z</vt:filetime>
  </property>
  <property fmtid="{D5CDD505-2E9C-101B-9397-08002B2CF9AE}" pid="20" name="PreparedDate">
    <vt:filetime>2015-06-30T14:00:00Z</vt:filetime>
  </property>
  <property fmtid="{D5CDD505-2E9C-101B-9397-08002B2CF9AE}" pid="21" name="RegisteredDate">
    <vt:filetime>2018-07-04T14:00:00Z</vt:filetime>
  </property>
  <property fmtid="{D5CDD505-2E9C-101B-9397-08002B2CF9AE}" pid="22" name="IncludesUpTo">
    <vt:lpwstr>F2018L00923</vt:lpwstr>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ContentTypeId">
    <vt:lpwstr>0x01010087565255C15F3C45A1D38A70E3B156F6008B489F5F870B6946954597F36DA2DF9A</vt:lpwstr>
  </property>
  <property fmtid="{D5CDD505-2E9C-101B-9397-08002B2CF9AE}" pid="28" name="RecordPoint_WorkflowType">
    <vt:lpwstr>ActiveSubmitStub</vt:lpwstr>
  </property>
  <property fmtid="{D5CDD505-2E9C-101B-9397-08002B2CF9AE}" pid="29" name="RecordPoint_ActiveItemWebId">
    <vt:lpwstr>{2059673b-20f6-40c5-8fb8-ce838aef26a0}</vt:lpwstr>
  </property>
  <property fmtid="{D5CDD505-2E9C-101B-9397-08002B2CF9AE}" pid="30" name="RecordPoint_ActiveItemSiteId">
    <vt:lpwstr>{22ddc83e-3d55-4f4b-84b0-b8f29513b89f}</vt:lpwstr>
  </property>
  <property fmtid="{D5CDD505-2E9C-101B-9397-08002B2CF9AE}" pid="31" name="RecordPoint_ActiveItemListId">
    <vt:lpwstr>{e6c83a4c-6c4c-4890-af15-8d1f7414f297}</vt:lpwstr>
  </property>
  <property fmtid="{D5CDD505-2E9C-101B-9397-08002B2CF9AE}" pid="32" name="RecordPoint_ActiveItemUniqueId">
    <vt:lpwstr>{53442655-b8bc-40d4-a28f-7ccd8e6bd2e4}</vt:lpwstr>
  </property>
  <property fmtid="{D5CDD505-2E9C-101B-9397-08002B2CF9AE}" pid="33" name="RecordPoint_RecordNumberSubmitted">
    <vt:lpwstr>002929884</vt:lpwstr>
  </property>
  <property fmtid="{D5CDD505-2E9C-101B-9397-08002B2CF9AE}" pid="34" name="RecordPoint_SubmissionCompleted">
    <vt:lpwstr>2019-07-08T14:41:31.8334864+10:00</vt:lpwstr>
  </property>
</Properties>
</file>