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68" w:rsidRDefault="00C33B68" w:rsidP="005F74B4">
      <w:pPr>
        <w:pStyle w:val="Standardtitle"/>
      </w:pPr>
      <w:r>
        <w:t>Standard 1.3.1</w:t>
      </w:r>
    </w:p>
    <w:p w:rsidR="00C33B68" w:rsidRPr="00363FEB" w:rsidRDefault="00C33B68" w:rsidP="00363FEB"/>
    <w:p w:rsidR="00C33B68" w:rsidRDefault="00C33B68" w:rsidP="005F74B4">
      <w:pPr>
        <w:pStyle w:val="Standardtitle"/>
      </w:pPr>
      <w:r>
        <w:t>Food Additives</w:t>
      </w:r>
    </w:p>
    <w:p w:rsidR="00C33B68" w:rsidRDefault="00C33B68" w:rsidP="005F74B4">
      <w:pPr>
        <w:pStyle w:val="TitleBorder"/>
      </w:pPr>
    </w:p>
    <w:p w:rsidR="00C33B68" w:rsidRPr="00F42652" w:rsidRDefault="00C33B68"/>
    <w:p w:rsidR="00C33B68" w:rsidRDefault="00C33B68" w:rsidP="005F74B4">
      <w:pPr>
        <w:pStyle w:val="Clauseheading"/>
      </w:pPr>
      <w:r>
        <w:t>Purpose</w:t>
      </w:r>
    </w:p>
    <w:p w:rsidR="00C33B68" w:rsidRDefault="00C33B68"/>
    <w:p w:rsidR="00C33B68" w:rsidRDefault="00C33B68">
      <w:r>
        <w:t xml:space="preserve">A food additive is any substance not normally consumed as a food in </w:t>
      </w:r>
      <w:proofErr w:type="gramStart"/>
      <w:r>
        <w:t>itself</w:t>
      </w:r>
      <w:proofErr w:type="gramEnd"/>
      <w:r>
        <w:t xml:space="preserve"> and not normally used as an ingredient of food, but which is intentionally added to a food to achieve one or more of the technological functions specified in Schedule 5.  It or its by-products may remain in the food.  Food additives are distinguishable from processing aids (see Standard 1.3.3) and vitamins and minerals added to food for nutritional purposes (see Standard 1.3.2).</w:t>
      </w:r>
    </w:p>
    <w:p w:rsidR="00C33B68" w:rsidRDefault="00C33B68"/>
    <w:p w:rsidR="00C33B68" w:rsidRDefault="00C33B68">
      <w:r>
        <w:t>This Standard regulates the use of food additives in the production and processing of food.  A food additive may only be added to food where expressly permitted in this standard.  Additives can only be added to food in order to achieve an identified technological function according to Good Manufacturing Practice.</w:t>
      </w:r>
    </w:p>
    <w:p w:rsidR="00C33B68" w:rsidRDefault="00C33B68"/>
    <w:p w:rsidR="00C33B68" w:rsidRDefault="00C33B68">
      <w:r>
        <w:t>Standard 1.3.4 prescribes standards for the identity and purity of food additives.</w:t>
      </w:r>
    </w:p>
    <w:p w:rsidR="00C33B68" w:rsidRDefault="00C33B68"/>
    <w:p w:rsidR="00C33B68" w:rsidRDefault="00C33B68" w:rsidP="005F74B4">
      <w:pPr>
        <w:pStyle w:val="Clauseheading"/>
      </w:pPr>
      <w:r>
        <w:t>Table of Provisions</w:t>
      </w:r>
    </w:p>
    <w:p w:rsidR="00C33B68" w:rsidRDefault="00C33B68"/>
    <w:p w:rsidR="00C33B68" w:rsidRDefault="00C33B68" w:rsidP="005F74B4">
      <w:pPr>
        <w:pStyle w:val="ClauseList"/>
      </w:pPr>
      <w:r>
        <w:t>1</w:t>
      </w:r>
      <w:r>
        <w:tab/>
        <w:t>Definitions</w:t>
      </w:r>
    </w:p>
    <w:p w:rsidR="00C33B68" w:rsidRDefault="00C33B68" w:rsidP="005F74B4">
      <w:pPr>
        <w:pStyle w:val="ClauseList"/>
      </w:pPr>
      <w:r>
        <w:t>2</w:t>
      </w:r>
      <w:r>
        <w:tab/>
        <w:t>General prohibition on the use of additives</w:t>
      </w:r>
    </w:p>
    <w:p w:rsidR="00C33B68" w:rsidRDefault="00C33B68" w:rsidP="005F74B4">
      <w:pPr>
        <w:pStyle w:val="ClauseList"/>
      </w:pPr>
      <w:r>
        <w:t>3</w:t>
      </w:r>
      <w:r>
        <w:tab/>
        <w:t>Permitted use of additives</w:t>
      </w:r>
    </w:p>
    <w:p w:rsidR="00C33B68" w:rsidRDefault="00C33B68" w:rsidP="005F74B4">
      <w:pPr>
        <w:pStyle w:val="ClauseList"/>
      </w:pPr>
      <w:r>
        <w:t>4</w:t>
      </w:r>
      <w:r>
        <w:tab/>
        <w:t>Requirements for use of intense sweeteners</w:t>
      </w:r>
    </w:p>
    <w:p w:rsidR="00C33B68" w:rsidRDefault="00C33B68" w:rsidP="005F74B4">
      <w:pPr>
        <w:pStyle w:val="ClauseList"/>
      </w:pPr>
      <w:r>
        <w:t>5</w:t>
      </w:r>
      <w:r>
        <w:tab/>
        <w:t>Maximum permitted levels of additives</w:t>
      </w:r>
    </w:p>
    <w:p w:rsidR="00C33B68" w:rsidRDefault="00C33B68" w:rsidP="005F74B4">
      <w:pPr>
        <w:pStyle w:val="ClauseList"/>
      </w:pPr>
      <w:r>
        <w:t>6</w:t>
      </w:r>
      <w:r>
        <w:tab/>
        <w:t>Additives performing the same function</w:t>
      </w:r>
    </w:p>
    <w:p w:rsidR="00C33B68" w:rsidRDefault="00C33B68" w:rsidP="005F74B4">
      <w:pPr>
        <w:pStyle w:val="ClauseList"/>
      </w:pPr>
      <w:r>
        <w:t>7</w:t>
      </w:r>
      <w:r>
        <w:tab/>
        <w:t>Carry-over of additives</w:t>
      </w:r>
    </w:p>
    <w:p w:rsidR="00C33B68" w:rsidRDefault="00C33B68" w:rsidP="005F74B4">
      <w:pPr>
        <w:pStyle w:val="ClauseList"/>
      </w:pPr>
      <w:r>
        <w:t>8</w:t>
      </w:r>
      <w:r>
        <w:tab/>
        <w:t>Food for use in preparation of another food</w:t>
      </w:r>
    </w:p>
    <w:p w:rsidR="00C33B68" w:rsidRDefault="00C33B68" w:rsidP="005F74B4">
      <w:pPr>
        <w:pStyle w:val="ClauseList"/>
      </w:pPr>
      <w:r>
        <w:t>9</w:t>
      </w:r>
      <w:r>
        <w:tab/>
        <w:t>The addition of a garnish to food</w:t>
      </w:r>
    </w:p>
    <w:p w:rsidR="00C33B68" w:rsidRDefault="00C33B68" w:rsidP="005F74B4">
      <w:pPr>
        <w:pStyle w:val="ClauseList"/>
      </w:pPr>
      <w:r>
        <w:t>10</w:t>
      </w:r>
      <w:r>
        <w:tab/>
        <w:t>Colours and their aluminium and calcium lakes</w:t>
      </w:r>
    </w:p>
    <w:p w:rsidR="00C33B68" w:rsidRDefault="00C33B68" w:rsidP="005F74B4">
      <w:pPr>
        <w:pStyle w:val="ClauseList"/>
      </w:pPr>
      <w:r>
        <w:t>11</w:t>
      </w:r>
      <w:r>
        <w:tab/>
        <w:t xml:space="preserve">Permitted </w:t>
      </w:r>
      <w:r w:rsidR="00951BCD">
        <w:t>flavouring substances</w:t>
      </w:r>
    </w:p>
    <w:p w:rsidR="00C33B68" w:rsidRDefault="00C33B68" w:rsidP="005F74B4">
      <w:pPr>
        <w:pStyle w:val="ClauseList"/>
      </w:pPr>
    </w:p>
    <w:p w:rsidR="00C33B68" w:rsidRDefault="00C33B68" w:rsidP="005F74B4">
      <w:pPr>
        <w:pStyle w:val="ClauseList"/>
        <w:ind w:left="1701" w:hanging="1701"/>
      </w:pPr>
      <w:r>
        <w:t>Schedule 1</w:t>
      </w:r>
      <w:r>
        <w:tab/>
        <w:t>Permitted uses of food additives by food type</w:t>
      </w:r>
    </w:p>
    <w:p w:rsidR="00C33B68" w:rsidRDefault="00C33B68" w:rsidP="005F74B4">
      <w:pPr>
        <w:pStyle w:val="ClauseList"/>
        <w:ind w:left="1701" w:hanging="1701"/>
      </w:pPr>
      <w:r>
        <w:t>Schedule 2</w:t>
      </w:r>
      <w:r>
        <w:tab/>
        <w:t>Miscellaneous additives permitted to GMP in processed foods specified in Schedule 1</w:t>
      </w:r>
    </w:p>
    <w:p w:rsidR="00C33B68" w:rsidRDefault="00C33B68" w:rsidP="005F74B4">
      <w:pPr>
        <w:pStyle w:val="ClauseList"/>
        <w:ind w:left="1701" w:hanging="1701"/>
      </w:pPr>
      <w:r>
        <w:t>Schedule 3</w:t>
      </w:r>
      <w:r>
        <w:tab/>
        <w:t>Colours permitted to GMP in processed foods specified in Schedule 1</w:t>
      </w:r>
    </w:p>
    <w:p w:rsidR="00C33B68" w:rsidRDefault="00C33B68" w:rsidP="005F74B4">
      <w:pPr>
        <w:pStyle w:val="ClauseList"/>
        <w:ind w:left="1701" w:hanging="1701"/>
      </w:pPr>
      <w:r>
        <w:t>Schedule 4</w:t>
      </w:r>
      <w:r>
        <w:tab/>
        <w:t>Colours permitted to specified levels in processed foods specified in Schedule 1</w:t>
      </w:r>
    </w:p>
    <w:p w:rsidR="00C33B68" w:rsidRDefault="00C33B68" w:rsidP="005F74B4">
      <w:pPr>
        <w:pStyle w:val="ClauseList"/>
        <w:ind w:left="1701" w:hanging="1701"/>
      </w:pPr>
      <w:r>
        <w:t>Schedule 5</w:t>
      </w:r>
      <w:r>
        <w:tab/>
        <w:t>Technological functions which may be performed by food additives</w:t>
      </w:r>
    </w:p>
    <w:p w:rsidR="00C33B68" w:rsidRDefault="00C33B68"/>
    <w:p w:rsidR="00C33B68" w:rsidRDefault="00C33B68" w:rsidP="005F74B4">
      <w:pPr>
        <w:pStyle w:val="Clauseheading"/>
      </w:pPr>
      <w:r>
        <w:t>Clauses</w:t>
      </w:r>
    </w:p>
    <w:p w:rsidR="00C33B68" w:rsidRPr="001E074D" w:rsidRDefault="00C33B68" w:rsidP="001E074D"/>
    <w:p w:rsidR="00C33B68" w:rsidRDefault="00C33B68" w:rsidP="001E074D">
      <w:pPr>
        <w:pStyle w:val="Clauseheading"/>
      </w:pPr>
      <w:r>
        <w:t>1</w:t>
      </w:r>
      <w:r>
        <w:tab/>
        <w:t>Definitions</w:t>
      </w:r>
    </w:p>
    <w:p w:rsidR="00C33B68" w:rsidRDefault="00C33B68"/>
    <w:p w:rsidR="00C33B68" w:rsidRDefault="00C33B68" w:rsidP="005F74B4">
      <w:pPr>
        <w:pStyle w:val="Clause"/>
      </w:pPr>
      <w:r>
        <w:t xml:space="preserve">In this Standard – </w:t>
      </w:r>
    </w:p>
    <w:p w:rsidR="00C33B68" w:rsidRDefault="00C33B68"/>
    <w:p w:rsidR="00C33B68" w:rsidRDefault="00C33B68" w:rsidP="005F74B4">
      <w:pPr>
        <w:pStyle w:val="Definition"/>
      </w:pPr>
      <w:proofErr w:type="gramStart"/>
      <w:r>
        <w:rPr>
          <w:b/>
        </w:rPr>
        <w:t>maximum</w:t>
      </w:r>
      <w:proofErr w:type="gramEnd"/>
      <w:r>
        <w:rPr>
          <w:b/>
        </w:rPr>
        <w:t xml:space="preserve"> permitted level</w:t>
      </w:r>
      <w:r>
        <w:t xml:space="preserve"> means the maximum amount of additive which may be</w:t>
      </w:r>
      <w:r w:rsidRPr="005F74B4">
        <w:t xml:space="preserve"> </w:t>
      </w:r>
      <w:r>
        <w:t>present in the food as set out in relation to that food in Schedule 1.</w:t>
      </w:r>
    </w:p>
    <w:p w:rsidR="00F42652" w:rsidRDefault="00F42652" w:rsidP="005F74B4">
      <w:pPr>
        <w:pStyle w:val="Definition"/>
        <w:rPr>
          <w:b/>
        </w:rPr>
      </w:pPr>
    </w:p>
    <w:p w:rsidR="00C33B68" w:rsidRDefault="00C33B68" w:rsidP="005F74B4">
      <w:pPr>
        <w:pStyle w:val="Definition"/>
      </w:pPr>
      <w:proofErr w:type="gramStart"/>
      <w:r>
        <w:rPr>
          <w:b/>
        </w:rPr>
        <w:t>processed</w:t>
      </w:r>
      <w:proofErr w:type="gramEnd"/>
      <w:r>
        <w:rPr>
          <w:b/>
        </w:rPr>
        <w:t xml:space="preserve"> food</w:t>
      </w:r>
      <w:r>
        <w:t xml:space="preserve"> means food which has undergone any treatment resulting in a substantial change in the original state of the food.</w:t>
      </w:r>
    </w:p>
    <w:p w:rsidR="00C33B68" w:rsidRDefault="00C33B68" w:rsidP="005F74B4">
      <w:pPr>
        <w:pStyle w:val="Definition"/>
      </w:pPr>
    </w:p>
    <w:p w:rsidR="00C33B68" w:rsidRDefault="00C33B68" w:rsidP="005F74B4">
      <w:pPr>
        <w:pStyle w:val="Definition"/>
      </w:pPr>
      <w:r>
        <w:rPr>
          <w:b/>
          <w:bCs/>
        </w:rPr>
        <w:t xml:space="preserve">technological function </w:t>
      </w:r>
      <w:r>
        <w:t>means a function set out in Schedule 5, but does not include the addition of a food additive to a single ingredient food that is not required by this Code to be labelled where a single process is applied and the food is presented in a manner which suggests that the organoleptic qualities have not been altered, other than through the process.</w:t>
      </w:r>
    </w:p>
    <w:p w:rsidR="00363FEB" w:rsidRPr="00B47F87" w:rsidRDefault="00363FEB" w:rsidP="00363FEB">
      <w:pPr>
        <w:rPr>
          <w:rFonts w:cs="Arial"/>
        </w:rPr>
      </w:pPr>
    </w:p>
    <w:p w:rsidR="00363FEB" w:rsidRPr="00B47F87" w:rsidRDefault="00F42652" w:rsidP="00363FEB">
      <w:pPr>
        <w:pStyle w:val="EditorialNoteLine1"/>
      </w:pPr>
      <w:r>
        <w:br w:type="page"/>
      </w:r>
      <w:r w:rsidR="00363FEB" w:rsidRPr="00B47F87">
        <w:lastRenderedPageBreak/>
        <w:t>Editorial note:</w:t>
      </w:r>
    </w:p>
    <w:p w:rsidR="00363FEB" w:rsidRPr="00B47F87" w:rsidRDefault="00363FEB" w:rsidP="001E074D">
      <w:pPr>
        <w:pStyle w:val="EditorialNotetext"/>
      </w:pPr>
    </w:p>
    <w:p w:rsidR="00363FEB" w:rsidRPr="00B47F87" w:rsidRDefault="00363FEB" w:rsidP="001E074D">
      <w:pPr>
        <w:pStyle w:val="EditorialNotetext"/>
      </w:pPr>
      <w:r w:rsidRPr="00B47F87">
        <w:t>The technological functions of food additives are listed in Schedule 5 of Standard 1.3.1. See Standard 1.2.4 – Labelling of Ingredients for the requirements for the declaration of ingredients, including for food additive class names.</w:t>
      </w:r>
    </w:p>
    <w:p w:rsidR="00363FEB" w:rsidRPr="00B47F87" w:rsidRDefault="00363FEB" w:rsidP="001E074D"/>
    <w:p w:rsidR="00C33B68" w:rsidRDefault="00C33B68" w:rsidP="005F74B4">
      <w:pPr>
        <w:pStyle w:val="Clauseheading"/>
      </w:pPr>
      <w:r>
        <w:t>2</w:t>
      </w:r>
      <w:r>
        <w:tab/>
        <w:t>General prohibition on the use of additives</w:t>
      </w:r>
    </w:p>
    <w:p w:rsidR="00C33B68" w:rsidRDefault="00C33B68"/>
    <w:p w:rsidR="00C33B68" w:rsidRDefault="00C33B68" w:rsidP="005F74B4">
      <w:pPr>
        <w:pStyle w:val="Clause"/>
      </w:pPr>
      <w:r>
        <w:t>Unless expressly permitted in this Standard, food additives must not be added to food.</w:t>
      </w:r>
    </w:p>
    <w:p w:rsidR="00C33B68" w:rsidRDefault="00C33B68"/>
    <w:p w:rsidR="00F42652" w:rsidRPr="00F42652" w:rsidRDefault="00F42652" w:rsidP="00F42652">
      <w:pPr>
        <w:pStyle w:val="Clauseheading"/>
      </w:pPr>
      <w:r w:rsidRPr="00F42652">
        <w:t>3</w:t>
      </w:r>
      <w:r w:rsidRPr="00F42652">
        <w:tab/>
        <w:t>Permitted use of additives</w:t>
      </w:r>
    </w:p>
    <w:p w:rsidR="00F42652" w:rsidRPr="00F42652" w:rsidRDefault="00F42652" w:rsidP="00F42652">
      <w:pPr>
        <w:widowControl w:val="0"/>
        <w:tabs>
          <w:tab w:val="left" w:pos="851"/>
        </w:tabs>
        <w:rPr>
          <w:b/>
          <w:szCs w:val="20"/>
          <w:lang w:val="en-GB" w:bidi="en-US"/>
        </w:rPr>
      </w:pPr>
    </w:p>
    <w:p w:rsidR="00F42652" w:rsidRPr="00F42652" w:rsidRDefault="00F42652" w:rsidP="00F42652">
      <w:pPr>
        <w:widowControl w:val="0"/>
        <w:tabs>
          <w:tab w:val="left" w:pos="851"/>
        </w:tabs>
        <w:rPr>
          <w:szCs w:val="20"/>
          <w:lang w:val="en-GB" w:bidi="en-US"/>
        </w:rPr>
      </w:pPr>
      <w:r w:rsidRPr="00F42652">
        <w:rPr>
          <w:szCs w:val="20"/>
          <w:lang w:val="en-GB" w:bidi="en-US"/>
        </w:rPr>
        <w:t>(1)</w:t>
      </w:r>
      <w:r w:rsidRPr="00F42652">
        <w:rPr>
          <w:szCs w:val="20"/>
          <w:lang w:val="en-GB" w:bidi="en-US"/>
        </w:rPr>
        <w:tab/>
        <w:t xml:space="preserve">The additives listed by name or number in Schedules 1, 2, 3 and 4 may be added to a food or class of food to perform technological functions provided that – </w:t>
      </w:r>
    </w:p>
    <w:p w:rsidR="00F42652" w:rsidRPr="00F42652" w:rsidRDefault="00F42652" w:rsidP="00280ABC">
      <w:pPr>
        <w:rPr>
          <w:lang w:val="en-GB" w:bidi="en-US"/>
        </w:rPr>
      </w:pPr>
    </w:p>
    <w:p w:rsidR="00F42652" w:rsidRPr="00F42652" w:rsidRDefault="00F42652" w:rsidP="00F42652">
      <w:pPr>
        <w:pStyle w:val="Paragraph"/>
        <w:rPr>
          <w:lang w:bidi="en-US"/>
        </w:rPr>
      </w:pPr>
      <w:r w:rsidRPr="00F42652">
        <w:rPr>
          <w:lang w:bidi="en-US"/>
        </w:rPr>
        <w:t>(a)</w:t>
      </w:r>
      <w:r w:rsidRPr="00F42652">
        <w:rPr>
          <w:lang w:bidi="en-US"/>
        </w:rPr>
        <w:tab/>
      </w:r>
      <w:proofErr w:type="gramStart"/>
      <w:r w:rsidRPr="00F42652">
        <w:rPr>
          <w:lang w:bidi="en-US"/>
        </w:rPr>
        <w:t>the</w:t>
      </w:r>
      <w:proofErr w:type="gramEnd"/>
      <w:r w:rsidRPr="00F42652">
        <w:rPr>
          <w:lang w:bidi="en-US"/>
        </w:rPr>
        <w:t xml:space="preserve"> use complies with any restrictions on use listed in Schedule 1; and</w:t>
      </w:r>
    </w:p>
    <w:p w:rsidR="00F42652" w:rsidRPr="00F42652" w:rsidRDefault="00F42652" w:rsidP="00F42652">
      <w:pPr>
        <w:pStyle w:val="Paragraph"/>
        <w:rPr>
          <w:lang w:bidi="en-US"/>
        </w:rPr>
      </w:pPr>
      <w:r w:rsidRPr="00F42652">
        <w:rPr>
          <w:lang w:bidi="en-US"/>
        </w:rPr>
        <w:t>(b)</w:t>
      </w:r>
      <w:r w:rsidRPr="00F42652">
        <w:rPr>
          <w:lang w:bidi="en-US"/>
        </w:rPr>
        <w:tab/>
      </w:r>
      <w:proofErr w:type="gramStart"/>
      <w:r w:rsidRPr="00F42652">
        <w:rPr>
          <w:lang w:bidi="en-US"/>
        </w:rPr>
        <w:t>the</w:t>
      </w:r>
      <w:proofErr w:type="gramEnd"/>
      <w:r w:rsidRPr="00F42652">
        <w:rPr>
          <w:lang w:bidi="en-US"/>
        </w:rPr>
        <w:t xml:space="preserve"> proportion of the additive is no more than the maximum level necessary to achieve one or more technological functions under the conditions of Good Manufacturing Practice (GMP).</w:t>
      </w:r>
    </w:p>
    <w:p w:rsidR="00F42652" w:rsidRPr="00F42652" w:rsidRDefault="00F42652" w:rsidP="00F42652">
      <w:pPr>
        <w:widowControl w:val="0"/>
        <w:rPr>
          <w:szCs w:val="20"/>
          <w:lang w:val="en-GB" w:bidi="en-US"/>
        </w:rPr>
      </w:pPr>
    </w:p>
    <w:p w:rsidR="00F42652" w:rsidRPr="00F42652" w:rsidRDefault="00F42652" w:rsidP="00F42652">
      <w:pPr>
        <w:widowControl w:val="0"/>
        <w:tabs>
          <w:tab w:val="left" w:pos="851"/>
        </w:tabs>
        <w:rPr>
          <w:szCs w:val="20"/>
          <w:lang w:val="en-GB" w:bidi="en-US"/>
        </w:rPr>
      </w:pPr>
      <w:r w:rsidRPr="00F42652">
        <w:rPr>
          <w:szCs w:val="20"/>
          <w:lang w:val="en-GB" w:bidi="en-US"/>
        </w:rPr>
        <w:t>(2)</w:t>
      </w:r>
      <w:r w:rsidRPr="00F42652">
        <w:rPr>
          <w:szCs w:val="20"/>
          <w:lang w:val="en-GB" w:bidi="en-US"/>
        </w:rPr>
        <w:tab/>
        <w:t>The additives in Schedule 2 may be present in processed foods as a result of use in accordance with GMP, except where expressly prohibited in Schedule 1.</w:t>
      </w:r>
    </w:p>
    <w:p w:rsidR="00F42652" w:rsidRPr="00F42652" w:rsidRDefault="00F42652" w:rsidP="00F42652">
      <w:pPr>
        <w:widowControl w:val="0"/>
        <w:rPr>
          <w:szCs w:val="20"/>
          <w:lang w:val="en-GB" w:bidi="en-US"/>
        </w:rPr>
      </w:pPr>
    </w:p>
    <w:p w:rsidR="00F42652" w:rsidRPr="00F42652" w:rsidRDefault="00F42652" w:rsidP="00F42652">
      <w:pPr>
        <w:widowControl w:val="0"/>
        <w:tabs>
          <w:tab w:val="left" w:pos="851"/>
        </w:tabs>
        <w:rPr>
          <w:szCs w:val="20"/>
          <w:lang w:val="en-GB" w:bidi="en-US"/>
        </w:rPr>
      </w:pPr>
      <w:r w:rsidRPr="00F42652">
        <w:rPr>
          <w:szCs w:val="20"/>
          <w:lang w:val="en-GB" w:bidi="en-US"/>
        </w:rPr>
        <w:t>(3)</w:t>
      </w:r>
      <w:r w:rsidRPr="00F42652">
        <w:rPr>
          <w:szCs w:val="20"/>
          <w:lang w:val="en-GB" w:bidi="en-US"/>
        </w:rPr>
        <w:tab/>
        <w:t>The colours in Schedule 3 may be present in processed foods as a result of use in accordance with GMP except where expressly prohibited in Schedule 1.</w:t>
      </w:r>
    </w:p>
    <w:p w:rsidR="00F42652" w:rsidRPr="00F42652" w:rsidRDefault="00F42652" w:rsidP="00F42652">
      <w:pPr>
        <w:widowControl w:val="0"/>
        <w:rPr>
          <w:szCs w:val="20"/>
          <w:lang w:val="en-GB" w:bidi="en-US"/>
        </w:rPr>
      </w:pPr>
    </w:p>
    <w:p w:rsidR="00F42652" w:rsidRPr="00F42652" w:rsidRDefault="00F42652" w:rsidP="00F42652">
      <w:pPr>
        <w:widowControl w:val="0"/>
        <w:tabs>
          <w:tab w:val="left" w:pos="851"/>
        </w:tabs>
        <w:rPr>
          <w:szCs w:val="20"/>
          <w:lang w:val="en-GB" w:bidi="en-US"/>
        </w:rPr>
      </w:pPr>
      <w:r w:rsidRPr="00F42652">
        <w:rPr>
          <w:szCs w:val="20"/>
          <w:lang w:val="en-GB" w:bidi="en-US"/>
        </w:rPr>
        <w:t>(4)</w:t>
      </w:r>
      <w:r w:rsidRPr="00F42652">
        <w:rPr>
          <w:szCs w:val="20"/>
          <w:lang w:val="en-GB" w:bidi="en-US"/>
        </w:rPr>
        <w:tab/>
        <w:t>The colours in Schedule 4 may be present in processed foods to a combined maximum level of 290 mg/kg in foods, and 70 mg/L in beverages, except where expressly prohibited in Schedule 1.</w:t>
      </w:r>
    </w:p>
    <w:p w:rsidR="00363FEB" w:rsidRDefault="00363FEB">
      <w:pPr>
        <w:pStyle w:val="Clauseheading"/>
      </w:pPr>
    </w:p>
    <w:p w:rsidR="00C33B68" w:rsidRDefault="00C33B68">
      <w:pPr>
        <w:pStyle w:val="Clauseheading"/>
      </w:pPr>
      <w:r>
        <w:t>4</w:t>
      </w:r>
      <w:r>
        <w:tab/>
        <w:t>Requirements for use of intense sweeteners</w:t>
      </w:r>
    </w:p>
    <w:p w:rsidR="00C33B68" w:rsidRDefault="00C33B68"/>
    <w:p w:rsidR="00C33B68" w:rsidRDefault="00C33B68" w:rsidP="005F74B4">
      <w:pPr>
        <w:pStyle w:val="Clause"/>
      </w:pPr>
      <w:r>
        <w:t>Save where otherwise expressly stated in Schedule 1 and notwithstanding any specific level</w:t>
      </w:r>
      <w:r>
        <w:rPr>
          <w:bCs/>
        </w:rPr>
        <w:t xml:space="preserve"> </w:t>
      </w:r>
      <w:r>
        <w:t>specified in a Schedule to this Standard, intense sweeteners may only be added to food as a flavour enhancer or in an amount necessary to replace, either wholly or partially, the sweetness normally provided by sugars.</w:t>
      </w:r>
    </w:p>
    <w:p w:rsidR="00363FEB" w:rsidRPr="00B47F87" w:rsidRDefault="00363FEB" w:rsidP="00363FEB">
      <w:pPr>
        <w:rPr>
          <w:rFonts w:cs="Arial"/>
        </w:rPr>
      </w:pPr>
    </w:p>
    <w:p w:rsidR="00363FEB" w:rsidRPr="00B47F87" w:rsidRDefault="00363FEB" w:rsidP="00363FEB">
      <w:pPr>
        <w:pStyle w:val="EditorialNoteLine1"/>
        <w:rPr>
          <w:rFonts w:cs="Arial"/>
        </w:rPr>
      </w:pPr>
      <w:r w:rsidRPr="00B47F87">
        <w:rPr>
          <w:rFonts w:cs="Arial"/>
        </w:rPr>
        <w:t>Editorial note:</w:t>
      </w:r>
    </w:p>
    <w:p w:rsidR="00363FEB" w:rsidRPr="00B47F87" w:rsidRDefault="00363FEB" w:rsidP="005F74B4">
      <w:pPr>
        <w:pStyle w:val="EditorialNotetext"/>
      </w:pPr>
    </w:p>
    <w:p w:rsidR="00600B7A" w:rsidRDefault="00363FEB" w:rsidP="00363FEB">
      <w:pPr>
        <w:pStyle w:val="EditorialNotetext"/>
        <w:rPr>
          <w:rFonts w:cs="Arial"/>
        </w:rPr>
      </w:pPr>
      <w:r w:rsidRPr="00B47F87">
        <w:rPr>
          <w:rFonts w:cs="Arial"/>
        </w:rPr>
        <w:t>Limits for specific intense sweeteners in specific foods are included in Schedule 1.  Some intense sweeteners are included in Schedule 2 and these sweeteners may be added to a food in accordance with Schedule 1 (i.e. where Schedule 2 additives may be present in a food).</w:t>
      </w:r>
    </w:p>
    <w:p w:rsidR="00B0098C" w:rsidRDefault="00B0098C" w:rsidP="00363FEB">
      <w:pPr>
        <w:pStyle w:val="EditorialNotetext"/>
        <w:rPr>
          <w:rFonts w:cs="Arial"/>
        </w:rPr>
      </w:pPr>
    </w:p>
    <w:p w:rsidR="00363FEB" w:rsidRPr="00B47F87" w:rsidRDefault="00363FEB" w:rsidP="00363FEB">
      <w:pPr>
        <w:pStyle w:val="EditorialNotetext"/>
        <w:rPr>
          <w:rFonts w:cs="Arial"/>
        </w:rPr>
      </w:pPr>
      <w:r w:rsidRPr="00B47F87">
        <w:rPr>
          <w:rFonts w:cs="Arial"/>
        </w:rPr>
        <w:t>The amount of an intense sweetener needed in a food would depend on the amount required:</w:t>
      </w:r>
    </w:p>
    <w:p w:rsidR="00600B7A" w:rsidRDefault="00600B7A" w:rsidP="00F42652">
      <w:pPr>
        <w:pStyle w:val="EditorialNotetext"/>
        <w:tabs>
          <w:tab w:val="clear" w:pos="851"/>
        </w:tabs>
        <w:ind w:left="567" w:hanging="567"/>
        <w:rPr>
          <w:rFonts w:cs="Arial"/>
        </w:rPr>
      </w:pPr>
    </w:p>
    <w:p w:rsidR="00363FEB" w:rsidRPr="00B47F87" w:rsidRDefault="00363FEB" w:rsidP="00F42652">
      <w:pPr>
        <w:pStyle w:val="EditorialNotetext"/>
        <w:tabs>
          <w:tab w:val="clear" w:pos="851"/>
        </w:tabs>
        <w:ind w:left="567" w:hanging="567"/>
        <w:rPr>
          <w:rFonts w:cs="Arial"/>
        </w:rPr>
      </w:pPr>
      <w:r w:rsidRPr="00B47F87">
        <w:rPr>
          <w:rFonts w:cs="Arial"/>
        </w:rPr>
        <w:t>1.</w:t>
      </w:r>
      <w:r w:rsidRPr="00B47F87">
        <w:rPr>
          <w:rFonts w:cs="Arial"/>
        </w:rPr>
        <w:tab/>
      </w:r>
      <w:proofErr w:type="gramStart"/>
      <w:r w:rsidRPr="00B47F87">
        <w:rPr>
          <w:rFonts w:cs="Arial"/>
        </w:rPr>
        <w:t>as</w:t>
      </w:r>
      <w:proofErr w:type="gramEnd"/>
      <w:r w:rsidRPr="00B47F87">
        <w:rPr>
          <w:rFonts w:cs="Arial"/>
        </w:rPr>
        <w:t xml:space="preserve"> a flavour enhancer in the food; </w:t>
      </w:r>
      <w:r w:rsidRPr="00B47F87">
        <w:rPr>
          <w:rFonts w:cs="Arial"/>
          <w:u w:val="single"/>
        </w:rPr>
        <w:t>or</w:t>
      </w:r>
    </w:p>
    <w:p w:rsidR="00363FEB" w:rsidRPr="00B47F87" w:rsidRDefault="00363FEB" w:rsidP="00F42652">
      <w:pPr>
        <w:pStyle w:val="EditorialNotetext"/>
        <w:tabs>
          <w:tab w:val="clear" w:pos="851"/>
        </w:tabs>
        <w:ind w:left="567" w:hanging="567"/>
        <w:rPr>
          <w:rFonts w:cs="Arial"/>
        </w:rPr>
      </w:pPr>
      <w:r w:rsidRPr="00B47F87">
        <w:rPr>
          <w:rFonts w:cs="Arial"/>
        </w:rPr>
        <w:t>2.</w:t>
      </w:r>
      <w:r w:rsidRPr="00B47F87">
        <w:rPr>
          <w:rFonts w:cs="Arial"/>
        </w:rPr>
        <w:tab/>
      </w:r>
      <w:proofErr w:type="gramStart"/>
      <w:r w:rsidRPr="00B47F87">
        <w:rPr>
          <w:rFonts w:cs="Arial"/>
        </w:rPr>
        <w:t>to</w:t>
      </w:r>
      <w:proofErr w:type="gramEnd"/>
      <w:r w:rsidRPr="00B47F87">
        <w:rPr>
          <w:rFonts w:cs="Arial"/>
        </w:rPr>
        <w:t xml:space="preserve"> wholly or partially replace the sweetness of sugars that would or could be present in the food.</w:t>
      </w:r>
    </w:p>
    <w:p w:rsidR="00363FEB" w:rsidRPr="00B47F87" w:rsidRDefault="00363FEB" w:rsidP="00363FEB">
      <w:pPr>
        <w:pStyle w:val="EditorialNotetext"/>
        <w:rPr>
          <w:rFonts w:cs="Arial"/>
        </w:rPr>
      </w:pPr>
    </w:p>
    <w:p w:rsidR="00363FEB" w:rsidRPr="00B47F87" w:rsidRDefault="00363FEB" w:rsidP="00363FEB">
      <w:pPr>
        <w:pStyle w:val="EditorialNotetext"/>
        <w:rPr>
          <w:rFonts w:cs="Arial"/>
        </w:rPr>
      </w:pPr>
      <w:r w:rsidRPr="00B47F87">
        <w:rPr>
          <w:rFonts w:cs="Arial"/>
        </w:rPr>
        <w:t>Polyols, isomalt and polydextrose are examples of ingredients that are used as humectants or texturisers or as foods in their own right.</w:t>
      </w:r>
    </w:p>
    <w:p w:rsidR="00363FEB" w:rsidRPr="001E074D" w:rsidRDefault="00363FEB" w:rsidP="001E074D"/>
    <w:p w:rsidR="00C33B68" w:rsidRDefault="00C33B68" w:rsidP="005F74B4">
      <w:pPr>
        <w:pStyle w:val="Clauseheading"/>
      </w:pPr>
      <w:r>
        <w:t>5</w:t>
      </w:r>
      <w:r>
        <w:tab/>
        <w:t>Maximum permitted levels of additives</w:t>
      </w:r>
    </w:p>
    <w:p w:rsidR="00C33B68" w:rsidRDefault="00C33B68"/>
    <w:p w:rsidR="00C33B68" w:rsidRDefault="00C33B68" w:rsidP="001E074D">
      <w:pPr>
        <w:pStyle w:val="Subclause"/>
      </w:pPr>
      <w:r>
        <w:t>(1)</w:t>
      </w:r>
      <w:r>
        <w:tab/>
        <w:t>Where a maximum level for an additive in a food is prescribed, unless otherwise stated, the level refers to the maximum amount which may be present in the food as sold or, where there are directions for preparation, when prepared for consumption according to label directions.</w:t>
      </w:r>
    </w:p>
    <w:p w:rsidR="00C33B68" w:rsidRDefault="00C33B68"/>
    <w:p w:rsidR="00B0098C" w:rsidRDefault="001E074D" w:rsidP="001E074D">
      <w:pPr>
        <w:pStyle w:val="Subclause"/>
      </w:pPr>
      <w:r>
        <w:t>(2)</w:t>
      </w:r>
      <w:r>
        <w:tab/>
      </w:r>
      <w:r w:rsidR="00C33B68">
        <w:t xml:space="preserve">For the purposes of this Standard – </w:t>
      </w:r>
      <w:r w:rsidR="00B0098C">
        <w:br w:type="page"/>
      </w:r>
    </w:p>
    <w:p w:rsidR="0005345D" w:rsidRPr="00B64DF0" w:rsidRDefault="0005345D" w:rsidP="00A94821">
      <w:pPr>
        <w:pStyle w:val="Definition"/>
      </w:pPr>
      <w:proofErr w:type="gramStart"/>
      <w:r>
        <w:rPr>
          <w:b/>
        </w:rPr>
        <w:lastRenderedPageBreak/>
        <w:t>annatto</w:t>
      </w:r>
      <w:proofErr w:type="gramEnd"/>
      <w:r>
        <w:t xml:space="preserve"> and annatto extracts shall include norbixin and bixin, calculated as bixin.</w:t>
      </w:r>
    </w:p>
    <w:p w:rsidR="00C33B68" w:rsidRDefault="00C33B68" w:rsidP="001E074D">
      <w:pPr>
        <w:pStyle w:val="Definition"/>
        <w:rPr>
          <w:b/>
        </w:rPr>
      </w:pPr>
    </w:p>
    <w:p w:rsidR="00C33B68" w:rsidRDefault="00C33B68" w:rsidP="001E074D">
      <w:pPr>
        <w:pStyle w:val="Definition"/>
      </w:pPr>
      <w:proofErr w:type="gramStart"/>
      <w:r>
        <w:rPr>
          <w:b/>
        </w:rPr>
        <w:t>benzoic</w:t>
      </w:r>
      <w:proofErr w:type="gramEnd"/>
      <w:r>
        <w:rPr>
          <w:b/>
        </w:rPr>
        <w:t xml:space="preserve"> acid</w:t>
      </w:r>
      <w:r>
        <w:t xml:space="preserve"> and its salts shall be calculated as benzoic acid.</w:t>
      </w:r>
    </w:p>
    <w:p w:rsidR="00C33B68" w:rsidRDefault="00C33B68" w:rsidP="001E074D">
      <w:pPr>
        <w:pStyle w:val="Definition"/>
        <w:rPr>
          <w:b/>
        </w:rPr>
      </w:pPr>
    </w:p>
    <w:p w:rsidR="00C33B68" w:rsidRDefault="00C33B68" w:rsidP="001E074D">
      <w:pPr>
        <w:pStyle w:val="Definition"/>
      </w:pPr>
      <w:proofErr w:type="gramStart"/>
      <w:r>
        <w:rPr>
          <w:b/>
        </w:rPr>
        <w:t>cyclamate</w:t>
      </w:r>
      <w:proofErr w:type="gramEnd"/>
      <w:r>
        <w:rPr>
          <w:b/>
        </w:rPr>
        <w:t xml:space="preserve"> </w:t>
      </w:r>
      <w:r>
        <w:t>and its salts shall be calculated as cyclohexyl-sulphamic acid.</w:t>
      </w:r>
    </w:p>
    <w:p w:rsidR="00C33B68" w:rsidRDefault="00C33B68" w:rsidP="001E074D">
      <w:pPr>
        <w:pStyle w:val="Definition"/>
      </w:pPr>
    </w:p>
    <w:p w:rsidR="00A94821" w:rsidRPr="00F03A82" w:rsidRDefault="00A94821" w:rsidP="00A94821">
      <w:pPr>
        <w:pStyle w:val="Definition"/>
      </w:pPr>
      <w:proofErr w:type="gramStart"/>
      <w:r w:rsidRPr="00F03A82">
        <w:rPr>
          <w:b/>
        </w:rPr>
        <w:t>ethyl</w:t>
      </w:r>
      <w:proofErr w:type="gramEnd"/>
      <w:r w:rsidRPr="00F03A82">
        <w:rPr>
          <w:b/>
        </w:rPr>
        <w:t xml:space="preserve"> lauroyl arginate </w:t>
      </w:r>
      <w:r w:rsidRPr="00F03A82">
        <w:t>shall be calculated as ethyl-N</w:t>
      </w:r>
      <w:r w:rsidRPr="00F03A82">
        <w:rPr>
          <w:vertAlign w:val="superscript"/>
        </w:rPr>
        <w:t>α</w:t>
      </w:r>
      <w:r w:rsidRPr="00F03A82">
        <w:t>-lauroyl-L-</w:t>
      </w:r>
      <w:proofErr w:type="spellStart"/>
      <w:r w:rsidRPr="00F03A82">
        <w:t>arginate</w:t>
      </w:r>
      <w:r w:rsidRPr="00F03A82">
        <w:rPr>
          <w:b/>
          <w:vertAlign w:val="superscript"/>
        </w:rPr>
        <w:t>.</w:t>
      </w:r>
      <w:r w:rsidRPr="00F03A82">
        <w:t>HCl</w:t>
      </w:r>
      <w:proofErr w:type="spellEnd"/>
      <w:r w:rsidR="00332D84">
        <w:t>.</w:t>
      </w:r>
    </w:p>
    <w:p w:rsidR="00A94821" w:rsidRDefault="00A94821" w:rsidP="001E074D">
      <w:pPr>
        <w:pStyle w:val="Definition"/>
        <w:rPr>
          <w:b/>
        </w:rPr>
      </w:pPr>
    </w:p>
    <w:p w:rsidR="00C33B68" w:rsidRDefault="00C33B68" w:rsidP="001E074D">
      <w:pPr>
        <w:pStyle w:val="Definition"/>
      </w:pPr>
      <w:proofErr w:type="gramStart"/>
      <w:r>
        <w:rPr>
          <w:b/>
        </w:rPr>
        <w:t>propionic</w:t>
      </w:r>
      <w:proofErr w:type="gramEnd"/>
      <w:r>
        <w:rPr>
          <w:b/>
        </w:rPr>
        <w:t xml:space="preserve"> acid</w:t>
      </w:r>
      <w:r>
        <w:t xml:space="preserve"> and its salts shall be calculated as propionic acid.</w:t>
      </w:r>
    </w:p>
    <w:p w:rsidR="00C33B68" w:rsidRDefault="00C33B68" w:rsidP="001E074D">
      <w:pPr>
        <w:pStyle w:val="Definition"/>
      </w:pPr>
    </w:p>
    <w:p w:rsidR="00C33B68" w:rsidRDefault="00C33B68" w:rsidP="001E074D">
      <w:pPr>
        <w:pStyle w:val="Definition"/>
      </w:pPr>
      <w:proofErr w:type="gramStart"/>
      <w:r>
        <w:rPr>
          <w:b/>
        </w:rPr>
        <w:t>saccharin</w:t>
      </w:r>
      <w:proofErr w:type="gramEnd"/>
      <w:r>
        <w:rPr>
          <w:b/>
        </w:rPr>
        <w:t xml:space="preserve"> </w:t>
      </w:r>
      <w:r>
        <w:t>and its calcium and sodium salts shall be calculated as saccharin.</w:t>
      </w:r>
    </w:p>
    <w:p w:rsidR="00C33B68" w:rsidRDefault="00C33B68" w:rsidP="001E074D">
      <w:pPr>
        <w:pStyle w:val="Definition"/>
      </w:pPr>
    </w:p>
    <w:p w:rsidR="00C33B68" w:rsidRDefault="00C33B68" w:rsidP="001E074D">
      <w:pPr>
        <w:pStyle w:val="Definition"/>
      </w:pPr>
      <w:proofErr w:type="gramStart"/>
      <w:r>
        <w:rPr>
          <w:b/>
        </w:rPr>
        <w:t>sorbic</w:t>
      </w:r>
      <w:proofErr w:type="gramEnd"/>
      <w:r>
        <w:rPr>
          <w:b/>
        </w:rPr>
        <w:t xml:space="preserve"> acid</w:t>
      </w:r>
      <w:r>
        <w:t xml:space="preserve"> and its salts shall be calculated as sorbic acid.</w:t>
      </w:r>
    </w:p>
    <w:p w:rsidR="00C33B68" w:rsidRDefault="00C33B68" w:rsidP="001E074D">
      <w:pPr>
        <w:pStyle w:val="Definition"/>
        <w:rPr>
          <w:b/>
        </w:rPr>
      </w:pPr>
    </w:p>
    <w:p w:rsidR="00280ABC" w:rsidRPr="00280ABC" w:rsidRDefault="00280ABC" w:rsidP="00951BCD">
      <w:pPr>
        <w:pStyle w:val="Definition"/>
      </w:pPr>
      <w:proofErr w:type="gramStart"/>
      <w:r w:rsidRPr="00280ABC">
        <w:rPr>
          <w:b/>
        </w:rPr>
        <w:t>steviol</w:t>
      </w:r>
      <w:proofErr w:type="gramEnd"/>
      <w:r w:rsidRPr="00280ABC">
        <w:rPr>
          <w:b/>
        </w:rPr>
        <w:t xml:space="preserve"> glycosides </w:t>
      </w:r>
      <w:r w:rsidRPr="00280ABC">
        <w:t>shall be calculated as steviol equivalents in accordance with the formula used in subclause 3.</w:t>
      </w:r>
    </w:p>
    <w:p w:rsidR="00280ABC" w:rsidRPr="00280ABC" w:rsidRDefault="00280ABC" w:rsidP="00280ABC">
      <w:pPr>
        <w:rPr>
          <w:lang w:val="en-GB"/>
        </w:rPr>
      </w:pPr>
    </w:p>
    <w:p w:rsidR="00C33B68" w:rsidRDefault="00C33B68" w:rsidP="001E074D">
      <w:pPr>
        <w:pStyle w:val="Definition"/>
      </w:pPr>
      <w:proofErr w:type="gramStart"/>
      <w:r>
        <w:rPr>
          <w:b/>
        </w:rPr>
        <w:t>sulphur</w:t>
      </w:r>
      <w:proofErr w:type="gramEnd"/>
      <w:r>
        <w:rPr>
          <w:b/>
        </w:rPr>
        <w:t xml:space="preserve"> dioxide</w:t>
      </w:r>
      <w:r>
        <w:t>, sulphites including bisulphites and metabisulphites shall be calculated as sulphur dioxide.</w:t>
      </w:r>
    </w:p>
    <w:p w:rsidR="00C33B68" w:rsidRDefault="00C33B68" w:rsidP="001E074D"/>
    <w:p w:rsidR="00951BCD" w:rsidRPr="00951BCD" w:rsidRDefault="00951BCD" w:rsidP="00951BCD">
      <w:pPr>
        <w:pStyle w:val="Subclause"/>
        <w:rPr>
          <w:lang w:bidi="en-US"/>
        </w:rPr>
      </w:pPr>
      <w:r w:rsidRPr="00951BCD">
        <w:rPr>
          <w:lang w:bidi="en-US"/>
        </w:rPr>
        <w:t>(3)</w:t>
      </w:r>
      <w:r w:rsidRPr="00951BCD">
        <w:rPr>
          <w:lang w:bidi="en-US"/>
        </w:rPr>
        <w:tab/>
        <w:t>To calculate the steviol equivalent levels for a steviol glycoside, the following equation is used –</w:t>
      </w:r>
    </w:p>
    <w:p w:rsidR="00951BCD" w:rsidRPr="00951BCD" w:rsidRDefault="00951BCD" w:rsidP="00951BCD">
      <w:pPr>
        <w:widowControl w:val="0"/>
        <w:tabs>
          <w:tab w:val="left" w:pos="851"/>
        </w:tabs>
        <w:rPr>
          <w:szCs w:val="20"/>
          <w:lang w:val="en-GB" w:bidi="en-US"/>
        </w:rPr>
      </w:pPr>
    </w:p>
    <w:p w:rsidR="00951BCD" w:rsidRPr="00951BCD" w:rsidRDefault="00924A11" w:rsidP="00951BCD">
      <w:pPr>
        <w:widowControl w:val="0"/>
        <w:jc w:val="center"/>
        <w:rPr>
          <w:rFonts w:cs="Arial"/>
          <w:i/>
          <w:sz w:val="22"/>
          <w:lang w:val="en-GB" w:bidi="en-US"/>
        </w:rPr>
      </w:pPr>
      <m:oMathPara>
        <m:oMath>
          <m:d>
            <m:dPr>
              <m:begChr m:val="["/>
              <m:endChr m:val="]"/>
              <m:ctrlPr>
                <w:rPr>
                  <w:rFonts w:ascii="Cambria Math" w:hAnsi="Cambria Math" w:cs="Arial"/>
                  <w:i/>
                  <w:sz w:val="22"/>
                  <w:lang w:val="en-GB" w:bidi="en-US"/>
                </w:rPr>
              </m:ctrlPr>
            </m:dPr>
            <m:e>
              <m:r>
                <w:rPr>
                  <w:rFonts w:ascii="Cambria Math" w:hAnsi="Cambria Math" w:cs="Arial"/>
                  <w:sz w:val="22"/>
                  <w:lang w:val="en-GB" w:bidi="en-US"/>
                </w:rPr>
                <m:t>SE</m:t>
              </m:r>
            </m:e>
          </m:d>
          <m:r>
            <w:rPr>
              <w:rFonts w:ascii="Cambria Math" w:hAnsi="Cambria Math" w:cs="Arial"/>
              <w:sz w:val="22"/>
              <w:lang w:val="en-GB" w:bidi="en-US"/>
            </w:rPr>
            <m:t xml:space="preserve">= </m:t>
          </m:r>
          <m:nary>
            <m:naryPr>
              <m:chr m:val="∑"/>
              <m:limLoc m:val="undOvr"/>
              <m:subHide m:val="1"/>
              <m:supHide m:val="1"/>
              <m:ctrlPr>
                <w:rPr>
                  <w:rFonts w:ascii="Cambria Math" w:hAnsi="Cambria Math" w:cs="Arial"/>
                  <w:i/>
                  <w:sz w:val="22"/>
                  <w:lang w:val="en-GB" w:bidi="en-US"/>
                </w:rPr>
              </m:ctrlPr>
            </m:naryPr>
            <m:sub/>
            <m:sup/>
            <m:e>
              <m:r>
                <w:rPr>
                  <w:rFonts w:ascii="Cambria Math" w:hAnsi="Cambria Math" w:cs="Arial"/>
                  <w:sz w:val="22"/>
                  <w:lang w:val="en-GB" w:bidi="en-US"/>
                </w:rPr>
                <m:t>([SG]×CF)</m:t>
              </m:r>
            </m:e>
          </m:nary>
        </m:oMath>
      </m:oMathPara>
    </w:p>
    <w:p w:rsidR="00951BCD" w:rsidRPr="00951BCD" w:rsidRDefault="00951BCD" w:rsidP="00951BCD">
      <w:pPr>
        <w:tabs>
          <w:tab w:val="left" w:pos="851"/>
        </w:tabs>
        <w:rPr>
          <w:szCs w:val="20"/>
          <w:lang w:val="en-GB" w:bidi="en-US"/>
        </w:rPr>
      </w:pPr>
    </w:p>
    <w:p w:rsidR="00951BCD" w:rsidRPr="00951BCD" w:rsidRDefault="00951BCD" w:rsidP="00951BCD">
      <w:pPr>
        <w:pStyle w:val="Subclause"/>
        <w:rPr>
          <w:lang w:bidi="en-US"/>
        </w:rPr>
      </w:pPr>
      <w:proofErr w:type="gramStart"/>
      <w:r w:rsidRPr="00951BCD">
        <w:rPr>
          <w:lang w:bidi="en-US"/>
        </w:rPr>
        <w:t>where</w:t>
      </w:r>
      <w:proofErr w:type="gramEnd"/>
      <w:r w:rsidRPr="00951BCD">
        <w:rPr>
          <w:lang w:bidi="en-US"/>
        </w:rPr>
        <w:t xml:space="preserve"> –</w:t>
      </w:r>
    </w:p>
    <w:p w:rsidR="00951BCD" w:rsidRPr="00951BCD" w:rsidRDefault="00951BCD" w:rsidP="00951BCD">
      <w:pPr>
        <w:tabs>
          <w:tab w:val="left" w:pos="851"/>
        </w:tabs>
        <w:rPr>
          <w:szCs w:val="20"/>
          <w:lang w:val="en-GB" w:bidi="en-US"/>
        </w:rPr>
      </w:pPr>
    </w:p>
    <w:p w:rsidR="00951BCD" w:rsidRPr="00951BCD" w:rsidRDefault="00951BCD" w:rsidP="00951BCD">
      <w:pPr>
        <w:tabs>
          <w:tab w:val="left" w:pos="851"/>
        </w:tabs>
        <w:rPr>
          <w:szCs w:val="18"/>
          <w:lang w:val="en-GB" w:bidi="en-US"/>
        </w:rPr>
      </w:pPr>
      <w:r w:rsidRPr="00951BCD">
        <w:rPr>
          <w:szCs w:val="18"/>
          <w:lang w:val="en-GB" w:bidi="en-US"/>
        </w:rPr>
        <w:t>[SE]</w:t>
      </w:r>
      <w:r w:rsidRPr="00951BCD">
        <w:rPr>
          <w:szCs w:val="18"/>
          <w:lang w:val="en-GB" w:bidi="en-US"/>
        </w:rPr>
        <w:tab/>
        <w:t>=</w:t>
      </w:r>
      <w:r w:rsidRPr="00951BCD">
        <w:rPr>
          <w:szCs w:val="18"/>
          <w:lang w:val="en-GB" w:bidi="en-US"/>
        </w:rPr>
        <w:tab/>
        <w:t>concentration as steviol equivalents</w:t>
      </w:r>
    </w:p>
    <w:p w:rsidR="00951BCD" w:rsidRPr="00951BCD" w:rsidRDefault="00951BCD" w:rsidP="00951BCD">
      <w:pPr>
        <w:tabs>
          <w:tab w:val="left" w:pos="851"/>
        </w:tabs>
        <w:rPr>
          <w:szCs w:val="18"/>
          <w:lang w:val="en-GB" w:bidi="en-US"/>
        </w:rPr>
      </w:pPr>
      <w:r w:rsidRPr="00951BCD">
        <w:rPr>
          <w:szCs w:val="18"/>
          <w:lang w:val="en-GB" w:bidi="en-US"/>
        </w:rPr>
        <w:t xml:space="preserve">[SG] </w:t>
      </w:r>
      <w:r w:rsidRPr="00951BCD">
        <w:rPr>
          <w:szCs w:val="18"/>
          <w:lang w:val="en-GB" w:bidi="en-US"/>
        </w:rPr>
        <w:tab/>
        <w:t xml:space="preserve">= </w:t>
      </w:r>
      <w:r w:rsidRPr="00951BCD">
        <w:rPr>
          <w:szCs w:val="18"/>
          <w:lang w:val="en-GB" w:bidi="en-US"/>
        </w:rPr>
        <w:tab/>
        <w:t>concentration of individual steviol glycoside</w:t>
      </w:r>
    </w:p>
    <w:p w:rsidR="00951BCD" w:rsidRPr="00951BCD" w:rsidRDefault="00951BCD" w:rsidP="00951BCD">
      <w:pPr>
        <w:tabs>
          <w:tab w:val="left" w:pos="851"/>
        </w:tabs>
        <w:rPr>
          <w:szCs w:val="20"/>
          <w:lang w:val="en-GB" w:bidi="en-US"/>
        </w:rPr>
      </w:pPr>
      <w:r w:rsidRPr="00951BCD">
        <w:rPr>
          <w:szCs w:val="18"/>
          <w:lang w:val="en-GB" w:bidi="en-US"/>
        </w:rPr>
        <w:t xml:space="preserve">CF </w:t>
      </w:r>
      <w:r w:rsidRPr="00951BCD">
        <w:rPr>
          <w:szCs w:val="18"/>
          <w:lang w:val="en-GB" w:bidi="en-US"/>
        </w:rPr>
        <w:tab/>
        <w:t>=</w:t>
      </w:r>
      <w:r w:rsidRPr="00951BCD">
        <w:rPr>
          <w:szCs w:val="18"/>
          <w:lang w:val="en-GB" w:bidi="en-US"/>
        </w:rPr>
        <w:tab/>
        <w:t>Conversion Factor as listed in the Table for the corresponding steviol</w:t>
      </w:r>
      <w:r w:rsidRPr="00951BCD">
        <w:rPr>
          <w:szCs w:val="20"/>
          <w:lang w:val="en-GB"/>
        </w:rPr>
        <w:t xml:space="preserve"> </w:t>
      </w:r>
      <w:r w:rsidRPr="00951BCD">
        <w:rPr>
          <w:szCs w:val="18"/>
          <w:lang w:val="en-GB" w:bidi="en-US"/>
        </w:rPr>
        <w:t xml:space="preserve">glycoside </w:t>
      </w:r>
    </w:p>
    <w:p w:rsidR="00951BCD" w:rsidRPr="00951BCD" w:rsidRDefault="00951BCD" w:rsidP="00951BCD">
      <w:pPr>
        <w:widowControl w:val="0"/>
        <w:tabs>
          <w:tab w:val="left" w:pos="851"/>
        </w:tabs>
        <w:rPr>
          <w:szCs w:val="20"/>
          <w:lang w:val="en-GB" w:bidi="en-US"/>
        </w:rPr>
      </w:pPr>
      <w:r w:rsidRPr="00951BCD" w:rsidDel="00470B95">
        <w:rPr>
          <w:szCs w:val="20"/>
          <w:lang w:val="en-GB" w:bidi="en-US"/>
        </w:rPr>
        <w:t xml:space="preserve"> </w:t>
      </w:r>
    </w:p>
    <w:p w:rsidR="00951BCD" w:rsidRPr="00951BCD" w:rsidRDefault="00951BCD" w:rsidP="00951BCD">
      <w:pPr>
        <w:pStyle w:val="TableHeading"/>
        <w:rPr>
          <w:lang w:bidi="en-US"/>
        </w:rPr>
      </w:pPr>
      <w:r w:rsidRPr="00951BCD">
        <w:rPr>
          <w:lang w:bidi="en-US"/>
        </w:rPr>
        <w:t xml:space="preserve">Table to subclause 5(3) </w:t>
      </w:r>
    </w:p>
    <w:p w:rsidR="00951BCD" w:rsidRPr="00951BCD" w:rsidRDefault="00951BCD" w:rsidP="00951BCD">
      <w:pPr>
        <w:widowControl w:val="0"/>
        <w:tabs>
          <w:tab w:val="left" w:pos="851"/>
        </w:tabs>
        <w:rPr>
          <w:szCs w:val="20"/>
          <w:lang w:val="en-GB"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3207"/>
      </w:tblGrid>
      <w:tr w:rsidR="00951BCD" w:rsidRPr="00951BCD" w:rsidTr="00951BCD">
        <w:trPr>
          <w:jc w:val="center"/>
        </w:trPr>
        <w:tc>
          <w:tcPr>
            <w:tcW w:w="3207" w:type="dxa"/>
          </w:tcPr>
          <w:p w:rsidR="00951BCD" w:rsidRPr="00951BCD" w:rsidRDefault="00951BCD" w:rsidP="00951BCD">
            <w:pPr>
              <w:pStyle w:val="Table1"/>
              <w:rPr>
                <w:lang w:bidi="en-US"/>
              </w:rPr>
            </w:pPr>
            <w:r w:rsidRPr="00951BCD">
              <w:rPr>
                <w:lang w:bidi="en-US"/>
              </w:rPr>
              <w:t>Column 1</w:t>
            </w:r>
          </w:p>
        </w:tc>
        <w:tc>
          <w:tcPr>
            <w:tcW w:w="3207" w:type="dxa"/>
          </w:tcPr>
          <w:p w:rsidR="00951BCD" w:rsidRPr="00951BCD" w:rsidRDefault="00951BCD" w:rsidP="00951BCD">
            <w:pPr>
              <w:pStyle w:val="Table1"/>
              <w:rPr>
                <w:lang w:bidi="en-US"/>
              </w:rPr>
            </w:pPr>
            <w:r w:rsidRPr="00951BCD">
              <w:rPr>
                <w:lang w:bidi="en-US"/>
              </w:rPr>
              <w:t>Column 2</w:t>
            </w:r>
          </w:p>
        </w:tc>
      </w:tr>
      <w:tr w:rsidR="00951BCD" w:rsidRPr="00951BCD" w:rsidTr="00951BCD">
        <w:trPr>
          <w:jc w:val="center"/>
        </w:trPr>
        <w:tc>
          <w:tcPr>
            <w:tcW w:w="3207" w:type="dxa"/>
          </w:tcPr>
          <w:p w:rsidR="00951BCD" w:rsidRPr="00951BCD" w:rsidRDefault="00951BCD" w:rsidP="00951BCD">
            <w:pPr>
              <w:pStyle w:val="Table1"/>
              <w:rPr>
                <w:lang w:bidi="en-US"/>
              </w:rPr>
            </w:pPr>
            <w:r w:rsidRPr="00951BCD">
              <w:rPr>
                <w:lang w:bidi="en-US"/>
              </w:rPr>
              <w:t>Steviol glycoside</w:t>
            </w:r>
          </w:p>
        </w:tc>
        <w:tc>
          <w:tcPr>
            <w:tcW w:w="3207" w:type="dxa"/>
          </w:tcPr>
          <w:p w:rsidR="00951BCD" w:rsidRPr="00951BCD" w:rsidRDefault="00951BCD" w:rsidP="00951BCD">
            <w:pPr>
              <w:pStyle w:val="Table1"/>
              <w:rPr>
                <w:lang w:bidi="en-US"/>
              </w:rPr>
            </w:pPr>
            <w:r w:rsidRPr="00951BCD">
              <w:rPr>
                <w:lang w:bidi="en-US"/>
              </w:rPr>
              <w:t>Conversion factor</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Dulcoside A</w:t>
            </w:r>
          </w:p>
        </w:tc>
        <w:tc>
          <w:tcPr>
            <w:tcW w:w="3207" w:type="dxa"/>
          </w:tcPr>
          <w:p w:rsidR="00951BCD" w:rsidRPr="00951BCD" w:rsidRDefault="00951BCD" w:rsidP="00951BCD">
            <w:pPr>
              <w:pStyle w:val="Table2"/>
              <w:jc w:val="center"/>
              <w:rPr>
                <w:lang w:bidi="en-US"/>
              </w:rPr>
            </w:pPr>
            <w:r w:rsidRPr="00951BCD">
              <w:rPr>
                <w:lang w:bidi="en-US"/>
              </w:rPr>
              <w:t>0.40</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Rebaudioside A</w:t>
            </w:r>
          </w:p>
        </w:tc>
        <w:tc>
          <w:tcPr>
            <w:tcW w:w="3207" w:type="dxa"/>
          </w:tcPr>
          <w:p w:rsidR="00951BCD" w:rsidRPr="00951BCD" w:rsidRDefault="00951BCD" w:rsidP="00951BCD">
            <w:pPr>
              <w:pStyle w:val="Table2"/>
              <w:jc w:val="center"/>
              <w:rPr>
                <w:lang w:bidi="en-US"/>
              </w:rPr>
            </w:pPr>
            <w:r w:rsidRPr="00951BCD">
              <w:rPr>
                <w:lang w:bidi="en-US"/>
              </w:rPr>
              <w:t>0.33</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Rebaudioside B</w:t>
            </w:r>
          </w:p>
        </w:tc>
        <w:tc>
          <w:tcPr>
            <w:tcW w:w="3207" w:type="dxa"/>
          </w:tcPr>
          <w:p w:rsidR="00951BCD" w:rsidRPr="00951BCD" w:rsidRDefault="00951BCD" w:rsidP="00951BCD">
            <w:pPr>
              <w:pStyle w:val="Table2"/>
              <w:jc w:val="center"/>
              <w:rPr>
                <w:lang w:bidi="en-US"/>
              </w:rPr>
            </w:pPr>
            <w:r w:rsidRPr="00951BCD">
              <w:rPr>
                <w:lang w:bidi="en-US"/>
              </w:rPr>
              <w:t>0.40</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Rebaudioside C</w:t>
            </w:r>
          </w:p>
        </w:tc>
        <w:tc>
          <w:tcPr>
            <w:tcW w:w="3207" w:type="dxa"/>
          </w:tcPr>
          <w:p w:rsidR="00951BCD" w:rsidRPr="00951BCD" w:rsidRDefault="00951BCD" w:rsidP="00951BCD">
            <w:pPr>
              <w:pStyle w:val="Table2"/>
              <w:jc w:val="center"/>
              <w:rPr>
                <w:lang w:bidi="en-US"/>
              </w:rPr>
            </w:pPr>
            <w:r w:rsidRPr="00951BCD">
              <w:rPr>
                <w:lang w:bidi="en-US"/>
              </w:rPr>
              <w:t>0.33</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Rebaudioside D</w:t>
            </w:r>
          </w:p>
        </w:tc>
        <w:tc>
          <w:tcPr>
            <w:tcW w:w="3207" w:type="dxa"/>
          </w:tcPr>
          <w:p w:rsidR="00951BCD" w:rsidRPr="00951BCD" w:rsidRDefault="00951BCD" w:rsidP="00951BCD">
            <w:pPr>
              <w:pStyle w:val="Table2"/>
              <w:jc w:val="center"/>
              <w:rPr>
                <w:lang w:bidi="en-US"/>
              </w:rPr>
            </w:pPr>
            <w:r w:rsidRPr="00951BCD">
              <w:rPr>
                <w:lang w:bidi="en-US"/>
              </w:rPr>
              <w:t>0.28</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Rebaudioside F</w:t>
            </w:r>
          </w:p>
        </w:tc>
        <w:tc>
          <w:tcPr>
            <w:tcW w:w="3207" w:type="dxa"/>
          </w:tcPr>
          <w:p w:rsidR="00951BCD" w:rsidRPr="00951BCD" w:rsidRDefault="00951BCD" w:rsidP="00951BCD">
            <w:pPr>
              <w:pStyle w:val="Table2"/>
              <w:jc w:val="center"/>
              <w:rPr>
                <w:lang w:bidi="en-US"/>
              </w:rPr>
            </w:pPr>
            <w:r w:rsidRPr="00951BCD">
              <w:rPr>
                <w:lang w:bidi="en-US"/>
              </w:rPr>
              <w:t>0.34</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 xml:space="preserve">Rubusoside </w:t>
            </w:r>
          </w:p>
        </w:tc>
        <w:tc>
          <w:tcPr>
            <w:tcW w:w="3207" w:type="dxa"/>
          </w:tcPr>
          <w:p w:rsidR="00951BCD" w:rsidRPr="00951BCD" w:rsidRDefault="00951BCD" w:rsidP="00951BCD">
            <w:pPr>
              <w:pStyle w:val="Table2"/>
              <w:jc w:val="center"/>
              <w:rPr>
                <w:lang w:bidi="en-US"/>
              </w:rPr>
            </w:pPr>
            <w:r w:rsidRPr="00951BCD">
              <w:rPr>
                <w:lang w:bidi="en-US"/>
              </w:rPr>
              <w:t>0.50</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Steviol</w:t>
            </w:r>
          </w:p>
        </w:tc>
        <w:tc>
          <w:tcPr>
            <w:tcW w:w="3207" w:type="dxa"/>
          </w:tcPr>
          <w:p w:rsidR="00951BCD" w:rsidRPr="00951BCD" w:rsidRDefault="00951BCD" w:rsidP="00951BCD">
            <w:pPr>
              <w:pStyle w:val="Table2"/>
              <w:jc w:val="center"/>
              <w:rPr>
                <w:lang w:bidi="en-US"/>
              </w:rPr>
            </w:pPr>
            <w:r w:rsidRPr="00951BCD">
              <w:rPr>
                <w:lang w:bidi="en-US"/>
              </w:rPr>
              <w:t>1.00</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Steviolbioside</w:t>
            </w:r>
          </w:p>
        </w:tc>
        <w:tc>
          <w:tcPr>
            <w:tcW w:w="3207" w:type="dxa"/>
          </w:tcPr>
          <w:p w:rsidR="00951BCD" w:rsidRPr="00951BCD" w:rsidRDefault="00951BCD" w:rsidP="00951BCD">
            <w:pPr>
              <w:pStyle w:val="Table2"/>
              <w:jc w:val="center"/>
              <w:rPr>
                <w:lang w:bidi="en-US"/>
              </w:rPr>
            </w:pPr>
            <w:r w:rsidRPr="00951BCD">
              <w:rPr>
                <w:lang w:bidi="en-US"/>
              </w:rPr>
              <w:t>0.50</w:t>
            </w:r>
          </w:p>
        </w:tc>
      </w:tr>
      <w:tr w:rsidR="00951BCD" w:rsidRPr="00951BCD" w:rsidTr="00951BCD">
        <w:trPr>
          <w:jc w:val="center"/>
        </w:trPr>
        <w:tc>
          <w:tcPr>
            <w:tcW w:w="3207" w:type="dxa"/>
          </w:tcPr>
          <w:p w:rsidR="00951BCD" w:rsidRPr="00951BCD" w:rsidRDefault="00951BCD" w:rsidP="00951BCD">
            <w:pPr>
              <w:pStyle w:val="Table2"/>
              <w:rPr>
                <w:lang w:bidi="en-US"/>
              </w:rPr>
            </w:pPr>
            <w:r w:rsidRPr="00951BCD">
              <w:rPr>
                <w:lang w:bidi="en-US"/>
              </w:rPr>
              <w:t>Stevioside</w:t>
            </w:r>
          </w:p>
        </w:tc>
        <w:tc>
          <w:tcPr>
            <w:tcW w:w="3207" w:type="dxa"/>
          </w:tcPr>
          <w:p w:rsidR="00951BCD" w:rsidRPr="00951BCD" w:rsidRDefault="00951BCD" w:rsidP="00951BCD">
            <w:pPr>
              <w:pStyle w:val="Table2"/>
              <w:jc w:val="center"/>
              <w:rPr>
                <w:lang w:bidi="en-US"/>
              </w:rPr>
            </w:pPr>
            <w:r w:rsidRPr="00951BCD">
              <w:rPr>
                <w:lang w:bidi="en-US"/>
              </w:rPr>
              <w:t>0.40</w:t>
            </w:r>
          </w:p>
        </w:tc>
      </w:tr>
    </w:tbl>
    <w:p w:rsidR="00951BCD" w:rsidRPr="00951BCD" w:rsidRDefault="00951BCD" w:rsidP="00951BCD">
      <w:pPr>
        <w:widowControl w:val="0"/>
        <w:tabs>
          <w:tab w:val="left" w:pos="851"/>
        </w:tabs>
        <w:rPr>
          <w:szCs w:val="20"/>
          <w:lang w:val="en-GB" w:bidi="en-US"/>
        </w:rPr>
      </w:pPr>
    </w:p>
    <w:p w:rsidR="00951BCD" w:rsidRPr="00951BCD" w:rsidRDefault="00951BCD" w:rsidP="00951BCD">
      <w:pPr>
        <w:pStyle w:val="EditorialNoteLine1"/>
        <w:rPr>
          <w:lang w:bidi="en-US"/>
        </w:rPr>
      </w:pPr>
      <w:r w:rsidRPr="00951BCD">
        <w:rPr>
          <w:lang w:bidi="en-US"/>
        </w:rPr>
        <w:t>Examples:</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Example 1 – Calculating steviol equivalents for a single glycoside</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 xml:space="preserve">A preparation of 100 mg/kg of Rebaudioside B contains 100 x 0.40 = 40 mg/kg steviol equivalents. </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Example 2 – Calculating steviol equivalents for a mixture of glycosides</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 xml:space="preserve">For a preparation containing 100 mg/kg of a mixture of 90% Stevioside, 5% Rebaudioside B and 5% Rebaudioside A, the steviol equivalent is </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 xml:space="preserve">= </w:t>
      </w:r>
      <m:oMath>
        <m:d>
          <m:dPr>
            <m:ctrlPr>
              <w:rPr>
                <w:rFonts w:ascii="Cambria Math" w:hAnsi="Cambria Math" w:cs="Arial"/>
                <w:i/>
                <w:lang w:bidi="en-US"/>
              </w:rPr>
            </m:ctrlPr>
          </m:dPr>
          <m:e>
            <m:d>
              <m:dPr>
                <m:begChr m:val="["/>
                <m:endChr m:val="]"/>
                <m:ctrlPr>
                  <w:rPr>
                    <w:rFonts w:ascii="Cambria Math" w:hAnsi="Cambria Math" w:cs="Arial"/>
                    <w:i/>
                    <w:lang w:bidi="en-US"/>
                  </w:rPr>
                </m:ctrlPr>
              </m:dPr>
              <m:e>
                <m:r>
                  <w:rPr>
                    <w:rFonts w:ascii="Cambria Math" w:hAnsi="Cambria Math" w:cs="Arial"/>
                    <w:lang w:bidi="en-US"/>
                  </w:rPr>
                  <m:t>Stevioside</m:t>
                </m:r>
              </m:e>
            </m:d>
            <m:r>
              <w:rPr>
                <w:rFonts w:ascii="Cambria Math" w:hAnsi="Cambria Math" w:cs="Arial"/>
                <w:lang w:bidi="en-US"/>
              </w:rPr>
              <m:t xml:space="preserve">×0.4 </m:t>
            </m:r>
          </m:e>
        </m:d>
        <m:r>
          <w:rPr>
            <w:rFonts w:ascii="Cambria Math" w:hAnsi="Cambria Math"/>
            <w:lang w:bidi="en-US"/>
          </w:rPr>
          <m:t>+</m:t>
        </m:r>
        <m:d>
          <m:dPr>
            <m:ctrlPr>
              <w:rPr>
                <w:rFonts w:ascii="Cambria Math" w:hAnsi="Cambria Math" w:cs="Arial"/>
                <w:i/>
                <w:lang w:bidi="en-US"/>
              </w:rPr>
            </m:ctrlPr>
          </m:dPr>
          <m:e>
            <m:d>
              <m:dPr>
                <m:begChr m:val="["/>
                <m:endChr m:val="]"/>
                <m:ctrlPr>
                  <w:rPr>
                    <w:rFonts w:ascii="Cambria Math" w:hAnsi="Cambria Math" w:cs="Arial"/>
                    <w:i/>
                    <w:lang w:bidi="en-US"/>
                  </w:rPr>
                </m:ctrlPr>
              </m:dPr>
              <m:e>
                <m:r>
                  <w:rPr>
                    <w:rFonts w:ascii="Cambria Math" w:hAnsi="Cambria Math" w:cs="Arial"/>
                    <w:lang w:bidi="en-US"/>
                  </w:rPr>
                  <m:t>Rebaudioside B</m:t>
                </m:r>
              </m:e>
            </m:d>
            <m:r>
              <w:rPr>
                <w:rFonts w:ascii="Cambria Math" w:hAnsi="Cambria Math" w:cs="Arial"/>
                <w:lang w:bidi="en-US"/>
              </w:rPr>
              <m:t>×0.4</m:t>
            </m:r>
          </m:e>
        </m:d>
        <m:r>
          <w:rPr>
            <w:rFonts w:ascii="Cambria Math" w:hAnsi="Cambria Math" w:cs="Arial"/>
            <w:lang w:bidi="en-US"/>
          </w:rPr>
          <m:t>+([Rebaudioside A]×0.33)</m:t>
        </m:r>
      </m:oMath>
    </w:p>
    <w:p w:rsidR="00951BCD" w:rsidRDefault="00951BCD" w:rsidP="00951BCD">
      <w:pPr>
        <w:widowControl w:val="0"/>
        <w:pBdr>
          <w:top w:val="single" w:sz="6" w:space="0" w:color="auto"/>
          <w:left w:val="single" w:sz="6" w:space="0" w:color="auto"/>
          <w:bottom w:val="single" w:sz="6" w:space="0" w:color="auto"/>
          <w:right w:val="single" w:sz="6" w:space="0" w:color="auto"/>
        </w:pBdr>
        <w:tabs>
          <w:tab w:val="left" w:pos="851"/>
        </w:tabs>
        <w:rPr>
          <w:szCs w:val="20"/>
          <w:lang w:val="en-GB" w:bidi="en-US"/>
        </w:rPr>
      </w:pPr>
      <w:r>
        <w:rPr>
          <w:szCs w:val="20"/>
          <w:lang w:val="en-GB" w:bidi="en-US"/>
        </w:rPr>
        <w:br w:type="page"/>
      </w:r>
    </w:p>
    <w:p w:rsidR="00951BCD" w:rsidRPr="00951BCD" w:rsidRDefault="00951BCD" w:rsidP="00951BCD">
      <w:pPr>
        <w:pStyle w:val="EditorialNotetext"/>
        <w:rPr>
          <w:lang w:bidi="en-US"/>
        </w:rPr>
      </w:pPr>
      <w:r w:rsidRPr="00951BCD">
        <w:rPr>
          <w:lang w:bidi="en-US"/>
        </w:rPr>
        <w:lastRenderedPageBreak/>
        <w:t xml:space="preserve">= </w:t>
      </w:r>
      <m:oMath>
        <m:d>
          <m:dPr>
            <m:ctrlPr>
              <w:rPr>
                <w:rFonts w:ascii="Cambria Math" w:hAnsi="Cambria Math"/>
                <w:lang w:bidi="en-US"/>
              </w:rPr>
            </m:ctrlPr>
          </m:dPr>
          <m:e>
            <m:r>
              <m:rPr>
                <m:sty m:val="p"/>
              </m:rPr>
              <w:rPr>
                <w:rFonts w:ascii="Cambria Math" w:hAnsi="Cambria Math"/>
                <w:lang w:bidi="en-US"/>
              </w:rPr>
              <m:t xml:space="preserve">90%×100 </m:t>
            </m:r>
            <m:r>
              <w:rPr>
                <w:rFonts w:ascii="Cambria Math" w:hAnsi="Cambria Math"/>
                <w:lang w:bidi="en-US"/>
              </w:rPr>
              <m:t>mg</m:t>
            </m:r>
            <m:r>
              <m:rPr>
                <m:sty m:val="p"/>
              </m:rPr>
              <w:rPr>
                <w:rFonts w:ascii="Cambria Math" w:hAnsi="Cambria Math"/>
                <w:lang w:bidi="en-US"/>
              </w:rPr>
              <m:t>/</m:t>
            </m:r>
            <m:r>
              <w:rPr>
                <w:rFonts w:ascii="Cambria Math" w:hAnsi="Cambria Math"/>
                <w:lang w:bidi="en-US"/>
              </w:rPr>
              <m:t>kg</m:t>
            </m:r>
            <m:r>
              <m:rPr>
                <m:sty m:val="p"/>
              </m:rPr>
              <w:rPr>
                <w:rFonts w:ascii="Cambria Math" w:hAnsi="Cambria Math"/>
                <w:lang w:bidi="en-US"/>
              </w:rPr>
              <m:t xml:space="preserve">×0.4 </m:t>
            </m:r>
          </m:e>
        </m:d>
        <m:r>
          <m:rPr>
            <m:sty m:val="p"/>
          </m:rPr>
          <w:rPr>
            <w:rFonts w:ascii="Cambria Math" w:hAnsi="Cambria Math"/>
            <w:lang w:bidi="en-US"/>
          </w:rPr>
          <m:t>+</m:t>
        </m:r>
        <m:d>
          <m:dPr>
            <m:ctrlPr>
              <w:rPr>
                <w:rFonts w:ascii="Cambria Math" w:hAnsi="Cambria Math"/>
                <w:lang w:bidi="en-US"/>
              </w:rPr>
            </m:ctrlPr>
          </m:dPr>
          <m:e>
            <m:r>
              <m:rPr>
                <m:sty m:val="p"/>
              </m:rPr>
              <w:rPr>
                <w:rFonts w:ascii="Cambria Math" w:hAnsi="Cambria Math"/>
                <w:lang w:bidi="en-US"/>
              </w:rPr>
              <m:t xml:space="preserve">5%×100 </m:t>
            </m:r>
            <m:r>
              <w:rPr>
                <w:rFonts w:ascii="Cambria Math" w:hAnsi="Cambria Math"/>
                <w:lang w:bidi="en-US"/>
              </w:rPr>
              <m:t>mg</m:t>
            </m:r>
            <m:r>
              <m:rPr>
                <m:sty m:val="p"/>
              </m:rPr>
              <w:rPr>
                <w:rFonts w:ascii="Cambria Math" w:hAnsi="Cambria Math"/>
                <w:lang w:bidi="en-US"/>
              </w:rPr>
              <m:t>/</m:t>
            </m:r>
            <m:r>
              <w:rPr>
                <w:rFonts w:ascii="Cambria Math" w:hAnsi="Cambria Math"/>
                <w:lang w:bidi="en-US"/>
              </w:rPr>
              <m:t>kg</m:t>
            </m:r>
            <m:r>
              <m:rPr>
                <m:sty m:val="p"/>
              </m:rPr>
              <w:rPr>
                <w:rFonts w:ascii="Cambria Math" w:hAnsi="Cambria Math"/>
                <w:lang w:bidi="en-US"/>
              </w:rPr>
              <m:t>×0.4</m:t>
            </m:r>
          </m:e>
        </m:d>
        <m:r>
          <m:rPr>
            <m:sty m:val="p"/>
          </m:rPr>
          <w:rPr>
            <w:rFonts w:ascii="Cambria Math" w:hAnsi="Cambria Math"/>
            <w:lang w:bidi="en-US"/>
          </w:rPr>
          <m:t xml:space="preserve">+(5%×100 </m:t>
        </m:r>
        <m:r>
          <w:rPr>
            <w:rFonts w:ascii="Cambria Math" w:hAnsi="Cambria Math"/>
            <w:lang w:bidi="en-US"/>
          </w:rPr>
          <m:t>mg</m:t>
        </m:r>
        <m:r>
          <m:rPr>
            <m:sty m:val="p"/>
          </m:rPr>
          <w:rPr>
            <w:rFonts w:ascii="Cambria Math" w:hAnsi="Cambria Math"/>
            <w:lang w:bidi="en-US"/>
          </w:rPr>
          <m:t>/</m:t>
        </m:r>
        <m:r>
          <w:rPr>
            <w:rFonts w:ascii="Cambria Math" w:hAnsi="Cambria Math"/>
            <w:lang w:bidi="en-US"/>
          </w:rPr>
          <m:t>kg</m:t>
        </m:r>
        <m:r>
          <m:rPr>
            <m:sty m:val="p"/>
          </m:rPr>
          <w:rPr>
            <w:rFonts w:ascii="Cambria Math" w:hAnsi="Cambria Math"/>
            <w:lang w:bidi="en-US"/>
          </w:rPr>
          <m:t>×0.33)</m:t>
        </m:r>
      </m:oMath>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 xml:space="preserve">= </w:t>
      </w:r>
      <m:oMath>
        <m:d>
          <m:dPr>
            <m:ctrlPr>
              <w:rPr>
                <w:rFonts w:ascii="Cambria Math" w:hAnsi="Cambria Math"/>
                <w:lang w:bidi="en-US"/>
              </w:rPr>
            </m:ctrlPr>
          </m:dPr>
          <m:e>
            <m:r>
              <m:rPr>
                <m:sty m:val="p"/>
              </m:rPr>
              <w:rPr>
                <w:rFonts w:ascii="Cambria Math" w:hAnsi="Cambria Math"/>
                <w:lang w:bidi="en-US"/>
              </w:rPr>
              <m:t>0.9 × 0.4 + 0.05 × 0.40 + 0.05 × 0.33</m:t>
            </m:r>
          </m:e>
        </m:d>
        <m:r>
          <m:rPr>
            <m:sty m:val="p"/>
          </m:rPr>
          <w:rPr>
            <w:rFonts w:ascii="Cambria Math" w:hAnsi="Cambria Math"/>
            <w:lang w:bidi="en-US"/>
          </w:rPr>
          <m:t xml:space="preserve">×100 mg/kg </m:t>
        </m:r>
      </m:oMath>
      <w:r w:rsidRPr="00951BCD">
        <w:rPr>
          <w:lang w:bidi="en-US"/>
        </w:rPr>
        <w:t xml:space="preserve"> </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b/>
          <w:lang w:bidi="en-US"/>
        </w:rPr>
        <w:t xml:space="preserve">= </w:t>
      </w:r>
      <m:oMath>
        <m:r>
          <m:rPr>
            <m:sty m:val="b"/>
          </m:rPr>
          <w:rPr>
            <w:rFonts w:ascii="Cambria Math" w:hAnsi="Cambria Math"/>
            <w:lang w:bidi="en-US"/>
          </w:rPr>
          <m:t>39.7 mg/kg</m:t>
        </m:r>
        <m:r>
          <m:rPr>
            <m:sty m:val="p"/>
          </m:rPr>
          <w:rPr>
            <w:rFonts w:ascii="Cambria Math" w:hAnsi="Cambria Math"/>
            <w:lang w:bidi="en-US"/>
          </w:rPr>
          <m:t xml:space="preserve"> </m:t>
        </m:r>
      </m:oMath>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Example 3 – Calculating the maximum permitted level (MPL) of a steviol glycoside preparation</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proofErr w:type="gramStart"/>
      <w:r w:rsidRPr="00951BCD">
        <w:rPr>
          <w:lang w:bidi="en-US"/>
        </w:rPr>
        <w:t>To calculate the MPL of a steviol glycoside preparation which contains 90% Stevioside, 5% Rebaudioside B and 5% Rebaudioside A, in a food where the permission is 160 mg/kg (steviol equivalents).</w:t>
      </w:r>
      <w:proofErr w:type="gramEnd"/>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[SE] = 160 mg/kg</w:t>
      </w:r>
      <w:r w:rsidRPr="00951BCD">
        <w:rPr>
          <w:lang w:bidi="en-US"/>
        </w:rPr>
        <w:tab/>
        <w:t>[Stevioside] = 0.9 x MPL</w:t>
      </w:r>
      <w:r w:rsidRPr="00951BCD">
        <w:rPr>
          <w:lang w:bidi="en-US"/>
        </w:rPr>
        <w:tab/>
        <w:t>[Rebaudioside B] = 0.05 x MPL</w:t>
      </w:r>
    </w:p>
    <w:p w:rsidR="00951BCD" w:rsidRPr="00951BCD" w:rsidRDefault="00951BCD" w:rsidP="00951BCD">
      <w:pPr>
        <w:pStyle w:val="EditorialNotetext"/>
        <w:rPr>
          <w:lang w:bidi="en-US"/>
        </w:rPr>
      </w:pPr>
      <w:r w:rsidRPr="00951BCD">
        <w:rPr>
          <w:lang w:bidi="en-US"/>
        </w:rPr>
        <w:t>[Rebaudioside A] = 0.05 x MPL</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 xml:space="preserve">Substituting into the equation </w:t>
      </w:r>
    </w:p>
    <w:p w:rsidR="00951BCD" w:rsidRPr="00951BCD" w:rsidRDefault="00951BCD" w:rsidP="00951BCD">
      <w:pPr>
        <w:pStyle w:val="EditorialNotetext"/>
        <w:rPr>
          <w:lang w:bidi="en-US"/>
        </w:rPr>
      </w:pPr>
    </w:p>
    <w:p w:rsidR="00951BCD" w:rsidRPr="00951BCD" w:rsidRDefault="00924A11" w:rsidP="00951BCD">
      <w:pPr>
        <w:pStyle w:val="EditorialNotetext"/>
        <w:rPr>
          <w:i/>
          <w:lang w:bidi="en-US"/>
        </w:rPr>
      </w:pPr>
      <m:oMathPara>
        <m:oMathParaPr>
          <m:jc m:val="center"/>
        </m:oMathParaPr>
        <m:oMath>
          <m:d>
            <m:dPr>
              <m:begChr m:val="["/>
              <m:endChr m:val="]"/>
              <m:ctrlPr>
                <w:rPr>
                  <w:rFonts w:ascii="Cambria Math" w:hAnsi="Cambria Math"/>
                  <w:i/>
                  <w:lang w:bidi="en-US"/>
                </w:rPr>
              </m:ctrlPr>
            </m:dPr>
            <m:e>
              <m:r>
                <w:rPr>
                  <w:rFonts w:ascii="Cambria Math" w:hAnsi="Cambria Math"/>
                  <w:lang w:bidi="en-US"/>
                </w:rPr>
                <m:t>SE</m:t>
              </m:r>
            </m:e>
          </m:d>
          <m:r>
            <w:rPr>
              <w:rFonts w:ascii="Cambria Math" w:hAnsi="Cambria Math"/>
              <w:lang w:bidi="en-US"/>
            </w:rPr>
            <m:t xml:space="preserve">= </m:t>
          </m:r>
          <m:nary>
            <m:naryPr>
              <m:chr m:val="∑"/>
              <m:limLoc m:val="undOvr"/>
              <m:subHide m:val="1"/>
              <m:supHide m:val="1"/>
              <m:ctrlPr>
                <w:rPr>
                  <w:rFonts w:ascii="Cambria Math" w:hAnsi="Cambria Math"/>
                  <w:i/>
                  <w:lang w:bidi="en-US"/>
                </w:rPr>
              </m:ctrlPr>
            </m:naryPr>
            <m:sub/>
            <m:sup/>
            <m:e>
              <m:r>
                <w:rPr>
                  <w:rFonts w:ascii="Cambria Math" w:hAnsi="Cambria Math"/>
                  <w:lang w:bidi="en-US"/>
                </w:rPr>
                <m:t>([SG]×CF)</m:t>
              </m:r>
            </m:e>
          </m:nary>
        </m:oMath>
      </m:oMathPara>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We get:</w:t>
      </w:r>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m:oMathPara>
        <m:oMath>
          <m:r>
            <w:rPr>
              <w:rFonts w:ascii="Cambria Math" w:hAnsi="Cambria Math"/>
              <w:lang w:bidi="en-US"/>
            </w:rPr>
            <m:t>160 mg/kg=(</m:t>
          </m:r>
          <m:r>
            <m:rPr>
              <m:sty m:val="p"/>
            </m:rPr>
            <w:rPr>
              <w:rFonts w:ascii="Cambria Math" w:hAnsi="Cambria Math"/>
              <w:lang w:bidi="en-US"/>
            </w:rPr>
            <m:t>0.9 × MPL×0.4)+(0.05×MPL×0.4)+(0.05×MPL×0.33)</m:t>
          </m:r>
          <m:r>
            <w:rPr>
              <w:rFonts w:ascii="Cambria Math" w:hAnsi="Cambria Math"/>
              <w:lang w:bidi="en-US"/>
            </w:rPr>
            <m:t xml:space="preserve"> </m:t>
          </m:r>
        </m:oMath>
      </m:oMathPara>
    </w:p>
    <w:p w:rsidR="00951BCD" w:rsidRPr="00951BCD" w:rsidRDefault="00951BCD" w:rsidP="00951BCD">
      <w:pPr>
        <w:pStyle w:val="EditorialNotetext"/>
        <w:rPr>
          <w:lang w:bidi="en-US"/>
        </w:rPr>
      </w:pPr>
    </w:p>
    <w:p w:rsidR="00951BCD" w:rsidRPr="00951BCD" w:rsidRDefault="00951BCD" w:rsidP="00951BCD">
      <w:pPr>
        <w:pStyle w:val="EditorialNotetext"/>
        <w:rPr>
          <w:lang w:bidi="en-US"/>
        </w:rPr>
      </w:pPr>
      <w:r w:rsidRPr="00951BCD">
        <w:rPr>
          <w:lang w:bidi="en-US"/>
        </w:rPr>
        <w:t>Therefore,</w:t>
      </w:r>
    </w:p>
    <w:p w:rsidR="00951BCD" w:rsidRPr="00951BCD" w:rsidRDefault="00951BCD" w:rsidP="00951BCD">
      <w:pPr>
        <w:pStyle w:val="EditorialNotetext"/>
        <w:rPr>
          <w:lang w:bidi="en-US"/>
        </w:rPr>
      </w:pPr>
      <m:oMathPara>
        <m:oMath>
          <m:r>
            <w:rPr>
              <w:rFonts w:ascii="Cambria Math" w:hAnsi="Cambria Math"/>
              <w:lang w:bidi="en-US"/>
            </w:rPr>
            <m:t>MPL=</m:t>
          </m:r>
          <m:f>
            <m:fPr>
              <m:ctrlPr>
                <w:rPr>
                  <w:rFonts w:ascii="Cambria Math" w:hAnsi="Cambria Math"/>
                  <w:i/>
                  <w:lang w:bidi="en-US"/>
                </w:rPr>
              </m:ctrlPr>
            </m:fPr>
            <m:num>
              <m:r>
                <w:rPr>
                  <w:rFonts w:ascii="Cambria Math" w:hAnsi="Cambria Math"/>
                  <w:lang w:bidi="en-US"/>
                </w:rPr>
                <m:t>160</m:t>
              </m:r>
            </m:num>
            <m:den>
              <m:r>
                <m:rPr>
                  <m:sty m:val="p"/>
                </m:rPr>
                <w:rPr>
                  <w:rFonts w:ascii="Cambria Math" w:hAnsi="Cambria Math"/>
                  <w:lang w:bidi="en-US"/>
                </w:rPr>
                <m:t>0.9 × 0.4+0.05×0.4+0.05×0.33</m:t>
              </m:r>
            </m:den>
          </m:f>
          <m:r>
            <w:rPr>
              <w:rFonts w:ascii="Cambria Math" w:hAnsi="Cambria Math"/>
              <w:lang w:bidi="en-US"/>
            </w:rPr>
            <m:t xml:space="preserve"> mg/kg</m:t>
          </m:r>
        </m:oMath>
      </m:oMathPara>
    </w:p>
    <w:p w:rsidR="00951BCD" w:rsidRPr="00951BCD" w:rsidRDefault="00951BCD" w:rsidP="00951BCD">
      <w:pPr>
        <w:pStyle w:val="EditorialNotetext"/>
        <w:rPr>
          <w:lang w:bidi="en-US"/>
        </w:rPr>
      </w:pPr>
    </w:p>
    <w:p w:rsidR="00951BCD" w:rsidRPr="00951BCD" w:rsidRDefault="00951BCD" w:rsidP="00951BCD">
      <w:pPr>
        <w:pStyle w:val="EditorialNotetext"/>
        <w:rPr>
          <w:b/>
          <w:iCs/>
          <w:lang w:bidi="en-US"/>
        </w:rPr>
      </w:pPr>
      <m:oMathPara>
        <m:oMathParaPr>
          <m:jc m:val="left"/>
        </m:oMathParaPr>
        <m:oMath>
          <m:r>
            <m:rPr>
              <m:sty m:val="b"/>
            </m:rPr>
            <w:rPr>
              <w:rFonts w:ascii="Cambria Math" w:hAnsi="Cambria Math"/>
              <w:lang w:bidi="en-US"/>
            </w:rPr>
            <m:t>MPL=403.5 mg/kg</m:t>
          </m:r>
        </m:oMath>
      </m:oMathPara>
    </w:p>
    <w:p w:rsidR="00951BCD" w:rsidRDefault="00951BCD" w:rsidP="001E074D"/>
    <w:p w:rsidR="00F63003" w:rsidRDefault="00C33B68" w:rsidP="00F63003">
      <w:pPr>
        <w:pStyle w:val="Clauseheading"/>
        <w:tabs>
          <w:tab w:val="left" w:pos="2506"/>
        </w:tabs>
      </w:pPr>
      <w:r>
        <w:t>6</w:t>
      </w:r>
      <w:r>
        <w:tab/>
      </w:r>
      <w:r w:rsidR="00F63003">
        <w:t>Food additives performing the same function</w:t>
      </w:r>
    </w:p>
    <w:p w:rsidR="00F63003" w:rsidRDefault="00F63003" w:rsidP="00A94821"/>
    <w:p w:rsidR="00F63003" w:rsidRPr="000D7CAC" w:rsidRDefault="00F63003" w:rsidP="00F63003">
      <w:pPr>
        <w:pStyle w:val="Subclause"/>
      </w:pPr>
      <w:r>
        <w:t>(1)</w:t>
      </w:r>
      <w:r>
        <w:tab/>
      </w:r>
      <w:r w:rsidRPr="000D7CAC">
        <w:t>Where a food contains a mixture of food additives that perform the same technological function, the sum of the proportion of these additives in the food must not be more than 1.</w:t>
      </w:r>
    </w:p>
    <w:p w:rsidR="00F63003" w:rsidRPr="000D7CAC" w:rsidRDefault="00F63003" w:rsidP="00A94821"/>
    <w:p w:rsidR="00F63003" w:rsidRDefault="00F63003" w:rsidP="00F63003">
      <w:pPr>
        <w:pStyle w:val="Subclause"/>
      </w:pPr>
      <w:r w:rsidRPr="00B34770">
        <w:t>(2)</w:t>
      </w:r>
      <w:r w:rsidRPr="00B34770">
        <w:tab/>
        <w:t>The sum of the proportion of food addit</w:t>
      </w:r>
      <w:r w:rsidR="00F42652">
        <w:t>ives in a food is calculated by –</w:t>
      </w:r>
    </w:p>
    <w:p w:rsidR="00F63003" w:rsidRPr="00B34770" w:rsidRDefault="00F63003" w:rsidP="00A94821"/>
    <w:p w:rsidR="00F63003" w:rsidRPr="00B34770" w:rsidRDefault="00F63003" w:rsidP="00F63003">
      <w:pPr>
        <w:pStyle w:val="Paragraph"/>
        <w:tabs>
          <w:tab w:val="left" w:pos="2506"/>
        </w:tabs>
      </w:pPr>
      <w:r w:rsidRPr="00B34770">
        <w:t>(a)</w:t>
      </w:r>
      <w:r w:rsidRPr="00B34770">
        <w:tab/>
      </w:r>
      <w:proofErr w:type="gramStart"/>
      <w:r w:rsidRPr="00B34770">
        <w:t>dividing</w:t>
      </w:r>
      <w:proofErr w:type="gramEnd"/>
      <w:r w:rsidRPr="00B34770">
        <w:t xml:space="preserve"> the concentration of each food additive in a food by the maximum permitted limit for that additive in that food; and</w:t>
      </w:r>
    </w:p>
    <w:p w:rsidR="00F63003" w:rsidRDefault="00F63003" w:rsidP="00F63003">
      <w:pPr>
        <w:pStyle w:val="Paragraph"/>
        <w:tabs>
          <w:tab w:val="left" w:pos="2506"/>
        </w:tabs>
      </w:pPr>
      <w:r w:rsidRPr="00B34770">
        <w:t>(b)</w:t>
      </w:r>
      <w:r w:rsidRPr="00B34770">
        <w:tab/>
      </w:r>
      <w:proofErr w:type="gramStart"/>
      <w:r w:rsidRPr="00B34770">
        <w:t>adding</w:t>
      </w:r>
      <w:proofErr w:type="gramEnd"/>
      <w:r w:rsidRPr="00B34770">
        <w:t xml:space="preserve"> the proportions together for each of the food additives performing th</w:t>
      </w:r>
      <w:r>
        <w:t>e same technological function.</w:t>
      </w:r>
    </w:p>
    <w:p w:rsidR="00F63003" w:rsidRPr="001641DE" w:rsidRDefault="00F63003" w:rsidP="00F63003"/>
    <w:p w:rsidR="00F63003" w:rsidRPr="00B34770" w:rsidRDefault="00F63003" w:rsidP="00F63003">
      <w:pPr>
        <w:pStyle w:val="EditorialNotetext"/>
        <w:pBdr>
          <w:bottom w:val="single" w:sz="6" w:space="2" w:color="auto"/>
        </w:pBdr>
        <w:tabs>
          <w:tab w:val="left" w:pos="2506"/>
        </w:tabs>
      </w:pPr>
      <w:r w:rsidRPr="00B34770">
        <w:t>Example Formula</w:t>
      </w:r>
      <w:r w:rsidRPr="00B34770">
        <w:rPr>
          <w:szCs w:val="22"/>
        </w:rPr>
        <w:t xml:space="preserve"> </w:t>
      </w:r>
      <w:r w:rsidRPr="00B34770">
        <w:t xml:space="preserve">for </w:t>
      </w:r>
      <w:r>
        <w:t xml:space="preserve">Food </w:t>
      </w:r>
      <w:r w:rsidRPr="00B34770">
        <w:t>Additives Performing the Same Function</w:t>
      </w:r>
    </w:p>
    <w:p w:rsidR="00F63003" w:rsidRPr="00B34770" w:rsidRDefault="00F63003" w:rsidP="00F63003">
      <w:pPr>
        <w:pStyle w:val="EditorialNotetext"/>
        <w:pBdr>
          <w:bottom w:val="single" w:sz="6" w:space="2" w:color="auto"/>
        </w:pBdr>
        <w:tabs>
          <w:tab w:val="left" w:pos="2506"/>
        </w:tabs>
      </w:pPr>
    </w:p>
    <w:p w:rsidR="00F63003" w:rsidRPr="00B34770" w:rsidRDefault="00F63003" w:rsidP="00F63003">
      <w:pPr>
        <w:pStyle w:val="EditorialNotetext"/>
        <w:pBdr>
          <w:bottom w:val="single" w:sz="6" w:space="2" w:color="auto"/>
        </w:pBdr>
        <w:tabs>
          <w:tab w:val="left" w:pos="2506"/>
        </w:tabs>
      </w:pPr>
      <w:r>
        <w:t>Sum of the proportion of food additives</w:t>
      </w:r>
      <w:r w:rsidRPr="00B34770">
        <w:t xml:space="preserve"> = </w:t>
      </w:r>
      <w:r w:rsidRPr="00C078F0">
        <w:rPr>
          <w:position w:val="-24"/>
        </w:rPr>
        <w:object w:dxaOrig="2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75pt" o:ole="">
            <v:imagedata r:id="rId8" o:title=""/>
          </v:shape>
          <o:OLEObject Type="Embed" ProgID="Equation.3" ShapeID="_x0000_i1025" DrawAspect="Content" ObjectID="_1409726546" r:id="rId9"/>
        </w:object>
      </w:r>
    </w:p>
    <w:p w:rsidR="00F63003" w:rsidRPr="00B34770" w:rsidRDefault="00F63003" w:rsidP="00F63003">
      <w:pPr>
        <w:pStyle w:val="EditorialNotetext"/>
        <w:pBdr>
          <w:bottom w:val="single" w:sz="6" w:space="2" w:color="auto"/>
        </w:pBdr>
        <w:tabs>
          <w:tab w:val="left" w:pos="2506"/>
        </w:tabs>
      </w:pPr>
      <w:r w:rsidRPr="00B34770">
        <w:t>In this formula –</w:t>
      </w:r>
    </w:p>
    <w:p w:rsidR="00F63003" w:rsidRPr="00B34770" w:rsidRDefault="00F63003" w:rsidP="00F63003">
      <w:pPr>
        <w:pStyle w:val="EditorialNotetext"/>
        <w:pBdr>
          <w:bottom w:val="single" w:sz="6" w:space="2" w:color="auto"/>
        </w:pBdr>
        <w:tabs>
          <w:tab w:val="left" w:pos="2506"/>
        </w:tabs>
      </w:pPr>
    </w:p>
    <w:p w:rsidR="00F63003" w:rsidRPr="00B34770" w:rsidRDefault="00F63003" w:rsidP="00F63003">
      <w:pPr>
        <w:pStyle w:val="EditorialNotetext"/>
        <w:pBdr>
          <w:bottom w:val="single" w:sz="6" w:space="2" w:color="auto"/>
        </w:pBdr>
        <w:tabs>
          <w:tab w:val="left" w:pos="2506"/>
        </w:tabs>
      </w:pPr>
      <w:r w:rsidRPr="00B34770">
        <w:t>MPLA = Maximum permitted limit for food additive A in mg/kg</w:t>
      </w:r>
    </w:p>
    <w:p w:rsidR="00F63003" w:rsidRPr="00B34770" w:rsidRDefault="00F63003" w:rsidP="00F63003">
      <w:pPr>
        <w:pStyle w:val="EditorialNotetext"/>
        <w:pBdr>
          <w:bottom w:val="single" w:sz="6" w:space="2" w:color="auto"/>
        </w:pBdr>
        <w:tabs>
          <w:tab w:val="left" w:pos="2506"/>
        </w:tabs>
      </w:pPr>
      <w:r w:rsidRPr="00B34770">
        <w:t>MPLB = Maximum permitted limit for food additive B in mg/kg</w:t>
      </w:r>
    </w:p>
    <w:p w:rsidR="00F63003" w:rsidRPr="00B34770" w:rsidRDefault="00F63003" w:rsidP="00F63003">
      <w:pPr>
        <w:pStyle w:val="EditorialNotetext"/>
        <w:pBdr>
          <w:bottom w:val="single" w:sz="6" w:space="2" w:color="auto"/>
        </w:pBdr>
        <w:tabs>
          <w:tab w:val="left" w:pos="2506"/>
        </w:tabs>
      </w:pPr>
      <w:r w:rsidRPr="00B34770">
        <w:t>MPLC = Maximum permitted limit for food additive C in mg/kg</w:t>
      </w:r>
    </w:p>
    <w:p w:rsidR="00F63003" w:rsidRPr="00B34770" w:rsidRDefault="00F63003" w:rsidP="00F63003">
      <w:pPr>
        <w:pStyle w:val="EditorialNotetext"/>
        <w:pBdr>
          <w:bottom w:val="single" w:sz="6" w:space="2" w:color="auto"/>
        </w:pBdr>
        <w:tabs>
          <w:tab w:val="left" w:pos="2506"/>
        </w:tabs>
      </w:pPr>
      <w:proofErr w:type="spellStart"/>
      <w:r w:rsidRPr="00B34770">
        <w:t>Conc</w:t>
      </w:r>
      <w:proofErr w:type="spellEnd"/>
      <w:r w:rsidRPr="00B34770">
        <w:t xml:space="preserve"> A = concentration of food additive A in the food in mg/kg</w:t>
      </w:r>
    </w:p>
    <w:p w:rsidR="00F63003" w:rsidRPr="00B34770" w:rsidRDefault="00F63003" w:rsidP="00F63003">
      <w:pPr>
        <w:pStyle w:val="EditorialNotetext"/>
        <w:pBdr>
          <w:bottom w:val="single" w:sz="6" w:space="2" w:color="auto"/>
        </w:pBdr>
        <w:tabs>
          <w:tab w:val="left" w:pos="2506"/>
        </w:tabs>
      </w:pPr>
      <w:proofErr w:type="spellStart"/>
      <w:r w:rsidRPr="00B34770">
        <w:t>Conc</w:t>
      </w:r>
      <w:proofErr w:type="spellEnd"/>
      <w:r w:rsidRPr="00B34770">
        <w:t xml:space="preserve"> B = concentration of food additive B in the food in mg/kg</w:t>
      </w:r>
    </w:p>
    <w:p w:rsidR="00F63003" w:rsidRPr="000D7CAC" w:rsidRDefault="00F63003" w:rsidP="00F63003">
      <w:pPr>
        <w:pStyle w:val="EditorialNotetext"/>
        <w:pBdr>
          <w:bottom w:val="single" w:sz="6" w:space="2" w:color="auto"/>
        </w:pBdr>
        <w:tabs>
          <w:tab w:val="left" w:pos="2506"/>
        </w:tabs>
      </w:pPr>
      <w:proofErr w:type="spellStart"/>
      <w:r w:rsidRPr="00B34770">
        <w:t>Conc</w:t>
      </w:r>
      <w:proofErr w:type="spellEnd"/>
      <w:r w:rsidRPr="00B34770">
        <w:t xml:space="preserve"> C = concentration of food additive C in the food in mg/kg</w:t>
      </w:r>
    </w:p>
    <w:p w:rsidR="00C33B68" w:rsidRDefault="00C33B68" w:rsidP="00F63003">
      <w:pPr>
        <w:pStyle w:val="Clauseheading"/>
      </w:pPr>
    </w:p>
    <w:p w:rsidR="00924A11" w:rsidRDefault="00924A11" w:rsidP="00A606C6">
      <w:pPr>
        <w:pStyle w:val="Clauseheading"/>
        <w:tabs>
          <w:tab w:val="left" w:pos="2506"/>
        </w:tabs>
      </w:pPr>
      <w:r>
        <w:br w:type="page"/>
      </w:r>
    </w:p>
    <w:p w:rsidR="00A606C6" w:rsidRDefault="00A606C6" w:rsidP="00A606C6">
      <w:pPr>
        <w:pStyle w:val="Clauseheading"/>
        <w:tabs>
          <w:tab w:val="left" w:pos="2506"/>
        </w:tabs>
      </w:pPr>
      <w:r>
        <w:lastRenderedPageBreak/>
        <w:t>7</w:t>
      </w:r>
      <w:r>
        <w:tab/>
        <w:t>Carry-over of food additives</w:t>
      </w:r>
    </w:p>
    <w:p w:rsidR="00A606C6" w:rsidRDefault="00A606C6" w:rsidP="00A606C6">
      <w:pPr>
        <w:tabs>
          <w:tab w:val="left" w:pos="2506"/>
        </w:tabs>
      </w:pPr>
    </w:p>
    <w:p w:rsidR="00A606C6" w:rsidRDefault="00F42652" w:rsidP="00A606C6">
      <w:pPr>
        <w:pStyle w:val="Clause"/>
        <w:tabs>
          <w:tab w:val="left" w:pos="2506"/>
        </w:tabs>
      </w:pPr>
      <w:r>
        <w:t>A</w:t>
      </w:r>
      <w:r w:rsidR="00A606C6">
        <w:t xml:space="preserve"> food additive may be present in any food as a result of carry-over from a raw material or an ingredient, provided that the level of the food additive in the final food is no greater than would be introduced by the use of the raw material or ingredient under proper technological conditions and good manufacturing practice.</w:t>
      </w:r>
    </w:p>
    <w:p w:rsidR="00363FEB" w:rsidRPr="001E074D" w:rsidRDefault="00363FEB" w:rsidP="001E074D"/>
    <w:p w:rsidR="00C33B68" w:rsidRDefault="00C33B68" w:rsidP="005F74B4">
      <w:pPr>
        <w:pStyle w:val="Clauseheading"/>
      </w:pPr>
      <w:r>
        <w:t>8</w:t>
      </w:r>
      <w:r>
        <w:tab/>
        <w:t>Food for use in preparation of another food</w:t>
      </w:r>
    </w:p>
    <w:p w:rsidR="00C33B68" w:rsidRDefault="00C33B68">
      <w:bookmarkStart w:id="0" w:name="_GoBack"/>
      <w:bookmarkEnd w:id="0"/>
    </w:p>
    <w:p w:rsidR="00C33B68" w:rsidRDefault="00C33B68" w:rsidP="005F74B4">
      <w:pPr>
        <w:pStyle w:val="Clause"/>
      </w:pPr>
      <w:r>
        <w:t>Any food additive permitted in a food may be added to an ingredient intended for use in the preparation of that food provided that the level in the final food when prepared complies with the maximum permitted level in this Standard.</w:t>
      </w:r>
    </w:p>
    <w:p w:rsidR="00C33B68" w:rsidRDefault="00C33B68"/>
    <w:p w:rsidR="00C33B68" w:rsidRDefault="00C33B68" w:rsidP="005F74B4">
      <w:pPr>
        <w:pStyle w:val="Clauseheading"/>
      </w:pPr>
      <w:r>
        <w:t>9</w:t>
      </w:r>
      <w:r>
        <w:tab/>
        <w:t>The addition of a garnish to food</w:t>
      </w:r>
    </w:p>
    <w:p w:rsidR="00C33B68" w:rsidRDefault="00C33B68"/>
    <w:p w:rsidR="00B0098C" w:rsidRDefault="00C33B68" w:rsidP="005F74B4">
      <w:pPr>
        <w:pStyle w:val="Clause"/>
      </w:pPr>
      <w:r>
        <w:t>The addition of a garnish to a food does not render that food a mixed food for the purposes of this Standard.</w:t>
      </w:r>
    </w:p>
    <w:p w:rsidR="00824201" w:rsidRPr="00824201" w:rsidRDefault="00824201" w:rsidP="00824201">
      <w:pPr>
        <w:rPr>
          <w:lang w:val="en-GB"/>
        </w:rPr>
      </w:pPr>
    </w:p>
    <w:p w:rsidR="00C33B68" w:rsidRDefault="00C33B68" w:rsidP="005F74B4">
      <w:pPr>
        <w:pStyle w:val="Clauseheading"/>
      </w:pPr>
      <w:r>
        <w:t>10</w:t>
      </w:r>
      <w:r>
        <w:tab/>
        <w:t>Colours and their aluminium and calcium lakes</w:t>
      </w:r>
    </w:p>
    <w:p w:rsidR="00C33B68" w:rsidRDefault="00C33B68"/>
    <w:p w:rsidR="00C33B68" w:rsidRDefault="00C33B68" w:rsidP="005F74B4">
      <w:pPr>
        <w:pStyle w:val="Clause"/>
      </w:pPr>
      <w:r>
        <w:t>A reference to a colour listed in Schedules 1, 3 and 4 of this Standard includes a reference to the aluminium and calcium lakes prepared from that colour.</w:t>
      </w:r>
    </w:p>
    <w:p w:rsidR="00C33B68" w:rsidRDefault="00C33B68"/>
    <w:p w:rsidR="00F42652" w:rsidRPr="00F42652" w:rsidRDefault="00F42652" w:rsidP="00F42652">
      <w:pPr>
        <w:pStyle w:val="Clauseheading"/>
        <w:rPr>
          <w:lang w:bidi="en-US"/>
        </w:rPr>
      </w:pPr>
      <w:r w:rsidRPr="00F42652">
        <w:rPr>
          <w:lang w:bidi="en-US"/>
        </w:rPr>
        <w:t>11</w:t>
      </w:r>
      <w:r w:rsidRPr="00F42652">
        <w:rPr>
          <w:lang w:bidi="en-US"/>
        </w:rPr>
        <w:tab/>
        <w:t>Permitted flavouring substances</w:t>
      </w:r>
    </w:p>
    <w:p w:rsidR="00F42652" w:rsidRPr="00F42652" w:rsidRDefault="00F42652" w:rsidP="00F42652">
      <w:pPr>
        <w:widowControl w:val="0"/>
        <w:rPr>
          <w:szCs w:val="20"/>
          <w:lang w:val="en-GB" w:bidi="en-US"/>
        </w:rPr>
      </w:pPr>
    </w:p>
    <w:p w:rsidR="00F42652" w:rsidRPr="00F42652" w:rsidRDefault="00F42652" w:rsidP="00F42652">
      <w:pPr>
        <w:widowControl w:val="0"/>
        <w:tabs>
          <w:tab w:val="left" w:pos="851"/>
        </w:tabs>
        <w:rPr>
          <w:szCs w:val="20"/>
          <w:lang w:val="en-GB" w:bidi="en-US"/>
        </w:rPr>
      </w:pPr>
      <w:r w:rsidRPr="00F42652">
        <w:rPr>
          <w:szCs w:val="20"/>
          <w:lang w:val="en-GB" w:bidi="en-US"/>
        </w:rPr>
        <w:t xml:space="preserve">Permitted flavouring substances, for the purposes of this Standard, are – </w:t>
      </w:r>
    </w:p>
    <w:p w:rsidR="00F42652" w:rsidRPr="00F42652" w:rsidRDefault="00F42652" w:rsidP="00F42652">
      <w:pPr>
        <w:widowControl w:val="0"/>
        <w:rPr>
          <w:szCs w:val="20"/>
          <w:lang w:val="en-GB" w:bidi="en-US"/>
        </w:rPr>
      </w:pPr>
    </w:p>
    <w:p w:rsidR="00F42652" w:rsidRPr="00F42652" w:rsidRDefault="00F42652" w:rsidP="00F42652">
      <w:pPr>
        <w:pStyle w:val="Paragraph"/>
        <w:ind w:right="-194"/>
        <w:rPr>
          <w:lang w:bidi="en-US"/>
        </w:rPr>
      </w:pPr>
      <w:r w:rsidRPr="00F42652">
        <w:rPr>
          <w:lang w:bidi="en-US"/>
        </w:rPr>
        <w:t>(a)</w:t>
      </w:r>
      <w:r w:rsidRPr="00F42652">
        <w:rPr>
          <w:lang w:bidi="en-US"/>
        </w:rPr>
        <w:tab/>
        <w:t xml:space="preserve">Flavouring substances which are listed in at least one of the following publications – </w:t>
      </w:r>
    </w:p>
    <w:p w:rsidR="00F42652" w:rsidRPr="00F42652" w:rsidRDefault="00F42652" w:rsidP="00F42652">
      <w:pPr>
        <w:widowControl w:val="0"/>
        <w:tabs>
          <w:tab w:val="left" w:pos="851"/>
        </w:tabs>
        <w:rPr>
          <w:iCs/>
          <w:szCs w:val="20"/>
          <w:lang w:val="en-GB" w:bidi="en-US"/>
        </w:rPr>
      </w:pPr>
    </w:p>
    <w:p w:rsidR="00F42652" w:rsidRPr="00F42652" w:rsidRDefault="00F42652" w:rsidP="00F42652">
      <w:pPr>
        <w:pStyle w:val="Subparagraph"/>
        <w:rPr>
          <w:lang w:bidi="en-US"/>
        </w:rPr>
      </w:pPr>
      <w:r w:rsidRPr="00F42652">
        <w:rPr>
          <w:lang w:bidi="en-US"/>
        </w:rPr>
        <w:t>(i)</w:t>
      </w:r>
      <w:r w:rsidRPr="00F42652">
        <w:rPr>
          <w:lang w:bidi="en-US"/>
        </w:rPr>
        <w:tab/>
        <w:t>Generally Recognised as Safe (GRAS) lists of flavouring substances published by the Flavour and Extract Manufacturers’ Association of the United States from 1960 to 2011 (edition 25); or</w:t>
      </w:r>
    </w:p>
    <w:p w:rsidR="00F42652" w:rsidRPr="00F42652" w:rsidRDefault="00F42652" w:rsidP="00F42652">
      <w:pPr>
        <w:pStyle w:val="Subparagraph"/>
        <w:rPr>
          <w:lang w:bidi="en-US"/>
        </w:rPr>
      </w:pPr>
      <w:r w:rsidRPr="00F42652">
        <w:rPr>
          <w:lang w:bidi="en-US"/>
        </w:rPr>
        <w:t>(ii)</w:t>
      </w:r>
      <w:r w:rsidRPr="00F42652">
        <w:rPr>
          <w:lang w:bidi="en-US"/>
        </w:rPr>
        <w:tab/>
        <w:t>Chemically-defined flavouring substances, Council of Europe, November 2000; or</w:t>
      </w:r>
    </w:p>
    <w:p w:rsidR="00F42652" w:rsidRPr="00F42652" w:rsidRDefault="00F42652" w:rsidP="00F42652">
      <w:pPr>
        <w:pStyle w:val="Subparagraph"/>
        <w:rPr>
          <w:lang w:bidi="en-US"/>
        </w:rPr>
      </w:pPr>
      <w:r w:rsidRPr="00F42652">
        <w:rPr>
          <w:lang w:bidi="en-US"/>
        </w:rPr>
        <w:t>(iii)</w:t>
      </w:r>
      <w:r w:rsidRPr="00F42652">
        <w:rPr>
          <w:lang w:bidi="en-US"/>
        </w:rPr>
        <w:tab/>
        <w:t xml:space="preserve">21 CFR § 172.515; or </w:t>
      </w:r>
    </w:p>
    <w:p w:rsidR="00F42652" w:rsidRPr="00F42652" w:rsidRDefault="00F42652" w:rsidP="00F42652">
      <w:pPr>
        <w:widowControl w:val="0"/>
        <w:rPr>
          <w:lang w:val="en-GB" w:bidi="en-US"/>
        </w:rPr>
      </w:pPr>
    </w:p>
    <w:p w:rsidR="00F42652" w:rsidRPr="00F42652" w:rsidRDefault="00F42652" w:rsidP="00F42652">
      <w:pPr>
        <w:pStyle w:val="Paragraph"/>
        <w:rPr>
          <w:lang w:bidi="en-US"/>
        </w:rPr>
      </w:pPr>
      <w:r w:rsidRPr="00F42652">
        <w:rPr>
          <w:lang w:bidi="en-US"/>
        </w:rPr>
        <w:t>(b)</w:t>
      </w:r>
      <w:r w:rsidRPr="00F42652">
        <w:rPr>
          <w:lang w:bidi="en-US"/>
        </w:rPr>
        <w:tab/>
        <w:t xml:space="preserve">Flavouring substances obtained by physical, microbiological, enzymatic, or chemical processes from material of vegetable or animal origin either in its raw state or after processing by traditional preparation process including drying, roasting and fermentation; or </w:t>
      </w:r>
    </w:p>
    <w:p w:rsidR="00F42652" w:rsidRPr="00F42652" w:rsidRDefault="00F42652" w:rsidP="00F42652">
      <w:pPr>
        <w:pStyle w:val="Paragraph"/>
        <w:rPr>
          <w:lang w:bidi="en-US"/>
        </w:rPr>
      </w:pPr>
      <w:r w:rsidRPr="00F42652">
        <w:rPr>
          <w:lang w:bidi="en-US"/>
        </w:rPr>
        <w:t>(c)</w:t>
      </w:r>
      <w:r w:rsidRPr="00F42652">
        <w:rPr>
          <w:lang w:bidi="en-US"/>
        </w:rPr>
        <w:tab/>
        <w:t>Flavouring substances obtained by synthetic means which are identical to any of the flavouring substances described in subparagraph (b).</w:t>
      </w:r>
    </w:p>
    <w:p w:rsidR="00280ABC" w:rsidRDefault="00280ABC" w:rsidP="00363FEB">
      <w:pPr>
        <w:pStyle w:val="Clause"/>
        <w:rPr>
          <w:rFonts w:cs="Arial"/>
          <w:b/>
          <w:bCs/>
        </w:rPr>
      </w:pPr>
      <w:r>
        <w:rPr>
          <w:rFonts w:cs="Arial"/>
          <w:b/>
          <w:bCs/>
        </w:rPr>
        <w:br w:type="page"/>
      </w:r>
    </w:p>
    <w:p w:rsidR="00280ABC" w:rsidRDefault="00280ABC" w:rsidP="00280ABC">
      <w:pPr>
        <w:pStyle w:val="PartContents"/>
      </w:pPr>
    </w:p>
    <w:p w:rsidR="00280ABC" w:rsidRDefault="00280ABC" w:rsidP="00280ABC">
      <w:pPr>
        <w:pStyle w:val="Blankpage"/>
      </w:pPr>
      <w:r>
        <w:t>{THIS PAGE INTENTIONALLY LEFT BLANK}</w:t>
      </w:r>
    </w:p>
    <w:p w:rsidR="00363FEB" w:rsidRPr="00B47F87" w:rsidRDefault="00363FEB" w:rsidP="00363FEB">
      <w:pPr>
        <w:pStyle w:val="Clause"/>
        <w:rPr>
          <w:rFonts w:cs="Arial"/>
          <w:b/>
          <w:bCs/>
        </w:rPr>
      </w:pPr>
    </w:p>
    <w:sectPr w:rsidR="00363FEB" w:rsidRPr="00B47F87">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CD" w:rsidRDefault="00951BCD" w:rsidP="00C33B68">
      <w:pPr>
        <w:pStyle w:val="Footer"/>
      </w:pPr>
      <w:r>
        <w:separator/>
      </w:r>
    </w:p>
  </w:endnote>
  <w:endnote w:type="continuationSeparator" w:id="0">
    <w:p w:rsidR="00951BCD" w:rsidRDefault="00951BCD" w:rsidP="00C33B6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1" w:rsidRDefault="0082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CD" w:rsidRDefault="00951BCD">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924A11">
      <w:rPr>
        <w:rStyle w:val="PageNumber"/>
        <w:noProof/>
        <w:sz w:val="18"/>
      </w:rPr>
      <w:t>6</w:t>
    </w:r>
    <w:r>
      <w:rPr>
        <w:rStyle w:val="PageNumber"/>
        <w:sz w:val="18"/>
      </w:rPr>
      <w:fldChar w:fldCharType="end"/>
    </w:r>
  </w:p>
  <w:p w:rsidR="00951BCD" w:rsidRDefault="00824201" w:rsidP="00F42652">
    <w:pPr>
      <w:pStyle w:val="FSCfooter"/>
    </w:pPr>
    <w:r>
      <w:t>Issue 135</w:t>
    </w:r>
    <w:r w:rsidR="00951BCD">
      <w:tab/>
    </w:r>
    <w:r w:rsidR="00951BCD">
      <w:tab/>
      <w:t>Standard 1.3.1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1" w:rsidRDefault="0082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CD" w:rsidRDefault="00951BCD" w:rsidP="00C33B68">
      <w:pPr>
        <w:pStyle w:val="Footer"/>
      </w:pPr>
      <w:r>
        <w:separator/>
      </w:r>
    </w:p>
  </w:footnote>
  <w:footnote w:type="continuationSeparator" w:id="0">
    <w:p w:rsidR="00951BCD" w:rsidRDefault="00951BCD" w:rsidP="00C33B68">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1" w:rsidRDefault="00824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1" w:rsidRDefault="00824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1" w:rsidRDefault="0082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BE15B6"/>
    <w:lvl w:ilvl="0">
      <w:start w:val="1"/>
      <w:numFmt w:val="decimal"/>
      <w:lvlText w:val="%1."/>
      <w:lvlJc w:val="left"/>
      <w:pPr>
        <w:tabs>
          <w:tab w:val="num" w:pos="1492"/>
        </w:tabs>
        <w:ind w:left="1492" w:hanging="360"/>
      </w:pPr>
    </w:lvl>
  </w:abstractNum>
  <w:abstractNum w:abstractNumId="1">
    <w:nsid w:val="FFFFFF7D"/>
    <w:multiLevelType w:val="singleLevel"/>
    <w:tmpl w:val="C152DF38"/>
    <w:lvl w:ilvl="0">
      <w:start w:val="1"/>
      <w:numFmt w:val="decimal"/>
      <w:lvlText w:val="%1."/>
      <w:lvlJc w:val="left"/>
      <w:pPr>
        <w:tabs>
          <w:tab w:val="num" w:pos="1209"/>
        </w:tabs>
        <w:ind w:left="1209" w:hanging="360"/>
      </w:pPr>
    </w:lvl>
  </w:abstractNum>
  <w:abstractNum w:abstractNumId="2">
    <w:nsid w:val="FFFFFF7E"/>
    <w:multiLevelType w:val="singleLevel"/>
    <w:tmpl w:val="66AE8A5E"/>
    <w:lvl w:ilvl="0">
      <w:start w:val="1"/>
      <w:numFmt w:val="decimal"/>
      <w:lvlText w:val="%1."/>
      <w:lvlJc w:val="left"/>
      <w:pPr>
        <w:tabs>
          <w:tab w:val="num" w:pos="926"/>
        </w:tabs>
        <w:ind w:left="926" w:hanging="360"/>
      </w:pPr>
    </w:lvl>
  </w:abstractNum>
  <w:abstractNum w:abstractNumId="3">
    <w:nsid w:val="FFFFFF7F"/>
    <w:multiLevelType w:val="singleLevel"/>
    <w:tmpl w:val="72A6E16C"/>
    <w:lvl w:ilvl="0">
      <w:start w:val="1"/>
      <w:numFmt w:val="decimal"/>
      <w:lvlText w:val="%1."/>
      <w:lvlJc w:val="left"/>
      <w:pPr>
        <w:tabs>
          <w:tab w:val="num" w:pos="643"/>
        </w:tabs>
        <w:ind w:left="643" w:hanging="360"/>
      </w:pPr>
    </w:lvl>
  </w:abstractNum>
  <w:abstractNum w:abstractNumId="4">
    <w:nsid w:val="FFFFFF80"/>
    <w:multiLevelType w:val="singleLevel"/>
    <w:tmpl w:val="25D0F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E43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842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4C6A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42E442"/>
    <w:lvl w:ilvl="0">
      <w:start w:val="1"/>
      <w:numFmt w:val="decimal"/>
      <w:lvlText w:val="%1."/>
      <w:lvlJc w:val="left"/>
      <w:pPr>
        <w:tabs>
          <w:tab w:val="num" w:pos="360"/>
        </w:tabs>
        <w:ind w:left="360" w:hanging="360"/>
      </w:pPr>
    </w:lvl>
  </w:abstractNum>
  <w:abstractNum w:abstractNumId="9">
    <w:nsid w:val="FFFFFF89"/>
    <w:multiLevelType w:val="singleLevel"/>
    <w:tmpl w:val="64EC2176"/>
    <w:lvl w:ilvl="0">
      <w:start w:val="1"/>
      <w:numFmt w:val="bullet"/>
      <w:lvlText w:val=""/>
      <w:lvlJc w:val="left"/>
      <w:pPr>
        <w:tabs>
          <w:tab w:val="num" w:pos="360"/>
        </w:tabs>
        <w:ind w:left="360" w:hanging="360"/>
      </w:pPr>
      <w:rPr>
        <w:rFonts w:ascii="Symbol" w:hAnsi="Symbol" w:hint="default"/>
      </w:rPr>
    </w:lvl>
  </w:abstractNum>
  <w:abstractNum w:abstractNumId="10">
    <w:nsid w:val="1D8D6E4B"/>
    <w:multiLevelType w:val="hybridMultilevel"/>
    <w:tmpl w:val="36DE39DC"/>
    <w:lvl w:ilvl="0" w:tplc="7674DE3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C61EFD"/>
    <w:multiLevelType w:val="hybridMultilevel"/>
    <w:tmpl w:val="C898FC9C"/>
    <w:lvl w:ilvl="0" w:tplc="6360AFE8">
      <w:start w:val="2"/>
      <w:numFmt w:val="decimal"/>
      <w:lvlText w:val="(%1)"/>
      <w:lvlJc w:val="left"/>
      <w:pPr>
        <w:tabs>
          <w:tab w:val="num" w:pos="859"/>
        </w:tabs>
        <w:ind w:left="859" w:hanging="87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2">
    <w:nsid w:val="5C66076E"/>
    <w:multiLevelType w:val="hybridMultilevel"/>
    <w:tmpl w:val="DDB6244E"/>
    <w:lvl w:ilvl="0" w:tplc="B3540BF6">
      <w:start w:val="2"/>
      <w:numFmt w:val="decimal"/>
      <w:lvlText w:val="(%1)"/>
      <w:lvlJc w:val="left"/>
      <w:pPr>
        <w:tabs>
          <w:tab w:val="num" w:pos="844"/>
        </w:tabs>
        <w:ind w:left="844" w:hanging="855"/>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7B"/>
    <w:rsid w:val="0005345D"/>
    <w:rsid w:val="000A6D14"/>
    <w:rsid w:val="000D0E70"/>
    <w:rsid w:val="0011197B"/>
    <w:rsid w:val="001E074D"/>
    <w:rsid w:val="00254F43"/>
    <w:rsid w:val="00280ABC"/>
    <w:rsid w:val="002B1986"/>
    <w:rsid w:val="00332D84"/>
    <w:rsid w:val="003606FA"/>
    <w:rsid w:val="00363FEB"/>
    <w:rsid w:val="004620F1"/>
    <w:rsid w:val="004972DA"/>
    <w:rsid w:val="005141E9"/>
    <w:rsid w:val="005F74B4"/>
    <w:rsid w:val="00600B7A"/>
    <w:rsid w:val="00627C04"/>
    <w:rsid w:val="00760050"/>
    <w:rsid w:val="00824201"/>
    <w:rsid w:val="00924A11"/>
    <w:rsid w:val="00951BCD"/>
    <w:rsid w:val="00A1148D"/>
    <w:rsid w:val="00A606C6"/>
    <w:rsid w:val="00A94821"/>
    <w:rsid w:val="00B0098C"/>
    <w:rsid w:val="00BC7F9C"/>
    <w:rsid w:val="00C33B68"/>
    <w:rsid w:val="00F42652"/>
    <w:rsid w:val="00F63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42652"/>
    <w:rPr>
      <w:rFonts w:ascii="Arial" w:hAnsi="Arial"/>
      <w:szCs w:val="24"/>
      <w:lang w:eastAsia="en-US"/>
    </w:rPr>
  </w:style>
  <w:style w:type="paragraph" w:styleId="Heading1">
    <w:name w:val="heading 1"/>
    <w:basedOn w:val="Normal"/>
    <w:next w:val="Normal"/>
    <w:pPr>
      <w:keepNext/>
      <w:outlineLvl w:val="0"/>
    </w:pPr>
    <w:rPr>
      <w:rFonts w:ascii="Times" w:hAnsi="Times"/>
      <w:b/>
      <w:bCs/>
      <w:lang w:val="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074D"/>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EditorialNoteLine1">
    <w:name w:val="Editorial Note Line 1"/>
    <w:basedOn w:val="Normal"/>
    <w:next w:val="Normal"/>
    <w:link w:val="EditorialNoteLine1Char"/>
    <w:rsid w:val="005F74B4"/>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character" w:customStyle="1" w:styleId="EditorialNoteLine1Char">
    <w:name w:val="Editorial Note Line 1 Char"/>
    <w:link w:val="EditorialNoteLine1"/>
    <w:rsid w:val="00363FEB"/>
    <w:rPr>
      <w:b/>
      <w:sz w:val="24"/>
      <w:lang w:val="en-GB" w:eastAsia="en-US" w:bidi="ar-SA"/>
    </w:rPr>
  </w:style>
  <w:style w:type="paragraph" w:customStyle="1" w:styleId="EditorialNotetext">
    <w:name w:val="Editorial Note text"/>
    <w:basedOn w:val="EditorialNoteLine1"/>
    <w:link w:val="EditorialNotetextChar"/>
    <w:rsid w:val="005F74B4"/>
    <w:rPr>
      <w:b w:val="0"/>
    </w:rPr>
  </w:style>
  <w:style w:type="character" w:customStyle="1" w:styleId="EditorialNotetextChar">
    <w:name w:val="Editorial Note text Char"/>
    <w:link w:val="EditorialNotetext"/>
    <w:rsid w:val="00363FEB"/>
    <w:rPr>
      <w:sz w:val="24"/>
      <w:lang w:val="en-GB" w:eastAsia="en-US" w:bidi="ar-SA"/>
    </w:rPr>
  </w:style>
  <w:style w:type="paragraph" w:customStyle="1" w:styleId="Clauseheading">
    <w:name w:val="Clause heading"/>
    <w:basedOn w:val="Normal"/>
    <w:next w:val="Normal"/>
    <w:rsid w:val="005F74B4"/>
    <w:pPr>
      <w:widowControl w:val="0"/>
      <w:tabs>
        <w:tab w:val="left" w:pos="851"/>
      </w:tabs>
    </w:pPr>
    <w:rPr>
      <w:b/>
      <w:szCs w:val="20"/>
      <w:lang w:val="en-GB"/>
    </w:rPr>
  </w:style>
  <w:style w:type="paragraph" w:customStyle="1" w:styleId="Clause">
    <w:name w:val="Clause"/>
    <w:basedOn w:val="Normal"/>
    <w:next w:val="Normal"/>
    <w:link w:val="ClauseChar"/>
    <w:qFormat/>
    <w:rsid w:val="005F74B4"/>
    <w:pPr>
      <w:widowControl w:val="0"/>
      <w:tabs>
        <w:tab w:val="left" w:pos="851"/>
      </w:tabs>
    </w:pPr>
    <w:rPr>
      <w:szCs w:val="20"/>
      <w:lang w:val="en-GB"/>
    </w:rPr>
  </w:style>
  <w:style w:type="character" w:customStyle="1" w:styleId="ClauseChar">
    <w:name w:val="Clause Char"/>
    <w:link w:val="Clause"/>
    <w:rsid w:val="00363FEB"/>
    <w:rPr>
      <w:sz w:val="24"/>
      <w:lang w:val="en-GB" w:eastAsia="en-US" w:bidi="ar-SA"/>
    </w:rPr>
  </w:style>
  <w:style w:type="paragraph" w:customStyle="1" w:styleId="ClauseList">
    <w:name w:val="Clause List"/>
    <w:basedOn w:val="Clause"/>
    <w:next w:val="Normal"/>
    <w:rsid w:val="005F74B4"/>
  </w:style>
  <w:style w:type="paragraph" w:customStyle="1" w:styleId="Subparagraph">
    <w:name w:val="Subparagraph"/>
    <w:basedOn w:val="Paragraph"/>
    <w:rsid w:val="005F74B4"/>
    <w:pPr>
      <w:widowControl/>
      <w:ind w:left="2553"/>
    </w:pPr>
  </w:style>
  <w:style w:type="paragraph" w:customStyle="1" w:styleId="Paragraph">
    <w:name w:val="Paragraph"/>
    <w:basedOn w:val="Clause"/>
    <w:next w:val="Normal"/>
    <w:link w:val="ParagraphChar"/>
    <w:rsid w:val="005F74B4"/>
    <w:pPr>
      <w:tabs>
        <w:tab w:val="clear" w:pos="851"/>
      </w:tabs>
      <w:ind w:left="1702" w:hanging="851"/>
    </w:pPr>
  </w:style>
  <w:style w:type="paragraph" w:customStyle="1" w:styleId="Blankpage">
    <w:name w:val="Blank page"/>
    <w:basedOn w:val="Normal"/>
    <w:next w:val="Normal"/>
    <w:qFormat/>
    <w:rsid w:val="005F74B4"/>
    <w:pPr>
      <w:tabs>
        <w:tab w:val="left" w:pos="851"/>
      </w:tabs>
      <w:spacing w:before="4000" w:line="240" w:lineRule="atLeast"/>
      <w:jc w:val="center"/>
    </w:pPr>
    <w:rPr>
      <w:szCs w:val="20"/>
      <w:lang w:val="en-GB"/>
    </w:rPr>
  </w:style>
  <w:style w:type="paragraph" w:customStyle="1" w:styleId="Definition">
    <w:name w:val="Definition"/>
    <w:basedOn w:val="Normal"/>
    <w:next w:val="Normal"/>
    <w:link w:val="DefinitionCharChar"/>
    <w:rsid w:val="005F74B4"/>
    <w:pPr>
      <w:widowControl w:val="0"/>
      <w:tabs>
        <w:tab w:val="left" w:pos="851"/>
      </w:tabs>
      <w:ind w:left="1701" w:hanging="851"/>
    </w:pPr>
    <w:rPr>
      <w:szCs w:val="20"/>
      <w:lang w:val="en-GB"/>
    </w:rPr>
  </w:style>
  <w:style w:type="paragraph" w:customStyle="1" w:styleId="FSCfooter">
    <w:name w:val="FSCfooter"/>
    <w:basedOn w:val="Normal"/>
    <w:rsid w:val="00F42652"/>
    <w:pPr>
      <w:tabs>
        <w:tab w:val="center" w:pos="4536"/>
        <w:tab w:val="right" w:pos="9072"/>
      </w:tabs>
    </w:pPr>
    <w:rPr>
      <w:sz w:val="18"/>
      <w:szCs w:val="20"/>
      <w:lang w:val="en-GB"/>
    </w:rPr>
  </w:style>
  <w:style w:type="paragraph" w:customStyle="1" w:styleId="Scheduleheading">
    <w:name w:val="Schedule heading"/>
    <w:basedOn w:val="Normal"/>
    <w:rsid w:val="005F74B4"/>
    <w:pPr>
      <w:jc w:val="center"/>
    </w:pPr>
    <w:rPr>
      <w:rFonts w:ascii="Times New Roman Bold" w:hAnsi="Times New Roman Bold"/>
      <w:b/>
      <w:caps/>
    </w:rPr>
  </w:style>
  <w:style w:type="paragraph" w:customStyle="1" w:styleId="Standardtitle">
    <w:name w:val="Standard title"/>
    <w:basedOn w:val="Normal"/>
    <w:rsid w:val="005F74B4"/>
    <w:pPr>
      <w:widowControl w:val="0"/>
      <w:tabs>
        <w:tab w:val="left" w:pos="851"/>
      </w:tabs>
      <w:jc w:val="center"/>
    </w:pPr>
    <w:rPr>
      <w:b/>
      <w:i/>
      <w:iCs/>
      <w:caps/>
      <w:sz w:val="28"/>
      <w:szCs w:val="20"/>
      <w:lang w:val="en-GB"/>
    </w:rPr>
  </w:style>
  <w:style w:type="paragraph" w:customStyle="1" w:styleId="Subclause">
    <w:name w:val="Subclause"/>
    <w:basedOn w:val="Normal"/>
    <w:link w:val="SubclauseChar"/>
    <w:rsid w:val="005F74B4"/>
    <w:pPr>
      <w:tabs>
        <w:tab w:val="left" w:pos="851"/>
      </w:tabs>
    </w:pPr>
    <w:rPr>
      <w:szCs w:val="20"/>
      <w:lang w:val="en-GB"/>
    </w:rPr>
  </w:style>
  <w:style w:type="paragraph" w:customStyle="1" w:styleId="Table1">
    <w:name w:val="Table 1"/>
    <w:basedOn w:val="Normal"/>
    <w:rsid w:val="00F42652"/>
    <w:pPr>
      <w:widowControl w:val="0"/>
      <w:spacing w:after="120"/>
      <w:jc w:val="center"/>
    </w:pPr>
    <w:rPr>
      <w:b/>
      <w:bCs/>
      <w:sz w:val="18"/>
      <w:szCs w:val="20"/>
      <w:lang w:val="en-GB"/>
    </w:rPr>
  </w:style>
  <w:style w:type="paragraph" w:customStyle="1" w:styleId="Table2">
    <w:name w:val="Table 2"/>
    <w:basedOn w:val="Normal"/>
    <w:rsid w:val="00F42652"/>
    <w:pPr>
      <w:widowControl w:val="0"/>
      <w:ind w:left="142" w:hanging="142"/>
    </w:pPr>
    <w:rPr>
      <w:bCs/>
      <w:sz w:val="18"/>
      <w:szCs w:val="20"/>
      <w:lang w:val="en-GB"/>
    </w:rPr>
  </w:style>
  <w:style w:type="paragraph" w:customStyle="1" w:styleId="TableHeading">
    <w:name w:val="Table Heading"/>
    <w:basedOn w:val="Normal"/>
    <w:next w:val="Normal"/>
    <w:rsid w:val="005F74B4"/>
    <w:pPr>
      <w:widowControl w:val="0"/>
      <w:tabs>
        <w:tab w:val="left" w:pos="851"/>
      </w:tabs>
      <w:jc w:val="center"/>
    </w:pPr>
    <w:rPr>
      <w:b/>
      <w:szCs w:val="20"/>
      <w:lang w:val="en-GB"/>
    </w:rPr>
  </w:style>
  <w:style w:type="paragraph" w:customStyle="1" w:styleId="TitleBorder">
    <w:name w:val="TitleBorder"/>
    <w:basedOn w:val="Normal"/>
    <w:rsid w:val="005F74B4"/>
    <w:pPr>
      <w:widowControl w:val="0"/>
      <w:pBdr>
        <w:bottom w:val="double" w:sz="6" w:space="0" w:color="auto"/>
      </w:pBdr>
      <w:tabs>
        <w:tab w:val="left" w:pos="851"/>
      </w:tabs>
    </w:pPr>
    <w:rPr>
      <w:b/>
      <w:szCs w:val="20"/>
      <w:lang w:val="en-GB"/>
    </w:rPr>
  </w:style>
  <w:style w:type="character" w:customStyle="1" w:styleId="ParagraphChar">
    <w:name w:val="Paragraph Char"/>
    <w:link w:val="Paragraph"/>
    <w:rsid w:val="00F63003"/>
    <w:rPr>
      <w:rFonts w:ascii="Times New Roman" w:hAnsi="Times New Roman"/>
      <w:sz w:val="24"/>
      <w:lang w:val="en-GB" w:eastAsia="en-US" w:bidi="ar-SA"/>
    </w:rPr>
  </w:style>
  <w:style w:type="character" w:customStyle="1" w:styleId="SubclauseChar">
    <w:name w:val="Subclause Char"/>
    <w:link w:val="Subclause"/>
    <w:rsid w:val="00F63003"/>
    <w:rPr>
      <w:rFonts w:ascii="Times New Roman" w:hAnsi="Times New Roman"/>
      <w:sz w:val="24"/>
      <w:lang w:val="en-GB" w:eastAsia="en-US" w:bidi="ar-SA"/>
    </w:rPr>
  </w:style>
  <w:style w:type="character" w:customStyle="1" w:styleId="DefinitionCharChar">
    <w:name w:val="Definition Char Char"/>
    <w:link w:val="Definition"/>
    <w:rsid w:val="00A94821"/>
    <w:rPr>
      <w:rFonts w:ascii="Times New Roman" w:hAnsi="Times New Roman"/>
      <w:sz w:val="24"/>
      <w:lang w:eastAsia="en-US"/>
    </w:rPr>
  </w:style>
  <w:style w:type="paragraph" w:customStyle="1" w:styleId="PartContents">
    <w:name w:val="Part Contents"/>
    <w:basedOn w:val="Normal"/>
    <w:qFormat/>
    <w:rsid w:val="00280ABC"/>
    <w:pPr>
      <w:ind w:left="2268" w:hanging="1701"/>
    </w:pPr>
    <w:rPr>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42652"/>
    <w:rPr>
      <w:rFonts w:ascii="Arial" w:hAnsi="Arial"/>
      <w:szCs w:val="24"/>
      <w:lang w:eastAsia="en-US"/>
    </w:rPr>
  </w:style>
  <w:style w:type="paragraph" w:styleId="Heading1">
    <w:name w:val="heading 1"/>
    <w:basedOn w:val="Normal"/>
    <w:next w:val="Normal"/>
    <w:pPr>
      <w:keepNext/>
      <w:outlineLvl w:val="0"/>
    </w:pPr>
    <w:rPr>
      <w:rFonts w:ascii="Times" w:hAnsi="Times"/>
      <w:b/>
      <w:bCs/>
      <w:lang w:val="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074D"/>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EditorialNoteLine1">
    <w:name w:val="Editorial Note Line 1"/>
    <w:basedOn w:val="Normal"/>
    <w:next w:val="Normal"/>
    <w:link w:val="EditorialNoteLine1Char"/>
    <w:rsid w:val="005F74B4"/>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character" w:customStyle="1" w:styleId="EditorialNoteLine1Char">
    <w:name w:val="Editorial Note Line 1 Char"/>
    <w:link w:val="EditorialNoteLine1"/>
    <w:rsid w:val="00363FEB"/>
    <w:rPr>
      <w:b/>
      <w:sz w:val="24"/>
      <w:lang w:val="en-GB" w:eastAsia="en-US" w:bidi="ar-SA"/>
    </w:rPr>
  </w:style>
  <w:style w:type="paragraph" w:customStyle="1" w:styleId="EditorialNotetext">
    <w:name w:val="Editorial Note text"/>
    <w:basedOn w:val="EditorialNoteLine1"/>
    <w:link w:val="EditorialNotetextChar"/>
    <w:rsid w:val="005F74B4"/>
    <w:rPr>
      <w:b w:val="0"/>
    </w:rPr>
  </w:style>
  <w:style w:type="character" w:customStyle="1" w:styleId="EditorialNotetextChar">
    <w:name w:val="Editorial Note text Char"/>
    <w:link w:val="EditorialNotetext"/>
    <w:rsid w:val="00363FEB"/>
    <w:rPr>
      <w:sz w:val="24"/>
      <w:lang w:val="en-GB" w:eastAsia="en-US" w:bidi="ar-SA"/>
    </w:rPr>
  </w:style>
  <w:style w:type="paragraph" w:customStyle="1" w:styleId="Clauseheading">
    <w:name w:val="Clause heading"/>
    <w:basedOn w:val="Normal"/>
    <w:next w:val="Normal"/>
    <w:rsid w:val="005F74B4"/>
    <w:pPr>
      <w:widowControl w:val="0"/>
      <w:tabs>
        <w:tab w:val="left" w:pos="851"/>
      </w:tabs>
    </w:pPr>
    <w:rPr>
      <w:b/>
      <w:szCs w:val="20"/>
      <w:lang w:val="en-GB"/>
    </w:rPr>
  </w:style>
  <w:style w:type="paragraph" w:customStyle="1" w:styleId="Clause">
    <w:name w:val="Clause"/>
    <w:basedOn w:val="Normal"/>
    <w:next w:val="Normal"/>
    <w:link w:val="ClauseChar"/>
    <w:qFormat/>
    <w:rsid w:val="005F74B4"/>
    <w:pPr>
      <w:widowControl w:val="0"/>
      <w:tabs>
        <w:tab w:val="left" w:pos="851"/>
      </w:tabs>
    </w:pPr>
    <w:rPr>
      <w:szCs w:val="20"/>
      <w:lang w:val="en-GB"/>
    </w:rPr>
  </w:style>
  <w:style w:type="character" w:customStyle="1" w:styleId="ClauseChar">
    <w:name w:val="Clause Char"/>
    <w:link w:val="Clause"/>
    <w:rsid w:val="00363FEB"/>
    <w:rPr>
      <w:sz w:val="24"/>
      <w:lang w:val="en-GB" w:eastAsia="en-US" w:bidi="ar-SA"/>
    </w:rPr>
  </w:style>
  <w:style w:type="paragraph" w:customStyle="1" w:styleId="ClauseList">
    <w:name w:val="Clause List"/>
    <w:basedOn w:val="Clause"/>
    <w:next w:val="Normal"/>
    <w:rsid w:val="005F74B4"/>
  </w:style>
  <w:style w:type="paragraph" w:customStyle="1" w:styleId="Subparagraph">
    <w:name w:val="Subparagraph"/>
    <w:basedOn w:val="Paragraph"/>
    <w:rsid w:val="005F74B4"/>
    <w:pPr>
      <w:widowControl/>
      <w:ind w:left="2553"/>
    </w:pPr>
  </w:style>
  <w:style w:type="paragraph" w:customStyle="1" w:styleId="Paragraph">
    <w:name w:val="Paragraph"/>
    <w:basedOn w:val="Clause"/>
    <w:next w:val="Normal"/>
    <w:link w:val="ParagraphChar"/>
    <w:rsid w:val="005F74B4"/>
    <w:pPr>
      <w:tabs>
        <w:tab w:val="clear" w:pos="851"/>
      </w:tabs>
      <w:ind w:left="1702" w:hanging="851"/>
    </w:pPr>
  </w:style>
  <w:style w:type="paragraph" w:customStyle="1" w:styleId="Blankpage">
    <w:name w:val="Blank page"/>
    <w:basedOn w:val="Normal"/>
    <w:next w:val="Normal"/>
    <w:qFormat/>
    <w:rsid w:val="005F74B4"/>
    <w:pPr>
      <w:tabs>
        <w:tab w:val="left" w:pos="851"/>
      </w:tabs>
      <w:spacing w:before="4000" w:line="240" w:lineRule="atLeast"/>
      <w:jc w:val="center"/>
    </w:pPr>
    <w:rPr>
      <w:szCs w:val="20"/>
      <w:lang w:val="en-GB"/>
    </w:rPr>
  </w:style>
  <w:style w:type="paragraph" w:customStyle="1" w:styleId="Definition">
    <w:name w:val="Definition"/>
    <w:basedOn w:val="Normal"/>
    <w:next w:val="Normal"/>
    <w:link w:val="DefinitionCharChar"/>
    <w:rsid w:val="005F74B4"/>
    <w:pPr>
      <w:widowControl w:val="0"/>
      <w:tabs>
        <w:tab w:val="left" w:pos="851"/>
      </w:tabs>
      <w:ind w:left="1701" w:hanging="851"/>
    </w:pPr>
    <w:rPr>
      <w:szCs w:val="20"/>
      <w:lang w:val="en-GB"/>
    </w:rPr>
  </w:style>
  <w:style w:type="paragraph" w:customStyle="1" w:styleId="FSCfooter">
    <w:name w:val="FSCfooter"/>
    <w:basedOn w:val="Normal"/>
    <w:rsid w:val="00F42652"/>
    <w:pPr>
      <w:tabs>
        <w:tab w:val="center" w:pos="4536"/>
        <w:tab w:val="right" w:pos="9072"/>
      </w:tabs>
    </w:pPr>
    <w:rPr>
      <w:sz w:val="18"/>
      <w:szCs w:val="20"/>
      <w:lang w:val="en-GB"/>
    </w:rPr>
  </w:style>
  <w:style w:type="paragraph" w:customStyle="1" w:styleId="Scheduleheading">
    <w:name w:val="Schedule heading"/>
    <w:basedOn w:val="Normal"/>
    <w:rsid w:val="005F74B4"/>
    <w:pPr>
      <w:jc w:val="center"/>
    </w:pPr>
    <w:rPr>
      <w:rFonts w:ascii="Times New Roman Bold" w:hAnsi="Times New Roman Bold"/>
      <w:b/>
      <w:caps/>
    </w:rPr>
  </w:style>
  <w:style w:type="paragraph" w:customStyle="1" w:styleId="Standardtitle">
    <w:name w:val="Standard title"/>
    <w:basedOn w:val="Normal"/>
    <w:rsid w:val="005F74B4"/>
    <w:pPr>
      <w:widowControl w:val="0"/>
      <w:tabs>
        <w:tab w:val="left" w:pos="851"/>
      </w:tabs>
      <w:jc w:val="center"/>
    </w:pPr>
    <w:rPr>
      <w:b/>
      <w:i/>
      <w:iCs/>
      <w:caps/>
      <w:sz w:val="28"/>
      <w:szCs w:val="20"/>
      <w:lang w:val="en-GB"/>
    </w:rPr>
  </w:style>
  <w:style w:type="paragraph" w:customStyle="1" w:styleId="Subclause">
    <w:name w:val="Subclause"/>
    <w:basedOn w:val="Normal"/>
    <w:link w:val="SubclauseChar"/>
    <w:rsid w:val="005F74B4"/>
    <w:pPr>
      <w:tabs>
        <w:tab w:val="left" w:pos="851"/>
      </w:tabs>
    </w:pPr>
    <w:rPr>
      <w:szCs w:val="20"/>
      <w:lang w:val="en-GB"/>
    </w:rPr>
  </w:style>
  <w:style w:type="paragraph" w:customStyle="1" w:styleId="Table1">
    <w:name w:val="Table 1"/>
    <w:basedOn w:val="Normal"/>
    <w:rsid w:val="00F42652"/>
    <w:pPr>
      <w:widowControl w:val="0"/>
      <w:spacing w:after="120"/>
      <w:jc w:val="center"/>
    </w:pPr>
    <w:rPr>
      <w:b/>
      <w:bCs/>
      <w:sz w:val="18"/>
      <w:szCs w:val="20"/>
      <w:lang w:val="en-GB"/>
    </w:rPr>
  </w:style>
  <w:style w:type="paragraph" w:customStyle="1" w:styleId="Table2">
    <w:name w:val="Table 2"/>
    <w:basedOn w:val="Normal"/>
    <w:rsid w:val="00F42652"/>
    <w:pPr>
      <w:widowControl w:val="0"/>
      <w:ind w:left="142" w:hanging="142"/>
    </w:pPr>
    <w:rPr>
      <w:bCs/>
      <w:sz w:val="18"/>
      <w:szCs w:val="20"/>
      <w:lang w:val="en-GB"/>
    </w:rPr>
  </w:style>
  <w:style w:type="paragraph" w:customStyle="1" w:styleId="TableHeading">
    <w:name w:val="Table Heading"/>
    <w:basedOn w:val="Normal"/>
    <w:next w:val="Normal"/>
    <w:rsid w:val="005F74B4"/>
    <w:pPr>
      <w:widowControl w:val="0"/>
      <w:tabs>
        <w:tab w:val="left" w:pos="851"/>
      </w:tabs>
      <w:jc w:val="center"/>
    </w:pPr>
    <w:rPr>
      <w:b/>
      <w:szCs w:val="20"/>
      <w:lang w:val="en-GB"/>
    </w:rPr>
  </w:style>
  <w:style w:type="paragraph" w:customStyle="1" w:styleId="TitleBorder">
    <w:name w:val="TitleBorder"/>
    <w:basedOn w:val="Normal"/>
    <w:rsid w:val="005F74B4"/>
    <w:pPr>
      <w:widowControl w:val="0"/>
      <w:pBdr>
        <w:bottom w:val="double" w:sz="6" w:space="0" w:color="auto"/>
      </w:pBdr>
      <w:tabs>
        <w:tab w:val="left" w:pos="851"/>
      </w:tabs>
    </w:pPr>
    <w:rPr>
      <w:b/>
      <w:szCs w:val="20"/>
      <w:lang w:val="en-GB"/>
    </w:rPr>
  </w:style>
  <w:style w:type="character" w:customStyle="1" w:styleId="ParagraphChar">
    <w:name w:val="Paragraph Char"/>
    <w:link w:val="Paragraph"/>
    <w:rsid w:val="00F63003"/>
    <w:rPr>
      <w:rFonts w:ascii="Times New Roman" w:hAnsi="Times New Roman"/>
      <w:sz w:val="24"/>
      <w:lang w:val="en-GB" w:eastAsia="en-US" w:bidi="ar-SA"/>
    </w:rPr>
  </w:style>
  <w:style w:type="character" w:customStyle="1" w:styleId="SubclauseChar">
    <w:name w:val="Subclause Char"/>
    <w:link w:val="Subclause"/>
    <w:rsid w:val="00F63003"/>
    <w:rPr>
      <w:rFonts w:ascii="Times New Roman" w:hAnsi="Times New Roman"/>
      <w:sz w:val="24"/>
      <w:lang w:val="en-GB" w:eastAsia="en-US" w:bidi="ar-SA"/>
    </w:rPr>
  </w:style>
  <w:style w:type="character" w:customStyle="1" w:styleId="DefinitionCharChar">
    <w:name w:val="Definition Char Char"/>
    <w:link w:val="Definition"/>
    <w:rsid w:val="00A94821"/>
    <w:rPr>
      <w:rFonts w:ascii="Times New Roman" w:hAnsi="Times New Roman"/>
      <w:sz w:val="24"/>
      <w:lang w:eastAsia="en-US"/>
    </w:rPr>
  </w:style>
  <w:style w:type="paragraph" w:customStyle="1" w:styleId="PartContents">
    <w:name w:val="Part Contents"/>
    <w:basedOn w:val="Normal"/>
    <w:qFormat/>
    <w:rsid w:val="00280ABC"/>
    <w:pPr>
      <w:ind w:left="2268" w:hanging="1701"/>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1708</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Revised Code Index</vt:lpstr>
    </vt:vector>
  </TitlesOfParts>
  <Company>ANZFA</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Code Index</dc:title>
  <dc:creator>Fay Stenhouse</dc:creator>
  <cp:lastModifiedBy>Humphries, Cathie</cp:lastModifiedBy>
  <cp:revision>8</cp:revision>
  <cp:lastPrinted>2012-09-20T23:56:00Z</cp:lastPrinted>
  <dcterms:created xsi:type="dcterms:W3CDTF">2011-05-24T07:11:00Z</dcterms:created>
  <dcterms:modified xsi:type="dcterms:W3CDTF">2012-09-20T23:56:00Z</dcterms:modified>
</cp:coreProperties>
</file>