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267" w:rsidRPr="00C27C37" w:rsidRDefault="00202267" w:rsidP="00CB4F22">
      <w:pPr>
        <w:tabs>
          <w:tab w:val="left" w:pos="2930"/>
        </w:tabs>
        <w:autoSpaceDE w:val="0"/>
        <w:autoSpaceDN w:val="0"/>
        <w:adjustRightInd w:val="0"/>
        <w:spacing w:after="240"/>
        <w:ind w:left="2448" w:right="2448"/>
        <w:jc w:val="center"/>
        <w:rPr>
          <w:sz w:val="28"/>
          <w:szCs w:val="20"/>
        </w:rPr>
      </w:pPr>
      <w:r w:rsidRPr="00C27C37">
        <w:rPr>
          <w:sz w:val="28"/>
          <w:szCs w:val="20"/>
        </w:rPr>
        <w:t>THE TERRITORY OF COCOS (KEELING ISLANDS</w:t>
      </w:r>
    </w:p>
    <w:p w:rsidR="00202267" w:rsidRPr="00C27C37" w:rsidRDefault="00202267" w:rsidP="00CB4F22">
      <w:pPr>
        <w:autoSpaceDE w:val="0"/>
        <w:autoSpaceDN w:val="0"/>
        <w:adjustRightInd w:val="0"/>
        <w:jc w:val="center"/>
        <w:rPr>
          <w:b/>
          <w:bCs/>
          <w:sz w:val="20"/>
          <w:szCs w:val="20"/>
        </w:rPr>
      </w:pPr>
      <w:r w:rsidRPr="00C27C37">
        <w:rPr>
          <w:b/>
          <w:bCs/>
          <w:sz w:val="20"/>
          <w:szCs w:val="20"/>
        </w:rPr>
        <w:t>No. 6</w:t>
      </w:r>
      <w:r w:rsidRPr="00C27C37">
        <w:rPr>
          <w:sz w:val="20"/>
          <w:szCs w:val="20"/>
        </w:rPr>
        <w:t xml:space="preserve"> </w:t>
      </w:r>
      <w:r w:rsidRPr="00C27C37">
        <w:rPr>
          <w:b/>
          <w:bCs/>
          <w:sz w:val="20"/>
          <w:szCs w:val="20"/>
        </w:rPr>
        <w:t>of 1979</w:t>
      </w:r>
    </w:p>
    <w:p w:rsidR="00CB4F22" w:rsidRPr="00C27C37" w:rsidRDefault="00CB4F22" w:rsidP="00CB4F22">
      <w:pPr>
        <w:autoSpaceDE w:val="0"/>
        <w:autoSpaceDN w:val="0"/>
        <w:adjustRightInd w:val="0"/>
        <w:spacing w:after="240"/>
        <w:jc w:val="center"/>
        <w:rPr>
          <w:sz w:val="20"/>
          <w:szCs w:val="20"/>
        </w:rPr>
      </w:pPr>
      <w:r w:rsidRPr="00C27C37">
        <w:rPr>
          <w:b/>
          <w:bCs/>
          <w:sz w:val="20"/>
          <w:szCs w:val="20"/>
        </w:rPr>
        <w:t>__________</w:t>
      </w:r>
    </w:p>
    <w:p w:rsidR="00202267" w:rsidRPr="00C27C37" w:rsidRDefault="00202267" w:rsidP="00CB4F22">
      <w:pPr>
        <w:autoSpaceDE w:val="0"/>
        <w:autoSpaceDN w:val="0"/>
        <w:adjustRightInd w:val="0"/>
        <w:spacing w:before="170" w:after="240"/>
        <w:jc w:val="center"/>
        <w:rPr>
          <w:sz w:val="26"/>
          <w:szCs w:val="20"/>
        </w:rPr>
      </w:pPr>
      <w:r w:rsidRPr="00C27C37">
        <w:rPr>
          <w:b/>
          <w:bCs/>
          <w:sz w:val="26"/>
          <w:szCs w:val="20"/>
        </w:rPr>
        <w:t>AN ORDINANCE</w:t>
      </w:r>
    </w:p>
    <w:p w:rsidR="00202267" w:rsidRPr="00C27C37" w:rsidRDefault="00202267" w:rsidP="00CB4F22">
      <w:pPr>
        <w:autoSpaceDE w:val="0"/>
        <w:autoSpaceDN w:val="0"/>
        <w:adjustRightInd w:val="0"/>
        <w:spacing w:before="115"/>
        <w:jc w:val="center"/>
        <w:rPr>
          <w:sz w:val="22"/>
          <w:szCs w:val="20"/>
        </w:rPr>
      </w:pPr>
      <w:r w:rsidRPr="00C27C37">
        <w:rPr>
          <w:b/>
          <w:bCs/>
          <w:sz w:val="22"/>
          <w:szCs w:val="20"/>
        </w:rPr>
        <w:t xml:space="preserve">To amend the </w:t>
      </w:r>
      <w:r w:rsidRPr="00C27C37">
        <w:rPr>
          <w:b/>
          <w:bCs/>
          <w:i/>
          <w:iCs/>
          <w:sz w:val="22"/>
          <w:szCs w:val="20"/>
        </w:rPr>
        <w:t xml:space="preserve">Interpretation Ordinance </w:t>
      </w:r>
      <w:r w:rsidRPr="00C27C37">
        <w:rPr>
          <w:b/>
          <w:bCs/>
          <w:sz w:val="22"/>
          <w:szCs w:val="20"/>
        </w:rPr>
        <w:t>1955</w:t>
      </w:r>
    </w:p>
    <w:p w:rsidR="00202267" w:rsidRPr="00C27C37" w:rsidRDefault="00202267" w:rsidP="00CB4F22">
      <w:pPr>
        <w:autoSpaceDE w:val="0"/>
        <w:autoSpaceDN w:val="0"/>
        <w:adjustRightInd w:val="0"/>
        <w:spacing w:before="240" w:after="240"/>
        <w:rPr>
          <w:sz w:val="20"/>
          <w:szCs w:val="20"/>
        </w:rPr>
      </w:pPr>
      <w:r w:rsidRPr="00C27C37">
        <w:rPr>
          <w:sz w:val="20"/>
          <w:szCs w:val="20"/>
        </w:rPr>
        <w:t xml:space="preserve">I, THE </w:t>
      </w:r>
      <w:proofErr w:type="spellStart"/>
      <w:r w:rsidRPr="00C27C37">
        <w:rPr>
          <w:sz w:val="20"/>
          <w:szCs w:val="20"/>
        </w:rPr>
        <w:t>GOVEROR</w:t>
      </w:r>
      <w:proofErr w:type="spellEnd"/>
      <w:r w:rsidRPr="00C27C37">
        <w:rPr>
          <w:sz w:val="20"/>
          <w:szCs w:val="20"/>
        </w:rPr>
        <w:t xml:space="preserve">-GENERAL of the Commonwealth of Australia, acting with the advice of the Federal Executive Council, hereby make the following Ordinance under the </w:t>
      </w:r>
      <w:r w:rsidRPr="00C27C37">
        <w:rPr>
          <w:i/>
          <w:iCs/>
          <w:sz w:val="20"/>
          <w:szCs w:val="20"/>
        </w:rPr>
        <w:t xml:space="preserve">Cocos </w:t>
      </w:r>
      <w:r w:rsidRPr="00C27C37">
        <w:rPr>
          <w:sz w:val="20"/>
          <w:szCs w:val="20"/>
        </w:rPr>
        <w:t>(</w:t>
      </w:r>
      <w:r w:rsidRPr="00C27C37">
        <w:rPr>
          <w:i/>
          <w:iCs/>
          <w:sz w:val="20"/>
          <w:szCs w:val="20"/>
        </w:rPr>
        <w:t>Keeling</w:t>
      </w:r>
      <w:r w:rsidRPr="00C27C37">
        <w:rPr>
          <w:sz w:val="20"/>
          <w:szCs w:val="20"/>
        </w:rPr>
        <w:t xml:space="preserve">) </w:t>
      </w:r>
      <w:r w:rsidRPr="00C27C37">
        <w:rPr>
          <w:i/>
          <w:iCs/>
          <w:sz w:val="20"/>
          <w:szCs w:val="20"/>
        </w:rPr>
        <w:t xml:space="preserve">Islands Act </w:t>
      </w:r>
      <w:r w:rsidRPr="00C27C37">
        <w:rPr>
          <w:sz w:val="20"/>
          <w:szCs w:val="20"/>
        </w:rPr>
        <w:t>1955.</w:t>
      </w:r>
    </w:p>
    <w:p w:rsidR="00CB4F22" w:rsidRPr="00C27C37" w:rsidRDefault="00202267" w:rsidP="00CB4F22">
      <w:pPr>
        <w:autoSpaceDE w:val="0"/>
        <w:autoSpaceDN w:val="0"/>
        <w:adjustRightInd w:val="0"/>
        <w:spacing w:after="240"/>
        <w:ind w:left="212" w:right="2592" w:firstLine="389"/>
        <w:rPr>
          <w:sz w:val="20"/>
          <w:szCs w:val="20"/>
        </w:rPr>
      </w:pPr>
      <w:r w:rsidRPr="00C27C37">
        <w:rPr>
          <w:sz w:val="20"/>
          <w:szCs w:val="20"/>
        </w:rPr>
        <w:t>Dated this Twentieth</w:t>
      </w:r>
    </w:p>
    <w:p w:rsidR="00202267" w:rsidRPr="00C27C37" w:rsidRDefault="00202267" w:rsidP="00CB4F22">
      <w:pPr>
        <w:autoSpaceDE w:val="0"/>
        <w:autoSpaceDN w:val="0"/>
        <w:adjustRightInd w:val="0"/>
        <w:spacing w:before="240" w:after="240"/>
        <w:rPr>
          <w:sz w:val="20"/>
          <w:szCs w:val="20"/>
        </w:rPr>
      </w:pPr>
      <w:r w:rsidRPr="00C27C37">
        <w:rPr>
          <w:sz w:val="20"/>
          <w:szCs w:val="20"/>
        </w:rPr>
        <w:t>day of December</w:t>
      </w:r>
      <w:r w:rsidRPr="00C27C37">
        <w:rPr>
          <w:i/>
          <w:iCs/>
          <w:sz w:val="20"/>
          <w:szCs w:val="20"/>
        </w:rPr>
        <w:t xml:space="preserve"> </w:t>
      </w:r>
      <w:r w:rsidRPr="00C27C37">
        <w:rPr>
          <w:sz w:val="20"/>
          <w:szCs w:val="20"/>
        </w:rPr>
        <w:t>1979.</w:t>
      </w:r>
    </w:p>
    <w:p w:rsidR="00CB4F22" w:rsidRPr="00C27C37" w:rsidRDefault="00CB4F22" w:rsidP="00CB4F22">
      <w:pPr>
        <w:autoSpaceDE w:val="0"/>
        <w:autoSpaceDN w:val="0"/>
        <w:adjustRightInd w:val="0"/>
        <w:spacing w:before="72"/>
        <w:ind w:left="4860"/>
        <w:jc w:val="center"/>
        <w:rPr>
          <w:sz w:val="20"/>
          <w:szCs w:val="20"/>
        </w:rPr>
      </w:pPr>
      <w:r w:rsidRPr="00C27C37">
        <w:rPr>
          <w:sz w:val="20"/>
          <w:szCs w:val="20"/>
        </w:rPr>
        <w:t>ZELMAN GOWEN</w:t>
      </w:r>
    </w:p>
    <w:p w:rsidR="00CB4F22" w:rsidRPr="00C27C37" w:rsidRDefault="00CB4F22" w:rsidP="00CB4F22">
      <w:pPr>
        <w:autoSpaceDE w:val="0"/>
        <w:autoSpaceDN w:val="0"/>
        <w:adjustRightInd w:val="0"/>
        <w:spacing w:before="72" w:after="240"/>
        <w:ind w:left="4860"/>
        <w:jc w:val="center"/>
        <w:rPr>
          <w:sz w:val="20"/>
          <w:szCs w:val="20"/>
        </w:rPr>
      </w:pPr>
      <w:r w:rsidRPr="00C27C37">
        <w:rPr>
          <w:sz w:val="20"/>
          <w:szCs w:val="20"/>
        </w:rPr>
        <w:t>Governor-General</w:t>
      </w:r>
    </w:p>
    <w:p w:rsidR="00202267" w:rsidRPr="00C27C37" w:rsidRDefault="00202267" w:rsidP="00CB4F22">
      <w:pPr>
        <w:autoSpaceDE w:val="0"/>
        <w:autoSpaceDN w:val="0"/>
        <w:adjustRightInd w:val="0"/>
        <w:spacing w:after="240"/>
        <w:ind w:left="497"/>
        <w:rPr>
          <w:sz w:val="20"/>
          <w:szCs w:val="20"/>
        </w:rPr>
      </w:pPr>
      <w:r w:rsidRPr="00C27C37">
        <w:rPr>
          <w:sz w:val="20"/>
          <w:szCs w:val="20"/>
        </w:rPr>
        <w:t>By His Excellency’s Command,</w:t>
      </w:r>
    </w:p>
    <w:p w:rsidR="00202267" w:rsidRPr="00C27C37" w:rsidRDefault="00202267" w:rsidP="00CB4F22">
      <w:pPr>
        <w:autoSpaceDE w:val="0"/>
        <w:autoSpaceDN w:val="0"/>
        <w:adjustRightInd w:val="0"/>
        <w:spacing w:before="233"/>
        <w:jc w:val="center"/>
        <w:rPr>
          <w:sz w:val="20"/>
          <w:szCs w:val="20"/>
        </w:rPr>
      </w:pPr>
      <w:r w:rsidRPr="00C27C37">
        <w:rPr>
          <w:sz w:val="20"/>
          <w:szCs w:val="20"/>
        </w:rPr>
        <w:t>R. ELLICOTT</w:t>
      </w:r>
    </w:p>
    <w:p w:rsidR="00202267" w:rsidRPr="00C27C37" w:rsidRDefault="00202267" w:rsidP="00CB4F22">
      <w:pPr>
        <w:autoSpaceDE w:val="0"/>
        <w:autoSpaceDN w:val="0"/>
        <w:adjustRightInd w:val="0"/>
        <w:spacing w:before="158"/>
        <w:jc w:val="center"/>
        <w:rPr>
          <w:sz w:val="20"/>
          <w:szCs w:val="20"/>
        </w:rPr>
      </w:pPr>
      <w:r w:rsidRPr="00C27C37">
        <w:rPr>
          <w:sz w:val="20"/>
          <w:szCs w:val="20"/>
        </w:rPr>
        <w:t>Minister of State for Home Affairs</w:t>
      </w:r>
    </w:p>
    <w:p w:rsidR="00CB4F22" w:rsidRPr="00C27C37" w:rsidRDefault="00CB4F22" w:rsidP="00CB4F22">
      <w:pPr>
        <w:autoSpaceDE w:val="0"/>
        <w:autoSpaceDN w:val="0"/>
        <w:adjustRightInd w:val="0"/>
        <w:spacing w:before="158"/>
        <w:jc w:val="center"/>
        <w:rPr>
          <w:sz w:val="20"/>
          <w:szCs w:val="20"/>
        </w:rPr>
      </w:pPr>
      <w:r w:rsidRPr="00C27C37">
        <w:rPr>
          <w:sz w:val="20"/>
          <w:szCs w:val="20"/>
        </w:rPr>
        <w:t>__________</w:t>
      </w:r>
    </w:p>
    <w:p w:rsidR="00202267" w:rsidRPr="00C27C37" w:rsidRDefault="00202267" w:rsidP="00CB4F22">
      <w:pPr>
        <w:autoSpaceDE w:val="0"/>
        <w:autoSpaceDN w:val="0"/>
        <w:adjustRightInd w:val="0"/>
        <w:spacing w:before="215" w:after="240"/>
        <w:jc w:val="center"/>
        <w:rPr>
          <w:sz w:val="20"/>
          <w:szCs w:val="20"/>
        </w:rPr>
      </w:pPr>
      <w:r w:rsidRPr="00C27C37">
        <w:rPr>
          <w:sz w:val="20"/>
          <w:szCs w:val="20"/>
        </w:rPr>
        <w:t>INTERPRETATION (AMENDMENT) ORDINANCE 1979</w:t>
      </w:r>
    </w:p>
    <w:p w:rsidR="00202267" w:rsidRPr="00C27C37" w:rsidRDefault="00202267" w:rsidP="00202267">
      <w:pPr>
        <w:autoSpaceDE w:val="0"/>
        <w:autoSpaceDN w:val="0"/>
        <w:adjustRightInd w:val="0"/>
        <w:spacing w:before="120" w:after="60"/>
        <w:rPr>
          <w:b/>
          <w:sz w:val="18"/>
          <w:szCs w:val="20"/>
        </w:rPr>
      </w:pPr>
      <w:r w:rsidRPr="00C27C37">
        <w:rPr>
          <w:b/>
          <w:sz w:val="18"/>
          <w:szCs w:val="20"/>
        </w:rPr>
        <w:t>Short title</w:t>
      </w:r>
    </w:p>
    <w:p w:rsidR="00202267" w:rsidRPr="00C27C37" w:rsidRDefault="00202267" w:rsidP="00CB4F22">
      <w:pPr>
        <w:autoSpaceDE w:val="0"/>
        <w:autoSpaceDN w:val="0"/>
        <w:adjustRightInd w:val="0"/>
        <w:spacing w:after="240"/>
        <w:ind w:firstLine="367"/>
        <w:rPr>
          <w:sz w:val="20"/>
          <w:szCs w:val="20"/>
        </w:rPr>
      </w:pPr>
      <w:r w:rsidRPr="00C27C37">
        <w:rPr>
          <w:b/>
          <w:bCs/>
          <w:sz w:val="20"/>
          <w:szCs w:val="20"/>
        </w:rPr>
        <w:t>1.</w:t>
      </w:r>
      <w:r w:rsidRPr="00C27C37">
        <w:rPr>
          <w:sz w:val="20"/>
          <w:szCs w:val="20"/>
        </w:rPr>
        <w:t xml:space="preserve"> This Ordinance may be cited as the</w:t>
      </w:r>
      <w:r w:rsidRPr="00C27C37">
        <w:rPr>
          <w:i/>
          <w:iCs/>
          <w:sz w:val="20"/>
          <w:szCs w:val="20"/>
        </w:rPr>
        <w:t xml:space="preserve"> Interpretation </w:t>
      </w:r>
      <w:r w:rsidRPr="00C27C37">
        <w:rPr>
          <w:sz w:val="20"/>
          <w:szCs w:val="20"/>
        </w:rPr>
        <w:t>(</w:t>
      </w:r>
      <w:r w:rsidRPr="00C27C37">
        <w:rPr>
          <w:i/>
          <w:iCs/>
          <w:sz w:val="20"/>
          <w:szCs w:val="20"/>
        </w:rPr>
        <w:t>Amendment</w:t>
      </w:r>
      <w:r w:rsidRPr="00C27C37">
        <w:rPr>
          <w:sz w:val="20"/>
          <w:szCs w:val="20"/>
        </w:rPr>
        <w:t xml:space="preserve">) </w:t>
      </w:r>
      <w:r w:rsidRPr="00C27C37">
        <w:rPr>
          <w:i/>
          <w:iCs/>
          <w:sz w:val="20"/>
          <w:szCs w:val="20"/>
        </w:rPr>
        <w:t xml:space="preserve">Ordinance </w:t>
      </w:r>
      <w:r w:rsidRPr="00C27C37">
        <w:rPr>
          <w:sz w:val="20"/>
          <w:szCs w:val="20"/>
        </w:rPr>
        <w:t>1979.</w:t>
      </w:r>
      <w:r w:rsidR="00CB4F22" w:rsidRPr="00C27C37">
        <w:rPr>
          <w:rStyle w:val="FootnoteReference"/>
          <w:sz w:val="20"/>
          <w:szCs w:val="20"/>
        </w:rPr>
        <w:footnoteReference w:customMarkFollows="1" w:id="1"/>
        <w:t>*</w:t>
      </w:r>
    </w:p>
    <w:p w:rsidR="00202267" w:rsidRPr="00C27C37" w:rsidRDefault="00202267" w:rsidP="00202267">
      <w:pPr>
        <w:autoSpaceDE w:val="0"/>
        <w:autoSpaceDN w:val="0"/>
        <w:adjustRightInd w:val="0"/>
        <w:spacing w:before="120" w:after="60"/>
        <w:rPr>
          <w:b/>
          <w:sz w:val="18"/>
          <w:szCs w:val="20"/>
        </w:rPr>
      </w:pPr>
      <w:r w:rsidRPr="00C27C37">
        <w:rPr>
          <w:b/>
          <w:sz w:val="18"/>
          <w:szCs w:val="20"/>
        </w:rPr>
        <w:t>Principal Ordinance</w:t>
      </w:r>
    </w:p>
    <w:p w:rsidR="00202267" w:rsidRPr="00C27C37" w:rsidRDefault="00202267" w:rsidP="00CB4F22">
      <w:pPr>
        <w:autoSpaceDE w:val="0"/>
        <w:autoSpaceDN w:val="0"/>
        <w:adjustRightInd w:val="0"/>
        <w:spacing w:after="240"/>
        <w:ind w:firstLine="360"/>
        <w:rPr>
          <w:sz w:val="20"/>
          <w:szCs w:val="20"/>
        </w:rPr>
      </w:pPr>
      <w:r w:rsidRPr="00C27C37">
        <w:rPr>
          <w:b/>
          <w:bCs/>
          <w:sz w:val="20"/>
          <w:szCs w:val="20"/>
        </w:rPr>
        <w:t>2.</w:t>
      </w:r>
      <w:r w:rsidRPr="00C27C37">
        <w:rPr>
          <w:sz w:val="20"/>
          <w:szCs w:val="20"/>
        </w:rPr>
        <w:t xml:space="preserve"> In this Ordinance, “Principal Ordinance” means the </w:t>
      </w:r>
      <w:r w:rsidRPr="00C27C37">
        <w:rPr>
          <w:i/>
          <w:iCs/>
          <w:sz w:val="20"/>
          <w:szCs w:val="20"/>
        </w:rPr>
        <w:t xml:space="preserve">Interpretation Ordinance </w:t>
      </w:r>
      <w:r w:rsidRPr="00C27C37">
        <w:rPr>
          <w:sz w:val="20"/>
          <w:szCs w:val="20"/>
        </w:rPr>
        <w:t>1955.</w:t>
      </w:r>
      <w:r w:rsidR="00CB4F22" w:rsidRPr="00C27C37">
        <w:rPr>
          <w:rStyle w:val="FootnoteReference"/>
          <w:sz w:val="20"/>
          <w:szCs w:val="20"/>
        </w:rPr>
        <w:footnoteReference w:customMarkFollows="1" w:id="2"/>
        <w:t>†</w:t>
      </w:r>
    </w:p>
    <w:p w:rsidR="00202267" w:rsidRPr="00C27C37" w:rsidRDefault="00202267" w:rsidP="00202267">
      <w:pPr>
        <w:autoSpaceDE w:val="0"/>
        <w:autoSpaceDN w:val="0"/>
        <w:adjustRightInd w:val="0"/>
        <w:spacing w:before="120" w:after="60"/>
        <w:rPr>
          <w:b/>
          <w:sz w:val="18"/>
          <w:szCs w:val="20"/>
        </w:rPr>
      </w:pPr>
      <w:r w:rsidRPr="00C27C37">
        <w:rPr>
          <w:b/>
          <w:sz w:val="18"/>
          <w:szCs w:val="20"/>
        </w:rPr>
        <w:t>Application of</w:t>
      </w:r>
      <w:r w:rsidRPr="00C27C37">
        <w:rPr>
          <w:b/>
          <w:bCs/>
          <w:sz w:val="18"/>
          <w:szCs w:val="20"/>
        </w:rPr>
        <w:t xml:space="preserve"> </w:t>
      </w:r>
      <w:r w:rsidRPr="00C27C37">
        <w:rPr>
          <w:b/>
          <w:sz w:val="18"/>
          <w:szCs w:val="20"/>
        </w:rPr>
        <w:t>Ordinance</w:t>
      </w:r>
    </w:p>
    <w:p w:rsidR="00202267" w:rsidRPr="00C27C37" w:rsidRDefault="00202267" w:rsidP="00CB4F22">
      <w:pPr>
        <w:autoSpaceDE w:val="0"/>
        <w:autoSpaceDN w:val="0"/>
        <w:adjustRightInd w:val="0"/>
        <w:spacing w:after="240"/>
        <w:ind w:firstLine="364"/>
        <w:rPr>
          <w:sz w:val="20"/>
          <w:szCs w:val="20"/>
        </w:rPr>
      </w:pPr>
      <w:r w:rsidRPr="00C27C37">
        <w:rPr>
          <w:b/>
          <w:bCs/>
          <w:sz w:val="20"/>
          <w:szCs w:val="20"/>
        </w:rPr>
        <w:t>3.</w:t>
      </w:r>
      <w:r w:rsidRPr="00C27C37">
        <w:rPr>
          <w:sz w:val="20"/>
          <w:szCs w:val="20"/>
        </w:rPr>
        <w:t xml:space="preserve"> Section 4 of the Principal Ordinance is amended by omitting from sub-section (1) “continued in force in the Territory by the Act”.</w:t>
      </w:r>
    </w:p>
    <w:p w:rsidR="00202267" w:rsidRPr="00C27C37" w:rsidRDefault="00202267" w:rsidP="00202267">
      <w:pPr>
        <w:autoSpaceDE w:val="0"/>
        <w:autoSpaceDN w:val="0"/>
        <w:adjustRightInd w:val="0"/>
        <w:spacing w:before="120" w:after="60"/>
        <w:rPr>
          <w:b/>
          <w:sz w:val="18"/>
          <w:szCs w:val="20"/>
        </w:rPr>
      </w:pPr>
      <w:r w:rsidRPr="00C27C37">
        <w:rPr>
          <w:b/>
          <w:sz w:val="18"/>
          <w:szCs w:val="20"/>
        </w:rPr>
        <w:t>Interpretation of terms</w:t>
      </w:r>
    </w:p>
    <w:p w:rsidR="00202267" w:rsidRPr="00C27C37" w:rsidRDefault="00202267" w:rsidP="00202267">
      <w:pPr>
        <w:autoSpaceDE w:val="0"/>
        <w:autoSpaceDN w:val="0"/>
        <w:adjustRightInd w:val="0"/>
        <w:ind w:left="421"/>
        <w:rPr>
          <w:sz w:val="20"/>
          <w:szCs w:val="20"/>
        </w:rPr>
      </w:pPr>
      <w:r w:rsidRPr="00C27C37">
        <w:rPr>
          <w:b/>
          <w:bCs/>
          <w:sz w:val="20"/>
          <w:szCs w:val="20"/>
        </w:rPr>
        <w:t>4.</w:t>
      </w:r>
      <w:r w:rsidRPr="00C27C37">
        <w:rPr>
          <w:sz w:val="20"/>
          <w:szCs w:val="20"/>
        </w:rPr>
        <w:t xml:space="preserve"> Section 5 of the Principal Ordinance is amended—</w:t>
      </w:r>
    </w:p>
    <w:p w:rsidR="00202267" w:rsidRPr="00C27C37" w:rsidRDefault="00202267" w:rsidP="00202267">
      <w:pPr>
        <w:tabs>
          <w:tab w:val="left" w:pos="1202"/>
        </w:tabs>
        <w:autoSpaceDE w:val="0"/>
        <w:autoSpaceDN w:val="0"/>
        <w:adjustRightInd w:val="0"/>
        <w:spacing w:before="79"/>
        <w:ind w:left="1202" w:hanging="425"/>
        <w:rPr>
          <w:sz w:val="20"/>
          <w:szCs w:val="20"/>
        </w:rPr>
      </w:pPr>
      <w:r w:rsidRPr="00C27C37">
        <w:rPr>
          <w:sz w:val="20"/>
          <w:szCs w:val="20"/>
        </w:rPr>
        <w:t>(a)</w:t>
      </w:r>
      <w:r w:rsidRPr="00C27C37">
        <w:rPr>
          <w:sz w:val="20"/>
          <w:szCs w:val="20"/>
        </w:rPr>
        <w:tab/>
        <w:t>by omitting from sub-section (1) the definition of “law of the Territory”;</w:t>
      </w:r>
    </w:p>
    <w:p w:rsidR="00202267" w:rsidRPr="00C27C37" w:rsidRDefault="00202267" w:rsidP="00202267">
      <w:pPr>
        <w:tabs>
          <w:tab w:val="left" w:pos="1202"/>
        </w:tabs>
        <w:autoSpaceDE w:val="0"/>
        <w:autoSpaceDN w:val="0"/>
        <w:adjustRightInd w:val="0"/>
        <w:spacing w:before="68"/>
        <w:ind w:left="1202" w:hanging="425"/>
        <w:rPr>
          <w:sz w:val="20"/>
          <w:szCs w:val="20"/>
        </w:rPr>
      </w:pPr>
      <w:r w:rsidRPr="00C27C37">
        <w:rPr>
          <w:sz w:val="20"/>
          <w:szCs w:val="20"/>
        </w:rPr>
        <w:t>(b)</w:t>
      </w:r>
      <w:r w:rsidRPr="00C27C37">
        <w:rPr>
          <w:sz w:val="20"/>
          <w:szCs w:val="20"/>
        </w:rPr>
        <w:tab/>
        <w:t>by omitting from paragraph (a) of the definition of “Ordinance” in that sub-section “continued in force in the Territory by the Act”; and</w:t>
      </w:r>
    </w:p>
    <w:p w:rsidR="00202267" w:rsidRPr="00C27C37" w:rsidRDefault="00202267" w:rsidP="00202267">
      <w:pPr>
        <w:tabs>
          <w:tab w:val="left" w:pos="1202"/>
          <w:tab w:val="left" w:pos="4331"/>
        </w:tabs>
        <w:autoSpaceDE w:val="0"/>
        <w:autoSpaceDN w:val="0"/>
        <w:adjustRightInd w:val="0"/>
        <w:spacing w:before="58"/>
        <w:ind w:left="1202" w:hanging="425"/>
        <w:rPr>
          <w:sz w:val="20"/>
          <w:szCs w:val="20"/>
        </w:rPr>
      </w:pPr>
      <w:r w:rsidRPr="00C27C37">
        <w:rPr>
          <w:sz w:val="20"/>
          <w:szCs w:val="20"/>
        </w:rPr>
        <w:t>(c)</w:t>
      </w:r>
      <w:r w:rsidRPr="00C27C37">
        <w:rPr>
          <w:sz w:val="20"/>
          <w:szCs w:val="20"/>
        </w:rPr>
        <w:tab/>
        <w:t>by omitting from that sub-section the definition of “Ordinance of the Colony of Singapore” and substituting the following definition:</w:t>
      </w:r>
    </w:p>
    <w:p w:rsidR="00202267" w:rsidRPr="00C27C37" w:rsidRDefault="00202267" w:rsidP="00202267">
      <w:pPr>
        <w:tabs>
          <w:tab w:val="left" w:pos="1696"/>
          <w:tab w:val="left" w:pos="6559"/>
          <w:tab w:val="left" w:pos="8010"/>
        </w:tabs>
        <w:autoSpaceDE w:val="0"/>
        <w:autoSpaceDN w:val="0"/>
        <w:adjustRightInd w:val="0"/>
        <w:ind w:left="266"/>
        <w:rPr>
          <w:sz w:val="20"/>
          <w:szCs w:val="20"/>
        </w:rPr>
      </w:pPr>
      <w:r w:rsidRPr="00C27C37">
        <w:rPr>
          <w:sz w:val="20"/>
          <w:szCs w:val="20"/>
        </w:rPr>
        <w:br w:type="page"/>
      </w:r>
    </w:p>
    <w:p w:rsidR="00202267" w:rsidRPr="00C27C37" w:rsidRDefault="00202267" w:rsidP="00B46F0B">
      <w:pPr>
        <w:autoSpaceDE w:val="0"/>
        <w:autoSpaceDN w:val="0"/>
        <w:adjustRightInd w:val="0"/>
        <w:spacing w:before="180"/>
        <w:ind w:left="1872"/>
        <w:rPr>
          <w:sz w:val="20"/>
          <w:szCs w:val="20"/>
        </w:rPr>
      </w:pPr>
      <w:r w:rsidRPr="00C27C37">
        <w:rPr>
          <w:sz w:val="20"/>
          <w:szCs w:val="20"/>
        </w:rPr>
        <w:lastRenderedPageBreak/>
        <w:t>“‘Ordinance of the Colony of Singapore’ means—</w:t>
      </w:r>
    </w:p>
    <w:p w:rsidR="00202267" w:rsidRPr="00C27C37" w:rsidRDefault="00202267" w:rsidP="00B46F0B">
      <w:pPr>
        <w:autoSpaceDE w:val="0"/>
        <w:autoSpaceDN w:val="0"/>
        <w:adjustRightInd w:val="0"/>
        <w:spacing w:before="50"/>
        <w:ind w:left="2423" w:right="893" w:hanging="446"/>
        <w:rPr>
          <w:sz w:val="20"/>
          <w:szCs w:val="20"/>
        </w:rPr>
      </w:pPr>
      <w:r w:rsidRPr="00C27C37">
        <w:rPr>
          <w:sz w:val="20"/>
          <w:szCs w:val="20"/>
        </w:rPr>
        <w:t>(a)</w:t>
      </w:r>
      <w:r w:rsidRPr="00C27C37">
        <w:rPr>
          <w:sz w:val="20"/>
          <w:szCs w:val="20"/>
        </w:rPr>
        <w:tab/>
        <w:t>an Ordinance of the Colony of Singapore in force in the Territory by virtue of section 8 of the Act;</w:t>
      </w:r>
    </w:p>
    <w:p w:rsidR="00202267" w:rsidRPr="00C27C37" w:rsidRDefault="00202267" w:rsidP="00B46F0B">
      <w:pPr>
        <w:autoSpaceDE w:val="0"/>
        <w:autoSpaceDN w:val="0"/>
        <w:adjustRightInd w:val="0"/>
        <w:spacing w:before="54"/>
        <w:ind w:left="2401" w:right="893" w:hanging="443"/>
        <w:rPr>
          <w:sz w:val="20"/>
          <w:szCs w:val="20"/>
        </w:rPr>
      </w:pPr>
      <w:r w:rsidRPr="00C27C37">
        <w:rPr>
          <w:sz w:val="20"/>
          <w:szCs w:val="20"/>
        </w:rPr>
        <w:t>(b)</w:t>
      </w:r>
      <w:r w:rsidRPr="00C27C37">
        <w:rPr>
          <w:sz w:val="20"/>
          <w:szCs w:val="20"/>
        </w:rPr>
        <w:tab/>
        <w:t>the provisions of an Ordinance of the Colony of Singapore applying by virtue of an Ordinance made under the Act as laws of the Territory;</w:t>
      </w:r>
    </w:p>
    <w:p w:rsidR="00202267" w:rsidRPr="00C27C37" w:rsidRDefault="00202267" w:rsidP="00B46F0B">
      <w:pPr>
        <w:autoSpaceDE w:val="0"/>
        <w:autoSpaceDN w:val="0"/>
        <w:adjustRightInd w:val="0"/>
        <w:spacing w:before="54"/>
        <w:ind w:left="2401" w:right="893" w:hanging="443"/>
        <w:rPr>
          <w:sz w:val="20"/>
          <w:szCs w:val="20"/>
        </w:rPr>
      </w:pPr>
      <w:r w:rsidRPr="00C27C37">
        <w:rPr>
          <w:sz w:val="20"/>
          <w:szCs w:val="20"/>
        </w:rPr>
        <w:t>(c)</w:t>
      </w:r>
      <w:r w:rsidRPr="00C27C37">
        <w:rPr>
          <w:sz w:val="20"/>
          <w:szCs w:val="20"/>
        </w:rPr>
        <w:tab/>
        <w:t>an Imperial Act or Order in Council continued in force in the Territory by virtue of section 8 of the Act; and</w:t>
      </w:r>
    </w:p>
    <w:p w:rsidR="00202267" w:rsidRPr="00C27C37" w:rsidRDefault="00202267" w:rsidP="00B46F0B">
      <w:pPr>
        <w:autoSpaceDE w:val="0"/>
        <w:autoSpaceDN w:val="0"/>
        <w:adjustRightInd w:val="0"/>
        <w:spacing w:before="54"/>
        <w:ind w:left="2401" w:right="893" w:hanging="443"/>
        <w:rPr>
          <w:sz w:val="20"/>
          <w:szCs w:val="20"/>
        </w:rPr>
      </w:pPr>
      <w:r w:rsidRPr="00C27C37">
        <w:rPr>
          <w:sz w:val="20"/>
          <w:szCs w:val="20"/>
        </w:rPr>
        <w:t>(d)</w:t>
      </w:r>
      <w:r w:rsidRPr="00C27C37">
        <w:rPr>
          <w:sz w:val="20"/>
          <w:szCs w:val="20"/>
        </w:rPr>
        <w:tab/>
        <w:t>an Ordinance of the Colony of the Straits Settlements in force in the Colony of Singapore immediately before the commencement of the Act or the date of its application as a law of the Territory, as the case may be,</w:t>
      </w:r>
    </w:p>
    <w:p w:rsidR="00202267" w:rsidRPr="00C27C37" w:rsidRDefault="00202267" w:rsidP="00B46F0B">
      <w:pPr>
        <w:autoSpaceDE w:val="0"/>
        <w:autoSpaceDN w:val="0"/>
        <w:adjustRightInd w:val="0"/>
        <w:spacing w:before="54"/>
        <w:ind w:left="2401" w:right="893" w:hanging="443"/>
        <w:rPr>
          <w:sz w:val="20"/>
          <w:szCs w:val="20"/>
        </w:rPr>
      </w:pPr>
      <w:r w:rsidRPr="00C27C37">
        <w:rPr>
          <w:sz w:val="20"/>
          <w:szCs w:val="20"/>
        </w:rPr>
        <w:t>and includes—</w:t>
      </w:r>
    </w:p>
    <w:p w:rsidR="00202267" w:rsidRPr="00C27C37" w:rsidRDefault="00202267" w:rsidP="00B46F0B">
      <w:pPr>
        <w:autoSpaceDE w:val="0"/>
        <w:autoSpaceDN w:val="0"/>
        <w:adjustRightInd w:val="0"/>
        <w:spacing w:before="54"/>
        <w:ind w:left="2401" w:right="893" w:hanging="443"/>
        <w:rPr>
          <w:sz w:val="20"/>
          <w:szCs w:val="20"/>
        </w:rPr>
      </w:pPr>
      <w:r w:rsidRPr="00C27C37">
        <w:rPr>
          <w:sz w:val="20"/>
          <w:szCs w:val="20"/>
        </w:rPr>
        <w:t>(e)</w:t>
      </w:r>
      <w:r w:rsidRPr="00C27C37">
        <w:rPr>
          <w:sz w:val="20"/>
          <w:szCs w:val="20"/>
        </w:rPr>
        <w:tab/>
        <w:t>an Ordinance, Imperial Act or Order in Council so continued in force, or the provisions of an Ordinance so applying as laws of the Territory, as amended or affected by an Ordinance made under the Act; and</w:t>
      </w:r>
    </w:p>
    <w:p w:rsidR="00202267" w:rsidRPr="00C27C37" w:rsidRDefault="00202267" w:rsidP="00B46F0B">
      <w:pPr>
        <w:autoSpaceDE w:val="0"/>
        <w:autoSpaceDN w:val="0"/>
        <w:adjustRightInd w:val="0"/>
        <w:spacing w:before="54" w:after="240"/>
        <w:ind w:left="2401" w:right="893" w:hanging="443"/>
        <w:rPr>
          <w:sz w:val="20"/>
          <w:szCs w:val="20"/>
        </w:rPr>
      </w:pPr>
      <w:r w:rsidRPr="00C27C37">
        <w:rPr>
          <w:sz w:val="20"/>
          <w:szCs w:val="20"/>
        </w:rPr>
        <w:t>(f)</w:t>
      </w:r>
      <w:r w:rsidRPr="00C27C37">
        <w:rPr>
          <w:sz w:val="20"/>
          <w:szCs w:val="20"/>
        </w:rPr>
        <w:tab/>
        <w:t>subsidiary legislation under an Ordinance or Imperial Act so continued in force or the provisions of an Ordinance so applying as laws of the Territory;”.</w:t>
      </w:r>
    </w:p>
    <w:p w:rsidR="00202267" w:rsidRPr="00C27C37" w:rsidRDefault="00202267" w:rsidP="00202267">
      <w:pPr>
        <w:autoSpaceDE w:val="0"/>
        <w:autoSpaceDN w:val="0"/>
        <w:adjustRightInd w:val="0"/>
        <w:spacing w:before="120" w:after="60"/>
        <w:rPr>
          <w:b/>
          <w:sz w:val="18"/>
          <w:szCs w:val="20"/>
        </w:rPr>
      </w:pPr>
      <w:r w:rsidRPr="00C27C37">
        <w:rPr>
          <w:b/>
          <w:sz w:val="18"/>
          <w:szCs w:val="20"/>
        </w:rPr>
        <w:t>Judicial notice to be taken of Ordinances, &amp;c.</w:t>
      </w:r>
    </w:p>
    <w:p w:rsidR="00202267" w:rsidRPr="00C27C37" w:rsidRDefault="00202267" w:rsidP="00B46F0B">
      <w:pPr>
        <w:autoSpaceDE w:val="0"/>
        <w:autoSpaceDN w:val="0"/>
        <w:adjustRightInd w:val="0"/>
        <w:spacing w:after="240"/>
        <w:ind w:firstLine="367"/>
        <w:jc w:val="both"/>
        <w:rPr>
          <w:sz w:val="20"/>
          <w:szCs w:val="20"/>
        </w:rPr>
      </w:pPr>
      <w:r w:rsidRPr="00C27C37">
        <w:rPr>
          <w:b/>
          <w:bCs/>
          <w:sz w:val="20"/>
          <w:szCs w:val="20"/>
        </w:rPr>
        <w:t>5.</w:t>
      </w:r>
      <w:r w:rsidRPr="00C27C37">
        <w:rPr>
          <w:sz w:val="20"/>
          <w:szCs w:val="20"/>
        </w:rPr>
        <w:t xml:space="preserve"> Section 9 of the Principal Ordinance is amended by omitting from paragraphs (b) and (d) “continued in force in the Territory by the Act”.</w:t>
      </w:r>
    </w:p>
    <w:p w:rsidR="00202267" w:rsidRPr="00C27C37" w:rsidRDefault="00202267" w:rsidP="00202267">
      <w:pPr>
        <w:autoSpaceDE w:val="0"/>
        <w:autoSpaceDN w:val="0"/>
        <w:adjustRightInd w:val="0"/>
        <w:spacing w:before="120" w:after="60"/>
        <w:rPr>
          <w:b/>
          <w:sz w:val="18"/>
          <w:szCs w:val="20"/>
        </w:rPr>
      </w:pPr>
      <w:r w:rsidRPr="00C27C37">
        <w:rPr>
          <w:b/>
          <w:sz w:val="18"/>
          <w:szCs w:val="20"/>
        </w:rPr>
        <w:t>References to certain expressions in laws of Singapore</w:t>
      </w:r>
    </w:p>
    <w:p w:rsidR="00202267" w:rsidRPr="00C27C37" w:rsidRDefault="00202267" w:rsidP="00202267">
      <w:pPr>
        <w:autoSpaceDE w:val="0"/>
        <w:autoSpaceDN w:val="0"/>
        <w:adjustRightInd w:val="0"/>
        <w:ind w:firstLine="356"/>
        <w:jc w:val="both"/>
        <w:rPr>
          <w:sz w:val="20"/>
          <w:szCs w:val="20"/>
        </w:rPr>
      </w:pPr>
      <w:r w:rsidRPr="00C27C37">
        <w:rPr>
          <w:b/>
          <w:bCs/>
          <w:sz w:val="20"/>
          <w:szCs w:val="20"/>
        </w:rPr>
        <w:t>6.</w:t>
      </w:r>
      <w:r w:rsidRPr="00C27C37">
        <w:rPr>
          <w:sz w:val="20"/>
          <w:szCs w:val="20"/>
        </w:rPr>
        <w:t xml:space="preserve"> Section 18 of the Principal Ordinance is amended by omitting from sub-sections (1) and (2) “a law continued in force in the Territory by the Act” and substituting “an Ordinance of the Colony of Singapore”.</w:t>
      </w:r>
    </w:p>
    <w:p w:rsidR="00202267" w:rsidRPr="00C27C37" w:rsidRDefault="00202267" w:rsidP="00202267">
      <w:pPr>
        <w:autoSpaceDE w:val="0"/>
        <w:autoSpaceDN w:val="0"/>
        <w:adjustRightInd w:val="0"/>
        <w:spacing w:before="120" w:after="60"/>
        <w:rPr>
          <w:b/>
          <w:sz w:val="18"/>
          <w:szCs w:val="20"/>
        </w:rPr>
      </w:pPr>
      <w:r w:rsidRPr="00C27C37">
        <w:rPr>
          <w:b/>
          <w:sz w:val="18"/>
          <w:szCs w:val="20"/>
        </w:rPr>
        <w:t>References in laws of Singapore</w:t>
      </w:r>
    </w:p>
    <w:p w:rsidR="00202267" w:rsidRPr="00C27C37" w:rsidRDefault="00202267" w:rsidP="00202267">
      <w:pPr>
        <w:autoSpaceDE w:val="0"/>
        <w:autoSpaceDN w:val="0"/>
        <w:adjustRightInd w:val="0"/>
        <w:ind w:firstLine="346"/>
        <w:jc w:val="both"/>
        <w:rPr>
          <w:sz w:val="20"/>
          <w:szCs w:val="20"/>
        </w:rPr>
      </w:pPr>
      <w:r w:rsidRPr="00C27C37">
        <w:rPr>
          <w:b/>
          <w:bCs/>
          <w:sz w:val="20"/>
          <w:szCs w:val="20"/>
        </w:rPr>
        <w:t>7.</w:t>
      </w:r>
      <w:r w:rsidRPr="00C27C37">
        <w:rPr>
          <w:sz w:val="20"/>
          <w:szCs w:val="20"/>
        </w:rPr>
        <w:t xml:space="preserve"> Section 19 of the Principal Ordinance is amended by omitting from sub-sections (1), (2) and (3) “a law continued in force in the Territory by the Act” and substituting “an Ordinance of the Colony of Singapore”.</w:t>
      </w:r>
    </w:p>
    <w:p w:rsidR="00202267" w:rsidRPr="00C27C37" w:rsidRDefault="00202267" w:rsidP="00202267">
      <w:pPr>
        <w:autoSpaceDE w:val="0"/>
        <w:autoSpaceDN w:val="0"/>
        <w:adjustRightInd w:val="0"/>
        <w:spacing w:before="120" w:after="60"/>
        <w:rPr>
          <w:b/>
          <w:sz w:val="18"/>
          <w:szCs w:val="20"/>
        </w:rPr>
      </w:pPr>
      <w:r w:rsidRPr="00C27C37">
        <w:rPr>
          <w:b/>
          <w:sz w:val="18"/>
          <w:szCs w:val="20"/>
        </w:rPr>
        <w:t>Power to make regulations, &amp;c.</w:t>
      </w:r>
    </w:p>
    <w:p w:rsidR="00202267" w:rsidRPr="00C27C37" w:rsidRDefault="00202267" w:rsidP="00202267">
      <w:pPr>
        <w:autoSpaceDE w:val="0"/>
        <w:autoSpaceDN w:val="0"/>
        <w:adjustRightInd w:val="0"/>
        <w:ind w:firstLine="342"/>
        <w:rPr>
          <w:sz w:val="20"/>
          <w:szCs w:val="20"/>
        </w:rPr>
      </w:pPr>
      <w:r w:rsidRPr="00C27C37">
        <w:rPr>
          <w:b/>
          <w:bCs/>
          <w:sz w:val="20"/>
          <w:szCs w:val="20"/>
        </w:rPr>
        <w:t>8.</w:t>
      </w:r>
      <w:r w:rsidRPr="00C27C37">
        <w:rPr>
          <w:sz w:val="20"/>
          <w:szCs w:val="20"/>
        </w:rPr>
        <w:t xml:space="preserve"> Section 19</w:t>
      </w:r>
      <w:r w:rsidRPr="00C27C37">
        <w:rPr>
          <w:smallCaps/>
          <w:sz w:val="20"/>
          <w:szCs w:val="20"/>
        </w:rPr>
        <w:t>a</w:t>
      </w:r>
      <w:r w:rsidRPr="00C27C37">
        <w:rPr>
          <w:sz w:val="20"/>
          <w:szCs w:val="20"/>
        </w:rPr>
        <w:t xml:space="preserve"> of the Principal Ordinance is amended by omitting “continued in force in the Territory by the Act”.</w:t>
      </w:r>
    </w:p>
    <w:p w:rsidR="00202267" w:rsidRPr="00C27C37" w:rsidRDefault="00202267" w:rsidP="00202267">
      <w:pPr>
        <w:autoSpaceDE w:val="0"/>
        <w:autoSpaceDN w:val="0"/>
        <w:adjustRightInd w:val="0"/>
        <w:spacing w:before="120" w:after="60"/>
        <w:rPr>
          <w:b/>
          <w:sz w:val="18"/>
          <w:szCs w:val="20"/>
        </w:rPr>
      </w:pPr>
      <w:r w:rsidRPr="00C27C37">
        <w:rPr>
          <w:b/>
          <w:sz w:val="18"/>
          <w:szCs w:val="20"/>
        </w:rPr>
        <w:t>Notification and commencement of regulations, &amp;c.</w:t>
      </w:r>
    </w:p>
    <w:p w:rsidR="00202267" w:rsidRPr="00C27C37" w:rsidRDefault="00202267" w:rsidP="00202267">
      <w:pPr>
        <w:autoSpaceDE w:val="0"/>
        <w:autoSpaceDN w:val="0"/>
        <w:adjustRightInd w:val="0"/>
        <w:ind w:firstLine="349"/>
        <w:rPr>
          <w:sz w:val="20"/>
          <w:szCs w:val="20"/>
        </w:rPr>
      </w:pPr>
      <w:r w:rsidRPr="00C27C37">
        <w:rPr>
          <w:b/>
          <w:bCs/>
          <w:sz w:val="20"/>
          <w:szCs w:val="20"/>
        </w:rPr>
        <w:t>9.</w:t>
      </w:r>
      <w:r w:rsidRPr="00C27C37">
        <w:rPr>
          <w:sz w:val="20"/>
          <w:szCs w:val="20"/>
        </w:rPr>
        <w:t xml:space="preserve"> Section 19</w:t>
      </w:r>
      <w:r w:rsidRPr="00C27C37">
        <w:rPr>
          <w:smallCaps/>
          <w:sz w:val="20"/>
          <w:szCs w:val="20"/>
        </w:rPr>
        <w:t>b</w:t>
      </w:r>
      <w:r w:rsidRPr="00C27C37">
        <w:rPr>
          <w:sz w:val="20"/>
          <w:szCs w:val="20"/>
        </w:rPr>
        <w:t xml:space="preserve"> of the Principal Ordinance is amended by omitting from sub-sections (1), (2) and (3) “continued in force in the Territory by the Act”.</w:t>
      </w:r>
    </w:p>
    <w:p w:rsidR="00B46F0B" w:rsidRPr="00C27C37" w:rsidRDefault="00202267" w:rsidP="00B46F0B">
      <w:pPr>
        <w:tabs>
          <w:tab w:val="left" w:pos="1512"/>
          <w:tab w:val="left" w:pos="6376"/>
          <w:tab w:val="left" w:pos="7693"/>
        </w:tabs>
        <w:autoSpaceDE w:val="0"/>
        <w:autoSpaceDN w:val="0"/>
        <w:adjustRightInd w:val="0"/>
        <w:rPr>
          <w:sz w:val="20"/>
          <w:szCs w:val="20"/>
        </w:rPr>
      </w:pPr>
      <w:r w:rsidRPr="00C27C37">
        <w:rPr>
          <w:sz w:val="20"/>
          <w:szCs w:val="20"/>
        </w:rPr>
        <w:br w:type="page"/>
      </w:r>
    </w:p>
    <w:p w:rsidR="00202267" w:rsidRPr="00C27C37" w:rsidRDefault="00202267" w:rsidP="00B46F0B">
      <w:pPr>
        <w:tabs>
          <w:tab w:val="left" w:pos="1512"/>
          <w:tab w:val="left" w:pos="6376"/>
          <w:tab w:val="left" w:pos="7693"/>
        </w:tabs>
        <w:autoSpaceDE w:val="0"/>
        <w:autoSpaceDN w:val="0"/>
        <w:adjustRightInd w:val="0"/>
        <w:rPr>
          <w:b/>
          <w:sz w:val="18"/>
          <w:szCs w:val="20"/>
        </w:rPr>
      </w:pPr>
      <w:r w:rsidRPr="00C27C37">
        <w:rPr>
          <w:b/>
          <w:sz w:val="18"/>
          <w:szCs w:val="20"/>
        </w:rPr>
        <w:lastRenderedPageBreak/>
        <w:t>References to Singapore currency</w:t>
      </w:r>
    </w:p>
    <w:p w:rsidR="00202267" w:rsidRPr="00C27C37" w:rsidRDefault="00202267" w:rsidP="00B46F0B">
      <w:pPr>
        <w:autoSpaceDE w:val="0"/>
        <w:autoSpaceDN w:val="0"/>
        <w:adjustRightInd w:val="0"/>
        <w:spacing w:after="240"/>
        <w:ind w:firstLine="367"/>
        <w:jc w:val="both"/>
        <w:rPr>
          <w:sz w:val="20"/>
          <w:szCs w:val="20"/>
        </w:rPr>
      </w:pPr>
      <w:r w:rsidRPr="00C27C37">
        <w:rPr>
          <w:b/>
          <w:bCs/>
          <w:sz w:val="20"/>
          <w:szCs w:val="20"/>
        </w:rPr>
        <w:t>10.</w:t>
      </w:r>
      <w:r w:rsidRPr="00C27C37">
        <w:rPr>
          <w:sz w:val="20"/>
          <w:szCs w:val="20"/>
        </w:rPr>
        <w:t xml:space="preserve"> Section 20 of the Principal Ordinance is amended by omitting from sub-section (1) “a law continued in force in the Territory by the Act” and substituting “an Ordinance of t</w:t>
      </w:r>
      <w:bookmarkStart w:id="0" w:name="_GoBack"/>
      <w:bookmarkEnd w:id="0"/>
      <w:r w:rsidRPr="00C27C37">
        <w:rPr>
          <w:sz w:val="20"/>
          <w:szCs w:val="20"/>
        </w:rPr>
        <w:t>he Colony of Singapore”.</w:t>
      </w:r>
    </w:p>
    <w:p w:rsidR="00202267" w:rsidRPr="00C27C37" w:rsidRDefault="00202267" w:rsidP="00202267">
      <w:pPr>
        <w:autoSpaceDE w:val="0"/>
        <w:autoSpaceDN w:val="0"/>
        <w:adjustRightInd w:val="0"/>
        <w:spacing w:before="120" w:after="60"/>
        <w:rPr>
          <w:b/>
          <w:sz w:val="18"/>
          <w:szCs w:val="20"/>
        </w:rPr>
      </w:pPr>
      <w:r w:rsidRPr="00C27C37">
        <w:rPr>
          <w:b/>
          <w:sz w:val="18"/>
          <w:szCs w:val="20"/>
        </w:rPr>
        <w:t>References to persons, places, matters and things in existing laws</w:t>
      </w:r>
    </w:p>
    <w:p w:rsidR="00202267" w:rsidRPr="00C27C37" w:rsidRDefault="00202267" w:rsidP="00B46F0B">
      <w:pPr>
        <w:autoSpaceDE w:val="0"/>
        <w:autoSpaceDN w:val="0"/>
        <w:adjustRightInd w:val="0"/>
        <w:spacing w:after="240"/>
        <w:ind w:firstLine="364"/>
        <w:jc w:val="both"/>
        <w:rPr>
          <w:sz w:val="20"/>
          <w:szCs w:val="20"/>
        </w:rPr>
      </w:pPr>
      <w:r w:rsidRPr="00C27C37">
        <w:rPr>
          <w:b/>
          <w:bCs/>
          <w:sz w:val="20"/>
          <w:szCs w:val="20"/>
        </w:rPr>
        <w:t>11.</w:t>
      </w:r>
      <w:r w:rsidRPr="00C27C37">
        <w:rPr>
          <w:sz w:val="20"/>
          <w:szCs w:val="20"/>
        </w:rPr>
        <w:t xml:space="preserve"> Section 21 of the Principal Ordinance is amended by omitting “a law continued in force in the Territory by the Act “and substituting “an Ordinance of the Colony of Singapore”.</w:t>
      </w:r>
    </w:p>
    <w:p w:rsidR="00202267" w:rsidRPr="00C27C37" w:rsidRDefault="00202267" w:rsidP="00202267">
      <w:pPr>
        <w:autoSpaceDE w:val="0"/>
        <w:autoSpaceDN w:val="0"/>
        <w:adjustRightInd w:val="0"/>
        <w:spacing w:before="120" w:after="60"/>
        <w:rPr>
          <w:b/>
          <w:sz w:val="18"/>
          <w:szCs w:val="20"/>
        </w:rPr>
      </w:pPr>
      <w:r w:rsidRPr="00C27C37">
        <w:rPr>
          <w:b/>
          <w:sz w:val="18"/>
          <w:szCs w:val="20"/>
        </w:rPr>
        <w:t>Citation of Ordinances of Colony of Singapore</w:t>
      </w:r>
    </w:p>
    <w:p w:rsidR="00202267" w:rsidRPr="00C27C37" w:rsidRDefault="00202267" w:rsidP="00B46F0B">
      <w:pPr>
        <w:autoSpaceDE w:val="0"/>
        <w:autoSpaceDN w:val="0"/>
        <w:adjustRightInd w:val="0"/>
        <w:spacing w:after="240"/>
        <w:ind w:firstLine="364"/>
        <w:jc w:val="both"/>
        <w:rPr>
          <w:sz w:val="20"/>
          <w:szCs w:val="20"/>
        </w:rPr>
      </w:pPr>
      <w:r w:rsidRPr="00C27C37">
        <w:rPr>
          <w:b/>
          <w:bCs/>
          <w:sz w:val="20"/>
          <w:szCs w:val="20"/>
        </w:rPr>
        <w:t>12</w:t>
      </w:r>
      <w:r w:rsidRPr="00C27C37">
        <w:rPr>
          <w:sz w:val="20"/>
          <w:szCs w:val="20"/>
        </w:rPr>
        <w:t>. Section 23 of the Principal Ordinance is amended by omitting “issued before the commencement of the Act” and substituting “issued before the application of the Ordinance as a law of the Territory”.</w:t>
      </w:r>
    </w:p>
    <w:p w:rsidR="00202267" w:rsidRPr="00C27C37" w:rsidRDefault="00202267" w:rsidP="00202267">
      <w:pPr>
        <w:autoSpaceDE w:val="0"/>
        <w:autoSpaceDN w:val="0"/>
        <w:adjustRightInd w:val="0"/>
        <w:spacing w:before="120" w:after="60"/>
        <w:rPr>
          <w:b/>
          <w:sz w:val="18"/>
          <w:szCs w:val="20"/>
        </w:rPr>
      </w:pPr>
      <w:r w:rsidRPr="00C27C37">
        <w:rPr>
          <w:b/>
          <w:sz w:val="18"/>
          <w:szCs w:val="20"/>
        </w:rPr>
        <w:t>Repeal of section 24</w:t>
      </w:r>
    </w:p>
    <w:p w:rsidR="00202267" w:rsidRPr="00C27C37" w:rsidRDefault="00202267" w:rsidP="00B46F0B">
      <w:pPr>
        <w:autoSpaceDE w:val="0"/>
        <w:autoSpaceDN w:val="0"/>
        <w:adjustRightInd w:val="0"/>
        <w:ind w:firstLine="364"/>
        <w:jc w:val="both"/>
        <w:rPr>
          <w:sz w:val="20"/>
          <w:szCs w:val="20"/>
        </w:rPr>
      </w:pPr>
      <w:r w:rsidRPr="00C27C37">
        <w:rPr>
          <w:b/>
          <w:bCs/>
          <w:sz w:val="20"/>
          <w:szCs w:val="20"/>
        </w:rPr>
        <w:t>13.</w:t>
      </w:r>
      <w:r w:rsidRPr="00C27C37">
        <w:rPr>
          <w:sz w:val="20"/>
          <w:szCs w:val="20"/>
        </w:rPr>
        <w:t xml:space="preserve"> Section 24 of the Principal Ordinance is repealed.</w:t>
      </w:r>
    </w:p>
    <w:sectPr w:rsidR="00202267" w:rsidRPr="00C27C37" w:rsidSect="00B46F0B">
      <w:headerReference w:type="even" r:id="rId6"/>
      <w:headerReference w:type="default" r:id="rId7"/>
      <w:pgSz w:w="11909" w:h="16834"/>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49C" w:rsidRDefault="00C2449C" w:rsidP="00CB4F22">
      <w:r>
        <w:separator/>
      </w:r>
    </w:p>
  </w:endnote>
  <w:endnote w:type="continuationSeparator" w:id="0">
    <w:p w:rsidR="00C2449C" w:rsidRDefault="00C2449C" w:rsidP="00CB4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49C" w:rsidRDefault="00C2449C" w:rsidP="00CB4F22">
      <w:r>
        <w:separator/>
      </w:r>
    </w:p>
  </w:footnote>
  <w:footnote w:type="continuationSeparator" w:id="0">
    <w:p w:rsidR="00C2449C" w:rsidRDefault="00C2449C" w:rsidP="00CB4F22">
      <w:r>
        <w:continuationSeparator/>
      </w:r>
    </w:p>
  </w:footnote>
  <w:footnote w:id="1">
    <w:p w:rsidR="00CB4F22" w:rsidRDefault="00CB4F22" w:rsidP="00CB4F22">
      <w:pPr>
        <w:pStyle w:val="FootnoteText"/>
        <w:ind w:firstLine="216"/>
      </w:pPr>
      <w:r>
        <w:rPr>
          <w:rStyle w:val="FootnoteReference"/>
        </w:rPr>
        <w:t>*</w:t>
      </w:r>
      <w:r>
        <w:t xml:space="preserve"> </w:t>
      </w:r>
      <w:r w:rsidRPr="00230856">
        <w:t xml:space="preserve">Notified in the </w:t>
      </w:r>
      <w:r w:rsidRPr="00230856">
        <w:rPr>
          <w:i/>
          <w:iCs/>
        </w:rPr>
        <w:t xml:space="preserve">Commonwealth of Australia Gazette </w:t>
      </w:r>
      <w:r w:rsidRPr="00230856">
        <w:t>on 27 December 1979.</w:t>
      </w:r>
    </w:p>
  </w:footnote>
  <w:footnote w:id="2">
    <w:p w:rsidR="00CB4F22" w:rsidRDefault="00CB4F22" w:rsidP="00CB4F22">
      <w:pPr>
        <w:pStyle w:val="FootnoteText"/>
        <w:ind w:firstLine="216"/>
      </w:pPr>
      <w:r>
        <w:rPr>
          <w:rStyle w:val="FootnoteReference"/>
        </w:rPr>
        <w:t>†</w:t>
      </w:r>
      <w:r>
        <w:t xml:space="preserve"> </w:t>
      </w:r>
      <w:r w:rsidRPr="00230856">
        <w:t>Ordinance No. 1, 1955 as amended by No. 1, 1958; No. 1, 1962; No. 3, 1964; Nos. 1 and 6, 1966; No. 1, 1973; No. 2, 1975; No. 3, 1976; and No. 2, 1977.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F0B" w:rsidRDefault="00B46F0B" w:rsidP="00B46F0B">
    <w:pPr>
      <w:pStyle w:val="Header"/>
      <w:tabs>
        <w:tab w:val="clear" w:pos="4680"/>
        <w:tab w:val="clear" w:pos="9360"/>
        <w:tab w:val="center" w:pos="5238"/>
        <w:tab w:val="left" w:pos="9099"/>
        <w:tab w:val="right" w:pos="10440"/>
      </w:tabs>
      <w:spacing w:after="240"/>
    </w:pPr>
    <w:r w:rsidRPr="00230856">
      <w:rPr>
        <w:sz w:val="20"/>
        <w:szCs w:val="20"/>
      </w:rPr>
      <w:t>No.</w:t>
    </w:r>
    <w:r w:rsidRPr="00230856">
      <w:rPr>
        <w:sz w:val="20"/>
        <w:szCs w:val="20"/>
      </w:rPr>
      <w:tab/>
    </w:r>
    <w:r w:rsidRPr="00230856">
      <w:rPr>
        <w:i/>
        <w:iCs/>
        <w:sz w:val="20"/>
        <w:szCs w:val="20"/>
      </w:rPr>
      <w:t xml:space="preserve">Interpretation </w:t>
    </w:r>
    <w:r w:rsidRPr="00230856">
      <w:rPr>
        <w:sz w:val="20"/>
        <w:szCs w:val="20"/>
      </w:rPr>
      <w:t>(</w:t>
    </w:r>
    <w:r w:rsidRPr="00230856">
      <w:rPr>
        <w:i/>
        <w:iCs/>
        <w:sz w:val="20"/>
        <w:szCs w:val="20"/>
      </w:rPr>
      <w:t>Amendment</w:t>
    </w:r>
    <w:r w:rsidRPr="00230856">
      <w:rPr>
        <w:sz w:val="20"/>
        <w:szCs w:val="20"/>
      </w:rPr>
      <w:t xml:space="preserve">) </w:t>
    </w:r>
    <w:r w:rsidRPr="00230856">
      <w:rPr>
        <w:i/>
        <w:iCs/>
        <w:sz w:val="20"/>
        <w:szCs w:val="20"/>
      </w:rPr>
      <w:t>Ordinance</w:t>
    </w:r>
    <w:r w:rsidRPr="00230856">
      <w:rPr>
        <w:sz w:val="20"/>
        <w:szCs w:val="20"/>
      </w:rPr>
      <w:tab/>
      <w:t>1979</w:t>
    </w:r>
    <w:r w:rsidRPr="00230856">
      <w:rPr>
        <w:sz w:val="20"/>
        <w:szCs w:val="20"/>
      </w:rPr>
      <w:tab/>
    </w:r>
    <w:r w:rsidRPr="00B46F0B">
      <w:rPr>
        <w:sz w:val="20"/>
        <w:szCs w:val="20"/>
      </w:rPr>
      <w:fldChar w:fldCharType="begin"/>
    </w:r>
    <w:r w:rsidRPr="00B46F0B">
      <w:rPr>
        <w:sz w:val="20"/>
        <w:szCs w:val="20"/>
      </w:rPr>
      <w:instrText xml:space="preserve"> PAGE   \* MERGEFORMAT </w:instrText>
    </w:r>
    <w:r w:rsidRPr="00B46F0B">
      <w:rPr>
        <w:sz w:val="20"/>
        <w:szCs w:val="20"/>
      </w:rPr>
      <w:fldChar w:fldCharType="separate"/>
    </w:r>
    <w:r w:rsidR="00C27C37">
      <w:rPr>
        <w:noProof/>
        <w:sz w:val="20"/>
        <w:szCs w:val="20"/>
      </w:rPr>
      <w:t>2</w:t>
    </w:r>
    <w:r w:rsidRPr="00B46F0B">
      <w:rPr>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F0B" w:rsidRDefault="00B46F0B" w:rsidP="00B46F0B">
    <w:pPr>
      <w:pStyle w:val="Header"/>
      <w:tabs>
        <w:tab w:val="clear" w:pos="4680"/>
        <w:tab w:val="clear" w:pos="9360"/>
        <w:tab w:val="center" w:pos="5238"/>
        <w:tab w:val="left" w:pos="9099"/>
        <w:tab w:val="right" w:pos="10440"/>
      </w:tabs>
      <w:spacing w:after="240"/>
    </w:pPr>
    <w:r>
      <w:rPr>
        <w:sz w:val="20"/>
        <w:szCs w:val="20"/>
      </w:rPr>
      <w:t>1979</w:t>
    </w:r>
    <w:r w:rsidRPr="00230856">
      <w:rPr>
        <w:sz w:val="20"/>
        <w:szCs w:val="20"/>
      </w:rPr>
      <w:tab/>
    </w:r>
    <w:r w:rsidRPr="00230856">
      <w:rPr>
        <w:i/>
        <w:iCs/>
        <w:sz w:val="20"/>
        <w:szCs w:val="20"/>
      </w:rPr>
      <w:t xml:space="preserve">Interpretation </w:t>
    </w:r>
    <w:r w:rsidRPr="00230856">
      <w:rPr>
        <w:sz w:val="20"/>
        <w:szCs w:val="20"/>
      </w:rPr>
      <w:t>(</w:t>
    </w:r>
    <w:r w:rsidRPr="00230856">
      <w:rPr>
        <w:i/>
        <w:iCs/>
        <w:sz w:val="20"/>
        <w:szCs w:val="20"/>
      </w:rPr>
      <w:t>Amendment</w:t>
    </w:r>
    <w:r w:rsidRPr="00230856">
      <w:rPr>
        <w:sz w:val="20"/>
        <w:szCs w:val="20"/>
      </w:rPr>
      <w:t xml:space="preserve">) </w:t>
    </w:r>
    <w:r w:rsidRPr="00230856">
      <w:rPr>
        <w:i/>
        <w:iCs/>
        <w:sz w:val="20"/>
        <w:szCs w:val="20"/>
      </w:rPr>
      <w:t>Ordinance</w:t>
    </w:r>
    <w:r w:rsidRPr="00230856">
      <w:rPr>
        <w:sz w:val="20"/>
        <w:szCs w:val="20"/>
      </w:rPr>
      <w:tab/>
    </w:r>
    <w:r>
      <w:rPr>
        <w:sz w:val="20"/>
        <w:szCs w:val="20"/>
      </w:rPr>
      <w:t>No.</w:t>
    </w:r>
    <w:r w:rsidRPr="00230856">
      <w:rPr>
        <w:sz w:val="20"/>
        <w:szCs w:val="20"/>
      </w:rPr>
      <w:tab/>
    </w:r>
    <w:r w:rsidRPr="00B46F0B">
      <w:rPr>
        <w:sz w:val="20"/>
        <w:szCs w:val="20"/>
      </w:rPr>
      <w:fldChar w:fldCharType="begin"/>
    </w:r>
    <w:r w:rsidRPr="00B46F0B">
      <w:rPr>
        <w:sz w:val="20"/>
        <w:szCs w:val="20"/>
      </w:rPr>
      <w:instrText xml:space="preserve"> PAGE   \* MERGEFORMAT </w:instrText>
    </w:r>
    <w:r w:rsidRPr="00B46F0B">
      <w:rPr>
        <w:sz w:val="20"/>
        <w:szCs w:val="20"/>
      </w:rPr>
      <w:fldChar w:fldCharType="separate"/>
    </w:r>
    <w:r w:rsidR="00C27C37">
      <w:rPr>
        <w:noProof/>
        <w:sz w:val="20"/>
        <w:szCs w:val="20"/>
      </w:rPr>
      <w:t>3</w:t>
    </w:r>
    <w:r w:rsidRPr="00B46F0B">
      <w:rPr>
        <w:noProof/>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2267"/>
    <w:rsid w:val="00202267"/>
    <w:rsid w:val="003E3788"/>
    <w:rsid w:val="005D598B"/>
    <w:rsid w:val="00B3530B"/>
    <w:rsid w:val="00B46F0B"/>
    <w:rsid w:val="00B74DE8"/>
    <w:rsid w:val="00C2449C"/>
    <w:rsid w:val="00C27C37"/>
    <w:rsid w:val="00CB4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CB4F22"/>
    <w:rPr>
      <w:sz w:val="20"/>
      <w:szCs w:val="20"/>
    </w:rPr>
  </w:style>
  <w:style w:type="character" w:customStyle="1" w:styleId="FootnoteTextChar">
    <w:name w:val="Footnote Text Char"/>
    <w:basedOn w:val="DefaultParagraphFont"/>
    <w:link w:val="FootnoteText"/>
    <w:semiHidden/>
    <w:rsid w:val="00CB4F22"/>
  </w:style>
  <w:style w:type="character" w:styleId="FootnoteReference">
    <w:name w:val="footnote reference"/>
    <w:basedOn w:val="DefaultParagraphFont"/>
    <w:semiHidden/>
    <w:unhideWhenUsed/>
    <w:rsid w:val="00CB4F22"/>
    <w:rPr>
      <w:vertAlign w:val="superscript"/>
    </w:rPr>
  </w:style>
  <w:style w:type="paragraph" w:styleId="Header">
    <w:name w:val="header"/>
    <w:basedOn w:val="Normal"/>
    <w:link w:val="HeaderChar"/>
    <w:unhideWhenUsed/>
    <w:rsid w:val="00B46F0B"/>
    <w:pPr>
      <w:tabs>
        <w:tab w:val="center" w:pos="4680"/>
        <w:tab w:val="right" w:pos="9360"/>
      </w:tabs>
    </w:pPr>
  </w:style>
  <w:style w:type="character" w:customStyle="1" w:styleId="HeaderChar">
    <w:name w:val="Header Char"/>
    <w:basedOn w:val="DefaultParagraphFont"/>
    <w:link w:val="Header"/>
    <w:rsid w:val="00B46F0B"/>
    <w:rPr>
      <w:sz w:val="24"/>
      <w:szCs w:val="24"/>
    </w:rPr>
  </w:style>
  <w:style w:type="paragraph" w:styleId="Footer">
    <w:name w:val="footer"/>
    <w:basedOn w:val="Normal"/>
    <w:link w:val="FooterChar"/>
    <w:unhideWhenUsed/>
    <w:rsid w:val="00B46F0B"/>
    <w:pPr>
      <w:tabs>
        <w:tab w:val="center" w:pos="4680"/>
        <w:tab w:val="right" w:pos="9360"/>
      </w:tabs>
    </w:pPr>
  </w:style>
  <w:style w:type="character" w:customStyle="1" w:styleId="FooterChar">
    <w:name w:val="Footer Char"/>
    <w:basedOn w:val="DefaultParagraphFont"/>
    <w:link w:val="Footer"/>
    <w:rsid w:val="00B46F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2023-01-09T22:04:00Z</dcterms:created>
  <dcterms:modified xsi:type="dcterms:W3CDTF">2023-01-09T22:04:00Z</dcterms:modified>
</cp:coreProperties>
</file>